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5910B6D4" w14:textId="6F261FAB" w:rsidR="0035638A" w:rsidRDefault="00B32703" w:rsidP="00B32703">
      <w:pPr>
        <w:pStyle w:val="SWCTitle"/>
        <w:rPr>
          <w:sz w:val="28"/>
          <w:szCs w:val="28"/>
        </w:rPr>
      </w:pPr>
      <w:r w:rsidRPr="0035638A">
        <w:rPr>
          <w:sz w:val="28"/>
          <w:szCs w:val="28"/>
        </w:rPr>
        <w:br/>
      </w:r>
      <w:r w:rsidR="00766B28" w:rsidRPr="00766B28">
        <w:rPr>
          <w:sz w:val="28"/>
          <w:szCs w:val="28"/>
        </w:rPr>
        <w:t xml:space="preserve">SIMULATION-BASED </w:t>
      </w:r>
      <w:r w:rsidR="0020398C">
        <w:rPr>
          <w:sz w:val="28"/>
          <w:szCs w:val="28"/>
        </w:rPr>
        <w:t>HEAT PUMP</w:t>
      </w:r>
      <w:r w:rsidR="00766B28" w:rsidRPr="00766B28">
        <w:rPr>
          <w:sz w:val="28"/>
          <w:szCs w:val="28"/>
        </w:rPr>
        <w:t xml:space="preserve"> SYSTEM PERFORMANCE OPTIMISATION OF LARGE APARTMENT BUILDINGS AND </w:t>
      </w:r>
      <w:r w:rsidR="00766B28">
        <w:rPr>
          <w:sz w:val="28"/>
          <w:szCs w:val="28"/>
        </w:rPr>
        <w:t>DISTRICTS</w:t>
      </w:r>
      <w:r w:rsidRPr="0035638A">
        <w:rPr>
          <w:sz w:val="28"/>
          <w:szCs w:val="28"/>
        </w:rPr>
        <w:br/>
      </w:r>
    </w:p>
    <w:p w14:paraId="7CB09C3D" w14:textId="4610B57B" w:rsidR="009A3FD1" w:rsidRDefault="009A3FD1" w:rsidP="009A3FD1">
      <w:pPr>
        <w:pStyle w:val="SWCTitle"/>
        <w:spacing w:before="0" w:after="0"/>
        <w:jc w:val="left"/>
        <w:rPr>
          <w:rFonts w:ascii="Times New Roman" w:hAnsi="Times New Roman"/>
          <w:b w:val="0"/>
          <w:sz w:val="20"/>
          <w:szCs w:val="20"/>
        </w:rPr>
      </w:pPr>
      <w:bookmarkStart w:id="0" w:name="_Hlk239599544"/>
      <w:r>
        <w:rPr>
          <w:rFonts w:ascii="Times New Roman" w:hAnsi="Times New Roman"/>
          <w:b w:val="0"/>
          <w:sz w:val="20"/>
          <w:szCs w:val="20"/>
        </w:rPr>
        <w:t>Fabian Ochs 1 (corresponding author), Elisa Venturi 1, Samuel Breuss 1</w:t>
      </w:r>
    </w:p>
    <w:p w14:paraId="1E66C4FA" w14:textId="666D6619" w:rsidR="009A3FD1" w:rsidRDefault="009A3FD1" w:rsidP="009A3FD1">
      <w:pPr>
        <w:pStyle w:val="SWCTitle"/>
        <w:spacing w:before="0" w:after="0"/>
        <w:jc w:val="left"/>
        <w:rPr>
          <w:rFonts w:ascii="Times New Roman" w:hAnsi="Times New Roman"/>
          <w:b w:val="0"/>
          <w:sz w:val="20"/>
          <w:szCs w:val="22"/>
        </w:rPr>
      </w:pPr>
      <w:r>
        <w:rPr>
          <w:rFonts w:ascii="Times New Roman" w:hAnsi="Times New Roman"/>
          <w:b w:val="0"/>
          <w:sz w:val="20"/>
          <w:szCs w:val="22"/>
        </w:rPr>
        <w:t>University of Innsbruck</w:t>
      </w:r>
    </w:p>
    <w:p w14:paraId="679F6530" w14:textId="0C430C0D" w:rsidR="009A3FD1" w:rsidRPr="009A3FD1" w:rsidRDefault="009A3FD1" w:rsidP="009A3FD1">
      <w:pPr>
        <w:pStyle w:val="SWCTitle"/>
        <w:spacing w:before="0" w:after="0"/>
        <w:jc w:val="left"/>
        <w:rPr>
          <w:rFonts w:ascii="Times New Roman" w:hAnsi="Times New Roman"/>
          <w:b w:val="0"/>
          <w:sz w:val="20"/>
          <w:szCs w:val="22"/>
        </w:rPr>
      </w:pPr>
      <w:r w:rsidRPr="009A3FD1">
        <w:rPr>
          <w:rFonts w:ascii="Times New Roman" w:hAnsi="Times New Roman"/>
          <w:b w:val="0"/>
          <w:sz w:val="20"/>
          <w:szCs w:val="22"/>
        </w:rPr>
        <w:t>fabian.ochs@uibk.ac.at, elisa.venturi@uibk.ac.at, samuel.breuss@</w:t>
      </w:r>
      <w:r>
        <w:rPr>
          <w:rFonts w:ascii="Times New Roman" w:hAnsi="Times New Roman"/>
          <w:b w:val="0"/>
          <w:sz w:val="20"/>
          <w:szCs w:val="22"/>
        </w:rPr>
        <w:t>uibk.ac.at</w:t>
      </w:r>
    </w:p>
    <w:bookmarkEnd w:id="0"/>
    <w:p w14:paraId="3A7DF4B5" w14:textId="77777777" w:rsidR="001A775B" w:rsidRDefault="001A775B" w:rsidP="001A775B">
      <w:pPr>
        <w:pStyle w:val="SWCSummary"/>
      </w:pPr>
      <w:r>
        <w:t>Summary</w:t>
      </w:r>
    </w:p>
    <w:p w14:paraId="0D2189E4" w14:textId="111D2D59" w:rsidR="001A775B" w:rsidRPr="000A04F8" w:rsidRDefault="00067030" w:rsidP="7D522D5D">
      <w:pPr>
        <w:pStyle w:val="SWCText"/>
        <w:pBdr>
          <w:bottom w:val="single" w:sz="6" w:space="1" w:color="auto"/>
        </w:pBdr>
      </w:pPr>
      <w:r w:rsidRPr="000A04F8">
        <w:t xml:space="preserve">A systemic simulation-based planning approach for district energy systems includes the total heat demand, network length and layout, heat line density, local heat source availability, climate conditions, and renewable energy potential. </w:t>
      </w:r>
      <w:r w:rsidR="000A04F8">
        <w:t>Cost-optimal solutions</w:t>
      </w:r>
      <w:r w:rsidRPr="000A04F8">
        <w:t xml:space="preserve"> </w:t>
      </w:r>
      <w:r w:rsidR="000A04F8">
        <w:t>need to be identified considering</w:t>
      </w:r>
      <w:r w:rsidRPr="000A04F8">
        <w:t xml:space="preserve"> highly efficient thermal envelopes</w:t>
      </w:r>
      <w:r w:rsidR="000A04F8">
        <w:t xml:space="preserve">, very efficient heat pump </w:t>
      </w:r>
      <w:r w:rsidR="000A04F8" w:rsidRPr="000A04F8">
        <w:t>(HP)</w:t>
      </w:r>
      <w:r w:rsidR="000A04F8">
        <w:t>-based heat generation combined with</w:t>
      </w:r>
      <w:r w:rsidRPr="000A04F8">
        <w:t xml:space="preserve"> low-temperature heat distribution systems as well as </w:t>
      </w:r>
      <w:r w:rsidR="00BE5028" w:rsidRPr="000A04F8">
        <w:t>maximized</w:t>
      </w:r>
      <w:r w:rsidRPr="000A04F8">
        <w:t xml:space="preserve"> photovoltaic yield. </w:t>
      </w:r>
      <w:r w:rsidR="00BE5028" w:rsidRPr="000A04F8">
        <w:t>Decentralized</w:t>
      </w:r>
      <w:r w:rsidRPr="000A04F8">
        <w:t xml:space="preserve"> or semi-</w:t>
      </w:r>
      <w:r w:rsidR="000A04F8" w:rsidRPr="000A04F8">
        <w:t>centralized</w:t>
      </w:r>
      <w:r w:rsidRPr="000A04F8">
        <w:t xml:space="preserve"> </w:t>
      </w:r>
      <w:r w:rsidR="000A04F8">
        <w:t>HP</w:t>
      </w:r>
      <w:r w:rsidRPr="000A04F8">
        <w:t xml:space="preserve"> system concept with reduced distribution losses enable higher seasonal performance. Cold district heating or medium-temperature semi-central systems that combine central heat pumps with </w:t>
      </w:r>
      <w:r w:rsidR="00BE5028" w:rsidRPr="000A04F8">
        <w:t>decentralized</w:t>
      </w:r>
      <w:r w:rsidRPr="000A04F8">
        <w:t xml:space="preserve"> booster units for domestic hot water</w:t>
      </w:r>
      <w:r w:rsidR="00EA218B">
        <w:t xml:space="preserve"> (DHW)</w:t>
      </w:r>
      <w:r w:rsidRPr="000A04F8">
        <w:t xml:space="preserve"> preparation can be a promising alternative to classical high temperature district heating system. HP system topology is a key determinant of system efficiency</w:t>
      </w:r>
      <w:r w:rsidR="000A04F8" w:rsidRPr="000A04F8">
        <w:t>.</w:t>
      </w:r>
      <w:r w:rsidR="000A04F8">
        <w:t xml:space="preserve"> Simulation models and methods are required that are able to simulated large buildings and districts with the required level of detail and allowing high simulation performance.</w:t>
      </w:r>
      <w:r w:rsidR="00CC4714">
        <w:t xml:space="preserve"> This contribution focuses on modelling aspects of DHW distribution systems of large buildings using one building of the “Campagne” district with 50 flats as an example.</w:t>
      </w:r>
      <w:r w:rsidR="00EF7A77">
        <w:t xml:space="preserve"> </w:t>
      </w:r>
    </w:p>
    <w:p w14:paraId="1DBDBD51" w14:textId="77777777" w:rsidR="00067030" w:rsidRDefault="00067030" w:rsidP="7D522D5D">
      <w:pPr>
        <w:pStyle w:val="SWCText"/>
        <w:pBdr>
          <w:bottom w:val="single" w:sz="6" w:space="1" w:color="auto"/>
        </w:pBdr>
      </w:pPr>
    </w:p>
    <w:p w14:paraId="5AB3A3E7" w14:textId="3F93AD9E" w:rsidR="00DB52E7" w:rsidRDefault="00DB52E7" w:rsidP="001A775B">
      <w:pPr>
        <w:pStyle w:val="SWCText"/>
        <w:pBdr>
          <w:bottom w:val="single" w:sz="6" w:space="1" w:color="auto"/>
        </w:pBdr>
        <w:rPr>
          <w:i/>
          <w:iCs/>
        </w:rPr>
      </w:pPr>
      <w:r w:rsidRPr="0004545F">
        <w:rPr>
          <w:i/>
          <w:iCs/>
        </w:rPr>
        <w:t xml:space="preserve">Keywords: </w:t>
      </w:r>
      <w:r w:rsidR="00F43252">
        <w:rPr>
          <w:i/>
          <w:iCs/>
        </w:rPr>
        <w:t xml:space="preserve">Positive Energy District, Efficiency, Heat Pump System, Monitoring, Simulation </w:t>
      </w:r>
    </w:p>
    <w:p w14:paraId="01458796" w14:textId="27BC357A" w:rsidR="00FA4DF8" w:rsidRPr="00F43252" w:rsidRDefault="002C089D" w:rsidP="001A775B">
      <w:pPr>
        <w:pStyle w:val="SWCText"/>
        <w:pBdr>
          <w:bottom w:val="single" w:sz="6" w:space="1" w:color="auto"/>
        </w:pBdr>
        <w:rPr>
          <w:i/>
          <w:iCs/>
          <w:lang w:val="en-GB"/>
        </w:rPr>
      </w:pPr>
      <w:r>
        <w:rPr>
          <w:i/>
          <w:iCs/>
        </w:rPr>
        <w:t>Field of application for the findings:</w:t>
      </w:r>
      <w:r w:rsidR="00F43252" w:rsidRPr="00F43252">
        <w:t xml:space="preserve"> </w:t>
      </w:r>
      <w:r w:rsidR="00F43252" w:rsidRPr="00F43252">
        <w:rPr>
          <w:i/>
          <w:iCs/>
        </w:rPr>
        <w:t>Transition to Renewable and CO₂-Free Energy</w:t>
      </w:r>
      <w:r w:rsidR="00766B28">
        <w:rPr>
          <w:i/>
          <w:iCs/>
        </w:rPr>
        <w:t xml:space="preserve"> System</w:t>
      </w:r>
    </w:p>
    <w:p w14:paraId="185A319D" w14:textId="5204432F" w:rsidR="002C089D" w:rsidRDefault="00CC3B0C" w:rsidP="001A775B">
      <w:pPr>
        <w:pStyle w:val="SWCText"/>
        <w:pBdr>
          <w:bottom w:val="single" w:sz="6" w:space="1" w:color="auto"/>
        </w:pBdr>
      </w:pPr>
      <w:r>
        <w:rPr>
          <w:i/>
          <w:iCs/>
        </w:rPr>
        <w:t>Addressed audience:</w:t>
      </w:r>
      <w:r w:rsidR="00F43252">
        <w:rPr>
          <w:i/>
          <w:iCs/>
        </w:rPr>
        <w:t xml:space="preserve"> Science, Planner, Decision Maker</w:t>
      </w:r>
    </w:p>
    <w:p w14:paraId="51CD8377" w14:textId="0F86F2AB" w:rsidR="00D32EF0" w:rsidRPr="004C4EE9" w:rsidRDefault="00D32EF0" w:rsidP="004C4EE9">
      <w:pPr>
        <w:pStyle w:val="SWCHeading1"/>
      </w:pPr>
      <w:r w:rsidRPr="004C4EE9">
        <w:t>Introduction</w:t>
      </w:r>
      <w:r w:rsidR="009E0D67">
        <w:t xml:space="preserve"> </w:t>
      </w:r>
    </w:p>
    <w:p w14:paraId="784BDF7E" w14:textId="1A399676" w:rsidR="0020398C" w:rsidRDefault="0020398C" w:rsidP="007C1632">
      <w:pPr>
        <w:pStyle w:val="SWCText"/>
        <w:rPr>
          <w:lang w:val="en-GB"/>
        </w:rPr>
      </w:pPr>
      <w:r>
        <w:t xml:space="preserve">In order to foster the transition of the European building stock, </w:t>
      </w:r>
      <w:r w:rsidR="001823BC">
        <w:t xml:space="preserve">the concept of </w:t>
      </w:r>
      <w:r>
        <w:t>p</w:t>
      </w:r>
      <w:r w:rsidRPr="0020398C">
        <w:t>ositive energy districts (PED)</w:t>
      </w:r>
      <w:r w:rsidR="001823BC">
        <w:t xml:space="preserve"> has been defined and</w:t>
      </w:r>
      <w:r>
        <w:t xml:space="preserve"> </w:t>
      </w:r>
      <w:r w:rsidRPr="0020398C">
        <w:t>energy-efficien</w:t>
      </w:r>
      <w:r>
        <w:t xml:space="preserve">cy, on-site renewable energy generation </w:t>
      </w:r>
      <w:r w:rsidRPr="0020398C">
        <w:t>and energy-flexib</w:t>
      </w:r>
      <w:r>
        <w:t xml:space="preserve">ility on </w:t>
      </w:r>
      <w:r w:rsidRPr="0020398C">
        <w:t xml:space="preserve">urban </w:t>
      </w:r>
      <w:r>
        <w:t>scale</w:t>
      </w:r>
      <w:r w:rsidR="001823BC">
        <w:t xml:space="preserve"> shall be demonstrated (</w:t>
      </w:r>
      <w:r w:rsidR="001823BC" w:rsidRPr="0020398C">
        <w:t>Lind</w:t>
      </w:r>
      <w:r w:rsidR="001823BC">
        <w:t>holm et al.</w:t>
      </w:r>
      <w:r w:rsidR="001823BC" w:rsidRPr="0020398C">
        <w:t xml:space="preserve"> 2021</w:t>
      </w:r>
      <w:r w:rsidR="001823BC">
        <w:t>)</w:t>
      </w:r>
      <w:r>
        <w:t xml:space="preserve">. PEDs are defined as </w:t>
      </w:r>
      <w:r w:rsidRPr="0020398C">
        <w:t xml:space="preserve">groups of interconnected buildings that have no net greenhouse gas emissions and actively manage an annual local or regional surplus of renewable energy </w:t>
      </w:r>
      <w:r w:rsidR="00AB3EE4">
        <w:t>(</w:t>
      </w:r>
      <w:r w:rsidR="00AB3EE4" w:rsidRPr="00AB3EE4">
        <w:rPr>
          <w:lang w:val="en-GB"/>
        </w:rPr>
        <w:t xml:space="preserve">Hedman </w:t>
      </w:r>
      <w:r w:rsidR="00AB3EE4">
        <w:rPr>
          <w:lang w:val="en-GB"/>
        </w:rPr>
        <w:t>et al.</w:t>
      </w:r>
      <w:r w:rsidRPr="0020398C">
        <w:t xml:space="preserve"> 2021</w:t>
      </w:r>
      <w:r w:rsidR="00AB3EE4">
        <w:t>)</w:t>
      </w:r>
      <w:r w:rsidRPr="0020398C">
        <w:t xml:space="preserve">. </w:t>
      </w:r>
      <w:r>
        <w:t xml:space="preserve">Besides the high-quality thermal envelope of the buildings, prerequisite for achieving a positive energy balance is a very efficient heating (and cooling) system. The </w:t>
      </w:r>
      <w:r w:rsidR="001823BC">
        <w:rPr>
          <w:lang w:val="en-GB"/>
        </w:rPr>
        <w:t xml:space="preserve">heat pump (HP) system topology is one of the main drivers for system efficiency (Ochs et al. 2026). </w:t>
      </w:r>
    </w:p>
    <w:p w14:paraId="5D56F6F6" w14:textId="63B898AE" w:rsidR="00C633F9" w:rsidRPr="00C633F9" w:rsidRDefault="00553105" w:rsidP="00C633F9">
      <w:pPr>
        <w:pStyle w:val="SWCText"/>
        <w:rPr>
          <w:lang w:val="en-GB"/>
        </w:rPr>
      </w:pPr>
      <w:r w:rsidRPr="00553105">
        <w:rPr>
          <w:lang w:val="en-GB"/>
        </w:rPr>
        <w:t xml:space="preserve">While heat pumps (HPs) are increasingly replacing fossil fuel-based heating systems, their application in multi-apartment buildings </w:t>
      </w:r>
      <w:r w:rsidR="00A95F2E">
        <w:rPr>
          <w:lang w:val="en-GB"/>
        </w:rPr>
        <w:t xml:space="preserve">(MAB) </w:t>
      </w:r>
      <w:r w:rsidRPr="00553105">
        <w:rPr>
          <w:lang w:val="en-GB"/>
        </w:rPr>
        <w:t xml:space="preserve">remains limited </w:t>
      </w:r>
      <w:r w:rsidR="00F352E6">
        <w:rPr>
          <w:lang w:val="en-GB"/>
        </w:rPr>
        <w:t>(Lämmle et al. 2023)</w:t>
      </w:r>
      <w:r w:rsidRPr="00553105">
        <w:rPr>
          <w:lang w:val="en-GB"/>
        </w:rPr>
        <w:t xml:space="preserve">. The performance and efficiency of HP systems are strongly influenced by system topology </w:t>
      </w:r>
      <w:r w:rsidR="00F352E6">
        <w:rPr>
          <w:lang w:val="en-GB"/>
        </w:rPr>
        <w:t>(Kropp et al. 2025)</w:t>
      </w:r>
      <w:r w:rsidRPr="00553105">
        <w:rPr>
          <w:lang w:val="en-GB"/>
        </w:rPr>
        <w:t xml:space="preserve">, control strategies, and operating boundary conditions. In particular, domestic hot water (DHW) preparation remains a major challenge. </w:t>
      </w:r>
      <w:r w:rsidR="00EC4CD5">
        <w:rPr>
          <w:lang w:val="en-GB"/>
        </w:rPr>
        <w:t xml:space="preserve">In spite of the increasing relevance of DHW (Pomianowski et al. 202), only few studies concentrate on efficient HP-based DHW preparation systems. </w:t>
      </w:r>
      <w:r w:rsidRPr="00553105">
        <w:rPr>
          <w:lang w:val="en-GB"/>
        </w:rPr>
        <w:t xml:space="preserve">Consequently, electric boilers (E-boilers) or flow-type post heaters (FTPHs) are frequently used instead of </w:t>
      </w:r>
      <w:r>
        <w:rPr>
          <w:lang w:val="en-GB"/>
        </w:rPr>
        <w:t>HP</w:t>
      </w:r>
      <w:r w:rsidRPr="00553105">
        <w:rPr>
          <w:lang w:val="en-GB"/>
        </w:rPr>
        <w:t xml:space="preserve">s </w:t>
      </w:r>
      <w:r w:rsidR="00F352E6">
        <w:rPr>
          <w:lang w:val="en-GB"/>
        </w:rPr>
        <w:t>(Jähnig et al. 2025)</w:t>
      </w:r>
      <w:r w:rsidRPr="00553105">
        <w:rPr>
          <w:lang w:val="en-GB"/>
        </w:rPr>
        <w:t>, resulting in higher electricity consumption, increased operating costs for tenants, and additional load on the electrical grid.</w:t>
      </w:r>
      <w:r w:rsidR="00A9083F">
        <w:rPr>
          <w:lang w:val="en-GB"/>
        </w:rPr>
        <w:t xml:space="preserve"> </w:t>
      </w:r>
      <w:r w:rsidR="00A95F2E">
        <w:rPr>
          <w:lang w:val="en-GB"/>
        </w:rPr>
        <w:t>A</w:t>
      </w:r>
      <w:r w:rsidR="00C633F9" w:rsidRPr="00C633F9">
        <w:rPr>
          <w:lang w:val="en-GB"/>
        </w:rPr>
        <w:t xml:space="preserve"> range of</w:t>
      </w:r>
      <w:r w:rsidR="00A95F2E">
        <w:rPr>
          <w:lang w:val="en-GB"/>
        </w:rPr>
        <w:t xml:space="preserve"> different</w:t>
      </w:r>
      <w:r w:rsidR="00C633F9" w:rsidRPr="00C633F9">
        <w:rPr>
          <w:lang w:val="en-GB"/>
        </w:rPr>
        <w:t xml:space="preserve"> central, semi-central, decentralized, and hybrid heat pump (HP)-based heating systems have been implemented in recent years</w:t>
      </w:r>
      <w:r w:rsidR="00A95F2E">
        <w:rPr>
          <w:lang w:val="en-GB"/>
        </w:rPr>
        <w:t xml:space="preserve"> in MAB</w:t>
      </w:r>
      <w:r w:rsidR="00C633F9" w:rsidRPr="00C633F9">
        <w:rPr>
          <w:lang w:val="en-GB"/>
        </w:rPr>
        <w:t xml:space="preserve"> </w:t>
      </w:r>
      <w:r w:rsidR="00F352E6">
        <w:rPr>
          <w:lang w:val="en-GB"/>
        </w:rPr>
        <w:t>(Ochs et al. 20</w:t>
      </w:r>
      <w:r w:rsidR="00A95F2E">
        <w:rPr>
          <w:lang w:val="en-GB"/>
        </w:rPr>
        <w:t>22)</w:t>
      </w:r>
      <w:r w:rsidR="00C633F9" w:rsidRPr="00C633F9">
        <w:rPr>
          <w:lang w:val="en-GB"/>
        </w:rPr>
        <w:t>. The most common concepts are either centralized, including 4-pipe circulation systems, 2+2-pipe fresh water stations (FWS), 2-pipe heat transfer stations (HTS), and 2-pipe systems with decentralized DHW storage, or decentralized systems employing electric boilers or flow-type post heaters (FTPH).</w:t>
      </w:r>
      <w:r w:rsidR="00AA41B5">
        <w:rPr>
          <w:lang w:val="en-GB"/>
        </w:rPr>
        <w:t xml:space="preserve"> </w:t>
      </w:r>
      <w:r w:rsidR="00C633F9" w:rsidRPr="00C633F9">
        <w:rPr>
          <w:lang w:val="en-GB"/>
        </w:rPr>
        <w:t>More recently, semi-</w:t>
      </w:r>
      <w:r w:rsidR="00C633F9" w:rsidRPr="00C633F9">
        <w:rPr>
          <w:lang w:val="en-GB"/>
        </w:rPr>
        <w:lastRenderedPageBreak/>
        <w:t xml:space="preserve">centralized concepts </w:t>
      </w:r>
      <w:r w:rsidR="00B702D4">
        <w:rPr>
          <w:lang w:val="en-GB"/>
        </w:rPr>
        <w:t>with</w:t>
      </w:r>
      <w:r w:rsidR="00C633F9" w:rsidRPr="00C633F9">
        <w:rPr>
          <w:lang w:val="en-GB"/>
        </w:rPr>
        <w:t xml:space="preserve"> decentralized booster heat pumps have attracted increasing attention due to their potential to improve overall system performance in </w:t>
      </w:r>
      <w:r w:rsidR="00A44D3D">
        <w:rPr>
          <w:lang w:val="en-GB"/>
        </w:rPr>
        <w:t>MAB</w:t>
      </w:r>
      <w:r w:rsidR="00C633F9" w:rsidRPr="00C633F9">
        <w:rPr>
          <w:lang w:val="en-GB"/>
        </w:rPr>
        <w:t xml:space="preserve">s </w:t>
      </w:r>
      <w:r w:rsidR="00A44D3D">
        <w:rPr>
          <w:lang w:val="en-GB"/>
        </w:rPr>
        <w:t>(Ochs et al. 2026, Ochs et al. 2026a)</w:t>
      </w:r>
      <w:r w:rsidR="00C633F9" w:rsidRPr="00C633F9">
        <w:rPr>
          <w:lang w:val="en-GB"/>
        </w:rPr>
        <w:t>. Two principal configurations can be distinguished. The first combines decentralized DHW booster heat pumps (also referred to as return flow heat pumps) with low-temperature space heating distribution systems. The second employs decentralized booster heat pumps for both space heating (SH) and DHW preparation, enabling their application even with conventional high-temperature heat emission systems.</w:t>
      </w:r>
      <w:r w:rsidR="00AA41B5">
        <w:rPr>
          <w:lang w:val="en-GB"/>
        </w:rPr>
        <w:t xml:space="preserve"> </w:t>
      </w:r>
      <w:r w:rsidR="00C633F9" w:rsidRPr="00C633F9">
        <w:rPr>
          <w:lang w:val="en-GB"/>
        </w:rPr>
        <w:t>Dedicated decentralized heat pumps for DHW preparation (so-called boiler heat pumps) are commercially available but are rarely applied in multi-apartment buildings because of installation space limitations and the challenges associated with providing a suitable heat source. Although a limited number of decentralized split-type air-to-water heat pumps for DHW preparation are available, they currently remain a niche solution.</w:t>
      </w:r>
    </w:p>
    <w:p w14:paraId="002651C0" w14:textId="0F9F421C" w:rsidR="009A3FD1" w:rsidRDefault="009A3FD1" w:rsidP="00E120F0">
      <w:pPr>
        <w:pStyle w:val="SWCText"/>
      </w:pPr>
      <w:r>
        <w:t>Th</w:t>
      </w:r>
      <w:r w:rsidR="00553105">
        <w:t>is monitoring and</w:t>
      </w:r>
      <w:r>
        <w:t xml:space="preserve"> simulation study focuses on the heat distribution from the buffer</w:t>
      </w:r>
      <w:r w:rsidR="00553105">
        <w:t xml:space="preserve"> in the technical room</w:t>
      </w:r>
      <w:r>
        <w:t xml:space="preserve"> to the flats</w:t>
      </w:r>
      <w:r w:rsidR="00553105">
        <w:t xml:space="preserve"> for different configurations in terms of building and distribution system</w:t>
      </w:r>
      <w:r w:rsidR="00EA74B2">
        <w:t xml:space="preserve"> using Campagne district as an example</w:t>
      </w:r>
      <w:r>
        <w:t xml:space="preserve">. The (cost-)optimal HP integration options in </w:t>
      </w:r>
      <w:r w:rsidRPr="00A44D3D">
        <w:t>M</w:t>
      </w:r>
      <w:r w:rsidR="00A95F2E" w:rsidRPr="00A44D3D">
        <w:t>AB</w:t>
      </w:r>
      <w:r>
        <w:t xml:space="preserve"> mainly depend on the distribution system, number and size of buffer storage and the useful energy (SH + DHW). The system performance depends on both, the distribution losses and the flow and return temperatures. The accurate prediction of the distribution losses and return temperature requires simulation models and tapping profiles on flat level (Venturi et al. 2026). They depend on the size and geometry of the building as well as location of or distance between the buildings, respectively (i.e., length and thermal quality of the distribution pipes). </w:t>
      </w:r>
    </w:p>
    <w:p w14:paraId="0EA94B9A" w14:textId="63A76123" w:rsidR="00EA74B2" w:rsidRDefault="00EA74B2" w:rsidP="00EA74B2">
      <w:pPr>
        <w:pStyle w:val="SWCText"/>
        <w:rPr>
          <w:lang w:val="en-GB"/>
        </w:rPr>
      </w:pPr>
      <w:r>
        <w:t>This contribution proposes methods for modelling and simulation of heat distribution systems in large MAB and small districts starting from few flats up to few hundreds of flats</w:t>
      </w:r>
      <w:r w:rsidRPr="00EA74B2">
        <w:t xml:space="preserve"> </w:t>
      </w:r>
      <w:r>
        <w:t>with a focus on very efficient buildings and “towards” PEDs. In contrast to previous studies physical based approaches are developed with the aim to predict accurately the thermal distribution losses and the return temperature depending on the DHW consumption and DHW tapping profiles. Realistic profiles derived from monitoring are uses and simulations are performed for l</w:t>
      </w:r>
      <w:r w:rsidR="00573ABC" w:rsidRPr="000D76AE">
        <w:rPr>
          <w:lang w:val="en-GB"/>
        </w:rPr>
        <w:t>umped profile</w:t>
      </w:r>
      <w:r>
        <w:rPr>
          <w:lang w:val="en-GB"/>
        </w:rPr>
        <w:t>s and</w:t>
      </w:r>
      <w:r w:rsidR="00573ABC" w:rsidRPr="000D76AE">
        <w:rPr>
          <w:lang w:val="en-GB"/>
        </w:rPr>
        <w:t xml:space="preserve"> </w:t>
      </w:r>
      <w:r>
        <w:rPr>
          <w:lang w:val="en-GB"/>
        </w:rPr>
        <w:t>i</w:t>
      </w:r>
      <w:r w:rsidR="00573ABC" w:rsidRPr="000D76AE">
        <w:rPr>
          <w:lang w:val="en-GB"/>
        </w:rPr>
        <w:t>ndividual profile</w:t>
      </w:r>
      <w:r>
        <w:rPr>
          <w:lang w:val="en-GB"/>
        </w:rPr>
        <w:t xml:space="preserve">s and considering different time steps. </w:t>
      </w:r>
    </w:p>
    <w:p w14:paraId="3899D4C8" w14:textId="77777777" w:rsidR="009A3FD1" w:rsidRPr="006309AA" w:rsidRDefault="009A3FD1" w:rsidP="009A3FD1">
      <w:pPr>
        <w:pStyle w:val="SWCHeading1"/>
      </w:pPr>
      <w:r>
        <w:t>Method</w:t>
      </w:r>
    </w:p>
    <w:p w14:paraId="6A71A8E5" w14:textId="22EA8930" w:rsidR="009A3FD1" w:rsidRDefault="009A3FD1" w:rsidP="009A3FD1">
      <w:pPr>
        <w:pStyle w:val="SWCHeading11"/>
      </w:pPr>
      <w:r>
        <w:t>2.1 Towards PED Innsbruck Campagne</w:t>
      </w:r>
    </w:p>
    <w:p w14:paraId="3CF0AC64" w14:textId="72B7B2A3" w:rsidR="00E120F0" w:rsidRDefault="001823BC" w:rsidP="00E120F0">
      <w:pPr>
        <w:pStyle w:val="SWCText"/>
        <w:rPr>
          <w:lang w:val="en-GB"/>
        </w:rPr>
      </w:pPr>
      <w:r>
        <w:rPr>
          <w:lang w:val="en-GB"/>
        </w:rPr>
        <w:t>The</w:t>
      </w:r>
      <w:r w:rsidR="00B702D4">
        <w:rPr>
          <w:lang w:val="en-GB"/>
        </w:rPr>
        <w:t xml:space="preserve"> case study</w:t>
      </w:r>
      <w:r>
        <w:rPr>
          <w:lang w:val="en-GB"/>
        </w:rPr>
        <w:t xml:space="preserve"> </w:t>
      </w:r>
      <w:r w:rsidR="00B702D4">
        <w:rPr>
          <w:lang w:val="en-GB"/>
        </w:rPr>
        <w:t xml:space="preserve">is the </w:t>
      </w:r>
      <w:r>
        <w:rPr>
          <w:lang w:val="en-GB"/>
        </w:rPr>
        <w:t xml:space="preserve">housing project </w:t>
      </w:r>
      <w:r w:rsidR="0020398C" w:rsidRPr="0020398C">
        <w:rPr>
          <w:lang w:val="en-GB"/>
        </w:rPr>
        <w:t xml:space="preserve">“Innsbruck Campagne” </w:t>
      </w:r>
      <w:r w:rsidR="00B702D4">
        <w:rPr>
          <w:lang w:val="en-GB"/>
        </w:rPr>
        <w:t xml:space="preserve">consisting of </w:t>
      </w:r>
      <w:r w:rsidR="0020398C">
        <w:rPr>
          <w:lang w:val="en-GB"/>
        </w:rPr>
        <w:t>f</w:t>
      </w:r>
      <w:r w:rsidR="0020398C" w:rsidRPr="0020398C">
        <w:rPr>
          <w:lang w:val="en-GB"/>
        </w:rPr>
        <w:t>our blocks</w:t>
      </w:r>
      <w:r w:rsidR="0020398C">
        <w:rPr>
          <w:lang w:val="en-GB"/>
        </w:rPr>
        <w:t xml:space="preserve"> of each </w:t>
      </w:r>
      <w:r w:rsidR="0020398C" w:rsidRPr="0020398C">
        <w:rPr>
          <w:lang w:val="en-GB"/>
        </w:rPr>
        <w:t>four buildings</w:t>
      </w:r>
      <w:r w:rsidR="00B702D4">
        <w:rPr>
          <w:lang w:val="en-GB"/>
        </w:rPr>
        <w:t xml:space="preserve"> </w:t>
      </w:r>
      <w:r w:rsidR="009A3FD1">
        <w:rPr>
          <w:lang w:val="en-GB"/>
        </w:rPr>
        <w:t>(Venturi et al. 2024)</w:t>
      </w:r>
      <w:r w:rsidR="0020398C" w:rsidRPr="0020398C">
        <w:rPr>
          <w:lang w:val="en-GB"/>
        </w:rPr>
        <w:t>. The first block, comprising four apartment buildings</w:t>
      </w:r>
      <w:r>
        <w:rPr>
          <w:lang w:val="en-GB"/>
        </w:rPr>
        <w:t xml:space="preserve"> following the </w:t>
      </w:r>
      <w:r w:rsidRPr="0020398C">
        <w:rPr>
          <w:lang w:val="en-GB"/>
        </w:rPr>
        <w:t>Passive House standard</w:t>
      </w:r>
      <w:r w:rsidR="0020398C" w:rsidRPr="0020398C">
        <w:rPr>
          <w:lang w:val="en-GB"/>
        </w:rPr>
        <w:t xml:space="preserve"> with a total of 307 apartments and 2 500 m² of commercial space</w:t>
      </w:r>
      <w:r w:rsidR="00B702D4">
        <w:rPr>
          <w:lang w:val="en-GB"/>
        </w:rPr>
        <w:t xml:space="preserve"> has been realized</w:t>
      </w:r>
      <w:r>
        <w:rPr>
          <w:lang w:val="en-GB"/>
        </w:rPr>
        <w:t>,</w:t>
      </w:r>
      <w:r w:rsidR="0020398C" w:rsidRPr="0020398C">
        <w:rPr>
          <w:lang w:val="en-GB"/>
        </w:rPr>
        <w:t xml:space="preserve"> see Fig. 1</w:t>
      </w:r>
      <w:r>
        <w:rPr>
          <w:lang w:val="en-GB"/>
        </w:rPr>
        <w:t xml:space="preserve">, and </w:t>
      </w:r>
      <w:r w:rsidR="00B702D4">
        <w:rPr>
          <w:lang w:val="en-GB"/>
        </w:rPr>
        <w:t xml:space="preserve">has been monitored </w:t>
      </w:r>
      <w:r>
        <w:rPr>
          <w:lang w:val="en-GB"/>
        </w:rPr>
        <w:t>since 2023</w:t>
      </w:r>
      <w:r w:rsidR="0020398C" w:rsidRPr="0020398C">
        <w:rPr>
          <w:lang w:val="en-GB"/>
        </w:rPr>
        <w:t>.</w:t>
      </w:r>
      <w:r w:rsidR="000A04F8">
        <w:rPr>
          <w:lang w:val="en-GB"/>
        </w:rPr>
        <w:t xml:space="preserve"> </w:t>
      </w:r>
      <w:r w:rsidR="00B702D4">
        <w:rPr>
          <w:lang w:val="en-GB"/>
        </w:rPr>
        <w:t>A ground-water HP supplies low temperature heat to the floor heating system and the local district heating system supplies heat to the decentral flat-wise fresh water stations (FWS). The</w:t>
      </w:r>
      <w:r w:rsidR="00E120F0" w:rsidRPr="001823BC">
        <w:rPr>
          <w:lang w:val="en-GB"/>
        </w:rPr>
        <w:t xml:space="preserve"> buildings have a heating demand (HD) close to 15</w:t>
      </w:r>
      <w:r w:rsidR="009A3FD1">
        <w:rPr>
          <w:lang w:val="en-GB"/>
        </w:rPr>
        <w:t> </w:t>
      </w:r>
      <w:r w:rsidR="00E120F0" w:rsidRPr="001823BC">
        <w:rPr>
          <w:lang w:val="en-GB"/>
        </w:rPr>
        <w:t>kWh</w:t>
      </w:r>
      <w:r w:rsidR="00E061C2">
        <w:rPr>
          <w:lang w:val="en-GB"/>
        </w:rPr>
        <w:t> </w:t>
      </w:r>
      <w:r w:rsidR="00E120F0" w:rsidRPr="001823BC">
        <w:rPr>
          <w:lang w:val="en-GB"/>
        </w:rPr>
        <w:t>m</w:t>
      </w:r>
      <w:r w:rsidR="00E061C2" w:rsidRPr="00B50076">
        <w:rPr>
          <w:vertAlign w:val="superscript"/>
          <w:lang w:val="en-GB"/>
        </w:rPr>
        <w:t>-</w:t>
      </w:r>
      <w:r w:rsidR="00E120F0" w:rsidRPr="001823BC">
        <w:rPr>
          <w:lang w:val="en-GB"/>
        </w:rPr>
        <w:t>²</w:t>
      </w:r>
      <w:r w:rsidR="00E120F0">
        <w:rPr>
          <w:lang w:val="en-GB"/>
        </w:rPr>
        <w:t> </w:t>
      </w:r>
      <w:r w:rsidR="00E120F0" w:rsidRPr="001823BC">
        <w:rPr>
          <w:lang w:val="en-GB"/>
        </w:rPr>
        <w:t>a</w:t>
      </w:r>
      <w:r w:rsidR="00E061C2">
        <w:rPr>
          <w:vertAlign w:val="superscript"/>
          <w:lang w:val="en-GB"/>
        </w:rPr>
        <w:t>-1</w:t>
      </w:r>
      <w:r w:rsidR="00E120F0" w:rsidRPr="001823BC">
        <w:rPr>
          <w:lang w:val="en-GB"/>
        </w:rPr>
        <w:t xml:space="preserve">) and a very low heating load (HL) </w:t>
      </w:r>
      <w:r w:rsidR="00B702D4">
        <w:rPr>
          <w:lang w:val="en-GB"/>
        </w:rPr>
        <w:t>below</w:t>
      </w:r>
      <w:r w:rsidR="00E120F0" w:rsidRPr="001823BC">
        <w:rPr>
          <w:lang w:val="en-GB"/>
        </w:rPr>
        <w:t xml:space="preserve"> 15 W</w:t>
      </w:r>
      <w:r w:rsidR="00E061C2">
        <w:rPr>
          <w:lang w:val="en-GB"/>
        </w:rPr>
        <w:t> </w:t>
      </w:r>
      <w:r w:rsidR="00E120F0" w:rsidRPr="001823BC">
        <w:rPr>
          <w:lang w:val="en-GB"/>
        </w:rPr>
        <w:t>m</w:t>
      </w:r>
      <w:r w:rsidR="00E061C2" w:rsidRPr="00B50076">
        <w:rPr>
          <w:vertAlign w:val="superscript"/>
          <w:lang w:val="en-GB"/>
        </w:rPr>
        <w:t>-2</w:t>
      </w:r>
      <w:r w:rsidR="00E120F0" w:rsidRPr="001823BC">
        <w:rPr>
          <w:lang w:val="en-GB"/>
        </w:rPr>
        <w:t>, see Tab. 1.</w:t>
      </w:r>
      <w:r w:rsidR="00E120F0" w:rsidRPr="0020398C">
        <w:rPr>
          <w:lang w:val="en-GB"/>
        </w:rPr>
        <w:t xml:space="preserve"> </w:t>
      </w:r>
    </w:p>
    <w:p w14:paraId="2EE951F8" w14:textId="77777777" w:rsidR="00467394" w:rsidRPr="000A04F8" w:rsidRDefault="00467394" w:rsidP="00E120F0">
      <w:pPr>
        <w:pStyle w:val="SWCText"/>
        <w:rPr>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5226"/>
      </w:tblGrid>
      <w:tr w:rsidR="009A3FD1" w14:paraId="087C39DB" w14:textId="77777777" w:rsidTr="00EF7A77">
        <w:tc>
          <w:tcPr>
            <w:tcW w:w="4071" w:type="dxa"/>
            <w:vAlign w:val="center"/>
          </w:tcPr>
          <w:p w14:paraId="5337DC9A" w14:textId="77777777" w:rsidR="009A3FD1" w:rsidRDefault="009A3FD1" w:rsidP="00EF7A77">
            <w:pPr>
              <w:pStyle w:val="PHI04Figure"/>
              <w:spacing w:before="0" w:line="240" w:lineRule="auto"/>
              <w:contextualSpacing/>
              <w:jc w:val="center"/>
            </w:pPr>
            <w:r>
              <w:rPr>
                <w:noProof/>
              </w:rPr>
              <w:drawing>
                <wp:inline distT="0" distB="0" distL="0" distR="0" wp14:anchorId="207DB944" wp14:editId="02378500">
                  <wp:extent cx="2281870" cy="1475740"/>
                  <wp:effectExtent l="0" t="0" r="4445" b="0"/>
                  <wp:docPr id="5" name="Grafik 5" descr="The figure shows the four buildings of &quot;Campagne&quot;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The figure shows the four buildings of &quot;Campagne&quot; distri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95" t="8934" r="1518" b="1730"/>
                          <a:stretch/>
                        </pic:blipFill>
                        <pic:spPr bwMode="auto">
                          <a:xfrm>
                            <a:off x="0" y="0"/>
                            <a:ext cx="2288548" cy="14800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08" w:type="dxa"/>
          </w:tcPr>
          <w:p w14:paraId="2116F330" w14:textId="77777777" w:rsidR="009A3FD1" w:rsidRDefault="009A3FD1" w:rsidP="009F3C35">
            <w:pPr>
              <w:pStyle w:val="PHI04Figure"/>
              <w:spacing w:before="0" w:line="240" w:lineRule="auto"/>
              <w:contextualSpacing/>
              <w:jc w:val="center"/>
            </w:pPr>
            <w:r>
              <w:rPr>
                <w:noProof/>
              </w:rPr>
              <w:drawing>
                <wp:inline distT="0" distB="0" distL="0" distR="0" wp14:anchorId="367BC95F" wp14:editId="31DDCC3D">
                  <wp:extent cx="3235032" cy="1721594"/>
                  <wp:effectExtent l="0" t="0" r="3810" b="0"/>
                  <wp:docPr id="9" name="Grafik 9" descr="The figure shows a simplified scheme for the heating system of &quot;Campagne&quot; district with district heating and ground-water 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The figure shows a simplified scheme for the heating system of &quot;Campagne&quot; district with district heating and ground-water H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7145" cy="1744006"/>
                          </a:xfrm>
                          <a:prstGeom prst="rect">
                            <a:avLst/>
                          </a:prstGeom>
                          <a:noFill/>
                        </pic:spPr>
                      </pic:pic>
                    </a:graphicData>
                  </a:graphic>
                </wp:inline>
              </w:drawing>
            </w:r>
          </w:p>
        </w:tc>
      </w:tr>
    </w:tbl>
    <w:p w14:paraId="20C429A1" w14:textId="7AEFB632" w:rsidR="009A3FD1" w:rsidRDefault="009A3FD1" w:rsidP="009A3FD1">
      <w:pPr>
        <w:pStyle w:val="SWCTableFigureCaption"/>
        <w:tabs>
          <w:tab w:val="left" w:pos="566"/>
          <w:tab w:val="center" w:pos="4489"/>
        </w:tabs>
        <w:jc w:val="left"/>
      </w:pPr>
      <w:r>
        <w:tab/>
        <w:t xml:space="preserve">Fig. </w:t>
      </w:r>
      <w:r w:rsidRPr="006309AA">
        <w:t>1</w:t>
      </w:r>
      <w:r>
        <w:t>: Block 1 of Campagne areal with the four buildings A, B, C, D in Innsbruck (left, google earth) and heating system (right) with ground water (GW) HP for SH and district heating (DH) for DHW</w:t>
      </w:r>
      <w:r w:rsidR="00BA50FB">
        <w:t xml:space="preserve"> (Ochs et al. 2025)</w:t>
      </w:r>
      <w:r>
        <w:t>.</w:t>
      </w:r>
    </w:p>
    <w:p w14:paraId="5225D30D" w14:textId="1C66C21E" w:rsidR="00B702D4" w:rsidRPr="00067030" w:rsidRDefault="00B702D4" w:rsidP="00B702D4">
      <w:pPr>
        <w:pStyle w:val="SWCTableFigureCaption"/>
      </w:pPr>
      <w:r w:rsidRPr="0072355C">
        <w:t xml:space="preserve">Table 1: </w:t>
      </w:r>
      <w:r>
        <w:t>Treated area (A</w:t>
      </w:r>
      <w:r w:rsidRPr="00067030">
        <w:rPr>
          <w:vertAlign w:val="subscript"/>
        </w:rPr>
        <w:t>T</w:t>
      </w:r>
      <w:r>
        <w:t>), heating demand (HD)</w:t>
      </w:r>
      <w:r w:rsidR="00FB0E9E">
        <w:t>,</w:t>
      </w:r>
      <w:r>
        <w:t xml:space="preserve"> heating load (HL)</w:t>
      </w:r>
      <w:r w:rsidR="00FB0E9E">
        <w:t xml:space="preserve"> and DHW </w:t>
      </w:r>
      <w:r>
        <w:t>for the</w:t>
      </w:r>
      <w:r w:rsidR="00FB0E9E">
        <w:t xml:space="preserve"> 4</w:t>
      </w:r>
      <w:r>
        <w:t xml:space="preserve"> buildings: A, B, C, D (Ochs et al. 2026)</w:t>
      </w:r>
    </w:p>
    <w:tbl>
      <w:tblPr>
        <w:tblW w:w="54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2556"/>
        <w:gridCol w:w="1795"/>
        <w:gridCol w:w="1794"/>
        <w:gridCol w:w="1794"/>
        <w:gridCol w:w="1792"/>
      </w:tblGrid>
      <w:tr w:rsidR="00B702D4" w:rsidRPr="0072355C" w14:paraId="1B940EA7" w14:textId="77777777" w:rsidTr="00FB0E9E">
        <w:trPr>
          <w:cantSplit/>
        </w:trPr>
        <w:tc>
          <w:tcPr>
            <w:tcW w:w="1313" w:type="pct"/>
            <w:shd w:val="clear" w:color="auto" w:fill="auto"/>
            <w:vAlign w:val="center"/>
          </w:tcPr>
          <w:p w14:paraId="101E8DA4" w14:textId="5720DC10" w:rsidR="00B702D4" w:rsidRPr="0072355C" w:rsidRDefault="00FB0E9E" w:rsidP="009F3C35">
            <w:pPr>
              <w:pStyle w:val="SWCTableHeader"/>
            </w:pPr>
            <w:r>
              <w:t xml:space="preserve">Building </w:t>
            </w:r>
            <w:r w:rsidRPr="00FB0E9E">
              <w:rPr>
                <w:b w:val="0"/>
              </w:rPr>
              <w:t>(Treated Area / m²)</w:t>
            </w:r>
          </w:p>
        </w:tc>
        <w:tc>
          <w:tcPr>
            <w:tcW w:w="922" w:type="pct"/>
            <w:vAlign w:val="center"/>
          </w:tcPr>
          <w:p w14:paraId="7F2C7FFA" w14:textId="291B7E44" w:rsidR="00B702D4" w:rsidRDefault="00B702D4" w:rsidP="009F3C35">
            <w:pPr>
              <w:pStyle w:val="SWCTableHeader"/>
            </w:pPr>
            <w:r>
              <w:t>A</w:t>
            </w:r>
            <w:r w:rsidR="00FB0E9E">
              <w:t xml:space="preserve"> (</w:t>
            </w:r>
            <w:r w:rsidR="00FB0E9E" w:rsidRPr="00067030">
              <w:rPr>
                <w:b w:val="0"/>
              </w:rPr>
              <w:t>6686</w:t>
            </w:r>
            <w:r w:rsidR="00FB0E9E">
              <w:rPr>
                <w:b w:val="0"/>
              </w:rPr>
              <w:t>)</w:t>
            </w:r>
          </w:p>
        </w:tc>
        <w:tc>
          <w:tcPr>
            <w:tcW w:w="922" w:type="pct"/>
            <w:vAlign w:val="center"/>
          </w:tcPr>
          <w:p w14:paraId="69368AE3" w14:textId="6EC67579" w:rsidR="00B702D4" w:rsidRDefault="00B702D4" w:rsidP="009F3C35">
            <w:pPr>
              <w:pStyle w:val="SWCTableHeader"/>
            </w:pPr>
            <w:r>
              <w:t>B</w:t>
            </w:r>
            <w:r w:rsidR="00FB0E9E">
              <w:t xml:space="preserve"> </w:t>
            </w:r>
            <w:r w:rsidR="00FB0E9E" w:rsidRPr="00FB0E9E">
              <w:rPr>
                <w:b w:val="0"/>
              </w:rPr>
              <w:t>(</w:t>
            </w:r>
            <w:r w:rsidR="00FB0E9E" w:rsidRPr="00067030">
              <w:rPr>
                <w:b w:val="0"/>
              </w:rPr>
              <w:t>6525</w:t>
            </w:r>
            <w:r w:rsidR="00FB0E9E">
              <w:rPr>
                <w:b w:val="0"/>
              </w:rPr>
              <w:t>)</w:t>
            </w:r>
          </w:p>
        </w:tc>
        <w:tc>
          <w:tcPr>
            <w:tcW w:w="922" w:type="pct"/>
            <w:shd w:val="clear" w:color="auto" w:fill="auto"/>
            <w:vAlign w:val="center"/>
          </w:tcPr>
          <w:p w14:paraId="6C7B040C" w14:textId="2F0175C5" w:rsidR="00B702D4" w:rsidRPr="0072355C" w:rsidRDefault="00B702D4" w:rsidP="009F3C35">
            <w:pPr>
              <w:pStyle w:val="SWCTableHeader"/>
            </w:pPr>
            <w:r>
              <w:t>C</w:t>
            </w:r>
            <w:r w:rsidR="00FB0E9E">
              <w:t xml:space="preserve"> </w:t>
            </w:r>
            <w:r w:rsidR="00FB0E9E" w:rsidRPr="00FB0E9E">
              <w:rPr>
                <w:b w:val="0"/>
              </w:rPr>
              <w:t>(</w:t>
            </w:r>
            <w:r w:rsidR="00FB0E9E" w:rsidRPr="00067030">
              <w:rPr>
                <w:b w:val="0"/>
              </w:rPr>
              <w:t>3587</w:t>
            </w:r>
            <w:r w:rsidR="00FB0E9E" w:rsidRPr="00FB0E9E">
              <w:rPr>
                <w:b w:val="0"/>
              </w:rPr>
              <w:t>)</w:t>
            </w:r>
          </w:p>
        </w:tc>
        <w:tc>
          <w:tcPr>
            <w:tcW w:w="921" w:type="pct"/>
            <w:shd w:val="clear" w:color="auto" w:fill="auto"/>
            <w:vAlign w:val="center"/>
          </w:tcPr>
          <w:p w14:paraId="46573B8B" w14:textId="477506D4" w:rsidR="00B702D4" w:rsidRDefault="00B702D4" w:rsidP="009F3C35">
            <w:pPr>
              <w:pStyle w:val="SWCTableHeader"/>
            </w:pPr>
            <w:r>
              <w:t>D</w:t>
            </w:r>
            <w:r w:rsidR="00FB0E9E">
              <w:t xml:space="preserve"> </w:t>
            </w:r>
            <w:r w:rsidR="00FB0E9E" w:rsidRPr="00FB0E9E">
              <w:rPr>
                <w:b w:val="0"/>
              </w:rPr>
              <w:t>(</w:t>
            </w:r>
            <w:r w:rsidR="00FB0E9E" w:rsidRPr="00067030">
              <w:rPr>
                <w:b w:val="0"/>
              </w:rPr>
              <w:t>5479</w:t>
            </w:r>
            <w:r w:rsidR="00FB0E9E">
              <w:rPr>
                <w:b w:val="0"/>
              </w:rPr>
              <w:t>)</w:t>
            </w:r>
          </w:p>
        </w:tc>
      </w:tr>
      <w:tr w:rsidR="00B702D4" w:rsidRPr="0072355C" w14:paraId="2B288B1F" w14:textId="77777777" w:rsidTr="00FB0E9E">
        <w:trPr>
          <w:cantSplit/>
        </w:trPr>
        <w:tc>
          <w:tcPr>
            <w:tcW w:w="1313" w:type="pct"/>
            <w:shd w:val="clear" w:color="auto" w:fill="auto"/>
            <w:vAlign w:val="center"/>
          </w:tcPr>
          <w:p w14:paraId="4B23BA89" w14:textId="77777777" w:rsidR="00B702D4" w:rsidRPr="00067030" w:rsidRDefault="00B702D4" w:rsidP="009F3C35">
            <w:pPr>
              <w:pStyle w:val="SWCTableHeader"/>
              <w:rPr>
                <w:b w:val="0"/>
              </w:rPr>
            </w:pPr>
            <w:r w:rsidRPr="00067030">
              <w:rPr>
                <w:b w:val="0"/>
              </w:rPr>
              <w:t>HD / [kWh/(m² a)]</w:t>
            </w:r>
          </w:p>
        </w:tc>
        <w:tc>
          <w:tcPr>
            <w:tcW w:w="922" w:type="pct"/>
            <w:vAlign w:val="center"/>
          </w:tcPr>
          <w:p w14:paraId="34B7EE24" w14:textId="77777777" w:rsidR="00B702D4" w:rsidRPr="00067030" w:rsidRDefault="00B702D4" w:rsidP="009F3C35">
            <w:pPr>
              <w:pStyle w:val="SWCTableHeader"/>
              <w:rPr>
                <w:b w:val="0"/>
              </w:rPr>
            </w:pPr>
            <w:r w:rsidRPr="00067030">
              <w:rPr>
                <w:b w:val="0"/>
              </w:rPr>
              <w:t>15.3</w:t>
            </w:r>
          </w:p>
        </w:tc>
        <w:tc>
          <w:tcPr>
            <w:tcW w:w="922" w:type="pct"/>
            <w:vAlign w:val="center"/>
          </w:tcPr>
          <w:p w14:paraId="0F37A2CA" w14:textId="77777777" w:rsidR="00B702D4" w:rsidRPr="00067030" w:rsidRDefault="00B702D4" w:rsidP="009F3C35">
            <w:pPr>
              <w:pStyle w:val="SWCTableHeader"/>
              <w:rPr>
                <w:b w:val="0"/>
              </w:rPr>
            </w:pPr>
            <w:r w:rsidRPr="00067030">
              <w:rPr>
                <w:b w:val="0"/>
              </w:rPr>
              <w:t>15.0</w:t>
            </w:r>
          </w:p>
        </w:tc>
        <w:tc>
          <w:tcPr>
            <w:tcW w:w="922" w:type="pct"/>
            <w:shd w:val="clear" w:color="auto" w:fill="auto"/>
            <w:vAlign w:val="center"/>
          </w:tcPr>
          <w:p w14:paraId="646CCC57" w14:textId="77777777" w:rsidR="00B702D4" w:rsidRPr="00067030" w:rsidRDefault="00B702D4" w:rsidP="009F3C35">
            <w:pPr>
              <w:pStyle w:val="SWCTableHeader"/>
              <w:rPr>
                <w:b w:val="0"/>
              </w:rPr>
            </w:pPr>
            <w:r w:rsidRPr="00067030">
              <w:rPr>
                <w:b w:val="0"/>
              </w:rPr>
              <w:t>20.0</w:t>
            </w:r>
          </w:p>
        </w:tc>
        <w:tc>
          <w:tcPr>
            <w:tcW w:w="921" w:type="pct"/>
            <w:shd w:val="clear" w:color="auto" w:fill="auto"/>
            <w:vAlign w:val="center"/>
          </w:tcPr>
          <w:p w14:paraId="3CE7FED8" w14:textId="77777777" w:rsidR="00B702D4" w:rsidRPr="00067030" w:rsidRDefault="00B702D4" w:rsidP="009F3C35">
            <w:pPr>
              <w:pStyle w:val="SWCTableHeader"/>
              <w:rPr>
                <w:b w:val="0"/>
              </w:rPr>
            </w:pPr>
            <w:r w:rsidRPr="00067030">
              <w:rPr>
                <w:b w:val="0"/>
              </w:rPr>
              <w:t>16.0</w:t>
            </w:r>
          </w:p>
        </w:tc>
      </w:tr>
      <w:tr w:rsidR="00B702D4" w:rsidRPr="0072355C" w14:paraId="134EE873" w14:textId="77777777" w:rsidTr="00FB0E9E">
        <w:trPr>
          <w:cantSplit/>
        </w:trPr>
        <w:tc>
          <w:tcPr>
            <w:tcW w:w="1313" w:type="pct"/>
            <w:shd w:val="clear" w:color="auto" w:fill="auto"/>
            <w:vAlign w:val="center"/>
          </w:tcPr>
          <w:p w14:paraId="4D6DF841" w14:textId="77777777" w:rsidR="00B702D4" w:rsidRPr="00067030" w:rsidRDefault="00B702D4" w:rsidP="009F3C35">
            <w:pPr>
              <w:pStyle w:val="SWCTableHeader"/>
              <w:rPr>
                <w:b w:val="0"/>
              </w:rPr>
            </w:pPr>
            <w:r w:rsidRPr="00067030">
              <w:rPr>
                <w:b w:val="0"/>
              </w:rPr>
              <w:t>HL / [W/m²]</w:t>
            </w:r>
          </w:p>
        </w:tc>
        <w:tc>
          <w:tcPr>
            <w:tcW w:w="922" w:type="pct"/>
            <w:vAlign w:val="center"/>
          </w:tcPr>
          <w:p w14:paraId="0ED9C735" w14:textId="77777777" w:rsidR="00B702D4" w:rsidRPr="00067030" w:rsidRDefault="00B702D4" w:rsidP="009F3C35">
            <w:pPr>
              <w:pStyle w:val="SWCTableHeader"/>
              <w:rPr>
                <w:b w:val="0"/>
              </w:rPr>
            </w:pPr>
            <w:r w:rsidRPr="00067030">
              <w:rPr>
                <w:b w:val="0"/>
              </w:rPr>
              <w:t>11.9</w:t>
            </w:r>
          </w:p>
        </w:tc>
        <w:tc>
          <w:tcPr>
            <w:tcW w:w="922" w:type="pct"/>
            <w:vAlign w:val="center"/>
          </w:tcPr>
          <w:p w14:paraId="53BBFDD1" w14:textId="77777777" w:rsidR="00B702D4" w:rsidRPr="00067030" w:rsidRDefault="00B702D4" w:rsidP="009F3C35">
            <w:pPr>
              <w:pStyle w:val="SWCTableHeader"/>
              <w:rPr>
                <w:b w:val="0"/>
              </w:rPr>
            </w:pPr>
            <w:r w:rsidRPr="00067030">
              <w:rPr>
                <w:b w:val="0"/>
              </w:rPr>
              <w:t>11.5</w:t>
            </w:r>
          </w:p>
        </w:tc>
        <w:tc>
          <w:tcPr>
            <w:tcW w:w="922" w:type="pct"/>
            <w:shd w:val="clear" w:color="auto" w:fill="auto"/>
            <w:vAlign w:val="center"/>
          </w:tcPr>
          <w:p w14:paraId="6E05124A" w14:textId="77777777" w:rsidR="00B702D4" w:rsidRPr="00067030" w:rsidRDefault="00B702D4" w:rsidP="009F3C35">
            <w:pPr>
              <w:pStyle w:val="SWCTableHeader"/>
              <w:rPr>
                <w:b w:val="0"/>
              </w:rPr>
            </w:pPr>
            <w:r w:rsidRPr="00067030">
              <w:rPr>
                <w:b w:val="0"/>
              </w:rPr>
              <w:t>15.1</w:t>
            </w:r>
          </w:p>
        </w:tc>
        <w:tc>
          <w:tcPr>
            <w:tcW w:w="921" w:type="pct"/>
            <w:shd w:val="clear" w:color="auto" w:fill="auto"/>
            <w:vAlign w:val="center"/>
          </w:tcPr>
          <w:p w14:paraId="539B9924" w14:textId="77777777" w:rsidR="00B702D4" w:rsidRPr="00067030" w:rsidRDefault="00B702D4" w:rsidP="009F3C35">
            <w:pPr>
              <w:pStyle w:val="SWCTableHeader"/>
              <w:rPr>
                <w:b w:val="0"/>
              </w:rPr>
            </w:pPr>
            <w:r w:rsidRPr="00067030">
              <w:rPr>
                <w:b w:val="0"/>
              </w:rPr>
              <w:t>12.8</w:t>
            </w:r>
          </w:p>
        </w:tc>
      </w:tr>
      <w:tr w:rsidR="00FB0E9E" w:rsidRPr="0072355C" w14:paraId="0120600E" w14:textId="77777777" w:rsidTr="00FB0E9E">
        <w:trPr>
          <w:cantSplit/>
        </w:trPr>
        <w:tc>
          <w:tcPr>
            <w:tcW w:w="1313" w:type="pct"/>
            <w:shd w:val="clear" w:color="auto" w:fill="auto"/>
            <w:vAlign w:val="center"/>
          </w:tcPr>
          <w:p w14:paraId="2CBBC5B1" w14:textId="12FEF1F6" w:rsidR="00FB0E9E" w:rsidRPr="00067030" w:rsidRDefault="00FB0E9E" w:rsidP="009F3C35">
            <w:pPr>
              <w:pStyle w:val="SWCTableHeader"/>
              <w:rPr>
                <w:b w:val="0"/>
              </w:rPr>
            </w:pPr>
            <w:r>
              <w:rPr>
                <w:b w:val="0"/>
              </w:rPr>
              <w:t xml:space="preserve">DHW / </w:t>
            </w:r>
            <w:r w:rsidRPr="00067030">
              <w:rPr>
                <w:b w:val="0"/>
              </w:rPr>
              <w:t>[kWh/(m² a)]</w:t>
            </w:r>
          </w:p>
        </w:tc>
        <w:tc>
          <w:tcPr>
            <w:tcW w:w="922" w:type="pct"/>
            <w:vAlign w:val="center"/>
          </w:tcPr>
          <w:p w14:paraId="3A9BF32A" w14:textId="7E7F9B7A" w:rsidR="00FB0E9E" w:rsidRPr="00067030" w:rsidRDefault="00FB0E9E" w:rsidP="009F3C35">
            <w:pPr>
              <w:pStyle w:val="SWCTableHeader"/>
              <w:rPr>
                <w:b w:val="0"/>
              </w:rPr>
            </w:pPr>
            <w:r>
              <w:rPr>
                <w:b w:val="0"/>
              </w:rPr>
              <w:t>15</w:t>
            </w:r>
          </w:p>
        </w:tc>
        <w:tc>
          <w:tcPr>
            <w:tcW w:w="922" w:type="pct"/>
            <w:vAlign w:val="center"/>
          </w:tcPr>
          <w:p w14:paraId="0BCC6043" w14:textId="41240A1F" w:rsidR="00FB0E9E" w:rsidRPr="00067030" w:rsidRDefault="00FB0E9E" w:rsidP="009F3C35">
            <w:pPr>
              <w:pStyle w:val="SWCTableHeader"/>
              <w:rPr>
                <w:b w:val="0"/>
              </w:rPr>
            </w:pPr>
            <w:r>
              <w:rPr>
                <w:b w:val="0"/>
              </w:rPr>
              <w:t>15</w:t>
            </w:r>
          </w:p>
        </w:tc>
        <w:tc>
          <w:tcPr>
            <w:tcW w:w="922" w:type="pct"/>
            <w:shd w:val="clear" w:color="auto" w:fill="auto"/>
            <w:vAlign w:val="center"/>
          </w:tcPr>
          <w:p w14:paraId="3A95A130" w14:textId="1EA51F3B" w:rsidR="00FB0E9E" w:rsidRPr="00067030" w:rsidRDefault="00FB0E9E" w:rsidP="009F3C35">
            <w:pPr>
              <w:pStyle w:val="SWCTableHeader"/>
              <w:rPr>
                <w:b w:val="0"/>
              </w:rPr>
            </w:pPr>
            <w:r>
              <w:rPr>
                <w:b w:val="0"/>
              </w:rPr>
              <w:t>15</w:t>
            </w:r>
          </w:p>
        </w:tc>
        <w:tc>
          <w:tcPr>
            <w:tcW w:w="921" w:type="pct"/>
            <w:shd w:val="clear" w:color="auto" w:fill="auto"/>
            <w:vAlign w:val="center"/>
          </w:tcPr>
          <w:p w14:paraId="195586C8" w14:textId="3FABD75A" w:rsidR="00FB0E9E" w:rsidRPr="00067030" w:rsidRDefault="00FB0E9E" w:rsidP="009F3C35">
            <w:pPr>
              <w:pStyle w:val="SWCTableHeader"/>
              <w:rPr>
                <w:b w:val="0"/>
              </w:rPr>
            </w:pPr>
            <w:r>
              <w:rPr>
                <w:b w:val="0"/>
              </w:rPr>
              <w:t>15</w:t>
            </w:r>
          </w:p>
        </w:tc>
      </w:tr>
    </w:tbl>
    <w:p w14:paraId="063F17E2" w14:textId="5D469A4F" w:rsidR="0064403B" w:rsidRDefault="00F43252" w:rsidP="00F43252">
      <w:pPr>
        <w:pStyle w:val="SWCHeading11"/>
      </w:pPr>
      <w:r>
        <w:lastRenderedPageBreak/>
        <w:t>2.</w:t>
      </w:r>
      <w:r w:rsidR="00EF7A77">
        <w:t>2</w:t>
      </w:r>
      <w:r>
        <w:t xml:space="preserve"> Monitoring</w:t>
      </w:r>
    </w:p>
    <w:p w14:paraId="7401380B" w14:textId="0B0B0CD2" w:rsidR="00F43252" w:rsidRDefault="00766B28" w:rsidP="00A44D3D">
      <w:pPr>
        <w:pStyle w:val="SWCText"/>
      </w:pPr>
      <w:r>
        <w:t>D</w:t>
      </w:r>
      <w:r w:rsidR="00EA218B">
        <w:t>HW</w:t>
      </w:r>
      <w:r>
        <w:t xml:space="preserve"> demand</w:t>
      </w:r>
      <w:r w:rsidR="00035B2D">
        <w:t xml:space="preserve"> is monitored in detail in each of the 5</w:t>
      </w:r>
      <w:r w:rsidR="00454AFF">
        <w:t>2</w:t>
      </w:r>
      <w:r w:rsidR="00035B2D">
        <w:t xml:space="preserve"> flats of building C (on the primary side of the </w:t>
      </w:r>
      <w:r w:rsidR="00EA218B">
        <w:t>FWS</w:t>
      </w:r>
      <w:r w:rsidR="00035B2D">
        <w:t xml:space="preserve">). Load patterns are analyzed </w:t>
      </w:r>
      <w:r>
        <w:t>and distribution</w:t>
      </w:r>
      <w:r w:rsidR="000167A4">
        <w:t xml:space="preserve"> </w:t>
      </w:r>
      <w:r w:rsidR="00035B2D">
        <w:t xml:space="preserve">losses can be determined as a difference between the heat meter in the heating central, in each building and in building C the sum of all flats. The simultaneity factor is used to determine the required sizing of components in the capacity of the HP and other equipment such as volume of the buffer and size of heat exchanger. </w:t>
      </w:r>
    </w:p>
    <w:p w14:paraId="5D58134B" w14:textId="642002D7" w:rsidR="00F43252" w:rsidRDefault="00EA218B" w:rsidP="00F43252">
      <w:pPr>
        <w:pStyle w:val="SWCHeading11"/>
      </w:pPr>
      <w:r>
        <w:t>2</w:t>
      </w:r>
      <w:r w:rsidR="00F43252">
        <w:t>.</w:t>
      </w:r>
      <w:r w:rsidR="00EF7A77">
        <w:t>3</w:t>
      </w:r>
      <w:r w:rsidR="00F43252">
        <w:t xml:space="preserve"> Simulation</w:t>
      </w:r>
    </w:p>
    <w:p w14:paraId="3EAA30B3" w14:textId="555BB2BC" w:rsidR="008A10B7" w:rsidRDefault="008A10B7" w:rsidP="00F352E6">
      <w:pPr>
        <w:pStyle w:val="SWCHeading11"/>
      </w:pPr>
      <w:r>
        <w:t>Simulation Model</w:t>
      </w:r>
    </w:p>
    <w:p w14:paraId="16A7907C" w14:textId="38F05B85" w:rsidR="008A10B7" w:rsidRPr="00BA50FB" w:rsidRDefault="008A10B7" w:rsidP="00BA50FB">
      <w:pPr>
        <w:pStyle w:val="SWCText"/>
      </w:pPr>
      <w:r w:rsidRPr="00BA50FB">
        <w:t>The s</w:t>
      </w:r>
      <w:r w:rsidR="00B55CC9" w:rsidRPr="00BA50FB">
        <w:t>imulation model</w:t>
      </w:r>
      <w:r w:rsidR="00B23C18">
        <w:t xml:space="preserve"> implemented in Matlab/Simulink</w:t>
      </w:r>
      <w:r w:rsidR="00B55CC9" w:rsidRPr="00BA50FB">
        <w:t xml:space="preserve"> is modular and consists of </w:t>
      </w:r>
      <w:r w:rsidR="00991C81">
        <w:t>four</w:t>
      </w:r>
      <w:r w:rsidR="00B55CC9" w:rsidRPr="00BA50FB">
        <w:t xml:space="preserve"> main parts.</w:t>
      </w:r>
    </w:p>
    <w:p w14:paraId="2F2242F1" w14:textId="4A5715FB" w:rsidR="00B55CC9" w:rsidRPr="00BA50FB" w:rsidRDefault="00BA50FB" w:rsidP="00BA50FB">
      <w:pPr>
        <w:pStyle w:val="SWCBulletedList"/>
      </w:pPr>
      <w:r w:rsidRPr="00BA50FB">
        <w:t>Flat level: t</w:t>
      </w:r>
      <w:r w:rsidR="00B55CC9" w:rsidRPr="00BA50FB">
        <w:t xml:space="preserve">apping profile </w:t>
      </w:r>
      <w:r w:rsidRPr="00BA50FB">
        <w:t>- useful energy (thermal)</w:t>
      </w:r>
    </w:p>
    <w:p w14:paraId="4F1A66B6" w14:textId="634352DF" w:rsidR="00BA50FB" w:rsidRPr="00BA50FB" w:rsidRDefault="00BA50FB" w:rsidP="00BA50FB">
      <w:pPr>
        <w:pStyle w:val="SWCBulletedList"/>
      </w:pPr>
      <w:r w:rsidRPr="00BA50FB">
        <w:t>Building level: distribution – thermal losses</w:t>
      </w:r>
    </w:p>
    <w:p w14:paraId="41978CC1" w14:textId="1713ABD6" w:rsidR="00991C81" w:rsidRDefault="00BA50FB" w:rsidP="00BA50FB">
      <w:pPr>
        <w:pStyle w:val="SWCBulletedList"/>
      </w:pPr>
      <w:r w:rsidRPr="00BA50FB">
        <w:t>Technical room: Storage</w:t>
      </w:r>
      <w:r w:rsidR="00991C81">
        <w:t xml:space="preserve"> and DHW Heat Exchanger</w:t>
      </w:r>
      <w:r w:rsidRPr="00BA50FB">
        <w:t xml:space="preserve"> </w:t>
      </w:r>
    </w:p>
    <w:p w14:paraId="6C04310A" w14:textId="124EDF03" w:rsidR="00BA50FB" w:rsidRPr="00BA50FB" w:rsidRDefault="00991C81" w:rsidP="00BA50FB">
      <w:pPr>
        <w:pStyle w:val="SWCBulletedList"/>
      </w:pPr>
      <w:r>
        <w:t xml:space="preserve">Heat pump </w:t>
      </w:r>
      <w:r w:rsidR="00BA50FB" w:rsidRPr="00BA50FB">
        <w:t>and generation (</w:t>
      </w:r>
      <w:r>
        <w:t xml:space="preserve">A/W or B/W </w:t>
      </w:r>
      <w:r w:rsidR="00BA50FB" w:rsidRPr="00BA50FB">
        <w:t>heat pump) – delivered energy (thermal and electric)</w:t>
      </w:r>
    </w:p>
    <w:p w14:paraId="2808A213" w14:textId="0A28F73C" w:rsidR="00BA50FB" w:rsidRPr="00BA50FB" w:rsidRDefault="00BA50FB" w:rsidP="00BA50FB">
      <w:pPr>
        <w:pStyle w:val="SWCText"/>
      </w:pPr>
      <w:r w:rsidRPr="00BA50FB">
        <w:t xml:space="preserve">The concept of the simulation model with the main components is schematically shown in Fig. </w:t>
      </w:r>
      <w:r>
        <w:t>2. Different number of flats per staircase and different number of parallel staircases can be considered. Currently up to 50 flats with individual tapping cycles were implemented.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485"/>
      </w:tblGrid>
      <w:tr w:rsidR="00FC74C2" w:rsidRPr="00181A06" w14:paraId="34E100B8" w14:textId="77777777" w:rsidTr="00991C81">
        <w:tc>
          <w:tcPr>
            <w:tcW w:w="4484" w:type="dxa"/>
          </w:tcPr>
          <w:p w14:paraId="62AC2B78" w14:textId="0C8D9970" w:rsidR="00181A06" w:rsidRPr="00181A06" w:rsidRDefault="00FC74C2" w:rsidP="00181A06">
            <w:pPr>
              <w:jc w:val="center"/>
              <w:rPr>
                <w:lang w:val="en-GB"/>
              </w:rPr>
            </w:pPr>
            <w:r w:rsidRPr="00FC74C2">
              <w:rPr>
                <w:noProof/>
              </w:rPr>
              <w:drawing>
                <wp:inline distT="0" distB="0" distL="0" distR="0" wp14:anchorId="2FE13624" wp14:editId="1DF5C475">
                  <wp:extent cx="1908000" cy="1775976"/>
                  <wp:effectExtent l="0" t="0" r="0" b="0"/>
                  <wp:docPr id="83" name="Grafik 4">
                    <a:extLst xmlns:a="http://schemas.openxmlformats.org/drawingml/2006/main">
                      <a:ext uri="{FF2B5EF4-FFF2-40B4-BE49-F238E27FC236}">
                        <a16:creationId xmlns:a16="http://schemas.microsoft.com/office/drawing/2014/main" id="{5271FD57-5781-03E2-D8B1-F74ABF987F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5271FD57-5781-03E2-D8B1-F74ABF987F86}"/>
                              </a:ext>
                            </a:extLst>
                          </pic:cNvPr>
                          <pic:cNvPicPr>
                            <a:picLocks noChangeAspect="1"/>
                          </pic:cNvPicPr>
                        </pic:nvPicPr>
                        <pic:blipFill>
                          <a:blip r:embed="rId10"/>
                          <a:stretch>
                            <a:fillRect/>
                          </a:stretch>
                        </pic:blipFill>
                        <pic:spPr>
                          <a:xfrm>
                            <a:off x="0" y="0"/>
                            <a:ext cx="1908000" cy="1775976"/>
                          </a:xfrm>
                          <a:prstGeom prst="rect">
                            <a:avLst/>
                          </a:prstGeom>
                        </pic:spPr>
                      </pic:pic>
                    </a:graphicData>
                  </a:graphic>
                </wp:inline>
              </w:drawing>
            </w:r>
            <w:r w:rsidR="00EF7A77">
              <w:rPr>
                <w:noProof/>
              </w:rPr>
              <mc:AlternateContent>
                <mc:Choice Requires="wpg">
                  <w:drawing>
                    <wp:anchor distT="0" distB="0" distL="114300" distR="114300" simplePos="0" relativeHeight="251664384" behindDoc="0" locked="0" layoutInCell="1" allowOverlap="1" wp14:anchorId="29012DE7" wp14:editId="4264E4BD">
                      <wp:simplePos x="0" y="0"/>
                      <wp:positionH relativeFrom="column">
                        <wp:posOffset>554990</wp:posOffset>
                      </wp:positionH>
                      <wp:positionV relativeFrom="paragraph">
                        <wp:posOffset>1796498</wp:posOffset>
                      </wp:positionV>
                      <wp:extent cx="3947160" cy="176530"/>
                      <wp:effectExtent l="0" t="0" r="0" b="0"/>
                      <wp:wrapNone/>
                      <wp:docPr id="12" name="Gruppieren 12"/>
                      <wp:cNvGraphicFramePr/>
                      <a:graphic xmlns:a="http://schemas.openxmlformats.org/drawingml/2006/main">
                        <a:graphicData uri="http://schemas.microsoft.com/office/word/2010/wordprocessingGroup">
                          <wpg:wgp>
                            <wpg:cNvGrpSpPr/>
                            <wpg:grpSpPr>
                              <a:xfrm>
                                <a:off x="0" y="0"/>
                                <a:ext cx="3947160" cy="176530"/>
                                <a:chOff x="0" y="0"/>
                                <a:chExt cx="3947160" cy="217967"/>
                              </a:xfrm>
                            </wpg:grpSpPr>
                            <wps:wsp>
                              <wps:cNvPr id="57" name="Textfeld 57"/>
                              <wps:cNvSpPr txBox="1"/>
                              <wps:spPr>
                                <a:xfrm>
                                  <a:off x="0" y="0"/>
                                  <a:ext cx="1055370" cy="217967"/>
                                </a:xfrm>
                                <a:prstGeom prst="rect">
                                  <a:avLst/>
                                </a:prstGeom>
                                <a:solidFill>
                                  <a:schemeClr val="bg1"/>
                                </a:solidFill>
                                <a:ln w="6350">
                                  <a:noFill/>
                                </a:ln>
                              </wps:spPr>
                              <wps:txbx>
                                <w:txbxContent>
                                  <w:p w14:paraId="59F7FACC" w14:textId="728E86FC" w:rsidR="00181A06" w:rsidRPr="00EF7A77" w:rsidRDefault="00181A06">
                                    <w:pPr>
                                      <w:rPr>
                                        <w:b/>
                                        <w:color w:val="000000"/>
                                        <w:sz w:val="12"/>
                                        <w:szCs w:val="12"/>
                                        <w:lang w:val="en-US"/>
                                      </w:rPr>
                                    </w:pPr>
                                    <w:r w:rsidRPr="00EF7A77">
                                      <w:rPr>
                                        <w:b/>
                                        <w:color w:val="000000"/>
                                        <w:sz w:val="12"/>
                                        <w:szCs w:val="12"/>
                                        <w:lang w:val="en-US"/>
                                      </w:rPr>
                                      <w:t>A/W-HP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feld 11"/>
                              <wps:cNvSpPr txBox="1"/>
                              <wps:spPr>
                                <a:xfrm>
                                  <a:off x="2891790" y="0"/>
                                  <a:ext cx="1055370" cy="217805"/>
                                </a:xfrm>
                                <a:prstGeom prst="rect">
                                  <a:avLst/>
                                </a:prstGeom>
                                <a:solidFill>
                                  <a:schemeClr val="bg1"/>
                                </a:solidFill>
                                <a:ln w="6350">
                                  <a:noFill/>
                                </a:ln>
                              </wps:spPr>
                              <wps:txbx>
                                <w:txbxContent>
                                  <w:p w14:paraId="2F8413F2" w14:textId="59F0DB65" w:rsidR="00991C81" w:rsidRPr="00EF7A77" w:rsidRDefault="00991C81" w:rsidP="00991C81">
                                    <w:pPr>
                                      <w:rPr>
                                        <w:b/>
                                        <w:color w:val="000000"/>
                                        <w:sz w:val="12"/>
                                        <w:szCs w:val="12"/>
                                        <w:lang w:val="en-US"/>
                                      </w:rPr>
                                    </w:pPr>
                                    <w:r w:rsidRPr="00EF7A77">
                                      <w:rPr>
                                        <w:b/>
                                        <w:color w:val="000000"/>
                                        <w:sz w:val="12"/>
                                        <w:szCs w:val="12"/>
                                        <w:lang w:val="en-US"/>
                                      </w:rPr>
                                      <w:t>B/W-HP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012DE7" id="Gruppieren 12" o:spid="_x0000_s1026" style="position:absolute;left:0;text-align:left;margin-left:43.7pt;margin-top:141.45pt;width:310.8pt;height:13.9pt;z-index:251664384;mso-width-relative:margin;mso-height-relative:margin" coordsize="39471,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">
                      <v:shapetype id="_x0000_t202" coordsize="21600,21600" o:spt="202" path="m,l,21600r21600,l21600,xe">
                        <v:stroke joinstyle="miter"/>
                        <v:path gradientshapeok="t" o:connecttype="rect"/>
                      </v:shapetype>
                      <v:shape id="Textfeld 57" o:spid="_x0000_s1027" type="#_x0000_t202" style="position:absolute;width:10553;height:2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" fillcolor="white [3212]" stroked="f" strokeweight=".5pt">
                        <v:textbox>
                          <w:txbxContent>
                            <w:p w14:paraId="59F7FACC" w14:textId="728E86FC" w:rsidR="00181A06" w:rsidRPr="00EF7A77" w:rsidRDefault="00181A06">
                              <w:pPr>
                                <w:rPr>
                                  <w:b/>
                                  <w:color w:val="000000"/>
                                  <w:sz w:val="12"/>
                                  <w:szCs w:val="12"/>
                                  <w:lang w:val="en-US"/>
                                </w:rPr>
                              </w:pPr>
                              <w:r w:rsidRPr="00EF7A77">
                                <w:rPr>
                                  <w:b/>
                                  <w:color w:val="000000"/>
                                  <w:sz w:val="12"/>
                                  <w:szCs w:val="12"/>
                                  <w:lang w:val="en-US"/>
                                </w:rPr>
                                <w:t>A/W-HP System</w:t>
                              </w:r>
                            </w:p>
                          </w:txbxContent>
                        </v:textbox>
                      </v:shape>
                      <v:shape id="Textfeld 11" o:spid="_x0000_s1028" type="#_x0000_t202" style="position:absolute;left:28917;width:10554;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" fillcolor="white [3212]" stroked="f" strokeweight=".5pt">
                        <v:textbox>
                          <w:txbxContent>
                            <w:p w14:paraId="2F8413F2" w14:textId="59F0DB65" w:rsidR="00991C81" w:rsidRPr="00EF7A77" w:rsidRDefault="00991C81" w:rsidP="00991C81">
                              <w:pPr>
                                <w:rPr>
                                  <w:b/>
                                  <w:color w:val="000000"/>
                                  <w:sz w:val="12"/>
                                  <w:szCs w:val="12"/>
                                  <w:lang w:val="en-US"/>
                                </w:rPr>
                              </w:pPr>
                              <w:r w:rsidRPr="00EF7A77">
                                <w:rPr>
                                  <w:b/>
                                  <w:color w:val="000000"/>
                                  <w:sz w:val="12"/>
                                  <w:szCs w:val="12"/>
                                  <w:lang w:val="en-US"/>
                                </w:rPr>
                                <w:t>B/W-HP System</w:t>
                              </w:r>
                            </w:p>
                          </w:txbxContent>
                        </v:textbox>
                      </v:shape>
                    </v:group>
                  </w:pict>
                </mc:Fallback>
              </mc:AlternateContent>
            </w:r>
          </w:p>
        </w:tc>
        <w:tc>
          <w:tcPr>
            <w:tcW w:w="4485" w:type="dxa"/>
          </w:tcPr>
          <w:p w14:paraId="020C81ED" w14:textId="13ED1AB6" w:rsidR="00181A06" w:rsidRPr="00181A06" w:rsidRDefault="00FC74C2" w:rsidP="00181A06">
            <w:pPr>
              <w:jc w:val="center"/>
              <w:rPr>
                <w:lang w:val="en-GB"/>
              </w:rPr>
            </w:pPr>
            <w:r w:rsidRPr="00FC74C2">
              <w:rPr>
                <w:noProof/>
              </w:rPr>
              <w:drawing>
                <wp:inline distT="0" distB="0" distL="0" distR="0" wp14:anchorId="7808B093" wp14:editId="0A2670B1">
                  <wp:extent cx="2121873" cy="1980000"/>
                  <wp:effectExtent l="0" t="0" r="0" b="1270"/>
                  <wp:docPr id="3" name="Grafik 2">
                    <a:extLst xmlns:a="http://schemas.openxmlformats.org/drawingml/2006/main">
                      <a:ext uri="{FF2B5EF4-FFF2-40B4-BE49-F238E27FC236}">
                        <a16:creationId xmlns:a16="http://schemas.microsoft.com/office/drawing/2014/main" id="{D92E9374-25E8-4AB2-80AD-D42755F40B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D92E9374-25E8-4AB2-80AD-D42755F40B72}"/>
                              </a:ext>
                            </a:extLst>
                          </pic:cNvPr>
                          <pic:cNvPicPr>
                            <a:picLocks noChangeAspect="1"/>
                          </pic:cNvPicPr>
                        </pic:nvPicPr>
                        <pic:blipFill>
                          <a:blip r:embed="rId11"/>
                          <a:stretch>
                            <a:fillRect/>
                          </a:stretch>
                        </pic:blipFill>
                        <pic:spPr>
                          <a:xfrm>
                            <a:off x="0" y="0"/>
                            <a:ext cx="2121873" cy="1980000"/>
                          </a:xfrm>
                          <a:prstGeom prst="rect">
                            <a:avLst/>
                          </a:prstGeom>
                        </pic:spPr>
                      </pic:pic>
                    </a:graphicData>
                  </a:graphic>
                </wp:inline>
              </w:drawing>
            </w:r>
          </w:p>
        </w:tc>
      </w:tr>
    </w:tbl>
    <w:p w14:paraId="77C20504" w14:textId="467DF48D" w:rsidR="00BA50FB" w:rsidRPr="00BA50FB" w:rsidRDefault="00BA50FB" w:rsidP="00181A06">
      <w:pPr>
        <w:pStyle w:val="SWCTableFigureCaption"/>
      </w:pPr>
      <w:r w:rsidRPr="00181A06">
        <w:t>Fig. 2: Concept of the simulation model with the main components: flat-level (tapping), building level (distribution) and technical room</w:t>
      </w:r>
      <w:r w:rsidR="00181A06" w:rsidRPr="00181A06">
        <w:t xml:space="preserve"> with </w:t>
      </w:r>
      <w:r w:rsidRPr="00181A06">
        <w:t xml:space="preserve">storage </w:t>
      </w:r>
      <w:r w:rsidR="00181A06" w:rsidRPr="00181A06">
        <w:t>and</w:t>
      </w:r>
      <w:r w:rsidRPr="00181A06">
        <w:t xml:space="preserve"> </w:t>
      </w:r>
      <w:r w:rsidR="00181A06" w:rsidRPr="00181A06">
        <w:t xml:space="preserve">A/W or B/W </w:t>
      </w:r>
      <w:r w:rsidRPr="00181A06">
        <w:t>heat pump</w:t>
      </w:r>
      <w:r w:rsidR="00054035">
        <w:t>; example of 4-pipe circulation</w:t>
      </w:r>
      <w:r w:rsidR="000F312E">
        <w:t xml:space="preserve"> (circulation pump not depicted)</w:t>
      </w:r>
    </w:p>
    <w:p w14:paraId="3C276402" w14:textId="45F19303" w:rsidR="00453296" w:rsidRDefault="000F368F" w:rsidP="00F352E6">
      <w:pPr>
        <w:pStyle w:val="SWCHeading11"/>
      </w:pPr>
      <w:r>
        <w:t xml:space="preserve">Building and Flat Level - </w:t>
      </w:r>
      <w:r w:rsidR="00F352E6">
        <w:t>Tapping Profiles and Simultaneity</w:t>
      </w:r>
    </w:p>
    <w:p w14:paraId="65064974" w14:textId="5296D400" w:rsidR="00F352E6" w:rsidRPr="00F352E6" w:rsidRDefault="00F352E6" w:rsidP="00F352E6">
      <w:pPr>
        <w:pStyle w:val="SWCText"/>
      </w:pPr>
      <w:r w:rsidRPr="00F352E6">
        <w:t xml:space="preserve">The dynamic behavior of DHW demand has a significant influence on the performance evaluation of </w:t>
      </w:r>
      <w:r>
        <w:t>HP</w:t>
      </w:r>
      <w:r w:rsidRPr="00F352E6">
        <w:t xml:space="preserve"> systems.</w:t>
      </w:r>
      <w:r>
        <w:t xml:space="preserve"> </w:t>
      </w:r>
      <w:r w:rsidRPr="00AA4F44">
        <w:rPr>
          <w:noProof/>
        </w:rPr>
        <w:t>Each flat is assumed to have a standard DHW consumption based on</w:t>
      </w:r>
      <w:r w:rsidRPr="00AA4F44">
        <w:t xml:space="preserve"> realistic </w:t>
      </w:r>
      <w:r>
        <w:t>DHW</w:t>
      </w:r>
      <w:r w:rsidRPr="00AA4F44">
        <w:t xml:space="preserve"> tapping profiles derived from stochastic occupant models.</w:t>
      </w:r>
      <w:r w:rsidRPr="00F352E6">
        <w:t xml:space="preserve"> Two principal approaches are commonly used to generate DHW tapping events for simulation studies: stochastic profile generators such as DHWcalc</w:t>
      </w:r>
      <w:r>
        <w:t xml:space="preserve"> (Jordan et al. 2005)</w:t>
      </w:r>
      <w:r w:rsidRPr="00F352E6">
        <w:t xml:space="preserve"> and standardized tapping profiles, e.g., according to EN 16147.</w:t>
      </w:r>
    </w:p>
    <w:p w14:paraId="3D3CD19D" w14:textId="77777777" w:rsidR="00F352E6" w:rsidRPr="00F352E6" w:rsidRDefault="00F352E6" w:rsidP="00F352E6">
      <w:pPr>
        <w:pStyle w:val="SWCText"/>
      </w:pPr>
      <w:r w:rsidRPr="00F352E6">
        <w:t>DHWcalc generates stochastic tapping events based on statistical user behavior, thereby reproducing the temporal variability and simultaneity observed in real buildings. This approach is particularly suitable for annual performance assessments, investigations of peak loads, storage sizing, and control strategy development. However, simulation results depend on the random realization, requiring multiple runs or long simulation periods to obtain statistically robust results. In addition, comparisons between different system configurations may be influenced by different tapping sequences unless identical profiles are used.</w:t>
      </w:r>
    </w:p>
    <w:p w14:paraId="67B566CD" w14:textId="1C41EB5C" w:rsidR="00A44D3D" w:rsidRDefault="00F352E6" w:rsidP="00A44D3D">
      <w:pPr>
        <w:pStyle w:val="SWCText"/>
      </w:pPr>
      <w:r w:rsidRPr="00F352E6">
        <w:t>In contrast, standardized tapping profiles according to EN 16147 define deterministic draw-off sequences with fixed tapping times, flow rates, and energy demand. They provide a highly reproducible basis for comparing different system concepts under identical boundary conditions and are therefore widely used for product testing and benchmarking. The representation of occupant behavior</w:t>
      </w:r>
      <w:r w:rsidR="00B50076">
        <w:t xml:space="preserve"> is limited</w:t>
      </w:r>
      <w:r w:rsidRPr="00F352E6">
        <w:t>, as they neither capture stochastic variations nor simultaneity effects occurring in real multi-apartment buildings.</w:t>
      </w:r>
      <w:r w:rsidR="00EC4CD5">
        <w:t xml:space="preserve"> </w:t>
      </w:r>
      <w:r w:rsidRPr="00F352E6">
        <w:t xml:space="preserve">EN 16147 </w:t>
      </w:r>
      <w:r>
        <w:t>tapping profiles have to be adapted in terms of energy use to account for the number of persons per flat and in terms of peak power, to account for the simultaneity depending on the number of flats</w:t>
      </w:r>
      <w:r w:rsidR="00A44D3D">
        <w:t xml:space="preserve">. Acc. to VDI 2072 the simultaneity factor is a function of the number of flats (eq. 1): </w:t>
      </w:r>
    </w:p>
    <w:p w14:paraId="3535B717" w14:textId="3198DEB4" w:rsidR="00A44D3D" w:rsidRDefault="005F6CE7" w:rsidP="00A44D3D">
      <w:pPr>
        <w:pStyle w:val="SWCText"/>
        <w:jc w:val="center"/>
      </w:pPr>
      <m:oMath>
        <m:sSub>
          <m:sSubPr>
            <m:ctrlPr>
              <w:rPr>
                <w:rFonts w:ascii="Cambria Math" w:hAnsi="Cambria Math"/>
              </w:rPr>
            </m:ctrlPr>
          </m:sSubPr>
          <m:e>
            <m:r>
              <w:rPr>
                <w:rFonts w:ascii="Cambria Math" w:hAnsi="Cambria Math"/>
              </w:rPr>
              <m:t>φ</m:t>
            </m:r>
          </m:e>
          <m:sub>
            <m:r>
              <w:rPr>
                <w:rFonts w:ascii="Cambria Math" w:hAnsi="Cambria Math"/>
              </w:rPr>
              <m:t>VDI</m:t>
            </m:r>
          </m:sub>
        </m:sSub>
        <m:r>
          <w:rPr>
            <w:rFonts w:ascii="Cambria Math" w:hAnsi="Cambria Math"/>
          </w:rPr>
          <m:t xml:space="preserve"> =0.03+0.5∙</m:t>
        </m:r>
        <m:sSubSup>
          <m:sSubSupPr>
            <m:ctrlPr>
              <w:rPr>
                <w:rFonts w:ascii="Cambria Math" w:hAnsi="Cambria Math"/>
              </w:rPr>
            </m:ctrlPr>
          </m:sSubSupPr>
          <m:e>
            <m:r>
              <w:rPr>
                <w:rFonts w:ascii="Cambria Math" w:hAnsi="Cambria Math"/>
              </w:rPr>
              <m:t>N</m:t>
            </m:r>
          </m:e>
          <m:sub>
            <m:r>
              <w:rPr>
                <w:rFonts w:ascii="Cambria Math" w:hAnsi="Cambria Math"/>
              </w:rPr>
              <m:t>flat</m:t>
            </m:r>
          </m:sub>
          <m:sup>
            <m:r>
              <w:rPr>
                <w:rFonts w:ascii="Cambria Math" w:hAnsi="Cambria Math"/>
                <w:color w:val="000000" w:themeColor="text1"/>
              </w:rPr>
              <m:t>-</m:t>
            </m:r>
            <m:r>
              <w:rPr>
                <w:rFonts w:ascii="Cambria Math" w:hAnsi="Cambria Math"/>
              </w:rPr>
              <m:t>0.5</m:t>
            </m:r>
          </m:sup>
        </m:sSubSup>
        <m:r>
          <w:rPr>
            <w:rFonts w:ascii="Cambria Math" w:hAnsi="Cambria Math"/>
          </w:rPr>
          <m:t>+</m:t>
        </m:r>
        <m:f>
          <m:fPr>
            <m:ctrlPr>
              <w:rPr>
                <w:rFonts w:ascii="Cambria Math" w:hAnsi="Cambria Math"/>
              </w:rPr>
            </m:ctrlPr>
          </m:fPr>
          <m:num>
            <m:r>
              <w:rPr>
                <w:rFonts w:ascii="Cambria Math" w:hAnsi="Cambria Math"/>
              </w:rPr>
              <m:t>0.47</m:t>
            </m:r>
          </m:num>
          <m:den>
            <m:sSub>
              <m:sSubPr>
                <m:ctrlPr>
                  <w:rPr>
                    <w:rFonts w:ascii="Cambria Math" w:hAnsi="Cambria Math"/>
                  </w:rPr>
                </m:ctrlPr>
              </m:sSubPr>
              <m:e>
                <m:r>
                  <w:rPr>
                    <w:rFonts w:ascii="Cambria Math" w:hAnsi="Cambria Math"/>
                  </w:rPr>
                  <m:t>N</m:t>
                </m:r>
              </m:e>
              <m:sub>
                <m:r>
                  <w:rPr>
                    <w:rFonts w:ascii="Cambria Math" w:hAnsi="Cambria Math"/>
                  </w:rPr>
                  <m:t>flat</m:t>
                </m:r>
              </m:sub>
            </m:sSub>
          </m:den>
        </m:f>
      </m:oMath>
      <w:r w:rsidR="00A44D3D" w:rsidRPr="00E53779">
        <w:t xml:space="preserve"> </w:t>
      </w:r>
      <w:r w:rsidR="00A44D3D">
        <w:tab/>
      </w:r>
      <w:r w:rsidR="00A44D3D">
        <w:tab/>
      </w:r>
      <w:r w:rsidR="00A44D3D">
        <w:tab/>
        <w:t>(eq. 1)</w:t>
      </w:r>
    </w:p>
    <w:p w14:paraId="14B66D91" w14:textId="359609DA" w:rsidR="00A9083F" w:rsidRDefault="00A9083F" w:rsidP="00F352E6">
      <w:pPr>
        <w:pStyle w:val="SWCText"/>
      </w:pPr>
      <w:r w:rsidRPr="00AA4F44">
        <w:t>In order to consider a</w:t>
      </w:r>
      <w:r>
        <w:t xml:space="preserve"> </w:t>
      </w:r>
      <w:r w:rsidRPr="00F352E6">
        <w:t>deterministic</w:t>
      </w:r>
      <w:r>
        <w:t>,</w:t>
      </w:r>
      <w:r w:rsidRPr="00AA4F44">
        <w:t xml:space="preserve"> </w:t>
      </w:r>
      <w:r>
        <w:t>reproducible but also in terms of peak loads</w:t>
      </w:r>
      <w:r w:rsidRPr="00AA4F44">
        <w:t xml:space="preserve"> realistic user behavior, the concept of the simultaneity according to VDI 2072 (Fig. 3) is applied and </w:t>
      </w:r>
      <w:r>
        <w:t xml:space="preserve">standard tapping </w:t>
      </w:r>
      <w:r w:rsidRPr="00AA4F44">
        <w:t>profiles are</w:t>
      </w:r>
      <w:r>
        <w:t xml:space="preserve"> adapted in terms of daily energy demand and</w:t>
      </w:r>
      <w:r w:rsidRPr="00AA4F44">
        <w:t xml:space="preserve"> time-shifted</w:t>
      </w:r>
      <w:r>
        <w:t xml:space="preserve"> to match the simultaneity,</w:t>
      </w:r>
      <w:r w:rsidRPr="00AA4F44">
        <w:t xml:space="preserve"> accordingly.</w:t>
      </w:r>
      <w:r>
        <w:t xml:space="preserve"> Two different variants, “M/2” and “M 2P” are generated for up to N = 200 flats</w:t>
      </w:r>
      <w:r w:rsidRPr="00AA4F44">
        <w:t xml:space="preserve">, see Fig. </w:t>
      </w:r>
      <w:r>
        <w:t>7. “M/2” is based on the standard profile M of EN 16147 but with an energy demand scaled from 4 to 2 persons.</w:t>
      </w:r>
      <w:r w:rsidRPr="00DF15C3">
        <w:t xml:space="preserve"> </w:t>
      </w:r>
      <w:r>
        <w:t>“M 2P” is also based on profile M but it contains fewer tapping events, in particular no shower in the morning and corresponds also to the average energy demand of 2 persons. Both of the two variants contain each 3 subvariants concerning the time shift to match the simultaneity acc. to VDI 2072 (eq. 1). In variant 0, all profiles are shifted withing one hour (0 s to 3600 s), in variant 1 each odd flat is shifted within one hour (0 s to 3600 s) and each even flat is shifted by one further hour (3600 s to 7200 s), while in subvariant 2 each third flat is shifted backwards in time by 1 h (- 3600 s to 0 s).</w:t>
      </w:r>
    </w:p>
    <w:tbl>
      <w:tblPr>
        <w:tblStyle w:val="Tabellenraster"/>
        <w:tblW w:w="9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
        <w:gridCol w:w="4266"/>
        <w:gridCol w:w="4110"/>
      </w:tblGrid>
      <w:tr w:rsidR="000170DB" w14:paraId="7433C33D" w14:textId="77777777" w:rsidTr="002F6D6C">
        <w:tc>
          <w:tcPr>
            <w:tcW w:w="762" w:type="dxa"/>
          </w:tcPr>
          <w:p w14:paraId="029C120F" w14:textId="77777777" w:rsidR="000170DB" w:rsidRDefault="000170DB" w:rsidP="002F6D6C">
            <w:pPr>
              <w:pStyle w:val="SWCTableFigureCaption"/>
              <w:tabs>
                <w:tab w:val="left" w:pos="566"/>
                <w:tab w:val="center" w:pos="4489"/>
              </w:tabs>
              <w:spacing w:before="0" w:after="0" w:line="240" w:lineRule="auto"/>
            </w:pPr>
          </w:p>
        </w:tc>
        <w:tc>
          <w:tcPr>
            <w:tcW w:w="4266" w:type="dxa"/>
          </w:tcPr>
          <w:p w14:paraId="386D7F79" w14:textId="77777777" w:rsidR="000170DB" w:rsidRDefault="000170DB" w:rsidP="002F6D6C">
            <w:pPr>
              <w:pStyle w:val="SWCTableFigureCaption"/>
              <w:tabs>
                <w:tab w:val="left" w:pos="566"/>
                <w:tab w:val="center" w:pos="4489"/>
              </w:tabs>
              <w:spacing w:before="0" w:after="0" w:line="240" w:lineRule="auto"/>
            </w:pPr>
            <w:r>
              <w:t>“M/2”</w:t>
            </w:r>
          </w:p>
        </w:tc>
        <w:tc>
          <w:tcPr>
            <w:tcW w:w="4110" w:type="dxa"/>
          </w:tcPr>
          <w:p w14:paraId="5BC01D60" w14:textId="77777777" w:rsidR="000170DB" w:rsidRDefault="000170DB" w:rsidP="002F6D6C">
            <w:pPr>
              <w:pStyle w:val="SWCTableFigureCaption"/>
              <w:tabs>
                <w:tab w:val="left" w:pos="566"/>
                <w:tab w:val="center" w:pos="4489"/>
              </w:tabs>
              <w:spacing w:before="0" w:after="0" w:line="240" w:lineRule="auto"/>
            </w:pPr>
            <w:r>
              <w:t>“M 2P”</w:t>
            </w:r>
          </w:p>
        </w:tc>
      </w:tr>
      <w:tr w:rsidR="000170DB" w14:paraId="21100C51" w14:textId="77777777" w:rsidTr="002F6D6C">
        <w:tc>
          <w:tcPr>
            <w:tcW w:w="762" w:type="dxa"/>
          </w:tcPr>
          <w:p w14:paraId="00D5F36D" w14:textId="77777777" w:rsidR="000170DB" w:rsidRDefault="000170DB" w:rsidP="002F6D6C">
            <w:pPr>
              <w:pStyle w:val="SWCTableFigureCaption"/>
              <w:tabs>
                <w:tab w:val="left" w:pos="566"/>
                <w:tab w:val="center" w:pos="4489"/>
              </w:tabs>
              <w:spacing w:before="0" w:after="0" w:line="240" w:lineRule="auto"/>
            </w:pPr>
            <w:r>
              <w:t>var 0</w:t>
            </w:r>
          </w:p>
        </w:tc>
        <w:tc>
          <w:tcPr>
            <w:tcW w:w="4266" w:type="dxa"/>
          </w:tcPr>
          <w:p w14:paraId="2AE83E3E" w14:textId="36A88C97" w:rsidR="000170DB" w:rsidRDefault="000F368F" w:rsidP="002F6D6C">
            <w:pPr>
              <w:pStyle w:val="SWCTableFigureCaption"/>
              <w:tabs>
                <w:tab w:val="left" w:pos="566"/>
                <w:tab w:val="center" w:pos="4489"/>
              </w:tabs>
              <w:spacing w:before="0" w:after="0" w:line="240" w:lineRule="auto"/>
            </w:pPr>
            <w:r w:rsidRPr="000F368F">
              <w:rPr>
                <w:noProof/>
              </w:rPr>
              <w:drawing>
                <wp:inline distT="0" distB="0" distL="0" distR="0" wp14:anchorId="74FF36A0" wp14:editId="5ED35355">
                  <wp:extent cx="2164128" cy="1080000"/>
                  <wp:effectExtent l="0" t="0" r="0" b="6350"/>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c>
          <w:tcPr>
            <w:tcW w:w="4110" w:type="dxa"/>
          </w:tcPr>
          <w:p w14:paraId="2AA8995B" w14:textId="4525D302" w:rsidR="000170DB" w:rsidRDefault="000170DB" w:rsidP="002F6D6C">
            <w:pPr>
              <w:pStyle w:val="SWCTableFigureCaption"/>
              <w:tabs>
                <w:tab w:val="left" w:pos="566"/>
                <w:tab w:val="center" w:pos="4489"/>
              </w:tabs>
              <w:spacing w:before="0" w:after="0" w:line="240" w:lineRule="auto"/>
            </w:pPr>
            <w:r w:rsidRPr="000170DB">
              <w:rPr>
                <w:noProof/>
              </w:rPr>
              <w:drawing>
                <wp:inline distT="0" distB="0" distL="0" distR="0" wp14:anchorId="58322612" wp14:editId="001F2276">
                  <wp:extent cx="2164128" cy="1080000"/>
                  <wp:effectExtent l="0" t="0" r="0" b="6350"/>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r>
      <w:tr w:rsidR="000170DB" w14:paraId="679C1849" w14:textId="77777777" w:rsidTr="002F6D6C">
        <w:tc>
          <w:tcPr>
            <w:tcW w:w="762" w:type="dxa"/>
          </w:tcPr>
          <w:p w14:paraId="7FB54FDC" w14:textId="77777777" w:rsidR="000170DB" w:rsidRDefault="000170DB" w:rsidP="002F6D6C">
            <w:pPr>
              <w:pStyle w:val="SWCTableFigureCaption"/>
              <w:tabs>
                <w:tab w:val="left" w:pos="566"/>
                <w:tab w:val="center" w:pos="4489"/>
              </w:tabs>
              <w:spacing w:before="0" w:after="0" w:line="240" w:lineRule="auto"/>
            </w:pPr>
            <w:r>
              <w:t>var 1</w:t>
            </w:r>
          </w:p>
        </w:tc>
        <w:tc>
          <w:tcPr>
            <w:tcW w:w="4266" w:type="dxa"/>
          </w:tcPr>
          <w:p w14:paraId="69C5979A" w14:textId="5E738236" w:rsidR="000170DB" w:rsidRDefault="000F368F" w:rsidP="002F6D6C">
            <w:pPr>
              <w:pStyle w:val="SWCTableFigureCaption"/>
              <w:tabs>
                <w:tab w:val="left" w:pos="566"/>
                <w:tab w:val="center" w:pos="4489"/>
              </w:tabs>
              <w:spacing w:before="0" w:after="0" w:line="240" w:lineRule="auto"/>
            </w:pPr>
            <w:r w:rsidRPr="000F368F">
              <w:rPr>
                <w:noProof/>
              </w:rPr>
              <w:drawing>
                <wp:inline distT="0" distB="0" distL="0" distR="0" wp14:anchorId="4ADE15EB" wp14:editId="2AB43D96">
                  <wp:extent cx="2164128" cy="1080000"/>
                  <wp:effectExtent l="0" t="0" r="0" b="6350"/>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c>
          <w:tcPr>
            <w:tcW w:w="4110" w:type="dxa"/>
          </w:tcPr>
          <w:p w14:paraId="5C55EE19" w14:textId="3A452FE6" w:rsidR="000170DB" w:rsidRDefault="000170DB" w:rsidP="002F6D6C">
            <w:pPr>
              <w:pStyle w:val="SWCTableFigureCaption"/>
              <w:tabs>
                <w:tab w:val="left" w:pos="566"/>
                <w:tab w:val="center" w:pos="4489"/>
              </w:tabs>
              <w:spacing w:before="0" w:after="0" w:line="240" w:lineRule="auto"/>
            </w:pPr>
            <w:r w:rsidRPr="000170DB">
              <w:rPr>
                <w:noProof/>
              </w:rPr>
              <w:drawing>
                <wp:inline distT="0" distB="0" distL="0" distR="0" wp14:anchorId="2F4F189A" wp14:editId="0EA36C93">
                  <wp:extent cx="2164128" cy="1080000"/>
                  <wp:effectExtent l="0" t="0" r="0" b="635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r>
      <w:tr w:rsidR="000170DB" w14:paraId="30C69A92" w14:textId="77777777" w:rsidTr="002F6D6C">
        <w:tc>
          <w:tcPr>
            <w:tcW w:w="762" w:type="dxa"/>
          </w:tcPr>
          <w:p w14:paraId="6A5C953D" w14:textId="77777777" w:rsidR="000170DB" w:rsidRDefault="000170DB" w:rsidP="002F6D6C">
            <w:pPr>
              <w:pStyle w:val="SWCTableFigureCaption"/>
              <w:tabs>
                <w:tab w:val="left" w:pos="566"/>
                <w:tab w:val="center" w:pos="4489"/>
              </w:tabs>
              <w:spacing w:before="0" w:after="0" w:line="240" w:lineRule="auto"/>
            </w:pPr>
            <w:r>
              <w:t>var 2</w:t>
            </w:r>
          </w:p>
        </w:tc>
        <w:tc>
          <w:tcPr>
            <w:tcW w:w="4266" w:type="dxa"/>
          </w:tcPr>
          <w:p w14:paraId="7CD63480" w14:textId="3218DD9B" w:rsidR="000170DB" w:rsidRDefault="000170DB" w:rsidP="002F6D6C">
            <w:pPr>
              <w:pStyle w:val="SWCTableFigureCaption"/>
              <w:tabs>
                <w:tab w:val="left" w:pos="566"/>
                <w:tab w:val="center" w:pos="4489"/>
              </w:tabs>
              <w:spacing w:before="0" w:after="0" w:line="240" w:lineRule="auto"/>
            </w:pPr>
            <w:r w:rsidRPr="000170DB">
              <w:rPr>
                <w:noProof/>
              </w:rPr>
              <w:drawing>
                <wp:inline distT="0" distB="0" distL="0" distR="0" wp14:anchorId="5D75686C" wp14:editId="401E864F">
                  <wp:extent cx="2164128" cy="1080000"/>
                  <wp:effectExtent l="0" t="0" r="0" b="6350"/>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c>
          <w:tcPr>
            <w:tcW w:w="4110" w:type="dxa"/>
          </w:tcPr>
          <w:p w14:paraId="40A90F8E" w14:textId="2704E065" w:rsidR="000170DB" w:rsidRDefault="000170DB" w:rsidP="002F6D6C">
            <w:pPr>
              <w:pStyle w:val="SWCTableFigureCaption"/>
              <w:tabs>
                <w:tab w:val="left" w:pos="566"/>
                <w:tab w:val="center" w:pos="4489"/>
              </w:tabs>
              <w:spacing w:before="0" w:after="0" w:line="240" w:lineRule="auto"/>
            </w:pPr>
            <w:r w:rsidRPr="000170DB">
              <w:rPr>
                <w:noProof/>
              </w:rPr>
              <w:drawing>
                <wp:inline distT="0" distB="0" distL="0" distR="0" wp14:anchorId="48E2450E" wp14:editId="632337AC">
                  <wp:extent cx="2164128" cy="1080000"/>
                  <wp:effectExtent l="0" t="0" r="0" b="635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r>
    </w:tbl>
    <w:p w14:paraId="1BF3C3A3" w14:textId="6A3B7CB6" w:rsidR="00524061" w:rsidRDefault="00524061" w:rsidP="00A40C05">
      <w:pPr>
        <w:pStyle w:val="SWCTableFigureCaption"/>
      </w:pPr>
      <w:r w:rsidRPr="00F231EF">
        <w:t xml:space="preserve">Fig. 3: Profile “M/2” (scaled) and profile “M 2P” (adapted) to match a </w:t>
      </w:r>
      <w:r w:rsidRPr="00A40C05">
        <w:t>household</w:t>
      </w:r>
      <w:r w:rsidRPr="00F231EF">
        <w:t xml:space="preserve"> with </w:t>
      </w:r>
      <w:r w:rsidR="00F231EF" w:rsidRPr="00F231EF">
        <w:t>2 persons and N</w:t>
      </w:r>
      <w:r w:rsidR="003E4BB0" w:rsidRPr="003E4BB0">
        <w:rPr>
          <w:vertAlign w:val="subscript"/>
        </w:rPr>
        <w:t>flat</w:t>
      </w:r>
      <w:r w:rsidR="00F231EF" w:rsidRPr="00F231EF">
        <w:t xml:space="preserve"> = 50</w:t>
      </w:r>
      <w:r w:rsidR="00A40C05">
        <w:t xml:space="preserve"> (corresponding to building C)</w:t>
      </w:r>
      <w:r w:rsidR="000170DB">
        <w:t xml:space="preserve"> and with variants 0, 1, 2</w:t>
      </w:r>
      <w:r w:rsidRPr="00F231EF">
        <w:t xml:space="preserve"> with 15 min and 1 h time average</w:t>
      </w:r>
      <w:r w:rsidR="000170DB">
        <w:t>;</w:t>
      </w:r>
      <w:r w:rsidRPr="00F231EF">
        <w:t xml:space="preserve"> </w:t>
      </w:r>
      <w:r w:rsidR="00A9083F" w:rsidRPr="00AA4F44">
        <w:t>simultaneity</w:t>
      </w:r>
      <w:r w:rsidR="00A9083F">
        <w:t xml:space="preserve"> </w:t>
      </w:r>
      <w:r w:rsidR="00A9083F" w:rsidRPr="00A9083F">
        <w:rPr>
          <w:rFonts w:ascii="Symbol" w:hAnsi="Symbol"/>
        </w:rPr>
        <w:t>f</w:t>
      </w:r>
      <w:r w:rsidR="00A9083F">
        <w:t xml:space="preserve"> = 0.11</w:t>
      </w:r>
      <w:r w:rsidR="000170DB">
        <w:t xml:space="preserve"> (acc. to eq. 1)</w:t>
      </w:r>
    </w:p>
    <w:p w14:paraId="7C813E41" w14:textId="658AF8A7" w:rsidR="002F668B" w:rsidRPr="0086503F" w:rsidRDefault="002F668B" w:rsidP="002F668B">
      <w:pPr>
        <w:pStyle w:val="SWCHeading11"/>
      </w:pPr>
      <w:r w:rsidRPr="0086503F">
        <w:t xml:space="preserve">Energy-Based Implementation of EN 16147 DHW </w:t>
      </w:r>
      <w:r w:rsidR="007F795B">
        <w:t>Tapping</w:t>
      </w:r>
      <w:r w:rsidRPr="0086503F">
        <w:t xml:space="preserve"> Events</w:t>
      </w:r>
    </w:p>
    <w:p w14:paraId="053E331C" w14:textId="21B8AC6A" w:rsidR="002F668B" w:rsidRPr="00573ABC" w:rsidRDefault="002F668B" w:rsidP="002F668B">
      <w:pPr>
        <w:pStyle w:val="SWCText"/>
      </w:pPr>
      <w:r w:rsidRPr="0086503F">
        <w:t xml:space="preserve">EN 16147 defines each water draw-off not only by a prescribed flow rate and duration, but also by a required useful energy content delivered above the specified service temperature. </w:t>
      </w:r>
      <w:bookmarkStart w:id="1" w:name="_Hlk238536215"/>
      <w:r w:rsidRPr="0086503F">
        <w:t xml:space="preserve">To reproduce this evaluation procedure, the present implementation controls the completion of each </w:t>
      </w:r>
      <w:r w:rsidR="007C7053">
        <w:t xml:space="preserve">tapping </w:t>
      </w:r>
      <w:r w:rsidRPr="0086503F">
        <w:t>based on the accumulated useful energy rather than solely on the nominal tapping duration.</w:t>
      </w:r>
      <w:r>
        <w:t xml:space="preserve"> To capture precisely the tapping events, simulations are performed with a sub-second time step. Results are evaluated on </w:t>
      </w:r>
      <w:r w:rsidR="007C7053">
        <w:t>a t</w:t>
      </w:r>
      <w:r w:rsidRPr="00573ABC">
        <w:t>ime step</w:t>
      </w:r>
      <w:r>
        <w:t xml:space="preserve"> of 1 s and then average to</w:t>
      </w:r>
      <w:r w:rsidRPr="00573ABC">
        <w:t xml:space="preserve"> 1 min, 15 min</w:t>
      </w:r>
      <w:r>
        <w:t xml:space="preserve"> or</w:t>
      </w:r>
      <w:r w:rsidRPr="00573ABC">
        <w:t xml:space="preserve"> </w:t>
      </w:r>
      <w:r w:rsidR="00B50076" w:rsidRPr="00573ABC">
        <w:t>1</w:t>
      </w:r>
      <w:r w:rsidR="00B50076">
        <w:t> </w:t>
      </w:r>
      <w:r w:rsidRPr="00573ABC">
        <w:t>h</w:t>
      </w:r>
      <w:r>
        <w:t>.</w:t>
      </w:r>
    </w:p>
    <w:bookmarkEnd w:id="1"/>
    <w:p w14:paraId="2E040B1E" w14:textId="32A89BEA" w:rsidR="00F352E6" w:rsidRDefault="000F368F" w:rsidP="00F352E6">
      <w:pPr>
        <w:pStyle w:val="SWCHeading11"/>
      </w:pPr>
      <w:r>
        <w:t xml:space="preserve">Building and System Level - </w:t>
      </w:r>
      <w:r w:rsidR="00F352E6">
        <w:t>System Topology</w:t>
      </w:r>
    </w:p>
    <w:p w14:paraId="6DF5E6EE" w14:textId="1013303A" w:rsidR="00C633F9" w:rsidRDefault="00C633F9" w:rsidP="007C1632">
      <w:pPr>
        <w:pStyle w:val="SWCText"/>
        <w:rPr>
          <w:lang w:val="en-GB"/>
        </w:rPr>
      </w:pPr>
      <w:r w:rsidRPr="00C633F9">
        <w:rPr>
          <w:lang w:val="en-GB"/>
        </w:rPr>
        <w:t xml:space="preserve">Figure </w:t>
      </w:r>
      <w:r w:rsidR="00F46917">
        <w:rPr>
          <w:lang w:val="en-GB"/>
        </w:rPr>
        <w:t>4</w:t>
      </w:r>
      <w:r w:rsidRPr="00C633F9">
        <w:rPr>
          <w:lang w:val="en-GB"/>
        </w:rPr>
        <w:t xml:space="preserve"> provides a schematic overview of </w:t>
      </w:r>
      <w:r w:rsidR="0091628A">
        <w:rPr>
          <w:lang w:val="en-GB"/>
        </w:rPr>
        <w:t>five</w:t>
      </w:r>
      <w:r w:rsidR="00B702D4" w:rsidRPr="00ED6638">
        <w:rPr>
          <w:lang w:val="en-GB"/>
        </w:rPr>
        <w:t xml:space="preserve"> common</w:t>
      </w:r>
      <w:r w:rsidRPr="00C633F9">
        <w:rPr>
          <w:lang w:val="en-GB"/>
        </w:rPr>
        <w:t xml:space="preserve"> </w:t>
      </w:r>
      <w:r w:rsidR="00B702D4" w:rsidRPr="00ED6638">
        <w:rPr>
          <w:lang w:val="en-GB"/>
        </w:rPr>
        <w:t>central</w:t>
      </w:r>
      <w:r w:rsidRPr="00C633F9">
        <w:rPr>
          <w:lang w:val="en-GB"/>
        </w:rPr>
        <w:t xml:space="preserve"> DHW system concepts</w:t>
      </w:r>
      <w:r w:rsidR="00ED6638" w:rsidRPr="00ED6638">
        <w:rPr>
          <w:lang w:val="en-GB"/>
        </w:rPr>
        <w:t xml:space="preserve"> using </w:t>
      </w:r>
      <w:r w:rsidR="00B702D4" w:rsidRPr="00ED6638">
        <w:rPr>
          <w:lang w:val="en-GB"/>
        </w:rPr>
        <w:t>a staircase with five flats</w:t>
      </w:r>
      <w:r w:rsidR="00ED6638" w:rsidRPr="00ED6638">
        <w:rPr>
          <w:lang w:val="en-GB"/>
        </w:rPr>
        <w:t xml:space="preserve"> as an example</w:t>
      </w:r>
      <w:r w:rsidRPr="00C633F9">
        <w:rPr>
          <w:lang w:val="en-GB"/>
        </w:rPr>
        <w:t>.</w:t>
      </w:r>
    </w:p>
    <w:p w14:paraId="39109044" w14:textId="6EC0B94D" w:rsidR="00AF2865" w:rsidRDefault="00AF2865" w:rsidP="00AF2865">
      <w:pPr>
        <w:pStyle w:val="SWCText"/>
        <w:rPr>
          <w:lang w:val="en-GB"/>
        </w:rPr>
      </w:pPr>
      <w:r w:rsidRPr="00AF2865">
        <w:rPr>
          <w:lang w:val="en-GB"/>
        </w:rPr>
        <w:t>4-pipe</w:t>
      </w:r>
      <w:r w:rsidR="004974E9">
        <w:rPr>
          <w:lang w:val="en-GB"/>
        </w:rPr>
        <w:t xml:space="preserve"> system with</w:t>
      </w:r>
      <w:r w:rsidRPr="00AF2865">
        <w:rPr>
          <w:lang w:val="en-GB"/>
        </w:rPr>
        <w:t xml:space="preserve"> Circulation</w:t>
      </w:r>
      <w:r w:rsidR="004974E9">
        <w:rPr>
          <w:lang w:val="en-GB"/>
        </w:rPr>
        <w:t xml:space="preserve"> (C)</w:t>
      </w:r>
      <w:r w:rsidR="00ED6638">
        <w:rPr>
          <w:lang w:val="en-GB"/>
        </w:rPr>
        <w:t xml:space="preserve">: </w:t>
      </w:r>
      <w:r w:rsidRPr="00AF2865">
        <w:rPr>
          <w:lang w:val="en-GB"/>
        </w:rPr>
        <w:t>The system consists of separate SH and DHW distribution circuits and may include a hydraulic separator</w:t>
      </w:r>
      <w:r w:rsidR="00ED6638">
        <w:rPr>
          <w:lang w:val="en-GB"/>
        </w:rPr>
        <w:t xml:space="preserve"> or an</w:t>
      </w:r>
      <w:r w:rsidRPr="00AF2865">
        <w:rPr>
          <w:lang w:val="en-GB"/>
        </w:rPr>
        <w:t xml:space="preserve"> SH buffer</w:t>
      </w:r>
      <w:r w:rsidR="00ED6638">
        <w:rPr>
          <w:lang w:val="en-GB"/>
        </w:rPr>
        <w:t xml:space="preserve"> and</w:t>
      </w:r>
      <w:r w:rsidRPr="00AF2865">
        <w:rPr>
          <w:lang w:val="en-GB"/>
        </w:rPr>
        <w:t xml:space="preserve"> alternatively</w:t>
      </w:r>
      <w:r w:rsidR="00ED6638">
        <w:rPr>
          <w:lang w:val="en-GB"/>
        </w:rPr>
        <w:t xml:space="preserve"> to the internal, </w:t>
      </w:r>
      <w:r w:rsidR="00ED6638" w:rsidRPr="00AF2865">
        <w:rPr>
          <w:lang w:val="en-GB"/>
        </w:rPr>
        <w:t>an</w:t>
      </w:r>
      <w:r w:rsidRPr="00AF2865">
        <w:rPr>
          <w:lang w:val="en-GB"/>
        </w:rPr>
        <w:t xml:space="preserve"> external fresh water heat exchanger. S</w:t>
      </w:r>
      <w:r w:rsidR="004974E9">
        <w:rPr>
          <w:lang w:val="en-GB"/>
        </w:rPr>
        <w:t>H</w:t>
      </w:r>
      <w:r w:rsidRPr="00AF2865">
        <w:rPr>
          <w:lang w:val="en-GB"/>
        </w:rPr>
        <w:t xml:space="preserve"> is provided by a conventional two-pipe distribution system with optional weather-compensated flow temperature control (heating curve). Space cooling can also be realized with a cooling-compatible emission system, requiring a buffer bypass. </w:t>
      </w:r>
      <w:r w:rsidR="004974E9">
        <w:rPr>
          <w:lang w:val="en-GB"/>
        </w:rPr>
        <w:t>DHW</w:t>
      </w:r>
      <w:r w:rsidRPr="00AF2865">
        <w:rPr>
          <w:lang w:val="en-GB"/>
        </w:rPr>
        <w:t xml:space="preserve"> is prepared centrally with a circulation loop, which generally requires storage temperatures of at least 60 °C to comply with hygiene requirements (Legionella prevention). The system allows independent temperature levels for SH and DHW while providing continuous DHW availability with short waiting times.</w:t>
      </w:r>
    </w:p>
    <w:p w14:paraId="01E2A881" w14:textId="42EF70BA" w:rsidR="00AF2865" w:rsidRPr="00AF2865" w:rsidRDefault="00AF2865" w:rsidP="00AF2865">
      <w:pPr>
        <w:pStyle w:val="SWCText"/>
        <w:rPr>
          <w:lang w:val="en-GB"/>
        </w:rPr>
      </w:pPr>
      <w:r w:rsidRPr="00AF2865">
        <w:rPr>
          <w:lang w:val="en-GB"/>
        </w:rPr>
        <w:t>2+2-pipe system with Fresh Water Station (FWS)</w:t>
      </w:r>
      <w:r w:rsidR="00ED6638">
        <w:rPr>
          <w:lang w:val="en-GB"/>
        </w:rPr>
        <w:t xml:space="preserve">: </w:t>
      </w:r>
      <w:r w:rsidRPr="00AF2865">
        <w:rPr>
          <w:lang w:val="en-GB"/>
        </w:rPr>
        <w:t>The system consists of separate SH and DHW distribution circuits and may include an SH buffer or a combined storage tank. S</w:t>
      </w:r>
      <w:r w:rsidR="004974E9">
        <w:rPr>
          <w:lang w:val="en-GB"/>
        </w:rPr>
        <w:t>H</w:t>
      </w:r>
      <w:r w:rsidRPr="00AF2865">
        <w:rPr>
          <w:lang w:val="en-GB"/>
        </w:rPr>
        <w:t xml:space="preserve"> is provided by a conventional two-pipe </w:t>
      </w:r>
      <w:r w:rsidRPr="00AF2865">
        <w:rPr>
          <w:lang w:val="en-GB"/>
        </w:rPr>
        <w:lastRenderedPageBreak/>
        <w:t xml:space="preserve">distribution system with optional weather-compensated flow temperature control (heating curve). Space cooling is possible with a cooling-compatible emission system, typically requiring a buffer bypass. </w:t>
      </w:r>
      <w:r w:rsidR="004974E9">
        <w:rPr>
          <w:lang w:val="en-GB"/>
        </w:rPr>
        <w:t>DHW</w:t>
      </w:r>
      <w:r w:rsidRPr="00AF2865">
        <w:rPr>
          <w:lang w:val="en-GB"/>
        </w:rPr>
        <w:t xml:space="preserve"> is prepared </w:t>
      </w:r>
      <w:r w:rsidR="00EA74B2">
        <w:rPr>
          <w:lang w:val="en-GB"/>
        </w:rPr>
        <w:t>i</w:t>
      </w:r>
      <w:r w:rsidRPr="00AF2865">
        <w:rPr>
          <w:lang w:val="en-GB"/>
        </w:rPr>
        <w:t>n each apartment using a fresh water station (</w:t>
      </w:r>
      <w:r w:rsidR="00EA74B2" w:rsidRPr="00AF2865">
        <w:rPr>
          <w:lang w:val="en-GB"/>
        </w:rPr>
        <w:t>decentra</w:t>
      </w:r>
      <w:r w:rsidR="00EA74B2">
        <w:rPr>
          <w:lang w:val="en-GB"/>
        </w:rPr>
        <w:t>l</w:t>
      </w:r>
      <w:r w:rsidR="00EA74B2" w:rsidRPr="00AF2865">
        <w:rPr>
          <w:lang w:val="en-GB"/>
        </w:rPr>
        <w:t xml:space="preserve"> </w:t>
      </w:r>
      <w:r w:rsidR="00EA74B2">
        <w:rPr>
          <w:lang w:val="en-GB"/>
        </w:rPr>
        <w:t xml:space="preserve">DHW </w:t>
      </w:r>
      <w:r w:rsidRPr="00AF2865">
        <w:rPr>
          <w:lang w:val="en-GB"/>
        </w:rPr>
        <w:t>plate heat exchanger), typically supplied with temperatures above 52 °C. This configuration enables independent temperature levels for SH and DHW, provides continuous DHW availability with short waiting times, and improves overall heat pump system efficiency by allowing lower central DHW supply temperatures compared to conventional circulation systems.</w:t>
      </w:r>
    </w:p>
    <w:p w14:paraId="42FFC496" w14:textId="683F0195" w:rsidR="00AF2865" w:rsidRPr="00ED6638" w:rsidRDefault="00AF2865" w:rsidP="00AF2865">
      <w:pPr>
        <w:pStyle w:val="SWCText"/>
        <w:rPr>
          <w:lang w:val="en-GB"/>
        </w:rPr>
      </w:pPr>
      <w:r w:rsidRPr="00AF2865">
        <w:rPr>
          <w:lang w:val="en-GB"/>
        </w:rPr>
        <w:t>3p-system with FWS</w:t>
      </w:r>
      <w:r w:rsidR="00ED6638">
        <w:rPr>
          <w:lang w:val="en-GB"/>
        </w:rPr>
        <w:t xml:space="preserve">: </w:t>
      </w:r>
      <w:r w:rsidR="00ED6638" w:rsidRPr="00ED6638">
        <w:rPr>
          <w:lang w:val="en-GB"/>
        </w:rPr>
        <w:t>The system consists of separate SH and DHW supply pipes with a common return line, reducing the overall distribution effort compared to a 2+2-pipe system. S</w:t>
      </w:r>
      <w:r w:rsidR="004974E9">
        <w:rPr>
          <w:lang w:val="en-GB"/>
        </w:rPr>
        <w:t>H</w:t>
      </w:r>
      <w:r w:rsidR="00ED6638" w:rsidRPr="00ED6638">
        <w:rPr>
          <w:lang w:val="en-GB"/>
        </w:rPr>
        <w:t xml:space="preserve"> is operated with optional weather-compensated flow temperature control (heating curve). Space cooling is partly possible with a cooling-compatible emission system, requiring a buffer bypass. D</w:t>
      </w:r>
      <w:r w:rsidR="004974E9">
        <w:rPr>
          <w:lang w:val="en-GB"/>
        </w:rPr>
        <w:t>HW</w:t>
      </w:r>
      <w:r w:rsidR="00ED6638" w:rsidRPr="00ED6638">
        <w:rPr>
          <w:lang w:val="en-GB"/>
        </w:rPr>
        <w:t xml:space="preserve"> is prepared in each apartment using </w:t>
      </w:r>
      <w:r w:rsidR="00EA74B2">
        <w:rPr>
          <w:lang w:val="en-GB"/>
        </w:rPr>
        <w:t xml:space="preserve">decentral </w:t>
      </w:r>
      <w:r w:rsidR="00ED6638" w:rsidRPr="00ED6638">
        <w:rPr>
          <w:lang w:val="en-GB"/>
        </w:rPr>
        <w:t>FWS</w:t>
      </w:r>
      <w:r w:rsidR="00EA74B2">
        <w:rPr>
          <w:lang w:val="en-GB"/>
        </w:rPr>
        <w:t>, i.e.</w:t>
      </w:r>
      <w:r w:rsidR="00ED6638" w:rsidRPr="00ED6638">
        <w:rPr>
          <w:lang w:val="en-GB"/>
        </w:rPr>
        <w:t xml:space="preserve"> with flat-wise </w:t>
      </w:r>
      <w:r w:rsidR="00EA74B2">
        <w:rPr>
          <w:lang w:val="en-GB"/>
        </w:rPr>
        <w:t xml:space="preserve">DHW plate </w:t>
      </w:r>
      <w:r w:rsidR="00ED6638" w:rsidRPr="00ED6638">
        <w:rPr>
          <w:lang w:val="en-GB"/>
        </w:rPr>
        <w:t>heat exchangers, typically supplied with temperatures above 52 °C. The shared return line reduces piping requirements while maintaining separate temperature control of SH and DHW supply.</w:t>
      </w:r>
    </w:p>
    <w:p w14:paraId="29902151" w14:textId="5D12D6C7" w:rsidR="00CB12D1" w:rsidRDefault="00AF2865" w:rsidP="00ED6638">
      <w:pPr>
        <w:pStyle w:val="SWCText"/>
        <w:rPr>
          <w:lang w:val="en-GB"/>
        </w:rPr>
      </w:pPr>
      <w:r w:rsidRPr="00AF2865">
        <w:rPr>
          <w:lang w:val="en-GB"/>
        </w:rPr>
        <w:t>2-pipe system with Heat Transfer Station (HTS)</w:t>
      </w:r>
      <w:r w:rsidR="00ED6638">
        <w:rPr>
          <w:lang w:val="en-GB"/>
        </w:rPr>
        <w:t xml:space="preserve">: </w:t>
      </w:r>
      <w:r w:rsidR="00ED6638" w:rsidRPr="00ED6638">
        <w:rPr>
          <w:lang w:val="en-GB"/>
        </w:rPr>
        <w:t xml:space="preserve">The system uses a shared distribution circuit for SH and DHW preparation with a central SH buffer. Since the same supply temperature is used for both SH and DHW preparation, the required flow temperature is determined by the DHW demand, which limits the application of weather-compensated flow temperature control (heating curve) for </w:t>
      </w:r>
      <w:r w:rsidR="004974E9">
        <w:rPr>
          <w:lang w:val="en-GB"/>
        </w:rPr>
        <w:t>SH</w:t>
      </w:r>
      <w:r w:rsidR="00ED6638" w:rsidRPr="00ED6638">
        <w:rPr>
          <w:lang w:val="en-GB"/>
        </w:rPr>
        <w:t>. Space cooling is generally not possible with this configuration. D</w:t>
      </w:r>
      <w:r w:rsidR="004974E9">
        <w:rPr>
          <w:lang w:val="en-GB"/>
        </w:rPr>
        <w:t>HW</w:t>
      </w:r>
      <w:r w:rsidR="00ED6638" w:rsidRPr="00ED6638">
        <w:rPr>
          <w:lang w:val="en-GB"/>
        </w:rPr>
        <w:t xml:space="preserve"> is prepared in each apartment using </w:t>
      </w:r>
      <w:r w:rsidR="00EA74B2">
        <w:rPr>
          <w:lang w:val="en-GB"/>
        </w:rPr>
        <w:t xml:space="preserve">decentral DHW </w:t>
      </w:r>
      <w:r w:rsidR="00EA74B2" w:rsidRPr="00ED6638">
        <w:rPr>
          <w:lang w:val="en-GB"/>
        </w:rPr>
        <w:t>heat exchangers</w:t>
      </w:r>
      <w:r w:rsidR="00EA74B2">
        <w:rPr>
          <w:lang w:val="en-GB"/>
        </w:rPr>
        <w:t xml:space="preserve"> in so-called </w:t>
      </w:r>
      <w:r w:rsidR="00ED6638" w:rsidRPr="00ED6638">
        <w:rPr>
          <w:lang w:val="en-GB"/>
        </w:rPr>
        <w:t xml:space="preserve">HTS, typically supplied with temperatures above 52 °C. The reduced number of distribution pipes lowers installation effort compared to 4-pipe, 2+2-pipe, and 3-pipe systems, but at the expense of reduced temperature flexibility and </w:t>
      </w:r>
      <w:r w:rsidR="00ED6638">
        <w:rPr>
          <w:lang w:val="en-GB"/>
        </w:rPr>
        <w:t>system performance</w:t>
      </w:r>
      <w:r w:rsidR="00ED6638" w:rsidRPr="00ED6638">
        <w:rPr>
          <w:lang w:val="en-GB"/>
        </w:rPr>
        <w:t>.</w:t>
      </w:r>
    </w:p>
    <w:p w14:paraId="3C0E7D07" w14:textId="53CB7D6E" w:rsidR="008D3FFC" w:rsidRPr="006F1E32" w:rsidRDefault="008D3FFC" w:rsidP="00ED6638">
      <w:pPr>
        <w:pStyle w:val="SWCText"/>
        <w:rPr>
          <w:lang w:val="en-GB"/>
        </w:rPr>
      </w:pPr>
      <w:r w:rsidRPr="00AF2865">
        <w:rPr>
          <w:lang w:val="en-GB"/>
        </w:rPr>
        <w:t>2-pipe system with HTS</w:t>
      </w:r>
      <w:r>
        <w:rPr>
          <w:lang w:val="en-GB"/>
        </w:rPr>
        <w:t xml:space="preserve"> and Flow Type Post Heater (FTPH):</w:t>
      </w:r>
      <w:r w:rsidR="006F1E32">
        <w:rPr>
          <w:lang w:val="en-GB"/>
        </w:rPr>
        <w:t xml:space="preserve"> </w:t>
      </w:r>
      <w:r w:rsidR="000D262A" w:rsidRPr="000D262A">
        <w:rPr>
          <w:lang w:val="en-GB"/>
        </w:rPr>
        <w:t xml:space="preserve">The system uses a shared distribution circuit for SH and DHW preparation with a central SH buffer and </w:t>
      </w:r>
      <w:r w:rsidR="001631CE">
        <w:rPr>
          <w:lang w:val="en-GB"/>
        </w:rPr>
        <w:t>flat-wise</w:t>
      </w:r>
      <w:r w:rsidR="000D262A" w:rsidRPr="000D262A">
        <w:rPr>
          <w:lang w:val="en-GB"/>
        </w:rPr>
        <w:t xml:space="preserve"> DHW</w:t>
      </w:r>
      <w:r w:rsidR="001631CE">
        <w:rPr>
          <w:lang w:val="en-GB"/>
        </w:rPr>
        <w:t>-HX and</w:t>
      </w:r>
      <w:r w:rsidR="000D262A" w:rsidRPr="000D262A">
        <w:rPr>
          <w:lang w:val="en-GB"/>
        </w:rPr>
        <w:t xml:space="preserve"> post-heating by FTPH. </w:t>
      </w:r>
      <w:r w:rsidR="001631CE">
        <w:rPr>
          <w:lang w:val="en-GB"/>
        </w:rPr>
        <w:t>T</w:t>
      </w:r>
      <w:r w:rsidR="000D262A" w:rsidRPr="000D262A">
        <w:rPr>
          <w:lang w:val="en-GB"/>
        </w:rPr>
        <w:t xml:space="preserve">he SH flow temperature is partly independent of DHW </w:t>
      </w:r>
      <w:r w:rsidR="001631CE">
        <w:rPr>
          <w:lang w:val="en-GB"/>
        </w:rPr>
        <w:t xml:space="preserve">temperature </w:t>
      </w:r>
      <w:r w:rsidR="000D262A" w:rsidRPr="000D262A">
        <w:rPr>
          <w:lang w:val="en-GB"/>
        </w:rPr>
        <w:t>needs</w:t>
      </w:r>
      <w:r w:rsidR="001631CE">
        <w:rPr>
          <w:lang w:val="en-GB"/>
        </w:rPr>
        <w:t xml:space="preserve"> depending on the power of the FTPH,</w:t>
      </w:r>
      <w:r w:rsidR="000D262A" w:rsidRPr="000D262A">
        <w:rPr>
          <w:lang w:val="en-GB"/>
        </w:rPr>
        <w:t xml:space="preserve"> allowing ambient temperature compensation </w:t>
      </w:r>
      <w:r w:rsidR="004974E9">
        <w:rPr>
          <w:lang w:val="en-GB"/>
        </w:rPr>
        <w:t>(</w:t>
      </w:r>
      <w:r w:rsidR="000D262A" w:rsidRPr="000D262A">
        <w:rPr>
          <w:lang w:val="en-GB"/>
        </w:rPr>
        <w:t>heating curve</w:t>
      </w:r>
      <w:r w:rsidR="004974E9">
        <w:rPr>
          <w:lang w:val="en-GB"/>
        </w:rPr>
        <w:t>)</w:t>
      </w:r>
      <w:r w:rsidR="000D262A" w:rsidRPr="000D262A">
        <w:rPr>
          <w:lang w:val="en-GB"/>
        </w:rPr>
        <w:t>. Space cooling is not possible. D</w:t>
      </w:r>
      <w:r w:rsidR="00481F43">
        <w:rPr>
          <w:lang w:val="en-GB"/>
        </w:rPr>
        <w:t>HW</w:t>
      </w:r>
      <w:r w:rsidR="000D262A" w:rsidRPr="000D262A">
        <w:rPr>
          <w:lang w:val="en-GB"/>
        </w:rPr>
        <w:t xml:space="preserve"> is prepared in each apartment using decentralized, flat-wise </w:t>
      </w:r>
      <w:r w:rsidR="00481F43">
        <w:rPr>
          <w:lang w:val="en-GB"/>
        </w:rPr>
        <w:t>HX</w:t>
      </w:r>
      <w:r w:rsidR="000D262A" w:rsidRPr="000D262A">
        <w:rPr>
          <w:lang w:val="en-GB"/>
        </w:rPr>
        <w:t>s in HTS combined with a FTPH unit. This configuration allows the primary supply temperature to be significantly reduced based on the heating curve and enables tenants to set individual DHW set points, though it results in higher electricity demand and electrical peaks during DHW preparation.</w:t>
      </w:r>
    </w:p>
    <w:p w14:paraId="084FC0CC" w14:textId="2B7D41C4" w:rsidR="00AF2865" w:rsidRDefault="00CB12D1" w:rsidP="00ED6638">
      <w:pPr>
        <w:pStyle w:val="SWCText"/>
        <w:rPr>
          <w:lang w:val="en-GB"/>
        </w:rPr>
      </w:pPr>
      <w:r w:rsidRPr="00AF2865">
        <w:rPr>
          <w:lang w:val="en-GB"/>
        </w:rPr>
        <w:t xml:space="preserve">2-pipe system with </w:t>
      </w:r>
      <w:r w:rsidR="0091628A">
        <w:rPr>
          <w:lang w:val="en-GB"/>
        </w:rPr>
        <w:t>decentral DHW buffer and so-called charging windows</w:t>
      </w:r>
      <w:r>
        <w:rPr>
          <w:lang w:val="en-GB"/>
        </w:rPr>
        <w:t xml:space="preserve">: </w:t>
      </w:r>
      <w:r w:rsidR="006F1E32" w:rsidRPr="006F1E32">
        <w:rPr>
          <w:lang w:val="en-GB"/>
        </w:rPr>
        <w:t xml:space="preserve">The system uses a shared distribution circuit for SH and DHW preparation with a central SH buffer and </w:t>
      </w:r>
      <w:r w:rsidR="006F1E32">
        <w:rPr>
          <w:lang w:val="en-GB"/>
        </w:rPr>
        <w:t xml:space="preserve">flat-wise </w:t>
      </w:r>
      <w:r w:rsidR="006F1E32" w:rsidRPr="006F1E32">
        <w:rPr>
          <w:lang w:val="en-GB"/>
        </w:rPr>
        <w:t xml:space="preserve">DHW buffers. </w:t>
      </w:r>
      <w:r w:rsidR="000D262A">
        <w:rPr>
          <w:lang w:val="en-GB"/>
        </w:rPr>
        <w:t xml:space="preserve">Outside the DHW charging windows, </w:t>
      </w:r>
      <w:r w:rsidR="006F1E32" w:rsidRPr="006F1E32">
        <w:rPr>
          <w:lang w:val="en-GB"/>
        </w:rPr>
        <w:t xml:space="preserve">SH flow temperature is independent of DHW preparation, allowing ambient temperature compensation via a heating curve. </w:t>
      </w:r>
      <w:r w:rsidR="006F1E32">
        <w:rPr>
          <w:lang w:val="en-GB"/>
        </w:rPr>
        <w:t>P</w:t>
      </w:r>
      <w:r w:rsidR="006F1E32" w:rsidRPr="006F1E32">
        <w:rPr>
          <w:lang w:val="en-GB"/>
        </w:rPr>
        <w:t>rovided the system is equipped with cooling-compatible emission units</w:t>
      </w:r>
      <w:r w:rsidR="006F1E32">
        <w:rPr>
          <w:lang w:val="en-GB"/>
        </w:rPr>
        <w:t>,</w:t>
      </w:r>
      <w:r w:rsidR="006F1E32" w:rsidRPr="006F1E32">
        <w:rPr>
          <w:lang w:val="en-GB"/>
        </w:rPr>
        <w:t xml:space="preserve"> </w:t>
      </w:r>
      <w:r w:rsidR="006F1E32">
        <w:rPr>
          <w:lang w:val="en-GB"/>
        </w:rPr>
        <w:t>s</w:t>
      </w:r>
      <w:r w:rsidR="006F1E32" w:rsidRPr="006F1E32">
        <w:rPr>
          <w:lang w:val="en-GB"/>
        </w:rPr>
        <w:t>pace cooling is</w:t>
      </w:r>
      <w:r w:rsidR="006F1E32">
        <w:rPr>
          <w:lang w:val="en-GB"/>
        </w:rPr>
        <w:t xml:space="preserve"> possible but</w:t>
      </w:r>
      <w:r w:rsidR="006F1E32" w:rsidRPr="006F1E32">
        <w:rPr>
          <w:lang w:val="en-GB"/>
        </w:rPr>
        <w:t xml:space="preserve"> </w:t>
      </w:r>
      <w:r w:rsidR="006F1E32">
        <w:rPr>
          <w:lang w:val="en-GB"/>
        </w:rPr>
        <w:t>limited, and depending on the volume of the DHW buffers and the corresponding length of the charging window</w:t>
      </w:r>
      <w:r w:rsidR="006F1E32" w:rsidRPr="006F1E32">
        <w:rPr>
          <w:lang w:val="en-GB"/>
        </w:rPr>
        <w:t>. D</w:t>
      </w:r>
      <w:r w:rsidR="004974E9">
        <w:rPr>
          <w:lang w:val="en-GB"/>
        </w:rPr>
        <w:t>HW</w:t>
      </w:r>
      <w:r w:rsidR="006F1E32" w:rsidRPr="006F1E32">
        <w:rPr>
          <w:lang w:val="en-GB"/>
        </w:rPr>
        <w:t xml:space="preserve"> is prepared in each apartment using a decentralized, flat-wise DHW buffer tank (typically 120 l</w:t>
      </w:r>
      <w:r w:rsidR="000D262A">
        <w:rPr>
          <w:lang w:val="en-GB"/>
        </w:rPr>
        <w:t xml:space="preserve"> to 150 l</w:t>
      </w:r>
      <w:r w:rsidR="006F1E32" w:rsidRPr="006F1E32">
        <w:rPr>
          <w:lang w:val="en-GB"/>
        </w:rPr>
        <w:t>) that is charged to 60 °C during designated DHW</w:t>
      </w:r>
      <w:r w:rsidR="006F1E32">
        <w:rPr>
          <w:lang w:val="en-GB"/>
        </w:rPr>
        <w:t xml:space="preserve"> charging</w:t>
      </w:r>
      <w:r w:rsidR="006F1E32" w:rsidRPr="006F1E32">
        <w:rPr>
          <w:lang w:val="en-GB"/>
        </w:rPr>
        <w:t xml:space="preserve"> windows (typically 2 to 3 times per day). While this configuration enables heating curve optimization outside of charging windows and supports hybrid configurations with electric heating elements</w:t>
      </w:r>
      <w:r w:rsidR="006F1E32">
        <w:rPr>
          <w:lang w:val="en-GB"/>
        </w:rPr>
        <w:t xml:space="preserve"> in the buffer</w:t>
      </w:r>
      <w:r w:rsidR="006F1E32" w:rsidRPr="006F1E32">
        <w:rPr>
          <w:lang w:val="en-GB"/>
        </w:rPr>
        <w:t>, it demands adequate DHW storage sizing to ensure comfort.</w:t>
      </w:r>
      <w:r w:rsidR="00AF2865" w:rsidRPr="00AF2865">
        <w:rPr>
          <w:lang w:val="en-GB"/>
        </w:rPr>
        <w:t xml:space="preserve">       </w:t>
      </w:r>
    </w:p>
    <w:tbl>
      <w:tblPr>
        <w:tblStyle w:val="Tabellen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48"/>
        <w:gridCol w:w="2221"/>
        <w:gridCol w:w="2224"/>
        <w:gridCol w:w="2229"/>
      </w:tblGrid>
      <w:tr w:rsidR="00ED6638" w14:paraId="36D6EE2E" w14:textId="77777777" w:rsidTr="00ED6638">
        <w:tc>
          <w:tcPr>
            <w:tcW w:w="2248" w:type="dxa"/>
          </w:tcPr>
          <w:p w14:paraId="075494C7" w14:textId="5F73FADA" w:rsidR="00ED6638" w:rsidRDefault="00ED6638" w:rsidP="009A3FD1">
            <w:pPr>
              <w:pStyle w:val="SWCTableFigureCaption"/>
              <w:tabs>
                <w:tab w:val="left" w:pos="566"/>
                <w:tab w:val="center" w:pos="4489"/>
              </w:tabs>
              <w:ind w:left="0"/>
              <w:jc w:val="left"/>
            </w:pPr>
            <w:r w:rsidRPr="00ED6638">
              <w:rPr>
                <w:noProof/>
                <w:lang w:val="de-DE"/>
              </w:rPr>
              <w:drawing>
                <wp:inline distT="0" distB="0" distL="0" distR="0" wp14:anchorId="7F6B6C89" wp14:editId="4FA07C8C">
                  <wp:extent cx="1400942" cy="1080000"/>
                  <wp:effectExtent l="0" t="0" r="8890" b="6350"/>
                  <wp:docPr id="17" name="Grafik 6">
                    <a:extLst xmlns:a="http://schemas.openxmlformats.org/drawingml/2006/main">
                      <a:ext uri="{FF2B5EF4-FFF2-40B4-BE49-F238E27FC236}">
                        <a16:creationId xmlns:a16="http://schemas.microsoft.com/office/drawing/2014/main" id="{C7D1F09A-0F99-99F1-47DF-33FE38750C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C7D1F09A-0F99-99F1-47DF-33FE38750CC2}"/>
                              </a:ext>
                            </a:extLst>
                          </pic:cNvPr>
                          <pic:cNvPicPr>
                            <a:picLocks noChangeAspect="1"/>
                          </pic:cNvPicPr>
                        </pic:nvPicPr>
                        <pic:blipFill>
                          <a:blip r:embed="rId18"/>
                          <a:stretch>
                            <a:fillRect/>
                          </a:stretch>
                        </pic:blipFill>
                        <pic:spPr>
                          <a:xfrm>
                            <a:off x="0" y="0"/>
                            <a:ext cx="1400942" cy="1080000"/>
                          </a:xfrm>
                          <a:prstGeom prst="rect">
                            <a:avLst/>
                          </a:prstGeom>
                        </pic:spPr>
                      </pic:pic>
                    </a:graphicData>
                  </a:graphic>
                </wp:inline>
              </w:drawing>
            </w:r>
          </w:p>
        </w:tc>
        <w:tc>
          <w:tcPr>
            <w:tcW w:w="2221" w:type="dxa"/>
          </w:tcPr>
          <w:p w14:paraId="52DC518F" w14:textId="074F4DD8" w:rsidR="00ED6638" w:rsidRDefault="00ED6638" w:rsidP="009A3FD1">
            <w:pPr>
              <w:pStyle w:val="SWCTableFigureCaption"/>
              <w:tabs>
                <w:tab w:val="left" w:pos="566"/>
                <w:tab w:val="center" w:pos="4489"/>
              </w:tabs>
              <w:ind w:left="0"/>
              <w:jc w:val="left"/>
            </w:pPr>
            <w:r w:rsidRPr="009A3FD1">
              <w:rPr>
                <w:noProof/>
                <w:lang w:val="de-DE"/>
              </w:rPr>
              <w:drawing>
                <wp:inline distT="0" distB="0" distL="0" distR="0" wp14:anchorId="086A1AFC" wp14:editId="255C2EAB">
                  <wp:extent cx="1392694" cy="1080000"/>
                  <wp:effectExtent l="0" t="0" r="0" b="6350"/>
                  <wp:docPr id="2" name="Grafik 4">
                    <a:extLst xmlns:a="http://schemas.openxmlformats.org/drawingml/2006/main">
                      <a:ext uri="{FF2B5EF4-FFF2-40B4-BE49-F238E27FC236}">
                        <a16:creationId xmlns:a16="http://schemas.microsoft.com/office/drawing/2014/main" id="{39DFED06-6D02-CE5C-730E-13F6DA5CA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39DFED06-6D02-CE5C-730E-13F6DA5CAB0E}"/>
                              </a:ext>
                            </a:extLst>
                          </pic:cNvPr>
                          <pic:cNvPicPr>
                            <a:picLocks noChangeAspect="1"/>
                          </pic:cNvPicPr>
                        </pic:nvPicPr>
                        <pic:blipFill>
                          <a:blip r:embed="rId19"/>
                          <a:stretch>
                            <a:fillRect/>
                          </a:stretch>
                        </pic:blipFill>
                        <pic:spPr>
                          <a:xfrm>
                            <a:off x="0" y="0"/>
                            <a:ext cx="1392694" cy="1080000"/>
                          </a:xfrm>
                          <a:prstGeom prst="rect">
                            <a:avLst/>
                          </a:prstGeom>
                        </pic:spPr>
                      </pic:pic>
                    </a:graphicData>
                  </a:graphic>
                </wp:inline>
              </w:drawing>
            </w:r>
          </w:p>
        </w:tc>
        <w:tc>
          <w:tcPr>
            <w:tcW w:w="2224" w:type="dxa"/>
          </w:tcPr>
          <w:p w14:paraId="4FC8AC8F" w14:textId="3E4EF50F" w:rsidR="00ED6638" w:rsidRPr="009A3FD1" w:rsidRDefault="00ED6638" w:rsidP="009A3FD1">
            <w:pPr>
              <w:pStyle w:val="SWCTableFigureCaption"/>
              <w:tabs>
                <w:tab w:val="left" w:pos="566"/>
                <w:tab w:val="center" w:pos="4489"/>
              </w:tabs>
              <w:ind w:left="0"/>
              <w:jc w:val="left"/>
              <w:rPr>
                <w:lang w:val="de-DE"/>
              </w:rPr>
            </w:pPr>
            <w:r w:rsidRPr="00ED6638">
              <w:rPr>
                <w:noProof/>
                <w:lang w:val="de-DE"/>
              </w:rPr>
              <w:drawing>
                <wp:inline distT="0" distB="0" distL="0" distR="0" wp14:anchorId="40575A7D" wp14:editId="75373B0E">
                  <wp:extent cx="1393894" cy="1080000"/>
                  <wp:effectExtent l="0" t="0" r="0" b="6350"/>
                  <wp:docPr id="16" name="Grafik 6">
                    <a:extLst xmlns:a="http://schemas.openxmlformats.org/drawingml/2006/main">
                      <a:ext uri="{FF2B5EF4-FFF2-40B4-BE49-F238E27FC236}">
                        <a16:creationId xmlns:a16="http://schemas.microsoft.com/office/drawing/2014/main" id="{426BE094-069D-216C-407A-4E283830C3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426BE094-069D-216C-407A-4E283830C372}"/>
                              </a:ext>
                            </a:extLst>
                          </pic:cNvPr>
                          <pic:cNvPicPr>
                            <a:picLocks noChangeAspect="1"/>
                          </pic:cNvPicPr>
                        </pic:nvPicPr>
                        <pic:blipFill>
                          <a:blip r:embed="rId20"/>
                          <a:stretch>
                            <a:fillRect/>
                          </a:stretch>
                        </pic:blipFill>
                        <pic:spPr>
                          <a:xfrm>
                            <a:off x="0" y="0"/>
                            <a:ext cx="1393894" cy="1080000"/>
                          </a:xfrm>
                          <a:prstGeom prst="rect">
                            <a:avLst/>
                          </a:prstGeom>
                        </pic:spPr>
                      </pic:pic>
                    </a:graphicData>
                  </a:graphic>
                </wp:inline>
              </w:drawing>
            </w:r>
          </w:p>
        </w:tc>
        <w:tc>
          <w:tcPr>
            <w:tcW w:w="2229" w:type="dxa"/>
          </w:tcPr>
          <w:p w14:paraId="6931CEC9" w14:textId="2DC4EA98" w:rsidR="00ED6638" w:rsidRDefault="00CB12D1" w:rsidP="009A3FD1">
            <w:pPr>
              <w:pStyle w:val="SWCTableFigureCaption"/>
              <w:tabs>
                <w:tab w:val="left" w:pos="566"/>
                <w:tab w:val="center" w:pos="4489"/>
              </w:tabs>
              <w:ind w:left="0"/>
              <w:jc w:val="left"/>
            </w:pPr>
            <w:r>
              <w:rPr>
                <w:noProof/>
                <w:lang w:val="en-GB"/>
              </w:rPr>
              <w:drawing>
                <wp:anchor distT="0" distB="0" distL="114300" distR="114300" simplePos="0" relativeHeight="251656192" behindDoc="0" locked="0" layoutInCell="1" allowOverlap="1" wp14:anchorId="71580272" wp14:editId="1E78DD9F">
                  <wp:simplePos x="0" y="0"/>
                  <wp:positionH relativeFrom="column">
                    <wp:posOffset>770036</wp:posOffset>
                  </wp:positionH>
                  <wp:positionV relativeFrom="paragraph">
                    <wp:posOffset>620395</wp:posOffset>
                  </wp:positionV>
                  <wp:extent cx="618435" cy="490393"/>
                  <wp:effectExtent l="0" t="0" r="0" b="508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8435" cy="490393"/>
                          </a:xfrm>
                          <a:prstGeom prst="rect">
                            <a:avLst/>
                          </a:prstGeom>
                          <a:noFill/>
                        </pic:spPr>
                      </pic:pic>
                    </a:graphicData>
                  </a:graphic>
                  <wp14:sizeRelH relativeFrom="page">
                    <wp14:pctWidth>0</wp14:pctWidth>
                  </wp14:sizeRelH>
                  <wp14:sizeRelV relativeFrom="page">
                    <wp14:pctHeight>0</wp14:pctHeight>
                  </wp14:sizeRelV>
                </wp:anchor>
              </w:drawing>
            </w:r>
            <w:r w:rsidR="00ED6638" w:rsidRPr="009A3FD1">
              <w:rPr>
                <w:noProof/>
                <w:lang w:val="de-DE"/>
              </w:rPr>
              <w:drawing>
                <wp:inline distT="0" distB="0" distL="0" distR="0" wp14:anchorId="36BEA892" wp14:editId="6BF8A9ED">
                  <wp:extent cx="1397309" cy="1080000"/>
                  <wp:effectExtent l="0" t="0" r="0" b="6350"/>
                  <wp:docPr id="8" name="Grafik 4">
                    <a:extLst xmlns:a="http://schemas.openxmlformats.org/drawingml/2006/main">
                      <a:ext uri="{FF2B5EF4-FFF2-40B4-BE49-F238E27FC236}">
                        <a16:creationId xmlns:a16="http://schemas.microsoft.com/office/drawing/2014/main" id="{55D02436-8D07-8645-7270-CB452F86F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55D02436-8D07-8645-7270-CB452F86F5B0}"/>
                              </a:ext>
                            </a:extLst>
                          </pic:cNvPr>
                          <pic:cNvPicPr>
                            <a:picLocks noChangeAspect="1"/>
                          </pic:cNvPicPr>
                        </pic:nvPicPr>
                        <pic:blipFill>
                          <a:blip r:embed="rId22"/>
                          <a:stretch>
                            <a:fillRect/>
                          </a:stretch>
                        </pic:blipFill>
                        <pic:spPr>
                          <a:xfrm>
                            <a:off x="0" y="0"/>
                            <a:ext cx="1397309" cy="1080000"/>
                          </a:xfrm>
                          <a:prstGeom prst="rect">
                            <a:avLst/>
                          </a:prstGeom>
                        </pic:spPr>
                      </pic:pic>
                    </a:graphicData>
                  </a:graphic>
                </wp:inline>
              </w:drawing>
            </w:r>
          </w:p>
        </w:tc>
      </w:tr>
      <w:tr w:rsidR="00ED6638" w:rsidRPr="00936C27" w14:paraId="0F103C6C" w14:textId="77777777" w:rsidTr="00ED6638">
        <w:tc>
          <w:tcPr>
            <w:tcW w:w="2248" w:type="dxa"/>
          </w:tcPr>
          <w:p w14:paraId="6E7C2988" w14:textId="62C60FCF" w:rsidR="00ED6638" w:rsidRPr="0091628A" w:rsidRDefault="00ED6638" w:rsidP="00C633F9">
            <w:pPr>
              <w:pStyle w:val="SWCTableFigureCaption"/>
              <w:tabs>
                <w:tab w:val="left" w:pos="566"/>
                <w:tab w:val="center" w:pos="4489"/>
              </w:tabs>
              <w:ind w:left="0"/>
              <w:rPr>
                <w:sz w:val="14"/>
                <w:szCs w:val="18"/>
              </w:rPr>
            </w:pPr>
            <w:r w:rsidRPr="0091628A">
              <w:rPr>
                <w:sz w:val="14"/>
                <w:szCs w:val="18"/>
              </w:rPr>
              <w:t>4-pipe system with circulation (C)</w:t>
            </w:r>
          </w:p>
        </w:tc>
        <w:tc>
          <w:tcPr>
            <w:tcW w:w="2221" w:type="dxa"/>
          </w:tcPr>
          <w:p w14:paraId="2C5249E8" w14:textId="721C8125" w:rsidR="00ED6638" w:rsidRPr="0091628A" w:rsidRDefault="00ED6638" w:rsidP="00C633F9">
            <w:pPr>
              <w:pStyle w:val="SWCTableFigureCaption"/>
              <w:tabs>
                <w:tab w:val="left" w:pos="566"/>
                <w:tab w:val="center" w:pos="4489"/>
              </w:tabs>
              <w:ind w:left="0"/>
              <w:rPr>
                <w:sz w:val="14"/>
                <w:szCs w:val="18"/>
              </w:rPr>
            </w:pPr>
            <w:r w:rsidRPr="0091628A">
              <w:rPr>
                <w:sz w:val="14"/>
                <w:szCs w:val="18"/>
              </w:rPr>
              <w:t>2+2-pipe system with fresh water station (FWS)</w:t>
            </w:r>
          </w:p>
        </w:tc>
        <w:tc>
          <w:tcPr>
            <w:tcW w:w="2224" w:type="dxa"/>
          </w:tcPr>
          <w:p w14:paraId="2DBF4207" w14:textId="6CCE456E" w:rsidR="00ED6638" w:rsidRPr="0091628A" w:rsidRDefault="00ED6638" w:rsidP="00C633F9">
            <w:pPr>
              <w:pStyle w:val="SWCTableFigureCaption"/>
              <w:tabs>
                <w:tab w:val="left" w:pos="566"/>
                <w:tab w:val="center" w:pos="4489"/>
              </w:tabs>
              <w:ind w:left="0"/>
              <w:rPr>
                <w:sz w:val="14"/>
                <w:szCs w:val="18"/>
              </w:rPr>
            </w:pPr>
            <w:r w:rsidRPr="0091628A">
              <w:rPr>
                <w:sz w:val="14"/>
                <w:szCs w:val="18"/>
              </w:rPr>
              <w:t>3-pipe system with fresh water station (FWS</w:t>
            </w:r>
            <w:r w:rsidR="004974E9">
              <w:rPr>
                <w:sz w:val="14"/>
                <w:szCs w:val="18"/>
              </w:rPr>
              <w:t>)</w:t>
            </w:r>
          </w:p>
        </w:tc>
        <w:tc>
          <w:tcPr>
            <w:tcW w:w="2229" w:type="dxa"/>
          </w:tcPr>
          <w:p w14:paraId="6BEA1ABA" w14:textId="60BE0D49" w:rsidR="00ED6638" w:rsidRPr="0091628A" w:rsidRDefault="00ED6638" w:rsidP="00C633F9">
            <w:pPr>
              <w:pStyle w:val="SWCTableFigureCaption"/>
              <w:tabs>
                <w:tab w:val="left" w:pos="566"/>
                <w:tab w:val="center" w:pos="4489"/>
              </w:tabs>
              <w:ind w:left="0"/>
              <w:rPr>
                <w:sz w:val="14"/>
                <w:szCs w:val="18"/>
              </w:rPr>
            </w:pPr>
            <w:r w:rsidRPr="0091628A">
              <w:rPr>
                <w:sz w:val="14"/>
                <w:szCs w:val="18"/>
              </w:rPr>
              <w:t>2-pipe system with heat transfer station (HTS)</w:t>
            </w:r>
            <w:r w:rsidR="008D3FFC" w:rsidRPr="0091628A">
              <w:rPr>
                <w:sz w:val="14"/>
                <w:szCs w:val="18"/>
              </w:rPr>
              <w:t>, optionally with FTPH</w:t>
            </w:r>
            <w:r w:rsidR="00CB12D1" w:rsidRPr="0091628A">
              <w:rPr>
                <w:sz w:val="14"/>
                <w:szCs w:val="18"/>
              </w:rPr>
              <w:t xml:space="preserve"> or </w:t>
            </w:r>
            <w:r w:rsidR="0091628A" w:rsidRPr="0091628A">
              <w:rPr>
                <w:sz w:val="14"/>
                <w:szCs w:val="18"/>
              </w:rPr>
              <w:t xml:space="preserve">alternatively with </w:t>
            </w:r>
            <w:r w:rsidR="00CB12D1" w:rsidRPr="0091628A">
              <w:rPr>
                <w:sz w:val="14"/>
                <w:szCs w:val="18"/>
              </w:rPr>
              <w:t>decentral buffer</w:t>
            </w:r>
          </w:p>
        </w:tc>
      </w:tr>
    </w:tbl>
    <w:p w14:paraId="319FB8BC" w14:textId="381D5215" w:rsidR="009A3FD1" w:rsidRDefault="009A3FD1" w:rsidP="00F231EF">
      <w:pPr>
        <w:pStyle w:val="SWCTableFigureCaption"/>
      </w:pPr>
      <w:r>
        <w:t xml:space="preserve">Fig. </w:t>
      </w:r>
      <w:r w:rsidR="00F46917">
        <w:t>4</w:t>
      </w:r>
      <w:r>
        <w:t>:</w:t>
      </w:r>
      <w:r w:rsidR="00B702D4" w:rsidRPr="00B702D4">
        <w:t xml:space="preserve"> </w:t>
      </w:r>
      <w:r w:rsidR="00B702D4">
        <w:t>S</w:t>
      </w:r>
      <w:r w:rsidR="00B702D4" w:rsidRPr="00C633F9">
        <w:t>chematic overview of</w:t>
      </w:r>
      <w:r w:rsidR="00B702D4" w:rsidRPr="00B702D4">
        <w:t xml:space="preserve"> common</w:t>
      </w:r>
      <w:r w:rsidR="00B702D4" w:rsidRPr="00C633F9">
        <w:t xml:space="preserve"> </w:t>
      </w:r>
      <w:r w:rsidR="00B702D4" w:rsidRPr="00B702D4">
        <w:t>central</w:t>
      </w:r>
      <w:r w:rsidR="00B702D4" w:rsidRPr="00C633F9">
        <w:t xml:space="preserve"> DHW system </w:t>
      </w:r>
      <w:r w:rsidR="00B702D4" w:rsidRPr="00F231EF">
        <w:t>concepts</w:t>
      </w:r>
      <w:r w:rsidR="00B702D4" w:rsidRPr="00B702D4">
        <w:t xml:space="preserve"> for</w:t>
      </w:r>
      <w:r w:rsidR="006C085B">
        <w:t xml:space="preserve"> the example of</w:t>
      </w:r>
      <w:r w:rsidR="00B702D4" w:rsidRPr="00B702D4">
        <w:t xml:space="preserve"> a staircase with five flats</w:t>
      </w:r>
    </w:p>
    <w:p w14:paraId="6C76D905" w14:textId="33EFFFE7" w:rsidR="00573ABC" w:rsidRDefault="00B50325" w:rsidP="00821A4F">
      <w:pPr>
        <w:pStyle w:val="SWCText"/>
      </w:pPr>
      <w:r w:rsidRPr="00B50325">
        <w:rPr>
          <w:lang w:val="en-GB"/>
        </w:rPr>
        <w:t>Fig</w:t>
      </w:r>
      <w:r w:rsidR="00821A4F">
        <w:rPr>
          <w:lang w:val="en-GB"/>
        </w:rPr>
        <w:t>.</w:t>
      </w:r>
      <w:r w:rsidRPr="00B50325">
        <w:rPr>
          <w:lang w:val="en-GB"/>
        </w:rPr>
        <w:t xml:space="preserve"> </w:t>
      </w:r>
      <w:r w:rsidR="00F46917">
        <w:rPr>
          <w:lang w:val="en-GB"/>
        </w:rPr>
        <w:t>5</w:t>
      </w:r>
      <w:r>
        <w:rPr>
          <w:lang w:val="en-GB"/>
        </w:rPr>
        <w:t xml:space="preserve"> shows exemplarily</w:t>
      </w:r>
      <w:r w:rsidR="004974E9">
        <w:rPr>
          <w:lang w:val="en-GB"/>
        </w:rPr>
        <w:t xml:space="preserve"> for the case of the 2+2-p system </w:t>
      </w:r>
      <w:r>
        <w:rPr>
          <w:lang w:val="en-GB"/>
        </w:rPr>
        <w:t>different configurations:</w:t>
      </w:r>
      <w:r w:rsidR="00821A4F">
        <w:rPr>
          <w:lang w:val="en-GB"/>
        </w:rPr>
        <w:t xml:space="preserve"> 3, 4, 5 and 6</w:t>
      </w:r>
      <w:r>
        <w:rPr>
          <w:lang w:val="en-GB"/>
        </w:rPr>
        <w:t xml:space="preserve"> flats per staircase</w:t>
      </w:r>
      <w:r w:rsidR="00821A4F">
        <w:rPr>
          <w:lang w:val="en-GB"/>
        </w:rPr>
        <w:t xml:space="preserve"> and 3 staircases x 5 flats with the corresponding simultaneity factor acc. to eq. 1 and the peak power based on 25</w:t>
      </w:r>
      <w:r w:rsidR="004974E9">
        <w:rPr>
          <w:lang w:val="en-GB"/>
        </w:rPr>
        <w:t> </w:t>
      </w:r>
      <w:r w:rsidR="00821A4F">
        <w:rPr>
          <w:lang w:val="en-GB"/>
        </w:rPr>
        <w:t>kW per flat.</w:t>
      </w:r>
      <w:r w:rsidR="008A10B7">
        <w:rPr>
          <w:lang w:val="en-GB"/>
        </w:rPr>
        <w:t xml:space="preserve"> The</w:t>
      </w:r>
      <w:r w:rsidR="004974E9">
        <w:rPr>
          <w:lang w:val="en-GB"/>
        </w:rPr>
        <w:t xml:space="preserve"> configuration influences the</w:t>
      </w:r>
      <w:r w:rsidR="008A10B7">
        <w:rPr>
          <w:lang w:val="en-GB"/>
        </w:rPr>
        <w:t xml:space="preserve"> thermal</w:t>
      </w:r>
      <w:r w:rsidR="004974E9">
        <w:rPr>
          <w:lang w:val="en-GB"/>
        </w:rPr>
        <w:t xml:space="preserve"> distribution</w:t>
      </w:r>
      <w:r w:rsidR="008A10B7">
        <w:rPr>
          <w:lang w:val="en-GB"/>
        </w:rPr>
        <w:t xml:space="preserve"> losses and the return temperature</w:t>
      </w:r>
      <w:r w:rsidR="004974E9">
        <w:rPr>
          <w:lang w:val="en-GB"/>
        </w:rPr>
        <w:t>.</w:t>
      </w:r>
      <w:r w:rsidR="008A10B7">
        <w:rPr>
          <w:lang w:val="en-GB"/>
        </w:rPr>
        <w:t xml:space="preserve"> </w:t>
      </w:r>
      <w:r w:rsidR="004974E9">
        <w:rPr>
          <w:lang w:val="en-GB"/>
        </w:rPr>
        <w:t>T</w:t>
      </w:r>
      <w:r w:rsidR="008A10B7">
        <w:rPr>
          <w:lang w:val="en-GB"/>
        </w:rPr>
        <w:t xml:space="preserve">he </w:t>
      </w:r>
      <w:r w:rsidR="008A10B7">
        <w:rPr>
          <w:lang w:val="en-GB"/>
        </w:rPr>
        <w:lastRenderedPageBreak/>
        <w:t xml:space="preserve">simulation performance (i.e. simulation time) </w:t>
      </w:r>
      <w:r w:rsidR="004974E9">
        <w:rPr>
          <w:lang w:val="en-GB"/>
        </w:rPr>
        <w:t xml:space="preserve">is additionally </w:t>
      </w:r>
      <w:r w:rsidR="008A10B7">
        <w:rPr>
          <w:lang w:val="en-GB"/>
        </w:rPr>
        <w:t>compare</w:t>
      </w:r>
      <w:r w:rsidR="004974E9">
        <w:rPr>
          <w:lang w:val="en-GB"/>
        </w:rPr>
        <w:t>d</w:t>
      </w:r>
      <w:r w:rsidR="008A10B7">
        <w:rPr>
          <w:lang w:val="en-GB"/>
        </w:rPr>
        <w:t xml:space="preserve"> for the cases of different number of staircases in parallel: </w:t>
      </w:r>
      <w:r w:rsidR="008A10B7" w:rsidRPr="008A10B7">
        <w:t>1x5, 2x5, 3x5, 4x5, 6x5, 8x5, 10x5.</w:t>
      </w:r>
      <w:r w:rsidR="008A10B7">
        <w:rPr>
          <w:lang w:val="en-GB"/>
        </w:rPr>
        <w:t xml:space="preserve"> </w:t>
      </w:r>
    </w:p>
    <w:tbl>
      <w:tblPr>
        <w:tblStyle w:val="Tabellenraster"/>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75"/>
        <w:gridCol w:w="1497"/>
        <w:gridCol w:w="1301"/>
        <w:gridCol w:w="1376"/>
        <w:gridCol w:w="3373"/>
      </w:tblGrid>
      <w:tr w:rsidR="00CC4714" w:rsidRPr="00B702D4" w14:paraId="3704B28F" w14:textId="195F0072" w:rsidTr="00B50325">
        <w:tc>
          <w:tcPr>
            <w:tcW w:w="5549" w:type="dxa"/>
            <w:gridSpan w:val="4"/>
          </w:tcPr>
          <w:p w14:paraId="49ED7DEC" w14:textId="61DD98FB" w:rsidR="008072A5" w:rsidRDefault="008072A5" w:rsidP="009F3C35">
            <w:pPr>
              <w:pStyle w:val="SWCTableFigureCaption"/>
              <w:tabs>
                <w:tab w:val="left" w:pos="566"/>
                <w:tab w:val="center" w:pos="4489"/>
              </w:tabs>
              <w:ind w:left="0"/>
              <w:jc w:val="left"/>
            </w:pPr>
            <w:r w:rsidRPr="008072A5">
              <w:rPr>
                <w:noProof/>
                <w:lang w:val="de-DE"/>
              </w:rPr>
              <w:drawing>
                <wp:inline distT="0" distB="0" distL="0" distR="0" wp14:anchorId="0D42B8B1" wp14:editId="47C16FA5">
                  <wp:extent cx="3487711" cy="1570034"/>
                  <wp:effectExtent l="0" t="0" r="0" b="0"/>
                  <wp:docPr id="14" name="Grafik 2">
                    <a:extLst xmlns:a="http://schemas.openxmlformats.org/drawingml/2006/main">
                      <a:ext uri="{FF2B5EF4-FFF2-40B4-BE49-F238E27FC236}">
                        <a16:creationId xmlns:a16="http://schemas.microsoft.com/office/drawing/2014/main" id="{3FF900C1-C2DA-B455-58E5-B5B84A549A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FF900C1-C2DA-B455-58E5-B5B84A549A35}"/>
                              </a:ext>
                            </a:extLst>
                          </pic:cNvPr>
                          <pic:cNvPicPr>
                            <a:picLocks noChangeAspect="1"/>
                          </pic:cNvPicPr>
                        </pic:nvPicPr>
                        <pic:blipFill>
                          <a:blip r:embed="rId23"/>
                          <a:stretch>
                            <a:fillRect/>
                          </a:stretch>
                        </pic:blipFill>
                        <pic:spPr>
                          <a:xfrm>
                            <a:off x="0" y="0"/>
                            <a:ext cx="3532668" cy="1590272"/>
                          </a:xfrm>
                          <a:prstGeom prst="rect">
                            <a:avLst/>
                          </a:prstGeom>
                        </pic:spPr>
                      </pic:pic>
                    </a:graphicData>
                  </a:graphic>
                </wp:inline>
              </w:drawing>
            </w:r>
          </w:p>
        </w:tc>
        <w:tc>
          <w:tcPr>
            <w:tcW w:w="3373" w:type="dxa"/>
            <w:vAlign w:val="bottom"/>
          </w:tcPr>
          <w:p w14:paraId="6CA0DC12" w14:textId="17765261" w:rsidR="008072A5" w:rsidRPr="008072A5" w:rsidRDefault="008072A5" w:rsidP="008072A5">
            <w:pPr>
              <w:pStyle w:val="SWCTableFigureCaption"/>
              <w:tabs>
                <w:tab w:val="left" w:pos="566"/>
                <w:tab w:val="center" w:pos="4489"/>
              </w:tabs>
              <w:ind w:left="0"/>
              <w:rPr>
                <w:lang w:val="de-DE"/>
              </w:rPr>
            </w:pPr>
            <w:r w:rsidRPr="008072A5">
              <w:rPr>
                <w:noProof/>
                <w:lang w:val="de-DE"/>
              </w:rPr>
              <w:drawing>
                <wp:inline distT="0" distB="0" distL="0" distR="0" wp14:anchorId="31430F7B" wp14:editId="73AAECED">
                  <wp:extent cx="1770977" cy="1373349"/>
                  <wp:effectExtent l="0" t="0" r="1270" b="0"/>
                  <wp:docPr id="15" name="Grafik 2">
                    <a:extLst xmlns:a="http://schemas.openxmlformats.org/drawingml/2006/main">
                      <a:ext uri="{FF2B5EF4-FFF2-40B4-BE49-F238E27FC236}">
                        <a16:creationId xmlns:a16="http://schemas.microsoft.com/office/drawing/2014/main" id="{B5D313F8-95FB-89A6-C35F-C92B215C3D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B5D313F8-95FB-89A6-C35F-C92B215C3DFF}"/>
                              </a:ext>
                            </a:extLst>
                          </pic:cNvPr>
                          <pic:cNvPicPr>
                            <a:picLocks noChangeAspect="1"/>
                          </pic:cNvPicPr>
                        </pic:nvPicPr>
                        <pic:blipFill>
                          <a:blip r:embed="rId24"/>
                          <a:stretch>
                            <a:fillRect/>
                          </a:stretch>
                        </pic:blipFill>
                        <pic:spPr>
                          <a:xfrm>
                            <a:off x="0" y="0"/>
                            <a:ext cx="1798940" cy="1395034"/>
                          </a:xfrm>
                          <a:prstGeom prst="rect">
                            <a:avLst/>
                          </a:prstGeom>
                        </pic:spPr>
                      </pic:pic>
                    </a:graphicData>
                  </a:graphic>
                </wp:inline>
              </w:drawing>
            </w:r>
          </w:p>
        </w:tc>
      </w:tr>
      <w:tr w:rsidR="00CC4714" w:rsidRPr="009A3FD1" w14:paraId="42607445" w14:textId="72278364" w:rsidTr="00B50325">
        <w:tc>
          <w:tcPr>
            <w:tcW w:w="1375" w:type="dxa"/>
            <w:vAlign w:val="center"/>
          </w:tcPr>
          <w:p w14:paraId="36F5E204" w14:textId="77777777" w:rsidR="008072A5" w:rsidRDefault="008072A5" w:rsidP="008072A5">
            <w:pPr>
              <w:pStyle w:val="SWCTableFigureCaption"/>
              <w:tabs>
                <w:tab w:val="left" w:pos="566"/>
                <w:tab w:val="center" w:pos="4489"/>
              </w:tabs>
              <w:ind w:left="0"/>
            </w:pPr>
            <w:r>
              <w:t xml:space="preserve">1 x 6: </w:t>
            </w:r>
            <w:r w:rsidR="00B50325" w:rsidRPr="00B50325">
              <w:rPr>
                <w:rFonts w:ascii="Symbol" w:hAnsi="Symbol"/>
                <w:lang w:val="en-GB"/>
              </w:rPr>
              <w:t>f</w:t>
            </w:r>
            <w:r w:rsidR="00B50325">
              <w:t xml:space="preserve"> = </w:t>
            </w:r>
            <w:r>
              <w:t>0.31</w:t>
            </w:r>
          </w:p>
          <w:p w14:paraId="4A42DA09" w14:textId="01919557" w:rsidR="00B50325" w:rsidRDefault="005F6CE7" w:rsidP="008072A5">
            <w:pPr>
              <w:pStyle w:val="SWCTableFigureCaption"/>
              <w:tabs>
                <w:tab w:val="left" w:pos="566"/>
                <w:tab w:val="center" w:pos="4489"/>
              </w:tabs>
              <w:ind w:left="0"/>
            </w:pPr>
            <m:oMathPara>
              <m:oMath>
                <m:acc>
                  <m:accPr>
                    <m:chr m:val="̇"/>
                    <m:ctrlPr>
                      <w:rPr>
                        <w:rFonts w:ascii="Cambria Math" w:hAnsi="Cambria Math"/>
                        <w:i/>
                      </w:rPr>
                    </m:ctrlPr>
                  </m:accPr>
                  <m:e>
                    <m:r>
                      <m:rPr>
                        <m:sty m:val="bi"/>
                      </m:rPr>
                      <w:rPr>
                        <w:rFonts w:ascii="Cambria Math" w:hAnsi="Cambria Math"/>
                      </w:rPr>
                      <m:t>Q</m:t>
                    </m:r>
                  </m:e>
                </m:acc>
                <m:r>
                  <m:rPr>
                    <m:sty m:val="bi"/>
                  </m:rPr>
                  <w:rPr>
                    <w:rFonts w:ascii="Cambria Math" w:hAnsi="Cambria Math"/>
                  </w:rPr>
                  <m:t>=46.9 kW</m:t>
                </m:r>
              </m:oMath>
            </m:oMathPara>
          </w:p>
        </w:tc>
        <w:tc>
          <w:tcPr>
            <w:tcW w:w="1497" w:type="dxa"/>
            <w:vAlign w:val="center"/>
          </w:tcPr>
          <w:p w14:paraId="5DD999AD" w14:textId="77777777" w:rsidR="008072A5" w:rsidRDefault="008072A5" w:rsidP="008072A5">
            <w:pPr>
              <w:pStyle w:val="SWCTableFigureCaption"/>
              <w:tabs>
                <w:tab w:val="left" w:pos="566"/>
                <w:tab w:val="center" w:pos="4489"/>
              </w:tabs>
              <w:ind w:left="0"/>
            </w:pPr>
            <w:r>
              <w:t>1 x 5:</w:t>
            </w:r>
            <w:r w:rsidR="00B50325" w:rsidRPr="00B50325">
              <w:rPr>
                <w:rFonts w:ascii="Symbol" w:hAnsi="Symbol"/>
                <w:lang w:val="en-GB"/>
              </w:rPr>
              <w:t xml:space="preserve"> f</w:t>
            </w:r>
            <w:r w:rsidR="00B50325">
              <w:t xml:space="preserve"> = </w:t>
            </w:r>
            <w:r w:rsidR="00CC4714">
              <w:t>0.35</w:t>
            </w:r>
          </w:p>
          <w:p w14:paraId="01B36D0E" w14:textId="2925BE0A" w:rsidR="00B50325" w:rsidRDefault="005F6CE7" w:rsidP="008072A5">
            <w:pPr>
              <w:pStyle w:val="SWCTableFigureCaption"/>
              <w:tabs>
                <w:tab w:val="left" w:pos="566"/>
                <w:tab w:val="center" w:pos="4489"/>
              </w:tabs>
              <w:ind w:left="0"/>
            </w:pPr>
            <m:oMathPara>
              <m:oMath>
                <m:acc>
                  <m:accPr>
                    <m:chr m:val="̇"/>
                    <m:ctrlPr>
                      <w:rPr>
                        <w:rFonts w:ascii="Cambria Math" w:hAnsi="Cambria Math"/>
                        <w:i/>
                      </w:rPr>
                    </m:ctrlPr>
                  </m:accPr>
                  <m:e>
                    <m:r>
                      <m:rPr>
                        <m:sty m:val="bi"/>
                      </m:rPr>
                      <w:rPr>
                        <w:rFonts w:ascii="Cambria Math" w:hAnsi="Cambria Math"/>
                      </w:rPr>
                      <m:t>Q</m:t>
                    </m:r>
                  </m:e>
                </m:acc>
                <m:r>
                  <m:rPr>
                    <m:sty m:val="bi"/>
                  </m:rPr>
                  <w:rPr>
                    <w:rFonts w:ascii="Cambria Math" w:hAnsi="Cambria Math"/>
                  </w:rPr>
                  <m:t>=43.5 kW</m:t>
                </m:r>
              </m:oMath>
            </m:oMathPara>
          </w:p>
        </w:tc>
        <w:tc>
          <w:tcPr>
            <w:tcW w:w="1301" w:type="dxa"/>
            <w:vAlign w:val="center"/>
          </w:tcPr>
          <w:p w14:paraId="00E79532" w14:textId="77777777" w:rsidR="008072A5" w:rsidRDefault="008072A5" w:rsidP="008072A5">
            <w:pPr>
              <w:pStyle w:val="SWCTableFigureCaption"/>
              <w:tabs>
                <w:tab w:val="left" w:pos="566"/>
                <w:tab w:val="center" w:pos="4489"/>
              </w:tabs>
              <w:ind w:left="0"/>
            </w:pPr>
            <w:r>
              <w:t>1 x 4:</w:t>
            </w:r>
            <w:r w:rsidR="00CC4714">
              <w:t xml:space="preserve"> </w:t>
            </w:r>
            <w:r w:rsidR="00B50325" w:rsidRPr="00B50325">
              <w:rPr>
                <w:rFonts w:ascii="Symbol" w:hAnsi="Symbol"/>
                <w:lang w:val="en-GB"/>
              </w:rPr>
              <w:t>f</w:t>
            </w:r>
            <w:r w:rsidR="00B50325">
              <w:t xml:space="preserve"> = </w:t>
            </w:r>
            <w:r w:rsidR="00CC4714">
              <w:t>0.4</w:t>
            </w:r>
            <w:r w:rsidR="00B50325">
              <w:t>0</w:t>
            </w:r>
          </w:p>
          <w:p w14:paraId="41359774" w14:textId="4EE7379D" w:rsidR="00B50325" w:rsidRDefault="005F6CE7" w:rsidP="008072A5">
            <w:pPr>
              <w:pStyle w:val="SWCTableFigureCaption"/>
              <w:tabs>
                <w:tab w:val="left" w:pos="566"/>
                <w:tab w:val="center" w:pos="4489"/>
              </w:tabs>
              <w:ind w:left="0"/>
            </w:pPr>
            <m:oMathPara>
              <m:oMath>
                <m:acc>
                  <m:accPr>
                    <m:chr m:val="̇"/>
                    <m:ctrlPr>
                      <w:rPr>
                        <w:rFonts w:ascii="Cambria Math" w:hAnsi="Cambria Math"/>
                        <w:i/>
                      </w:rPr>
                    </m:ctrlPr>
                  </m:accPr>
                  <m:e>
                    <m:r>
                      <m:rPr>
                        <m:sty m:val="bi"/>
                      </m:rPr>
                      <w:rPr>
                        <w:rFonts w:ascii="Cambria Math" w:hAnsi="Cambria Math"/>
                      </w:rPr>
                      <m:t>Q</m:t>
                    </m:r>
                  </m:e>
                </m:acc>
                <m:r>
                  <m:rPr>
                    <m:sty m:val="bi"/>
                  </m:rPr>
                  <w:rPr>
                    <w:rFonts w:ascii="Cambria Math" w:hAnsi="Cambria Math"/>
                  </w:rPr>
                  <m:t>=39.8 kW</m:t>
                </m:r>
              </m:oMath>
            </m:oMathPara>
          </w:p>
        </w:tc>
        <w:tc>
          <w:tcPr>
            <w:tcW w:w="1376" w:type="dxa"/>
            <w:vAlign w:val="center"/>
          </w:tcPr>
          <w:p w14:paraId="74746CEE" w14:textId="77777777" w:rsidR="008072A5" w:rsidRDefault="008072A5" w:rsidP="008072A5">
            <w:pPr>
              <w:pStyle w:val="SWCTableFigureCaption"/>
              <w:tabs>
                <w:tab w:val="left" w:pos="566"/>
                <w:tab w:val="center" w:pos="4489"/>
              </w:tabs>
              <w:ind w:left="0"/>
            </w:pPr>
            <w:r>
              <w:t>1 x 3:</w:t>
            </w:r>
            <w:r w:rsidR="00CC4714">
              <w:t xml:space="preserve"> </w:t>
            </w:r>
            <w:r w:rsidR="00B50325" w:rsidRPr="00B50325">
              <w:rPr>
                <w:rFonts w:ascii="Symbol" w:hAnsi="Symbol"/>
                <w:lang w:val="en-GB"/>
              </w:rPr>
              <w:t>f</w:t>
            </w:r>
            <w:r w:rsidR="00B50325">
              <w:t xml:space="preserve"> = </w:t>
            </w:r>
            <w:r w:rsidR="00CC4714">
              <w:t>0.48</w:t>
            </w:r>
          </w:p>
          <w:p w14:paraId="5B6B6722" w14:textId="361ABD5A" w:rsidR="00B50325" w:rsidRDefault="005F6CE7" w:rsidP="008072A5">
            <w:pPr>
              <w:pStyle w:val="SWCTableFigureCaption"/>
              <w:tabs>
                <w:tab w:val="left" w:pos="566"/>
                <w:tab w:val="center" w:pos="4489"/>
              </w:tabs>
              <w:ind w:left="0"/>
            </w:pPr>
            <m:oMathPara>
              <m:oMath>
                <m:acc>
                  <m:accPr>
                    <m:chr m:val="̇"/>
                    <m:ctrlPr>
                      <w:rPr>
                        <w:rFonts w:ascii="Cambria Math" w:hAnsi="Cambria Math"/>
                        <w:i/>
                      </w:rPr>
                    </m:ctrlPr>
                  </m:accPr>
                  <m:e>
                    <m:r>
                      <m:rPr>
                        <m:sty m:val="bi"/>
                      </m:rPr>
                      <w:rPr>
                        <w:rFonts w:ascii="Cambria Math" w:hAnsi="Cambria Math"/>
                      </w:rPr>
                      <m:t>Q</m:t>
                    </m:r>
                  </m:e>
                </m:acc>
                <m:r>
                  <m:rPr>
                    <m:sty m:val="bi"/>
                  </m:rPr>
                  <w:rPr>
                    <w:rFonts w:ascii="Cambria Math" w:hAnsi="Cambria Math"/>
                  </w:rPr>
                  <m:t>=35.7  kW</m:t>
                </m:r>
              </m:oMath>
            </m:oMathPara>
          </w:p>
        </w:tc>
        <w:tc>
          <w:tcPr>
            <w:tcW w:w="3373" w:type="dxa"/>
            <w:vAlign w:val="center"/>
          </w:tcPr>
          <w:p w14:paraId="6ED7CDC6" w14:textId="77777777" w:rsidR="008072A5" w:rsidRDefault="008072A5" w:rsidP="008072A5">
            <w:pPr>
              <w:pStyle w:val="SWCTableFigureCaption"/>
              <w:tabs>
                <w:tab w:val="left" w:pos="566"/>
                <w:tab w:val="center" w:pos="4489"/>
              </w:tabs>
              <w:ind w:left="0"/>
            </w:pPr>
            <w:r>
              <w:t xml:space="preserve">3 x 5: </w:t>
            </w:r>
            <w:r w:rsidR="00B50325" w:rsidRPr="00B50325">
              <w:rPr>
                <w:rFonts w:ascii="Symbol" w:hAnsi="Symbol"/>
                <w:lang w:val="en-GB"/>
              </w:rPr>
              <w:t>f</w:t>
            </w:r>
            <w:r w:rsidR="00B50325">
              <w:t xml:space="preserve"> = </w:t>
            </w:r>
            <w:r>
              <w:t>0.19</w:t>
            </w:r>
          </w:p>
          <w:p w14:paraId="70E8800C" w14:textId="477540C1" w:rsidR="00B50325" w:rsidRDefault="005F6CE7" w:rsidP="008072A5">
            <w:pPr>
              <w:pStyle w:val="SWCTableFigureCaption"/>
              <w:tabs>
                <w:tab w:val="left" w:pos="566"/>
                <w:tab w:val="center" w:pos="4489"/>
              </w:tabs>
              <w:ind w:left="0"/>
            </w:pPr>
            <m:oMathPara>
              <m:oMath>
                <m:acc>
                  <m:accPr>
                    <m:chr m:val="̇"/>
                    <m:ctrlPr>
                      <w:rPr>
                        <w:rFonts w:ascii="Cambria Math" w:hAnsi="Cambria Math"/>
                        <w:i/>
                      </w:rPr>
                    </m:ctrlPr>
                  </m:accPr>
                  <m:e>
                    <m:r>
                      <m:rPr>
                        <m:sty m:val="bi"/>
                      </m:rPr>
                      <w:rPr>
                        <w:rFonts w:ascii="Cambria Math" w:hAnsi="Cambria Math"/>
                      </w:rPr>
                      <m:t>Q</m:t>
                    </m:r>
                  </m:e>
                </m:acc>
                <m:r>
                  <m:rPr>
                    <m:sty m:val="bi"/>
                  </m:rPr>
                  <w:rPr>
                    <w:rFonts w:ascii="Cambria Math" w:hAnsi="Cambria Math"/>
                  </w:rPr>
                  <m:t>=71.4 kW</m:t>
                </m:r>
              </m:oMath>
            </m:oMathPara>
          </w:p>
        </w:tc>
      </w:tr>
    </w:tbl>
    <w:p w14:paraId="7A7CBA8A" w14:textId="3D3D67BD" w:rsidR="009A3FD1" w:rsidRDefault="00B50325" w:rsidP="009A3FD1">
      <w:pPr>
        <w:pStyle w:val="SWCTableFigureCaption"/>
        <w:tabs>
          <w:tab w:val="left" w:pos="566"/>
          <w:tab w:val="center" w:pos="4489"/>
        </w:tabs>
        <w:jc w:val="left"/>
        <w:rPr>
          <w:lang w:val="en-GB"/>
        </w:rPr>
      </w:pPr>
      <w:r>
        <w:t xml:space="preserve">Fig. </w:t>
      </w:r>
      <w:r w:rsidR="00F46917">
        <w:t>5</w:t>
      </w:r>
      <w:r>
        <w:t>:</w:t>
      </w:r>
      <w:r w:rsidRPr="00B702D4">
        <w:t xml:space="preserve"> </w:t>
      </w:r>
      <w:r w:rsidR="009A3FD1">
        <w:rPr>
          <w:lang w:val="en-GB"/>
        </w:rPr>
        <w:t>Different piping configurations</w:t>
      </w:r>
      <w:r w:rsidR="008072A5">
        <w:rPr>
          <w:lang w:val="en-GB"/>
        </w:rPr>
        <w:t xml:space="preserve"> and simultaneity</w:t>
      </w:r>
      <w:r>
        <w:rPr>
          <w:lang w:val="en-GB"/>
        </w:rPr>
        <w:t xml:space="preserve"> </w:t>
      </w:r>
      <w:r w:rsidRPr="00B50325">
        <w:rPr>
          <w:rFonts w:ascii="Symbol" w:hAnsi="Symbol"/>
          <w:lang w:val="en-GB"/>
        </w:rPr>
        <w:t>f</w:t>
      </w:r>
      <w:r>
        <w:rPr>
          <w:lang w:val="en-GB"/>
        </w:rPr>
        <w:t xml:space="preserve"> acc. to eq. 1 and resulting peak power for DHW preparation assuming 25 kW peak power per flat.</w:t>
      </w:r>
    </w:p>
    <w:p w14:paraId="3467036A" w14:textId="588C0C5A" w:rsidR="004379E4" w:rsidRDefault="004974E9" w:rsidP="008D3FFC">
      <w:pPr>
        <w:pStyle w:val="SWCText"/>
        <w:rPr>
          <w:lang w:val="en-GB"/>
        </w:rPr>
      </w:pPr>
      <w:r>
        <w:rPr>
          <w:lang w:val="en-GB"/>
        </w:rPr>
        <w:t xml:space="preserve">In addition, </w:t>
      </w:r>
      <w:r w:rsidR="008D3FFC">
        <w:rPr>
          <w:lang w:val="en-GB"/>
        </w:rPr>
        <w:t xml:space="preserve">three </w:t>
      </w:r>
      <w:r>
        <w:rPr>
          <w:lang w:val="en-GB"/>
        </w:rPr>
        <w:t xml:space="preserve">different types of </w:t>
      </w:r>
      <w:r w:rsidR="008D3FFC">
        <w:rPr>
          <w:lang w:val="en-GB"/>
        </w:rPr>
        <w:t>decentral</w:t>
      </w:r>
      <w:r>
        <w:rPr>
          <w:lang w:val="en-GB"/>
        </w:rPr>
        <w:t xml:space="preserve"> DHW</w:t>
      </w:r>
      <w:r w:rsidR="008D3FFC">
        <w:rPr>
          <w:lang w:val="en-GB"/>
        </w:rPr>
        <w:t xml:space="preserve"> systems</w:t>
      </w:r>
      <w:r w:rsidR="00FB5A1E">
        <w:rPr>
          <w:lang w:val="en-GB"/>
        </w:rPr>
        <w:t xml:space="preserve"> as well as a semi-central system with booster-HP</w:t>
      </w:r>
      <w:r w:rsidR="008D3FFC">
        <w:rPr>
          <w:lang w:val="en-GB"/>
        </w:rPr>
        <w:t xml:space="preserve"> are</w:t>
      </w:r>
      <w:r>
        <w:rPr>
          <w:lang w:val="en-GB"/>
        </w:rPr>
        <w:t xml:space="preserve"> compared and</w:t>
      </w:r>
      <w:r w:rsidR="008D3FFC">
        <w:rPr>
          <w:lang w:val="en-GB"/>
        </w:rPr>
        <w:t xml:space="preserve"> shown in Fig. 5.</w:t>
      </w:r>
    </w:p>
    <w:tbl>
      <w:tblPr>
        <w:tblStyle w:val="Tabellenraster"/>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4"/>
        <w:gridCol w:w="2245"/>
        <w:gridCol w:w="2245"/>
        <w:gridCol w:w="2245"/>
      </w:tblGrid>
      <w:tr w:rsidR="00FB5A1E" w:rsidRPr="00C30E90" w14:paraId="71A3A89E" w14:textId="47D88973" w:rsidTr="00FB5A1E">
        <w:tc>
          <w:tcPr>
            <w:tcW w:w="2244" w:type="dxa"/>
          </w:tcPr>
          <w:p w14:paraId="56A8D88E" w14:textId="4D2AA482" w:rsidR="00FB5A1E" w:rsidRPr="00C30E90" w:rsidRDefault="00FB5A1E" w:rsidP="00A9083F">
            <w:pPr>
              <w:jc w:val="both"/>
              <w:rPr>
                <w:szCs w:val="20"/>
                <w:lang w:val="en-US"/>
              </w:rPr>
            </w:pPr>
            <w:r w:rsidRPr="008D3FFC">
              <w:rPr>
                <w:noProof/>
                <w:szCs w:val="20"/>
              </w:rPr>
              <w:drawing>
                <wp:inline distT="0" distB="0" distL="0" distR="0" wp14:anchorId="77F5FAAC" wp14:editId="6E0CD1C8">
                  <wp:extent cx="1132261" cy="900000"/>
                  <wp:effectExtent l="0" t="0" r="0" b="0"/>
                  <wp:docPr id="24" name="Grafik 6">
                    <a:extLst xmlns:a="http://schemas.openxmlformats.org/drawingml/2006/main">
                      <a:ext uri="{FF2B5EF4-FFF2-40B4-BE49-F238E27FC236}">
                        <a16:creationId xmlns:a16="http://schemas.microsoft.com/office/drawing/2014/main" id="{709C3001-33D4-B182-7883-39EAA16F5D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709C3001-33D4-B182-7883-39EAA16F5D49}"/>
                              </a:ext>
                            </a:extLst>
                          </pic:cNvPr>
                          <pic:cNvPicPr>
                            <a:picLocks noChangeAspect="1"/>
                          </pic:cNvPicPr>
                        </pic:nvPicPr>
                        <pic:blipFill>
                          <a:blip r:embed="rId25"/>
                          <a:stretch>
                            <a:fillRect/>
                          </a:stretch>
                        </pic:blipFill>
                        <pic:spPr>
                          <a:xfrm>
                            <a:off x="0" y="0"/>
                            <a:ext cx="1132261" cy="900000"/>
                          </a:xfrm>
                          <a:prstGeom prst="rect">
                            <a:avLst/>
                          </a:prstGeom>
                        </pic:spPr>
                      </pic:pic>
                    </a:graphicData>
                  </a:graphic>
                </wp:inline>
              </w:drawing>
            </w:r>
          </w:p>
        </w:tc>
        <w:tc>
          <w:tcPr>
            <w:tcW w:w="2245" w:type="dxa"/>
          </w:tcPr>
          <w:p w14:paraId="2688A9C3" w14:textId="57B51DAC" w:rsidR="00FB5A1E" w:rsidRPr="00C30E90" w:rsidRDefault="00FB5A1E" w:rsidP="00A9083F">
            <w:pPr>
              <w:jc w:val="both"/>
              <w:rPr>
                <w:szCs w:val="20"/>
                <w:lang w:val="en-US"/>
              </w:rPr>
            </w:pPr>
            <w:r w:rsidRPr="008D3FFC">
              <w:rPr>
                <w:noProof/>
                <w:szCs w:val="20"/>
              </w:rPr>
              <w:drawing>
                <wp:inline distT="0" distB="0" distL="0" distR="0" wp14:anchorId="5A403FA7" wp14:editId="7AE89C97">
                  <wp:extent cx="1141111" cy="900000"/>
                  <wp:effectExtent l="0" t="0" r="1905" b="0"/>
                  <wp:docPr id="23" name="Grafik 7">
                    <a:extLst xmlns:a="http://schemas.openxmlformats.org/drawingml/2006/main">
                      <a:ext uri="{FF2B5EF4-FFF2-40B4-BE49-F238E27FC236}">
                        <a16:creationId xmlns:a16="http://schemas.microsoft.com/office/drawing/2014/main" id="{00B54C29-7119-1AD7-8F3B-BDE4D05D11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a:extLst>
                              <a:ext uri="{FF2B5EF4-FFF2-40B4-BE49-F238E27FC236}">
                                <a16:creationId xmlns:a16="http://schemas.microsoft.com/office/drawing/2014/main" id="{00B54C29-7119-1AD7-8F3B-BDE4D05D11FC}"/>
                              </a:ext>
                            </a:extLst>
                          </pic:cNvPr>
                          <pic:cNvPicPr>
                            <a:picLocks noChangeAspect="1"/>
                          </pic:cNvPicPr>
                        </pic:nvPicPr>
                        <pic:blipFill>
                          <a:blip r:embed="rId26"/>
                          <a:stretch>
                            <a:fillRect/>
                          </a:stretch>
                        </pic:blipFill>
                        <pic:spPr>
                          <a:xfrm>
                            <a:off x="0" y="0"/>
                            <a:ext cx="1141111" cy="900000"/>
                          </a:xfrm>
                          <a:prstGeom prst="rect">
                            <a:avLst/>
                          </a:prstGeom>
                        </pic:spPr>
                      </pic:pic>
                    </a:graphicData>
                  </a:graphic>
                </wp:inline>
              </w:drawing>
            </w:r>
          </w:p>
        </w:tc>
        <w:tc>
          <w:tcPr>
            <w:tcW w:w="2245" w:type="dxa"/>
          </w:tcPr>
          <w:p w14:paraId="63E56013" w14:textId="3CC88BB4" w:rsidR="00FB5A1E" w:rsidRPr="00C30E90" w:rsidRDefault="00FB5A1E" w:rsidP="00A9083F">
            <w:pPr>
              <w:jc w:val="both"/>
              <w:rPr>
                <w:szCs w:val="20"/>
                <w:lang w:val="en-US"/>
              </w:rPr>
            </w:pPr>
            <w:r w:rsidRPr="008D3FFC">
              <w:rPr>
                <w:noProof/>
                <w:szCs w:val="20"/>
              </w:rPr>
              <w:drawing>
                <wp:inline distT="0" distB="0" distL="0" distR="0" wp14:anchorId="74A44D0F" wp14:editId="643C84F7">
                  <wp:extent cx="1354147" cy="900000"/>
                  <wp:effectExtent l="0" t="0" r="0" b="0"/>
                  <wp:docPr id="22" name="Grafik 8">
                    <a:extLst xmlns:a="http://schemas.openxmlformats.org/drawingml/2006/main">
                      <a:ext uri="{FF2B5EF4-FFF2-40B4-BE49-F238E27FC236}">
                        <a16:creationId xmlns:a16="http://schemas.microsoft.com/office/drawing/2014/main" id="{365D752F-6E08-F646-72DC-8C96D60557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id="{365D752F-6E08-F646-72DC-8C96D605572E}"/>
                              </a:ext>
                            </a:extLst>
                          </pic:cNvPr>
                          <pic:cNvPicPr>
                            <a:picLocks noChangeAspect="1"/>
                          </pic:cNvPicPr>
                        </pic:nvPicPr>
                        <pic:blipFill>
                          <a:blip r:embed="rId27"/>
                          <a:stretch>
                            <a:fillRect/>
                          </a:stretch>
                        </pic:blipFill>
                        <pic:spPr>
                          <a:xfrm>
                            <a:off x="0" y="0"/>
                            <a:ext cx="1354147" cy="900000"/>
                          </a:xfrm>
                          <a:prstGeom prst="rect">
                            <a:avLst/>
                          </a:prstGeom>
                        </pic:spPr>
                      </pic:pic>
                    </a:graphicData>
                  </a:graphic>
                </wp:inline>
              </w:drawing>
            </w:r>
          </w:p>
        </w:tc>
        <w:tc>
          <w:tcPr>
            <w:tcW w:w="2245" w:type="dxa"/>
          </w:tcPr>
          <w:p w14:paraId="591DCC4E" w14:textId="0F323CAE" w:rsidR="00FB5A1E" w:rsidRPr="008D3FFC" w:rsidRDefault="005C5B8E" w:rsidP="00A9083F">
            <w:pPr>
              <w:jc w:val="both"/>
              <w:rPr>
                <w:noProof/>
                <w:szCs w:val="20"/>
              </w:rPr>
            </w:pPr>
            <w:r w:rsidRPr="005C5B8E">
              <w:rPr>
                <w:noProof/>
                <w:szCs w:val="20"/>
              </w:rPr>
              <w:drawing>
                <wp:inline distT="0" distB="0" distL="0" distR="0" wp14:anchorId="154EA8CB" wp14:editId="653C74DD">
                  <wp:extent cx="1147774" cy="899160"/>
                  <wp:effectExtent l="0" t="0" r="0" b="0"/>
                  <wp:docPr id="6" name="Grafik 3">
                    <a:extLst xmlns:a="http://schemas.openxmlformats.org/drawingml/2006/main">
                      <a:ext uri="{FF2B5EF4-FFF2-40B4-BE49-F238E27FC236}">
                        <a16:creationId xmlns:a16="http://schemas.microsoft.com/office/drawing/2014/main" id="{15D8215A-8EF0-A23F-3B76-3A77520EB0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a:extLst>
                              <a:ext uri="{FF2B5EF4-FFF2-40B4-BE49-F238E27FC236}">
                                <a16:creationId xmlns:a16="http://schemas.microsoft.com/office/drawing/2014/main" id="{15D8215A-8EF0-A23F-3B76-3A77520EB09C}"/>
                              </a:ext>
                            </a:extLst>
                          </pic:cNvPr>
                          <pic:cNvPicPr>
                            <a:picLocks noChangeAspect="1"/>
                          </pic:cNvPicPr>
                        </pic:nvPicPr>
                        <pic:blipFill rotWithShape="1">
                          <a:blip r:embed="rId28"/>
                          <a:srcRect l="1362" t="1739" r="1385" b="2185"/>
                          <a:stretch/>
                        </pic:blipFill>
                        <pic:spPr bwMode="auto">
                          <a:xfrm>
                            <a:off x="0" y="0"/>
                            <a:ext cx="1148846" cy="900000"/>
                          </a:xfrm>
                          <a:prstGeom prst="rect">
                            <a:avLst/>
                          </a:prstGeom>
                          <a:ln>
                            <a:noFill/>
                          </a:ln>
                          <a:extLst>
                            <a:ext uri="{53640926-AAD7-44D8-BBD7-CCE9431645EC}">
                              <a14:shadowObscured xmlns:a14="http://schemas.microsoft.com/office/drawing/2010/main"/>
                            </a:ext>
                          </a:extLst>
                        </pic:spPr>
                      </pic:pic>
                    </a:graphicData>
                  </a:graphic>
                </wp:inline>
              </w:drawing>
            </w:r>
          </w:p>
        </w:tc>
      </w:tr>
      <w:tr w:rsidR="00FB5A1E" w:rsidRPr="00C30E90" w14:paraId="29AC0958" w14:textId="6733A9C5" w:rsidTr="00FB5A1E">
        <w:tc>
          <w:tcPr>
            <w:tcW w:w="2244" w:type="dxa"/>
          </w:tcPr>
          <w:p w14:paraId="2E88AEEF" w14:textId="0D5089CA" w:rsidR="00FB5A1E" w:rsidRPr="00C30E90" w:rsidRDefault="00FB5A1E" w:rsidP="002F6D6C">
            <w:pPr>
              <w:pStyle w:val="SWCTableFigureCaption"/>
              <w:tabs>
                <w:tab w:val="left" w:pos="566"/>
                <w:tab w:val="center" w:pos="4489"/>
              </w:tabs>
              <w:ind w:left="0"/>
            </w:pPr>
            <w:r>
              <w:t>E-Boiler (typ. 3 kW</w:t>
            </w:r>
            <w:r w:rsidRPr="00A9083F">
              <w:rPr>
                <w:vertAlign w:val="subscript"/>
              </w:rPr>
              <w:t>el</w:t>
            </w:r>
            <w:r>
              <w:t>, up to 6 kW</w:t>
            </w:r>
            <w:r w:rsidRPr="00A9083F">
              <w:rPr>
                <w:vertAlign w:val="subscript"/>
              </w:rPr>
              <w:t>el</w:t>
            </w:r>
            <w:r>
              <w:t>)</w:t>
            </w:r>
          </w:p>
        </w:tc>
        <w:tc>
          <w:tcPr>
            <w:tcW w:w="2245" w:type="dxa"/>
          </w:tcPr>
          <w:p w14:paraId="4CABD247" w14:textId="25E3DB8F" w:rsidR="00FB5A1E" w:rsidRPr="00C30E90" w:rsidRDefault="00FB5A1E" w:rsidP="002F6D6C">
            <w:pPr>
              <w:pStyle w:val="SWCTableFigureCaption"/>
              <w:tabs>
                <w:tab w:val="left" w:pos="566"/>
                <w:tab w:val="center" w:pos="4489"/>
              </w:tabs>
              <w:ind w:left="0"/>
            </w:pPr>
            <w:r>
              <w:t>FTPH (&gt; 25 kW</w:t>
            </w:r>
            <w:r w:rsidRPr="00A9083F">
              <w:rPr>
                <w:vertAlign w:val="subscript"/>
              </w:rPr>
              <w:t>el</w:t>
            </w:r>
            <w:r>
              <w:t>)</w:t>
            </w:r>
          </w:p>
        </w:tc>
        <w:tc>
          <w:tcPr>
            <w:tcW w:w="2245" w:type="dxa"/>
          </w:tcPr>
          <w:p w14:paraId="76AEC442" w14:textId="6AAC25E5" w:rsidR="00FB5A1E" w:rsidRPr="00C30E90" w:rsidRDefault="00FB5A1E" w:rsidP="002F6D6C">
            <w:pPr>
              <w:pStyle w:val="SWCTableFigureCaption"/>
              <w:tabs>
                <w:tab w:val="left" w:pos="566"/>
                <w:tab w:val="center" w:pos="4489"/>
              </w:tabs>
              <w:ind w:left="0"/>
            </w:pPr>
            <w:r>
              <w:t>Decentral DHW-HP (&lt; 1 KW</w:t>
            </w:r>
            <w:r w:rsidRPr="00A9083F">
              <w:rPr>
                <w:vertAlign w:val="subscript"/>
              </w:rPr>
              <w:t>el</w:t>
            </w:r>
            <w:r>
              <w:t>)</w:t>
            </w:r>
          </w:p>
        </w:tc>
        <w:tc>
          <w:tcPr>
            <w:tcW w:w="2245" w:type="dxa"/>
          </w:tcPr>
          <w:p w14:paraId="4404D7D0" w14:textId="26F317B6" w:rsidR="00FB5A1E" w:rsidRDefault="00FB5A1E" w:rsidP="002F6D6C">
            <w:pPr>
              <w:pStyle w:val="SWCTableFigureCaption"/>
              <w:tabs>
                <w:tab w:val="left" w:pos="566"/>
                <w:tab w:val="center" w:pos="4489"/>
              </w:tabs>
              <w:ind w:left="0"/>
            </w:pPr>
            <w:r>
              <w:t>Semi-central Booster-HP</w:t>
            </w:r>
            <w:r w:rsidR="005C5B8E">
              <w:t xml:space="preserve"> </w:t>
            </w:r>
            <w:r w:rsidR="005C5B8E">
              <w:t>(&lt; 1 KW</w:t>
            </w:r>
            <w:r w:rsidR="005C5B8E" w:rsidRPr="00A9083F">
              <w:rPr>
                <w:vertAlign w:val="subscript"/>
              </w:rPr>
              <w:t>el</w:t>
            </w:r>
            <w:r w:rsidR="005C5B8E">
              <w:t>)</w:t>
            </w:r>
          </w:p>
        </w:tc>
      </w:tr>
    </w:tbl>
    <w:p w14:paraId="1C834A45" w14:textId="6518703D" w:rsidR="008A10B7" w:rsidRDefault="008A10B7" w:rsidP="009A3FD1">
      <w:pPr>
        <w:pStyle w:val="SWCTableFigureCaption"/>
        <w:tabs>
          <w:tab w:val="left" w:pos="566"/>
          <w:tab w:val="center" w:pos="4489"/>
        </w:tabs>
        <w:jc w:val="left"/>
      </w:pPr>
      <w:r>
        <w:t xml:space="preserve">Fig. </w:t>
      </w:r>
      <w:r w:rsidR="00F46917">
        <w:t>6</w:t>
      </w:r>
      <w:r>
        <w:t>:</w:t>
      </w:r>
      <w:r w:rsidRPr="00B702D4">
        <w:t xml:space="preserve"> </w:t>
      </w:r>
      <w:r>
        <w:t>S</w:t>
      </w:r>
      <w:r w:rsidRPr="00C633F9">
        <w:t xml:space="preserve">chematic overview of </w:t>
      </w:r>
      <w:r>
        <w:t xml:space="preserve">three different decentral DHW concepts: E-boiler, </w:t>
      </w:r>
      <w:r w:rsidR="00D720D1">
        <w:t>f</w:t>
      </w:r>
      <w:r>
        <w:t>low type post heater, decentral DHW HP</w:t>
      </w:r>
      <w:r w:rsidR="00FB5A1E">
        <w:t xml:space="preserve"> and a flat-wise booster-HP</w:t>
      </w:r>
    </w:p>
    <w:p w14:paraId="23E0915E" w14:textId="69A03E57" w:rsidR="009A3FD1" w:rsidRDefault="00F352E6" w:rsidP="00F352E6">
      <w:pPr>
        <w:pStyle w:val="SWCHeading11"/>
      </w:pPr>
      <w:r>
        <w:t>2.</w:t>
      </w:r>
      <w:r w:rsidR="00EF7A77">
        <w:t>4</w:t>
      </w:r>
      <w:r>
        <w:t xml:space="preserve"> KPIs</w:t>
      </w:r>
    </w:p>
    <w:p w14:paraId="6C316CCF" w14:textId="37F1CD57" w:rsidR="00F352E6" w:rsidRPr="00AA4F44" w:rsidRDefault="00F352E6" w:rsidP="00EF7A77">
      <w:pPr>
        <w:pStyle w:val="SWCText"/>
      </w:pPr>
      <w:r w:rsidRPr="00EF7A77">
        <w:t>Key performance indicators include</w:t>
      </w:r>
      <w:r w:rsidR="00EF7A77" w:rsidRPr="00EF7A77">
        <w:t xml:space="preserve"> useful (thermal) energy (UE), delivered (thermal) energy) DE, </w:t>
      </w:r>
      <w:r w:rsidRPr="00EF7A77">
        <w:t>thermal</w:t>
      </w:r>
      <w:r w:rsidR="00EF7A77" w:rsidRPr="00EF7A77">
        <w:t xml:space="preserve"> distribution (and storage)</w:t>
      </w:r>
      <w:r w:rsidRPr="00EF7A77">
        <w:t xml:space="preserve"> losses</w:t>
      </w:r>
      <w:r w:rsidR="00EF7A77" w:rsidRPr="00EF7A77">
        <w:t>, total electricity demand as well</w:t>
      </w:r>
      <w:r w:rsidRPr="00EF7A77">
        <w:t xml:space="preserve"> </w:t>
      </w:r>
      <w:r w:rsidR="00EF7A77" w:rsidRPr="00EF7A77">
        <w:t xml:space="preserve">as </w:t>
      </w:r>
      <w:r w:rsidRPr="00EF7A77">
        <w:t>seasonal performance factor for the HP (SPFHP) and the system (SPFsys)</w:t>
      </w:r>
      <w:r w:rsidR="00EF7A77" w:rsidRPr="00EF7A77">
        <w:t>. In terms of design and peak power considerations, the simultaneity factor with respect the UE and DE is evaluated. Furthermore,</w:t>
      </w:r>
      <w:r w:rsidRPr="00EF7A77">
        <w:t xml:space="preserve"> grid-related metrics such as peak electrical demand</w:t>
      </w:r>
      <w:r w:rsidR="00EF7A77" w:rsidRPr="00EF7A77">
        <w:t xml:space="preserve"> and the electric simultaneity factor are evaluated.</w:t>
      </w:r>
      <w:r w:rsidRPr="00AA4F44">
        <w:t xml:space="preserve"> </w:t>
      </w:r>
    </w:p>
    <w:p w14:paraId="3D83E22A" w14:textId="5152F514" w:rsidR="003E1E1C" w:rsidRPr="006309AA" w:rsidRDefault="00EF7A77" w:rsidP="00EF7A77">
      <w:pPr>
        <w:pStyle w:val="SWCHeading1"/>
        <w:ind w:left="1440" w:hanging="1080"/>
      </w:pPr>
      <w:r>
        <w:t>R</w:t>
      </w:r>
      <w:r w:rsidR="00F43252">
        <w:t>esults</w:t>
      </w:r>
    </w:p>
    <w:p w14:paraId="4A4EA007" w14:textId="78F91C06" w:rsidR="00EA218B" w:rsidRDefault="00EA218B" w:rsidP="00EA218B">
      <w:pPr>
        <w:pStyle w:val="SWCHeading11"/>
      </w:pPr>
      <w:r>
        <w:t>3.1 Monitoring</w:t>
      </w:r>
    </w:p>
    <w:p w14:paraId="12224DAA" w14:textId="75CF53CC" w:rsidR="00EA218B" w:rsidRDefault="000E0A96" w:rsidP="00EA218B">
      <w:pPr>
        <w:pStyle w:val="SWCText"/>
      </w:pPr>
      <w:r>
        <w:t>DHW tapping patterns</w:t>
      </w:r>
      <w:r w:rsidR="00E62519">
        <w:t xml:space="preserve"> from the detailed monitoring of 5</w:t>
      </w:r>
      <w:r w:rsidR="00834767">
        <w:t>2</w:t>
      </w:r>
      <w:r w:rsidR="00E62519">
        <w:t xml:space="preserve"> flats of building C and of the delivered energy measured in the heating central</w:t>
      </w:r>
      <w:r w:rsidR="00EA74B2">
        <w:t xml:space="preserve"> (for all four buildings)</w:t>
      </w:r>
      <w:r w:rsidR="00E62519">
        <w:t xml:space="preserve"> are shown in Fig. </w:t>
      </w:r>
      <w:r w:rsidR="00F46917">
        <w:t>7</w:t>
      </w:r>
      <w:r w:rsidR="00E62519">
        <w:t xml:space="preserve">. </w:t>
      </w:r>
      <w:r w:rsidR="00EA74B2">
        <w:t>A</w:t>
      </w:r>
      <w:r w:rsidR="00E62519">
        <w:t xml:space="preserve"> peak between ca. 16:00 h and 22:00 h can be observed </w:t>
      </w:r>
      <w:r w:rsidR="00EA74B2">
        <w:t xml:space="preserve">with a </w:t>
      </w:r>
      <w:r w:rsidR="00E62519">
        <w:t>shift of 1 h</w:t>
      </w:r>
      <w:r w:rsidR="00EA74B2">
        <w:t xml:space="preserve"> in summer</w:t>
      </w:r>
      <w:r w:rsidR="00E62519">
        <w:t xml:space="preserve"> resulting from winter</w:t>
      </w:r>
      <w:r w:rsidR="00EA74B2">
        <w:t>/</w:t>
      </w:r>
      <w:r w:rsidR="00E62519">
        <w:t>summer time.</w:t>
      </w:r>
      <w:r w:rsidR="002221BE">
        <w:t xml:space="preserve"> It can be also observed, that the peak in the evening is much more pronounced than the one in the morning (staring around 05:00 h)</w:t>
      </w:r>
      <w:r w:rsidR="00F901E9">
        <w:t>.</w:t>
      </w:r>
      <w:r w:rsidR="00E62519">
        <w:t xml:space="preserve"> In addition</w:t>
      </w:r>
      <w:r w:rsidR="002221BE">
        <w:t>,</w:t>
      </w:r>
      <w:r w:rsidR="00E62519">
        <w:t xml:space="preserve"> a relative strong seasonal effect can be observed in case of the delivered energy</w:t>
      </w:r>
      <w:r w:rsidR="00834767">
        <w:t xml:space="preserve"> (all buildings)</w:t>
      </w:r>
      <w:r w:rsidR="00E62519">
        <w:t xml:space="preserve"> with pronounced energy delivery in the winter months.</w:t>
      </w:r>
      <w:r w:rsidR="00EA218B">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4"/>
        <w:gridCol w:w="4485"/>
      </w:tblGrid>
      <w:tr w:rsidR="000E0A96" w14:paraId="5BCDB3E1" w14:textId="77777777" w:rsidTr="00E62519">
        <w:tc>
          <w:tcPr>
            <w:tcW w:w="4484" w:type="dxa"/>
          </w:tcPr>
          <w:p w14:paraId="0BD149BF" w14:textId="4D947D73" w:rsidR="000E0A96" w:rsidRPr="000A04F8" w:rsidRDefault="00E62519" w:rsidP="004A364A">
            <w:pPr>
              <w:pStyle w:val="SWCText"/>
              <w:spacing w:after="0" w:line="240" w:lineRule="auto"/>
              <w:jc w:val="center"/>
              <w:rPr>
                <w:lang w:val="de-AT"/>
              </w:rPr>
            </w:pPr>
            <w:r w:rsidRPr="00E62519">
              <w:rPr>
                <w:noProof/>
                <w:lang w:val="de-AT"/>
              </w:rPr>
              <w:lastRenderedPageBreak/>
              <w:drawing>
                <wp:inline distT="0" distB="0" distL="0" distR="0" wp14:anchorId="4B92926A" wp14:editId="4A971006">
                  <wp:extent cx="2402005" cy="18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2005" cy="1800000"/>
                          </a:xfrm>
                          <a:prstGeom prst="rect">
                            <a:avLst/>
                          </a:prstGeom>
                          <a:noFill/>
                          <a:ln>
                            <a:noFill/>
                          </a:ln>
                        </pic:spPr>
                      </pic:pic>
                    </a:graphicData>
                  </a:graphic>
                </wp:inline>
              </w:drawing>
            </w:r>
          </w:p>
        </w:tc>
        <w:tc>
          <w:tcPr>
            <w:tcW w:w="4485" w:type="dxa"/>
          </w:tcPr>
          <w:p w14:paraId="7706D2B0" w14:textId="72C0EB39" w:rsidR="000E0A96" w:rsidRPr="000A04F8" w:rsidRDefault="00E62519" w:rsidP="004A364A">
            <w:pPr>
              <w:pStyle w:val="SWCText"/>
              <w:spacing w:after="0" w:line="240" w:lineRule="auto"/>
              <w:jc w:val="center"/>
              <w:rPr>
                <w:lang w:val="de-AT"/>
              </w:rPr>
            </w:pPr>
            <w:r w:rsidRPr="00E62519">
              <w:rPr>
                <w:noProof/>
                <w:lang w:val="de-AT"/>
              </w:rPr>
              <w:drawing>
                <wp:inline distT="0" distB="0" distL="0" distR="0" wp14:anchorId="0EFCA0A7" wp14:editId="694D2339">
                  <wp:extent cx="2402003" cy="180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02003" cy="1800000"/>
                          </a:xfrm>
                          <a:prstGeom prst="rect">
                            <a:avLst/>
                          </a:prstGeom>
                          <a:noFill/>
                          <a:ln>
                            <a:noFill/>
                          </a:ln>
                        </pic:spPr>
                      </pic:pic>
                    </a:graphicData>
                  </a:graphic>
                </wp:inline>
              </w:drawing>
            </w:r>
          </w:p>
        </w:tc>
      </w:tr>
      <w:tr w:rsidR="00524061" w:rsidRPr="00936C27" w14:paraId="03F16700" w14:textId="77777777" w:rsidTr="00E62519">
        <w:tc>
          <w:tcPr>
            <w:tcW w:w="4484" w:type="dxa"/>
          </w:tcPr>
          <w:p w14:paraId="2A96B3F2" w14:textId="4BC5A751" w:rsidR="00524061" w:rsidRPr="00524061" w:rsidRDefault="00524061" w:rsidP="004A364A">
            <w:pPr>
              <w:pStyle w:val="SWCTableFigureCaption"/>
              <w:tabs>
                <w:tab w:val="left" w:pos="566"/>
                <w:tab w:val="center" w:pos="4489"/>
              </w:tabs>
              <w:spacing w:before="0" w:after="0" w:line="240" w:lineRule="auto"/>
              <w:ind w:left="0" w:right="0"/>
            </w:pPr>
            <w:r w:rsidRPr="00524061">
              <w:t>Building C</w:t>
            </w:r>
          </w:p>
        </w:tc>
        <w:tc>
          <w:tcPr>
            <w:tcW w:w="4485" w:type="dxa"/>
          </w:tcPr>
          <w:p w14:paraId="72821876" w14:textId="075970C1" w:rsidR="00524061" w:rsidRPr="00524061" w:rsidRDefault="00524061" w:rsidP="004A364A">
            <w:pPr>
              <w:pStyle w:val="SWCTableFigureCaption"/>
              <w:tabs>
                <w:tab w:val="left" w:pos="566"/>
                <w:tab w:val="center" w:pos="4489"/>
              </w:tabs>
              <w:spacing w:before="0" w:after="0" w:line="240" w:lineRule="auto"/>
              <w:ind w:left="0" w:right="0"/>
            </w:pPr>
            <w:r w:rsidRPr="00524061">
              <w:t>Main (Buildings A+B+C+D)</w:t>
            </w:r>
          </w:p>
        </w:tc>
      </w:tr>
    </w:tbl>
    <w:p w14:paraId="368C8BE3" w14:textId="2268A755" w:rsidR="000E0A96" w:rsidRDefault="000E0A96" w:rsidP="00EA218B">
      <w:pPr>
        <w:pStyle w:val="SWCTableFigureCaption"/>
        <w:tabs>
          <w:tab w:val="left" w:pos="566"/>
          <w:tab w:val="center" w:pos="4489"/>
        </w:tabs>
      </w:pPr>
      <w:r>
        <w:t xml:space="preserve">Fig. </w:t>
      </w:r>
      <w:r w:rsidR="00F46917">
        <w:t>7</w:t>
      </w:r>
      <w:r>
        <w:t xml:space="preserve">: </w:t>
      </w:r>
      <w:r w:rsidR="000A04F8">
        <w:t>Carpet plot of the DHW tapping measured in the flats</w:t>
      </w:r>
      <w:r w:rsidR="003E4BB0">
        <w:t xml:space="preserve"> in 2024; left: </w:t>
      </w:r>
      <w:r w:rsidR="000A04F8">
        <w:t>sum of</w:t>
      </w:r>
      <w:r w:rsidR="00E62519">
        <w:t xml:space="preserve"> </w:t>
      </w:r>
      <w:r w:rsidR="000A04F8">
        <w:t>5</w:t>
      </w:r>
      <w:r w:rsidR="003E4BB0">
        <w:t>0</w:t>
      </w:r>
      <w:r w:rsidR="000A04F8">
        <w:t xml:space="preserve"> flats</w:t>
      </w:r>
      <w:r w:rsidR="00E62519">
        <w:t xml:space="preserve"> of building C</w:t>
      </w:r>
      <w:r w:rsidR="003E4BB0">
        <w:t>, and right:</w:t>
      </w:r>
      <w:r w:rsidR="000A04F8">
        <w:t xml:space="preserve"> delivered energy in the heating central</w:t>
      </w:r>
      <w:r w:rsidR="0051478B">
        <w:t xml:space="preserve"> for all for buildings</w:t>
      </w:r>
      <w:r w:rsidR="00EA218B" w:rsidRPr="00EA218B">
        <w:t xml:space="preserve"> </w:t>
      </w:r>
    </w:p>
    <w:p w14:paraId="1F001231" w14:textId="7F68984B" w:rsidR="00A44D3D" w:rsidRDefault="00EA74B2" w:rsidP="00A44D3D">
      <w:pPr>
        <w:pStyle w:val="SWCText"/>
      </w:pPr>
      <w:r w:rsidRPr="009F3C35">
        <w:t xml:space="preserve">The average </w:t>
      </w:r>
      <w:r w:rsidR="004379E4" w:rsidRPr="009F3C35">
        <w:t xml:space="preserve">DHW </w:t>
      </w:r>
      <w:r w:rsidR="00224480">
        <w:t xml:space="preserve">demand </w:t>
      </w:r>
      <w:r w:rsidR="004379E4" w:rsidRPr="009F3C35">
        <w:t>per</w:t>
      </w:r>
      <w:r w:rsidR="00560FFC" w:rsidRPr="009F3C35">
        <w:t xml:space="preserve"> flat and </w:t>
      </w:r>
      <w:r w:rsidR="004379E4" w:rsidRPr="009F3C35">
        <w:t xml:space="preserve">day is </w:t>
      </w:r>
      <w:r w:rsidR="00560FFC" w:rsidRPr="009F3C35">
        <w:t xml:space="preserve">with </w:t>
      </w:r>
      <w:r w:rsidR="004818B1">
        <w:t>ca. 2.56 kWh relatively low compared to typical planning assumptions of e.g. 25 l</w:t>
      </w:r>
      <w:r w:rsidR="007C2E8B">
        <w:t xml:space="preserve"> per </w:t>
      </w:r>
      <w:r w:rsidR="004818B1">
        <w:t>person</w:t>
      </w:r>
      <w:r w:rsidR="00B50076">
        <w:t xml:space="preserve"> and day</w:t>
      </w:r>
      <w:r w:rsidR="004818B1">
        <w:t xml:space="preserve"> at 60 °C energy equivalent</w:t>
      </w:r>
      <w:r w:rsidR="0087730A">
        <w:t>, e.g. 5.8 kWh</w:t>
      </w:r>
      <w:r w:rsidR="00B50076">
        <w:t xml:space="preserve"> per </w:t>
      </w:r>
      <w:r w:rsidR="0087730A">
        <w:t>day for a four-person household</w:t>
      </w:r>
      <w:r w:rsidR="004818B1">
        <w:t>. A deeper analysis shows that out of the 52 flats only 3</w:t>
      </w:r>
      <w:r w:rsidR="00E36F99">
        <w:t>2</w:t>
      </w:r>
      <w:r w:rsidR="004818B1">
        <w:t xml:space="preserve"> have a regular DHW demand</w:t>
      </w:r>
      <w:r w:rsidR="0087730A">
        <w:t xml:space="preserve"> at all in the considered period</w:t>
      </w:r>
      <w:r w:rsidR="00E36F99">
        <w:t xml:space="preserve"> (i.e. average daily demand &gt; 1 kWh/day)</w:t>
      </w:r>
      <w:r w:rsidR="0087730A">
        <w:t xml:space="preserve">. </w:t>
      </w:r>
      <w:r w:rsidR="007C2E8B">
        <w:t>A</w:t>
      </w:r>
      <w:r w:rsidR="0087730A">
        <w:t xml:space="preserve"> relevant number of </w:t>
      </w:r>
      <w:r w:rsidR="007C2E8B">
        <w:t xml:space="preserve">flats had </w:t>
      </w:r>
      <w:r w:rsidR="0087730A">
        <w:t xml:space="preserve">long absence periods and in those without extensive absence periods </w:t>
      </w:r>
      <w:r w:rsidR="007C2E8B">
        <w:t>the</w:t>
      </w:r>
      <w:r w:rsidR="0087730A">
        <w:t xml:space="preserve"> average </w:t>
      </w:r>
      <w:r w:rsidR="007C2E8B">
        <w:t>is</w:t>
      </w:r>
      <w:r w:rsidR="0087730A">
        <w:t xml:space="preserve"> 21 days.</w:t>
      </w:r>
      <w:r w:rsidR="004818B1">
        <w:t xml:space="preserve"> </w:t>
      </w:r>
      <w:r w:rsidR="0087730A">
        <w:t>O</w:t>
      </w:r>
      <w:r w:rsidR="004818B1">
        <w:t>ut of these 3</w:t>
      </w:r>
      <w:r w:rsidR="00E36F99">
        <w:t>2</w:t>
      </w:r>
      <w:r w:rsidR="004818B1">
        <w:t xml:space="preserve"> flats</w:t>
      </w:r>
      <w:r w:rsidR="00B50076">
        <w:t xml:space="preserve"> when</w:t>
      </w:r>
      <w:r w:rsidR="00431356">
        <w:t xml:space="preserve"> </w:t>
      </w:r>
      <w:r w:rsidR="0087730A">
        <w:t>disregarding these absence periods</w:t>
      </w:r>
      <w:r w:rsidR="00431356">
        <w:t>,</w:t>
      </w:r>
      <w:r w:rsidR="00E36F99">
        <w:t xml:space="preserve"> roughly </w:t>
      </w:r>
      <w:r w:rsidR="00B50076">
        <w:t>five</w:t>
      </w:r>
      <w:r w:rsidR="00E36F99">
        <w:t xml:space="preserve"> groups can be identified where 3 flats have high </w:t>
      </w:r>
      <w:r w:rsidR="00431356">
        <w:t xml:space="preserve">daily </w:t>
      </w:r>
      <w:r w:rsidR="00E36F99">
        <w:t>DHW demand &gt; 8 kWh, 4 have a demand corresponding to 4</w:t>
      </w:r>
      <w:r w:rsidR="009F3C35">
        <w:t>-</w:t>
      </w:r>
      <w:r w:rsidR="00E36F99">
        <w:t>person household, 8 to a 3</w:t>
      </w:r>
      <w:r w:rsidR="009F3C35">
        <w:t>-</w:t>
      </w:r>
      <w:r w:rsidR="00E36F99">
        <w:t>person household, 6 to a 2</w:t>
      </w:r>
      <w:r w:rsidR="009F3C35">
        <w:t>-</w:t>
      </w:r>
      <w:r w:rsidR="00E36F99">
        <w:t>person household and 5 to a 1</w:t>
      </w:r>
      <w:r w:rsidR="009F3C35">
        <w:t>-</w:t>
      </w:r>
      <w:r w:rsidR="00E36F99">
        <w:t>person household</w:t>
      </w:r>
      <w:r w:rsidR="0087730A">
        <w:t>.</w:t>
      </w:r>
      <w:r w:rsidR="00E36F99">
        <w:t xml:space="preserve"> </w:t>
      </w:r>
      <w:r w:rsidR="004818B1">
        <w:t xml:space="preserve"> </w:t>
      </w:r>
    </w:p>
    <w:p w14:paraId="1A35522C" w14:textId="6E24AB1C" w:rsidR="00EA218B" w:rsidRPr="00A44D3D" w:rsidRDefault="00EA218B" w:rsidP="00A44D3D">
      <w:pPr>
        <w:pStyle w:val="SWCHeading11"/>
      </w:pPr>
      <w:r w:rsidRPr="00A44D3D">
        <w:t>3.2 Simulation</w:t>
      </w:r>
    </w:p>
    <w:p w14:paraId="419545B6" w14:textId="2F339178" w:rsidR="00A44D3D" w:rsidRDefault="00A44D3D" w:rsidP="00A44D3D">
      <w:pPr>
        <w:pStyle w:val="SWCHeading11"/>
      </w:pPr>
      <w:r>
        <w:t xml:space="preserve">Tapping </w:t>
      </w:r>
      <w:r w:rsidR="003E4BB0">
        <w:t>p</w:t>
      </w:r>
      <w:r>
        <w:t>rofiles</w:t>
      </w:r>
    </w:p>
    <w:p w14:paraId="592D65F7" w14:textId="2F3D4742" w:rsidR="00A44D3D" w:rsidRDefault="00DF15C3" w:rsidP="00A44D3D">
      <w:pPr>
        <w:pStyle w:val="SWCText"/>
      </w:pPr>
      <w:r w:rsidRPr="000F312E">
        <w:t>The resulting profile</w:t>
      </w:r>
      <w:r w:rsidR="003E4BB0" w:rsidRPr="000F312E">
        <w:t>s</w:t>
      </w:r>
      <w:r w:rsidRPr="000F312E">
        <w:t xml:space="preserve"> with the 15 min and 1 h average are </w:t>
      </w:r>
      <w:r w:rsidR="003E4BB0" w:rsidRPr="000F312E">
        <w:t xml:space="preserve">also </w:t>
      </w:r>
      <w:r w:rsidRPr="000F312E">
        <w:t xml:space="preserve">shown in Fig. </w:t>
      </w:r>
      <w:r w:rsidR="00F46917" w:rsidRPr="000F312E">
        <w:t>8</w:t>
      </w:r>
      <w:r w:rsidRPr="000F312E">
        <w:t xml:space="preserve">. The peak power of all profiles </w:t>
      </w:r>
      <w:r w:rsidR="003E4BB0" w:rsidRPr="000F312E">
        <w:t>is</w:t>
      </w:r>
      <w:r w:rsidR="00F23449" w:rsidRPr="000F312E">
        <w:t xml:space="preserve"> with ca. 150 kW</w:t>
      </w:r>
      <w:r w:rsidR="000F312E">
        <w:t xml:space="preserve"> </w:t>
      </w:r>
      <w:r w:rsidRPr="000F312E">
        <w:t>equal but the density of tapping events is different</w:t>
      </w:r>
      <w:r w:rsidR="00F20FC9" w:rsidRPr="000F312E">
        <w:t xml:space="preserve"> as can be seen </w:t>
      </w:r>
      <w:r w:rsidR="000F312E">
        <w:t xml:space="preserve">best </w:t>
      </w:r>
      <w:r w:rsidR="00F20FC9" w:rsidRPr="000F312E">
        <w:t>with the hourly average</w:t>
      </w:r>
      <w:r w:rsidRPr="000F312E">
        <w:t>.</w:t>
      </w:r>
      <w:r w:rsidR="0076522C">
        <w:t xml:space="preserve"> </w:t>
      </w:r>
    </w:p>
    <w:tbl>
      <w:tblPr>
        <w:tblStyle w:val="Tabellenraster"/>
        <w:tblW w:w="9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
        <w:gridCol w:w="4266"/>
        <w:gridCol w:w="4110"/>
      </w:tblGrid>
      <w:tr w:rsidR="0076522C" w:rsidRPr="00991C81" w14:paraId="2F6B5857" w14:textId="77777777" w:rsidTr="00A14DB7">
        <w:tc>
          <w:tcPr>
            <w:tcW w:w="762" w:type="dxa"/>
          </w:tcPr>
          <w:p w14:paraId="4BF98B99" w14:textId="77777777" w:rsidR="006D7621" w:rsidRDefault="006D7621" w:rsidP="004A364A">
            <w:pPr>
              <w:pStyle w:val="SWCTableFigureCaption"/>
              <w:tabs>
                <w:tab w:val="left" w:pos="566"/>
                <w:tab w:val="center" w:pos="4489"/>
              </w:tabs>
              <w:spacing w:before="0" w:after="0" w:line="240" w:lineRule="auto"/>
              <w:ind w:left="0" w:right="0"/>
            </w:pPr>
          </w:p>
        </w:tc>
        <w:tc>
          <w:tcPr>
            <w:tcW w:w="4266" w:type="dxa"/>
          </w:tcPr>
          <w:p w14:paraId="3F6D41DA" w14:textId="2A9410E4" w:rsidR="006D7621" w:rsidRDefault="003E4BB0" w:rsidP="004A364A">
            <w:pPr>
              <w:pStyle w:val="SWCTableFigureCaption"/>
              <w:tabs>
                <w:tab w:val="left" w:pos="566"/>
                <w:tab w:val="center" w:pos="4489"/>
              </w:tabs>
              <w:spacing w:before="0" w:after="0" w:line="240" w:lineRule="auto"/>
              <w:ind w:left="0" w:right="0"/>
            </w:pPr>
            <w:r>
              <w:t>“M/2”</w:t>
            </w:r>
          </w:p>
        </w:tc>
        <w:tc>
          <w:tcPr>
            <w:tcW w:w="4110" w:type="dxa"/>
          </w:tcPr>
          <w:p w14:paraId="5D8416CB" w14:textId="3EBDF00A" w:rsidR="006D7621" w:rsidRDefault="003E4BB0" w:rsidP="004A364A">
            <w:pPr>
              <w:pStyle w:val="SWCTableFigureCaption"/>
              <w:tabs>
                <w:tab w:val="left" w:pos="566"/>
                <w:tab w:val="center" w:pos="4489"/>
              </w:tabs>
              <w:spacing w:before="0" w:after="0" w:line="240" w:lineRule="auto"/>
              <w:ind w:left="0" w:right="0"/>
            </w:pPr>
            <w:r>
              <w:t>“M 2P”</w:t>
            </w:r>
          </w:p>
        </w:tc>
      </w:tr>
      <w:tr w:rsidR="0076522C" w:rsidRPr="00991C81" w14:paraId="78E0DF71" w14:textId="77777777" w:rsidTr="00A14DB7">
        <w:tc>
          <w:tcPr>
            <w:tcW w:w="762" w:type="dxa"/>
          </w:tcPr>
          <w:p w14:paraId="4428DF57" w14:textId="6B671B6F" w:rsidR="006D7621" w:rsidRDefault="003E4BB0" w:rsidP="004A364A">
            <w:pPr>
              <w:pStyle w:val="SWCTableFigureCaption"/>
              <w:tabs>
                <w:tab w:val="left" w:pos="566"/>
                <w:tab w:val="center" w:pos="4489"/>
              </w:tabs>
              <w:spacing w:before="0" w:after="0" w:line="240" w:lineRule="auto"/>
              <w:ind w:left="0" w:right="0"/>
            </w:pPr>
            <w:r>
              <w:t>var 0</w:t>
            </w:r>
          </w:p>
        </w:tc>
        <w:tc>
          <w:tcPr>
            <w:tcW w:w="4266" w:type="dxa"/>
          </w:tcPr>
          <w:p w14:paraId="6F0CEF5C" w14:textId="7D7649E1" w:rsidR="006D7621"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769BAAC9" wp14:editId="355FEF29">
                  <wp:extent cx="2162835" cy="1080000"/>
                  <wp:effectExtent l="0" t="0" r="0" b="0"/>
                  <wp:docPr id="66" name="Grafi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62835" cy="1080000"/>
                          </a:xfrm>
                          <a:prstGeom prst="rect">
                            <a:avLst/>
                          </a:prstGeom>
                          <a:noFill/>
                          <a:ln>
                            <a:noFill/>
                          </a:ln>
                        </pic:spPr>
                      </pic:pic>
                    </a:graphicData>
                  </a:graphic>
                </wp:inline>
              </w:drawing>
            </w:r>
          </w:p>
        </w:tc>
        <w:tc>
          <w:tcPr>
            <w:tcW w:w="4110" w:type="dxa"/>
          </w:tcPr>
          <w:p w14:paraId="5E4785B2" w14:textId="093F40E1" w:rsidR="006D7621"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23BCB831" wp14:editId="592BB76D">
                  <wp:extent cx="2160000" cy="1080000"/>
                  <wp:effectExtent l="0" t="0" r="0" b="0"/>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60000" cy="1080000"/>
                          </a:xfrm>
                          <a:prstGeom prst="rect">
                            <a:avLst/>
                          </a:prstGeom>
                          <a:noFill/>
                          <a:ln>
                            <a:noFill/>
                          </a:ln>
                        </pic:spPr>
                      </pic:pic>
                    </a:graphicData>
                  </a:graphic>
                </wp:inline>
              </w:drawing>
            </w:r>
          </w:p>
        </w:tc>
      </w:tr>
      <w:tr w:rsidR="0076522C" w:rsidRPr="00991C81" w14:paraId="4DD25321" w14:textId="77777777" w:rsidTr="00A14DB7">
        <w:tc>
          <w:tcPr>
            <w:tcW w:w="762" w:type="dxa"/>
          </w:tcPr>
          <w:p w14:paraId="65E8F3D3" w14:textId="3ACB4BE5" w:rsidR="006D7621" w:rsidRDefault="003E4BB0" w:rsidP="004A364A">
            <w:pPr>
              <w:pStyle w:val="SWCTableFigureCaption"/>
              <w:tabs>
                <w:tab w:val="left" w:pos="566"/>
                <w:tab w:val="center" w:pos="4489"/>
              </w:tabs>
              <w:spacing w:before="0" w:after="0" w:line="240" w:lineRule="auto"/>
              <w:ind w:left="0" w:right="0"/>
            </w:pPr>
            <w:r>
              <w:t>var 1</w:t>
            </w:r>
          </w:p>
        </w:tc>
        <w:tc>
          <w:tcPr>
            <w:tcW w:w="4266" w:type="dxa"/>
          </w:tcPr>
          <w:p w14:paraId="34DED692" w14:textId="07235B5D" w:rsidR="006D7621"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0071DB41" wp14:editId="0001BBDF">
                  <wp:extent cx="2164901" cy="1080000"/>
                  <wp:effectExtent l="0" t="0" r="0" b="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63DA6E9C" w14:textId="7E32ADD2" w:rsidR="006D7621" w:rsidRDefault="00183AA1" w:rsidP="004A364A">
            <w:pPr>
              <w:pStyle w:val="SWCTableFigureCaption"/>
              <w:tabs>
                <w:tab w:val="left" w:pos="566"/>
                <w:tab w:val="center" w:pos="4489"/>
              </w:tabs>
              <w:spacing w:before="0" w:after="0" w:line="240" w:lineRule="auto"/>
              <w:ind w:left="0" w:right="0"/>
            </w:pPr>
            <w:r w:rsidRPr="00183AA1">
              <w:rPr>
                <w:noProof/>
              </w:rPr>
              <w:drawing>
                <wp:inline distT="0" distB="0" distL="0" distR="0" wp14:anchorId="7D25C562" wp14:editId="274F3873">
                  <wp:extent cx="2164128" cy="1080000"/>
                  <wp:effectExtent l="0" t="0" r="0" b="0"/>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64128" cy="1080000"/>
                          </a:xfrm>
                          <a:prstGeom prst="rect">
                            <a:avLst/>
                          </a:prstGeom>
                          <a:noFill/>
                          <a:ln>
                            <a:noFill/>
                          </a:ln>
                        </pic:spPr>
                      </pic:pic>
                    </a:graphicData>
                  </a:graphic>
                </wp:inline>
              </w:drawing>
            </w:r>
          </w:p>
        </w:tc>
      </w:tr>
      <w:tr w:rsidR="0076522C" w:rsidRPr="00991C81" w14:paraId="09675922" w14:textId="77777777" w:rsidTr="00A14DB7">
        <w:tc>
          <w:tcPr>
            <w:tcW w:w="762" w:type="dxa"/>
          </w:tcPr>
          <w:p w14:paraId="76E8C83E" w14:textId="34C5A762" w:rsidR="003E4BB0" w:rsidRDefault="003E4BB0" w:rsidP="004A364A">
            <w:pPr>
              <w:pStyle w:val="SWCTableFigureCaption"/>
              <w:tabs>
                <w:tab w:val="left" w:pos="566"/>
                <w:tab w:val="center" w:pos="4489"/>
              </w:tabs>
              <w:spacing w:before="0" w:after="0" w:line="240" w:lineRule="auto"/>
              <w:ind w:left="0" w:right="0"/>
            </w:pPr>
            <w:r>
              <w:t>var 2</w:t>
            </w:r>
          </w:p>
        </w:tc>
        <w:tc>
          <w:tcPr>
            <w:tcW w:w="4266" w:type="dxa"/>
          </w:tcPr>
          <w:p w14:paraId="5B56DC79" w14:textId="6722E9B8" w:rsidR="003E4BB0"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0C04C650" wp14:editId="15BB79A8">
                  <wp:extent cx="2164901" cy="1080000"/>
                  <wp:effectExtent l="0" t="0" r="0"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2E54E1CE" w14:textId="592BAC4E" w:rsidR="003E4BB0" w:rsidRDefault="00D907C0" w:rsidP="004A364A">
            <w:pPr>
              <w:pStyle w:val="SWCTableFigureCaption"/>
              <w:tabs>
                <w:tab w:val="left" w:pos="566"/>
                <w:tab w:val="center" w:pos="4489"/>
              </w:tabs>
              <w:spacing w:before="0" w:after="0" w:line="240" w:lineRule="auto"/>
              <w:ind w:left="0" w:right="0"/>
            </w:pPr>
            <w:r w:rsidRPr="00D907C0">
              <w:rPr>
                <w:noProof/>
              </w:rPr>
              <w:drawing>
                <wp:inline distT="0" distB="0" distL="0" distR="0" wp14:anchorId="7B7E0246" wp14:editId="2C2A44BF">
                  <wp:extent cx="2160258" cy="1080000"/>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60258" cy="1080000"/>
                          </a:xfrm>
                          <a:prstGeom prst="rect">
                            <a:avLst/>
                          </a:prstGeom>
                          <a:noFill/>
                          <a:ln>
                            <a:noFill/>
                          </a:ln>
                        </pic:spPr>
                      </pic:pic>
                    </a:graphicData>
                  </a:graphic>
                </wp:inline>
              </w:drawing>
            </w:r>
          </w:p>
        </w:tc>
      </w:tr>
    </w:tbl>
    <w:p w14:paraId="69686160" w14:textId="55DB23C2" w:rsidR="00A9362F" w:rsidRDefault="00A9362F" w:rsidP="00A9362F">
      <w:pPr>
        <w:pStyle w:val="SWCTableFigureCaption"/>
        <w:tabs>
          <w:tab w:val="left" w:pos="566"/>
          <w:tab w:val="center" w:pos="4489"/>
        </w:tabs>
      </w:pPr>
      <w:r>
        <w:t xml:space="preserve">Fig. </w:t>
      </w:r>
      <w:r w:rsidR="00F46917">
        <w:t>8</w:t>
      </w:r>
      <w:r>
        <w:t>:</w:t>
      </w:r>
      <w:r w:rsidR="00A40C05">
        <w:t xml:space="preserve"> </w:t>
      </w:r>
      <w:r w:rsidR="007F795B">
        <w:t xml:space="preserve">Heating power related to the </w:t>
      </w:r>
      <w:r w:rsidR="00F20FC9">
        <w:t xml:space="preserve">Useful </w:t>
      </w:r>
      <w:r w:rsidR="00A40C05">
        <w:t>Energy</w:t>
      </w:r>
      <w:r w:rsidR="00A14DB7">
        <w:t xml:space="preserve"> (</w:t>
      </w:r>
      <w:r w:rsidR="00F20FC9">
        <w:t>U</w:t>
      </w:r>
      <w:r w:rsidR="00A14DB7">
        <w:t xml:space="preserve">E) </w:t>
      </w:r>
      <w:r w:rsidR="00A40C05">
        <w:t>for different variants of the</w:t>
      </w:r>
      <w:r w:rsidR="00E4790F">
        <w:t xml:space="preserve"> DHW</w:t>
      </w:r>
      <w:r w:rsidR="00A40C05">
        <w:t xml:space="preserve"> tapping profile “M/2” var 0,1,2 and “M 2P” var 0,1,2</w:t>
      </w:r>
      <w:r w:rsidR="003E4BB0">
        <w:t xml:space="preserve"> for N</w:t>
      </w:r>
      <w:r w:rsidR="003E4BB0" w:rsidRPr="003E4BB0">
        <w:rPr>
          <w:vertAlign w:val="subscript"/>
        </w:rPr>
        <w:t>flat</w:t>
      </w:r>
      <w:r w:rsidR="003E4BB0">
        <w:t xml:space="preserve"> = 50</w:t>
      </w:r>
      <w:r w:rsidR="0076522C">
        <w:t xml:space="preserve"> with </w:t>
      </w:r>
      <w:r w:rsidR="0076522C" w:rsidRPr="0076522C">
        <w:rPr>
          <w:rFonts w:ascii="Symbol" w:hAnsi="Symbol"/>
        </w:rPr>
        <w:t>f</w:t>
      </w:r>
      <w:r w:rsidR="00E4790F">
        <w:t> </w:t>
      </w:r>
      <w:r w:rsidR="0076522C">
        <w:t>=</w:t>
      </w:r>
      <w:r w:rsidR="00E4790F">
        <w:t> </w:t>
      </w:r>
      <w:r w:rsidR="0076522C">
        <w:t>0.11</w:t>
      </w:r>
    </w:p>
    <w:p w14:paraId="2040BAFB" w14:textId="77777777" w:rsidR="00A40C05" w:rsidRDefault="00A40C05" w:rsidP="00A40C05">
      <w:pPr>
        <w:rPr>
          <w:lang w:val="en-US"/>
        </w:rPr>
      </w:pPr>
      <w:r>
        <w:rPr>
          <w:lang w:val="en-US"/>
        </w:rPr>
        <w:t>Delivered Energy and Return Temperature</w:t>
      </w:r>
    </w:p>
    <w:p w14:paraId="5AF7AAF2" w14:textId="7D3390FE" w:rsidR="00A40C05" w:rsidRPr="000F312E" w:rsidRDefault="00A40C05" w:rsidP="00A40C05">
      <w:pPr>
        <w:pStyle w:val="SWCText"/>
      </w:pPr>
      <w:r w:rsidRPr="000F312E">
        <w:t xml:space="preserve">Fig. </w:t>
      </w:r>
      <w:r w:rsidR="000F312E">
        <w:t>9</w:t>
      </w:r>
      <w:r w:rsidRPr="000F312E">
        <w:t xml:space="preserve"> shows simulation results of the</w:t>
      </w:r>
      <w:r w:rsidR="00C3638E">
        <w:t xml:space="preserve"> required</w:t>
      </w:r>
      <w:r w:rsidRPr="000F312E">
        <w:t xml:space="preserve"> heating power for the decentral DHW preparation with FWS (measured at the buffer outlet) and</w:t>
      </w:r>
      <w:r w:rsidR="000F312E">
        <w:t xml:space="preserve"> Fig. 10</w:t>
      </w:r>
      <w:r w:rsidRPr="000F312E">
        <w:t xml:space="preserve"> the resulting central return temperature for the example of </w:t>
      </w:r>
      <w:r w:rsidR="00A53064" w:rsidRPr="000F312E">
        <w:t>10</w:t>
      </w:r>
      <w:r w:rsidRPr="000F312E">
        <w:t xml:space="preserve"> parallel staircases with each 5 flats. </w:t>
      </w:r>
      <w:r w:rsidR="00A53064" w:rsidRPr="000F312E">
        <w:t>As above</w:t>
      </w:r>
      <w:r w:rsidR="00C3638E">
        <w:t>,</w:t>
      </w:r>
      <w:r w:rsidR="00A53064" w:rsidRPr="000F312E">
        <w:t xml:space="preserve"> the</w:t>
      </w:r>
      <w:r w:rsidRPr="000F312E">
        <w:t xml:space="preserve"> </w:t>
      </w:r>
      <w:r w:rsidR="00A53064" w:rsidRPr="000F312E">
        <w:t xml:space="preserve">six different tapping profile </w:t>
      </w:r>
      <w:r w:rsidRPr="000F312E">
        <w:t>cases are compared</w:t>
      </w:r>
      <w:r w:rsidR="00A53064" w:rsidRPr="000F312E">
        <w:t xml:space="preserve"> and the </w:t>
      </w:r>
      <w:r w:rsidRPr="000F312E">
        <w:t>peak power and corresponding simultaneity factor measured at the central distribution (main)</w:t>
      </w:r>
      <w:r w:rsidR="00A53064" w:rsidRPr="000F312E">
        <w:t xml:space="preserve"> are shown. </w:t>
      </w:r>
      <w:r w:rsidR="00B23C18">
        <w:t xml:space="preserve">It is remarkable that </w:t>
      </w:r>
      <w:r w:rsidR="00B23C18">
        <w:lastRenderedPageBreak/>
        <w:t>in all cases</w:t>
      </w:r>
      <w:r w:rsidR="00C3638E">
        <w:t>,</w:t>
      </w:r>
      <w:r w:rsidR="00B23C18">
        <w:t xml:space="preserve"> the 50 individual tapping profiles correspond to a </w:t>
      </w:r>
      <w:r w:rsidR="00B23C18" w:rsidRPr="00AA4F44">
        <w:t>simultaneity</w:t>
      </w:r>
      <w:r w:rsidR="00B23C18">
        <w:t xml:space="preserve"> of </w:t>
      </w:r>
      <w:r w:rsidR="00B23C18" w:rsidRPr="00A9083F">
        <w:rPr>
          <w:rFonts w:ascii="Symbol" w:hAnsi="Symbol"/>
        </w:rPr>
        <w:t></w:t>
      </w:r>
      <w:r w:rsidR="00B23C18" w:rsidRPr="00A9083F">
        <w:t xml:space="preserve"> = 0.11</w:t>
      </w:r>
      <w:r w:rsidR="00B23C18">
        <w:t xml:space="preserve"> but due to the implemented DHW energy control the resulting </w:t>
      </w:r>
      <w:r w:rsidR="00B23C18" w:rsidRPr="00B23C18">
        <w:t>simultaneity is higher (here between 0.113 and 0.145)</w:t>
      </w:r>
      <w:r w:rsidR="00C3638E">
        <w:t>.</w:t>
      </w:r>
      <w:r w:rsidR="00B23C18" w:rsidRPr="00B23C18">
        <w:t xml:space="preserve"> </w:t>
      </w:r>
      <w:r w:rsidR="00C3638E">
        <w:t xml:space="preserve">This </w:t>
      </w:r>
      <w:r w:rsidR="00B23C18">
        <w:t>is depend</w:t>
      </w:r>
      <w:r w:rsidR="00C3638E">
        <w:t>s</w:t>
      </w:r>
      <w:r w:rsidR="00B23C18">
        <w:t xml:space="preserve"> on the heating and distribution system as well as on the system configuration</w:t>
      </w:r>
      <w:r w:rsidR="00C3638E">
        <w:t xml:space="preserve"> and</w:t>
      </w:r>
      <w:r w:rsidR="00B23C18">
        <w:t xml:space="preserve"> the control (in particular set point temperatures,</w:t>
      </w:r>
      <w:r w:rsidR="00B23C18" w:rsidRPr="00B23C18">
        <w:t xml:space="preserve"> </w:t>
      </w:r>
      <w:r w:rsidR="00B23C18" w:rsidRPr="000F312E">
        <w:t xml:space="preserve">which is </w:t>
      </w:r>
      <w:r w:rsidR="00B23C18" w:rsidRPr="000F312E">
        <w:rPr>
          <w:lang w:val="en-GB"/>
        </w:rPr>
        <w:t>57.5 °C in this example</w:t>
      </w:r>
      <w:r w:rsidR="00B23C18">
        <w:t>).</w:t>
      </w:r>
    </w:p>
    <w:tbl>
      <w:tblPr>
        <w:tblStyle w:val="Tabellenraster"/>
        <w:tblW w:w="9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
        <w:gridCol w:w="4266"/>
        <w:gridCol w:w="4110"/>
      </w:tblGrid>
      <w:tr w:rsidR="00F20FC9" w:rsidRPr="00991C81" w14:paraId="100B0F12" w14:textId="77777777" w:rsidTr="002F6D6C">
        <w:tc>
          <w:tcPr>
            <w:tcW w:w="762" w:type="dxa"/>
          </w:tcPr>
          <w:p w14:paraId="73EEFCA4" w14:textId="77777777" w:rsidR="00F20FC9" w:rsidRDefault="00F20FC9" w:rsidP="004A364A">
            <w:pPr>
              <w:pStyle w:val="SWCTableFigureCaption"/>
              <w:tabs>
                <w:tab w:val="left" w:pos="566"/>
                <w:tab w:val="center" w:pos="4489"/>
              </w:tabs>
              <w:spacing w:before="0" w:after="0" w:line="240" w:lineRule="auto"/>
              <w:ind w:left="0" w:right="0"/>
            </w:pPr>
          </w:p>
        </w:tc>
        <w:tc>
          <w:tcPr>
            <w:tcW w:w="4266" w:type="dxa"/>
          </w:tcPr>
          <w:p w14:paraId="325F1A03" w14:textId="77777777" w:rsidR="00F20FC9" w:rsidRDefault="00F20FC9" w:rsidP="004A364A">
            <w:pPr>
              <w:pStyle w:val="SWCTableFigureCaption"/>
              <w:tabs>
                <w:tab w:val="left" w:pos="566"/>
                <w:tab w:val="center" w:pos="4489"/>
              </w:tabs>
              <w:spacing w:before="0" w:after="0" w:line="240" w:lineRule="auto"/>
              <w:ind w:left="0" w:right="0"/>
            </w:pPr>
            <w:r>
              <w:t>“M/2”</w:t>
            </w:r>
          </w:p>
        </w:tc>
        <w:tc>
          <w:tcPr>
            <w:tcW w:w="4110" w:type="dxa"/>
          </w:tcPr>
          <w:p w14:paraId="0575B771" w14:textId="77777777" w:rsidR="00F20FC9" w:rsidRDefault="00F20FC9" w:rsidP="004A364A">
            <w:pPr>
              <w:pStyle w:val="SWCTableFigureCaption"/>
              <w:tabs>
                <w:tab w:val="left" w:pos="566"/>
                <w:tab w:val="center" w:pos="4489"/>
              </w:tabs>
              <w:spacing w:before="0" w:after="0" w:line="240" w:lineRule="auto"/>
              <w:ind w:left="0" w:right="0"/>
            </w:pPr>
            <w:r>
              <w:t>“M 2P”</w:t>
            </w:r>
          </w:p>
        </w:tc>
      </w:tr>
      <w:tr w:rsidR="00F20FC9" w:rsidRPr="00991C81" w14:paraId="4F665CB2" w14:textId="77777777" w:rsidTr="002F6D6C">
        <w:tc>
          <w:tcPr>
            <w:tcW w:w="762" w:type="dxa"/>
          </w:tcPr>
          <w:p w14:paraId="134DCEAE" w14:textId="77777777" w:rsidR="00F20FC9" w:rsidRDefault="00F20FC9" w:rsidP="004A364A">
            <w:pPr>
              <w:pStyle w:val="SWCTableFigureCaption"/>
              <w:tabs>
                <w:tab w:val="left" w:pos="566"/>
                <w:tab w:val="center" w:pos="4489"/>
              </w:tabs>
              <w:spacing w:before="0" w:after="0" w:line="240" w:lineRule="auto"/>
              <w:ind w:left="0" w:right="0"/>
            </w:pPr>
            <w:r>
              <w:t>var 0</w:t>
            </w:r>
          </w:p>
        </w:tc>
        <w:tc>
          <w:tcPr>
            <w:tcW w:w="4266" w:type="dxa"/>
          </w:tcPr>
          <w:p w14:paraId="2AFE91F9" w14:textId="21F87B8A" w:rsidR="00F20FC9"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79CA3B0D" wp14:editId="53A547E3">
                  <wp:extent cx="2162835" cy="1080000"/>
                  <wp:effectExtent l="0" t="0" r="0" b="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62835" cy="1080000"/>
                          </a:xfrm>
                          <a:prstGeom prst="rect">
                            <a:avLst/>
                          </a:prstGeom>
                          <a:noFill/>
                          <a:ln>
                            <a:noFill/>
                          </a:ln>
                        </pic:spPr>
                      </pic:pic>
                    </a:graphicData>
                  </a:graphic>
                </wp:inline>
              </w:drawing>
            </w:r>
          </w:p>
        </w:tc>
        <w:tc>
          <w:tcPr>
            <w:tcW w:w="4110" w:type="dxa"/>
          </w:tcPr>
          <w:p w14:paraId="0332D01B" w14:textId="33B04567" w:rsidR="00F20FC9"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56D0752B" wp14:editId="1CA95627">
                  <wp:extent cx="2160000" cy="1080000"/>
                  <wp:effectExtent l="0" t="0" r="0" b="0"/>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60000" cy="1080000"/>
                          </a:xfrm>
                          <a:prstGeom prst="rect">
                            <a:avLst/>
                          </a:prstGeom>
                          <a:noFill/>
                          <a:ln>
                            <a:noFill/>
                          </a:ln>
                        </pic:spPr>
                      </pic:pic>
                    </a:graphicData>
                  </a:graphic>
                </wp:inline>
              </w:drawing>
            </w:r>
          </w:p>
        </w:tc>
      </w:tr>
      <w:tr w:rsidR="00F20FC9" w:rsidRPr="00991C81" w14:paraId="6348FBC7" w14:textId="77777777" w:rsidTr="002F6D6C">
        <w:tc>
          <w:tcPr>
            <w:tcW w:w="762" w:type="dxa"/>
          </w:tcPr>
          <w:p w14:paraId="24FEFE0C" w14:textId="77777777" w:rsidR="00F20FC9" w:rsidRDefault="00F20FC9" w:rsidP="004A364A">
            <w:pPr>
              <w:pStyle w:val="SWCTableFigureCaption"/>
              <w:tabs>
                <w:tab w:val="left" w:pos="566"/>
                <w:tab w:val="center" w:pos="4489"/>
              </w:tabs>
              <w:spacing w:before="0" w:after="0" w:line="240" w:lineRule="auto"/>
              <w:ind w:left="0" w:right="0"/>
            </w:pPr>
            <w:r>
              <w:t>var 1</w:t>
            </w:r>
          </w:p>
        </w:tc>
        <w:tc>
          <w:tcPr>
            <w:tcW w:w="4266" w:type="dxa"/>
          </w:tcPr>
          <w:p w14:paraId="6564D39F" w14:textId="18FF6E38" w:rsidR="00F20FC9"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6FBA14F8" wp14:editId="00D27575">
                  <wp:extent cx="2164901" cy="1080000"/>
                  <wp:effectExtent l="0" t="0" r="0" b="0"/>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68175C9E" w14:textId="6749214E" w:rsidR="00F20FC9" w:rsidRDefault="00D907C0" w:rsidP="004A364A">
            <w:pPr>
              <w:pStyle w:val="SWCTableFigureCaption"/>
              <w:tabs>
                <w:tab w:val="left" w:pos="566"/>
                <w:tab w:val="center" w:pos="4489"/>
              </w:tabs>
              <w:spacing w:before="0" w:after="0" w:line="240" w:lineRule="auto"/>
              <w:ind w:left="0" w:right="0"/>
            </w:pPr>
            <w:r w:rsidRPr="00D907C0">
              <w:rPr>
                <w:noProof/>
              </w:rPr>
              <w:drawing>
                <wp:inline distT="0" distB="0" distL="0" distR="0" wp14:anchorId="76442536" wp14:editId="67BFEC50">
                  <wp:extent cx="2160000" cy="1080000"/>
                  <wp:effectExtent l="0" t="0" r="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60000" cy="1080000"/>
                          </a:xfrm>
                          <a:prstGeom prst="rect">
                            <a:avLst/>
                          </a:prstGeom>
                          <a:noFill/>
                          <a:ln>
                            <a:noFill/>
                          </a:ln>
                        </pic:spPr>
                      </pic:pic>
                    </a:graphicData>
                  </a:graphic>
                </wp:inline>
              </w:drawing>
            </w:r>
          </w:p>
        </w:tc>
      </w:tr>
      <w:tr w:rsidR="00F20FC9" w:rsidRPr="00991C81" w14:paraId="3A806DA5" w14:textId="77777777" w:rsidTr="002F6D6C">
        <w:tc>
          <w:tcPr>
            <w:tcW w:w="762" w:type="dxa"/>
          </w:tcPr>
          <w:p w14:paraId="01EFEE18" w14:textId="77777777" w:rsidR="00F20FC9" w:rsidRDefault="00F20FC9" w:rsidP="004A364A">
            <w:pPr>
              <w:pStyle w:val="SWCTableFigureCaption"/>
              <w:tabs>
                <w:tab w:val="left" w:pos="566"/>
                <w:tab w:val="center" w:pos="4489"/>
              </w:tabs>
              <w:spacing w:before="0" w:after="0" w:line="240" w:lineRule="auto"/>
              <w:ind w:left="0" w:right="0"/>
            </w:pPr>
            <w:r>
              <w:t>var 2</w:t>
            </w:r>
          </w:p>
        </w:tc>
        <w:tc>
          <w:tcPr>
            <w:tcW w:w="4266" w:type="dxa"/>
          </w:tcPr>
          <w:p w14:paraId="6C8DB84D" w14:textId="61697004" w:rsidR="00F20FC9" w:rsidRDefault="00C01213" w:rsidP="004A364A">
            <w:pPr>
              <w:pStyle w:val="SWCTableFigureCaption"/>
              <w:tabs>
                <w:tab w:val="left" w:pos="566"/>
                <w:tab w:val="center" w:pos="4489"/>
              </w:tabs>
              <w:spacing w:before="0" w:after="0" w:line="240" w:lineRule="auto"/>
              <w:ind w:left="0" w:right="0"/>
            </w:pPr>
            <w:r w:rsidRPr="00C01213">
              <w:rPr>
                <w:noProof/>
              </w:rPr>
              <w:drawing>
                <wp:inline distT="0" distB="0" distL="0" distR="0" wp14:anchorId="36908F97" wp14:editId="55E3F39C">
                  <wp:extent cx="2164901" cy="1080000"/>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13E45AEA" w14:textId="1944D65F" w:rsidR="00F20FC9" w:rsidRDefault="00D907C0" w:rsidP="004A364A">
            <w:pPr>
              <w:pStyle w:val="SWCTableFigureCaption"/>
              <w:tabs>
                <w:tab w:val="left" w:pos="566"/>
                <w:tab w:val="center" w:pos="4489"/>
              </w:tabs>
              <w:spacing w:before="0" w:after="0" w:line="240" w:lineRule="auto"/>
              <w:ind w:left="0" w:right="0"/>
            </w:pPr>
            <w:r w:rsidRPr="00D907C0">
              <w:rPr>
                <w:noProof/>
              </w:rPr>
              <w:drawing>
                <wp:inline distT="0" distB="0" distL="0" distR="0" wp14:anchorId="00E0CB37" wp14:editId="4AE0A225">
                  <wp:extent cx="2160258" cy="108000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60258" cy="1080000"/>
                          </a:xfrm>
                          <a:prstGeom prst="rect">
                            <a:avLst/>
                          </a:prstGeom>
                          <a:noFill/>
                          <a:ln>
                            <a:noFill/>
                          </a:ln>
                        </pic:spPr>
                      </pic:pic>
                    </a:graphicData>
                  </a:graphic>
                </wp:inline>
              </w:drawing>
            </w:r>
          </w:p>
        </w:tc>
      </w:tr>
    </w:tbl>
    <w:p w14:paraId="45B3F24E" w14:textId="00985AB9" w:rsidR="00F20FC9" w:rsidRDefault="00F20FC9" w:rsidP="00F20FC9">
      <w:pPr>
        <w:pStyle w:val="SWCTableFigureCaption"/>
        <w:tabs>
          <w:tab w:val="left" w:pos="566"/>
          <w:tab w:val="center" w:pos="4489"/>
        </w:tabs>
      </w:pPr>
      <w:r>
        <w:t xml:space="preserve">Fig. 9: </w:t>
      </w:r>
      <w:r w:rsidR="007F795B">
        <w:t xml:space="preserve">Heating power related to the </w:t>
      </w:r>
      <w:r>
        <w:t xml:space="preserve">Delivered Energy (DE) for different variants of the </w:t>
      </w:r>
      <w:r w:rsidR="00E4790F">
        <w:t xml:space="preserve">DHW </w:t>
      </w:r>
      <w:r>
        <w:t xml:space="preserve">tapping profile “M/2” and “M 2P” </w:t>
      </w:r>
      <w:r w:rsidR="000F312E">
        <w:t xml:space="preserve">each with </w:t>
      </w:r>
      <w:r>
        <w:t>var 0,1,2 for N</w:t>
      </w:r>
      <w:r w:rsidRPr="003E4BB0">
        <w:rPr>
          <w:vertAlign w:val="subscript"/>
        </w:rPr>
        <w:t>flat</w:t>
      </w:r>
      <w:r w:rsidR="00E4790F">
        <w:t> </w:t>
      </w:r>
      <w:r>
        <w:t>=</w:t>
      </w:r>
      <w:r w:rsidR="00E4790F">
        <w:t> </w:t>
      </w:r>
      <w:r>
        <w:t>50</w:t>
      </w:r>
      <w:r w:rsidR="000F312E">
        <w:t xml:space="preserve"> (10</w:t>
      </w:r>
      <w:r w:rsidR="00C01213">
        <w:t> </w:t>
      </w:r>
      <w:r w:rsidR="000F312E">
        <w:t>x</w:t>
      </w:r>
      <w:r w:rsidR="00C01213">
        <w:t> </w:t>
      </w:r>
      <w:r w:rsidR="000F312E">
        <w:t>5)</w:t>
      </w:r>
      <w:r w:rsidR="00C676AB">
        <w:t>; max. simulation time step = 1 s</w:t>
      </w:r>
    </w:p>
    <w:tbl>
      <w:tblPr>
        <w:tblStyle w:val="Tabellenraster"/>
        <w:tblW w:w="9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
        <w:gridCol w:w="4266"/>
        <w:gridCol w:w="4110"/>
      </w:tblGrid>
      <w:tr w:rsidR="00C01213" w14:paraId="73E8DAF4" w14:textId="77777777" w:rsidTr="002F6D6C">
        <w:tc>
          <w:tcPr>
            <w:tcW w:w="762" w:type="dxa"/>
          </w:tcPr>
          <w:p w14:paraId="7A796105" w14:textId="77777777" w:rsidR="00A53064" w:rsidRDefault="00A53064" w:rsidP="004A364A">
            <w:pPr>
              <w:pStyle w:val="SWCTableFigureCaption"/>
              <w:tabs>
                <w:tab w:val="left" w:pos="566"/>
                <w:tab w:val="center" w:pos="4489"/>
              </w:tabs>
              <w:spacing w:before="0" w:after="0" w:line="240" w:lineRule="auto"/>
              <w:ind w:left="0" w:right="0"/>
            </w:pPr>
          </w:p>
        </w:tc>
        <w:tc>
          <w:tcPr>
            <w:tcW w:w="4266" w:type="dxa"/>
          </w:tcPr>
          <w:p w14:paraId="1D8BEDA9" w14:textId="77777777" w:rsidR="00A53064" w:rsidRDefault="00A53064" w:rsidP="004A364A">
            <w:pPr>
              <w:pStyle w:val="SWCTableFigureCaption"/>
              <w:tabs>
                <w:tab w:val="left" w:pos="566"/>
                <w:tab w:val="center" w:pos="4489"/>
              </w:tabs>
              <w:spacing w:before="0" w:after="0" w:line="240" w:lineRule="auto"/>
              <w:ind w:left="0" w:right="0"/>
            </w:pPr>
            <w:r>
              <w:t>“M/2”</w:t>
            </w:r>
          </w:p>
        </w:tc>
        <w:tc>
          <w:tcPr>
            <w:tcW w:w="4110" w:type="dxa"/>
          </w:tcPr>
          <w:p w14:paraId="1C293527" w14:textId="77777777" w:rsidR="00A53064" w:rsidRDefault="00A53064" w:rsidP="004A364A">
            <w:pPr>
              <w:pStyle w:val="SWCTableFigureCaption"/>
              <w:tabs>
                <w:tab w:val="left" w:pos="566"/>
                <w:tab w:val="center" w:pos="4489"/>
              </w:tabs>
              <w:spacing w:before="0" w:after="0" w:line="240" w:lineRule="auto"/>
              <w:ind w:left="0" w:right="0"/>
            </w:pPr>
            <w:r>
              <w:t>“M 2P”</w:t>
            </w:r>
          </w:p>
        </w:tc>
      </w:tr>
      <w:tr w:rsidR="00C01213" w14:paraId="2B20DDC6" w14:textId="77777777" w:rsidTr="002F6D6C">
        <w:tc>
          <w:tcPr>
            <w:tcW w:w="762" w:type="dxa"/>
          </w:tcPr>
          <w:p w14:paraId="4724AEE9" w14:textId="77777777" w:rsidR="00A53064" w:rsidRDefault="00A53064" w:rsidP="004A364A">
            <w:pPr>
              <w:pStyle w:val="SWCTableFigureCaption"/>
              <w:tabs>
                <w:tab w:val="left" w:pos="566"/>
                <w:tab w:val="center" w:pos="4489"/>
              </w:tabs>
              <w:spacing w:before="0" w:after="0" w:line="240" w:lineRule="auto"/>
              <w:ind w:left="0" w:right="0"/>
            </w:pPr>
            <w:r>
              <w:t>var 0</w:t>
            </w:r>
          </w:p>
        </w:tc>
        <w:tc>
          <w:tcPr>
            <w:tcW w:w="4266" w:type="dxa"/>
          </w:tcPr>
          <w:p w14:paraId="65570C9D" w14:textId="26BC4566" w:rsidR="00A53064"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3F6AAD4B" wp14:editId="000C655B">
                  <wp:extent cx="2164901" cy="1080000"/>
                  <wp:effectExtent l="0" t="0" r="0" b="0"/>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578BD96C" w14:textId="148B3DD0" w:rsidR="00A53064" w:rsidRDefault="00C01213" w:rsidP="004A364A">
            <w:pPr>
              <w:pStyle w:val="SWCTableFigureCaption"/>
              <w:tabs>
                <w:tab w:val="left" w:pos="566"/>
                <w:tab w:val="center" w:pos="4489"/>
              </w:tabs>
              <w:spacing w:before="0" w:after="0" w:line="240" w:lineRule="auto"/>
              <w:ind w:left="0" w:right="0"/>
            </w:pPr>
            <w:r w:rsidRPr="00C01213">
              <w:rPr>
                <w:noProof/>
              </w:rPr>
              <w:drawing>
                <wp:inline distT="0" distB="0" distL="0" distR="0" wp14:anchorId="74F415AD" wp14:editId="70B2F3ED">
                  <wp:extent cx="2164901" cy="1080000"/>
                  <wp:effectExtent l="0" t="0" r="0" b="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r>
      <w:tr w:rsidR="00C01213" w14:paraId="08DFE3BD" w14:textId="77777777" w:rsidTr="002F6D6C">
        <w:tc>
          <w:tcPr>
            <w:tcW w:w="762" w:type="dxa"/>
          </w:tcPr>
          <w:p w14:paraId="26E8D118" w14:textId="77777777" w:rsidR="00A53064" w:rsidRDefault="00A53064" w:rsidP="004A364A">
            <w:pPr>
              <w:pStyle w:val="SWCTableFigureCaption"/>
              <w:tabs>
                <w:tab w:val="left" w:pos="566"/>
                <w:tab w:val="center" w:pos="4489"/>
              </w:tabs>
              <w:spacing w:before="0" w:after="0" w:line="240" w:lineRule="auto"/>
              <w:ind w:left="0" w:right="0"/>
            </w:pPr>
            <w:r>
              <w:t>var 1</w:t>
            </w:r>
          </w:p>
        </w:tc>
        <w:tc>
          <w:tcPr>
            <w:tcW w:w="4266" w:type="dxa"/>
          </w:tcPr>
          <w:p w14:paraId="4CAA493B" w14:textId="2E31E368" w:rsidR="00A53064" w:rsidRDefault="0076522C" w:rsidP="004A364A">
            <w:pPr>
              <w:pStyle w:val="SWCTableFigureCaption"/>
              <w:tabs>
                <w:tab w:val="left" w:pos="566"/>
                <w:tab w:val="center" w:pos="4489"/>
              </w:tabs>
              <w:spacing w:before="0" w:after="0" w:line="240" w:lineRule="auto"/>
              <w:ind w:left="0" w:right="0"/>
            </w:pPr>
            <w:r w:rsidRPr="0076522C">
              <w:rPr>
                <w:noProof/>
              </w:rPr>
              <w:drawing>
                <wp:inline distT="0" distB="0" distL="0" distR="0" wp14:anchorId="6CB61E1E" wp14:editId="1F908EA9">
                  <wp:extent cx="2164901" cy="108000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3BC82929" w14:textId="1D7BA417" w:rsidR="00A53064" w:rsidRDefault="00C01213" w:rsidP="004A364A">
            <w:pPr>
              <w:pStyle w:val="SWCTableFigureCaption"/>
              <w:tabs>
                <w:tab w:val="left" w:pos="566"/>
                <w:tab w:val="center" w:pos="4489"/>
              </w:tabs>
              <w:spacing w:before="0" w:after="0" w:line="240" w:lineRule="auto"/>
              <w:ind w:left="0" w:right="0"/>
            </w:pPr>
            <w:r w:rsidRPr="00C01213">
              <w:rPr>
                <w:noProof/>
              </w:rPr>
              <w:drawing>
                <wp:inline distT="0" distB="0" distL="0" distR="0" wp14:anchorId="2B685C41" wp14:editId="2167BE44">
                  <wp:extent cx="2164901" cy="1080000"/>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r>
      <w:tr w:rsidR="00C01213" w14:paraId="693DDF2E" w14:textId="77777777" w:rsidTr="002F6D6C">
        <w:tc>
          <w:tcPr>
            <w:tcW w:w="762" w:type="dxa"/>
          </w:tcPr>
          <w:p w14:paraId="103074F9" w14:textId="77777777" w:rsidR="00A53064" w:rsidRDefault="00A53064" w:rsidP="004A364A">
            <w:pPr>
              <w:pStyle w:val="SWCTableFigureCaption"/>
              <w:tabs>
                <w:tab w:val="left" w:pos="566"/>
                <w:tab w:val="center" w:pos="4489"/>
              </w:tabs>
              <w:spacing w:before="0" w:after="0" w:line="240" w:lineRule="auto"/>
              <w:ind w:left="0" w:right="0"/>
            </w:pPr>
            <w:r>
              <w:t>var 2</w:t>
            </w:r>
          </w:p>
        </w:tc>
        <w:tc>
          <w:tcPr>
            <w:tcW w:w="4266" w:type="dxa"/>
          </w:tcPr>
          <w:p w14:paraId="2E04277C" w14:textId="281ADCB6" w:rsidR="00A53064" w:rsidRDefault="00C01213" w:rsidP="004A364A">
            <w:pPr>
              <w:pStyle w:val="SWCTableFigureCaption"/>
              <w:tabs>
                <w:tab w:val="left" w:pos="566"/>
                <w:tab w:val="center" w:pos="4489"/>
              </w:tabs>
              <w:spacing w:before="0" w:after="0" w:line="240" w:lineRule="auto"/>
              <w:ind w:left="0" w:right="0"/>
            </w:pPr>
            <w:r w:rsidRPr="00C01213">
              <w:rPr>
                <w:noProof/>
              </w:rPr>
              <w:drawing>
                <wp:inline distT="0" distB="0" distL="0" distR="0" wp14:anchorId="53C1AAF0" wp14:editId="61CAB438">
                  <wp:extent cx="2164901" cy="1080000"/>
                  <wp:effectExtent l="0" t="0" r="0" b="0"/>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c>
          <w:tcPr>
            <w:tcW w:w="4110" w:type="dxa"/>
          </w:tcPr>
          <w:p w14:paraId="706B8E45" w14:textId="203EF3B5" w:rsidR="00A53064" w:rsidRDefault="00C01213" w:rsidP="004A364A">
            <w:pPr>
              <w:pStyle w:val="SWCTableFigureCaption"/>
              <w:tabs>
                <w:tab w:val="left" w:pos="566"/>
                <w:tab w:val="center" w:pos="4489"/>
              </w:tabs>
              <w:spacing w:before="0" w:after="0" w:line="240" w:lineRule="auto"/>
              <w:ind w:left="0" w:right="0"/>
            </w:pPr>
            <w:r w:rsidRPr="00C01213">
              <w:rPr>
                <w:noProof/>
              </w:rPr>
              <w:drawing>
                <wp:inline distT="0" distB="0" distL="0" distR="0" wp14:anchorId="7AF99EE0" wp14:editId="7BFD80B8">
                  <wp:extent cx="2164901" cy="1080000"/>
                  <wp:effectExtent l="0" t="0" r="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64901" cy="1080000"/>
                          </a:xfrm>
                          <a:prstGeom prst="rect">
                            <a:avLst/>
                          </a:prstGeom>
                          <a:noFill/>
                          <a:ln>
                            <a:noFill/>
                          </a:ln>
                        </pic:spPr>
                      </pic:pic>
                    </a:graphicData>
                  </a:graphic>
                </wp:inline>
              </w:drawing>
            </w:r>
          </w:p>
        </w:tc>
      </w:tr>
    </w:tbl>
    <w:p w14:paraId="751BC70B" w14:textId="682800B1" w:rsidR="000F312E" w:rsidRDefault="00F20FC9" w:rsidP="000F312E">
      <w:pPr>
        <w:pStyle w:val="SWCTableFigureCaption"/>
        <w:tabs>
          <w:tab w:val="left" w:pos="566"/>
          <w:tab w:val="center" w:pos="4489"/>
        </w:tabs>
      </w:pPr>
      <w:r>
        <w:t>Fig. 9: Resulting return temperature</w:t>
      </w:r>
      <w:r w:rsidR="00C01213">
        <w:t xml:space="preserve"> (RT)</w:t>
      </w:r>
      <w:r>
        <w:t xml:space="preserve"> for different variants of the</w:t>
      </w:r>
      <w:r w:rsidR="00E4790F">
        <w:t xml:space="preserve"> DHW</w:t>
      </w:r>
      <w:r>
        <w:t xml:space="preserve"> tapping profile “M/2” and “M 2P” </w:t>
      </w:r>
      <w:r w:rsidR="000F312E">
        <w:t xml:space="preserve">each with </w:t>
      </w:r>
      <w:r>
        <w:t>var 0,1,2 for N</w:t>
      </w:r>
      <w:r w:rsidRPr="003E4BB0">
        <w:rPr>
          <w:vertAlign w:val="subscript"/>
        </w:rPr>
        <w:t>flat</w:t>
      </w:r>
      <w:r w:rsidR="00C01213">
        <w:t> </w:t>
      </w:r>
      <w:r>
        <w:t>=</w:t>
      </w:r>
      <w:r w:rsidR="00C01213">
        <w:t> </w:t>
      </w:r>
      <w:r>
        <w:t>50</w:t>
      </w:r>
      <w:r w:rsidR="000F312E">
        <w:t xml:space="preserve"> (10 x 5)</w:t>
      </w:r>
      <w:r w:rsidR="00C676AB">
        <w:t>; max. simulation time step = 1 s</w:t>
      </w:r>
    </w:p>
    <w:p w14:paraId="3B25DA69" w14:textId="364487AA" w:rsidR="00F20FC9" w:rsidRDefault="004E7B7C" w:rsidP="002E583E">
      <w:pPr>
        <w:pStyle w:val="SWCText"/>
      </w:pPr>
      <w:r>
        <w:t>Tab. 2 summarizes the</w:t>
      </w:r>
      <w:r w:rsidR="007F795B">
        <w:t xml:space="preserve"> heating power related to the </w:t>
      </w:r>
      <w:r>
        <w:t xml:space="preserve">UE, the DE as well as the simultaneity factor for the useful energy and the delivered energy. In spite of the same UE between the subvariants the DE slightly deviates but in particular the simultaneity factor is influenced by the choice of the subvariant and varies between 0.135 and 1.64 which corresponds to a difference on peak power of </w:t>
      </w:r>
      <w:r w:rsidR="002E583E">
        <w:t>ca. 36 kW.</w:t>
      </w:r>
      <w:r w:rsidR="00B23C18">
        <w:t xml:space="preserve"> </w:t>
      </w:r>
    </w:p>
    <w:p w14:paraId="0A61DB5B" w14:textId="77777777" w:rsidR="002F668B" w:rsidRDefault="002F668B" w:rsidP="002E583E">
      <w:pPr>
        <w:pStyle w:val="SWCText"/>
      </w:pPr>
    </w:p>
    <w:p w14:paraId="32AB4E41" w14:textId="6DAFA6BA" w:rsidR="00365A82" w:rsidRDefault="00365A82" w:rsidP="00467394">
      <w:pPr>
        <w:pStyle w:val="SWCText"/>
      </w:pPr>
      <w:r>
        <w:lastRenderedPageBreak/>
        <w:t>The simultaneity factor as a function of the number of flats is shown in Fig. 10.</w:t>
      </w:r>
      <w:r w:rsidR="009F17AC">
        <w:t xml:space="preserve"> The resulting simultaneity</w:t>
      </w:r>
      <w:r w:rsidR="002B3C79">
        <w:t xml:space="preserve"> factor</w:t>
      </w:r>
      <w:r w:rsidR="009F17AC">
        <w:t xml:space="preserve"> for the UE and DE is following a power law trend</w:t>
      </w:r>
      <w:r w:rsidR="002B3C79">
        <w:t xml:space="preserve"> (with some outliers)</w:t>
      </w:r>
      <w:r w:rsidR="009F17AC">
        <w:t xml:space="preserve"> and </w:t>
      </w:r>
      <w:r w:rsidR="002B3C79">
        <w:t>i</w:t>
      </w:r>
      <w:r w:rsidR="009F17AC">
        <w:t>s significantly higher for the useful and delivered energy and depends on the tapping profile</w:t>
      </w:r>
      <w:r w:rsidR="002B3C79">
        <w:t xml:space="preserve"> variant</w:t>
      </w:r>
      <w:r w:rsidR="009F17AC">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465"/>
        <w:gridCol w:w="4466"/>
      </w:tblGrid>
      <w:tr w:rsidR="00C331B0" w:rsidRPr="00D831CE" w14:paraId="074C8524" w14:textId="77777777" w:rsidTr="00C331B0">
        <w:tc>
          <w:tcPr>
            <w:tcW w:w="4465" w:type="dxa"/>
          </w:tcPr>
          <w:p w14:paraId="5426A00A" w14:textId="1D9C6AD4" w:rsidR="00C331B0" w:rsidRDefault="00C331B0" w:rsidP="004A364A">
            <w:pPr>
              <w:pStyle w:val="SWCText"/>
              <w:spacing w:after="0" w:line="240" w:lineRule="auto"/>
            </w:pPr>
            <w:r>
              <w:rPr>
                <w:noProof/>
              </w:rPr>
              <w:drawing>
                <wp:inline distT="0" distB="0" distL="0" distR="0" wp14:anchorId="14BB04AF" wp14:editId="78D3FBB7">
                  <wp:extent cx="2700000" cy="1440000"/>
                  <wp:effectExtent l="0" t="0" r="5715" b="8255"/>
                  <wp:docPr id="97" name="Diagramm 97">
                    <a:extLst xmlns:a="http://schemas.openxmlformats.org/drawingml/2006/main">
                      <a:ext uri="{FF2B5EF4-FFF2-40B4-BE49-F238E27FC236}">
                        <a16:creationId xmlns:a16="http://schemas.microsoft.com/office/drawing/2014/main" id="{7CC31026-8029-8C65-A13B-FB4BC39B36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c>
          <w:tcPr>
            <w:tcW w:w="4466" w:type="dxa"/>
          </w:tcPr>
          <w:p w14:paraId="68D67B7E" w14:textId="540C9485" w:rsidR="00C331B0" w:rsidRPr="00D831CE" w:rsidRDefault="00C331B0" w:rsidP="004A364A">
            <w:pPr>
              <w:pStyle w:val="SWCText"/>
              <w:spacing w:after="0" w:line="240" w:lineRule="auto"/>
              <w:rPr>
                <w:noProof/>
              </w:rPr>
            </w:pPr>
            <w:r>
              <w:rPr>
                <w:noProof/>
              </w:rPr>
              <w:drawing>
                <wp:inline distT="0" distB="0" distL="0" distR="0" wp14:anchorId="01AA929A" wp14:editId="4BCAE9E2">
                  <wp:extent cx="2700000" cy="1440000"/>
                  <wp:effectExtent l="0" t="0" r="5715" b="8255"/>
                  <wp:docPr id="100" name="Diagramm 100">
                    <a:extLst xmlns:a="http://schemas.openxmlformats.org/drawingml/2006/main">
                      <a:ext uri="{FF2B5EF4-FFF2-40B4-BE49-F238E27FC236}">
                        <a16:creationId xmlns:a16="http://schemas.microsoft.com/office/drawing/2014/main" id="{3D415E2B-264B-4A4B-B5B3-EA3D8004F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r w:rsidR="00C331B0" w:rsidRPr="00A9362F" w14:paraId="78E3E071" w14:textId="77777777" w:rsidTr="002F6D6C">
        <w:tblPrEx>
          <w:tblCellMar>
            <w:left w:w="108" w:type="dxa"/>
            <w:right w:w="108" w:type="dxa"/>
          </w:tblCellMar>
        </w:tblPrEx>
        <w:tc>
          <w:tcPr>
            <w:tcW w:w="4465" w:type="dxa"/>
          </w:tcPr>
          <w:p w14:paraId="1D9C6CEE" w14:textId="77777777" w:rsidR="00C331B0" w:rsidRPr="00A9362F" w:rsidRDefault="00C331B0" w:rsidP="004A364A">
            <w:pPr>
              <w:pStyle w:val="SWCTableFigureCaption"/>
              <w:tabs>
                <w:tab w:val="left" w:pos="566"/>
                <w:tab w:val="center" w:pos="4489"/>
              </w:tabs>
              <w:spacing w:before="0" w:after="0" w:line="240" w:lineRule="auto"/>
              <w:ind w:left="0" w:right="0"/>
            </w:pPr>
            <w:r>
              <w:t>“</w:t>
            </w:r>
            <w:r w:rsidRPr="00A9362F">
              <w:t>M/2</w:t>
            </w:r>
            <w:r>
              <w:t>”</w:t>
            </w:r>
          </w:p>
        </w:tc>
        <w:tc>
          <w:tcPr>
            <w:tcW w:w="4466" w:type="dxa"/>
          </w:tcPr>
          <w:p w14:paraId="150B9871" w14:textId="77777777" w:rsidR="00C331B0" w:rsidRPr="00A9362F" w:rsidRDefault="00C331B0" w:rsidP="004A364A">
            <w:pPr>
              <w:pStyle w:val="SWCTableFigureCaption"/>
              <w:tabs>
                <w:tab w:val="left" w:pos="566"/>
                <w:tab w:val="center" w:pos="4489"/>
              </w:tabs>
              <w:spacing w:before="0" w:after="0" w:line="240" w:lineRule="auto"/>
              <w:ind w:left="0" w:right="0"/>
            </w:pPr>
            <w:r>
              <w:t>“</w:t>
            </w:r>
            <w:r w:rsidRPr="00A9362F">
              <w:t>M 2P</w:t>
            </w:r>
            <w:r>
              <w:t>”</w:t>
            </w:r>
          </w:p>
        </w:tc>
      </w:tr>
    </w:tbl>
    <w:p w14:paraId="2C7CE142" w14:textId="2D1F7E83" w:rsidR="00365A82" w:rsidRDefault="00365A82" w:rsidP="00365A82">
      <w:pPr>
        <w:pStyle w:val="SWCTableFigureCaption"/>
        <w:tabs>
          <w:tab w:val="left" w:pos="566"/>
          <w:tab w:val="center" w:pos="4489"/>
        </w:tabs>
      </w:pPr>
      <w:r w:rsidRPr="00834767">
        <w:t xml:space="preserve">Fig. </w:t>
      </w:r>
      <w:r>
        <w:t>10</w:t>
      </w:r>
      <w:r w:rsidRPr="00834767">
        <w:t>:</w:t>
      </w:r>
      <w:r w:rsidR="00C331B0">
        <w:t xml:space="preserve"> Simultaneity acc.</w:t>
      </w:r>
      <w:r w:rsidR="002B3C79">
        <w:t xml:space="preserve"> </w:t>
      </w:r>
      <w:r w:rsidR="00C331B0">
        <w:t>to VDI, for the useful energy (UE) and the delivered energy (DE) for left profile “M/2” and right “M 2P” each for var 0.</w:t>
      </w:r>
    </w:p>
    <w:p w14:paraId="31C782DF" w14:textId="26850F24" w:rsidR="002F668B" w:rsidRPr="00EF7A77" w:rsidRDefault="002F668B" w:rsidP="002F668B">
      <w:pPr>
        <w:rPr>
          <w:lang w:val="en-GB"/>
        </w:rPr>
      </w:pPr>
      <w:r w:rsidRPr="00EF7A77">
        <w:rPr>
          <w:lang w:val="en-GB"/>
        </w:rPr>
        <w:t>Number of flat</w:t>
      </w:r>
      <w:r w:rsidR="002B3C79">
        <w:rPr>
          <w:lang w:val="en-GB"/>
        </w:rPr>
        <w:t>s</w:t>
      </w:r>
      <w:r w:rsidRPr="00EF7A77">
        <w:rPr>
          <w:lang w:val="en-GB"/>
        </w:rPr>
        <w:t xml:space="preserve"> and simulation time</w:t>
      </w:r>
    </w:p>
    <w:p w14:paraId="4DF4842C" w14:textId="61C76027" w:rsidR="002F668B" w:rsidRDefault="007F795B" w:rsidP="002F668B">
      <w:pPr>
        <w:pStyle w:val="SWCText"/>
        <w:rPr>
          <w:lang w:val="en-GB"/>
        </w:rPr>
      </w:pPr>
      <w:r>
        <w:rPr>
          <w:lang w:val="en-GB"/>
        </w:rPr>
        <w:t>In Fig. 11 t</w:t>
      </w:r>
      <w:r w:rsidR="002F668B">
        <w:rPr>
          <w:lang w:val="en-GB"/>
        </w:rPr>
        <w:t>he simulation time for 2 days (where the first day is for initialisation) is compared for the tw</w:t>
      </w:r>
      <w:r w:rsidR="00030A2C">
        <w:rPr>
          <w:lang w:val="en-GB"/>
        </w:rPr>
        <w:t>o</w:t>
      </w:r>
      <w:r w:rsidR="002F668B">
        <w:rPr>
          <w:lang w:val="en-GB"/>
        </w:rPr>
        <w:t xml:space="preserve"> different tapping profiles “M/2” and “M 2P”, each with the three different subvariants (var: 0,1,2), see Fig. </w:t>
      </w:r>
      <w:r w:rsidR="00030A2C">
        <w:rPr>
          <w:lang w:val="en-GB"/>
        </w:rPr>
        <w:t>8</w:t>
      </w:r>
      <w:r w:rsidR="002F668B">
        <w:rPr>
          <w:lang w:val="en-GB"/>
        </w:rPr>
        <w:t xml:space="preserve">, above. Simulations have been repeated 5 times and results are reproducible with a minor </w:t>
      </w:r>
      <w:r w:rsidR="002F668B" w:rsidRPr="00F46917">
        <w:t>deviation</w:t>
      </w:r>
      <w:r w:rsidR="002F668B">
        <w:rPr>
          <w:lang w:val="en-GB"/>
        </w:rPr>
        <w:t xml:space="preserve"> between the runs. A significant increase of the simulation time can be observed with increasing number of flats. The simulation time is relevantly higher (up to a factor </w:t>
      </w:r>
      <w:r w:rsidR="00E55117">
        <w:rPr>
          <w:lang w:val="en-GB"/>
        </w:rPr>
        <w:t>2</w:t>
      </w:r>
      <w:r w:rsidR="002F668B">
        <w:rPr>
          <w:lang w:val="en-GB"/>
        </w:rPr>
        <w:t xml:space="preserve">) for the profile “M/2” compared to “M 2P” due to two main tapping events (shower in the morning and evening compared to only shower in the evening). There are “outliers” </w:t>
      </w:r>
      <w:r w:rsidR="00E55117">
        <w:rPr>
          <w:lang w:val="en-GB"/>
        </w:rPr>
        <w:t>in case of a max. time step of 1s and also some numerical deviations. With reduced max. time step of 0.1 s the outliers and the numerical errors can be significantly reduced but on cost of significantly higher simulation times</w:t>
      </w:r>
      <w:r w:rsidR="002F668B">
        <w:rPr>
          <w:lang w:val="en-GB"/>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465"/>
        <w:gridCol w:w="4466"/>
      </w:tblGrid>
      <w:tr w:rsidR="002F668B" w:rsidRPr="009E702E" w14:paraId="0EE64442" w14:textId="77777777" w:rsidTr="002F6D6C">
        <w:tc>
          <w:tcPr>
            <w:tcW w:w="4465" w:type="dxa"/>
          </w:tcPr>
          <w:p w14:paraId="387F59B0" w14:textId="77777777" w:rsidR="002F668B" w:rsidRDefault="002F668B" w:rsidP="004A364A">
            <w:pPr>
              <w:pStyle w:val="SWCText"/>
              <w:spacing w:after="0" w:line="240" w:lineRule="auto"/>
            </w:pPr>
            <w:r>
              <w:rPr>
                <w:noProof/>
              </w:rPr>
              <w:drawing>
                <wp:inline distT="0" distB="0" distL="0" distR="0" wp14:anchorId="28549872" wp14:editId="1BC89C91">
                  <wp:extent cx="2700000" cy="1440000"/>
                  <wp:effectExtent l="0" t="0" r="5715" b="8255"/>
                  <wp:docPr id="48" name="Diagramm 48">
                    <a:extLst xmlns:a="http://schemas.openxmlformats.org/drawingml/2006/main">
                      <a:ext uri="{FF2B5EF4-FFF2-40B4-BE49-F238E27FC236}">
                        <a16:creationId xmlns:a16="http://schemas.microsoft.com/office/drawing/2014/main" id="{43185A27-4570-496D-B741-BDFD82D106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c>
          <w:tcPr>
            <w:tcW w:w="4466" w:type="dxa"/>
          </w:tcPr>
          <w:p w14:paraId="08A07647" w14:textId="77777777" w:rsidR="002F668B" w:rsidRPr="00D831CE" w:rsidRDefault="002F668B" w:rsidP="004A364A">
            <w:pPr>
              <w:pStyle w:val="SWCText"/>
              <w:spacing w:after="0" w:line="240" w:lineRule="auto"/>
              <w:rPr>
                <w:noProof/>
              </w:rPr>
            </w:pPr>
            <w:r>
              <w:rPr>
                <w:noProof/>
              </w:rPr>
              <w:drawing>
                <wp:inline distT="0" distB="0" distL="0" distR="0" wp14:anchorId="67E0D629" wp14:editId="662B2C12">
                  <wp:extent cx="2698750" cy="1440000"/>
                  <wp:effectExtent l="0" t="0" r="6350" b="8255"/>
                  <wp:docPr id="47" name="Diagramm 47">
                    <a:extLst xmlns:a="http://schemas.openxmlformats.org/drawingml/2006/main">
                      <a:ext uri="{FF2B5EF4-FFF2-40B4-BE49-F238E27FC236}">
                        <a16:creationId xmlns:a16="http://schemas.microsoft.com/office/drawing/2014/main" id="{BE42358B-86A9-4DD6-ABAA-592716972B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r>
      <w:tr w:rsidR="002F668B" w:rsidRPr="00BE5028" w14:paraId="31C7D681" w14:textId="77777777" w:rsidTr="002F6D6C">
        <w:tblPrEx>
          <w:tblCellMar>
            <w:left w:w="108" w:type="dxa"/>
            <w:right w:w="108" w:type="dxa"/>
          </w:tblCellMar>
        </w:tblPrEx>
        <w:tc>
          <w:tcPr>
            <w:tcW w:w="4465" w:type="dxa"/>
          </w:tcPr>
          <w:p w14:paraId="32D54FE0" w14:textId="60D4D777" w:rsidR="002F668B" w:rsidRPr="00A74198" w:rsidRDefault="002F668B" w:rsidP="004A364A">
            <w:pPr>
              <w:pStyle w:val="SWCTableFigureCaption"/>
              <w:tabs>
                <w:tab w:val="left" w:pos="566"/>
                <w:tab w:val="center" w:pos="4489"/>
              </w:tabs>
              <w:spacing w:before="0" w:after="0" w:line="240" w:lineRule="auto"/>
              <w:ind w:left="0" w:right="0"/>
            </w:pPr>
            <w:r w:rsidRPr="00A74198">
              <w:t>“M/2”</w:t>
            </w:r>
            <w:r w:rsidR="00E55117">
              <w:t xml:space="preserve"> 1s</w:t>
            </w:r>
          </w:p>
        </w:tc>
        <w:tc>
          <w:tcPr>
            <w:tcW w:w="4466" w:type="dxa"/>
          </w:tcPr>
          <w:p w14:paraId="3C660B2F" w14:textId="73ACD881" w:rsidR="002F668B" w:rsidRPr="00A74198" w:rsidRDefault="002F668B" w:rsidP="004A364A">
            <w:pPr>
              <w:pStyle w:val="SWCTableFigureCaption"/>
              <w:tabs>
                <w:tab w:val="left" w:pos="566"/>
                <w:tab w:val="center" w:pos="4489"/>
              </w:tabs>
              <w:spacing w:before="0" w:after="0" w:line="240" w:lineRule="auto"/>
              <w:ind w:left="0" w:right="0"/>
            </w:pPr>
            <w:r w:rsidRPr="00A74198">
              <w:t>“M 2P”</w:t>
            </w:r>
            <w:r w:rsidR="00E55117">
              <w:t xml:space="preserve"> 1s</w:t>
            </w:r>
          </w:p>
        </w:tc>
      </w:tr>
      <w:tr w:rsidR="00E55117" w:rsidRPr="00BE5028" w14:paraId="76C902EF" w14:textId="77777777" w:rsidTr="00110FC4">
        <w:tc>
          <w:tcPr>
            <w:tcW w:w="4465" w:type="dxa"/>
          </w:tcPr>
          <w:p w14:paraId="4B580764" w14:textId="04416895" w:rsidR="00E55117" w:rsidRPr="00A74198" w:rsidRDefault="00E55117" w:rsidP="004A364A">
            <w:pPr>
              <w:pStyle w:val="SWCTableFigureCaption"/>
              <w:tabs>
                <w:tab w:val="left" w:pos="566"/>
                <w:tab w:val="center" w:pos="4489"/>
              </w:tabs>
              <w:spacing w:before="0" w:after="0" w:line="240" w:lineRule="auto"/>
              <w:ind w:left="0" w:right="0"/>
            </w:pPr>
            <w:r>
              <w:rPr>
                <w:noProof/>
              </w:rPr>
              <w:drawing>
                <wp:inline distT="0" distB="0" distL="0" distR="0" wp14:anchorId="5C55BC92" wp14:editId="1DEB18C5">
                  <wp:extent cx="2698115" cy="1440000"/>
                  <wp:effectExtent l="0" t="0" r="6985" b="8255"/>
                  <wp:docPr id="32" name="Diagramm 32">
                    <a:extLst xmlns:a="http://schemas.openxmlformats.org/drawingml/2006/main">
                      <a:ext uri="{FF2B5EF4-FFF2-40B4-BE49-F238E27FC236}">
                        <a16:creationId xmlns:a16="http://schemas.microsoft.com/office/drawing/2014/main" id="{A3BA3296-E588-494B-9CE6-77C1870A91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c>
          <w:tcPr>
            <w:tcW w:w="4466" w:type="dxa"/>
          </w:tcPr>
          <w:p w14:paraId="0B20722E" w14:textId="5C29C415" w:rsidR="00E55117" w:rsidRPr="00A74198" w:rsidRDefault="00110FC4" w:rsidP="004A364A">
            <w:pPr>
              <w:pStyle w:val="SWCTableFigureCaption"/>
              <w:tabs>
                <w:tab w:val="left" w:pos="566"/>
                <w:tab w:val="center" w:pos="4489"/>
              </w:tabs>
              <w:spacing w:before="0" w:after="0" w:line="240" w:lineRule="auto"/>
              <w:ind w:left="0" w:right="0"/>
            </w:pPr>
            <w:r>
              <w:rPr>
                <w:noProof/>
              </w:rPr>
              <w:drawing>
                <wp:inline distT="0" distB="0" distL="0" distR="0" wp14:anchorId="49544A05" wp14:editId="7D98EBF7">
                  <wp:extent cx="2747010" cy="1440000"/>
                  <wp:effectExtent l="0" t="0" r="0" b="8255"/>
                  <wp:docPr id="33" name="Diagramm 33">
                    <a:extLst xmlns:a="http://schemas.openxmlformats.org/drawingml/2006/main">
                      <a:ext uri="{FF2B5EF4-FFF2-40B4-BE49-F238E27FC236}">
                        <a16:creationId xmlns:a16="http://schemas.microsoft.com/office/drawing/2014/main" id="{DC9F91EB-E3E0-45E6-8BD5-DD7C4CA102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r w:rsidR="00E55117" w:rsidRPr="00BE5028" w14:paraId="61D60CD9" w14:textId="77777777" w:rsidTr="002F6D6C">
        <w:tblPrEx>
          <w:tblCellMar>
            <w:left w:w="108" w:type="dxa"/>
            <w:right w:w="108" w:type="dxa"/>
          </w:tblCellMar>
        </w:tblPrEx>
        <w:tc>
          <w:tcPr>
            <w:tcW w:w="4465" w:type="dxa"/>
          </w:tcPr>
          <w:p w14:paraId="202283FA" w14:textId="2CFF57EB" w:rsidR="00E55117" w:rsidRPr="00A74198" w:rsidRDefault="00E55117" w:rsidP="00E55117">
            <w:pPr>
              <w:pStyle w:val="SWCTableFigureCaption"/>
              <w:tabs>
                <w:tab w:val="left" w:pos="566"/>
                <w:tab w:val="center" w:pos="4489"/>
              </w:tabs>
              <w:spacing w:before="0" w:after="0" w:line="240" w:lineRule="auto"/>
              <w:ind w:left="0" w:right="0"/>
            </w:pPr>
            <w:r w:rsidRPr="00A74198">
              <w:t>“M/2”</w:t>
            </w:r>
            <w:r>
              <w:t xml:space="preserve"> 0.1s</w:t>
            </w:r>
          </w:p>
        </w:tc>
        <w:tc>
          <w:tcPr>
            <w:tcW w:w="4466" w:type="dxa"/>
          </w:tcPr>
          <w:p w14:paraId="672DC471" w14:textId="5A973587" w:rsidR="00E55117" w:rsidRPr="00A74198" w:rsidRDefault="00E55117" w:rsidP="00E55117">
            <w:pPr>
              <w:pStyle w:val="SWCTableFigureCaption"/>
              <w:tabs>
                <w:tab w:val="left" w:pos="566"/>
                <w:tab w:val="center" w:pos="4489"/>
              </w:tabs>
              <w:spacing w:before="0" w:after="0" w:line="240" w:lineRule="auto"/>
              <w:ind w:left="0" w:right="0"/>
            </w:pPr>
            <w:r w:rsidRPr="00A74198">
              <w:t>“M 2P”</w:t>
            </w:r>
            <w:r>
              <w:t xml:space="preserve"> 0.1s</w:t>
            </w:r>
          </w:p>
        </w:tc>
      </w:tr>
    </w:tbl>
    <w:p w14:paraId="5A7CD0D4" w14:textId="65764D36" w:rsidR="002F668B" w:rsidRDefault="002F668B" w:rsidP="002F668B">
      <w:pPr>
        <w:pStyle w:val="SWCTableFigureCaption"/>
        <w:tabs>
          <w:tab w:val="left" w:pos="566"/>
          <w:tab w:val="center" w:pos="4489"/>
        </w:tabs>
      </w:pPr>
      <w:r w:rsidRPr="00A74198">
        <w:t xml:space="preserve">Fig. </w:t>
      </w:r>
      <w:r w:rsidR="007F795B">
        <w:t>11</w:t>
      </w:r>
      <w:r w:rsidRPr="00A74198">
        <w:t>: Simulation performance for different number of flats (1x5 to 10 x5) and different tapping profiles “M/2” and “M 2P” with the different subvariants</w:t>
      </w:r>
      <w:r w:rsidR="00E55117">
        <w:t>; 2</w:t>
      </w:r>
      <w:r w:rsidR="00E55117" w:rsidRPr="00E55117">
        <w:rPr>
          <w:vertAlign w:val="superscript"/>
        </w:rPr>
        <w:t>nd</w:t>
      </w:r>
      <w:r w:rsidR="00E55117">
        <w:t xml:space="preserve"> order polynomial trends</w:t>
      </w:r>
      <w:r w:rsidRPr="00A74198">
        <w:t xml:space="preserve"> (Intel(R) Core(TM) Ultra 7 265U 64 BG LPDDR5</w:t>
      </w:r>
      <w:r>
        <w:t>, max. simulation time step = 1 s</w:t>
      </w:r>
      <w:r w:rsidR="00E55117">
        <w:t xml:space="preserve"> and 0.1 s</w:t>
      </w:r>
      <w:r w:rsidRPr="00A74198">
        <w:t>)</w:t>
      </w:r>
    </w:p>
    <w:p w14:paraId="0164372D" w14:textId="77777777" w:rsidR="002F668B" w:rsidRPr="00A9362F" w:rsidRDefault="002F668B" w:rsidP="002F668B">
      <w:pPr>
        <w:pStyle w:val="SWCHeading11"/>
      </w:pPr>
      <w:r w:rsidRPr="00A9362F">
        <w:t>Lumped profile</w:t>
      </w:r>
      <w:r>
        <w:t xml:space="preserve"> vs. time averaged</w:t>
      </w:r>
    </w:p>
    <w:p w14:paraId="7CA56ADF" w14:textId="77777777" w:rsidR="002F668B" w:rsidRDefault="002F668B" w:rsidP="002F668B">
      <w:pPr>
        <w:pStyle w:val="SWCText"/>
      </w:pPr>
      <w:r>
        <w:t>A time average profile can significantly speed-up simulations compared to the lumped profile approach, however, the accurate consideration of the thermal peak power requires a time step depending on the chosen profile, as shown in Fig. 8. In case of the profile M/2 the 15 min average profile matches at N</w:t>
      </w:r>
      <w:r w:rsidRPr="003E4BB0">
        <w:rPr>
          <w:vertAlign w:val="subscript"/>
        </w:rPr>
        <w:t>flat</w:t>
      </w:r>
      <w:r>
        <w:t xml:space="preserve"> = 50 the lumped profile with simultaneity acc. to VDI 2072, however in case of the profile M 2P there is a match at 10 flats and for 50 flats the 15 min overestimates the power, while for 200 flats the 1 h av. profile matches the peak power of the lumped profile.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465"/>
        <w:gridCol w:w="4466"/>
      </w:tblGrid>
      <w:tr w:rsidR="002F668B" w:rsidRPr="00D831CE" w14:paraId="4450BA9C" w14:textId="77777777" w:rsidTr="002F6D6C">
        <w:tc>
          <w:tcPr>
            <w:tcW w:w="4465" w:type="dxa"/>
          </w:tcPr>
          <w:p w14:paraId="7101EFAF" w14:textId="77777777" w:rsidR="002F668B" w:rsidRDefault="002F668B" w:rsidP="004A364A">
            <w:pPr>
              <w:pStyle w:val="SWCText"/>
              <w:spacing w:after="0" w:line="240" w:lineRule="auto"/>
            </w:pPr>
            <w:r>
              <w:rPr>
                <w:noProof/>
              </w:rPr>
              <w:lastRenderedPageBreak/>
              <w:drawing>
                <wp:inline distT="0" distB="0" distL="0" distR="0" wp14:anchorId="7E73B9FC" wp14:editId="77DBC68C">
                  <wp:extent cx="2700000" cy="1440000"/>
                  <wp:effectExtent l="0" t="0" r="5715" b="8255"/>
                  <wp:docPr id="26" name="Diagramm 26">
                    <a:extLst xmlns:a="http://schemas.openxmlformats.org/drawingml/2006/main">
                      <a:ext uri="{FF2B5EF4-FFF2-40B4-BE49-F238E27FC236}">
                        <a16:creationId xmlns:a16="http://schemas.microsoft.com/office/drawing/2014/main" id="{176EF12D-E263-6A10-367D-04C76A8538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c>
          <w:tcPr>
            <w:tcW w:w="4466" w:type="dxa"/>
          </w:tcPr>
          <w:p w14:paraId="72550FEC" w14:textId="77777777" w:rsidR="002F668B" w:rsidRPr="00D831CE" w:rsidRDefault="002F668B" w:rsidP="004A364A">
            <w:pPr>
              <w:pStyle w:val="SWCText"/>
              <w:spacing w:after="0" w:line="240" w:lineRule="auto"/>
              <w:rPr>
                <w:noProof/>
              </w:rPr>
            </w:pPr>
            <w:r>
              <w:rPr>
                <w:noProof/>
              </w:rPr>
              <w:drawing>
                <wp:inline distT="0" distB="0" distL="0" distR="0" wp14:anchorId="45C40680" wp14:editId="5D8203C6">
                  <wp:extent cx="2700000" cy="1440000"/>
                  <wp:effectExtent l="0" t="0" r="5715" b="8255"/>
                  <wp:docPr id="27" name="Diagramm 27">
                    <a:extLst xmlns:a="http://schemas.openxmlformats.org/drawingml/2006/main">
                      <a:ext uri="{FF2B5EF4-FFF2-40B4-BE49-F238E27FC236}">
                        <a16:creationId xmlns:a16="http://schemas.microsoft.com/office/drawing/2014/main" id="{37B22360-FC7B-43B2-B018-1868DC788A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r>
      <w:tr w:rsidR="002F668B" w:rsidRPr="00A9362F" w14:paraId="5C3DDDC1" w14:textId="77777777" w:rsidTr="002F6D6C">
        <w:tblPrEx>
          <w:tblCellMar>
            <w:left w:w="108" w:type="dxa"/>
            <w:right w:w="108" w:type="dxa"/>
          </w:tblCellMar>
        </w:tblPrEx>
        <w:tc>
          <w:tcPr>
            <w:tcW w:w="4465" w:type="dxa"/>
          </w:tcPr>
          <w:p w14:paraId="6813BF79" w14:textId="77777777" w:rsidR="002F668B" w:rsidRPr="00A9362F" w:rsidRDefault="002F668B" w:rsidP="004A364A">
            <w:pPr>
              <w:pStyle w:val="SWCTableFigureCaption"/>
              <w:tabs>
                <w:tab w:val="left" w:pos="566"/>
                <w:tab w:val="center" w:pos="4489"/>
              </w:tabs>
              <w:spacing w:before="0" w:after="0" w:line="240" w:lineRule="auto"/>
              <w:ind w:left="0" w:right="0"/>
            </w:pPr>
            <w:r>
              <w:t>“</w:t>
            </w:r>
            <w:r w:rsidRPr="00A9362F">
              <w:t>M/2</w:t>
            </w:r>
            <w:r>
              <w:t>”</w:t>
            </w:r>
          </w:p>
        </w:tc>
        <w:tc>
          <w:tcPr>
            <w:tcW w:w="4466" w:type="dxa"/>
          </w:tcPr>
          <w:p w14:paraId="58A565C3" w14:textId="77777777" w:rsidR="002F668B" w:rsidRPr="00A9362F" w:rsidRDefault="002F668B" w:rsidP="004A364A">
            <w:pPr>
              <w:pStyle w:val="SWCTableFigureCaption"/>
              <w:tabs>
                <w:tab w:val="left" w:pos="566"/>
                <w:tab w:val="center" w:pos="4489"/>
              </w:tabs>
              <w:spacing w:before="0" w:after="0" w:line="240" w:lineRule="auto"/>
              <w:ind w:left="0" w:right="0"/>
            </w:pPr>
            <w:r>
              <w:t>“</w:t>
            </w:r>
            <w:r w:rsidRPr="00A9362F">
              <w:t>M 2P</w:t>
            </w:r>
            <w:r>
              <w:t>”</w:t>
            </w:r>
          </w:p>
        </w:tc>
      </w:tr>
    </w:tbl>
    <w:p w14:paraId="4C710EE0" w14:textId="77777777" w:rsidR="002F668B" w:rsidRPr="00A74198" w:rsidRDefault="002F668B" w:rsidP="002F668B">
      <w:pPr>
        <w:pStyle w:val="SWCTableFigureCaption"/>
        <w:tabs>
          <w:tab w:val="left" w:pos="566"/>
          <w:tab w:val="center" w:pos="4489"/>
        </w:tabs>
      </w:pPr>
      <w:r w:rsidRPr="00834767">
        <w:t xml:space="preserve">Fig. </w:t>
      </w:r>
      <w:r>
        <w:t>8</w:t>
      </w:r>
      <w:r w:rsidRPr="00834767">
        <w:t>:</w:t>
      </w:r>
      <w:r>
        <w:t xml:space="preserve"> Peak thermal power of lumped profile (VDI) vs. time averaged profile (15 min and 1 h) for N</w:t>
      </w:r>
      <w:r w:rsidRPr="003E4BB0">
        <w:rPr>
          <w:vertAlign w:val="subscript"/>
        </w:rPr>
        <w:t>flat</w:t>
      </w:r>
      <w:r>
        <w:t xml:space="preserve"> = 5, 10, 50 and 200 flats for left “M/2” and right “M 2P”</w:t>
      </w:r>
    </w:p>
    <w:p w14:paraId="27ED0030" w14:textId="2D663BE9" w:rsidR="009F1346" w:rsidRPr="00834767" w:rsidRDefault="009F1346" w:rsidP="009F1346">
      <w:pPr>
        <w:pStyle w:val="SWCHeading11"/>
      </w:pPr>
      <w:r w:rsidRPr="00834767">
        <w:t xml:space="preserve">Delivered Energy and </w:t>
      </w:r>
      <w:r>
        <w:t xml:space="preserve">Electric </w:t>
      </w:r>
      <w:r w:rsidRPr="00834767">
        <w:t>Peak Power</w:t>
      </w:r>
    </w:p>
    <w:p w14:paraId="261B3E34" w14:textId="4923E00E" w:rsidR="00B23C18" w:rsidRDefault="009F1346" w:rsidP="009F1346">
      <w:pPr>
        <w:pStyle w:val="SWCText"/>
      </w:pPr>
      <w:r>
        <w:t xml:space="preserve">Exemplarily, for the example of one staircase with </w:t>
      </w:r>
      <w:r w:rsidRPr="00D30BDB">
        <w:t>6 flats</w:t>
      </w:r>
      <w:r>
        <w:t xml:space="preserve"> the </w:t>
      </w:r>
      <w:r w:rsidR="002B3C79">
        <w:t>seven</w:t>
      </w:r>
      <w:r>
        <w:t xml:space="preserve"> different DHW HP system concepts (see Fig. 4 and 6) are compared in terms of delivered electricity and electric peak power. The comparison includes the case of profile M (4 persons) and the scaled profile “M/2” (left) as well as the modified profile (“M 2P”), in order to show the influence of the profile and useful energy on both the electricity demand and peak power. </w:t>
      </w:r>
      <w:r w:rsidRPr="009F1346">
        <w:t>Fig. 11.</w:t>
      </w:r>
      <w:r>
        <w:t xml:space="preserve"> Shows the resulting electric power profiles and Fig. 12 shows the peak power vs. the electricity demand.</w:t>
      </w:r>
      <w:r w:rsidR="003B086C">
        <w:t xml:space="preserve"> The electric peak power profile differs significantly with the different HP system concepts</w:t>
      </w:r>
      <w:r w:rsidR="00FB0E9E">
        <w:t>, see also Tab. 2</w:t>
      </w:r>
      <w:r w:rsidR="003B086C">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5"/>
        <w:gridCol w:w="4466"/>
      </w:tblGrid>
      <w:tr w:rsidR="009F1346" w:rsidRPr="002B3C79" w14:paraId="64A94530" w14:textId="77777777" w:rsidTr="002F6D6C">
        <w:tc>
          <w:tcPr>
            <w:tcW w:w="4465" w:type="dxa"/>
          </w:tcPr>
          <w:p w14:paraId="2AE98A59" w14:textId="4BE807BB" w:rsidR="009F1346" w:rsidRPr="00A9362F" w:rsidRDefault="003B086C" w:rsidP="004A364A">
            <w:pPr>
              <w:pStyle w:val="SWCTableFigureCaption"/>
              <w:tabs>
                <w:tab w:val="left" w:pos="566"/>
                <w:tab w:val="center" w:pos="4489"/>
              </w:tabs>
              <w:spacing w:before="0" w:after="0" w:line="240" w:lineRule="auto"/>
              <w:ind w:left="0" w:right="0"/>
            </w:pPr>
            <w:r w:rsidRPr="003B086C">
              <w:rPr>
                <w:noProof/>
              </w:rPr>
              <w:drawing>
                <wp:inline distT="0" distB="0" distL="0" distR="0" wp14:anchorId="52ABC32A" wp14:editId="60FFAEF6">
                  <wp:extent cx="2696210" cy="1346835"/>
                  <wp:effectExtent l="0" t="0" r="0" b="571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96210" cy="1346835"/>
                          </a:xfrm>
                          <a:prstGeom prst="rect">
                            <a:avLst/>
                          </a:prstGeom>
                          <a:noFill/>
                          <a:ln>
                            <a:noFill/>
                          </a:ln>
                        </pic:spPr>
                      </pic:pic>
                    </a:graphicData>
                  </a:graphic>
                </wp:inline>
              </w:drawing>
            </w:r>
          </w:p>
        </w:tc>
        <w:tc>
          <w:tcPr>
            <w:tcW w:w="4466" w:type="dxa"/>
          </w:tcPr>
          <w:p w14:paraId="5C6D3579" w14:textId="6139E8A0" w:rsidR="009F1346" w:rsidRPr="00A9362F" w:rsidRDefault="004A364A" w:rsidP="004A364A">
            <w:pPr>
              <w:pStyle w:val="SWCTableFigureCaption"/>
              <w:tabs>
                <w:tab w:val="left" w:pos="566"/>
                <w:tab w:val="center" w:pos="4489"/>
              </w:tabs>
              <w:spacing w:before="0" w:after="0" w:line="240" w:lineRule="auto"/>
              <w:ind w:left="0" w:right="0"/>
            </w:pPr>
            <w:r w:rsidRPr="004A364A">
              <w:rPr>
                <w:noProof/>
              </w:rPr>
              <w:drawing>
                <wp:inline distT="0" distB="0" distL="0" distR="0" wp14:anchorId="10C0F9C0" wp14:editId="02D93103">
                  <wp:extent cx="2696210" cy="1346835"/>
                  <wp:effectExtent l="0" t="0" r="0" b="571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6210" cy="1346835"/>
                          </a:xfrm>
                          <a:prstGeom prst="rect">
                            <a:avLst/>
                          </a:prstGeom>
                          <a:noFill/>
                          <a:ln>
                            <a:noFill/>
                          </a:ln>
                        </pic:spPr>
                      </pic:pic>
                    </a:graphicData>
                  </a:graphic>
                </wp:inline>
              </w:drawing>
            </w:r>
          </w:p>
        </w:tc>
      </w:tr>
      <w:tr w:rsidR="009F1346" w14:paraId="2281E24C" w14:textId="77777777" w:rsidTr="002F6D6C">
        <w:tc>
          <w:tcPr>
            <w:tcW w:w="4465" w:type="dxa"/>
          </w:tcPr>
          <w:p w14:paraId="4CD0214C" w14:textId="5E9D428A" w:rsidR="009F1346" w:rsidRDefault="002B3C79" w:rsidP="004A364A">
            <w:pPr>
              <w:pStyle w:val="SWCTableFigureCaption"/>
              <w:tabs>
                <w:tab w:val="left" w:pos="566"/>
                <w:tab w:val="center" w:pos="4489"/>
              </w:tabs>
              <w:spacing w:before="0" w:after="0" w:line="240" w:lineRule="auto"/>
              <w:ind w:left="0" w:right="0"/>
            </w:pPr>
            <w:r>
              <w:t xml:space="preserve">A/W-HP </w:t>
            </w:r>
            <w:r w:rsidR="009F1346">
              <w:t>“</w:t>
            </w:r>
            <w:r w:rsidR="009F1346" w:rsidRPr="00A9362F">
              <w:t>M/2</w:t>
            </w:r>
            <w:r w:rsidR="009F1346">
              <w:t>”</w:t>
            </w:r>
          </w:p>
        </w:tc>
        <w:tc>
          <w:tcPr>
            <w:tcW w:w="4466" w:type="dxa"/>
          </w:tcPr>
          <w:p w14:paraId="679A38CC" w14:textId="2156BF4D" w:rsidR="009F1346" w:rsidRDefault="002B3C79" w:rsidP="004A364A">
            <w:pPr>
              <w:pStyle w:val="SWCTableFigureCaption"/>
              <w:tabs>
                <w:tab w:val="left" w:pos="566"/>
                <w:tab w:val="center" w:pos="4489"/>
              </w:tabs>
              <w:spacing w:before="0" w:after="0" w:line="240" w:lineRule="auto"/>
              <w:ind w:left="0" w:right="0"/>
            </w:pPr>
            <w:r>
              <w:t xml:space="preserve">B/W-HP </w:t>
            </w:r>
            <w:r w:rsidR="009F1346">
              <w:t>“</w:t>
            </w:r>
            <w:r w:rsidR="009F1346" w:rsidRPr="00A9362F">
              <w:t>M</w:t>
            </w:r>
            <w:r>
              <w:t>/2</w:t>
            </w:r>
            <w:r w:rsidR="009F1346">
              <w:t>”</w:t>
            </w:r>
          </w:p>
        </w:tc>
      </w:tr>
      <w:tr w:rsidR="002B3C79" w14:paraId="4FE4F756" w14:textId="77777777" w:rsidTr="002F6D6C">
        <w:tc>
          <w:tcPr>
            <w:tcW w:w="4465" w:type="dxa"/>
          </w:tcPr>
          <w:p w14:paraId="6A7F6340" w14:textId="4B59CA37" w:rsidR="002B3C79" w:rsidRDefault="004A364A" w:rsidP="004A364A">
            <w:pPr>
              <w:pStyle w:val="SWCTableFigureCaption"/>
              <w:tabs>
                <w:tab w:val="left" w:pos="566"/>
                <w:tab w:val="center" w:pos="4489"/>
              </w:tabs>
              <w:spacing w:before="0" w:after="0" w:line="240" w:lineRule="auto"/>
              <w:ind w:left="0" w:right="0"/>
            </w:pPr>
            <w:r w:rsidRPr="004A364A">
              <w:rPr>
                <w:noProof/>
              </w:rPr>
              <w:drawing>
                <wp:inline distT="0" distB="0" distL="0" distR="0" wp14:anchorId="1AF9A7A4" wp14:editId="7302BEAC">
                  <wp:extent cx="2696210" cy="1346835"/>
                  <wp:effectExtent l="0" t="0" r="0" b="571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96210" cy="1346835"/>
                          </a:xfrm>
                          <a:prstGeom prst="rect">
                            <a:avLst/>
                          </a:prstGeom>
                          <a:noFill/>
                          <a:ln>
                            <a:noFill/>
                          </a:ln>
                        </pic:spPr>
                      </pic:pic>
                    </a:graphicData>
                  </a:graphic>
                </wp:inline>
              </w:drawing>
            </w:r>
          </w:p>
        </w:tc>
        <w:tc>
          <w:tcPr>
            <w:tcW w:w="4466" w:type="dxa"/>
          </w:tcPr>
          <w:p w14:paraId="340F7414" w14:textId="5103EF77" w:rsidR="002B3C79" w:rsidRDefault="004A364A" w:rsidP="004A364A">
            <w:pPr>
              <w:pStyle w:val="SWCTableFigureCaption"/>
              <w:tabs>
                <w:tab w:val="left" w:pos="566"/>
                <w:tab w:val="center" w:pos="4489"/>
              </w:tabs>
              <w:spacing w:before="0" w:after="0" w:line="240" w:lineRule="auto"/>
              <w:ind w:left="0" w:right="0"/>
            </w:pPr>
            <w:r w:rsidRPr="004A364A">
              <w:rPr>
                <w:noProof/>
              </w:rPr>
              <w:drawing>
                <wp:inline distT="0" distB="0" distL="0" distR="0" wp14:anchorId="425B681C" wp14:editId="47A64723">
                  <wp:extent cx="2696210" cy="1346835"/>
                  <wp:effectExtent l="0" t="0" r="0" b="571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96210" cy="1346835"/>
                          </a:xfrm>
                          <a:prstGeom prst="rect">
                            <a:avLst/>
                          </a:prstGeom>
                          <a:noFill/>
                          <a:ln>
                            <a:noFill/>
                          </a:ln>
                        </pic:spPr>
                      </pic:pic>
                    </a:graphicData>
                  </a:graphic>
                </wp:inline>
              </w:drawing>
            </w:r>
          </w:p>
        </w:tc>
      </w:tr>
      <w:tr w:rsidR="002B3C79" w14:paraId="713BF267" w14:textId="77777777" w:rsidTr="000A3C17">
        <w:trPr>
          <w:trHeight w:val="48"/>
        </w:trPr>
        <w:tc>
          <w:tcPr>
            <w:tcW w:w="4465" w:type="dxa"/>
          </w:tcPr>
          <w:p w14:paraId="4280B97E" w14:textId="44FF4E9D" w:rsidR="002B3C79" w:rsidRDefault="002B3C79" w:rsidP="004A364A">
            <w:pPr>
              <w:pStyle w:val="SWCTableFigureCaption"/>
              <w:tabs>
                <w:tab w:val="left" w:pos="566"/>
                <w:tab w:val="center" w:pos="4489"/>
              </w:tabs>
              <w:spacing w:before="0" w:after="0" w:line="240" w:lineRule="auto"/>
              <w:ind w:left="0" w:right="0"/>
            </w:pPr>
            <w:r>
              <w:t>A/W-HP “</w:t>
            </w:r>
            <w:r w:rsidRPr="00A9362F">
              <w:t>M 2P</w:t>
            </w:r>
            <w:r>
              <w:t>”</w:t>
            </w:r>
          </w:p>
        </w:tc>
        <w:tc>
          <w:tcPr>
            <w:tcW w:w="4466" w:type="dxa"/>
          </w:tcPr>
          <w:p w14:paraId="5F58EAFE" w14:textId="3DFEA0EB" w:rsidR="002B3C79" w:rsidRDefault="002B3C79" w:rsidP="004A364A">
            <w:pPr>
              <w:pStyle w:val="SWCTableFigureCaption"/>
              <w:tabs>
                <w:tab w:val="left" w:pos="566"/>
                <w:tab w:val="center" w:pos="4489"/>
              </w:tabs>
              <w:spacing w:before="0" w:after="0" w:line="240" w:lineRule="auto"/>
              <w:ind w:left="0" w:right="0"/>
            </w:pPr>
            <w:r>
              <w:t>B/W-HP “</w:t>
            </w:r>
            <w:r w:rsidRPr="00A9362F">
              <w:t>M 2P</w:t>
            </w:r>
            <w:r>
              <w:t>”</w:t>
            </w:r>
          </w:p>
        </w:tc>
      </w:tr>
    </w:tbl>
    <w:p w14:paraId="42C1094E" w14:textId="7769E415" w:rsidR="00A40C05" w:rsidRDefault="00B23C18" w:rsidP="00B23C18">
      <w:pPr>
        <w:pStyle w:val="SWCTableFigureCaption"/>
        <w:tabs>
          <w:tab w:val="left" w:pos="566"/>
          <w:tab w:val="center" w:pos="4489"/>
        </w:tabs>
      </w:pPr>
      <w:r w:rsidRPr="00834767">
        <w:t xml:space="preserve">Fig. </w:t>
      </w:r>
      <w:r>
        <w:t>1</w:t>
      </w:r>
      <w:r w:rsidR="009F17AC">
        <w:t>1</w:t>
      </w:r>
      <w:r w:rsidRPr="00834767">
        <w:t>:</w:t>
      </w:r>
      <w:r w:rsidR="009F1346">
        <w:t xml:space="preserve"> Electric power profile</w:t>
      </w:r>
      <w:r w:rsidR="002B3C79">
        <w:t xml:space="preserve"> (15 min av.)</w:t>
      </w:r>
      <w:r w:rsidR="009F1346">
        <w:t xml:space="preserve"> </w:t>
      </w:r>
      <w:r w:rsidR="009F1346" w:rsidRPr="00834767">
        <w:t xml:space="preserve">for the case of 6 flats and </w:t>
      </w:r>
      <w:r w:rsidR="002B3C79">
        <w:t>seven</w:t>
      </w:r>
      <w:r w:rsidR="009F1346" w:rsidRPr="00834767">
        <w:t xml:space="preserve"> different heating system configurations (</w:t>
      </w:r>
      <w:r w:rsidR="009F1346">
        <w:t>see Figs. 4 and 6</w:t>
      </w:r>
      <w:r w:rsidR="009F1346" w:rsidRPr="00834767">
        <w:t xml:space="preserve">) for the </w:t>
      </w:r>
      <w:r w:rsidR="002B3C79" w:rsidRPr="00834767">
        <w:t>scaled</w:t>
      </w:r>
      <w:r w:rsidR="002B3C79">
        <w:t xml:space="preserve"> </w:t>
      </w:r>
      <w:r w:rsidR="009F1346" w:rsidRPr="00834767">
        <w:t xml:space="preserve">profile </w:t>
      </w:r>
      <w:r w:rsidR="009F1346">
        <w:t>“</w:t>
      </w:r>
      <w:r w:rsidR="009F1346" w:rsidRPr="00834767">
        <w:t>M</w:t>
      </w:r>
      <w:r w:rsidR="003B086C">
        <w:t>/2</w:t>
      </w:r>
      <w:r w:rsidR="009F1346">
        <w:t>”</w:t>
      </w:r>
      <w:r w:rsidR="009F1346" w:rsidRPr="00834767">
        <w:t xml:space="preserve"> with </w:t>
      </w:r>
      <w:r w:rsidR="002B3C79">
        <w:t>2</w:t>
      </w:r>
      <w:r w:rsidR="009F1346" w:rsidRPr="00834767">
        <w:t xml:space="preserve"> persons and</w:t>
      </w:r>
      <w:r w:rsidR="003B086C">
        <w:t xml:space="preserve"> the</w:t>
      </w:r>
      <w:r w:rsidR="009F1346" w:rsidRPr="00834767">
        <w:t xml:space="preserve"> </w:t>
      </w:r>
      <w:r w:rsidR="009F1346">
        <w:t>adapted</w:t>
      </w:r>
      <w:r w:rsidR="003B086C">
        <w:t xml:space="preserve"> profile</w:t>
      </w:r>
      <w:r w:rsidR="009F1346" w:rsidRPr="00834767">
        <w:t xml:space="preserve"> </w:t>
      </w:r>
      <w:r w:rsidR="003B086C">
        <w:t>“M 2P”</w:t>
      </w:r>
      <w:r w:rsidR="009F1346" w:rsidRPr="00834767">
        <w:t>.</w:t>
      </w:r>
      <w:r w:rsidR="009F1346">
        <w:t xml:space="preserve"> Example of A/W-HP</w:t>
      </w:r>
      <w:r w:rsidR="003B086C">
        <w:t xml:space="preserve"> with 0 °C source temperature and a B/W-HP with 5 °C source temperature</w:t>
      </w:r>
    </w:p>
    <w:p w14:paraId="5FD7B5DE" w14:textId="43C3DAC8" w:rsidR="00C51CD1" w:rsidRPr="00FB0E9E" w:rsidRDefault="00C51CD1" w:rsidP="00FB0E9E">
      <w:pPr>
        <w:pStyle w:val="SWCTableFigureCaption"/>
      </w:pPr>
      <w:r w:rsidRPr="00FB0E9E">
        <w:t>Table 2: Summary</w:t>
      </w:r>
      <w:r w:rsidR="00DE7CE3">
        <w:t xml:space="preserve"> of thermal and</w:t>
      </w:r>
      <w:r w:rsidRPr="00FB0E9E">
        <w:t xml:space="preserve"> </w:t>
      </w:r>
      <w:r w:rsidR="00DE7CE3">
        <w:t>electric peak power</w:t>
      </w:r>
      <w:r w:rsidRPr="00FB0E9E">
        <w:t xml:space="preserve"> </w:t>
      </w:r>
      <w:r w:rsidR="00DE7CE3">
        <w:t xml:space="preserve">for the </w:t>
      </w:r>
      <w:r w:rsidRPr="00FB0E9E">
        <w:t>seven investigated systems for the tapping profile “M 2P”</w:t>
      </w:r>
      <w:r w:rsidR="006D5EBE">
        <w:t xml:space="preserve"> var 0</w:t>
      </w:r>
      <w:r w:rsidRPr="00FB0E9E">
        <w:t xml:space="preserve"> and</w:t>
      </w:r>
      <w:r w:rsidR="006D5EBE">
        <w:t xml:space="preserve"> </w:t>
      </w:r>
      <w:r w:rsidR="006D5EBE" w:rsidRPr="00FB0E9E">
        <w:t xml:space="preserve"> “M/2”</w:t>
      </w:r>
      <w:r w:rsidR="006D5EBE">
        <w:t xml:space="preserve"> var 0 for</w:t>
      </w:r>
      <w:r w:rsidRPr="00FB0E9E">
        <w:t xml:space="preserve"> A/W-HP</w:t>
      </w:r>
      <w:r w:rsidR="00726CF1">
        <w:t xml:space="preserve"> (0 °C)</w:t>
      </w:r>
      <w:r w:rsidR="00FB0E9E" w:rsidRPr="00FB0E9E">
        <w:t xml:space="preserve"> as well as</w:t>
      </w:r>
      <w:r w:rsidR="006D5EBE">
        <w:t xml:space="preserve"> </w:t>
      </w:r>
      <w:r w:rsidR="006D5EBE" w:rsidRPr="00FB0E9E">
        <w:t xml:space="preserve">and </w:t>
      </w:r>
      <w:r w:rsidR="00554A81">
        <w:t>B/</w:t>
      </w:r>
      <w:r w:rsidR="006D5EBE" w:rsidRPr="00FB0E9E">
        <w:t>W-HP</w:t>
      </w:r>
      <w:r w:rsidR="00726CF1">
        <w:t xml:space="preserve"> (5 °C)</w:t>
      </w:r>
      <w:r w:rsidR="00FB0E9E" w:rsidRPr="00FB0E9E">
        <w:t xml:space="preserve"> </w:t>
      </w:r>
      <w:r w:rsidR="005516AF">
        <w:t>(1 min average)</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722"/>
        <w:gridCol w:w="899"/>
        <w:gridCol w:w="899"/>
        <w:gridCol w:w="902"/>
        <w:gridCol w:w="900"/>
        <w:gridCol w:w="900"/>
        <w:gridCol w:w="902"/>
        <w:gridCol w:w="900"/>
        <w:gridCol w:w="902"/>
      </w:tblGrid>
      <w:tr w:rsidR="006D5EBE" w:rsidRPr="00C01213" w14:paraId="35C79AF8" w14:textId="42F48843" w:rsidTr="006D5EBE">
        <w:trPr>
          <w:cantSplit/>
        </w:trPr>
        <w:tc>
          <w:tcPr>
            <w:tcW w:w="965" w:type="pct"/>
            <w:shd w:val="clear" w:color="auto" w:fill="auto"/>
            <w:vAlign w:val="center"/>
          </w:tcPr>
          <w:p w14:paraId="7168F7E9" w14:textId="77777777" w:rsidR="006D5EBE" w:rsidRPr="00C51CD1" w:rsidRDefault="006D5EBE" w:rsidP="00C51CD1">
            <w:pPr>
              <w:pStyle w:val="SWCTableHeader"/>
              <w:jc w:val="left"/>
              <w:rPr>
                <w:lang w:val="en-US"/>
              </w:rPr>
            </w:pPr>
          </w:p>
        </w:tc>
        <w:tc>
          <w:tcPr>
            <w:tcW w:w="1007" w:type="pct"/>
            <w:gridSpan w:val="2"/>
            <w:vAlign w:val="center"/>
          </w:tcPr>
          <w:p w14:paraId="6B19275F" w14:textId="41B64106" w:rsidR="006D5EBE" w:rsidRDefault="006D5EBE" w:rsidP="006D5EBE">
            <w:pPr>
              <w:pStyle w:val="SWCTableHeader"/>
            </w:pPr>
            <w:r>
              <w:t>“M/2” A/W-HP</w:t>
            </w:r>
          </w:p>
        </w:tc>
        <w:tc>
          <w:tcPr>
            <w:tcW w:w="1009" w:type="pct"/>
            <w:gridSpan w:val="2"/>
            <w:vAlign w:val="center"/>
          </w:tcPr>
          <w:p w14:paraId="3F086325" w14:textId="2B3D6797" w:rsidR="006D5EBE" w:rsidRPr="0072355C" w:rsidRDefault="006D5EBE" w:rsidP="006D5EBE">
            <w:pPr>
              <w:pStyle w:val="SWCTableHeader"/>
            </w:pPr>
            <w:r>
              <w:t>“M 2P” A/W-HP</w:t>
            </w:r>
          </w:p>
        </w:tc>
        <w:tc>
          <w:tcPr>
            <w:tcW w:w="1009" w:type="pct"/>
            <w:gridSpan w:val="2"/>
            <w:shd w:val="clear" w:color="auto" w:fill="auto"/>
            <w:vAlign w:val="center"/>
          </w:tcPr>
          <w:p w14:paraId="34F07A25" w14:textId="300059E8" w:rsidR="006D5EBE" w:rsidRDefault="006D5EBE" w:rsidP="006D5EBE">
            <w:pPr>
              <w:pStyle w:val="SWCTableHeader"/>
              <w:rPr>
                <w:rFonts w:ascii="Symbol" w:hAnsi="Symbol"/>
              </w:rPr>
            </w:pPr>
            <w:r>
              <w:t xml:space="preserve">“M/2” </w:t>
            </w:r>
            <w:r w:rsidR="00554A81">
              <w:t>B</w:t>
            </w:r>
            <w:r>
              <w:t>/W-HP</w:t>
            </w:r>
          </w:p>
        </w:tc>
        <w:tc>
          <w:tcPr>
            <w:tcW w:w="1009" w:type="pct"/>
            <w:gridSpan w:val="2"/>
          </w:tcPr>
          <w:p w14:paraId="3A1C44E9" w14:textId="7BB18BE8" w:rsidR="006D5EBE" w:rsidRDefault="006D5EBE" w:rsidP="006D5EBE">
            <w:pPr>
              <w:pStyle w:val="SWCTableHeader"/>
            </w:pPr>
            <w:r>
              <w:t xml:space="preserve">“M 2P” </w:t>
            </w:r>
            <w:r w:rsidR="00554A81">
              <w:t>B</w:t>
            </w:r>
            <w:r>
              <w:t>/W-HP</w:t>
            </w:r>
          </w:p>
        </w:tc>
      </w:tr>
      <w:tr w:rsidR="006D5EBE" w:rsidRPr="00C01213" w14:paraId="6ACB685D" w14:textId="698C7EED" w:rsidTr="002F6D6C">
        <w:trPr>
          <w:cantSplit/>
        </w:trPr>
        <w:tc>
          <w:tcPr>
            <w:tcW w:w="965" w:type="pct"/>
            <w:shd w:val="clear" w:color="auto" w:fill="auto"/>
            <w:vAlign w:val="center"/>
          </w:tcPr>
          <w:p w14:paraId="2462129D" w14:textId="77777777" w:rsidR="006D5EBE" w:rsidRPr="00C51CD1" w:rsidRDefault="006D5EBE" w:rsidP="006D5EBE">
            <w:pPr>
              <w:pStyle w:val="SWCTableHeader"/>
              <w:jc w:val="left"/>
              <w:rPr>
                <w:lang w:val="en-US"/>
              </w:rPr>
            </w:pPr>
          </w:p>
        </w:tc>
        <w:tc>
          <w:tcPr>
            <w:tcW w:w="504" w:type="pct"/>
            <w:vAlign w:val="center"/>
          </w:tcPr>
          <w:p w14:paraId="6170E33B" w14:textId="32C12F47" w:rsidR="006D5EBE" w:rsidRPr="006D5EBE" w:rsidRDefault="005F6CE7" w:rsidP="006D5EBE">
            <w:pPr>
              <w:pStyle w:val="SWCTableHeader"/>
              <w:rPr>
                <w:sz w:val="18"/>
                <w:szCs w:val="18"/>
              </w:rPr>
            </w:pPr>
            <m:oMath>
              <m:acc>
                <m:accPr>
                  <m:chr m:val="̇"/>
                  <m:ctrlPr>
                    <w:rPr>
                      <w:rFonts w:ascii="Cambria Math" w:hAnsi="Cambria Math"/>
                      <w:i/>
                      <w:sz w:val="18"/>
                      <w:szCs w:val="18"/>
                    </w:rPr>
                  </m:ctrlPr>
                </m:accPr>
                <m:e>
                  <m:r>
                    <m:rPr>
                      <m:sty m:val="bi"/>
                    </m:rPr>
                    <w:rPr>
                      <w:rFonts w:ascii="Cambria Math" w:hAnsi="Cambria Math"/>
                      <w:sz w:val="18"/>
                      <w:szCs w:val="18"/>
                    </w:rPr>
                    <m:t>Q</m:t>
                  </m:r>
                </m:e>
              </m:acc>
            </m:oMath>
            <w:r w:rsidR="006D5EBE" w:rsidRPr="006D5EBE">
              <w:rPr>
                <w:sz w:val="18"/>
                <w:szCs w:val="18"/>
              </w:rPr>
              <w:t xml:space="preserve"> / [kW]</w:t>
            </w:r>
          </w:p>
        </w:tc>
        <w:tc>
          <w:tcPr>
            <w:tcW w:w="504" w:type="pct"/>
            <w:vAlign w:val="center"/>
          </w:tcPr>
          <w:p w14:paraId="42CA323D" w14:textId="383F902F" w:rsidR="006D5EBE" w:rsidRPr="006D5EBE" w:rsidRDefault="006D5EBE" w:rsidP="006D5EBE">
            <w:pPr>
              <w:pStyle w:val="SWCTableHeader"/>
              <w:rPr>
                <w:sz w:val="18"/>
                <w:szCs w:val="18"/>
              </w:rPr>
            </w:pPr>
            <m:oMath>
              <m:r>
                <m:rPr>
                  <m:sty m:val="bi"/>
                </m:rPr>
                <w:rPr>
                  <w:rFonts w:ascii="Cambria Math" w:hAnsi="Cambria Math"/>
                  <w:sz w:val="18"/>
                  <w:szCs w:val="18"/>
                </w:rPr>
                <m:t>P</m:t>
              </m:r>
            </m:oMath>
            <w:r w:rsidRPr="006D5EBE">
              <w:rPr>
                <w:sz w:val="18"/>
                <w:szCs w:val="18"/>
              </w:rPr>
              <w:t>/ [kW]</w:t>
            </w:r>
          </w:p>
        </w:tc>
        <w:tc>
          <w:tcPr>
            <w:tcW w:w="505" w:type="pct"/>
            <w:vAlign w:val="center"/>
          </w:tcPr>
          <w:p w14:paraId="61F625E6" w14:textId="4C07411E" w:rsidR="006D5EBE" w:rsidRPr="006D5EBE" w:rsidRDefault="005F6CE7" w:rsidP="006D5EBE">
            <w:pPr>
              <w:pStyle w:val="SWCTableHeader"/>
              <w:rPr>
                <w:rFonts w:ascii="Symbol" w:hAnsi="Symbol"/>
                <w:sz w:val="18"/>
                <w:szCs w:val="18"/>
              </w:rPr>
            </w:pPr>
            <m:oMath>
              <m:acc>
                <m:accPr>
                  <m:chr m:val="̇"/>
                  <m:ctrlPr>
                    <w:rPr>
                      <w:rFonts w:ascii="Cambria Math" w:hAnsi="Cambria Math"/>
                      <w:i/>
                      <w:sz w:val="18"/>
                      <w:szCs w:val="18"/>
                    </w:rPr>
                  </m:ctrlPr>
                </m:accPr>
                <m:e>
                  <m:r>
                    <m:rPr>
                      <m:sty m:val="bi"/>
                    </m:rPr>
                    <w:rPr>
                      <w:rFonts w:ascii="Cambria Math" w:hAnsi="Cambria Math"/>
                      <w:sz w:val="18"/>
                      <w:szCs w:val="18"/>
                    </w:rPr>
                    <m:t>Q</m:t>
                  </m:r>
                </m:e>
              </m:acc>
            </m:oMath>
            <w:r w:rsidR="006D5EBE" w:rsidRPr="006D5EBE">
              <w:rPr>
                <w:sz w:val="18"/>
                <w:szCs w:val="18"/>
              </w:rPr>
              <w:t xml:space="preserve"> / [kW]</w:t>
            </w:r>
          </w:p>
        </w:tc>
        <w:tc>
          <w:tcPr>
            <w:tcW w:w="504" w:type="pct"/>
            <w:shd w:val="clear" w:color="auto" w:fill="auto"/>
            <w:vAlign w:val="center"/>
          </w:tcPr>
          <w:p w14:paraId="3B18DD4B" w14:textId="4D59FE34" w:rsidR="006D5EBE" w:rsidRPr="006D5EBE" w:rsidRDefault="006D5EBE" w:rsidP="006D5EBE">
            <w:pPr>
              <w:pStyle w:val="SWCTableHeader"/>
              <w:rPr>
                <w:sz w:val="18"/>
                <w:szCs w:val="18"/>
              </w:rPr>
            </w:pPr>
            <m:oMath>
              <m:r>
                <m:rPr>
                  <m:sty m:val="bi"/>
                </m:rPr>
                <w:rPr>
                  <w:rFonts w:ascii="Cambria Math" w:hAnsi="Cambria Math"/>
                  <w:sz w:val="18"/>
                  <w:szCs w:val="18"/>
                </w:rPr>
                <m:t>P</m:t>
              </m:r>
            </m:oMath>
            <w:r w:rsidRPr="006D5EBE">
              <w:rPr>
                <w:sz w:val="18"/>
                <w:szCs w:val="18"/>
              </w:rPr>
              <w:t>/ [kW]</w:t>
            </w:r>
          </w:p>
        </w:tc>
        <w:tc>
          <w:tcPr>
            <w:tcW w:w="504" w:type="pct"/>
            <w:shd w:val="clear" w:color="auto" w:fill="auto"/>
            <w:vAlign w:val="center"/>
          </w:tcPr>
          <w:p w14:paraId="43EE5FEF" w14:textId="0BDDB635" w:rsidR="006D5EBE" w:rsidRPr="006D5EBE" w:rsidRDefault="005F6CE7" w:rsidP="006D5EBE">
            <w:pPr>
              <w:pStyle w:val="SWCTableHeader"/>
              <w:rPr>
                <w:sz w:val="18"/>
                <w:szCs w:val="18"/>
              </w:rPr>
            </w:pPr>
            <m:oMath>
              <m:acc>
                <m:accPr>
                  <m:chr m:val="̇"/>
                  <m:ctrlPr>
                    <w:rPr>
                      <w:rFonts w:ascii="Cambria Math" w:hAnsi="Cambria Math"/>
                      <w:i/>
                      <w:sz w:val="18"/>
                      <w:szCs w:val="18"/>
                    </w:rPr>
                  </m:ctrlPr>
                </m:accPr>
                <m:e>
                  <m:r>
                    <m:rPr>
                      <m:sty m:val="bi"/>
                    </m:rPr>
                    <w:rPr>
                      <w:rFonts w:ascii="Cambria Math" w:hAnsi="Cambria Math"/>
                      <w:sz w:val="18"/>
                      <w:szCs w:val="18"/>
                    </w:rPr>
                    <m:t>Q</m:t>
                  </m:r>
                </m:e>
              </m:acc>
            </m:oMath>
            <w:r w:rsidR="006D5EBE" w:rsidRPr="006D5EBE">
              <w:rPr>
                <w:sz w:val="18"/>
                <w:szCs w:val="18"/>
              </w:rPr>
              <w:t xml:space="preserve"> / [kW]</w:t>
            </w:r>
          </w:p>
        </w:tc>
        <w:tc>
          <w:tcPr>
            <w:tcW w:w="505" w:type="pct"/>
            <w:vAlign w:val="center"/>
          </w:tcPr>
          <w:p w14:paraId="2AE33DED" w14:textId="53A3BD1C" w:rsidR="006D5EBE" w:rsidRPr="006D5EBE" w:rsidRDefault="006D5EBE" w:rsidP="006D5EBE">
            <w:pPr>
              <w:pStyle w:val="SWCTableHeader"/>
              <w:rPr>
                <w:rFonts w:ascii="Symbol" w:hAnsi="Symbol"/>
                <w:sz w:val="18"/>
                <w:szCs w:val="18"/>
              </w:rPr>
            </w:pPr>
            <m:oMath>
              <m:r>
                <m:rPr>
                  <m:sty m:val="bi"/>
                </m:rPr>
                <w:rPr>
                  <w:rFonts w:ascii="Cambria Math" w:hAnsi="Cambria Math"/>
                  <w:sz w:val="18"/>
                  <w:szCs w:val="18"/>
                </w:rPr>
                <m:t>P</m:t>
              </m:r>
            </m:oMath>
            <w:r w:rsidRPr="006D5EBE">
              <w:rPr>
                <w:sz w:val="18"/>
                <w:szCs w:val="18"/>
              </w:rPr>
              <w:t>/ [kW]</w:t>
            </w:r>
          </w:p>
        </w:tc>
        <w:tc>
          <w:tcPr>
            <w:tcW w:w="504" w:type="pct"/>
            <w:vAlign w:val="center"/>
          </w:tcPr>
          <w:p w14:paraId="3223F3EE" w14:textId="26AB6449" w:rsidR="006D5EBE" w:rsidRPr="006D5EBE" w:rsidRDefault="005F6CE7" w:rsidP="006D5EBE">
            <w:pPr>
              <w:pStyle w:val="SWCTableHeader"/>
              <w:rPr>
                <w:rFonts w:ascii="Arial" w:hAnsi="Arial"/>
                <w:sz w:val="18"/>
                <w:szCs w:val="18"/>
              </w:rPr>
            </w:pPr>
            <m:oMath>
              <m:acc>
                <m:accPr>
                  <m:chr m:val="̇"/>
                  <m:ctrlPr>
                    <w:rPr>
                      <w:rFonts w:ascii="Cambria Math" w:hAnsi="Cambria Math"/>
                      <w:i/>
                      <w:sz w:val="18"/>
                      <w:szCs w:val="18"/>
                    </w:rPr>
                  </m:ctrlPr>
                </m:accPr>
                <m:e>
                  <m:r>
                    <m:rPr>
                      <m:sty m:val="bi"/>
                    </m:rPr>
                    <w:rPr>
                      <w:rFonts w:ascii="Cambria Math" w:hAnsi="Cambria Math"/>
                      <w:sz w:val="18"/>
                      <w:szCs w:val="18"/>
                    </w:rPr>
                    <m:t>Q</m:t>
                  </m:r>
                </m:e>
              </m:acc>
            </m:oMath>
            <w:r w:rsidR="006D5EBE" w:rsidRPr="006D5EBE">
              <w:rPr>
                <w:sz w:val="18"/>
                <w:szCs w:val="18"/>
              </w:rPr>
              <w:t xml:space="preserve"> / [kW]</w:t>
            </w:r>
          </w:p>
        </w:tc>
        <w:tc>
          <w:tcPr>
            <w:tcW w:w="505" w:type="pct"/>
            <w:vAlign w:val="center"/>
          </w:tcPr>
          <w:p w14:paraId="4DEE3399" w14:textId="183301D0" w:rsidR="006D5EBE" w:rsidRPr="006D5EBE" w:rsidRDefault="006D5EBE" w:rsidP="006D5EBE">
            <w:pPr>
              <w:pStyle w:val="SWCTableHeader"/>
              <w:rPr>
                <w:rFonts w:ascii="Arial" w:hAnsi="Arial"/>
                <w:sz w:val="18"/>
                <w:szCs w:val="18"/>
              </w:rPr>
            </w:pPr>
            <m:oMath>
              <m:r>
                <m:rPr>
                  <m:sty m:val="bi"/>
                </m:rPr>
                <w:rPr>
                  <w:rFonts w:ascii="Cambria Math" w:hAnsi="Cambria Math"/>
                  <w:sz w:val="18"/>
                  <w:szCs w:val="18"/>
                </w:rPr>
                <m:t>P</m:t>
              </m:r>
            </m:oMath>
            <w:r w:rsidRPr="006D5EBE">
              <w:rPr>
                <w:sz w:val="18"/>
                <w:szCs w:val="18"/>
              </w:rPr>
              <w:t>/ [kW]</w:t>
            </w:r>
          </w:p>
        </w:tc>
      </w:tr>
      <w:tr w:rsidR="00726CF1" w:rsidRPr="0072355C" w14:paraId="2971FEB2" w14:textId="463E44D5" w:rsidTr="00726CF1">
        <w:trPr>
          <w:cantSplit/>
        </w:trPr>
        <w:tc>
          <w:tcPr>
            <w:tcW w:w="965" w:type="pct"/>
            <w:shd w:val="clear" w:color="auto" w:fill="auto"/>
            <w:vAlign w:val="center"/>
          </w:tcPr>
          <w:p w14:paraId="4590F196" w14:textId="6872702E" w:rsidR="00726CF1" w:rsidRPr="006542C1" w:rsidRDefault="00726CF1" w:rsidP="00726CF1">
            <w:pPr>
              <w:pStyle w:val="SWCTableHeader"/>
              <w:jc w:val="left"/>
            </w:pPr>
            <w:r>
              <w:t>4-p C</w:t>
            </w:r>
          </w:p>
        </w:tc>
        <w:tc>
          <w:tcPr>
            <w:tcW w:w="504" w:type="pct"/>
            <w:vAlign w:val="center"/>
          </w:tcPr>
          <w:p w14:paraId="6490EAFF" w14:textId="31CB3F94" w:rsidR="00726CF1" w:rsidRPr="00067030" w:rsidRDefault="00726CF1" w:rsidP="00726CF1">
            <w:pPr>
              <w:pStyle w:val="SWCTableHeader"/>
              <w:rPr>
                <w:b w:val="0"/>
              </w:rPr>
            </w:pPr>
            <w:r w:rsidRPr="00726CF1">
              <w:rPr>
                <w:b w:val="0"/>
              </w:rPr>
              <w:t>26.1</w:t>
            </w:r>
          </w:p>
        </w:tc>
        <w:tc>
          <w:tcPr>
            <w:tcW w:w="504" w:type="pct"/>
            <w:vAlign w:val="center"/>
          </w:tcPr>
          <w:p w14:paraId="26941ADF" w14:textId="5E4D3189" w:rsidR="00726CF1" w:rsidRPr="00067030" w:rsidRDefault="00726CF1" w:rsidP="00726CF1">
            <w:pPr>
              <w:pStyle w:val="SWCTableHeader"/>
              <w:rPr>
                <w:b w:val="0"/>
              </w:rPr>
            </w:pPr>
            <w:r w:rsidRPr="00726CF1">
              <w:rPr>
                <w:b w:val="0"/>
              </w:rPr>
              <w:t>4.7</w:t>
            </w:r>
          </w:p>
        </w:tc>
        <w:tc>
          <w:tcPr>
            <w:tcW w:w="505" w:type="pct"/>
            <w:vAlign w:val="center"/>
          </w:tcPr>
          <w:p w14:paraId="1AEB527B" w14:textId="1951BD15" w:rsidR="00726CF1" w:rsidRPr="004E7B7C" w:rsidRDefault="00726CF1" w:rsidP="00726CF1">
            <w:pPr>
              <w:pStyle w:val="SWCTableHeader"/>
              <w:rPr>
                <w:b w:val="0"/>
              </w:rPr>
            </w:pPr>
            <w:r w:rsidRPr="00726CF1">
              <w:rPr>
                <w:b w:val="0"/>
              </w:rPr>
              <w:t>26.0</w:t>
            </w:r>
          </w:p>
        </w:tc>
        <w:tc>
          <w:tcPr>
            <w:tcW w:w="504" w:type="pct"/>
            <w:shd w:val="clear" w:color="auto" w:fill="auto"/>
            <w:vAlign w:val="center"/>
          </w:tcPr>
          <w:p w14:paraId="1AD79583" w14:textId="72702DA6" w:rsidR="00726CF1" w:rsidRPr="00067030" w:rsidRDefault="00726CF1" w:rsidP="00726CF1">
            <w:pPr>
              <w:pStyle w:val="SWCTableHeader"/>
              <w:rPr>
                <w:b w:val="0"/>
              </w:rPr>
            </w:pPr>
            <w:r w:rsidRPr="00726CF1">
              <w:rPr>
                <w:b w:val="0"/>
              </w:rPr>
              <w:t>4.7</w:t>
            </w:r>
          </w:p>
        </w:tc>
        <w:tc>
          <w:tcPr>
            <w:tcW w:w="504" w:type="pct"/>
            <w:shd w:val="clear" w:color="auto" w:fill="auto"/>
            <w:vAlign w:val="center"/>
          </w:tcPr>
          <w:p w14:paraId="5B8F746A" w14:textId="5CBA739B" w:rsidR="00726CF1" w:rsidRPr="00067030" w:rsidRDefault="00726CF1" w:rsidP="00726CF1">
            <w:pPr>
              <w:pStyle w:val="SWCTableHeader"/>
              <w:rPr>
                <w:b w:val="0"/>
              </w:rPr>
            </w:pPr>
            <w:r w:rsidRPr="00726CF1">
              <w:rPr>
                <w:b w:val="0"/>
              </w:rPr>
              <w:t>26.2</w:t>
            </w:r>
          </w:p>
        </w:tc>
        <w:tc>
          <w:tcPr>
            <w:tcW w:w="505" w:type="pct"/>
            <w:vAlign w:val="center"/>
          </w:tcPr>
          <w:p w14:paraId="49A3B97D" w14:textId="10A7B9E3" w:rsidR="00726CF1" w:rsidRPr="004E7B7C" w:rsidRDefault="00726CF1" w:rsidP="00726CF1">
            <w:pPr>
              <w:pStyle w:val="SWCTableHeader"/>
              <w:rPr>
                <w:b w:val="0"/>
              </w:rPr>
            </w:pPr>
            <w:r w:rsidRPr="00726CF1">
              <w:rPr>
                <w:b w:val="0"/>
              </w:rPr>
              <w:t>3.1</w:t>
            </w:r>
          </w:p>
        </w:tc>
        <w:tc>
          <w:tcPr>
            <w:tcW w:w="504" w:type="pct"/>
            <w:vAlign w:val="center"/>
          </w:tcPr>
          <w:p w14:paraId="63532D44" w14:textId="15D5B635" w:rsidR="00726CF1" w:rsidRPr="004E7B7C" w:rsidRDefault="00726CF1" w:rsidP="00726CF1">
            <w:pPr>
              <w:pStyle w:val="SWCTableHeader"/>
              <w:rPr>
                <w:b w:val="0"/>
              </w:rPr>
            </w:pPr>
            <w:r w:rsidRPr="00726CF1">
              <w:rPr>
                <w:b w:val="0"/>
              </w:rPr>
              <w:t>26.0</w:t>
            </w:r>
          </w:p>
        </w:tc>
        <w:tc>
          <w:tcPr>
            <w:tcW w:w="505" w:type="pct"/>
            <w:vAlign w:val="center"/>
          </w:tcPr>
          <w:p w14:paraId="5DE36775" w14:textId="2007D090" w:rsidR="00726CF1" w:rsidRPr="004E7B7C" w:rsidRDefault="00726CF1" w:rsidP="00726CF1">
            <w:pPr>
              <w:pStyle w:val="SWCTableHeader"/>
              <w:rPr>
                <w:b w:val="0"/>
              </w:rPr>
            </w:pPr>
            <w:r w:rsidRPr="00726CF1">
              <w:rPr>
                <w:b w:val="0"/>
              </w:rPr>
              <w:t>3.1</w:t>
            </w:r>
          </w:p>
        </w:tc>
      </w:tr>
      <w:tr w:rsidR="00726CF1" w:rsidRPr="0072355C" w14:paraId="704B3F7D" w14:textId="7804E9AA" w:rsidTr="00726CF1">
        <w:trPr>
          <w:cantSplit/>
        </w:trPr>
        <w:tc>
          <w:tcPr>
            <w:tcW w:w="965" w:type="pct"/>
            <w:shd w:val="clear" w:color="auto" w:fill="auto"/>
            <w:vAlign w:val="center"/>
          </w:tcPr>
          <w:p w14:paraId="1544B3A1" w14:textId="080E6F42" w:rsidR="00726CF1" w:rsidRPr="006542C1" w:rsidRDefault="00726CF1" w:rsidP="00726CF1">
            <w:pPr>
              <w:pStyle w:val="SWCTableHeader"/>
              <w:jc w:val="left"/>
            </w:pPr>
            <w:r>
              <w:t>(2+)2-p FWS</w:t>
            </w:r>
          </w:p>
        </w:tc>
        <w:tc>
          <w:tcPr>
            <w:tcW w:w="504" w:type="pct"/>
            <w:vAlign w:val="center"/>
          </w:tcPr>
          <w:p w14:paraId="07ABED7A" w14:textId="05733B7A" w:rsidR="00726CF1" w:rsidRPr="00067030" w:rsidRDefault="00726CF1" w:rsidP="00726CF1">
            <w:pPr>
              <w:pStyle w:val="SWCTableHeader"/>
              <w:rPr>
                <w:b w:val="0"/>
              </w:rPr>
            </w:pPr>
            <w:r w:rsidRPr="00726CF1">
              <w:rPr>
                <w:b w:val="0"/>
              </w:rPr>
              <w:t>29.5</w:t>
            </w:r>
          </w:p>
        </w:tc>
        <w:tc>
          <w:tcPr>
            <w:tcW w:w="504" w:type="pct"/>
            <w:vAlign w:val="center"/>
          </w:tcPr>
          <w:p w14:paraId="69C20775" w14:textId="52723799" w:rsidR="00726CF1" w:rsidRPr="00067030" w:rsidRDefault="00726CF1" w:rsidP="00726CF1">
            <w:pPr>
              <w:pStyle w:val="SWCTableHeader"/>
              <w:rPr>
                <w:b w:val="0"/>
              </w:rPr>
            </w:pPr>
            <w:r w:rsidRPr="00726CF1">
              <w:rPr>
                <w:b w:val="0"/>
              </w:rPr>
              <w:t>7.5</w:t>
            </w:r>
          </w:p>
        </w:tc>
        <w:tc>
          <w:tcPr>
            <w:tcW w:w="505" w:type="pct"/>
            <w:vAlign w:val="center"/>
          </w:tcPr>
          <w:p w14:paraId="24F761D0" w14:textId="397AEE1E" w:rsidR="00726CF1" w:rsidRPr="004E7B7C" w:rsidRDefault="00726CF1" w:rsidP="00726CF1">
            <w:pPr>
              <w:pStyle w:val="SWCTableHeader"/>
              <w:rPr>
                <w:b w:val="0"/>
              </w:rPr>
            </w:pPr>
            <w:r w:rsidRPr="00726CF1">
              <w:rPr>
                <w:b w:val="0"/>
              </w:rPr>
              <w:t>38.7</w:t>
            </w:r>
          </w:p>
        </w:tc>
        <w:tc>
          <w:tcPr>
            <w:tcW w:w="504" w:type="pct"/>
            <w:shd w:val="clear" w:color="auto" w:fill="auto"/>
            <w:vAlign w:val="center"/>
          </w:tcPr>
          <w:p w14:paraId="53A4FECD" w14:textId="549421D4" w:rsidR="00726CF1" w:rsidRPr="00067030" w:rsidRDefault="00726CF1" w:rsidP="00726CF1">
            <w:pPr>
              <w:pStyle w:val="SWCTableHeader"/>
              <w:rPr>
                <w:b w:val="0"/>
              </w:rPr>
            </w:pPr>
            <w:r w:rsidRPr="00726CF1">
              <w:rPr>
                <w:b w:val="0"/>
              </w:rPr>
              <w:t>7.5</w:t>
            </w:r>
          </w:p>
        </w:tc>
        <w:tc>
          <w:tcPr>
            <w:tcW w:w="504" w:type="pct"/>
            <w:shd w:val="clear" w:color="auto" w:fill="auto"/>
            <w:vAlign w:val="center"/>
          </w:tcPr>
          <w:p w14:paraId="7BCFDC81" w14:textId="372C34A8" w:rsidR="00726CF1" w:rsidRPr="00067030" w:rsidRDefault="00726CF1" w:rsidP="00726CF1">
            <w:pPr>
              <w:pStyle w:val="SWCTableHeader"/>
              <w:rPr>
                <w:b w:val="0"/>
              </w:rPr>
            </w:pPr>
            <w:r w:rsidRPr="00726CF1">
              <w:rPr>
                <w:b w:val="0"/>
              </w:rPr>
              <w:t>29.6</w:t>
            </w:r>
          </w:p>
        </w:tc>
        <w:tc>
          <w:tcPr>
            <w:tcW w:w="505" w:type="pct"/>
            <w:vAlign w:val="center"/>
          </w:tcPr>
          <w:p w14:paraId="5C8719AA" w14:textId="0D92E6E0" w:rsidR="00726CF1" w:rsidRPr="004E7B7C" w:rsidRDefault="00726CF1" w:rsidP="00726CF1">
            <w:pPr>
              <w:pStyle w:val="SWCTableHeader"/>
              <w:rPr>
                <w:b w:val="0"/>
              </w:rPr>
            </w:pPr>
            <w:r w:rsidRPr="00726CF1">
              <w:rPr>
                <w:b w:val="0"/>
              </w:rPr>
              <w:t>5.4</w:t>
            </w:r>
          </w:p>
        </w:tc>
        <w:tc>
          <w:tcPr>
            <w:tcW w:w="504" w:type="pct"/>
            <w:vAlign w:val="center"/>
          </w:tcPr>
          <w:p w14:paraId="58243EE8" w14:textId="69A5CC58" w:rsidR="00726CF1" w:rsidRPr="004E7B7C" w:rsidRDefault="00726CF1" w:rsidP="00726CF1">
            <w:pPr>
              <w:pStyle w:val="SWCTableHeader"/>
              <w:rPr>
                <w:b w:val="0"/>
              </w:rPr>
            </w:pPr>
            <w:r w:rsidRPr="00726CF1">
              <w:rPr>
                <w:b w:val="0"/>
              </w:rPr>
              <w:t>38.8</w:t>
            </w:r>
          </w:p>
        </w:tc>
        <w:tc>
          <w:tcPr>
            <w:tcW w:w="505" w:type="pct"/>
            <w:vAlign w:val="center"/>
          </w:tcPr>
          <w:p w14:paraId="6F8509C1" w14:textId="66D8F575" w:rsidR="00726CF1" w:rsidRPr="004E7B7C" w:rsidRDefault="00726CF1" w:rsidP="00726CF1">
            <w:pPr>
              <w:pStyle w:val="SWCTableHeader"/>
              <w:rPr>
                <w:b w:val="0"/>
              </w:rPr>
            </w:pPr>
            <w:r w:rsidRPr="00726CF1">
              <w:rPr>
                <w:b w:val="0"/>
              </w:rPr>
              <w:t>5.4</w:t>
            </w:r>
          </w:p>
        </w:tc>
      </w:tr>
      <w:tr w:rsidR="00726CF1" w:rsidRPr="0072355C" w14:paraId="2098CCD9" w14:textId="5DD419A3" w:rsidTr="00726CF1">
        <w:trPr>
          <w:cantSplit/>
        </w:trPr>
        <w:tc>
          <w:tcPr>
            <w:tcW w:w="965" w:type="pct"/>
            <w:shd w:val="clear" w:color="auto" w:fill="auto"/>
            <w:vAlign w:val="center"/>
          </w:tcPr>
          <w:p w14:paraId="11CF9DB7" w14:textId="72ECF8B7" w:rsidR="00726CF1" w:rsidRPr="006542C1" w:rsidRDefault="00726CF1" w:rsidP="00726CF1">
            <w:pPr>
              <w:pStyle w:val="SWCTableHeader"/>
              <w:jc w:val="left"/>
            </w:pPr>
            <w:r>
              <w:t>2-p dec Buffer</w:t>
            </w:r>
          </w:p>
        </w:tc>
        <w:tc>
          <w:tcPr>
            <w:tcW w:w="504" w:type="pct"/>
            <w:vAlign w:val="center"/>
          </w:tcPr>
          <w:p w14:paraId="64E24055" w14:textId="30BD7117" w:rsidR="00726CF1" w:rsidRPr="00067030" w:rsidRDefault="00726CF1" w:rsidP="00726CF1">
            <w:pPr>
              <w:pStyle w:val="SWCTableHeader"/>
              <w:rPr>
                <w:b w:val="0"/>
              </w:rPr>
            </w:pPr>
            <w:r w:rsidRPr="00726CF1">
              <w:rPr>
                <w:b w:val="0"/>
              </w:rPr>
              <w:t>14.1</w:t>
            </w:r>
          </w:p>
        </w:tc>
        <w:tc>
          <w:tcPr>
            <w:tcW w:w="504" w:type="pct"/>
            <w:vAlign w:val="center"/>
          </w:tcPr>
          <w:p w14:paraId="56CAE853" w14:textId="02CBD8D4" w:rsidR="00726CF1" w:rsidRPr="00067030" w:rsidRDefault="00726CF1" w:rsidP="00726CF1">
            <w:pPr>
              <w:pStyle w:val="SWCTableHeader"/>
              <w:rPr>
                <w:b w:val="0"/>
              </w:rPr>
            </w:pPr>
            <w:r w:rsidRPr="00726CF1">
              <w:rPr>
                <w:b w:val="0"/>
              </w:rPr>
              <w:t>5.2</w:t>
            </w:r>
          </w:p>
        </w:tc>
        <w:tc>
          <w:tcPr>
            <w:tcW w:w="505" w:type="pct"/>
            <w:vAlign w:val="center"/>
          </w:tcPr>
          <w:p w14:paraId="07C1FCD9" w14:textId="75AD5DC4" w:rsidR="00726CF1" w:rsidRPr="004E7B7C" w:rsidRDefault="00726CF1" w:rsidP="00726CF1">
            <w:pPr>
              <w:pStyle w:val="SWCTableHeader"/>
              <w:rPr>
                <w:b w:val="0"/>
              </w:rPr>
            </w:pPr>
            <w:r w:rsidRPr="00726CF1">
              <w:rPr>
                <w:b w:val="0"/>
              </w:rPr>
              <w:t>20.1</w:t>
            </w:r>
          </w:p>
        </w:tc>
        <w:tc>
          <w:tcPr>
            <w:tcW w:w="504" w:type="pct"/>
            <w:shd w:val="clear" w:color="auto" w:fill="auto"/>
            <w:vAlign w:val="center"/>
          </w:tcPr>
          <w:p w14:paraId="413FA420" w14:textId="51E2AAD7" w:rsidR="00726CF1" w:rsidRPr="00067030" w:rsidRDefault="00726CF1" w:rsidP="00726CF1">
            <w:pPr>
              <w:pStyle w:val="SWCTableHeader"/>
              <w:rPr>
                <w:b w:val="0"/>
              </w:rPr>
            </w:pPr>
            <w:r w:rsidRPr="00726CF1">
              <w:rPr>
                <w:b w:val="0"/>
              </w:rPr>
              <w:t>5.2</w:t>
            </w:r>
          </w:p>
        </w:tc>
        <w:tc>
          <w:tcPr>
            <w:tcW w:w="504" w:type="pct"/>
            <w:shd w:val="clear" w:color="auto" w:fill="auto"/>
            <w:vAlign w:val="center"/>
          </w:tcPr>
          <w:p w14:paraId="41882FA6" w14:textId="5A3AFE5E" w:rsidR="00726CF1" w:rsidRPr="00067030" w:rsidRDefault="00726CF1" w:rsidP="00726CF1">
            <w:pPr>
              <w:pStyle w:val="SWCTableHeader"/>
              <w:rPr>
                <w:b w:val="0"/>
              </w:rPr>
            </w:pPr>
            <w:r w:rsidRPr="00726CF1">
              <w:rPr>
                <w:b w:val="0"/>
              </w:rPr>
              <w:t>13.</w:t>
            </w:r>
            <w:r>
              <w:rPr>
                <w:b w:val="0"/>
              </w:rPr>
              <w:t>8</w:t>
            </w:r>
          </w:p>
        </w:tc>
        <w:tc>
          <w:tcPr>
            <w:tcW w:w="505" w:type="pct"/>
            <w:vAlign w:val="center"/>
          </w:tcPr>
          <w:p w14:paraId="344277BC" w14:textId="57AFD5B2" w:rsidR="00726CF1" w:rsidRPr="004E7B7C" w:rsidRDefault="00726CF1" w:rsidP="00726CF1">
            <w:pPr>
              <w:pStyle w:val="SWCTableHeader"/>
              <w:rPr>
                <w:b w:val="0"/>
              </w:rPr>
            </w:pPr>
            <w:r w:rsidRPr="00726CF1">
              <w:rPr>
                <w:b w:val="0"/>
              </w:rPr>
              <w:t>2.6</w:t>
            </w:r>
          </w:p>
        </w:tc>
        <w:tc>
          <w:tcPr>
            <w:tcW w:w="504" w:type="pct"/>
            <w:vAlign w:val="center"/>
          </w:tcPr>
          <w:p w14:paraId="443214C3" w14:textId="3359C48A" w:rsidR="00726CF1" w:rsidRPr="004E7B7C" w:rsidRDefault="00726CF1" w:rsidP="00726CF1">
            <w:pPr>
              <w:pStyle w:val="SWCTableHeader"/>
              <w:rPr>
                <w:b w:val="0"/>
              </w:rPr>
            </w:pPr>
            <w:r w:rsidRPr="00726CF1">
              <w:rPr>
                <w:b w:val="0"/>
              </w:rPr>
              <w:t>19.</w:t>
            </w:r>
            <w:r>
              <w:rPr>
                <w:b w:val="0"/>
              </w:rPr>
              <w:t>6</w:t>
            </w:r>
          </w:p>
        </w:tc>
        <w:tc>
          <w:tcPr>
            <w:tcW w:w="505" w:type="pct"/>
            <w:vAlign w:val="center"/>
          </w:tcPr>
          <w:p w14:paraId="2CE86B0A" w14:textId="2C4D7ED8" w:rsidR="00726CF1" w:rsidRPr="004E7B7C" w:rsidRDefault="00726CF1" w:rsidP="00726CF1">
            <w:pPr>
              <w:pStyle w:val="SWCTableHeader"/>
              <w:rPr>
                <w:b w:val="0"/>
              </w:rPr>
            </w:pPr>
            <w:r w:rsidRPr="00726CF1">
              <w:rPr>
                <w:b w:val="0"/>
              </w:rPr>
              <w:t>2.6</w:t>
            </w:r>
          </w:p>
        </w:tc>
      </w:tr>
      <w:tr w:rsidR="00726CF1" w:rsidRPr="0072355C" w14:paraId="3FBE4307" w14:textId="6B5F3CE4" w:rsidTr="00726CF1">
        <w:trPr>
          <w:cantSplit/>
        </w:trPr>
        <w:tc>
          <w:tcPr>
            <w:tcW w:w="965" w:type="pct"/>
            <w:shd w:val="clear" w:color="auto" w:fill="auto"/>
            <w:vAlign w:val="center"/>
          </w:tcPr>
          <w:p w14:paraId="29486F7E" w14:textId="7C8CBF3C" w:rsidR="00726CF1" w:rsidRPr="006542C1" w:rsidRDefault="00726CF1" w:rsidP="00726CF1">
            <w:pPr>
              <w:pStyle w:val="SWCTableHeader"/>
              <w:jc w:val="left"/>
            </w:pPr>
            <w:r>
              <w:t>2-p Booster-HP</w:t>
            </w:r>
          </w:p>
        </w:tc>
        <w:tc>
          <w:tcPr>
            <w:tcW w:w="504" w:type="pct"/>
            <w:vAlign w:val="center"/>
          </w:tcPr>
          <w:p w14:paraId="5AEA0D56" w14:textId="6EA85AEA" w:rsidR="00726CF1" w:rsidRPr="00726CF1" w:rsidRDefault="00726CF1" w:rsidP="00726CF1">
            <w:pPr>
              <w:pStyle w:val="SWCTableHeader"/>
              <w:rPr>
                <w:b w:val="0"/>
              </w:rPr>
            </w:pPr>
            <w:r w:rsidRPr="00726CF1">
              <w:rPr>
                <w:b w:val="0"/>
              </w:rPr>
              <w:t>6.7</w:t>
            </w:r>
          </w:p>
        </w:tc>
        <w:tc>
          <w:tcPr>
            <w:tcW w:w="504" w:type="pct"/>
            <w:vAlign w:val="center"/>
          </w:tcPr>
          <w:p w14:paraId="600E90E7" w14:textId="6149F43C" w:rsidR="00726CF1" w:rsidRDefault="00726CF1" w:rsidP="00726CF1">
            <w:pPr>
              <w:pStyle w:val="SWCTableHeader"/>
              <w:rPr>
                <w:b w:val="0"/>
              </w:rPr>
            </w:pPr>
            <w:r w:rsidRPr="00726CF1">
              <w:rPr>
                <w:b w:val="0"/>
              </w:rPr>
              <w:t>5.9</w:t>
            </w:r>
          </w:p>
        </w:tc>
        <w:tc>
          <w:tcPr>
            <w:tcW w:w="505" w:type="pct"/>
            <w:vAlign w:val="center"/>
          </w:tcPr>
          <w:p w14:paraId="29D9E701" w14:textId="060F15D0" w:rsidR="00726CF1" w:rsidRPr="004E7B7C" w:rsidRDefault="00726CF1" w:rsidP="00726CF1">
            <w:pPr>
              <w:pStyle w:val="SWCTableHeader"/>
              <w:rPr>
                <w:b w:val="0"/>
              </w:rPr>
            </w:pPr>
            <w:r w:rsidRPr="00726CF1">
              <w:rPr>
                <w:b w:val="0"/>
              </w:rPr>
              <w:t>7.4</w:t>
            </w:r>
          </w:p>
        </w:tc>
        <w:tc>
          <w:tcPr>
            <w:tcW w:w="504" w:type="pct"/>
            <w:shd w:val="clear" w:color="auto" w:fill="auto"/>
            <w:vAlign w:val="center"/>
          </w:tcPr>
          <w:p w14:paraId="277FD939" w14:textId="7FC0D85D" w:rsidR="00726CF1" w:rsidRPr="004E7B7C" w:rsidRDefault="00726CF1" w:rsidP="00726CF1">
            <w:pPr>
              <w:pStyle w:val="SWCTableHeader"/>
              <w:rPr>
                <w:b w:val="0"/>
              </w:rPr>
            </w:pPr>
            <w:r w:rsidRPr="00726CF1">
              <w:rPr>
                <w:b w:val="0"/>
              </w:rPr>
              <w:t>5.4</w:t>
            </w:r>
          </w:p>
        </w:tc>
        <w:tc>
          <w:tcPr>
            <w:tcW w:w="504" w:type="pct"/>
            <w:shd w:val="clear" w:color="auto" w:fill="auto"/>
            <w:vAlign w:val="center"/>
          </w:tcPr>
          <w:p w14:paraId="6EBD1A99" w14:textId="3EE12160" w:rsidR="00726CF1" w:rsidRPr="004E7B7C" w:rsidRDefault="00726CF1" w:rsidP="00726CF1">
            <w:pPr>
              <w:pStyle w:val="SWCTableHeader"/>
              <w:rPr>
                <w:b w:val="0"/>
              </w:rPr>
            </w:pPr>
            <w:r>
              <w:rPr>
                <w:b w:val="0"/>
              </w:rPr>
              <w:t>7</w:t>
            </w:r>
            <w:r w:rsidRPr="00726CF1">
              <w:rPr>
                <w:b w:val="0"/>
              </w:rPr>
              <w:t>.</w:t>
            </w:r>
            <w:r>
              <w:rPr>
                <w:b w:val="0"/>
              </w:rPr>
              <w:t>0</w:t>
            </w:r>
          </w:p>
        </w:tc>
        <w:tc>
          <w:tcPr>
            <w:tcW w:w="505" w:type="pct"/>
            <w:vAlign w:val="center"/>
          </w:tcPr>
          <w:p w14:paraId="67B256F1" w14:textId="0FA601F5" w:rsidR="00726CF1" w:rsidRPr="004E7B7C" w:rsidRDefault="00726CF1" w:rsidP="00726CF1">
            <w:pPr>
              <w:pStyle w:val="SWCTableHeader"/>
              <w:rPr>
                <w:b w:val="0"/>
              </w:rPr>
            </w:pPr>
            <w:r w:rsidRPr="00726CF1">
              <w:rPr>
                <w:b w:val="0"/>
              </w:rPr>
              <w:t>6.3</w:t>
            </w:r>
          </w:p>
        </w:tc>
        <w:tc>
          <w:tcPr>
            <w:tcW w:w="504" w:type="pct"/>
            <w:vAlign w:val="center"/>
          </w:tcPr>
          <w:p w14:paraId="29116443" w14:textId="42BBBB16" w:rsidR="00726CF1" w:rsidRPr="004E7B7C" w:rsidRDefault="00726CF1" w:rsidP="00726CF1">
            <w:pPr>
              <w:pStyle w:val="SWCTableHeader"/>
              <w:rPr>
                <w:b w:val="0"/>
              </w:rPr>
            </w:pPr>
            <w:r w:rsidRPr="00726CF1">
              <w:rPr>
                <w:b w:val="0"/>
              </w:rPr>
              <w:t>7.6</w:t>
            </w:r>
          </w:p>
        </w:tc>
        <w:tc>
          <w:tcPr>
            <w:tcW w:w="505" w:type="pct"/>
            <w:vAlign w:val="center"/>
          </w:tcPr>
          <w:p w14:paraId="3FAFE400" w14:textId="3407E92E" w:rsidR="00726CF1" w:rsidRPr="004E7B7C" w:rsidRDefault="00726CF1" w:rsidP="00726CF1">
            <w:pPr>
              <w:pStyle w:val="SWCTableHeader"/>
              <w:rPr>
                <w:b w:val="0"/>
              </w:rPr>
            </w:pPr>
            <w:r w:rsidRPr="00726CF1">
              <w:rPr>
                <w:b w:val="0"/>
              </w:rPr>
              <w:t>5.8</w:t>
            </w:r>
          </w:p>
        </w:tc>
      </w:tr>
      <w:tr w:rsidR="00726CF1" w:rsidRPr="0072355C" w14:paraId="2553203E" w14:textId="59CAA080" w:rsidTr="00726CF1">
        <w:trPr>
          <w:cantSplit/>
        </w:trPr>
        <w:tc>
          <w:tcPr>
            <w:tcW w:w="965" w:type="pct"/>
            <w:shd w:val="clear" w:color="auto" w:fill="auto"/>
            <w:vAlign w:val="center"/>
          </w:tcPr>
          <w:p w14:paraId="20F756A2" w14:textId="7C2780C7" w:rsidR="00726CF1" w:rsidRPr="006542C1" w:rsidRDefault="00726CF1" w:rsidP="00726CF1">
            <w:pPr>
              <w:pStyle w:val="SWCTableHeader"/>
              <w:jc w:val="left"/>
            </w:pPr>
            <w:r>
              <w:t>2-p E-Boiler</w:t>
            </w:r>
          </w:p>
        </w:tc>
        <w:tc>
          <w:tcPr>
            <w:tcW w:w="504" w:type="pct"/>
            <w:vAlign w:val="center"/>
          </w:tcPr>
          <w:p w14:paraId="4BC3485D" w14:textId="60EA93A6" w:rsidR="00726CF1" w:rsidRPr="00067030" w:rsidRDefault="00726CF1" w:rsidP="00726CF1">
            <w:pPr>
              <w:pStyle w:val="SWCTableHeader"/>
              <w:rPr>
                <w:b w:val="0"/>
              </w:rPr>
            </w:pPr>
            <w:r w:rsidRPr="00726CF1">
              <w:rPr>
                <w:b w:val="0"/>
              </w:rPr>
              <w:t>26.2</w:t>
            </w:r>
          </w:p>
        </w:tc>
        <w:tc>
          <w:tcPr>
            <w:tcW w:w="504" w:type="pct"/>
            <w:vAlign w:val="center"/>
          </w:tcPr>
          <w:p w14:paraId="1DBBE484" w14:textId="6D2B9CFB" w:rsidR="00726CF1" w:rsidRPr="00067030" w:rsidRDefault="00726CF1" w:rsidP="00726CF1">
            <w:pPr>
              <w:pStyle w:val="SWCTableHeader"/>
              <w:rPr>
                <w:b w:val="0"/>
              </w:rPr>
            </w:pPr>
            <w:r w:rsidRPr="00726CF1">
              <w:rPr>
                <w:b w:val="0"/>
              </w:rPr>
              <w:t>12.0</w:t>
            </w:r>
          </w:p>
        </w:tc>
        <w:tc>
          <w:tcPr>
            <w:tcW w:w="505" w:type="pct"/>
            <w:vAlign w:val="center"/>
          </w:tcPr>
          <w:p w14:paraId="03563AB2" w14:textId="4E75F002" w:rsidR="00726CF1" w:rsidRPr="004E7B7C" w:rsidRDefault="00726CF1" w:rsidP="00726CF1">
            <w:pPr>
              <w:pStyle w:val="SWCTableHeader"/>
              <w:rPr>
                <w:b w:val="0"/>
              </w:rPr>
            </w:pPr>
            <w:r w:rsidRPr="00726CF1">
              <w:rPr>
                <w:b w:val="0"/>
              </w:rPr>
              <w:t>26.0</w:t>
            </w:r>
          </w:p>
        </w:tc>
        <w:tc>
          <w:tcPr>
            <w:tcW w:w="504" w:type="pct"/>
            <w:shd w:val="clear" w:color="auto" w:fill="auto"/>
            <w:vAlign w:val="center"/>
          </w:tcPr>
          <w:p w14:paraId="4C3A4F6E" w14:textId="243954F5" w:rsidR="00726CF1" w:rsidRPr="00067030" w:rsidRDefault="00726CF1" w:rsidP="00726CF1">
            <w:pPr>
              <w:pStyle w:val="SWCTableHeader"/>
              <w:rPr>
                <w:b w:val="0"/>
              </w:rPr>
            </w:pPr>
            <w:r w:rsidRPr="00726CF1">
              <w:rPr>
                <w:b w:val="0"/>
              </w:rPr>
              <w:t>12.0</w:t>
            </w:r>
          </w:p>
        </w:tc>
        <w:tc>
          <w:tcPr>
            <w:tcW w:w="504" w:type="pct"/>
            <w:shd w:val="clear" w:color="auto" w:fill="auto"/>
            <w:vAlign w:val="center"/>
          </w:tcPr>
          <w:p w14:paraId="740600A1" w14:textId="7D57E96C" w:rsidR="00726CF1" w:rsidRPr="00067030" w:rsidRDefault="00726CF1" w:rsidP="00726CF1">
            <w:pPr>
              <w:pStyle w:val="SWCTableHeader"/>
              <w:rPr>
                <w:b w:val="0"/>
              </w:rPr>
            </w:pPr>
            <w:r w:rsidRPr="00726CF1">
              <w:rPr>
                <w:b w:val="0"/>
              </w:rPr>
              <w:t>26.2</w:t>
            </w:r>
          </w:p>
        </w:tc>
        <w:tc>
          <w:tcPr>
            <w:tcW w:w="505" w:type="pct"/>
            <w:vAlign w:val="center"/>
          </w:tcPr>
          <w:p w14:paraId="737766EB" w14:textId="6EA5C3E1" w:rsidR="00726CF1" w:rsidRPr="004E7B7C" w:rsidRDefault="00726CF1" w:rsidP="00726CF1">
            <w:pPr>
              <w:pStyle w:val="SWCTableHeader"/>
              <w:rPr>
                <w:b w:val="0"/>
              </w:rPr>
            </w:pPr>
            <w:r w:rsidRPr="00726CF1">
              <w:rPr>
                <w:b w:val="0"/>
              </w:rPr>
              <w:t>12.0</w:t>
            </w:r>
          </w:p>
        </w:tc>
        <w:tc>
          <w:tcPr>
            <w:tcW w:w="504" w:type="pct"/>
            <w:vAlign w:val="center"/>
          </w:tcPr>
          <w:p w14:paraId="06459617" w14:textId="37051ECC" w:rsidR="00726CF1" w:rsidRPr="004E7B7C" w:rsidRDefault="00726CF1" w:rsidP="00726CF1">
            <w:pPr>
              <w:pStyle w:val="SWCTableHeader"/>
              <w:rPr>
                <w:b w:val="0"/>
              </w:rPr>
            </w:pPr>
            <w:r w:rsidRPr="00726CF1">
              <w:rPr>
                <w:b w:val="0"/>
              </w:rPr>
              <w:t>26.0</w:t>
            </w:r>
          </w:p>
        </w:tc>
        <w:tc>
          <w:tcPr>
            <w:tcW w:w="505" w:type="pct"/>
            <w:vAlign w:val="center"/>
          </w:tcPr>
          <w:p w14:paraId="4D7C39CC" w14:textId="2E8952D8" w:rsidR="00726CF1" w:rsidRPr="004E7B7C" w:rsidRDefault="00726CF1" w:rsidP="00726CF1">
            <w:pPr>
              <w:pStyle w:val="SWCTableHeader"/>
              <w:rPr>
                <w:b w:val="0"/>
              </w:rPr>
            </w:pPr>
            <w:r w:rsidRPr="00726CF1">
              <w:rPr>
                <w:b w:val="0"/>
              </w:rPr>
              <w:t>12.0</w:t>
            </w:r>
          </w:p>
        </w:tc>
      </w:tr>
      <w:tr w:rsidR="00726CF1" w:rsidRPr="0072355C" w14:paraId="317514EF" w14:textId="31C22525" w:rsidTr="00726CF1">
        <w:trPr>
          <w:cantSplit/>
        </w:trPr>
        <w:tc>
          <w:tcPr>
            <w:tcW w:w="965" w:type="pct"/>
            <w:shd w:val="clear" w:color="auto" w:fill="auto"/>
            <w:vAlign w:val="center"/>
          </w:tcPr>
          <w:p w14:paraId="0108B8D4" w14:textId="12843B1F" w:rsidR="00726CF1" w:rsidRPr="006542C1" w:rsidRDefault="00726CF1" w:rsidP="00726CF1">
            <w:pPr>
              <w:pStyle w:val="SWCTableHeader"/>
              <w:jc w:val="left"/>
            </w:pPr>
            <w:r>
              <w:t>2-p FTPH</w:t>
            </w:r>
          </w:p>
        </w:tc>
        <w:tc>
          <w:tcPr>
            <w:tcW w:w="504" w:type="pct"/>
            <w:vAlign w:val="center"/>
          </w:tcPr>
          <w:p w14:paraId="46A74960" w14:textId="222F371A" w:rsidR="00726CF1" w:rsidRPr="00067030" w:rsidRDefault="00726CF1" w:rsidP="00726CF1">
            <w:pPr>
              <w:pStyle w:val="SWCTableHeader"/>
              <w:rPr>
                <w:b w:val="0"/>
              </w:rPr>
            </w:pPr>
            <w:r w:rsidRPr="00726CF1">
              <w:rPr>
                <w:b w:val="0"/>
              </w:rPr>
              <w:t>25.8</w:t>
            </w:r>
          </w:p>
        </w:tc>
        <w:tc>
          <w:tcPr>
            <w:tcW w:w="504" w:type="pct"/>
            <w:vAlign w:val="center"/>
          </w:tcPr>
          <w:p w14:paraId="1AB6AFBC" w14:textId="3D322B57" w:rsidR="00726CF1" w:rsidRPr="00067030" w:rsidRDefault="00726CF1" w:rsidP="00726CF1">
            <w:pPr>
              <w:pStyle w:val="SWCTableHeader"/>
              <w:rPr>
                <w:b w:val="0"/>
              </w:rPr>
            </w:pPr>
            <w:r w:rsidRPr="00726CF1">
              <w:rPr>
                <w:b w:val="0"/>
              </w:rPr>
              <w:t>29.2</w:t>
            </w:r>
          </w:p>
        </w:tc>
        <w:tc>
          <w:tcPr>
            <w:tcW w:w="505" w:type="pct"/>
            <w:vAlign w:val="center"/>
          </w:tcPr>
          <w:p w14:paraId="5BCCDBC7" w14:textId="1D855884" w:rsidR="00726CF1" w:rsidRPr="004E7B7C" w:rsidRDefault="00726CF1" w:rsidP="00726CF1">
            <w:pPr>
              <w:pStyle w:val="SWCTableHeader"/>
              <w:rPr>
                <w:b w:val="0"/>
              </w:rPr>
            </w:pPr>
            <w:r w:rsidRPr="00726CF1">
              <w:rPr>
                <w:b w:val="0"/>
              </w:rPr>
              <w:t>26.8</w:t>
            </w:r>
          </w:p>
        </w:tc>
        <w:tc>
          <w:tcPr>
            <w:tcW w:w="504" w:type="pct"/>
            <w:shd w:val="clear" w:color="auto" w:fill="auto"/>
            <w:vAlign w:val="center"/>
          </w:tcPr>
          <w:p w14:paraId="6D8085A7" w14:textId="467D0781" w:rsidR="00726CF1" w:rsidRPr="00067030" w:rsidRDefault="00726CF1" w:rsidP="00726CF1">
            <w:pPr>
              <w:pStyle w:val="SWCTableHeader"/>
              <w:rPr>
                <w:b w:val="0"/>
              </w:rPr>
            </w:pPr>
            <w:r w:rsidRPr="00726CF1">
              <w:rPr>
                <w:b w:val="0"/>
              </w:rPr>
              <w:t>28.3</w:t>
            </w:r>
          </w:p>
        </w:tc>
        <w:tc>
          <w:tcPr>
            <w:tcW w:w="504" w:type="pct"/>
            <w:shd w:val="clear" w:color="auto" w:fill="auto"/>
            <w:vAlign w:val="center"/>
          </w:tcPr>
          <w:p w14:paraId="76944702" w14:textId="30A2CD65" w:rsidR="00726CF1" w:rsidRPr="00067030" w:rsidRDefault="00726CF1" w:rsidP="00726CF1">
            <w:pPr>
              <w:pStyle w:val="SWCTableHeader"/>
              <w:rPr>
                <w:b w:val="0"/>
              </w:rPr>
            </w:pPr>
            <w:r w:rsidRPr="00726CF1">
              <w:rPr>
                <w:b w:val="0"/>
              </w:rPr>
              <w:t>25.8</w:t>
            </w:r>
          </w:p>
        </w:tc>
        <w:tc>
          <w:tcPr>
            <w:tcW w:w="505" w:type="pct"/>
            <w:vAlign w:val="center"/>
          </w:tcPr>
          <w:p w14:paraId="0AAA8380" w14:textId="68589190" w:rsidR="00726CF1" w:rsidRPr="004E7B7C" w:rsidRDefault="00726CF1" w:rsidP="00726CF1">
            <w:pPr>
              <w:pStyle w:val="SWCTableHeader"/>
              <w:rPr>
                <w:b w:val="0"/>
              </w:rPr>
            </w:pPr>
            <w:r w:rsidRPr="00726CF1">
              <w:rPr>
                <w:b w:val="0"/>
              </w:rPr>
              <w:t>29.2</w:t>
            </w:r>
          </w:p>
        </w:tc>
        <w:tc>
          <w:tcPr>
            <w:tcW w:w="504" w:type="pct"/>
            <w:vAlign w:val="center"/>
          </w:tcPr>
          <w:p w14:paraId="0BB81641" w14:textId="5A7B4FD9" w:rsidR="00726CF1" w:rsidRPr="004E7B7C" w:rsidRDefault="00726CF1" w:rsidP="00726CF1">
            <w:pPr>
              <w:pStyle w:val="SWCTableHeader"/>
              <w:rPr>
                <w:b w:val="0"/>
              </w:rPr>
            </w:pPr>
            <w:r w:rsidRPr="00726CF1">
              <w:rPr>
                <w:b w:val="0"/>
              </w:rPr>
              <w:t>26.8</w:t>
            </w:r>
          </w:p>
        </w:tc>
        <w:tc>
          <w:tcPr>
            <w:tcW w:w="505" w:type="pct"/>
            <w:vAlign w:val="center"/>
          </w:tcPr>
          <w:p w14:paraId="0017D4B6" w14:textId="653BE6BB" w:rsidR="00726CF1" w:rsidRPr="004E7B7C" w:rsidRDefault="00726CF1" w:rsidP="00726CF1">
            <w:pPr>
              <w:pStyle w:val="SWCTableHeader"/>
              <w:rPr>
                <w:b w:val="0"/>
              </w:rPr>
            </w:pPr>
            <w:r w:rsidRPr="00726CF1">
              <w:rPr>
                <w:b w:val="0"/>
              </w:rPr>
              <w:t>28.3</w:t>
            </w:r>
          </w:p>
        </w:tc>
      </w:tr>
      <w:tr w:rsidR="00726CF1" w:rsidRPr="0072355C" w14:paraId="4E1A9B9F" w14:textId="2D47FC8C" w:rsidTr="00726CF1">
        <w:trPr>
          <w:cantSplit/>
        </w:trPr>
        <w:tc>
          <w:tcPr>
            <w:tcW w:w="965" w:type="pct"/>
            <w:shd w:val="clear" w:color="auto" w:fill="auto"/>
            <w:vAlign w:val="center"/>
          </w:tcPr>
          <w:p w14:paraId="73B0DC61" w14:textId="1CF26109" w:rsidR="00726CF1" w:rsidRPr="006542C1" w:rsidRDefault="00726CF1" w:rsidP="00726CF1">
            <w:pPr>
              <w:pStyle w:val="SWCTableHeader"/>
              <w:jc w:val="left"/>
            </w:pPr>
            <w:r>
              <w:t>2-p dDHW-HP</w:t>
            </w:r>
          </w:p>
        </w:tc>
        <w:tc>
          <w:tcPr>
            <w:tcW w:w="504" w:type="pct"/>
            <w:vAlign w:val="center"/>
          </w:tcPr>
          <w:p w14:paraId="630360FC" w14:textId="08619439" w:rsidR="00726CF1" w:rsidRPr="00067030" w:rsidRDefault="00726CF1" w:rsidP="00726CF1">
            <w:pPr>
              <w:pStyle w:val="SWCTableHeader"/>
              <w:rPr>
                <w:b w:val="0"/>
              </w:rPr>
            </w:pPr>
            <w:r w:rsidRPr="00726CF1">
              <w:rPr>
                <w:b w:val="0"/>
              </w:rPr>
              <w:t>26.2</w:t>
            </w:r>
          </w:p>
        </w:tc>
        <w:tc>
          <w:tcPr>
            <w:tcW w:w="504" w:type="pct"/>
            <w:vAlign w:val="center"/>
          </w:tcPr>
          <w:p w14:paraId="13AC852E" w14:textId="48B580A5" w:rsidR="00726CF1" w:rsidRPr="00067030" w:rsidRDefault="00726CF1" w:rsidP="00726CF1">
            <w:pPr>
              <w:pStyle w:val="SWCTableHeader"/>
              <w:rPr>
                <w:b w:val="0"/>
              </w:rPr>
            </w:pPr>
            <w:r w:rsidRPr="00726CF1">
              <w:rPr>
                <w:b w:val="0"/>
              </w:rPr>
              <w:t>3.1</w:t>
            </w:r>
          </w:p>
        </w:tc>
        <w:tc>
          <w:tcPr>
            <w:tcW w:w="505" w:type="pct"/>
            <w:vAlign w:val="center"/>
          </w:tcPr>
          <w:p w14:paraId="08281BEE" w14:textId="1FA186FD" w:rsidR="00726CF1" w:rsidRPr="004E7B7C" w:rsidRDefault="00726CF1" w:rsidP="00726CF1">
            <w:pPr>
              <w:pStyle w:val="SWCTableHeader"/>
              <w:rPr>
                <w:b w:val="0"/>
              </w:rPr>
            </w:pPr>
            <w:r w:rsidRPr="00726CF1">
              <w:rPr>
                <w:b w:val="0"/>
              </w:rPr>
              <w:t>26.2</w:t>
            </w:r>
          </w:p>
        </w:tc>
        <w:tc>
          <w:tcPr>
            <w:tcW w:w="504" w:type="pct"/>
            <w:shd w:val="clear" w:color="auto" w:fill="auto"/>
            <w:vAlign w:val="center"/>
          </w:tcPr>
          <w:p w14:paraId="5C7E032F" w14:textId="4595CB29" w:rsidR="00726CF1" w:rsidRPr="00067030" w:rsidRDefault="00726CF1" w:rsidP="00726CF1">
            <w:pPr>
              <w:pStyle w:val="SWCTableHeader"/>
              <w:rPr>
                <w:b w:val="0"/>
              </w:rPr>
            </w:pPr>
            <w:r w:rsidRPr="00726CF1">
              <w:rPr>
                <w:b w:val="0"/>
              </w:rPr>
              <w:t>2.9</w:t>
            </w:r>
          </w:p>
        </w:tc>
        <w:tc>
          <w:tcPr>
            <w:tcW w:w="504" w:type="pct"/>
            <w:shd w:val="clear" w:color="auto" w:fill="auto"/>
            <w:vAlign w:val="center"/>
          </w:tcPr>
          <w:p w14:paraId="694D1B3B" w14:textId="70AE6A97" w:rsidR="00726CF1" w:rsidRPr="00067030" w:rsidRDefault="00726CF1" w:rsidP="00726CF1">
            <w:pPr>
              <w:pStyle w:val="SWCTableHeader"/>
              <w:rPr>
                <w:b w:val="0"/>
              </w:rPr>
            </w:pPr>
            <w:r w:rsidRPr="00726CF1">
              <w:rPr>
                <w:b w:val="0"/>
              </w:rPr>
              <w:t>26.2</w:t>
            </w:r>
          </w:p>
        </w:tc>
        <w:tc>
          <w:tcPr>
            <w:tcW w:w="505" w:type="pct"/>
            <w:vAlign w:val="center"/>
          </w:tcPr>
          <w:p w14:paraId="320F719F" w14:textId="28D520D9" w:rsidR="00726CF1" w:rsidRPr="004E7B7C" w:rsidRDefault="00726CF1" w:rsidP="00726CF1">
            <w:pPr>
              <w:pStyle w:val="SWCTableHeader"/>
              <w:rPr>
                <w:b w:val="0"/>
              </w:rPr>
            </w:pPr>
            <w:r w:rsidRPr="00726CF1">
              <w:rPr>
                <w:b w:val="0"/>
              </w:rPr>
              <w:t>2.0</w:t>
            </w:r>
          </w:p>
        </w:tc>
        <w:tc>
          <w:tcPr>
            <w:tcW w:w="504" w:type="pct"/>
            <w:vAlign w:val="center"/>
          </w:tcPr>
          <w:p w14:paraId="4BB38350" w14:textId="47B32C92" w:rsidR="00726CF1" w:rsidRPr="004E7B7C" w:rsidRDefault="00726CF1" w:rsidP="00726CF1">
            <w:pPr>
              <w:pStyle w:val="SWCTableHeader"/>
              <w:rPr>
                <w:b w:val="0"/>
              </w:rPr>
            </w:pPr>
            <w:r w:rsidRPr="00726CF1">
              <w:rPr>
                <w:b w:val="0"/>
              </w:rPr>
              <w:t>26.2</w:t>
            </w:r>
          </w:p>
        </w:tc>
        <w:tc>
          <w:tcPr>
            <w:tcW w:w="505" w:type="pct"/>
            <w:vAlign w:val="center"/>
          </w:tcPr>
          <w:p w14:paraId="3DB043B4" w14:textId="460F91F7" w:rsidR="00726CF1" w:rsidRPr="004E7B7C" w:rsidRDefault="00726CF1" w:rsidP="00726CF1">
            <w:pPr>
              <w:pStyle w:val="SWCTableHeader"/>
              <w:rPr>
                <w:b w:val="0"/>
              </w:rPr>
            </w:pPr>
            <w:r w:rsidRPr="00726CF1">
              <w:rPr>
                <w:b w:val="0"/>
              </w:rPr>
              <w:t>2.0</w:t>
            </w:r>
          </w:p>
        </w:tc>
      </w:tr>
    </w:tbl>
    <w:p w14:paraId="6C58DFF3" w14:textId="6CC61447" w:rsidR="00C51CD1" w:rsidRDefault="00DE7CE3" w:rsidP="009F1346">
      <w:pPr>
        <w:pStyle w:val="SWCText"/>
      </w:pPr>
      <w:r>
        <w:br/>
      </w:r>
      <w:r w:rsidR="00110FC4">
        <w:t xml:space="preserve">The </w:t>
      </w:r>
      <w:r w:rsidR="00FF726C">
        <w:t>E</w:t>
      </w:r>
      <w:r w:rsidR="00110FC4">
        <w:t>-boiler and FTPH have a comparable electricity demand with a slight advantage of the FTPH</w:t>
      </w:r>
      <w:r w:rsidR="00FF726C">
        <w:t>,</w:t>
      </w:r>
      <w:r w:rsidR="00110FC4">
        <w:t xml:space="preserve"> but on cost </w:t>
      </w:r>
      <w:r w:rsidR="00110FC4">
        <w:lastRenderedPageBreak/>
        <w:t>of a significantly higher peak power (on 1 s time step: 75 kW instead of 12 kW). All HP</w:t>
      </w:r>
      <w:r w:rsidR="00726CF1">
        <w:t>-</w:t>
      </w:r>
      <w:r w:rsidR="00110FC4">
        <w:t>based systems perform better than the direct electric systems. The best performance has the decentral DHW-HP followed by the 2+2-p (or 3-p) FWS and the DHW booster-HP. The 4-p C system performs worst among the central systems in particular in case of smaller DHW demand due to the increas</w:t>
      </w:r>
      <w:r w:rsidR="00FF726C">
        <w:t>ed</w:t>
      </w:r>
      <w:r w:rsidR="00110FC4">
        <w:t xml:space="preserve"> influence of the high circulation losses. The 2-p decentral buffer has only an advantage in terms of peak power. As expected, all systems with </w:t>
      </w:r>
      <w:r w:rsidR="00FF726C">
        <w:t>B/</w:t>
      </w:r>
      <w:r w:rsidR="00110FC4">
        <w:t>W-HP perform better but not only in terms of electric energy demand but also in terms of peak power.</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5"/>
        <w:gridCol w:w="4466"/>
      </w:tblGrid>
      <w:tr w:rsidR="00F46917" w:rsidRPr="00A9362F" w14:paraId="4115DCF7" w14:textId="77777777" w:rsidTr="002F6D6C">
        <w:tc>
          <w:tcPr>
            <w:tcW w:w="4465" w:type="dxa"/>
          </w:tcPr>
          <w:p w14:paraId="4D97E4E9" w14:textId="725F65ED" w:rsidR="00F46917" w:rsidRPr="00A9362F" w:rsidRDefault="004A364A" w:rsidP="00225510">
            <w:pPr>
              <w:pStyle w:val="SWCTableFigureCaption"/>
              <w:tabs>
                <w:tab w:val="left" w:pos="566"/>
                <w:tab w:val="center" w:pos="4489"/>
              </w:tabs>
              <w:spacing w:before="0" w:after="0" w:line="240" w:lineRule="auto"/>
              <w:ind w:left="0" w:right="0"/>
            </w:pPr>
            <w:r>
              <w:rPr>
                <w:noProof/>
              </w:rPr>
              <w:drawing>
                <wp:inline distT="0" distB="0" distL="0" distR="0" wp14:anchorId="018EB9A2" wp14:editId="337A66C4">
                  <wp:extent cx="2497089" cy="18720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97089" cy="1872000"/>
                          </a:xfrm>
                          <a:prstGeom prst="rect">
                            <a:avLst/>
                          </a:prstGeom>
                          <a:noFill/>
                        </pic:spPr>
                      </pic:pic>
                    </a:graphicData>
                  </a:graphic>
                </wp:inline>
              </w:drawing>
            </w:r>
          </w:p>
        </w:tc>
        <w:tc>
          <w:tcPr>
            <w:tcW w:w="4466" w:type="dxa"/>
          </w:tcPr>
          <w:p w14:paraId="5735AC0A" w14:textId="0D36C88A" w:rsidR="00F46917" w:rsidRPr="00A9362F" w:rsidRDefault="004A364A" w:rsidP="00225510">
            <w:pPr>
              <w:pStyle w:val="SWCTableFigureCaption"/>
              <w:tabs>
                <w:tab w:val="left" w:pos="566"/>
                <w:tab w:val="center" w:pos="4489"/>
              </w:tabs>
              <w:spacing w:before="0" w:after="0" w:line="240" w:lineRule="auto"/>
              <w:ind w:left="0" w:right="0"/>
            </w:pPr>
            <w:r>
              <w:rPr>
                <w:noProof/>
              </w:rPr>
              <w:drawing>
                <wp:inline distT="0" distB="0" distL="0" distR="0" wp14:anchorId="56B89EB2" wp14:editId="71E72E88">
                  <wp:extent cx="2497089" cy="18720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97089" cy="1872000"/>
                          </a:xfrm>
                          <a:prstGeom prst="rect">
                            <a:avLst/>
                          </a:prstGeom>
                          <a:noFill/>
                        </pic:spPr>
                      </pic:pic>
                    </a:graphicData>
                  </a:graphic>
                </wp:inline>
              </w:drawing>
            </w:r>
          </w:p>
        </w:tc>
      </w:tr>
      <w:tr w:rsidR="00F46917" w:rsidRPr="00A9362F" w14:paraId="2ECDFE8F" w14:textId="77777777" w:rsidTr="002F6D6C">
        <w:tc>
          <w:tcPr>
            <w:tcW w:w="4465" w:type="dxa"/>
          </w:tcPr>
          <w:p w14:paraId="12EB4351" w14:textId="5A819538" w:rsidR="00F46917" w:rsidRDefault="003B086C" w:rsidP="00225510">
            <w:pPr>
              <w:pStyle w:val="SWCTableFigureCaption"/>
              <w:tabs>
                <w:tab w:val="left" w:pos="566"/>
                <w:tab w:val="center" w:pos="4489"/>
              </w:tabs>
              <w:spacing w:before="0" w:after="0" w:line="240" w:lineRule="auto"/>
              <w:ind w:left="0" w:right="0"/>
            </w:pPr>
            <w:r>
              <w:t>A/W-HP (0 °C)</w:t>
            </w:r>
          </w:p>
        </w:tc>
        <w:tc>
          <w:tcPr>
            <w:tcW w:w="4466" w:type="dxa"/>
          </w:tcPr>
          <w:p w14:paraId="66824640" w14:textId="38526776" w:rsidR="00F46917" w:rsidRDefault="003B086C" w:rsidP="00225510">
            <w:pPr>
              <w:pStyle w:val="SWCTableFigureCaption"/>
              <w:tabs>
                <w:tab w:val="left" w:pos="566"/>
                <w:tab w:val="center" w:pos="4489"/>
              </w:tabs>
              <w:spacing w:before="0" w:after="0" w:line="240" w:lineRule="auto"/>
              <w:ind w:left="0" w:right="0"/>
            </w:pPr>
            <w:r w:rsidRPr="007F795B">
              <w:t>B/W</w:t>
            </w:r>
            <w:r>
              <w:t>-HP (5°C)</w:t>
            </w:r>
          </w:p>
        </w:tc>
      </w:tr>
    </w:tbl>
    <w:p w14:paraId="5ED3FD01" w14:textId="63BC37D3" w:rsidR="00821A4F" w:rsidRPr="00834767" w:rsidRDefault="00821A4F" w:rsidP="00834767">
      <w:pPr>
        <w:pStyle w:val="SWCTableFigureCaption"/>
        <w:tabs>
          <w:tab w:val="left" w:pos="566"/>
          <w:tab w:val="center" w:pos="4489"/>
        </w:tabs>
      </w:pPr>
      <w:r w:rsidRPr="00834767">
        <w:t xml:space="preserve">Fig. </w:t>
      </w:r>
      <w:r w:rsidR="00B23C18">
        <w:t>1</w:t>
      </w:r>
      <w:r w:rsidR="009F17AC">
        <w:t>2</w:t>
      </w:r>
      <w:r w:rsidRPr="00834767">
        <w:t xml:space="preserve">: Heating power vs. heating load for the case of 6 flats and </w:t>
      </w:r>
      <w:r w:rsidR="003B086C">
        <w:t>seven</w:t>
      </w:r>
      <w:r w:rsidRPr="00834767">
        <w:t xml:space="preserve"> different heating system configurations (</w:t>
      </w:r>
      <w:r w:rsidR="00F46917">
        <w:t>see Figs. 4 and 6</w:t>
      </w:r>
      <w:r w:rsidRPr="00834767">
        <w:t>) for the</w:t>
      </w:r>
      <w:r w:rsidR="003B086C">
        <w:t xml:space="preserve"> A/W-HP (left) and the </w:t>
      </w:r>
      <w:r w:rsidR="007F795B" w:rsidRPr="007F795B">
        <w:t>B</w:t>
      </w:r>
      <w:r w:rsidR="003B086C" w:rsidRPr="007F795B">
        <w:t>/W-HP</w:t>
      </w:r>
      <w:r w:rsidR="003B086C">
        <w:t xml:space="preserve"> (right)</w:t>
      </w:r>
      <w:r w:rsidRPr="00834767">
        <w:t xml:space="preserve"> </w:t>
      </w:r>
      <w:r w:rsidR="003B086C">
        <w:t>for the scaled</w:t>
      </w:r>
      <w:r w:rsidR="00F46917">
        <w:t xml:space="preserve"> </w:t>
      </w:r>
      <w:r w:rsidRPr="00834767">
        <w:t xml:space="preserve">profile </w:t>
      </w:r>
      <w:r w:rsidR="00F46917">
        <w:t>“</w:t>
      </w:r>
      <w:r w:rsidRPr="00834767">
        <w:t>M</w:t>
      </w:r>
      <w:r w:rsidR="003B086C">
        <w:t>/2</w:t>
      </w:r>
      <w:r w:rsidR="00F46917">
        <w:t>”</w:t>
      </w:r>
      <w:r w:rsidRPr="00834767">
        <w:t xml:space="preserve"> and </w:t>
      </w:r>
      <w:r w:rsidR="003B086C">
        <w:t xml:space="preserve">the </w:t>
      </w:r>
      <w:r w:rsidRPr="00834767">
        <w:t>scaled</w:t>
      </w:r>
      <w:r w:rsidR="00F46917">
        <w:t xml:space="preserve"> </w:t>
      </w:r>
      <w:r w:rsidR="003B086C">
        <w:t>profile (“M/ 2P”), each var 0</w:t>
      </w:r>
    </w:p>
    <w:p w14:paraId="46D9BC1F" w14:textId="29902638" w:rsidR="00F43252" w:rsidRDefault="00F43252" w:rsidP="00490F10">
      <w:pPr>
        <w:pStyle w:val="SWCHeading1"/>
      </w:pPr>
      <w:r>
        <w:t>Conclusions</w:t>
      </w:r>
      <w:r w:rsidR="00E120F0">
        <w:t xml:space="preserve"> and Outlook</w:t>
      </w:r>
    </w:p>
    <w:p w14:paraId="3061FC63" w14:textId="6475B829" w:rsidR="009F17AC" w:rsidRPr="009F1346" w:rsidRDefault="00EA218B" w:rsidP="00F43252">
      <w:pPr>
        <w:pStyle w:val="SWCText"/>
      </w:pPr>
      <w:r w:rsidRPr="009F1346">
        <w:t>The paper presents</w:t>
      </w:r>
      <w:r w:rsidR="009F1346" w:rsidRPr="009F1346">
        <w:t xml:space="preserve"> simulation methods and results for large multi-apartment buildings and small districts</w:t>
      </w:r>
      <w:r w:rsidRPr="009F1346">
        <w:t xml:space="preserve"> based on monitoring results from the “towards” PED Innsbruck Campagne. The accurate prediction of the heating load (</w:t>
      </w:r>
      <w:r w:rsidR="009F1346" w:rsidRPr="009F1346">
        <w:t xml:space="preserve">for </w:t>
      </w:r>
      <w:r w:rsidRPr="009F1346">
        <w:t>SH and DHW)</w:t>
      </w:r>
      <w:r w:rsidR="009F17AC" w:rsidRPr="009F1346">
        <w:t xml:space="preserve"> </w:t>
      </w:r>
      <w:r w:rsidRPr="009F1346">
        <w:t>as well as of the required flow and resulting return temperature is the basis for simulation-based optimization of positive energy buildings and positive energy districts.</w:t>
      </w:r>
      <w:r w:rsidR="009F1346" w:rsidRPr="009F1346">
        <w:t xml:space="preserve"> </w:t>
      </w:r>
      <w:r w:rsidR="009F17AC" w:rsidRPr="009F1346">
        <w:t>The HP system topology with the corresponding temperature levels has a significant influence on both sizing and the performance. Different concepts are introduced and compared with focus on DHW preparation, which dominates the energy demand in very efficient buildings.</w:t>
      </w:r>
    </w:p>
    <w:p w14:paraId="636DAC42" w14:textId="59D1801B" w:rsidR="009F1346" w:rsidRPr="009F1346" w:rsidRDefault="009F1346" w:rsidP="009F17AC">
      <w:pPr>
        <w:pStyle w:val="SWCText"/>
        <w:rPr>
          <w:lang w:val="en-GB"/>
        </w:rPr>
      </w:pPr>
      <w:r w:rsidRPr="009F1346">
        <w:rPr>
          <w:lang w:val="en-GB"/>
        </w:rPr>
        <w:t xml:space="preserve">The performance of a HP-based DHW system is influenced by a wide range of interacting parameters. These include the characteristics of the building, such as its size, the number of flats and occupants, as well as the resulting DHW demand (e.g., showers versus baths). User behaviour also plays a significant role, with stochastic variations in </w:t>
      </w:r>
      <w:r w:rsidR="00FF726C">
        <w:rPr>
          <w:lang w:val="en-GB"/>
        </w:rPr>
        <w:t>tapping</w:t>
      </w:r>
      <w:r w:rsidRPr="009F1346">
        <w:rPr>
          <w:lang w:val="en-GB"/>
        </w:rPr>
        <w:t xml:space="preserve"> times, durations, flow rates, and daily consumption patterns affecting system operation. Furthermore, the overall system configuration – including centralized or decentralized DHW generation, storage concepts, circulation systems, and control strategies – has a considerable impact on efficiency. Realistic operating conditions must also account for comfort and hygiene requirements, such as minimum outlet temperatures, draw-off delay times, and Legionella prevention measures. The sizing of key components, including the </w:t>
      </w:r>
      <w:r w:rsidR="00C676AB">
        <w:rPr>
          <w:lang w:val="en-GB"/>
        </w:rPr>
        <w:t>HP</w:t>
      </w:r>
      <w:r w:rsidRPr="009F1346">
        <w:rPr>
          <w:lang w:val="en-GB"/>
        </w:rPr>
        <w:t xml:space="preserve">, heat exchangers, buffer and DHW storage tanks, directly influences system performance and operational flexibility. </w:t>
      </w:r>
    </w:p>
    <w:p w14:paraId="6BB9F0AD" w14:textId="78EA29D5" w:rsidR="009F17AC" w:rsidRDefault="009F17AC" w:rsidP="009F17AC">
      <w:pPr>
        <w:pStyle w:val="SWCText"/>
      </w:pPr>
      <w:r w:rsidRPr="009F1346">
        <w:rPr>
          <w:lang w:val="en-GB"/>
        </w:rPr>
        <w:t xml:space="preserve">In this work, standardized tapping profiles are preferred over stochastic profiles because they ensure identical load conditions for all investigated system topologies, allowing a fair comparison of their energetic performance. </w:t>
      </w:r>
      <w:r w:rsidRPr="009F1346">
        <w:t xml:space="preserve">The tapping profile “M” represents with </w:t>
      </w:r>
      <w:r w:rsidR="00FF726C">
        <w:t xml:space="preserve">a daily </w:t>
      </w:r>
      <w:r w:rsidR="007F795B">
        <w:t xml:space="preserve">demand of </w:t>
      </w:r>
      <w:r w:rsidRPr="009F1346">
        <w:t>5.845 kWh</w:t>
      </w:r>
      <w:r w:rsidR="007F795B">
        <w:t xml:space="preserve"> </w:t>
      </w:r>
      <w:r w:rsidRPr="009F1346">
        <w:t>a 4 persons household with a peak power of 25 kW corresponding to a</w:t>
      </w:r>
      <w:r w:rsidR="009F1346" w:rsidRPr="009F1346">
        <w:t xml:space="preserve"> typical</w:t>
      </w:r>
      <w:r w:rsidRPr="009F1346">
        <w:t xml:space="preserve"> shower. In order to consider different number of persons per flat in terms of useful energy demand, the profile has to be scaled or adapted. Furthermore, profiles have to be either time averaged or time-shifted in order to maintain a realistic heating power profile in terms of peak power for a different number of flats. Different </w:t>
      </w:r>
      <w:r w:rsidR="009F1346" w:rsidRPr="009F1346">
        <w:t xml:space="preserve">options for adapted and time shifted DHW tapping profiles to match the simultaneity factor according to VDI 2072 </w:t>
      </w:r>
      <w:r w:rsidRPr="009F1346">
        <w:t>are implemented</w:t>
      </w:r>
      <w:r w:rsidR="009F1346" w:rsidRPr="009F1346">
        <w:t>,</w:t>
      </w:r>
      <w:r w:rsidRPr="009F1346">
        <w:t xml:space="preserve"> compared</w:t>
      </w:r>
      <w:r w:rsidR="009F1346" w:rsidRPr="009F1346">
        <w:t xml:space="preserve"> and evaluated in terms of delivered energy and resulting return temperature</w:t>
      </w:r>
      <w:r w:rsidRPr="009F1346">
        <w:t xml:space="preserve">. </w:t>
      </w:r>
    </w:p>
    <w:p w14:paraId="08E172A5" w14:textId="245FD7A4" w:rsidR="005F4884" w:rsidRDefault="005F4884" w:rsidP="009F17AC">
      <w:pPr>
        <w:pStyle w:val="SWCText"/>
        <w:rPr>
          <w:lang w:val="en-GB"/>
        </w:rPr>
      </w:pPr>
      <w:r w:rsidRPr="005F4884">
        <w:rPr>
          <w:lang w:val="en-GB"/>
        </w:rPr>
        <w:t>Even with the same simultaneity factor</w:t>
      </w:r>
      <w:r>
        <w:rPr>
          <w:lang w:val="en-GB"/>
        </w:rPr>
        <w:t>, i.e.,</w:t>
      </w:r>
      <w:r w:rsidRPr="005F4884">
        <w:rPr>
          <w:lang w:val="en-GB"/>
        </w:rPr>
        <w:t xml:space="preserve"> the same instantaneous sum of all tapping events</w:t>
      </w:r>
      <w:r>
        <w:rPr>
          <w:lang w:val="en-GB"/>
        </w:rPr>
        <w:t xml:space="preserve">, </w:t>
      </w:r>
      <w:r w:rsidRPr="005F4884">
        <w:rPr>
          <w:lang w:val="en-GB"/>
        </w:rPr>
        <w:t xml:space="preserve">the thermal peak load at the buffer outlet (main supply) can differ </w:t>
      </w:r>
      <w:r w:rsidR="006D3D3A">
        <w:rPr>
          <w:lang w:val="en-GB"/>
        </w:rPr>
        <w:t>relevant</w:t>
      </w:r>
      <w:r w:rsidRPr="005F4884">
        <w:rPr>
          <w:lang w:val="en-GB"/>
        </w:rPr>
        <w:t xml:space="preserve">ly depending on the chosen </w:t>
      </w:r>
      <w:r>
        <w:rPr>
          <w:lang w:val="en-GB"/>
        </w:rPr>
        <w:t xml:space="preserve">DHW </w:t>
      </w:r>
      <w:r w:rsidRPr="005F4884">
        <w:rPr>
          <w:lang w:val="en-GB"/>
        </w:rPr>
        <w:t>tapping profile</w:t>
      </w:r>
      <w:r w:rsidR="00FF726C">
        <w:rPr>
          <w:lang w:val="en-GB"/>
        </w:rPr>
        <w:t> </w:t>
      </w:r>
      <w:r w:rsidR="006D3D3A">
        <w:rPr>
          <w:lang w:val="en-GB"/>
        </w:rPr>
        <w:t>(sub</w:t>
      </w:r>
      <w:r w:rsidR="007F795B">
        <w:rPr>
          <w:lang w:val="en-GB"/>
        </w:rPr>
        <w:noBreakHyphen/>
      </w:r>
      <w:r w:rsidR="006D3D3A">
        <w:rPr>
          <w:lang w:val="en-GB"/>
        </w:rPr>
        <w:t>)</w:t>
      </w:r>
      <w:r w:rsidR="00FF726C">
        <w:rPr>
          <w:lang w:val="en-GB"/>
        </w:rPr>
        <w:t> </w:t>
      </w:r>
      <w:r>
        <w:rPr>
          <w:lang w:val="en-GB"/>
        </w:rPr>
        <w:t>variant</w:t>
      </w:r>
      <w:r w:rsidRPr="005F4884">
        <w:rPr>
          <w:lang w:val="en-GB"/>
        </w:rPr>
        <w:t>.</w:t>
      </w:r>
      <w:r>
        <w:rPr>
          <w:lang w:val="en-GB"/>
        </w:rPr>
        <w:t xml:space="preserve"> This is in particular </w:t>
      </w:r>
      <w:r w:rsidR="006D3D3A">
        <w:rPr>
          <w:lang w:val="en-GB"/>
        </w:rPr>
        <w:t>important</w:t>
      </w:r>
      <w:r>
        <w:rPr>
          <w:lang w:val="en-GB"/>
        </w:rPr>
        <w:t xml:space="preserve"> for component sizing (buffer, heat exchanger, </w:t>
      </w:r>
      <w:r w:rsidR="00FF726C">
        <w:rPr>
          <w:lang w:val="en-GB"/>
        </w:rPr>
        <w:t>HP</w:t>
      </w:r>
      <w:r>
        <w:rPr>
          <w:lang w:val="en-GB"/>
        </w:rPr>
        <w:t>)</w:t>
      </w:r>
      <w:r w:rsidR="006D3D3A">
        <w:rPr>
          <w:lang w:val="en-GB"/>
        </w:rPr>
        <w:t xml:space="preserve"> and control optimisation</w:t>
      </w:r>
      <w:r>
        <w:rPr>
          <w:lang w:val="en-GB"/>
        </w:rPr>
        <w:t xml:space="preserve">. Furthermore, different HP heating system configurations </w:t>
      </w:r>
      <w:r w:rsidR="006D3D3A">
        <w:rPr>
          <w:lang w:val="en-GB"/>
        </w:rPr>
        <w:t xml:space="preserve">perform differently in terms of electric energy demand, but also in terms of electric peak load, which is relevant in particular in planning the electric connection for large buildings and small districts. </w:t>
      </w:r>
    </w:p>
    <w:p w14:paraId="3205EA3E" w14:textId="5960F77A" w:rsidR="00F352E6" w:rsidRDefault="006D3D3A" w:rsidP="00F43252">
      <w:pPr>
        <w:pStyle w:val="SWCText"/>
        <w:rPr>
          <w:lang w:val="en-GB"/>
        </w:rPr>
      </w:pPr>
      <w:r>
        <w:rPr>
          <w:lang w:val="en-GB"/>
        </w:rPr>
        <w:lastRenderedPageBreak/>
        <w:t>Physics-based models are required to capture the dynamic behaviour correctly. However, f</w:t>
      </w:r>
      <w:r w:rsidR="009A3FD1" w:rsidRPr="009F1346">
        <w:t>or large buildings and districts with some hundred flats, this is a challenge and computational effort is very high</w:t>
      </w:r>
      <w:r>
        <w:t xml:space="preserve">: simulation time grows </w:t>
      </w:r>
      <w:r w:rsidR="00E55117">
        <w:t>superlinear trend</w:t>
      </w:r>
      <w:r>
        <w:t xml:space="preserve"> with increasing number of flats</w:t>
      </w:r>
      <w:r w:rsidR="009A3FD1" w:rsidRPr="009F1346">
        <w:t>. Reduced order models are required.</w:t>
      </w:r>
      <w:r w:rsidR="009F1346" w:rsidRPr="009F1346">
        <w:t xml:space="preserve"> These ROM can be derived from the detailed models. </w:t>
      </w:r>
      <w:r w:rsidR="00F352E6" w:rsidRPr="009F1346">
        <w:rPr>
          <w:lang w:val="en-GB"/>
        </w:rPr>
        <w:t xml:space="preserve">Nevertheless, stochastic profiles generated with DHWcalc remain valuable for assessing the robustness of system concepts under realistic operating conditions and should complement standardized </w:t>
      </w:r>
      <w:r w:rsidR="009F1346" w:rsidRPr="009F1346">
        <w:rPr>
          <w:lang w:val="en-GB"/>
        </w:rPr>
        <w:t>profiles</w:t>
      </w:r>
      <w:r w:rsidR="00F352E6" w:rsidRPr="009F1346">
        <w:rPr>
          <w:lang w:val="en-GB"/>
        </w:rPr>
        <w:t xml:space="preserve"> in future investigations.</w:t>
      </w:r>
    </w:p>
    <w:p w14:paraId="1F0B9F94" w14:textId="7C68489F" w:rsidR="00F352E6" w:rsidRPr="00C97946" w:rsidRDefault="00F352E6" w:rsidP="00F352E6">
      <w:pPr>
        <w:pStyle w:val="SWCHeading1"/>
      </w:pPr>
      <w:bookmarkStart w:id="2" w:name="_Hlk239773925"/>
      <w:r>
        <w:t>Acknowledgements</w:t>
      </w:r>
      <w:r w:rsidRPr="00F352E6">
        <w:t xml:space="preserve"> </w:t>
      </w:r>
    </w:p>
    <w:p w14:paraId="34262C58" w14:textId="020CF1E2" w:rsidR="00F352E6" w:rsidRPr="00AA4F44" w:rsidRDefault="00F352E6" w:rsidP="00A44D3D">
      <w:pPr>
        <w:pStyle w:val="SWCText"/>
        <w:rPr>
          <w:noProof/>
        </w:rPr>
      </w:pPr>
      <w:r w:rsidRPr="00AA4F44">
        <w:rPr>
          <w:noProof/>
        </w:rPr>
        <w:t xml:space="preserve">Project 101166831 </w:t>
      </w:r>
      <w:r>
        <w:rPr>
          <w:noProof/>
        </w:rPr>
        <w:t>-</w:t>
      </w:r>
      <w:r w:rsidRPr="00AA4F44">
        <w:rPr>
          <w:noProof/>
        </w:rPr>
        <w:t xml:space="preserve"> LIFE23-CET-</w:t>
      </w:r>
      <w:r w:rsidRPr="00A44D3D">
        <w:rPr>
          <w:lang w:val="en-GB"/>
        </w:rPr>
        <w:t>KnowHowHP</w:t>
      </w:r>
      <w:r w:rsidRPr="00AA4F44">
        <w:rPr>
          <w:noProof/>
        </w:rPr>
        <w:t>, Co-funded by the European Union. Views and opinions expressed are however those of the authors only and do not necessarily reflect those of the European Union or CINEA. Neither the European Union nor CINEA can be held responsible for them.</w:t>
      </w:r>
    </w:p>
    <w:bookmarkEnd w:id="2"/>
    <w:p w14:paraId="6C842A91" w14:textId="212C9841" w:rsidR="003869E8" w:rsidRPr="00C97946" w:rsidRDefault="00D32EF0" w:rsidP="00490F10">
      <w:pPr>
        <w:pStyle w:val="SWCHeading1"/>
      </w:pPr>
      <w:r w:rsidRPr="00C97946">
        <w:rPr>
          <w:lang w:val="en-GB"/>
        </w:rPr>
        <w:t>References</w:t>
      </w:r>
      <w:r w:rsidR="004E5D79" w:rsidRPr="00C97946">
        <w:rPr>
          <w:lang w:val="en-GB"/>
        </w:rPr>
        <w:t xml:space="preserve"> </w:t>
      </w:r>
    </w:p>
    <w:p w14:paraId="2C5BB6EA" w14:textId="2648E9ED" w:rsidR="00AB3EE4" w:rsidRDefault="00AB3EE4" w:rsidP="00AB3EE4">
      <w:pPr>
        <w:pStyle w:val="SWCText"/>
        <w:rPr>
          <w:lang w:val="en-GB"/>
        </w:rPr>
      </w:pPr>
      <w:r w:rsidRPr="00AB3EE4">
        <w:rPr>
          <w:lang w:val="de-AT"/>
        </w:rPr>
        <w:t>Hedman Å.</w:t>
      </w:r>
      <w:r w:rsidR="00F352E6">
        <w:rPr>
          <w:lang w:val="de-AT"/>
        </w:rPr>
        <w:t>;</w:t>
      </w:r>
      <w:r w:rsidRPr="00AB3EE4">
        <w:rPr>
          <w:lang w:val="de-AT"/>
        </w:rPr>
        <w:t xml:space="preserve"> Rehman HU.</w:t>
      </w:r>
      <w:r w:rsidR="00F352E6">
        <w:rPr>
          <w:lang w:val="de-AT"/>
        </w:rPr>
        <w:t>;</w:t>
      </w:r>
      <w:r w:rsidRPr="00AB3EE4">
        <w:rPr>
          <w:lang w:val="de-AT"/>
        </w:rPr>
        <w:t xml:space="preserve"> Gabaldon A.</w:t>
      </w:r>
      <w:r w:rsidR="00F352E6">
        <w:rPr>
          <w:lang w:val="de-AT"/>
        </w:rPr>
        <w:t>;</w:t>
      </w:r>
      <w:r w:rsidRPr="00AB3EE4">
        <w:rPr>
          <w:lang w:val="de-AT"/>
        </w:rPr>
        <w:t xml:space="preserve"> Bisello A.</w:t>
      </w:r>
      <w:r w:rsidR="00F352E6">
        <w:rPr>
          <w:lang w:val="de-AT"/>
        </w:rPr>
        <w:t>;</w:t>
      </w:r>
      <w:r w:rsidRPr="00AB3EE4">
        <w:rPr>
          <w:lang w:val="de-AT"/>
        </w:rPr>
        <w:t xml:space="preserve"> Albert-Seifried V.</w:t>
      </w:r>
      <w:r w:rsidR="00F352E6">
        <w:rPr>
          <w:lang w:val="de-AT"/>
        </w:rPr>
        <w:t>;</w:t>
      </w:r>
      <w:r w:rsidRPr="00AB3EE4">
        <w:rPr>
          <w:lang w:val="de-AT"/>
        </w:rPr>
        <w:t xml:space="preserve"> Zhang X.</w:t>
      </w:r>
      <w:r w:rsidR="00F352E6">
        <w:rPr>
          <w:lang w:val="de-AT"/>
        </w:rPr>
        <w:t>;</w:t>
      </w:r>
      <w:r w:rsidRPr="00AB3EE4">
        <w:rPr>
          <w:lang w:val="de-AT"/>
        </w:rPr>
        <w:t xml:space="preserve"> et al.; 2021. </w:t>
      </w:r>
      <w:r w:rsidRPr="00AB3EE4">
        <w:rPr>
          <w:lang w:val="en-GB"/>
        </w:rPr>
        <w:t>IEA EBC Annex 83 Positive energy districts. Buildings 2021,11(3), 130.</w:t>
      </w:r>
    </w:p>
    <w:p w14:paraId="3DD2C8D2" w14:textId="087BA860" w:rsidR="00F352E6" w:rsidRPr="006C085B" w:rsidRDefault="00F352E6" w:rsidP="00AB3EE4">
      <w:pPr>
        <w:pStyle w:val="SWCText"/>
        <w:rPr>
          <w:lang w:val="en-GB"/>
        </w:rPr>
      </w:pPr>
      <w:r w:rsidRPr="006C085B">
        <w:rPr>
          <w:lang w:val="en-GB"/>
        </w:rPr>
        <w:t>Jordan U.; Vajen K.; DHWcalc; Proceedings of the 2005 ISES Solar World Congress, 2005.</w:t>
      </w:r>
    </w:p>
    <w:p w14:paraId="257E85BF" w14:textId="6B809BEC" w:rsidR="00F352E6" w:rsidRPr="006C085B" w:rsidRDefault="00F352E6" w:rsidP="00AB3EE4">
      <w:pPr>
        <w:pStyle w:val="SWCText"/>
        <w:rPr>
          <w:lang w:val="en-GB"/>
        </w:rPr>
      </w:pPr>
      <w:r w:rsidRPr="006C085B">
        <w:rPr>
          <w:lang w:val="en-GB"/>
        </w:rPr>
        <w:t>Lämmle M.; Metz J.; Kropp M.; Wapler J; Oltersdorf T.; Günter D.; Herkel S..; Bongs C.; Heat Pump Systems in Existing Multifamily Buildings: A Meta-Analysis of Field Measurement Data Focusing on the Relationship of Temperature and Performance of Heat Pump Systems, Energy Technology, 2023, doi: 10.1002/ente.202300379.</w:t>
      </w:r>
    </w:p>
    <w:p w14:paraId="07A98DCF" w14:textId="58841725" w:rsidR="00F352E6" w:rsidRPr="006C085B" w:rsidRDefault="00F352E6" w:rsidP="00AB3EE4">
      <w:pPr>
        <w:pStyle w:val="SWCText"/>
        <w:rPr>
          <w:lang w:val="en-GB"/>
        </w:rPr>
      </w:pPr>
      <w:r w:rsidRPr="006C085B">
        <w:rPr>
          <w:lang w:val="en-GB"/>
        </w:rPr>
        <w:t>Kropp M.; Lämmle M.; Herkel S.; Henning H. M.; Velte-Schäfer A.; Enhancing heat pump performance for domestic hot water preparation: A comparative analysis in existing multi-family houses, Energy and Buildings, 2025, doi: 10.1016/j.enbuild.2024.115155.</w:t>
      </w:r>
    </w:p>
    <w:p w14:paraId="2856C345" w14:textId="0EC48F26" w:rsidR="00F352E6" w:rsidRPr="00A44D3D" w:rsidRDefault="00F352E6" w:rsidP="00AB3EE4">
      <w:pPr>
        <w:pStyle w:val="SWCText"/>
        <w:rPr>
          <w:lang w:val="de-AT"/>
        </w:rPr>
      </w:pPr>
      <w:r w:rsidRPr="00A44D3D">
        <w:rPr>
          <w:lang w:val="de-AT"/>
        </w:rPr>
        <w:t>Jähnig D.; Male M.; Ochs F.; Sanierung mit Wärmepumpen in Mehrfamilienhäusern – eine Simulationsstudie, Intelligente Energie- und Klimastrategien Energie-Gebäude-Umwelt, Pinkafeld: Hochschule Burgenland, 2025, p. 350.</w:t>
      </w:r>
    </w:p>
    <w:p w14:paraId="0335437C" w14:textId="263AEE40" w:rsidR="00AB3EE4" w:rsidRPr="006C085B" w:rsidRDefault="00AB3EE4" w:rsidP="00AB3EE4">
      <w:pPr>
        <w:pStyle w:val="SWCText"/>
        <w:rPr>
          <w:lang w:val="en-GB"/>
        </w:rPr>
      </w:pPr>
      <w:r w:rsidRPr="00F352E6">
        <w:rPr>
          <w:lang w:val="de-AT"/>
        </w:rPr>
        <w:t xml:space="preserve">Lindholm, O.; Rehman, H.U.; Reda, F.; 2021. </w:t>
      </w:r>
      <w:r w:rsidRPr="006C085B">
        <w:rPr>
          <w:lang w:val="en-GB"/>
        </w:rPr>
        <w:t>Positioning positive energy districts in Euro-pean cities. Buildings 2021, 11(1), 19; https://doi.org/10.3390/buildings11010019</w:t>
      </w:r>
    </w:p>
    <w:p w14:paraId="1442D7BA" w14:textId="29A971ED" w:rsidR="0020398C" w:rsidRPr="006C085B" w:rsidRDefault="0020398C" w:rsidP="0020398C">
      <w:pPr>
        <w:pStyle w:val="SWCText"/>
        <w:rPr>
          <w:lang w:val="en-GB"/>
        </w:rPr>
      </w:pPr>
      <w:r w:rsidRPr="006C085B">
        <w:rPr>
          <w:lang w:val="en-GB"/>
        </w:rPr>
        <w:t>Ochs, F.; Tosatto, A.; Venturi, E.; Breuss, S.; Magni, M.; Dermentzis, G.; Wemhöner, C.; 2024. Characteristic Load Curves of Positive Energy Districts, Solar Energy Advances, Elsevier; https://doi.org/10.1016/j.seja.2024.100081</w:t>
      </w:r>
    </w:p>
    <w:p w14:paraId="4EBAD955" w14:textId="1D66F87B" w:rsidR="0020398C" w:rsidRPr="006C085B" w:rsidRDefault="0020398C" w:rsidP="0020398C">
      <w:pPr>
        <w:pStyle w:val="SWCText"/>
        <w:rPr>
          <w:lang w:val="en-GB"/>
        </w:rPr>
      </w:pPr>
      <w:r w:rsidRPr="0020398C">
        <w:rPr>
          <w:lang w:val="de-AT"/>
        </w:rPr>
        <w:t xml:space="preserve">Ochs, F.; Magni., M; Dermentzis, G.; 2022. </w:t>
      </w:r>
      <w:r w:rsidRPr="006C085B">
        <w:rPr>
          <w:lang w:val="en-GB"/>
        </w:rPr>
        <w:t>Integration of heat pumps in buildings and district heating systems-Evaluation on a building and energy system level; Energies 15 (11), 3889; https://doi.org/10.3390/en15113889</w:t>
      </w:r>
    </w:p>
    <w:p w14:paraId="6EF80388" w14:textId="202FB52B" w:rsidR="00AB3EE4" w:rsidRPr="006C085B" w:rsidRDefault="00AB3EE4" w:rsidP="00AB3EE4">
      <w:pPr>
        <w:pStyle w:val="SWCText"/>
        <w:rPr>
          <w:lang w:val="en-GB"/>
        </w:rPr>
      </w:pPr>
      <w:r w:rsidRPr="006C085B">
        <w:rPr>
          <w:lang w:val="en-GB"/>
        </w:rPr>
        <w:t>Ochs F.; Venturi, E.; Breuss, S.; Bockelmann, F.; Wemhoener, C.; 2025; Towards Positive Energy Districts Heat Pump System Topology Design Guidelines, ISEC 2026</w:t>
      </w:r>
      <w:r w:rsidR="00C633F9" w:rsidRPr="006C085B">
        <w:rPr>
          <w:lang w:val="en-GB"/>
        </w:rPr>
        <w:t>, Graz.</w:t>
      </w:r>
    </w:p>
    <w:p w14:paraId="036968E7" w14:textId="211F8023" w:rsidR="00A44D3D" w:rsidRPr="006C085B" w:rsidRDefault="00A44D3D" w:rsidP="00AB3EE4">
      <w:pPr>
        <w:pStyle w:val="SWCText"/>
        <w:rPr>
          <w:lang w:val="en-GB"/>
        </w:rPr>
      </w:pPr>
      <w:r w:rsidRPr="006C085B">
        <w:rPr>
          <w:lang w:val="en-GB"/>
        </w:rPr>
        <w:t>Ochs F.; Venturi E.; Magni M.; Breuss S.; Monteleone W.; Dermentzis G.; Simulation-based heat pump system design and optimization for multi-apartment buildings, in 15th IEA Heat Pump Conference, Vienna, 2026.</w:t>
      </w:r>
    </w:p>
    <w:p w14:paraId="391416C7" w14:textId="00DC2E2F" w:rsidR="009A3FD1" w:rsidRPr="006C085B" w:rsidRDefault="009A3FD1" w:rsidP="00AB3EE4">
      <w:pPr>
        <w:pStyle w:val="SWCText"/>
        <w:rPr>
          <w:lang w:val="en-GB"/>
        </w:rPr>
      </w:pPr>
      <w:r w:rsidRPr="006C085B">
        <w:rPr>
          <w:lang w:val="en-GB"/>
        </w:rPr>
        <w:t xml:space="preserve">Ochs F.; </w:t>
      </w:r>
      <w:r w:rsidR="00C633F9" w:rsidRPr="006C085B">
        <w:rPr>
          <w:lang w:val="en-GB"/>
        </w:rPr>
        <w:t xml:space="preserve">Venturi, E.; Breuss, S.; Monteleone. W., Simulation-based optimization of Centralized and Decentralized Heat Pump Systems for Domestic Hot Water Preparation in Multi-Apartment Buildings, </w:t>
      </w:r>
      <w:r w:rsidRPr="006C085B">
        <w:rPr>
          <w:lang w:val="en-GB"/>
        </w:rPr>
        <w:t>NSB 2026</w:t>
      </w:r>
      <w:r w:rsidR="00C633F9" w:rsidRPr="006C085B">
        <w:rPr>
          <w:lang w:val="en-GB"/>
        </w:rPr>
        <w:t>. Tampere.</w:t>
      </w:r>
    </w:p>
    <w:p w14:paraId="3F470AB9" w14:textId="3D63AF5D" w:rsidR="00EC4CD5" w:rsidRPr="006C085B" w:rsidRDefault="00EC4CD5" w:rsidP="00EC4CD5">
      <w:pPr>
        <w:pStyle w:val="SWCText"/>
        <w:rPr>
          <w:lang w:val="en-GB"/>
        </w:rPr>
      </w:pPr>
      <w:r w:rsidRPr="00EC4CD5">
        <w:rPr>
          <w:lang w:val="en-GB"/>
        </w:rPr>
        <w:t>Pomianowski, M.Z.</w:t>
      </w:r>
      <w:r>
        <w:rPr>
          <w:lang w:val="en-GB"/>
        </w:rPr>
        <w:t>;</w:t>
      </w:r>
      <w:r w:rsidRPr="00EC4CD5">
        <w:rPr>
          <w:lang w:val="en-GB"/>
        </w:rPr>
        <w:t xml:space="preserve"> Johra, H.</w:t>
      </w:r>
      <w:r>
        <w:rPr>
          <w:lang w:val="en-GB"/>
        </w:rPr>
        <w:t>;</w:t>
      </w:r>
      <w:r w:rsidRPr="00EC4CD5">
        <w:rPr>
          <w:lang w:val="en-GB"/>
        </w:rPr>
        <w:t xml:space="preserve"> Marszal-Pomianowska, A. Zhang, C.</w:t>
      </w:r>
      <w:r>
        <w:rPr>
          <w:lang w:val="en-GB"/>
        </w:rPr>
        <w:t xml:space="preserve">; </w:t>
      </w:r>
      <w:r w:rsidRPr="00EC4CD5">
        <w:rPr>
          <w:lang w:val="en-GB"/>
        </w:rPr>
        <w:t>Sustainable and energy-efficient domestic hot water systems: A review,</w:t>
      </w:r>
      <w:r>
        <w:rPr>
          <w:lang w:val="en-GB"/>
        </w:rPr>
        <w:t xml:space="preserve"> </w:t>
      </w:r>
      <w:r w:rsidRPr="00EC4CD5">
        <w:rPr>
          <w:lang w:val="en-GB"/>
        </w:rPr>
        <w:t>Renewable and Sustainable Energy Reviews,</w:t>
      </w:r>
      <w:r>
        <w:rPr>
          <w:lang w:val="en-GB"/>
        </w:rPr>
        <w:t xml:space="preserve"> 2020. </w:t>
      </w:r>
      <w:r w:rsidRPr="00EC4CD5">
        <w:rPr>
          <w:lang w:val="en-GB"/>
        </w:rPr>
        <w:t>https://doi.org/10.1016/j.rser.2020.109900.</w:t>
      </w:r>
    </w:p>
    <w:p w14:paraId="15F42B2E" w14:textId="67ED807C" w:rsidR="0020398C" w:rsidRPr="006C085B" w:rsidRDefault="0020398C" w:rsidP="00A44D3D">
      <w:pPr>
        <w:pStyle w:val="SWCText"/>
        <w:rPr>
          <w:lang w:val="en-GB"/>
        </w:rPr>
      </w:pPr>
      <w:r w:rsidRPr="00EC4CD5">
        <w:rPr>
          <w:lang w:val="de-AT"/>
        </w:rPr>
        <w:t xml:space="preserve">Venturi, E.; Ochs, F.; Magni, M.; Dermentzis, G.; 2024. </w:t>
      </w:r>
      <w:r w:rsidRPr="006C085B">
        <w:rPr>
          <w:lang w:val="en-GB"/>
        </w:rPr>
        <w:t>EuroSun</w:t>
      </w:r>
      <w:r w:rsidR="0051478B" w:rsidRPr="006C085B">
        <w:rPr>
          <w:lang w:val="en-GB"/>
        </w:rPr>
        <w:t xml:space="preserve"> 2024</w:t>
      </w:r>
      <w:r w:rsidRPr="006C085B">
        <w:rPr>
          <w:lang w:val="en-GB"/>
        </w:rPr>
        <w:t>, Evaluation of positive energy districts with district heating and heat pumps. ISES and IEA SHC Int. Conference on Sustainable and Solar Energy for Buildings and Industry.</w:t>
      </w:r>
    </w:p>
    <w:p w14:paraId="51BF0439" w14:textId="678BFC53" w:rsidR="00EC4CD5" w:rsidRDefault="000A04F8" w:rsidP="00A44D3D">
      <w:pPr>
        <w:pStyle w:val="SWCText"/>
        <w:rPr>
          <w:lang w:val="en-GB"/>
        </w:rPr>
      </w:pPr>
      <w:r w:rsidRPr="006C085B">
        <w:rPr>
          <w:lang w:val="en-GB"/>
        </w:rPr>
        <w:t xml:space="preserve">Venturi, E.; Ochs, F.; Magni, M.; Dermentzis, G.; </w:t>
      </w:r>
      <w:r w:rsidR="008A7316" w:rsidRPr="006C085B">
        <w:rPr>
          <w:lang w:val="en-GB"/>
        </w:rPr>
        <w:t>Complex Hydronic Systems in Multi-Apartment Buildings: Modelling Approaches and Dynamic Simulations, Journal of Building Performance Simulation, 2026</w:t>
      </w:r>
      <w:r w:rsidR="0051478B" w:rsidRPr="006C085B">
        <w:rPr>
          <w:lang w:val="en-GB"/>
        </w:rPr>
        <w:t>.</w:t>
      </w:r>
      <w:r w:rsidR="00553105" w:rsidRPr="006C085B">
        <w:rPr>
          <w:lang w:val="en-GB"/>
        </w:rPr>
        <w:t xml:space="preserve"> </w:t>
      </w:r>
      <w:r w:rsidR="00EC4CD5" w:rsidRPr="00EC4CD5">
        <w:rPr>
          <w:lang w:val="en-GB"/>
        </w:rPr>
        <w:t>https://doi.org/10.1080/19401493.2026.262815</w:t>
      </w:r>
    </w:p>
    <w:sectPr w:rsidR="00EC4CD5" w:rsidSect="00F43252">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58ED1" w14:textId="77777777" w:rsidR="00A811A2" w:rsidRDefault="00A811A2">
      <w:r>
        <w:separator/>
      </w:r>
    </w:p>
  </w:endnote>
  <w:endnote w:type="continuationSeparator" w:id="0">
    <w:p w14:paraId="6CEA7962" w14:textId="77777777" w:rsidR="00A811A2" w:rsidRDefault="00A81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162F8" w14:textId="77777777" w:rsidR="00A811A2" w:rsidRDefault="00A811A2">
      <w:r>
        <w:separator/>
      </w:r>
    </w:p>
  </w:footnote>
  <w:footnote w:type="continuationSeparator" w:id="0">
    <w:p w14:paraId="5D388F64" w14:textId="77777777" w:rsidR="00A811A2" w:rsidRDefault="00A811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13472C8"/>
    <w:multiLevelType w:val="hybridMultilevel"/>
    <w:tmpl w:val="2A1E3314"/>
    <w:lvl w:ilvl="0" w:tplc="ED3E1E00">
      <w:start w:val="2"/>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85CECB3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4"/>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3"/>
  </w:num>
  <w:num w:numId="17" w16cid:durableId="569772207">
    <w:abstractNumId w:val="17"/>
  </w:num>
  <w:num w:numId="18" w16cid:durableId="1080835087">
    <w:abstractNumId w:val="21"/>
  </w:num>
  <w:num w:numId="19" w16cid:durableId="1514802717">
    <w:abstractNumId w:val="9"/>
  </w:num>
  <w:num w:numId="20" w16cid:durableId="1328480391">
    <w:abstractNumId w:val="8"/>
  </w:num>
  <w:num w:numId="21" w16cid:durableId="1166094805">
    <w:abstractNumId w:val="12"/>
  </w:num>
  <w:num w:numId="22" w16cid:durableId="679743871">
    <w:abstractNumId w:val="20"/>
  </w:num>
  <w:num w:numId="23" w16cid:durableId="612976666">
    <w:abstractNumId w:val="15"/>
  </w:num>
  <w:num w:numId="24" w16cid:durableId="7829984">
    <w:abstractNumId w:val="22"/>
  </w:num>
  <w:num w:numId="25" w16cid:durableId="584531115">
    <w:abstractNumId w:val="19"/>
    <w:lvlOverride w:ilvl="0">
      <w:startOverride w:val="1"/>
    </w:lvlOverride>
  </w:num>
  <w:num w:numId="26" w16cid:durableId="554201958">
    <w:abstractNumId w:val="19"/>
    <w:lvlOverride w:ilvl="0">
      <w:startOverride w:val="1"/>
    </w:lvlOverride>
  </w:num>
  <w:num w:numId="27" w16cid:durableId="15956747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67A4"/>
    <w:rsid w:val="000170DB"/>
    <w:rsid w:val="00030A2C"/>
    <w:rsid w:val="00035B2D"/>
    <w:rsid w:val="0004235D"/>
    <w:rsid w:val="000533E4"/>
    <w:rsid w:val="000534F5"/>
    <w:rsid w:val="00053E02"/>
    <w:rsid w:val="00054035"/>
    <w:rsid w:val="00055DB9"/>
    <w:rsid w:val="00057B5E"/>
    <w:rsid w:val="00066B26"/>
    <w:rsid w:val="00067030"/>
    <w:rsid w:val="000678AC"/>
    <w:rsid w:val="000712A1"/>
    <w:rsid w:val="00074DBF"/>
    <w:rsid w:val="00092ED5"/>
    <w:rsid w:val="000A04F8"/>
    <w:rsid w:val="000A0ADB"/>
    <w:rsid w:val="000A115A"/>
    <w:rsid w:val="000A30A5"/>
    <w:rsid w:val="000A36B5"/>
    <w:rsid w:val="000A3C17"/>
    <w:rsid w:val="000A52A1"/>
    <w:rsid w:val="000B04BE"/>
    <w:rsid w:val="000B1F4D"/>
    <w:rsid w:val="000C1DF3"/>
    <w:rsid w:val="000C2344"/>
    <w:rsid w:val="000D262A"/>
    <w:rsid w:val="000D6800"/>
    <w:rsid w:val="000D6E1A"/>
    <w:rsid w:val="000E0A96"/>
    <w:rsid w:val="000E1855"/>
    <w:rsid w:val="000F312E"/>
    <w:rsid w:val="000F368F"/>
    <w:rsid w:val="000F739B"/>
    <w:rsid w:val="0010501A"/>
    <w:rsid w:val="00110FC4"/>
    <w:rsid w:val="001231A3"/>
    <w:rsid w:val="00126DDD"/>
    <w:rsid w:val="0015090D"/>
    <w:rsid w:val="00155FB8"/>
    <w:rsid w:val="00156744"/>
    <w:rsid w:val="00157CE5"/>
    <w:rsid w:val="001631CE"/>
    <w:rsid w:val="001647D2"/>
    <w:rsid w:val="00166C42"/>
    <w:rsid w:val="00176EF6"/>
    <w:rsid w:val="00181A06"/>
    <w:rsid w:val="001823BC"/>
    <w:rsid w:val="00183AA1"/>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398C"/>
    <w:rsid w:val="00205626"/>
    <w:rsid w:val="00206116"/>
    <w:rsid w:val="00212628"/>
    <w:rsid w:val="002221BE"/>
    <w:rsid w:val="0022299B"/>
    <w:rsid w:val="00224480"/>
    <w:rsid w:val="00225510"/>
    <w:rsid w:val="00225724"/>
    <w:rsid w:val="00226EDC"/>
    <w:rsid w:val="00237F34"/>
    <w:rsid w:val="00243214"/>
    <w:rsid w:val="00260299"/>
    <w:rsid w:val="002647A0"/>
    <w:rsid w:val="00266E47"/>
    <w:rsid w:val="00270E75"/>
    <w:rsid w:val="0027288C"/>
    <w:rsid w:val="00273341"/>
    <w:rsid w:val="00290F25"/>
    <w:rsid w:val="002972D1"/>
    <w:rsid w:val="002A04A9"/>
    <w:rsid w:val="002A39BB"/>
    <w:rsid w:val="002B3C79"/>
    <w:rsid w:val="002B417A"/>
    <w:rsid w:val="002C089D"/>
    <w:rsid w:val="002C68AD"/>
    <w:rsid w:val="002D322C"/>
    <w:rsid w:val="002D4864"/>
    <w:rsid w:val="002E583E"/>
    <w:rsid w:val="002E5D62"/>
    <w:rsid w:val="002F1386"/>
    <w:rsid w:val="002F5B0F"/>
    <w:rsid w:val="002F668B"/>
    <w:rsid w:val="002F6B87"/>
    <w:rsid w:val="002F6D6C"/>
    <w:rsid w:val="00303345"/>
    <w:rsid w:val="003121A1"/>
    <w:rsid w:val="00320259"/>
    <w:rsid w:val="00326FDA"/>
    <w:rsid w:val="003357AC"/>
    <w:rsid w:val="00344302"/>
    <w:rsid w:val="003506A1"/>
    <w:rsid w:val="0035638A"/>
    <w:rsid w:val="003605B9"/>
    <w:rsid w:val="00362122"/>
    <w:rsid w:val="00364A52"/>
    <w:rsid w:val="00365A82"/>
    <w:rsid w:val="00373F97"/>
    <w:rsid w:val="00374216"/>
    <w:rsid w:val="0038545D"/>
    <w:rsid w:val="003869E8"/>
    <w:rsid w:val="00391288"/>
    <w:rsid w:val="00393FEC"/>
    <w:rsid w:val="00395E5A"/>
    <w:rsid w:val="0039742D"/>
    <w:rsid w:val="003A3A38"/>
    <w:rsid w:val="003A7DB9"/>
    <w:rsid w:val="003B086C"/>
    <w:rsid w:val="003B2055"/>
    <w:rsid w:val="003C0806"/>
    <w:rsid w:val="003C18DE"/>
    <w:rsid w:val="003C1B31"/>
    <w:rsid w:val="003C2B1A"/>
    <w:rsid w:val="003C39C6"/>
    <w:rsid w:val="003D0C22"/>
    <w:rsid w:val="003D5232"/>
    <w:rsid w:val="003D6F2B"/>
    <w:rsid w:val="003E1E1C"/>
    <w:rsid w:val="003E4BB0"/>
    <w:rsid w:val="003F0403"/>
    <w:rsid w:val="003F5B99"/>
    <w:rsid w:val="004019FD"/>
    <w:rsid w:val="00403E6A"/>
    <w:rsid w:val="004053B5"/>
    <w:rsid w:val="0040615A"/>
    <w:rsid w:val="00406CF8"/>
    <w:rsid w:val="00411E29"/>
    <w:rsid w:val="0042033E"/>
    <w:rsid w:val="00431356"/>
    <w:rsid w:val="004357AD"/>
    <w:rsid w:val="004379E4"/>
    <w:rsid w:val="00453296"/>
    <w:rsid w:val="00454AFF"/>
    <w:rsid w:val="00460231"/>
    <w:rsid w:val="00467394"/>
    <w:rsid w:val="00467DFD"/>
    <w:rsid w:val="00476879"/>
    <w:rsid w:val="004818B1"/>
    <w:rsid w:val="00481F43"/>
    <w:rsid w:val="00490F10"/>
    <w:rsid w:val="00493C81"/>
    <w:rsid w:val="00494006"/>
    <w:rsid w:val="004974E9"/>
    <w:rsid w:val="004A1A25"/>
    <w:rsid w:val="004A3506"/>
    <w:rsid w:val="004A364A"/>
    <w:rsid w:val="004C29C6"/>
    <w:rsid w:val="004C39AD"/>
    <w:rsid w:val="004C4EE9"/>
    <w:rsid w:val="004E5D79"/>
    <w:rsid w:val="004E7B7C"/>
    <w:rsid w:val="004F4904"/>
    <w:rsid w:val="004F5FF9"/>
    <w:rsid w:val="00500640"/>
    <w:rsid w:val="00500D7D"/>
    <w:rsid w:val="005067AC"/>
    <w:rsid w:val="0051478B"/>
    <w:rsid w:val="00514890"/>
    <w:rsid w:val="0051584D"/>
    <w:rsid w:val="00524061"/>
    <w:rsid w:val="00532138"/>
    <w:rsid w:val="0053532A"/>
    <w:rsid w:val="005404F1"/>
    <w:rsid w:val="00550776"/>
    <w:rsid w:val="005516AF"/>
    <w:rsid w:val="00553105"/>
    <w:rsid w:val="00554A81"/>
    <w:rsid w:val="00556004"/>
    <w:rsid w:val="00560FFC"/>
    <w:rsid w:val="00566460"/>
    <w:rsid w:val="0057075C"/>
    <w:rsid w:val="005721F8"/>
    <w:rsid w:val="00573ABC"/>
    <w:rsid w:val="005836C7"/>
    <w:rsid w:val="00583A26"/>
    <w:rsid w:val="00584786"/>
    <w:rsid w:val="005B3E86"/>
    <w:rsid w:val="005B6F55"/>
    <w:rsid w:val="005C5B8E"/>
    <w:rsid w:val="005D5CF6"/>
    <w:rsid w:val="005E04EA"/>
    <w:rsid w:val="005E0D7D"/>
    <w:rsid w:val="005E7208"/>
    <w:rsid w:val="005F38EB"/>
    <w:rsid w:val="005F4884"/>
    <w:rsid w:val="005F6CE7"/>
    <w:rsid w:val="00607C4E"/>
    <w:rsid w:val="00613AF9"/>
    <w:rsid w:val="0061732F"/>
    <w:rsid w:val="0062257E"/>
    <w:rsid w:val="00625BC2"/>
    <w:rsid w:val="00627E34"/>
    <w:rsid w:val="006309AA"/>
    <w:rsid w:val="00633473"/>
    <w:rsid w:val="006379BD"/>
    <w:rsid w:val="0064403B"/>
    <w:rsid w:val="006500EC"/>
    <w:rsid w:val="00652071"/>
    <w:rsid w:val="00653551"/>
    <w:rsid w:val="006542C1"/>
    <w:rsid w:val="0065563B"/>
    <w:rsid w:val="00665441"/>
    <w:rsid w:val="00665471"/>
    <w:rsid w:val="006722C6"/>
    <w:rsid w:val="00692D7F"/>
    <w:rsid w:val="006A0AE2"/>
    <w:rsid w:val="006A2F10"/>
    <w:rsid w:val="006A5EF8"/>
    <w:rsid w:val="006A77D0"/>
    <w:rsid w:val="006B4C9F"/>
    <w:rsid w:val="006C085B"/>
    <w:rsid w:val="006C71CF"/>
    <w:rsid w:val="006C756C"/>
    <w:rsid w:val="006D3D3A"/>
    <w:rsid w:val="006D4A96"/>
    <w:rsid w:val="006D5EBE"/>
    <w:rsid w:val="006D7621"/>
    <w:rsid w:val="006F1E32"/>
    <w:rsid w:val="006F5B85"/>
    <w:rsid w:val="00702AE0"/>
    <w:rsid w:val="007174DA"/>
    <w:rsid w:val="00725ED2"/>
    <w:rsid w:val="00726CF1"/>
    <w:rsid w:val="00741C9F"/>
    <w:rsid w:val="007535ED"/>
    <w:rsid w:val="0075406E"/>
    <w:rsid w:val="00754E81"/>
    <w:rsid w:val="00756702"/>
    <w:rsid w:val="00762EA3"/>
    <w:rsid w:val="0076522C"/>
    <w:rsid w:val="00766B28"/>
    <w:rsid w:val="007763CB"/>
    <w:rsid w:val="00776659"/>
    <w:rsid w:val="007804A7"/>
    <w:rsid w:val="007908F6"/>
    <w:rsid w:val="00792B80"/>
    <w:rsid w:val="007954D9"/>
    <w:rsid w:val="007A7952"/>
    <w:rsid w:val="007B0BDB"/>
    <w:rsid w:val="007B33DF"/>
    <w:rsid w:val="007C1632"/>
    <w:rsid w:val="007C2E8B"/>
    <w:rsid w:val="007C3063"/>
    <w:rsid w:val="007C36EF"/>
    <w:rsid w:val="007C6BDE"/>
    <w:rsid w:val="007C7053"/>
    <w:rsid w:val="007D0678"/>
    <w:rsid w:val="007D0B29"/>
    <w:rsid w:val="007D1C2C"/>
    <w:rsid w:val="007E7634"/>
    <w:rsid w:val="007F5460"/>
    <w:rsid w:val="007F795B"/>
    <w:rsid w:val="00800E25"/>
    <w:rsid w:val="00801634"/>
    <w:rsid w:val="0080537B"/>
    <w:rsid w:val="008072A5"/>
    <w:rsid w:val="008219CF"/>
    <w:rsid w:val="00821A4F"/>
    <w:rsid w:val="00834062"/>
    <w:rsid w:val="00834767"/>
    <w:rsid w:val="00837104"/>
    <w:rsid w:val="00840E8F"/>
    <w:rsid w:val="0084100F"/>
    <w:rsid w:val="00845AE3"/>
    <w:rsid w:val="0086503F"/>
    <w:rsid w:val="0087730A"/>
    <w:rsid w:val="00893500"/>
    <w:rsid w:val="008A10B7"/>
    <w:rsid w:val="008A2800"/>
    <w:rsid w:val="008A7316"/>
    <w:rsid w:val="008B618F"/>
    <w:rsid w:val="008D3FFC"/>
    <w:rsid w:val="008D44C5"/>
    <w:rsid w:val="008D52A3"/>
    <w:rsid w:val="008D7E85"/>
    <w:rsid w:val="008E19FF"/>
    <w:rsid w:val="008E53FF"/>
    <w:rsid w:val="008F249D"/>
    <w:rsid w:val="008F54F8"/>
    <w:rsid w:val="009011AA"/>
    <w:rsid w:val="00906CC3"/>
    <w:rsid w:val="0091628A"/>
    <w:rsid w:val="00917D56"/>
    <w:rsid w:val="00931C9D"/>
    <w:rsid w:val="0093257B"/>
    <w:rsid w:val="00933A00"/>
    <w:rsid w:val="00933BFD"/>
    <w:rsid w:val="00934A01"/>
    <w:rsid w:val="00936C27"/>
    <w:rsid w:val="00941691"/>
    <w:rsid w:val="00942AED"/>
    <w:rsid w:val="00944E25"/>
    <w:rsid w:val="00953F15"/>
    <w:rsid w:val="0096191A"/>
    <w:rsid w:val="009642AB"/>
    <w:rsid w:val="00982BCB"/>
    <w:rsid w:val="00991C81"/>
    <w:rsid w:val="00993F03"/>
    <w:rsid w:val="00993F06"/>
    <w:rsid w:val="0099435F"/>
    <w:rsid w:val="00996BC5"/>
    <w:rsid w:val="009A3FD1"/>
    <w:rsid w:val="009A6D34"/>
    <w:rsid w:val="009B1EAE"/>
    <w:rsid w:val="009B4816"/>
    <w:rsid w:val="009C1BA8"/>
    <w:rsid w:val="009C2D0D"/>
    <w:rsid w:val="009C3492"/>
    <w:rsid w:val="009C49C6"/>
    <w:rsid w:val="009C5AA4"/>
    <w:rsid w:val="009D02D4"/>
    <w:rsid w:val="009D60E3"/>
    <w:rsid w:val="009E0D67"/>
    <w:rsid w:val="009E4985"/>
    <w:rsid w:val="009E702E"/>
    <w:rsid w:val="009F1346"/>
    <w:rsid w:val="009F16C5"/>
    <w:rsid w:val="009F17AC"/>
    <w:rsid w:val="009F3C35"/>
    <w:rsid w:val="009F3E11"/>
    <w:rsid w:val="009F6AF8"/>
    <w:rsid w:val="009F6E78"/>
    <w:rsid w:val="009F7C7E"/>
    <w:rsid w:val="00A01148"/>
    <w:rsid w:val="00A14DB7"/>
    <w:rsid w:val="00A31DC5"/>
    <w:rsid w:val="00A40C05"/>
    <w:rsid w:val="00A40C81"/>
    <w:rsid w:val="00A436CD"/>
    <w:rsid w:val="00A44D3D"/>
    <w:rsid w:val="00A5180B"/>
    <w:rsid w:val="00A53064"/>
    <w:rsid w:val="00A53815"/>
    <w:rsid w:val="00A55E36"/>
    <w:rsid w:val="00A631BD"/>
    <w:rsid w:val="00A6457C"/>
    <w:rsid w:val="00A74198"/>
    <w:rsid w:val="00A811A2"/>
    <w:rsid w:val="00A8757B"/>
    <w:rsid w:val="00A9083F"/>
    <w:rsid w:val="00A92044"/>
    <w:rsid w:val="00A9362F"/>
    <w:rsid w:val="00A95F2E"/>
    <w:rsid w:val="00A9727D"/>
    <w:rsid w:val="00AA16B9"/>
    <w:rsid w:val="00AA41B5"/>
    <w:rsid w:val="00AA47DC"/>
    <w:rsid w:val="00AB3EE4"/>
    <w:rsid w:val="00AB624E"/>
    <w:rsid w:val="00AC2C09"/>
    <w:rsid w:val="00AC6B6F"/>
    <w:rsid w:val="00AE11FC"/>
    <w:rsid w:val="00AE6354"/>
    <w:rsid w:val="00AF15AF"/>
    <w:rsid w:val="00AF2865"/>
    <w:rsid w:val="00AF6EB4"/>
    <w:rsid w:val="00B01141"/>
    <w:rsid w:val="00B02E33"/>
    <w:rsid w:val="00B04CF2"/>
    <w:rsid w:val="00B06C68"/>
    <w:rsid w:val="00B1717D"/>
    <w:rsid w:val="00B17AC1"/>
    <w:rsid w:val="00B214A1"/>
    <w:rsid w:val="00B22D5C"/>
    <w:rsid w:val="00B23C18"/>
    <w:rsid w:val="00B2536B"/>
    <w:rsid w:val="00B263F0"/>
    <w:rsid w:val="00B2716E"/>
    <w:rsid w:val="00B32703"/>
    <w:rsid w:val="00B32B57"/>
    <w:rsid w:val="00B4578B"/>
    <w:rsid w:val="00B50076"/>
    <w:rsid w:val="00B50325"/>
    <w:rsid w:val="00B54313"/>
    <w:rsid w:val="00B55CC9"/>
    <w:rsid w:val="00B56393"/>
    <w:rsid w:val="00B60B5F"/>
    <w:rsid w:val="00B6496F"/>
    <w:rsid w:val="00B702D4"/>
    <w:rsid w:val="00B8064D"/>
    <w:rsid w:val="00B809AF"/>
    <w:rsid w:val="00B80F06"/>
    <w:rsid w:val="00B827C6"/>
    <w:rsid w:val="00B84CEB"/>
    <w:rsid w:val="00B93F09"/>
    <w:rsid w:val="00BA50FB"/>
    <w:rsid w:val="00BB1390"/>
    <w:rsid w:val="00BC738E"/>
    <w:rsid w:val="00BD0576"/>
    <w:rsid w:val="00BD1601"/>
    <w:rsid w:val="00BE5028"/>
    <w:rsid w:val="00BE50D0"/>
    <w:rsid w:val="00BF16FE"/>
    <w:rsid w:val="00C01213"/>
    <w:rsid w:val="00C012F5"/>
    <w:rsid w:val="00C068BC"/>
    <w:rsid w:val="00C17081"/>
    <w:rsid w:val="00C20A85"/>
    <w:rsid w:val="00C27FD4"/>
    <w:rsid w:val="00C331B0"/>
    <w:rsid w:val="00C3638E"/>
    <w:rsid w:val="00C365E2"/>
    <w:rsid w:val="00C44EFB"/>
    <w:rsid w:val="00C51CD1"/>
    <w:rsid w:val="00C55264"/>
    <w:rsid w:val="00C577E0"/>
    <w:rsid w:val="00C61375"/>
    <w:rsid w:val="00C633F9"/>
    <w:rsid w:val="00C6695C"/>
    <w:rsid w:val="00C676AB"/>
    <w:rsid w:val="00C86779"/>
    <w:rsid w:val="00C97946"/>
    <w:rsid w:val="00CA4F91"/>
    <w:rsid w:val="00CA7ABB"/>
    <w:rsid w:val="00CB12D1"/>
    <w:rsid w:val="00CB3EAB"/>
    <w:rsid w:val="00CB57E5"/>
    <w:rsid w:val="00CB7EE8"/>
    <w:rsid w:val="00CC0BDA"/>
    <w:rsid w:val="00CC3B0C"/>
    <w:rsid w:val="00CC4714"/>
    <w:rsid w:val="00CD4EFC"/>
    <w:rsid w:val="00CE432C"/>
    <w:rsid w:val="00CE6DBB"/>
    <w:rsid w:val="00D028D8"/>
    <w:rsid w:val="00D0520C"/>
    <w:rsid w:val="00D14555"/>
    <w:rsid w:val="00D17DCC"/>
    <w:rsid w:val="00D30BDB"/>
    <w:rsid w:val="00D31359"/>
    <w:rsid w:val="00D32EF0"/>
    <w:rsid w:val="00D34665"/>
    <w:rsid w:val="00D35E52"/>
    <w:rsid w:val="00D36FA6"/>
    <w:rsid w:val="00D41E9A"/>
    <w:rsid w:val="00D53F31"/>
    <w:rsid w:val="00D5584D"/>
    <w:rsid w:val="00D62269"/>
    <w:rsid w:val="00D62EDC"/>
    <w:rsid w:val="00D63D44"/>
    <w:rsid w:val="00D720D1"/>
    <w:rsid w:val="00D75034"/>
    <w:rsid w:val="00D831CE"/>
    <w:rsid w:val="00D907C0"/>
    <w:rsid w:val="00D976DC"/>
    <w:rsid w:val="00DA244B"/>
    <w:rsid w:val="00DA7F88"/>
    <w:rsid w:val="00DB52E7"/>
    <w:rsid w:val="00DB5751"/>
    <w:rsid w:val="00DC0318"/>
    <w:rsid w:val="00DD1D5F"/>
    <w:rsid w:val="00DE0269"/>
    <w:rsid w:val="00DE7CE3"/>
    <w:rsid w:val="00DF15C3"/>
    <w:rsid w:val="00DF47FD"/>
    <w:rsid w:val="00E012C5"/>
    <w:rsid w:val="00E023A9"/>
    <w:rsid w:val="00E061C2"/>
    <w:rsid w:val="00E07D1B"/>
    <w:rsid w:val="00E120F0"/>
    <w:rsid w:val="00E218E2"/>
    <w:rsid w:val="00E23FEE"/>
    <w:rsid w:val="00E36F99"/>
    <w:rsid w:val="00E4790F"/>
    <w:rsid w:val="00E548A7"/>
    <w:rsid w:val="00E55117"/>
    <w:rsid w:val="00E57E49"/>
    <w:rsid w:val="00E61C50"/>
    <w:rsid w:val="00E62519"/>
    <w:rsid w:val="00E65D4A"/>
    <w:rsid w:val="00E7237D"/>
    <w:rsid w:val="00E9249A"/>
    <w:rsid w:val="00EA218B"/>
    <w:rsid w:val="00EA4DFE"/>
    <w:rsid w:val="00EA50D7"/>
    <w:rsid w:val="00EA56BF"/>
    <w:rsid w:val="00EA74B2"/>
    <w:rsid w:val="00EC03C6"/>
    <w:rsid w:val="00EC3533"/>
    <w:rsid w:val="00EC4CD5"/>
    <w:rsid w:val="00ED6638"/>
    <w:rsid w:val="00EF2F33"/>
    <w:rsid w:val="00EF596C"/>
    <w:rsid w:val="00EF7A77"/>
    <w:rsid w:val="00F07750"/>
    <w:rsid w:val="00F20FC9"/>
    <w:rsid w:val="00F231EF"/>
    <w:rsid w:val="00F23449"/>
    <w:rsid w:val="00F30A77"/>
    <w:rsid w:val="00F31C4D"/>
    <w:rsid w:val="00F352E6"/>
    <w:rsid w:val="00F43252"/>
    <w:rsid w:val="00F4393F"/>
    <w:rsid w:val="00F46917"/>
    <w:rsid w:val="00F46A3A"/>
    <w:rsid w:val="00F5375D"/>
    <w:rsid w:val="00F5454E"/>
    <w:rsid w:val="00F715C3"/>
    <w:rsid w:val="00F718BD"/>
    <w:rsid w:val="00F80507"/>
    <w:rsid w:val="00F83CD3"/>
    <w:rsid w:val="00F85F61"/>
    <w:rsid w:val="00F901E9"/>
    <w:rsid w:val="00F95487"/>
    <w:rsid w:val="00F95DD3"/>
    <w:rsid w:val="00F95DEF"/>
    <w:rsid w:val="00FA1553"/>
    <w:rsid w:val="00FA4DF8"/>
    <w:rsid w:val="00FB0E9E"/>
    <w:rsid w:val="00FB45FB"/>
    <w:rsid w:val="00FB5A1E"/>
    <w:rsid w:val="00FC09A1"/>
    <w:rsid w:val="00FC1781"/>
    <w:rsid w:val="00FC244F"/>
    <w:rsid w:val="00FC74C2"/>
    <w:rsid w:val="00FD79DA"/>
    <w:rsid w:val="00FE2ADC"/>
    <w:rsid w:val="00FE5997"/>
    <w:rsid w:val="00FF0950"/>
    <w:rsid w:val="00FF5484"/>
    <w:rsid w:val="00FF5624"/>
    <w:rsid w:val="00FF6BDD"/>
    <w:rsid w:val="00FF726C"/>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ED504355-7BC7-4C67-9578-245ED1AF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uiPriority w:val="99"/>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customStyle="1" w:styleId="PHI04Figure">
    <w:name w:val="PHI_04_Figure"/>
    <w:basedOn w:val="Standard"/>
    <w:next w:val="Standard"/>
    <w:link w:val="PHI04FigureZchn"/>
    <w:qFormat/>
    <w:rsid w:val="0020398C"/>
    <w:pPr>
      <w:keepNext/>
      <w:keepLines/>
      <w:suppressAutoHyphens/>
      <w:spacing w:before="240" w:line="264" w:lineRule="auto"/>
    </w:pPr>
    <w:rPr>
      <w:rFonts w:ascii="Arial" w:eastAsia="Calibri" w:hAnsi="Arial"/>
      <w:color w:val="000000"/>
      <w:szCs w:val="22"/>
      <w:lang w:val="en-GB" w:eastAsia="en-US"/>
    </w:rPr>
  </w:style>
  <w:style w:type="character" w:customStyle="1" w:styleId="PHI04FigureZchn">
    <w:name w:val="PHI_04_Figure Zchn"/>
    <w:link w:val="PHI04Figure"/>
    <w:rsid w:val="0020398C"/>
    <w:rPr>
      <w:rFonts w:ascii="Arial" w:eastAsia="Calibri" w:hAnsi="Arial"/>
      <w:color w:val="000000"/>
      <w:sz w:val="24"/>
      <w:szCs w:val="22"/>
      <w:lang w:val="en-GB" w:eastAsia="en-US"/>
    </w:rPr>
  </w:style>
  <w:style w:type="paragraph" w:customStyle="1" w:styleId="PHI00Textstandard">
    <w:name w:val="PHI_00_Text_standard"/>
    <w:link w:val="PHI00TextstandardZchn"/>
    <w:qFormat/>
    <w:rsid w:val="0020398C"/>
    <w:pPr>
      <w:suppressAutoHyphens/>
      <w:spacing w:after="120" w:line="264" w:lineRule="auto"/>
      <w:jc w:val="both"/>
    </w:pPr>
    <w:rPr>
      <w:rFonts w:ascii="Arial" w:eastAsia="Calibri" w:hAnsi="Arial"/>
      <w:color w:val="000000"/>
      <w:sz w:val="24"/>
      <w:szCs w:val="22"/>
      <w:lang w:val="en-GB" w:eastAsia="en-US"/>
    </w:rPr>
  </w:style>
  <w:style w:type="character" w:customStyle="1" w:styleId="PHI00TextstandardZchn">
    <w:name w:val="PHI_00_Text_standard Zchn"/>
    <w:link w:val="PHI00Textstandard"/>
    <w:rsid w:val="0020398C"/>
    <w:rPr>
      <w:rFonts w:ascii="Arial" w:eastAsia="Calibri" w:hAnsi="Arial"/>
      <w:color w:val="000000"/>
      <w:sz w:val="24"/>
      <w:szCs w:val="22"/>
      <w:lang w:val="en-GB" w:eastAsia="en-US"/>
    </w:rPr>
  </w:style>
  <w:style w:type="paragraph" w:customStyle="1" w:styleId="PHI05Table">
    <w:name w:val="PHI_05_Table"/>
    <w:basedOn w:val="PHI00Textstandard"/>
    <w:link w:val="PHI05TableZchn"/>
    <w:qFormat/>
    <w:rsid w:val="0020398C"/>
    <w:pPr>
      <w:keepNext/>
      <w:keepLines/>
      <w:spacing w:before="20" w:after="20" w:line="240" w:lineRule="auto"/>
      <w:jc w:val="center"/>
    </w:pPr>
    <w:rPr>
      <w:sz w:val="20"/>
    </w:rPr>
  </w:style>
  <w:style w:type="character" w:customStyle="1" w:styleId="PHI05TableZchn">
    <w:name w:val="PHI_05_Table Zchn"/>
    <w:link w:val="PHI05Table"/>
    <w:rsid w:val="0020398C"/>
    <w:rPr>
      <w:rFonts w:ascii="Arial" w:eastAsia="Calibri" w:hAnsi="Arial"/>
      <w:color w:val="000000"/>
      <w:szCs w:val="22"/>
      <w:lang w:val="en-GB" w:eastAsia="en-US"/>
    </w:rPr>
  </w:style>
  <w:style w:type="paragraph" w:customStyle="1" w:styleId="PHI06Legend">
    <w:name w:val="PHI_06_Legend"/>
    <w:basedOn w:val="PHI00Textstandard"/>
    <w:next w:val="PHI00Textstandard"/>
    <w:link w:val="PHI06LegendZchn"/>
    <w:qFormat/>
    <w:rsid w:val="0020398C"/>
    <w:pPr>
      <w:spacing w:before="120" w:after="240"/>
      <w:jc w:val="left"/>
    </w:pPr>
    <w:rPr>
      <w:b/>
      <w:sz w:val="20"/>
    </w:rPr>
  </w:style>
  <w:style w:type="character" w:customStyle="1" w:styleId="PHI06LegendZchn">
    <w:name w:val="PHI_06_Legend Zchn"/>
    <w:link w:val="PHI06Legend"/>
    <w:rsid w:val="0020398C"/>
    <w:rPr>
      <w:rFonts w:ascii="Arial" w:eastAsia="Calibri" w:hAnsi="Arial"/>
      <w:b/>
      <w:color w:val="000000"/>
      <w:szCs w:val="22"/>
      <w:lang w:val="en-GB" w:eastAsia="en-US"/>
    </w:rPr>
  </w:style>
  <w:style w:type="character" w:styleId="NichtaufgelsteErwhnung">
    <w:name w:val="Unresolved Mention"/>
    <w:basedOn w:val="Absatz-Standardschriftart"/>
    <w:uiPriority w:val="99"/>
    <w:semiHidden/>
    <w:unhideWhenUsed/>
    <w:rsid w:val="009A3FD1"/>
    <w:rPr>
      <w:color w:val="605E5C"/>
      <w:shd w:val="clear" w:color="auto" w:fill="E1DFDD"/>
    </w:rPr>
  </w:style>
  <w:style w:type="paragraph" w:customStyle="1" w:styleId="IOP-CS-BodyText">
    <w:name w:val="IOP-CS-BodyText"/>
    <w:link w:val="IOP-CS-BodyTextChar"/>
    <w:qFormat/>
    <w:rsid w:val="00F352E6"/>
    <w:pPr>
      <w:spacing w:line="259" w:lineRule="auto"/>
      <w:ind w:firstLine="425"/>
      <w:jc w:val="both"/>
    </w:pPr>
    <w:rPr>
      <w:rFonts w:ascii="Cambria" w:eastAsiaTheme="minorHAnsi" w:hAnsi="Cambria" w:cstheme="minorBidi"/>
      <w:kern w:val="2"/>
      <w:sz w:val="22"/>
      <w:szCs w:val="22"/>
      <w:lang w:val="en-GB" w:eastAsia="en-US"/>
      <w14:ligatures w14:val="standardContextual"/>
    </w:rPr>
  </w:style>
  <w:style w:type="character" w:customStyle="1" w:styleId="IOP-CS-BodyTextChar">
    <w:name w:val="IOP-CS-BodyText Char"/>
    <w:basedOn w:val="Absatz-Standardschriftart"/>
    <w:link w:val="IOP-CS-BodyText"/>
    <w:rsid w:val="00F352E6"/>
    <w:rPr>
      <w:rFonts w:ascii="Cambria" w:eastAsiaTheme="minorHAnsi" w:hAnsi="Cambria" w:cstheme="minorBidi"/>
      <w:kern w:val="2"/>
      <w:sz w:val="22"/>
      <w:szCs w:val="22"/>
      <w:lang w:val="en-GB" w:eastAsia="en-US"/>
      <w14:ligatures w14:val="standardContextual"/>
    </w:rPr>
  </w:style>
  <w:style w:type="paragraph" w:customStyle="1" w:styleId="IOP-CS-BodyNoIndent">
    <w:name w:val="IOP-CS-BodyNoIndent"/>
    <w:basedOn w:val="IOP-CS-BodyText"/>
    <w:next w:val="IOP-CS-BodyText"/>
    <w:link w:val="IOP-CS-BodyNoIndentChar"/>
    <w:qFormat/>
    <w:rsid w:val="00F352E6"/>
    <w:pPr>
      <w:ind w:firstLine="0"/>
    </w:pPr>
  </w:style>
  <w:style w:type="character" w:customStyle="1" w:styleId="IOP-CS-BodyNoIndentChar">
    <w:name w:val="IOP-CS-BodyNoIndent Char"/>
    <w:basedOn w:val="IOP-CS-BodyTextChar"/>
    <w:link w:val="IOP-CS-BodyNoIndent"/>
    <w:rsid w:val="00F352E6"/>
    <w:rPr>
      <w:rFonts w:ascii="Cambria" w:eastAsiaTheme="minorHAnsi" w:hAnsi="Cambria" w:cstheme="minorBidi"/>
      <w:kern w:val="2"/>
      <w:sz w:val="22"/>
      <w:szCs w:val="22"/>
      <w:lang w:val="en-GB" w:eastAsia="en-US"/>
      <w14:ligatures w14:val="standardContextual"/>
    </w:rPr>
  </w:style>
  <w:style w:type="paragraph" w:styleId="Listenabsatz">
    <w:name w:val="List Paragraph"/>
    <w:basedOn w:val="Standard"/>
    <w:uiPriority w:val="34"/>
    <w:rsid w:val="00B55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403577">
      <w:bodyDiv w:val="1"/>
      <w:marLeft w:val="0"/>
      <w:marRight w:val="0"/>
      <w:marTop w:val="0"/>
      <w:marBottom w:val="0"/>
      <w:divBdr>
        <w:top w:val="none" w:sz="0" w:space="0" w:color="auto"/>
        <w:left w:val="none" w:sz="0" w:space="0" w:color="auto"/>
        <w:bottom w:val="none" w:sz="0" w:space="0" w:color="auto"/>
        <w:right w:val="none" w:sz="0" w:space="0" w:color="auto"/>
      </w:divBdr>
    </w:div>
    <w:div w:id="846868723">
      <w:bodyDiv w:val="1"/>
      <w:marLeft w:val="0"/>
      <w:marRight w:val="0"/>
      <w:marTop w:val="0"/>
      <w:marBottom w:val="0"/>
      <w:divBdr>
        <w:top w:val="none" w:sz="0" w:space="0" w:color="auto"/>
        <w:left w:val="none" w:sz="0" w:space="0" w:color="auto"/>
        <w:bottom w:val="none" w:sz="0" w:space="0" w:color="auto"/>
        <w:right w:val="none" w:sz="0" w:space="0" w:color="auto"/>
      </w:divBdr>
      <w:divsChild>
        <w:div w:id="1856504503">
          <w:marLeft w:val="0"/>
          <w:marRight w:val="0"/>
          <w:marTop w:val="0"/>
          <w:marBottom w:val="0"/>
          <w:divBdr>
            <w:top w:val="none" w:sz="0" w:space="0" w:color="auto"/>
            <w:left w:val="none" w:sz="0" w:space="0" w:color="auto"/>
            <w:bottom w:val="none" w:sz="0" w:space="0" w:color="auto"/>
            <w:right w:val="none" w:sz="0" w:space="0" w:color="auto"/>
          </w:divBdr>
          <w:divsChild>
            <w:div w:id="165845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67091">
      <w:bodyDiv w:val="1"/>
      <w:marLeft w:val="0"/>
      <w:marRight w:val="0"/>
      <w:marTop w:val="0"/>
      <w:marBottom w:val="0"/>
      <w:divBdr>
        <w:top w:val="none" w:sz="0" w:space="0" w:color="auto"/>
        <w:left w:val="none" w:sz="0" w:space="0" w:color="auto"/>
        <w:bottom w:val="none" w:sz="0" w:space="0" w:color="auto"/>
        <w:right w:val="none" w:sz="0" w:space="0" w:color="auto"/>
      </w:divBdr>
      <w:divsChild>
        <w:div w:id="1780442958">
          <w:marLeft w:val="0"/>
          <w:marRight w:val="0"/>
          <w:marTop w:val="0"/>
          <w:marBottom w:val="0"/>
          <w:divBdr>
            <w:top w:val="none" w:sz="0" w:space="0" w:color="auto"/>
            <w:left w:val="none" w:sz="0" w:space="0" w:color="auto"/>
            <w:bottom w:val="none" w:sz="0" w:space="0" w:color="auto"/>
            <w:right w:val="none" w:sz="0" w:space="0" w:color="auto"/>
          </w:divBdr>
          <w:divsChild>
            <w:div w:id="5537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65137">
      <w:bodyDiv w:val="1"/>
      <w:marLeft w:val="0"/>
      <w:marRight w:val="0"/>
      <w:marTop w:val="0"/>
      <w:marBottom w:val="0"/>
      <w:divBdr>
        <w:top w:val="none" w:sz="0" w:space="0" w:color="auto"/>
        <w:left w:val="none" w:sz="0" w:space="0" w:color="auto"/>
        <w:bottom w:val="none" w:sz="0" w:space="0" w:color="auto"/>
        <w:right w:val="none" w:sz="0" w:space="0" w:color="auto"/>
      </w:divBdr>
    </w:div>
    <w:div w:id="1026904677">
      <w:bodyDiv w:val="1"/>
      <w:marLeft w:val="0"/>
      <w:marRight w:val="0"/>
      <w:marTop w:val="0"/>
      <w:marBottom w:val="0"/>
      <w:divBdr>
        <w:top w:val="none" w:sz="0" w:space="0" w:color="auto"/>
        <w:left w:val="none" w:sz="0" w:space="0" w:color="auto"/>
        <w:bottom w:val="none" w:sz="0" w:space="0" w:color="auto"/>
        <w:right w:val="none" w:sz="0" w:space="0" w:color="auto"/>
      </w:divBdr>
    </w:div>
    <w:div w:id="1190679657">
      <w:bodyDiv w:val="1"/>
      <w:marLeft w:val="0"/>
      <w:marRight w:val="0"/>
      <w:marTop w:val="0"/>
      <w:marBottom w:val="0"/>
      <w:divBdr>
        <w:top w:val="none" w:sz="0" w:space="0" w:color="auto"/>
        <w:left w:val="none" w:sz="0" w:space="0" w:color="auto"/>
        <w:bottom w:val="none" w:sz="0" w:space="0" w:color="auto"/>
        <w:right w:val="none" w:sz="0" w:space="0" w:color="auto"/>
      </w:divBdr>
    </w:div>
    <w:div w:id="1299409691">
      <w:bodyDiv w:val="1"/>
      <w:marLeft w:val="0"/>
      <w:marRight w:val="0"/>
      <w:marTop w:val="0"/>
      <w:marBottom w:val="0"/>
      <w:divBdr>
        <w:top w:val="none" w:sz="0" w:space="0" w:color="auto"/>
        <w:left w:val="none" w:sz="0" w:space="0" w:color="auto"/>
        <w:bottom w:val="none" w:sz="0" w:space="0" w:color="auto"/>
        <w:right w:val="none" w:sz="0" w:space="0" w:color="auto"/>
      </w:divBdr>
    </w:div>
    <w:div w:id="1686594782">
      <w:bodyDiv w:val="1"/>
      <w:marLeft w:val="0"/>
      <w:marRight w:val="0"/>
      <w:marTop w:val="0"/>
      <w:marBottom w:val="0"/>
      <w:divBdr>
        <w:top w:val="none" w:sz="0" w:space="0" w:color="auto"/>
        <w:left w:val="none" w:sz="0" w:space="0" w:color="auto"/>
        <w:bottom w:val="none" w:sz="0" w:space="0" w:color="auto"/>
        <w:right w:val="none" w:sz="0" w:space="0" w:color="auto"/>
      </w:divBdr>
    </w:div>
    <w:div w:id="1720086641">
      <w:bodyDiv w:val="1"/>
      <w:marLeft w:val="0"/>
      <w:marRight w:val="0"/>
      <w:marTop w:val="0"/>
      <w:marBottom w:val="0"/>
      <w:divBdr>
        <w:top w:val="none" w:sz="0" w:space="0" w:color="auto"/>
        <w:left w:val="none" w:sz="0" w:space="0" w:color="auto"/>
        <w:bottom w:val="none" w:sz="0" w:space="0" w:color="auto"/>
        <w:right w:val="none" w:sz="0" w:space="0" w:color="auto"/>
      </w:divBdr>
    </w:div>
    <w:div w:id="1838380693">
      <w:bodyDiv w:val="1"/>
      <w:marLeft w:val="0"/>
      <w:marRight w:val="0"/>
      <w:marTop w:val="0"/>
      <w:marBottom w:val="0"/>
      <w:divBdr>
        <w:top w:val="none" w:sz="0" w:space="0" w:color="auto"/>
        <w:left w:val="none" w:sz="0" w:space="0" w:color="auto"/>
        <w:bottom w:val="none" w:sz="0" w:space="0" w:color="auto"/>
        <w:right w:val="none" w:sz="0" w:space="0" w:color="auto"/>
      </w:divBdr>
    </w:div>
    <w:div w:id="2037073740">
      <w:bodyDiv w:val="1"/>
      <w:marLeft w:val="0"/>
      <w:marRight w:val="0"/>
      <w:marTop w:val="0"/>
      <w:marBottom w:val="0"/>
      <w:divBdr>
        <w:top w:val="none" w:sz="0" w:space="0" w:color="auto"/>
        <w:left w:val="none" w:sz="0" w:space="0" w:color="auto"/>
        <w:bottom w:val="none" w:sz="0" w:space="0" w:color="auto"/>
        <w:right w:val="none" w:sz="0" w:space="0" w:color="auto"/>
      </w:divBdr>
    </w:div>
    <w:div w:id="2050569424">
      <w:bodyDiv w:val="1"/>
      <w:marLeft w:val="0"/>
      <w:marRight w:val="0"/>
      <w:marTop w:val="0"/>
      <w:marBottom w:val="0"/>
      <w:divBdr>
        <w:top w:val="none" w:sz="0" w:space="0" w:color="auto"/>
        <w:left w:val="none" w:sz="0" w:space="0" w:color="auto"/>
        <w:bottom w:val="none" w:sz="0" w:space="0" w:color="auto"/>
        <w:right w:val="none" w:sz="0" w:space="0" w:color="auto"/>
      </w:divBdr>
    </w:div>
    <w:div w:id="214219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9" Type="http://schemas.openxmlformats.org/officeDocument/2006/relationships/image" Target="media/image32.emf"/><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chart" Target="charts/chart2.xml"/><Relationship Id="rId55" Type="http://schemas.openxmlformats.org/officeDocument/2006/relationships/chart" Target="charts/chart7.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chart" Target="charts/chart5.xml"/><Relationship Id="rId58" Type="http://schemas.openxmlformats.org/officeDocument/2006/relationships/image" Target="media/image43.emf"/><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chart" Target="charts/chart8.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chart" Target="charts/chart3.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44.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chart" Target="charts/chart6.xml"/><Relationship Id="rId62"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chart" Target="charts/chart1.xml"/><Relationship Id="rId57" Type="http://schemas.openxmlformats.org/officeDocument/2006/relationships/image" Target="media/image42.emf"/><Relationship Id="rId10" Type="http://schemas.openxmlformats.org/officeDocument/2006/relationships/image" Target="media/image3.png"/><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chart" Target="charts/chart4.xml"/><Relationship Id="rId60" Type="http://schemas.openxmlformats.org/officeDocument/2006/relationships/image" Target="media/image45.emf"/><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fabian\publications\2026\EuroSun_2026\Models_202607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fabian\publications\2026\EuroSun_2026\Models_202607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fabian\publications\2026\EuroSun_2026\Models_202607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fabian\publications\2026\EuroSun_2026\Models_202607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fabian\publications\2026\EuroSun_2026\Models_202607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fabian\publications\2026\EuroSun_2026\Models_202607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fabian\publications\2026\EuroSun_2026\summary_tapping_profiles_2026080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fabian\publications\2026\EuroSun_2026\summary_tapping_profiles_20260805.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EuroSun!$K$4</c:f>
              <c:strCache>
                <c:ptCount val="1"/>
                <c:pt idx="0">
                  <c:v>VDI</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9525" cap="rnd">
                <a:solidFill>
                  <a:schemeClr val="accent1"/>
                </a:solidFill>
              </a:ln>
              <a:effectLst/>
            </c:spPr>
            <c:trendlineType val="power"/>
            <c:dispRSqr val="0"/>
            <c:dispEq val="0"/>
          </c:trendline>
          <c:xVal>
            <c:numRef>
              <c:f>EuroSun!$D$5:$D$11</c:f>
              <c:numCache>
                <c:formatCode>General</c:formatCode>
                <c:ptCount val="7"/>
                <c:pt idx="0">
                  <c:v>5</c:v>
                </c:pt>
                <c:pt idx="1">
                  <c:v>10</c:v>
                </c:pt>
                <c:pt idx="2">
                  <c:v>15</c:v>
                </c:pt>
                <c:pt idx="3">
                  <c:v>20</c:v>
                </c:pt>
                <c:pt idx="4">
                  <c:v>30</c:v>
                </c:pt>
                <c:pt idx="5">
                  <c:v>40</c:v>
                </c:pt>
                <c:pt idx="6">
                  <c:v>50</c:v>
                </c:pt>
              </c:numCache>
            </c:numRef>
          </c:xVal>
          <c:yVal>
            <c:numRef>
              <c:f>EuroSun!$K$5:$K$11</c:f>
              <c:numCache>
                <c:formatCode>0.00</c:formatCode>
                <c:ptCount val="7"/>
                <c:pt idx="0">
                  <c:v>0.34760679999999999</c:v>
                </c:pt>
                <c:pt idx="1">
                  <c:v>0.23511389999999999</c:v>
                </c:pt>
                <c:pt idx="2">
                  <c:v>0.19043280000000001</c:v>
                </c:pt>
                <c:pt idx="3">
                  <c:v>0.16530339999999999</c:v>
                </c:pt>
                <c:pt idx="4">
                  <c:v>0.13695379999999999</c:v>
                </c:pt>
                <c:pt idx="5">
                  <c:v>0.12080689999999999</c:v>
                </c:pt>
                <c:pt idx="6">
                  <c:v>0.11011070000000001</c:v>
                </c:pt>
              </c:numCache>
            </c:numRef>
          </c:yVal>
          <c:smooth val="0"/>
          <c:extLst>
            <c:ext xmlns:c16="http://schemas.microsoft.com/office/drawing/2014/chart" uri="{C3380CC4-5D6E-409C-BE32-E72D297353CC}">
              <c16:uniqueId val="{00000001-C6AE-4511-86C8-0565C372D4F2}"/>
            </c:ext>
          </c:extLst>
        </c:ser>
        <c:ser>
          <c:idx val="1"/>
          <c:order val="1"/>
          <c:tx>
            <c:strRef>
              <c:f>EuroSun!$L$4</c:f>
              <c:strCache>
                <c:ptCount val="1"/>
                <c:pt idx="0">
                  <c:v>UE</c:v>
                </c:pt>
              </c:strCache>
            </c:strRef>
          </c:tx>
          <c:spPr>
            <a:ln w="25400" cap="rnd">
              <a:noFill/>
              <a:round/>
            </a:ln>
            <a:effectLst/>
          </c:spPr>
          <c:marker>
            <c:symbol val="square"/>
            <c:size val="4"/>
            <c:spPr>
              <a:solidFill>
                <a:schemeClr val="accent2"/>
              </a:solidFill>
              <a:ln w="9525">
                <a:solidFill>
                  <a:schemeClr val="accent2"/>
                </a:solidFill>
                <a:round/>
              </a:ln>
              <a:effectLst/>
            </c:spPr>
          </c:marker>
          <c:trendline>
            <c:spPr>
              <a:ln w="9525" cap="rnd">
                <a:solidFill>
                  <a:schemeClr val="accent2"/>
                </a:solidFill>
              </a:ln>
              <a:effectLst/>
            </c:spPr>
            <c:trendlineType val="power"/>
            <c:dispRSqr val="0"/>
            <c:dispEq val="0"/>
          </c:trendline>
          <c:xVal>
            <c:numRef>
              <c:f>EuroSun!$D$5:$D$11</c:f>
              <c:numCache>
                <c:formatCode>General</c:formatCode>
                <c:ptCount val="7"/>
                <c:pt idx="0">
                  <c:v>5</c:v>
                </c:pt>
                <c:pt idx="1">
                  <c:v>10</c:v>
                </c:pt>
                <c:pt idx="2">
                  <c:v>15</c:v>
                </c:pt>
                <c:pt idx="3">
                  <c:v>20</c:v>
                </c:pt>
                <c:pt idx="4">
                  <c:v>30</c:v>
                </c:pt>
                <c:pt idx="5">
                  <c:v>40</c:v>
                </c:pt>
                <c:pt idx="6">
                  <c:v>50</c:v>
                </c:pt>
              </c:numCache>
            </c:numRef>
          </c:xVal>
          <c:yVal>
            <c:numRef>
              <c:f>EuroSun!$L$5:$L$11</c:f>
              <c:numCache>
                <c:formatCode>0.00</c:formatCode>
                <c:ptCount val="7"/>
                <c:pt idx="0">
                  <c:v>0.27352029999999999</c:v>
                </c:pt>
                <c:pt idx="1">
                  <c:v>0.2538048</c:v>
                </c:pt>
                <c:pt idx="2">
                  <c:v>0.16920360000000001</c:v>
                </c:pt>
                <c:pt idx="3">
                  <c:v>0.22446830000000001</c:v>
                </c:pt>
                <c:pt idx="4">
                  <c:v>0.16265940000000001</c:v>
                </c:pt>
                <c:pt idx="5">
                  <c:v>0.14642340000000001</c:v>
                </c:pt>
                <c:pt idx="6">
                  <c:v>0.14450950000000001</c:v>
                </c:pt>
              </c:numCache>
            </c:numRef>
          </c:yVal>
          <c:smooth val="0"/>
          <c:extLst>
            <c:ext xmlns:c16="http://schemas.microsoft.com/office/drawing/2014/chart" uri="{C3380CC4-5D6E-409C-BE32-E72D297353CC}">
              <c16:uniqueId val="{00000003-C6AE-4511-86C8-0565C372D4F2}"/>
            </c:ext>
          </c:extLst>
        </c:ser>
        <c:ser>
          <c:idx val="2"/>
          <c:order val="2"/>
          <c:tx>
            <c:strRef>
              <c:f>EuroSun!$M$4</c:f>
              <c:strCache>
                <c:ptCount val="1"/>
                <c:pt idx="0">
                  <c:v>DE</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9525" cap="rnd">
                <a:solidFill>
                  <a:schemeClr val="accent3"/>
                </a:solidFill>
              </a:ln>
              <a:effectLst/>
            </c:spPr>
            <c:trendlineType val="power"/>
            <c:dispRSqr val="0"/>
            <c:dispEq val="0"/>
          </c:trendline>
          <c:xVal>
            <c:numRef>
              <c:f>EuroSun!$D$5:$D$11</c:f>
              <c:numCache>
                <c:formatCode>General</c:formatCode>
                <c:ptCount val="7"/>
                <c:pt idx="0">
                  <c:v>5</c:v>
                </c:pt>
                <c:pt idx="1">
                  <c:v>10</c:v>
                </c:pt>
                <c:pt idx="2">
                  <c:v>15</c:v>
                </c:pt>
                <c:pt idx="3">
                  <c:v>20</c:v>
                </c:pt>
                <c:pt idx="4">
                  <c:v>30</c:v>
                </c:pt>
                <c:pt idx="5">
                  <c:v>40</c:v>
                </c:pt>
                <c:pt idx="6">
                  <c:v>50</c:v>
                </c:pt>
              </c:numCache>
            </c:numRef>
          </c:xVal>
          <c:yVal>
            <c:numRef>
              <c:f>EuroSun!$M$5:$M$11</c:f>
              <c:numCache>
                <c:formatCode>0.00</c:formatCode>
                <c:ptCount val="7"/>
                <c:pt idx="0">
                  <c:v>0.39105800000000002</c:v>
                </c:pt>
                <c:pt idx="1">
                  <c:v>0.31800460000000003</c:v>
                </c:pt>
                <c:pt idx="2">
                  <c:v>0.2138272</c:v>
                </c:pt>
                <c:pt idx="3">
                  <c:v>0.24747479999999999</c:v>
                </c:pt>
                <c:pt idx="4" formatCode="0.0">
                  <c:v>0.18050069999999999</c:v>
                </c:pt>
                <c:pt idx="5">
                  <c:v>0.16123770000000001</c:v>
                </c:pt>
                <c:pt idx="6">
                  <c:v>0.15684699999999999</c:v>
                </c:pt>
              </c:numCache>
            </c:numRef>
          </c:yVal>
          <c:smooth val="0"/>
          <c:extLst>
            <c:ext xmlns:c16="http://schemas.microsoft.com/office/drawing/2014/chart" uri="{C3380CC4-5D6E-409C-BE32-E72D297353CC}">
              <c16:uniqueId val="{00000005-C6AE-4511-86C8-0565C372D4F2}"/>
            </c:ext>
          </c:extLst>
        </c:ser>
        <c:dLbls>
          <c:showLegendKey val="0"/>
          <c:showVal val="0"/>
          <c:showCatName val="0"/>
          <c:showSerName val="0"/>
          <c:showPercent val="0"/>
          <c:showBubbleSize val="0"/>
        </c:dLbls>
        <c:axId val="862899359"/>
        <c:axId val="862896479"/>
      </c:scatterChart>
      <c:valAx>
        <c:axId val="862899359"/>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r>
                  <a:rPr lang="de-AT" cap="none" baseline="0"/>
                  <a:t>N</a:t>
                </a:r>
                <a:r>
                  <a:rPr lang="de-AT" cap="none" baseline="-25000"/>
                  <a:t>flat</a:t>
                </a:r>
                <a:r>
                  <a:rPr lang="de-AT" cap="none" baseline="0"/>
                  <a:t> / [-]</a:t>
                </a:r>
              </a:p>
            </c:rich>
          </c:tx>
          <c:overlay val="0"/>
          <c:spPr>
            <a:noFill/>
            <a:ln>
              <a:noFill/>
            </a:ln>
            <a:effectLst/>
          </c:spPr>
          <c:txPr>
            <a:bodyPr rot="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862896479"/>
        <c:crosses val="autoZero"/>
        <c:crossBetween val="midCat"/>
      </c:valAx>
      <c:valAx>
        <c:axId val="8628964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r>
                  <a:rPr lang="de-AT" cap="none" baseline="0">
                    <a:latin typeface="Symbol" panose="05050102010706020507" pitchFamily="18" charset="2"/>
                  </a:rPr>
                  <a:t>f</a:t>
                </a:r>
                <a:r>
                  <a:rPr lang="de-AT" cap="none" baseline="0"/>
                  <a:t> / [-]</a:t>
                </a:r>
              </a:p>
            </c:rich>
          </c:tx>
          <c:overlay val="0"/>
          <c:spPr>
            <a:noFill/>
            <a:ln>
              <a:noFill/>
            </a:ln>
            <a:effectLst/>
          </c:spPr>
          <c:txPr>
            <a:bodyPr rot="-540000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endParaRPr lang="de-DE"/>
            </a:p>
          </c:txPr>
        </c:title>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862899359"/>
        <c:crosses val="autoZero"/>
        <c:crossBetween val="midCat"/>
      </c:valAx>
      <c:spPr>
        <a:noFill/>
        <a:ln>
          <a:noFill/>
        </a:ln>
        <a:effectLst/>
      </c:spPr>
    </c:plotArea>
    <c:legend>
      <c:legendPos val="t"/>
      <c:legendEntry>
        <c:idx val="3"/>
        <c:delete val="1"/>
      </c:legendEntry>
      <c:legendEntry>
        <c:idx val="4"/>
        <c:delete val="1"/>
      </c:legendEntry>
      <c:legendEntry>
        <c:idx val="5"/>
        <c:delete val="1"/>
      </c:legendEntry>
      <c:layout>
        <c:manualLayout>
          <c:xMode val="edge"/>
          <c:yMode val="edge"/>
          <c:x val="0.67594952183552914"/>
          <c:y val="0.1097608780870247"/>
          <c:w val="0.23589299044041512"/>
          <c:h val="0.10389441225766026"/>
        </c:manualLayout>
      </c:layout>
      <c:overlay val="1"/>
      <c:spPr>
        <a:solidFill>
          <a:schemeClr val="bg1"/>
        </a:solid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600"/>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EuroSun!$K$4</c:f>
              <c:strCache>
                <c:ptCount val="1"/>
                <c:pt idx="0">
                  <c:v>VDI</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9525" cap="rnd">
                <a:solidFill>
                  <a:schemeClr val="accent1"/>
                </a:solidFill>
              </a:ln>
              <a:effectLst/>
            </c:spPr>
            <c:trendlineType val="power"/>
            <c:dispRSqr val="0"/>
            <c:dispEq val="0"/>
          </c:trendline>
          <c:xVal>
            <c:numRef>
              <c:f>EuroSun!$D$5:$D$11</c:f>
              <c:numCache>
                <c:formatCode>General</c:formatCode>
                <c:ptCount val="7"/>
                <c:pt idx="0">
                  <c:v>5</c:v>
                </c:pt>
                <c:pt idx="1">
                  <c:v>10</c:v>
                </c:pt>
                <c:pt idx="2">
                  <c:v>15</c:v>
                </c:pt>
                <c:pt idx="3">
                  <c:v>20</c:v>
                </c:pt>
                <c:pt idx="4">
                  <c:v>30</c:v>
                </c:pt>
                <c:pt idx="5">
                  <c:v>40</c:v>
                </c:pt>
                <c:pt idx="6">
                  <c:v>50</c:v>
                </c:pt>
              </c:numCache>
            </c:numRef>
          </c:xVal>
          <c:yVal>
            <c:numRef>
              <c:f>EuroSun!$AH$4:$AH$10</c:f>
              <c:numCache>
                <c:formatCode>General</c:formatCode>
                <c:ptCount val="7"/>
                <c:pt idx="0">
                  <c:v>0.34760679999999999</c:v>
                </c:pt>
                <c:pt idx="1">
                  <c:v>0.23511389999999999</c:v>
                </c:pt>
                <c:pt idx="2">
                  <c:v>0.19043280000000001</c:v>
                </c:pt>
                <c:pt idx="3">
                  <c:v>0.16530339999999999</c:v>
                </c:pt>
                <c:pt idx="4">
                  <c:v>0.13695379999999999</c:v>
                </c:pt>
                <c:pt idx="5">
                  <c:v>0.12080689999999999</c:v>
                </c:pt>
                <c:pt idx="6">
                  <c:v>0.11011070000000001</c:v>
                </c:pt>
              </c:numCache>
            </c:numRef>
          </c:yVal>
          <c:smooth val="0"/>
          <c:extLst>
            <c:ext xmlns:c16="http://schemas.microsoft.com/office/drawing/2014/chart" uri="{C3380CC4-5D6E-409C-BE32-E72D297353CC}">
              <c16:uniqueId val="{00000001-328D-412D-A371-4751CB5E85B9}"/>
            </c:ext>
          </c:extLst>
        </c:ser>
        <c:ser>
          <c:idx val="1"/>
          <c:order val="1"/>
          <c:tx>
            <c:strRef>
              <c:f>EuroSun!$L$4</c:f>
              <c:strCache>
                <c:ptCount val="1"/>
                <c:pt idx="0">
                  <c:v>UE</c:v>
                </c:pt>
              </c:strCache>
            </c:strRef>
          </c:tx>
          <c:spPr>
            <a:ln w="25400" cap="rnd">
              <a:noFill/>
              <a:round/>
            </a:ln>
            <a:effectLst/>
          </c:spPr>
          <c:marker>
            <c:symbol val="square"/>
            <c:size val="4"/>
            <c:spPr>
              <a:solidFill>
                <a:schemeClr val="accent2"/>
              </a:solidFill>
              <a:ln w="9525">
                <a:solidFill>
                  <a:schemeClr val="accent2"/>
                </a:solidFill>
                <a:round/>
              </a:ln>
              <a:effectLst/>
            </c:spPr>
          </c:marker>
          <c:trendline>
            <c:spPr>
              <a:ln w="9525" cap="rnd">
                <a:solidFill>
                  <a:schemeClr val="accent2"/>
                </a:solidFill>
              </a:ln>
              <a:effectLst/>
            </c:spPr>
            <c:trendlineType val="power"/>
            <c:dispRSqr val="0"/>
            <c:dispEq val="0"/>
          </c:trendline>
          <c:xVal>
            <c:numRef>
              <c:f>EuroSun!$D$5:$D$11</c:f>
              <c:numCache>
                <c:formatCode>General</c:formatCode>
                <c:ptCount val="7"/>
                <c:pt idx="0">
                  <c:v>5</c:v>
                </c:pt>
                <c:pt idx="1">
                  <c:v>10</c:v>
                </c:pt>
                <c:pt idx="2">
                  <c:v>15</c:v>
                </c:pt>
                <c:pt idx="3">
                  <c:v>20</c:v>
                </c:pt>
                <c:pt idx="4">
                  <c:v>30</c:v>
                </c:pt>
                <c:pt idx="5">
                  <c:v>40</c:v>
                </c:pt>
                <c:pt idx="6">
                  <c:v>50</c:v>
                </c:pt>
              </c:numCache>
            </c:numRef>
          </c:xVal>
          <c:yVal>
            <c:numRef>
              <c:f>EuroSun!$AI$4:$AI$10</c:f>
              <c:numCache>
                <c:formatCode>General</c:formatCode>
                <c:ptCount val="7"/>
                <c:pt idx="0">
                  <c:v>0.35182059999999998</c:v>
                </c:pt>
                <c:pt idx="1">
                  <c:v>0.31282529999999997</c:v>
                </c:pt>
                <c:pt idx="2">
                  <c:v>0.23461380000000001</c:v>
                </c:pt>
                <c:pt idx="3">
                  <c:v>0.21467890000000001</c:v>
                </c:pt>
                <c:pt idx="4">
                  <c:v>0.15645780000000001</c:v>
                </c:pt>
                <c:pt idx="5">
                  <c:v>0.13680719999999999</c:v>
                </c:pt>
                <c:pt idx="6">
                  <c:v>0.121209</c:v>
                </c:pt>
              </c:numCache>
            </c:numRef>
          </c:yVal>
          <c:smooth val="0"/>
          <c:extLst>
            <c:ext xmlns:c16="http://schemas.microsoft.com/office/drawing/2014/chart" uri="{C3380CC4-5D6E-409C-BE32-E72D297353CC}">
              <c16:uniqueId val="{00000003-328D-412D-A371-4751CB5E85B9}"/>
            </c:ext>
          </c:extLst>
        </c:ser>
        <c:ser>
          <c:idx val="2"/>
          <c:order val="2"/>
          <c:tx>
            <c:strRef>
              <c:f>EuroSun!$M$4</c:f>
              <c:strCache>
                <c:ptCount val="1"/>
                <c:pt idx="0">
                  <c:v>DE</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9525" cap="rnd">
                <a:solidFill>
                  <a:schemeClr val="accent3"/>
                </a:solidFill>
              </a:ln>
              <a:effectLst/>
            </c:spPr>
            <c:trendlineType val="power"/>
            <c:dispRSqr val="0"/>
            <c:dispEq val="0"/>
          </c:trendline>
          <c:xVal>
            <c:numRef>
              <c:f>EuroSun!$D$5:$D$11</c:f>
              <c:numCache>
                <c:formatCode>General</c:formatCode>
                <c:ptCount val="7"/>
                <c:pt idx="0">
                  <c:v>5</c:v>
                </c:pt>
                <c:pt idx="1">
                  <c:v>10</c:v>
                </c:pt>
                <c:pt idx="2">
                  <c:v>15</c:v>
                </c:pt>
                <c:pt idx="3">
                  <c:v>20</c:v>
                </c:pt>
                <c:pt idx="4">
                  <c:v>30</c:v>
                </c:pt>
                <c:pt idx="5">
                  <c:v>40</c:v>
                </c:pt>
                <c:pt idx="6">
                  <c:v>50</c:v>
                </c:pt>
              </c:numCache>
            </c:numRef>
          </c:xVal>
          <c:yVal>
            <c:numRef>
              <c:f>EuroSun!$AJ$4:$AJ$10</c:f>
              <c:numCache>
                <c:formatCode>General</c:formatCode>
                <c:ptCount val="7"/>
                <c:pt idx="0">
                  <c:v>0.39382709999999999</c:v>
                </c:pt>
                <c:pt idx="1">
                  <c:v>0.33197900000000002</c:v>
                </c:pt>
                <c:pt idx="2">
                  <c:v>0.24844269999999999</c:v>
                </c:pt>
                <c:pt idx="3">
                  <c:v>0.27869759999999999</c:v>
                </c:pt>
                <c:pt idx="4">
                  <c:v>0.22011900000000001</c:v>
                </c:pt>
                <c:pt idx="5">
                  <c:v>0.17639650000000001</c:v>
                </c:pt>
                <c:pt idx="6">
                  <c:v>0.1640171</c:v>
                </c:pt>
              </c:numCache>
            </c:numRef>
          </c:yVal>
          <c:smooth val="0"/>
          <c:extLst>
            <c:ext xmlns:c16="http://schemas.microsoft.com/office/drawing/2014/chart" uri="{C3380CC4-5D6E-409C-BE32-E72D297353CC}">
              <c16:uniqueId val="{00000005-328D-412D-A371-4751CB5E85B9}"/>
            </c:ext>
          </c:extLst>
        </c:ser>
        <c:dLbls>
          <c:showLegendKey val="0"/>
          <c:showVal val="0"/>
          <c:showCatName val="0"/>
          <c:showSerName val="0"/>
          <c:showPercent val="0"/>
          <c:showBubbleSize val="0"/>
        </c:dLbls>
        <c:axId val="862899359"/>
        <c:axId val="862896479"/>
      </c:scatterChart>
      <c:valAx>
        <c:axId val="862899359"/>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r>
                  <a:rPr lang="de-AT" cap="none" baseline="0"/>
                  <a:t>N</a:t>
                </a:r>
                <a:r>
                  <a:rPr lang="de-AT" cap="none" baseline="-25000"/>
                  <a:t>flat</a:t>
                </a:r>
                <a:r>
                  <a:rPr lang="de-AT" cap="none" baseline="0"/>
                  <a:t> / [-]</a:t>
                </a:r>
              </a:p>
            </c:rich>
          </c:tx>
          <c:overlay val="0"/>
          <c:spPr>
            <a:noFill/>
            <a:ln>
              <a:noFill/>
            </a:ln>
            <a:effectLst/>
          </c:spPr>
          <c:txPr>
            <a:bodyPr rot="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862896479"/>
        <c:crosses val="autoZero"/>
        <c:crossBetween val="midCat"/>
      </c:valAx>
      <c:valAx>
        <c:axId val="8628964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r>
                  <a:rPr lang="de-AT" cap="none" baseline="0">
                    <a:latin typeface="Symbol" panose="05050102010706020507" pitchFamily="18" charset="2"/>
                  </a:rPr>
                  <a:t>f</a:t>
                </a:r>
                <a:r>
                  <a:rPr lang="de-AT" cap="none" baseline="0"/>
                  <a:t> / [-]</a:t>
                </a:r>
              </a:p>
            </c:rich>
          </c:tx>
          <c:overlay val="0"/>
          <c:spPr>
            <a:noFill/>
            <a:ln>
              <a:noFill/>
            </a:ln>
            <a:effectLst/>
          </c:spPr>
          <c:txPr>
            <a:bodyPr rot="-5400000" spcFirstLastPara="1" vertOverflow="ellipsis" vert="horz" wrap="square" anchor="ctr" anchorCtr="1"/>
            <a:lstStyle/>
            <a:p>
              <a:pPr>
                <a:defRPr sz="600" b="0" i="0" u="none" strike="noStrike" kern="1200" cap="none" baseline="0">
                  <a:solidFill>
                    <a:schemeClr val="tx1">
                      <a:lumMod val="65000"/>
                      <a:lumOff val="35000"/>
                    </a:schemeClr>
                  </a:solidFill>
                  <a:latin typeface="+mn-lt"/>
                  <a:ea typeface="+mn-ea"/>
                  <a:cs typeface="+mn-cs"/>
                </a:defRPr>
              </a:pPr>
              <a:endParaRPr lang="de-DE"/>
            </a:p>
          </c:txPr>
        </c:title>
        <c:numFmt formatCode="#,##0.0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crossAx val="862899359"/>
        <c:crosses val="autoZero"/>
        <c:crossBetween val="midCat"/>
      </c:valAx>
      <c:spPr>
        <a:noFill/>
        <a:ln>
          <a:noFill/>
        </a:ln>
        <a:effectLst/>
      </c:spPr>
    </c:plotArea>
    <c:legend>
      <c:legendPos val="t"/>
      <c:legendEntry>
        <c:idx val="3"/>
        <c:delete val="1"/>
      </c:legendEntry>
      <c:legendEntry>
        <c:idx val="4"/>
        <c:delete val="1"/>
      </c:legendEntry>
      <c:legendEntry>
        <c:idx val="5"/>
        <c:delete val="1"/>
      </c:legendEntry>
      <c:layout>
        <c:manualLayout>
          <c:xMode val="edge"/>
          <c:yMode val="edge"/>
          <c:x val="0.66904461571802476"/>
          <c:y val="0.10192081536652293"/>
          <c:w val="0.23589299044041512"/>
          <c:h val="0.10389441225766026"/>
        </c:manualLayout>
      </c:layout>
      <c:overlay val="1"/>
      <c:spPr>
        <a:solidFill>
          <a:schemeClr val="bg1"/>
        </a:solid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600"/>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'PC138.232.83.69'!$H$3</c:f>
              <c:strCache>
                <c:ptCount val="1"/>
                <c:pt idx="0">
                  <c:v>0</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9525" cap="rnd">
                <a:solidFill>
                  <a:schemeClr val="accent1"/>
                </a:solidFill>
              </a:ln>
              <a:effectLst/>
            </c:spPr>
            <c:trendlineType val="poly"/>
            <c:order val="2"/>
            <c:dispRSqr val="0"/>
            <c:dispEq val="0"/>
          </c:trendline>
          <c:xVal>
            <c:numRef>
              <c:f>'PC138.232.83.69'!$C$4:$C$10</c:f>
              <c:numCache>
                <c:formatCode>General</c:formatCode>
                <c:ptCount val="7"/>
                <c:pt idx="0">
                  <c:v>5</c:v>
                </c:pt>
                <c:pt idx="1">
                  <c:v>10</c:v>
                </c:pt>
                <c:pt idx="2">
                  <c:v>15</c:v>
                </c:pt>
                <c:pt idx="3">
                  <c:v>20</c:v>
                </c:pt>
                <c:pt idx="4">
                  <c:v>30</c:v>
                </c:pt>
                <c:pt idx="5">
                  <c:v>40</c:v>
                </c:pt>
                <c:pt idx="6">
                  <c:v>50</c:v>
                </c:pt>
              </c:numCache>
            </c:numRef>
          </c:xVal>
          <c:yVal>
            <c:numRef>
              <c:f>'PC138.232.83.69'!$H$4:$H$10</c:f>
              <c:numCache>
                <c:formatCode>0.0</c:formatCode>
                <c:ptCount val="7"/>
                <c:pt idx="0">
                  <c:v>5.3749500000000001</c:v>
                </c:pt>
                <c:pt idx="1">
                  <c:v>14.178430000000001</c:v>
                </c:pt>
                <c:pt idx="2">
                  <c:v>24.801729999999999</c:v>
                </c:pt>
                <c:pt idx="3">
                  <c:v>49.441299999999998</c:v>
                </c:pt>
                <c:pt idx="4">
                  <c:v>140.7937</c:v>
                </c:pt>
                <c:pt idx="5">
                  <c:v>203.36429999999999</c:v>
                </c:pt>
                <c:pt idx="6">
                  <c:v>391.96910000000003</c:v>
                </c:pt>
              </c:numCache>
            </c:numRef>
          </c:yVal>
          <c:smooth val="0"/>
          <c:extLst>
            <c:ext xmlns:c16="http://schemas.microsoft.com/office/drawing/2014/chart" uri="{C3380CC4-5D6E-409C-BE32-E72D297353CC}">
              <c16:uniqueId val="{00000001-5839-47CD-8E73-D8D5AABED9BC}"/>
            </c:ext>
          </c:extLst>
        </c:ser>
        <c:ser>
          <c:idx val="1"/>
          <c:order val="1"/>
          <c:tx>
            <c:strRef>
              <c:f>'PC138.232.83.69'!$I$3</c:f>
              <c:strCache>
                <c:ptCount val="1"/>
                <c:pt idx="0">
                  <c:v>1</c:v>
                </c:pt>
              </c:strCache>
            </c:strRef>
          </c:tx>
          <c:spPr>
            <a:ln w="25400" cap="rnd">
              <a:noFill/>
              <a:round/>
            </a:ln>
            <a:effectLst/>
          </c:spPr>
          <c:marker>
            <c:symbol val="square"/>
            <c:size val="4"/>
            <c:spPr>
              <a:noFill/>
              <a:ln w="9525">
                <a:solidFill>
                  <a:schemeClr val="accent2"/>
                </a:solidFill>
                <a:round/>
              </a:ln>
              <a:effectLst/>
            </c:spPr>
          </c:marker>
          <c:trendline>
            <c:spPr>
              <a:ln w="9525" cap="rnd">
                <a:solidFill>
                  <a:schemeClr val="accent2"/>
                </a:solidFill>
              </a:ln>
              <a:effectLst/>
            </c:spPr>
            <c:trendlineType val="poly"/>
            <c:order val="2"/>
            <c:dispRSqr val="0"/>
            <c:dispEq val="0"/>
          </c:trendline>
          <c:xVal>
            <c:numRef>
              <c:f>'PC138.232.83.69'!$C$4:$C$10</c:f>
              <c:numCache>
                <c:formatCode>General</c:formatCode>
                <c:ptCount val="7"/>
                <c:pt idx="0">
                  <c:v>5</c:v>
                </c:pt>
                <c:pt idx="1">
                  <c:v>10</c:v>
                </c:pt>
                <c:pt idx="2">
                  <c:v>15</c:v>
                </c:pt>
                <c:pt idx="3">
                  <c:v>20</c:v>
                </c:pt>
                <c:pt idx="4">
                  <c:v>30</c:v>
                </c:pt>
                <c:pt idx="5">
                  <c:v>40</c:v>
                </c:pt>
                <c:pt idx="6">
                  <c:v>50</c:v>
                </c:pt>
              </c:numCache>
            </c:numRef>
          </c:xVal>
          <c:yVal>
            <c:numRef>
              <c:f>'PC138.232.83.69'!$I$4:$I$10</c:f>
              <c:numCache>
                <c:formatCode>0.0</c:formatCode>
                <c:ptCount val="7"/>
                <c:pt idx="0">
                  <c:v>5.26511</c:v>
                </c:pt>
                <c:pt idx="1">
                  <c:v>13.954000000000001</c:v>
                </c:pt>
                <c:pt idx="2">
                  <c:v>35.483820000000001</c:v>
                </c:pt>
                <c:pt idx="3">
                  <c:v>38.91404</c:v>
                </c:pt>
                <c:pt idx="4">
                  <c:v>80.3172</c:v>
                </c:pt>
                <c:pt idx="5">
                  <c:v>238.9485</c:v>
                </c:pt>
                <c:pt idx="6">
                  <c:v>253.29179999999999</c:v>
                </c:pt>
              </c:numCache>
            </c:numRef>
          </c:yVal>
          <c:smooth val="0"/>
          <c:extLst>
            <c:ext xmlns:c16="http://schemas.microsoft.com/office/drawing/2014/chart" uri="{C3380CC4-5D6E-409C-BE32-E72D297353CC}">
              <c16:uniqueId val="{00000003-5839-47CD-8E73-D8D5AABED9BC}"/>
            </c:ext>
          </c:extLst>
        </c:ser>
        <c:ser>
          <c:idx val="2"/>
          <c:order val="2"/>
          <c:tx>
            <c:strRef>
              <c:f>'PC138.232.83.69'!$J$3</c:f>
              <c:strCache>
                <c:ptCount val="1"/>
                <c:pt idx="0">
                  <c:v>2</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9525" cap="rnd">
                <a:solidFill>
                  <a:schemeClr val="accent3"/>
                </a:solidFill>
              </a:ln>
              <a:effectLst/>
            </c:spPr>
            <c:trendlineType val="poly"/>
            <c:order val="2"/>
            <c:dispRSqr val="0"/>
            <c:dispEq val="0"/>
          </c:trendline>
          <c:xVal>
            <c:numRef>
              <c:f>'PC138.232.83.69'!$C$4:$C$10</c:f>
              <c:numCache>
                <c:formatCode>General</c:formatCode>
                <c:ptCount val="7"/>
                <c:pt idx="0">
                  <c:v>5</c:v>
                </c:pt>
                <c:pt idx="1">
                  <c:v>10</c:v>
                </c:pt>
                <c:pt idx="2">
                  <c:v>15</c:v>
                </c:pt>
                <c:pt idx="3">
                  <c:v>20</c:v>
                </c:pt>
                <c:pt idx="4">
                  <c:v>30</c:v>
                </c:pt>
                <c:pt idx="5">
                  <c:v>40</c:v>
                </c:pt>
                <c:pt idx="6">
                  <c:v>50</c:v>
                </c:pt>
              </c:numCache>
            </c:numRef>
          </c:xVal>
          <c:yVal>
            <c:numRef>
              <c:f>'PC138.232.83.69'!$J$4:$J$10</c:f>
              <c:numCache>
                <c:formatCode>0.0</c:formatCode>
                <c:ptCount val="7"/>
                <c:pt idx="0">
                  <c:v>5.4061240000000002</c:v>
                </c:pt>
                <c:pt idx="1">
                  <c:v>20.086189999999998</c:v>
                </c:pt>
                <c:pt idx="2">
                  <c:v>33.656410000000001</c:v>
                </c:pt>
                <c:pt idx="3">
                  <c:v>45.255800000000001</c:v>
                </c:pt>
                <c:pt idx="4">
                  <c:v>116.57129999999999</c:v>
                </c:pt>
                <c:pt idx="5">
                  <c:v>144.80510000000001</c:v>
                </c:pt>
                <c:pt idx="6">
                  <c:v>321.34100000000001</c:v>
                </c:pt>
              </c:numCache>
            </c:numRef>
          </c:yVal>
          <c:smooth val="0"/>
          <c:extLst>
            <c:ext xmlns:c16="http://schemas.microsoft.com/office/drawing/2014/chart" uri="{C3380CC4-5D6E-409C-BE32-E72D297353CC}">
              <c16:uniqueId val="{00000005-5839-47CD-8E73-D8D5AABED9BC}"/>
            </c:ext>
          </c:extLst>
        </c:ser>
        <c:dLbls>
          <c:showLegendKey val="0"/>
          <c:showVal val="0"/>
          <c:showCatName val="0"/>
          <c:showSerName val="0"/>
          <c:showPercent val="0"/>
          <c:showBubbleSize val="0"/>
        </c:dLbls>
        <c:axId val="1027735631"/>
        <c:axId val="387713424"/>
      </c:scatterChart>
      <c:valAx>
        <c:axId val="1027735631"/>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r>
                  <a:rPr lang="de-AT"/>
                  <a:t>N / [-]</a:t>
                </a:r>
              </a:p>
            </c:rich>
          </c:tx>
          <c:overlay val="0"/>
          <c:spPr>
            <a:noFill/>
            <a:ln>
              <a:noFill/>
            </a:ln>
            <a:effectLst/>
          </c:spPr>
          <c:txPr>
            <a:bodyPr rot="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387713424"/>
        <c:crosses val="autoZero"/>
        <c:crossBetween val="midCat"/>
      </c:valAx>
      <c:valAx>
        <c:axId val="38771342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r>
                  <a:rPr lang="de-AT" cap="none" baseline="0"/>
                  <a:t>t / [s]</a:t>
                </a:r>
              </a:p>
            </c:rich>
          </c:tx>
          <c:overlay val="0"/>
          <c:spPr>
            <a:noFill/>
            <a:ln>
              <a:noFill/>
            </a:ln>
            <a:effectLst/>
          </c:spPr>
          <c:txPr>
            <a:bodyPr rot="-540000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endParaRPr lang="de-DE"/>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027735631"/>
        <c:crosses val="autoZero"/>
        <c:crossBetween val="midCat"/>
      </c:valAx>
      <c:spPr>
        <a:noFill/>
        <a:ln>
          <a:noFill/>
        </a:ln>
        <a:effectLst/>
      </c:spPr>
    </c:plotArea>
    <c:legend>
      <c:legendPos val="t"/>
      <c:legendEntry>
        <c:idx val="3"/>
        <c:delete val="1"/>
      </c:legendEntry>
      <c:legendEntry>
        <c:idx val="4"/>
        <c:delete val="1"/>
      </c:legendEntry>
      <c:legendEntry>
        <c:idx val="5"/>
        <c:delete val="1"/>
      </c:legendEntry>
      <c:layout>
        <c:manualLayout>
          <c:xMode val="edge"/>
          <c:yMode val="edge"/>
          <c:x val="0.22629821237059553"/>
          <c:y val="0.11963705018027518"/>
          <c:w val="0.2175332529446522"/>
          <c:h val="0.13160287975342855"/>
        </c:manualLayout>
      </c:layout>
      <c:overlay val="1"/>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800"/>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'PC138.232.83.69'!$D$3</c:f>
              <c:strCache>
                <c:ptCount val="1"/>
                <c:pt idx="0">
                  <c:v>0</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9525" cap="rnd">
                <a:solidFill>
                  <a:schemeClr val="accent1"/>
                </a:solidFill>
              </a:ln>
              <a:effectLst/>
            </c:spPr>
            <c:trendlineType val="poly"/>
            <c:order val="2"/>
            <c:dispRSqr val="0"/>
            <c:dispEq val="0"/>
          </c:trendline>
          <c:xVal>
            <c:numRef>
              <c:f>'PC138.232.83.69'!$C$4:$C$10</c:f>
              <c:numCache>
                <c:formatCode>General</c:formatCode>
                <c:ptCount val="7"/>
                <c:pt idx="0">
                  <c:v>5</c:v>
                </c:pt>
                <c:pt idx="1">
                  <c:v>10</c:v>
                </c:pt>
                <c:pt idx="2">
                  <c:v>15</c:v>
                </c:pt>
                <c:pt idx="3">
                  <c:v>20</c:v>
                </c:pt>
                <c:pt idx="4">
                  <c:v>30</c:v>
                </c:pt>
                <c:pt idx="5">
                  <c:v>40</c:v>
                </c:pt>
                <c:pt idx="6">
                  <c:v>50</c:v>
                </c:pt>
              </c:numCache>
            </c:numRef>
          </c:xVal>
          <c:yVal>
            <c:numRef>
              <c:f>'PC138.232.83.69'!$D$4:$D$10</c:f>
              <c:numCache>
                <c:formatCode>0.0</c:formatCode>
                <c:ptCount val="7"/>
                <c:pt idx="0">
                  <c:v>4.6180890000000003</c:v>
                </c:pt>
                <c:pt idx="1">
                  <c:v>11.221299999999999</c:v>
                </c:pt>
                <c:pt idx="2">
                  <c:v>16.745439999999999</c:v>
                </c:pt>
                <c:pt idx="3">
                  <c:v>26.40624</c:v>
                </c:pt>
                <c:pt idx="4">
                  <c:v>92.758529999999993</c:v>
                </c:pt>
                <c:pt idx="5">
                  <c:v>77.154579999999996</c:v>
                </c:pt>
                <c:pt idx="6">
                  <c:v>161.89230000000001</c:v>
                </c:pt>
              </c:numCache>
            </c:numRef>
          </c:yVal>
          <c:smooth val="0"/>
          <c:extLst>
            <c:ext xmlns:c16="http://schemas.microsoft.com/office/drawing/2014/chart" uri="{C3380CC4-5D6E-409C-BE32-E72D297353CC}">
              <c16:uniqueId val="{00000001-DF4F-4471-9754-4A349DCDEC15}"/>
            </c:ext>
          </c:extLst>
        </c:ser>
        <c:ser>
          <c:idx val="1"/>
          <c:order val="1"/>
          <c:tx>
            <c:strRef>
              <c:f>'PC138.232.83.69'!$E$3</c:f>
              <c:strCache>
                <c:ptCount val="1"/>
                <c:pt idx="0">
                  <c:v>1</c:v>
                </c:pt>
              </c:strCache>
            </c:strRef>
          </c:tx>
          <c:spPr>
            <a:ln w="25400" cap="rnd">
              <a:noFill/>
              <a:round/>
            </a:ln>
            <a:effectLst/>
          </c:spPr>
          <c:marker>
            <c:symbol val="square"/>
            <c:size val="4"/>
            <c:spPr>
              <a:noFill/>
              <a:ln w="9525">
                <a:solidFill>
                  <a:schemeClr val="accent2"/>
                </a:solidFill>
                <a:round/>
              </a:ln>
              <a:effectLst/>
            </c:spPr>
          </c:marker>
          <c:trendline>
            <c:spPr>
              <a:ln w="9525" cap="rnd">
                <a:solidFill>
                  <a:schemeClr val="accent2"/>
                </a:solidFill>
              </a:ln>
              <a:effectLst/>
            </c:spPr>
            <c:trendlineType val="poly"/>
            <c:order val="2"/>
            <c:dispRSqr val="0"/>
            <c:dispEq val="0"/>
          </c:trendline>
          <c:xVal>
            <c:numRef>
              <c:f>'PC138.232.83.69'!$C$4:$C$10</c:f>
              <c:numCache>
                <c:formatCode>General</c:formatCode>
                <c:ptCount val="7"/>
                <c:pt idx="0">
                  <c:v>5</c:v>
                </c:pt>
                <c:pt idx="1">
                  <c:v>10</c:v>
                </c:pt>
                <c:pt idx="2">
                  <c:v>15</c:v>
                </c:pt>
                <c:pt idx="3">
                  <c:v>20</c:v>
                </c:pt>
                <c:pt idx="4">
                  <c:v>30</c:v>
                </c:pt>
                <c:pt idx="5">
                  <c:v>40</c:v>
                </c:pt>
                <c:pt idx="6">
                  <c:v>50</c:v>
                </c:pt>
              </c:numCache>
            </c:numRef>
          </c:xVal>
          <c:yVal>
            <c:numRef>
              <c:f>'PC138.232.83.69'!$E$4:$E$10</c:f>
              <c:numCache>
                <c:formatCode>0.0</c:formatCode>
                <c:ptCount val="7"/>
                <c:pt idx="0">
                  <c:v>4.4865680000000001</c:v>
                </c:pt>
                <c:pt idx="1">
                  <c:v>17.367740000000001</c:v>
                </c:pt>
                <c:pt idx="2">
                  <c:v>17.064879999999999</c:v>
                </c:pt>
                <c:pt idx="3">
                  <c:v>25.233789999999999</c:v>
                </c:pt>
                <c:pt idx="4">
                  <c:v>68.774100000000004</c:v>
                </c:pt>
                <c:pt idx="5">
                  <c:v>185.06180000000001</c:v>
                </c:pt>
                <c:pt idx="6">
                  <c:v>165.75470000000001</c:v>
                </c:pt>
              </c:numCache>
            </c:numRef>
          </c:yVal>
          <c:smooth val="0"/>
          <c:extLst>
            <c:ext xmlns:c16="http://schemas.microsoft.com/office/drawing/2014/chart" uri="{C3380CC4-5D6E-409C-BE32-E72D297353CC}">
              <c16:uniqueId val="{00000003-DF4F-4471-9754-4A349DCDEC15}"/>
            </c:ext>
          </c:extLst>
        </c:ser>
        <c:ser>
          <c:idx val="2"/>
          <c:order val="2"/>
          <c:tx>
            <c:strRef>
              <c:f>'PC138.232.83.69'!$F$3</c:f>
              <c:strCache>
                <c:ptCount val="1"/>
                <c:pt idx="0">
                  <c:v>2</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9525" cap="rnd">
                <a:solidFill>
                  <a:schemeClr val="accent3"/>
                </a:solidFill>
              </a:ln>
              <a:effectLst/>
            </c:spPr>
            <c:trendlineType val="poly"/>
            <c:order val="2"/>
            <c:dispRSqr val="0"/>
            <c:dispEq val="0"/>
          </c:trendline>
          <c:xVal>
            <c:numRef>
              <c:f>'PC138.232.83.69'!$C$4:$C$10</c:f>
              <c:numCache>
                <c:formatCode>General</c:formatCode>
                <c:ptCount val="7"/>
                <c:pt idx="0">
                  <c:v>5</c:v>
                </c:pt>
                <c:pt idx="1">
                  <c:v>10</c:v>
                </c:pt>
                <c:pt idx="2">
                  <c:v>15</c:v>
                </c:pt>
                <c:pt idx="3">
                  <c:v>20</c:v>
                </c:pt>
                <c:pt idx="4">
                  <c:v>30</c:v>
                </c:pt>
                <c:pt idx="5">
                  <c:v>40</c:v>
                </c:pt>
                <c:pt idx="6">
                  <c:v>50</c:v>
                </c:pt>
              </c:numCache>
            </c:numRef>
          </c:xVal>
          <c:yVal>
            <c:numRef>
              <c:f>'PC138.232.83.69'!$F$4:$F$10</c:f>
              <c:numCache>
                <c:formatCode>0.0</c:formatCode>
                <c:ptCount val="7"/>
                <c:pt idx="0">
                  <c:v>4.4469779999999997</c:v>
                </c:pt>
                <c:pt idx="1">
                  <c:v>10.33446</c:v>
                </c:pt>
                <c:pt idx="2">
                  <c:v>16.56589</c:v>
                </c:pt>
                <c:pt idx="3">
                  <c:v>24.411020000000001</c:v>
                </c:pt>
                <c:pt idx="4">
                  <c:v>67.986249999999998</c:v>
                </c:pt>
                <c:pt idx="5">
                  <c:v>128.1086</c:v>
                </c:pt>
                <c:pt idx="6">
                  <c:v>231.1447</c:v>
                </c:pt>
              </c:numCache>
            </c:numRef>
          </c:yVal>
          <c:smooth val="0"/>
          <c:extLst>
            <c:ext xmlns:c16="http://schemas.microsoft.com/office/drawing/2014/chart" uri="{C3380CC4-5D6E-409C-BE32-E72D297353CC}">
              <c16:uniqueId val="{00000005-DF4F-4471-9754-4A349DCDEC15}"/>
            </c:ext>
          </c:extLst>
        </c:ser>
        <c:dLbls>
          <c:showLegendKey val="0"/>
          <c:showVal val="0"/>
          <c:showCatName val="0"/>
          <c:showSerName val="0"/>
          <c:showPercent val="0"/>
          <c:showBubbleSize val="0"/>
        </c:dLbls>
        <c:axId val="1027735631"/>
        <c:axId val="387713424"/>
      </c:scatterChart>
      <c:valAx>
        <c:axId val="1027735631"/>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r>
                  <a:rPr lang="de-AT"/>
                  <a:t>N / [-]</a:t>
                </a:r>
              </a:p>
            </c:rich>
          </c:tx>
          <c:overlay val="0"/>
          <c:spPr>
            <a:noFill/>
            <a:ln>
              <a:noFill/>
            </a:ln>
            <a:effectLst/>
          </c:spPr>
          <c:txPr>
            <a:bodyPr rot="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387713424"/>
        <c:crosses val="autoZero"/>
        <c:crossBetween val="midCat"/>
      </c:valAx>
      <c:valAx>
        <c:axId val="387713424"/>
        <c:scaling>
          <c:orientation val="minMax"/>
          <c:max val="5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r>
                  <a:rPr lang="de-AT" cap="none" baseline="0"/>
                  <a:t>t / [s]</a:t>
                </a:r>
              </a:p>
            </c:rich>
          </c:tx>
          <c:overlay val="0"/>
          <c:spPr>
            <a:noFill/>
            <a:ln>
              <a:noFill/>
            </a:ln>
            <a:effectLst/>
          </c:spPr>
          <c:txPr>
            <a:bodyPr rot="-540000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endParaRPr lang="de-DE"/>
            </a:p>
          </c:txPr>
        </c:title>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027735631"/>
        <c:crosses val="autoZero"/>
        <c:crossBetween val="midCat"/>
      </c:valAx>
      <c:spPr>
        <a:noFill/>
        <a:ln>
          <a:noFill/>
        </a:ln>
        <a:effectLst/>
      </c:spPr>
    </c:plotArea>
    <c:legend>
      <c:legendPos val="t"/>
      <c:legendEntry>
        <c:idx val="3"/>
        <c:delete val="1"/>
      </c:legendEntry>
      <c:legendEntry>
        <c:idx val="4"/>
        <c:delete val="1"/>
      </c:legendEntry>
      <c:legendEntry>
        <c:idx val="5"/>
        <c:delete val="1"/>
      </c:legendEntry>
      <c:layout>
        <c:manualLayout>
          <c:xMode val="edge"/>
          <c:yMode val="edge"/>
          <c:x val="0.22179601667438634"/>
          <c:y val="0.10521566720759745"/>
          <c:w val="0.21758443723946272"/>
          <c:h val="0.13160287975342855"/>
        </c:manualLayout>
      </c:layout>
      <c:overlay val="1"/>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800"/>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'PC138.232.83.69_.1s'!$D$3</c:f>
              <c:strCache>
                <c:ptCount val="1"/>
                <c:pt idx="0">
                  <c:v>0</c:v>
                </c:pt>
              </c:strCache>
            </c:strRef>
          </c:tx>
          <c:spPr>
            <a:ln w="38100" cap="rnd">
              <a:noFill/>
              <a:round/>
            </a:ln>
            <a:effectLst/>
          </c:spPr>
          <c:marker>
            <c:symbol val="diamond"/>
            <c:size val="4"/>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xVal>
            <c:numRef>
              <c:f>'PC138.232.83.69_.1s'!$C$4:$C$10</c:f>
              <c:numCache>
                <c:formatCode>General</c:formatCode>
                <c:ptCount val="7"/>
                <c:pt idx="0">
                  <c:v>5</c:v>
                </c:pt>
                <c:pt idx="1">
                  <c:v>10</c:v>
                </c:pt>
                <c:pt idx="2">
                  <c:v>15</c:v>
                </c:pt>
                <c:pt idx="3">
                  <c:v>20</c:v>
                </c:pt>
                <c:pt idx="4">
                  <c:v>30</c:v>
                </c:pt>
                <c:pt idx="5">
                  <c:v>40</c:v>
                </c:pt>
                <c:pt idx="6">
                  <c:v>50</c:v>
                </c:pt>
              </c:numCache>
            </c:numRef>
          </c:xVal>
          <c:yVal>
            <c:numRef>
              <c:f>'PC138.232.83.69_.1s'!$D$4:$D$10</c:f>
              <c:numCache>
                <c:formatCode>0.0</c:formatCode>
                <c:ptCount val="7"/>
                <c:pt idx="0">
                  <c:v>270.56815999999998</c:v>
                </c:pt>
                <c:pt idx="1">
                  <c:v>294.96854000000002</c:v>
                </c:pt>
                <c:pt idx="2">
                  <c:v>398.59973000000002</c:v>
                </c:pt>
                <c:pt idx="3">
                  <c:v>577.11878999999999</c:v>
                </c:pt>
                <c:pt idx="4">
                  <c:v>1022.77</c:v>
                </c:pt>
                <c:pt idx="5">
                  <c:v>1445.4703</c:v>
                </c:pt>
                <c:pt idx="6">
                  <c:v>1961.0148999999999</c:v>
                </c:pt>
              </c:numCache>
            </c:numRef>
          </c:yVal>
          <c:smooth val="0"/>
          <c:extLst>
            <c:ext xmlns:c16="http://schemas.microsoft.com/office/drawing/2014/chart" uri="{C3380CC4-5D6E-409C-BE32-E72D297353CC}">
              <c16:uniqueId val="{00000001-5E6E-42CD-B6B0-74A260F4E2E3}"/>
            </c:ext>
          </c:extLst>
        </c:ser>
        <c:ser>
          <c:idx val="1"/>
          <c:order val="1"/>
          <c:tx>
            <c:strRef>
              <c:f>'PC138.232.83.69_.1s'!$E$3</c:f>
              <c:strCache>
                <c:ptCount val="1"/>
                <c:pt idx="0">
                  <c:v>1</c:v>
                </c:pt>
              </c:strCache>
            </c:strRef>
          </c:tx>
          <c:spPr>
            <a:ln w="38100" cap="rnd">
              <a:noFill/>
              <a:round/>
            </a:ln>
            <a:effectLst/>
          </c:spPr>
          <c:marker>
            <c:symbol val="square"/>
            <c:size val="4"/>
            <c:spPr>
              <a:noFill/>
              <a:ln w="9525">
                <a:solidFill>
                  <a:schemeClr val="accent2"/>
                </a:solidFill>
              </a:ln>
              <a:effectLst/>
            </c:spPr>
          </c:marker>
          <c:trendline>
            <c:spPr>
              <a:ln w="19050" cap="rnd">
                <a:solidFill>
                  <a:schemeClr val="accent2"/>
                </a:solidFill>
                <a:prstDash val="sysDot"/>
              </a:ln>
              <a:effectLst/>
            </c:spPr>
            <c:trendlineType val="poly"/>
            <c:order val="2"/>
            <c:dispRSqr val="0"/>
            <c:dispEq val="0"/>
          </c:trendline>
          <c:xVal>
            <c:numRef>
              <c:f>'PC138.232.83.69_.1s'!$C$4:$C$10</c:f>
              <c:numCache>
                <c:formatCode>General</c:formatCode>
                <c:ptCount val="7"/>
                <c:pt idx="0">
                  <c:v>5</c:v>
                </c:pt>
                <c:pt idx="1">
                  <c:v>10</c:v>
                </c:pt>
                <c:pt idx="2">
                  <c:v>15</c:v>
                </c:pt>
                <c:pt idx="3">
                  <c:v>20</c:v>
                </c:pt>
                <c:pt idx="4">
                  <c:v>30</c:v>
                </c:pt>
                <c:pt idx="5">
                  <c:v>40</c:v>
                </c:pt>
                <c:pt idx="6">
                  <c:v>50</c:v>
                </c:pt>
              </c:numCache>
            </c:numRef>
          </c:xVal>
          <c:yVal>
            <c:numRef>
              <c:f>'PC138.232.83.69_.1s'!$E$4:$E$10</c:f>
              <c:numCache>
                <c:formatCode>0.0</c:formatCode>
                <c:ptCount val="7"/>
                <c:pt idx="0">
                  <c:v>161.26495</c:v>
                </c:pt>
                <c:pt idx="1">
                  <c:v>294.54313000000002</c:v>
                </c:pt>
                <c:pt idx="2">
                  <c:v>379.45871</c:v>
                </c:pt>
                <c:pt idx="3">
                  <c:v>544.28210000000001</c:v>
                </c:pt>
                <c:pt idx="4">
                  <c:v>899.81044999999995</c:v>
                </c:pt>
                <c:pt idx="5">
                  <c:v>1198.6017999999999</c:v>
                </c:pt>
                <c:pt idx="6">
                  <c:v>1562.444</c:v>
                </c:pt>
              </c:numCache>
            </c:numRef>
          </c:yVal>
          <c:smooth val="0"/>
          <c:extLst>
            <c:ext xmlns:c16="http://schemas.microsoft.com/office/drawing/2014/chart" uri="{C3380CC4-5D6E-409C-BE32-E72D297353CC}">
              <c16:uniqueId val="{00000003-5E6E-42CD-B6B0-74A260F4E2E3}"/>
            </c:ext>
          </c:extLst>
        </c:ser>
        <c:ser>
          <c:idx val="2"/>
          <c:order val="2"/>
          <c:tx>
            <c:strRef>
              <c:f>'PC138.232.83.69_.1s'!$F$3</c:f>
              <c:strCache>
                <c:ptCount val="1"/>
                <c:pt idx="0">
                  <c:v>2</c:v>
                </c:pt>
              </c:strCache>
            </c:strRef>
          </c:tx>
          <c:spPr>
            <a:ln w="38100" cap="rnd">
              <a:noFill/>
              <a:round/>
            </a:ln>
            <a:effectLst/>
          </c:spPr>
          <c:marker>
            <c:symbol val="triangle"/>
            <c:size val="4"/>
            <c:spPr>
              <a:solidFill>
                <a:schemeClr val="accent3"/>
              </a:solidFill>
              <a:ln w="9525">
                <a:solidFill>
                  <a:schemeClr val="accent3"/>
                </a:solidFill>
              </a:ln>
              <a:effectLst/>
            </c:spPr>
          </c:marker>
          <c:trendline>
            <c:spPr>
              <a:ln w="19050" cap="rnd">
                <a:solidFill>
                  <a:schemeClr val="accent3"/>
                </a:solidFill>
                <a:prstDash val="sysDot"/>
              </a:ln>
              <a:effectLst/>
            </c:spPr>
            <c:trendlineType val="poly"/>
            <c:order val="2"/>
            <c:dispRSqr val="0"/>
            <c:dispEq val="0"/>
          </c:trendline>
          <c:xVal>
            <c:numRef>
              <c:f>'PC138.232.83.69_.1s'!$C$4:$C$10</c:f>
              <c:numCache>
                <c:formatCode>General</c:formatCode>
                <c:ptCount val="7"/>
                <c:pt idx="0">
                  <c:v>5</c:v>
                </c:pt>
                <c:pt idx="1">
                  <c:v>10</c:v>
                </c:pt>
                <c:pt idx="2">
                  <c:v>15</c:v>
                </c:pt>
                <c:pt idx="3">
                  <c:v>20</c:v>
                </c:pt>
                <c:pt idx="4">
                  <c:v>30</c:v>
                </c:pt>
                <c:pt idx="5">
                  <c:v>40</c:v>
                </c:pt>
                <c:pt idx="6">
                  <c:v>50</c:v>
                </c:pt>
              </c:numCache>
            </c:numRef>
          </c:xVal>
          <c:yVal>
            <c:numRef>
              <c:f>'PC138.232.83.69_.1s'!$F$4:$F$10</c:f>
              <c:numCache>
                <c:formatCode>0.0</c:formatCode>
                <c:ptCount val="7"/>
                <c:pt idx="0">
                  <c:v>154.64041</c:v>
                </c:pt>
                <c:pt idx="1">
                  <c:v>302.88073000000003</c:v>
                </c:pt>
                <c:pt idx="2">
                  <c:v>390.06990999999999</c:v>
                </c:pt>
                <c:pt idx="3">
                  <c:v>566.32552999999996</c:v>
                </c:pt>
                <c:pt idx="4">
                  <c:v>886.10365000000002</c:v>
                </c:pt>
                <c:pt idx="5">
                  <c:v>1257.0944</c:v>
                </c:pt>
                <c:pt idx="6">
                  <c:v>1857.1475</c:v>
                </c:pt>
              </c:numCache>
            </c:numRef>
          </c:yVal>
          <c:smooth val="0"/>
          <c:extLst>
            <c:ext xmlns:c16="http://schemas.microsoft.com/office/drawing/2014/chart" uri="{C3380CC4-5D6E-409C-BE32-E72D297353CC}">
              <c16:uniqueId val="{00000005-5E6E-42CD-B6B0-74A260F4E2E3}"/>
            </c:ext>
          </c:extLst>
        </c:ser>
        <c:dLbls>
          <c:showLegendKey val="0"/>
          <c:showVal val="0"/>
          <c:showCatName val="0"/>
          <c:showSerName val="0"/>
          <c:showPercent val="0"/>
          <c:showBubbleSize val="0"/>
        </c:dLbls>
        <c:axId val="1027735631"/>
        <c:axId val="387713424"/>
      </c:scatterChart>
      <c:valAx>
        <c:axId val="1027735631"/>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AT"/>
                  <a:t>N /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387713424"/>
        <c:crosses val="autoZero"/>
        <c:crossBetween val="midCat"/>
      </c:valAx>
      <c:valAx>
        <c:axId val="387713424"/>
        <c:scaling>
          <c:orientation val="minMax"/>
          <c:max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AT"/>
                  <a:t>t /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027735631"/>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layout>
        <c:manualLayout>
          <c:xMode val="edge"/>
          <c:yMode val="edge"/>
          <c:x val="0.27821423475278118"/>
          <c:y val="0.12643145773106959"/>
          <c:w val="0.21763564562666898"/>
          <c:h val="0.1271182380092955"/>
        </c:manualLayout>
      </c:layout>
      <c:overlay val="1"/>
      <c:spPr>
        <a:noFill/>
        <a:ln>
          <a:solidFill>
            <a:schemeClr val="bg1"/>
          </a:solid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pPr>
      <a:endParaRPr lang="de-D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'PC138.232.83.69_.1s'!$H$3</c:f>
              <c:strCache>
                <c:ptCount val="1"/>
                <c:pt idx="0">
                  <c:v>0</c:v>
                </c:pt>
              </c:strCache>
            </c:strRef>
          </c:tx>
          <c:spPr>
            <a:ln w="25400" cap="rnd">
              <a:noFill/>
              <a:round/>
            </a:ln>
            <a:effectLst/>
          </c:spPr>
          <c:marker>
            <c:symbol val="diamond"/>
            <c:size val="4"/>
            <c:spPr>
              <a:solidFill>
                <a:schemeClr val="accent1"/>
              </a:solidFill>
              <a:ln w="9525">
                <a:solidFill>
                  <a:schemeClr val="accent1"/>
                </a:solidFill>
              </a:ln>
              <a:effectLst/>
            </c:spPr>
          </c:marker>
          <c:trendline>
            <c:spPr>
              <a:ln w="19050" cap="rnd">
                <a:solidFill>
                  <a:schemeClr val="accent1"/>
                </a:solidFill>
                <a:prstDash val="sysDot"/>
              </a:ln>
              <a:effectLst/>
            </c:spPr>
            <c:trendlineType val="poly"/>
            <c:order val="2"/>
            <c:dispRSqr val="0"/>
            <c:dispEq val="0"/>
          </c:trendline>
          <c:xVal>
            <c:numRef>
              <c:f>'PC138.232.83.69_.1s'!$C$4:$C$10</c:f>
              <c:numCache>
                <c:formatCode>General</c:formatCode>
                <c:ptCount val="7"/>
                <c:pt idx="0">
                  <c:v>5</c:v>
                </c:pt>
                <c:pt idx="1">
                  <c:v>10</c:v>
                </c:pt>
                <c:pt idx="2">
                  <c:v>15</c:v>
                </c:pt>
                <c:pt idx="3">
                  <c:v>20</c:v>
                </c:pt>
                <c:pt idx="4">
                  <c:v>30</c:v>
                </c:pt>
                <c:pt idx="5">
                  <c:v>40</c:v>
                </c:pt>
                <c:pt idx="6">
                  <c:v>50</c:v>
                </c:pt>
              </c:numCache>
            </c:numRef>
          </c:xVal>
          <c:yVal>
            <c:numRef>
              <c:f>'PC138.232.83.69_.1s'!$H$4:$H$10</c:f>
              <c:numCache>
                <c:formatCode>0.0</c:formatCode>
                <c:ptCount val="7"/>
                <c:pt idx="0">
                  <c:v>150.72888</c:v>
                </c:pt>
                <c:pt idx="1">
                  <c:v>306.58917000000002</c:v>
                </c:pt>
                <c:pt idx="2">
                  <c:v>385.44931000000003</c:v>
                </c:pt>
                <c:pt idx="3">
                  <c:v>533.20300999999995</c:v>
                </c:pt>
                <c:pt idx="4">
                  <c:v>854.37028999999995</c:v>
                </c:pt>
                <c:pt idx="5">
                  <c:v>1166.6252999999999</c:v>
                </c:pt>
                <c:pt idx="6">
                  <c:v>1517.1359</c:v>
                </c:pt>
              </c:numCache>
            </c:numRef>
          </c:yVal>
          <c:smooth val="0"/>
          <c:extLst>
            <c:ext xmlns:c16="http://schemas.microsoft.com/office/drawing/2014/chart" uri="{C3380CC4-5D6E-409C-BE32-E72D297353CC}">
              <c16:uniqueId val="{00000001-CAF6-4EFA-B11B-4F4DA949AA9F}"/>
            </c:ext>
          </c:extLst>
        </c:ser>
        <c:ser>
          <c:idx val="1"/>
          <c:order val="1"/>
          <c:tx>
            <c:strRef>
              <c:f>'PC138.232.83.69_.1s'!$I$3</c:f>
              <c:strCache>
                <c:ptCount val="1"/>
                <c:pt idx="0">
                  <c:v>1</c:v>
                </c:pt>
              </c:strCache>
            </c:strRef>
          </c:tx>
          <c:spPr>
            <a:ln w="25400" cap="rnd">
              <a:noFill/>
              <a:round/>
            </a:ln>
            <a:effectLst/>
          </c:spPr>
          <c:marker>
            <c:symbol val="square"/>
            <c:size val="4"/>
            <c:spPr>
              <a:noFill/>
              <a:ln w="9525">
                <a:solidFill>
                  <a:schemeClr val="accent2"/>
                </a:solidFill>
              </a:ln>
              <a:effectLst/>
            </c:spPr>
          </c:marker>
          <c:trendline>
            <c:spPr>
              <a:ln w="19050" cap="rnd">
                <a:solidFill>
                  <a:schemeClr val="accent2"/>
                </a:solidFill>
                <a:prstDash val="sysDot"/>
              </a:ln>
              <a:effectLst/>
            </c:spPr>
            <c:trendlineType val="poly"/>
            <c:order val="2"/>
            <c:dispRSqr val="0"/>
            <c:dispEq val="0"/>
          </c:trendline>
          <c:xVal>
            <c:numRef>
              <c:f>'PC138.232.83.69_.1s'!$C$4:$C$10</c:f>
              <c:numCache>
                <c:formatCode>General</c:formatCode>
                <c:ptCount val="7"/>
                <c:pt idx="0">
                  <c:v>5</c:v>
                </c:pt>
                <c:pt idx="1">
                  <c:v>10</c:v>
                </c:pt>
                <c:pt idx="2">
                  <c:v>15</c:v>
                </c:pt>
                <c:pt idx="3">
                  <c:v>20</c:v>
                </c:pt>
                <c:pt idx="4">
                  <c:v>30</c:v>
                </c:pt>
                <c:pt idx="5">
                  <c:v>40</c:v>
                </c:pt>
                <c:pt idx="6">
                  <c:v>50</c:v>
                </c:pt>
              </c:numCache>
            </c:numRef>
          </c:xVal>
          <c:yVal>
            <c:numRef>
              <c:f>'PC138.232.83.69_.1s'!$I$4:$I$10</c:f>
              <c:numCache>
                <c:formatCode>0.0</c:formatCode>
                <c:ptCount val="7"/>
                <c:pt idx="0">
                  <c:v>157.63899000000001</c:v>
                </c:pt>
                <c:pt idx="1">
                  <c:v>289.56867999999997</c:v>
                </c:pt>
                <c:pt idx="2">
                  <c:v>382.39629000000002</c:v>
                </c:pt>
                <c:pt idx="3">
                  <c:v>548.91980000000001</c:v>
                </c:pt>
                <c:pt idx="4">
                  <c:v>811.96614</c:v>
                </c:pt>
                <c:pt idx="5">
                  <c:v>1124.8806</c:v>
                </c:pt>
                <c:pt idx="6">
                  <c:v>1480.9748999999999</c:v>
                </c:pt>
              </c:numCache>
            </c:numRef>
          </c:yVal>
          <c:smooth val="0"/>
          <c:extLst>
            <c:ext xmlns:c16="http://schemas.microsoft.com/office/drawing/2014/chart" uri="{C3380CC4-5D6E-409C-BE32-E72D297353CC}">
              <c16:uniqueId val="{00000003-CAF6-4EFA-B11B-4F4DA949AA9F}"/>
            </c:ext>
          </c:extLst>
        </c:ser>
        <c:ser>
          <c:idx val="2"/>
          <c:order val="2"/>
          <c:tx>
            <c:strRef>
              <c:f>'PC138.232.83.69_.1s'!$J$3</c:f>
              <c:strCache>
                <c:ptCount val="1"/>
                <c:pt idx="0">
                  <c:v>2</c:v>
                </c:pt>
              </c:strCache>
            </c:strRef>
          </c:tx>
          <c:spPr>
            <a:ln w="25400" cap="rnd">
              <a:noFill/>
              <a:round/>
            </a:ln>
            <a:effectLst/>
          </c:spPr>
          <c:marker>
            <c:symbol val="triangle"/>
            <c:size val="4"/>
            <c:spPr>
              <a:solidFill>
                <a:schemeClr val="accent3"/>
              </a:solidFill>
              <a:ln w="9525">
                <a:solidFill>
                  <a:schemeClr val="accent3"/>
                </a:solidFill>
              </a:ln>
              <a:effectLst/>
            </c:spPr>
          </c:marker>
          <c:trendline>
            <c:spPr>
              <a:ln w="19050" cap="rnd">
                <a:solidFill>
                  <a:schemeClr val="accent3"/>
                </a:solidFill>
                <a:prstDash val="sysDot"/>
              </a:ln>
              <a:effectLst/>
            </c:spPr>
            <c:trendlineType val="poly"/>
            <c:order val="2"/>
            <c:dispRSqr val="0"/>
            <c:dispEq val="0"/>
          </c:trendline>
          <c:xVal>
            <c:numRef>
              <c:f>'PC138.232.83.69_.1s'!$C$4:$C$10</c:f>
              <c:numCache>
                <c:formatCode>General</c:formatCode>
                <c:ptCount val="7"/>
                <c:pt idx="0">
                  <c:v>5</c:v>
                </c:pt>
                <c:pt idx="1">
                  <c:v>10</c:v>
                </c:pt>
                <c:pt idx="2">
                  <c:v>15</c:v>
                </c:pt>
                <c:pt idx="3">
                  <c:v>20</c:v>
                </c:pt>
                <c:pt idx="4">
                  <c:v>30</c:v>
                </c:pt>
                <c:pt idx="5">
                  <c:v>40</c:v>
                </c:pt>
                <c:pt idx="6">
                  <c:v>50</c:v>
                </c:pt>
              </c:numCache>
            </c:numRef>
          </c:xVal>
          <c:yVal>
            <c:numRef>
              <c:f>'PC138.232.83.69_.1s'!$J$4:$J$10</c:f>
              <c:numCache>
                <c:formatCode>0.0</c:formatCode>
                <c:ptCount val="7"/>
                <c:pt idx="0">
                  <c:v>150.99245999999999</c:v>
                </c:pt>
                <c:pt idx="1">
                  <c:v>290.65293000000003</c:v>
                </c:pt>
                <c:pt idx="2">
                  <c:v>381.85714000000002</c:v>
                </c:pt>
                <c:pt idx="3">
                  <c:v>542.80897000000004</c:v>
                </c:pt>
                <c:pt idx="4">
                  <c:v>882.57839000000001</c:v>
                </c:pt>
                <c:pt idx="5">
                  <c:v>1277.8907999999999</c:v>
                </c:pt>
                <c:pt idx="6">
                  <c:v>1486.135</c:v>
                </c:pt>
              </c:numCache>
            </c:numRef>
          </c:yVal>
          <c:smooth val="0"/>
          <c:extLst>
            <c:ext xmlns:c16="http://schemas.microsoft.com/office/drawing/2014/chart" uri="{C3380CC4-5D6E-409C-BE32-E72D297353CC}">
              <c16:uniqueId val="{00000005-CAF6-4EFA-B11B-4F4DA949AA9F}"/>
            </c:ext>
          </c:extLst>
        </c:ser>
        <c:dLbls>
          <c:showLegendKey val="0"/>
          <c:showVal val="0"/>
          <c:showCatName val="0"/>
          <c:showSerName val="0"/>
          <c:showPercent val="0"/>
          <c:showBubbleSize val="0"/>
        </c:dLbls>
        <c:axId val="1027735631"/>
        <c:axId val="387713424"/>
      </c:scatterChart>
      <c:valAx>
        <c:axId val="1027735631"/>
        <c:scaling>
          <c:orientation val="minMax"/>
          <c:max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AT"/>
                  <a:t>N /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387713424"/>
        <c:crosses val="autoZero"/>
        <c:crossBetween val="midCat"/>
      </c:valAx>
      <c:valAx>
        <c:axId val="387713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de-AT"/>
                  <a:t>t / [s]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1027735631"/>
        <c:crosses val="autoZero"/>
        <c:crossBetween val="midCat"/>
      </c:valAx>
      <c:spPr>
        <a:noFill/>
        <a:ln>
          <a:noFill/>
        </a:ln>
        <a:effectLst/>
      </c:spPr>
    </c:plotArea>
    <c:legend>
      <c:legendPos val="b"/>
      <c:legendEntry>
        <c:idx val="3"/>
        <c:delete val="1"/>
      </c:legendEntry>
      <c:legendEntry>
        <c:idx val="4"/>
        <c:delete val="1"/>
      </c:legendEntry>
      <c:legendEntry>
        <c:idx val="5"/>
        <c:delete val="1"/>
      </c:legendEntry>
      <c:layout>
        <c:manualLayout>
          <c:xMode val="edge"/>
          <c:yMode val="edge"/>
          <c:x val="0.30065489386642202"/>
          <c:y val="0.11818866267214606"/>
          <c:w val="0.21376187199900984"/>
          <c:h val="0.12483922577406908"/>
        </c:manualLayout>
      </c:layout>
      <c:overlay val="1"/>
      <c:spPr>
        <a:noFill/>
        <a:ln>
          <a:solidFill>
            <a:schemeClr val="bg1"/>
          </a:solid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pPr>
      <a:endParaRPr lang="de-D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strRef>
              <c:f>M!$A$4</c:f>
              <c:strCache>
                <c:ptCount val="1"/>
                <c:pt idx="0">
                  <c:v>VDI</c:v>
                </c:pt>
              </c:strCache>
            </c:strRef>
          </c:tx>
          <c:spPr>
            <a:ln w="25400" cap="rnd">
              <a:noFill/>
              <a:round/>
            </a:ln>
            <a:effectLst/>
          </c:spPr>
          <c:marker>
            <c:symbol val="square"/>
            <c:size val="4"/>
            <c:spPr>
              <a:solidFill>
                <a:schemeClr val="accent2"/>
              </a:solidFill>
              <a:ln w="9525">
                <a:solidFill>
                  <a:schemeClr val="accent2"/>
                </a:solidFill>
                <a:round/>
              </a:ln>
              <a:effectLst/>
            </c:spPr>
          </c:marker>
          <c:trendline>
            <c:spPr>
              <a:ln w="9525" cap="rnd">
                <a:solidFill>
                  <a:schemeClr val="accent2"/>
                </a:solidFill>
              </a:ln>
              <a:effectLst/>
            </c:spPr>
            <c:trendlineType val="poly"/>
            <c:order val="2"/>
            <c:dispRSqr val="0"/>
            <c:dispEq val="0"/>
          </c:trendline>
          <c:xVal>
            <c:numRef>
              <c:f>M!$C$2:$G$2</c:f>
              <c:numCache>
                <c:formatCode>0</c:formatCode>
                <c:ptCount val="5"/>
                <c:pt idx="0">
                  <c:v>1</c:v>
                </c:pt>
                <c:pt idx="1">
                  <c:v>5</c:v>
                </c:pt>
                <c:pt idx="2">
                  <c:v>10</c:v>
                </c:pt>
                <c:pt idx="3">
                  <c:v>50</c:v>
                </c:pt>
                <c:pt idx="4">
                  <c:v>200</c:v>
                </c:pt>
              </c:numCache>
            </c:numRef>
          </c:xVal>
          <c:yVal>
            <c:numRef>
              <c:f>M!$C$4:$G$4</c:f>
              <c:numCache>
                <c:formatCode>0.0</c:formatCode>
                <c:ptCount val="5"/>
                <c:pt idx="0">
                  <c:v>25</c:v>
                </c:pt>
                <c:pt idx="1">
                  <c:v>43.450849718747364</c:v>
                </c:pt>
                <c:pt idx="2">
                  <c:v>58.778470752104738</c:v>
                </c:pt>
                <c:pt idx="3">
                  <c:v>137.63834764831842</c:v>
                </c:pt>
                <c:pt idx="4">
                  <c:v>338.52669529663689</c:v>
                </c:pt>
              </c:numCache>
            </c:numRef>
          </c:yVal>
          <c:smooth val="0"/>
          <c:extLst>
            <c:ext xmlns:c16="http://schemas.microsoft.com/office/drawing/2014/chart" uri="{C3380CC4-5D6E-409C-BE32-E72D297353CC}">
              <c16:uniqueId val="{00000001-6036-4D98-8416-9828550308A7}"/>
            </c:ext>
          </c:extLst>
        </c:ser>
        <c:ser>
          <c:idx val="2"/>
          <c:order val="1"/>
          <c:tx>
            <c:strRef>
              <c:f>M!$A$8</c:f>
              <c:strCache>
                <c:ptCount val="1"/>
                <c:pt idx="0">
                  <c:v>15 min</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9525" cap="rnd">
                <a:solidFill>
                  <a:schemeClr val="accent3"/>
                </a:solidFill>
              </a:ln>
              <a:effectLst/>
            </c:spPr>
            <c:trendlineType val="linear"/>
            <c:dispRSqr val="0"/>
            <c:dispEq val="0"/>
          </c:trendline>
          <c:xVal>
            <c:numRef>
              <c:f>M!$C$2:$G$2</c:f>
              <c:numCache>
                <c:formatCode>0</c:formatCode>
                <c:ptCount val="5"/>
                <c:pt idx="0">
                  <c:v>1</c:v>
                </c:pt>
                <c:pt idx="1">
                  <c:v>5</c:v>
                </c:pt>
                <c:pt idx="2">
                  <c:v>10</c:v>
                </c:pt>
                <c:pt idx="3">
                  <c:v>50</c:v>
                </c:pt>
                <c:pt idx="4">
                  <c:v>200</c:v>
                </c:pt>
              </c:numCache>
            </c:numRef>
          </c:xVal>
          <c:yVal>
            <c:numRef>
              <c:f>M!$C$8:$G$8</c:f>
              <c:numCache>
                <c:formatCode>0.0</c:formatCode>
                <c:ptCount val="5"/>
                <c:pt idx="0">
                  <c:v>2.8</c:v>
                </c:pt>
                <c:pt idx="1">
                  <c:v>14</c:v>
                </c:pt>
                <c:pt idx="2">
                  <c:v>28</c:v>
                </c:pt>
                <c:pt idx="3">
                  <c:v>140</c:v>
                </c:pt>
                <c:pt idx="4">
                  <c:v>560</c:v>
                </c:pt>
              </c:numCache>
            </c:numRef>
          </c:yVal>
          <c:smooth val="0"/>
          <c:extLst>
            <c:ext xmlns:c16="http://schemas.microsoft.com/office/drawing/2014/chart" uri="{C3380CC4-5D6E-409C-BE32-E72D297353CC}">
              <c16:uniqueId val="{00000003-6036-4D98-8416-9828550308A7}"/>
            </c:ext>
          </c:extLst>
        </c:ser>
        <c:ser>
          <c:idx val="0"/>
          <c:order val="2"/>
          <c:tx>
            <c:strRef>
              <c:f>M!$A$9</c:f>
              <c:strCache>
                <c:ptCount val="1"/>
                <c:pt idx="0">
                  <c:v>1 h</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9525" cap="rnd">
                <a:solidFill>
                  <a:schemeClr val="accent1"/>
                </a:solidFill>
              </a:ln>
              <a:effectLst/>
            </c:spPr>
            <c:trendlineType val="linear"/>
            <c:dispRSqr val="0"/>
            <c:dispEq val="0"/>
          </c:trendline>
          <c:xVal>
            <c:numRef>
              <c:f>M!$C$2:$G$2</c:f>
              <c:numCache>
                <c:formatCode>0</c:formatCode>
                <c:ptCount val="5"/>
                <c:pt idx="0">
                  <c:v>1</c:v>
                </c:pt>
                <c:pt idx="1">
                  <c:v>5</c:v>
                </c:pt>
                <c:pt idx="2">
                  <c:v>10</c:v>
                </c:pt>
                <c:pt idx="3">
                  <c:v>50</c:v>
                </c:pt>
                <c:pt idx="4">
                  <c:v>200</c:v>
                </c:pt>
              </c:numCache>
            </c:numRef>
          </c:xVal>
          <c:yVal>
            <c:numRef>
              <c:f>M!$C$9:$G$9</c:f>
              <c:numCache>
                <c:formatCode>0.0</c:formatCode>
                <c:ptCount val="5"/>
                <c:pt idx="0">
                  <c:v>0.7</c:v>
                </c:pt>
                <c:pt idx="1">
                  <c:v>3.5</c:v>
                </c:pt>
                <c:pt idx="2">
                  <c:v>7</c:v>
                </c:pt>
                <c:pt idx="3">
                  <c:v>35</c:v>
                </c:pt>
                <c:pt idx="4">
                  <c:v>140</c:v>
                </c:pt>
              </c:numCache>
            </c:numRef>
          </c:yVal>
          <c:smooth val="0"/>
          <c:extLst>
            <c:ext xmlns:c16="http://schemas.microsoft.com/office/drawing/2014/chart" uri="{C3380CC4-5D6E-409C-BE32-E72D297353CC}">
              <c16:uniqueId val="{00000005-6036-4D98-8416-9828550308A7}"/>
            </c:ext>
          </c:extLst>
        </c:ser>
        <c:dLbls>
          <c:showLegendKey val="0"/>
          <c:showVal val="0"/>
          <c:showCatName val="0"/>
          <c:showSerName val="0"/>
          <c:showPercent val="0"/>
          <c:showBubbleSize val="0"/>
        </c:dLbls>
        <c:axId val="2022310255"/>
        <c:axId val="2061954319"/>
      </c:scatterChart>
      <c:valAx>
        <c:axId val="2022310255"/>
        <c:scaling>
          <c:orientation val="minMax"/>
          <c:max val="2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r>
                  <a:rPr lang="de-AT" cap="none" baseline="0"/>
                  <a:t>N</a:t>
                </a:r>
                <a:r>
                  <a:rPr lang="de-AT" cap="none" baseline="-25000"/>
                  <a:t>flat</a:t>
                </a:r>
                <a:r>
                  <a:rPr lang="de-AT" cap="none" baseline="0"/>
                  <a:t> / [-]</a:t>
                </a:r>
              </a:p>
            </c:rich>
          </c:tx>
          <c:overlay val="0"/>
          <c:spPr>
            <a:noFill/>
            <a:ln>
              <a:noFill/>
            </a:ln>
            <a:effectLst/>
          </c:spPr>
          <c:txPr>
            <a:bodyPr rot="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2061954319"/>
        <c:crossesAt val="1"/>
        <c:crossBetween val="midCat"/>
      </c:valAx>
      <c:valAx>
        <c:axId val="2061954319"/>
        <c:scaling>
          <c:logBase val="10"/>
          <c:orientation val="minMax"/>
          <c:max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r>
                  <a:rPr lang="de-AT"/>
                  <a:t>Q</a:t>
                </a:r>
                <a:r>
                  <a:rPr lang="de-AT" baseline="30000"/>
                  <a:t>.</a:t>
                </a:r>
                <a:r>
                  <a:rPr lang="de-AT"/>
                  <a:t> / [kW]</a:t>
                </a:r>
              </a:p>
            </c:rich>
          </c:tx>
          <c:overlay val="0"/>
          <c:spPr>
            <a:noFill/>
            <a:ln>
              <a:noFill/>
            </a:ln>
            <a:effectLst/>
          </c:spPr>
          <c:txPr>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endParaRPr lang="de-DE"/>
            </a:p>
          </c:txPr>
        </c:title>
        <c:numFmt formatCode="0.E+0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2022310255"/>
        <c:crosses val="autoZero"/>
        <c:crossBetween val="midCat"/>
      </c:valAx>
      <c:spPr>
        <a:noFill/>
        <a:ln>
          <a:noFill/>
        </a:ln>
        <a:effectLst/>
      </c:spPr>
    </c:plotArea>
    <c:legend>
      <c:legendPos val="t"/>
      <c:legendEntry>
        <c:idx val="3"/>
        <c:delete val="1"/>
      </c:legendEntry>
      <c:legendEntry>
        <c:idx val="4"/>
        <c:delete val="1"/>
      </c:legendEntry>
      <c:legendEntry>
        <c:idx val="5"/>
        <c:delete val="1"/>
      </c:legendEntry>
      <c:layout>
        <c:manualLayout>
          <c:xMode val="edge"/>
          <c:yMode val="edge"/>
          <c:x val="0.27749283633123839"/>
          <c:y val="9.947319163852944E-2"/>
          <c:w val="0.38988630467434343"/>
          <c:h val="0.12670701847671387"/>
        </c:manualLayout>
      </c:layout>
      <c:overlay val="1"/>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lt1"/>
    </a:solidFill>
    <a:ln w="9525" cap="flat" cmpd="sng" algn="ctr">
      <a:noFill/>
      <a:round/>
    </a:ln>
    <a:effectLst/>
  </c:spPr>
  <c:txPr>
    <a:bodyPr/>
    <a:lstStyle/>
    <a:p>
      <a:pPr>
        <a:defRPr sz="800"/>
      </a:pPr>
      <a:endParaRPr lang="de-D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strRef>
              <c:f>M!$A$4</c:f>
              <c:strCache>
                <c:ptCount val="1"/>
                <c:pt idx="0">
                  <c:v>VDI</c:v>
                </c:pt>
              </c:strCache>
            </c:strRef>
          </c:tx>
          <c:spPr>
            <a:ln w="25400" cap="rnd">
              <a:noFill/>
              <a:round/>
            </a:ln>
            <a:effectLst/>
          </c:spPr>
          <c:marker>
            <c:symbol val="square"/>
            <c:size val="4"/>
            <c:spPr>
              <a:solidFill>
                <a:schemeClr val="accent2"/>
              </a:solidFill>
              <a:ln w="9525">
                <a:solidFill>
                  <a:schemeClr val="accent2"/>
                </a:solidFill>
                <a:round/>
              </a:ln>
              <a:effectLst/>
            </c:spPr>
          </c:marker>
          <c:trendline>
            <c:spPr>
              <a:ln w="9525" cap="rnd">
                <a:solidFill>
                  <a:schemeClr val="accent2"/>
                </a:solidFill>
              </a:ln>
              <a:effectLst/>
            </c:spPr>
            <c:trendlineType val="poly"/>
            <c:order val="2"/>
            <c:dispRSqr val="0"/>
            <c:dispEq val="0"/>
          </c:trendline>
          <c:xVal>
            <c:numRef>
              <c:f>M!$C$2:$G$2</c:f>
              <c:numCache>
                <c:formatCode>0</c:formatCode>
                <c:ptCount val="5"/>
                <c:pt idx="0">
                  <c:v>1</c:v>
                </c:pt>
                <c:pt idx="1">
                  <c:v>5</c:v>
                </c:pt>
                <c:pt idx="2">
                  <c:v>10</c:v>
                </c:pt>
                <c:pt idx="3">
                  <c:v>50</c:v>
                </c:pt>
                <c:pt idx="4">
                  <c:v>200</c:v>
                </c:pt>
              </c:numCache>
            </c:numRef>
          </c:xVal>
          <c:yVal>
            <c:numRef>
              <c:f>M!$C$4:$G$4</c:f>
              <c:numCache>
                <c:formatCode>0.0</c:formatCode>
                <c:ptCount val="5"/>
                <c:pt idx="0">
                  <c:v>25</c:v>
                </c:pt>
                <c:pt idx="1">
                  <c:v>43.450849718747364</c:v>
                </c:pt>
                <c:pt idx="2">
                  <c:v>58.778470752104738</c:v>
                </c:pt>
                <c:pt idx="3">
                  <c:v>137.63834764831842</c:v>
                </c:pt>
                <c:pt idx="4">
                  <c:v>338.52669529663689</c:v>
                </c:pt>
              </c:numCache>
            </c:numRef>
          </c:yVal>
          <c:smooth val="0"/>
          <c:extLst>
            <c:ext xmlns:c16="http://schemas.microsoft.com/office/drawing/2014/chart" uri="{C3380CC4-5D6E-409C-BE32-E72D297353CC}">
              <c16:uniqueId val="{00000001-E0DC-4FD5-A8FF-8528EF124AF2}"/>
            </c:ext>
          </c:extLst>
        </c:ser>
        <c:ser>
          <c:idx val="2"/>
          <c:order val="1"/>
          <c:tx>
            <c:strRef>
              <c:f>M!$A$8</c:f>
              <c:strCache>
                <c:ptCount val="1"/>
                <c:pt idx="0">
                  <c:v>15 min</c:v>
                </c:pt>
              </c:strCache>
            </c:strRef>
          </c:tx>
          <c:spPr>
            <a:ln w="25400" cap="rnd">
              <a:noFill/>
              <a:round/>
            </a:ln>
            <a:effectLst/>
          </c:spPr>
          <c:marker>
            <c:symbol val="triangle"/>
            <c:size val="4"/>
            <c:spPr>
              <a:solidFill>
                <a:schemeClr val="accent3"/>
              </a:solidFill>
              <a:ln w="9525">
                <a:solidFill>
                  <a:schemeClr val="accent3"/>
                </a:solidFill>
                <a:round/>
              </a:ln>
              <a:effectLst/>
            </c:spPr>
          </c:marker>
          <c:trendline>
            <c:spPr>
              <a:ln w="9525" cap="rnd">
                <a:solidFill>
                  <a:schemeClr val="accent3"/>
                </a:solidFill>
              </a:ln>
              <a:effectLst/>
            </c:spPr>
            <c:trendlineType val="linear"/>
            <c:dispRSqr val="0"/>
            <c:dispEq val="0"/>
          </c:trendline>
          <c:xVal>
            <c:numRef>
              <c:f>M!$C$2:$G$2</c:f>
              <c:numCache>
                <c:formatCode>0</c:formatCode>
                <c:ptCount val="5"/>
                <c:pt idx="0">
                  <c:v>1</c:v>
                </c:pt>
                <c:pt idx="1">
                  <c:v>5</c:v>
                </c:pt>
                <c:pt idx="2">
                  <c:v>10</c:v>
                </c:pt>
                <c:pt idx="3">
                  <c:v>50</c:v>
                </c:pt>
                <c:pt idx="4">
                  <c:v>200</c:v>
                </c:pt>
              </c:numCache>
            </c:numRef>
          </c:xVal>
          <c:yVal>
            <c:numRef>
              <c:f>M!$C$18:$G$18</c:f>
              <c:numCache>
                <c:formatCode>0.0</c:formatCode>
                <c:ptCount val="5"/>
                <c:pt idx="0">
                  <c:v>5.6</c:v>
                </c:pt>
                <c:pt idx="1">
                  <c:v>28</c:v>
                </c:pt>
                <c:pt idx="2">
                  <c:v>56</c:v>
                </c:pt>
                <c:pt idx="3">
                  <c:v>280</c:v>
                </c:pt>
                <c:pt idx="4">
                  <c:v>1120</c:v>
                </c:pt>
              </c:numCache>
            </c:numRef>
          </c:yVal>
          <c:smooth val="0"/>
          <c:extLst>
            <c:ext xmlns:c16="http://schemas.microsoft.com/office/drawing/2014/chart" uri="{C3380CC4-5D6E-409C-BE32-E72D297353CC}">
              <c16:uniqueId val="{00000003-E0DC-4FD5-A8FF-8528EF124AF2}"/>
            </c:ext>
          </c:extLst>
        </c:ser>
        <c:ser>
          <c:idx val="0"/>
          <c:order val="2"/>
          <c:tx>
            <c:strRef>
              <c:f>M!$A$9</c:f>
              <c:strCache>
                <c:ptCount val="1"/>
                <c:pt idx="0">
                  <c:v>1 h</c:v>
                </c:pt>
              </c:strCache>
            </c:strRef>
          </c:tx>
          <c:spPr>
            <a:ln w="25400" cap="rnd">
              <a:noFill/>
              <a:round/>
            </a:ln>
            <a:effectLst/>
          </c:spPr>
          <c:marker>
            <c:symbol val="diamond"/>
            <c:size val="4"/>
            <c:spPr>
              <a:solidFill>
                <a:schemeClr val="accent1"/>
              </a:solidFill>
              <a:ln w="9525">
                <a:solidFill>
                  <a:schemeClr val="accent1"/>
                </a:solidFill>
                <a:round/>
              </a:ln>
              <a:effectLst/>
            </c:spPr>
          </c:marker>
          <c:trendline>
            <c:spPr>
              <a:ln w="9525" cap="rnd">
                <a:solidFill>
                  <a:schemeClr val="accent1"/>
                </a:solidFill>
              </a:ln>
              <a:effectLst/>
            </c:spPr>
            <c:trendlineType val="linear"/>
            <c:dispRSqr val="0"/>
            <c:dispEq val="0"/>
          </c:trendline>
          <c:xVal>
            <c:numRef>
              <c:f>M!$C$2:$G$2</c:f>
              <c:numCache>
                <c:formatCode>0</c:formatCode>
                <c:ptCount val="5"/>
                <c:pt idx="0">
                  <c:v>1</c:v>
                </c:pt>
                <c:pt idx="1">
                  <c:v>5</c:v>
                </c:pt>
                <c:pt idx="2">
                  <c:v>10</c:v>
                </c:pt>
                <c:pt idx="3">
                  <c:v>50</c:v>
                </c:pt>
                <c:pt idx="4">
                  <c:v>200</c:v>
                </c:pt>
              </c:numCache>
            </c:numRef>
          </c:xVal>
          <c:yVal>
            <c:numRef>
              <c:f>M!$C$19:$G$19</c:f>
              <c:numCache>
                <c:formatCode>0.0</c:formatCode>
                <c:ptCount val="5"/>
                <c:pt idx="0">
                  <c:v>1.4</c:v>
                </c:pt>
                <c:pt idx="1">
                  <c:v>7</c:v>
                </c:pt>
                <c:pt idx="2">
                  <c:v>14</c:v>
                </c:pt>
                <c:pt idx="3">
                  <c:v>70</c:v>
                </c:pt>
                <c:pt idx="4">
                  <c:v>280</c:v>
                </c:pt>
              </c:numCache>
            </c:numRef>
          </c:yVal>
          <c:smooth val="0"/>
          <c:extLst>
            <c:ext xmlns:c16="http://schemas.microsoft.com/office/drawing/2014/chart" uri="{C3380CC4-5D6E-409C-BE32-E72D297353CC}">
              <c16:uniqueId val="{00000005-E0DC-4FD5-A8FF-8528EF124AF2}"/>
            </c:ext>
          </c:extLst>
        </c:ser>
        <c:dLbls>
          <c:showLegendKey val="0"/>
          <c:showVal val="0"/>
          <c:showCatName val="0"/>
          <c:showSerName val="0"/>
          <c:showPercent val="0"/>
          <c:showBubbleSize val="0"/>
        </c:dLbls>
        <c:axId val="2022310255"/>
        <c:axId val="2061954319"/>
      </c:scatterChart>
      <c:valAx>
        <c:axId val="2022310255"/>
        <c:scaling>
          <c:orientation val="minMax"/>
          <c:max val="2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r>
                  <a:rPr lang="de-AT" cap="none" baseline="0"/>
                  <a:t>N</a:t>
                </a:r>
                <a:r>
                  <a:rPr lang="de-AT" cap="none" baseline="-25000"/>
                  <a:t>flat</a:t>
                </a:r>
                <a:r>
                  <a:rPr lang="de-AT" cap="none" baseline="0"/>
                  <a:t> / [-]</a:t>
                </a:r>
              </a:p>
            </c:rich>
          </c:tx>
          <c:overlay val="0"/>
          <c:spPr>
            <a:noFill/>
            <a:ln>
              <a:noFill/>
            </a:ln>
            <a:effectLst/>
          </c:spPr>
          <c:txPr>
            <a:bodyPr rot="0" spcFirstLastPara="1" vertOverflow="ellipsis" vert="horz" wrap="square" anchor="ctr" anchorCtr="1"/>
            <a:lstStyle/>
            <a:p>
              <a:pPr>
                <a:defRPr sz="800" b="0" i="0" u="none" strike="noStrike" kern="1200" cap="none" baseline="0">
                  <a:solidFill>
                    <a:schemeClr val="tx1">
                      <a:lumMod val="65000"/>
                      <a:lumOff val="35000"/>
                    </a:schemeClr>
                  </a:solidFill>
                  <a:latin typeface="+mn-lt"/>
                  <a:ea typeface="+mn-ea"/>
                  <a:cs typeface="+mn-cs"/>
                </a:defRPr>
              </a:pPr>
              <a:endParaRPr lang="de-DE"/>
            </a:p>
          </c:txPr>
        </c:title>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2061954319"/>
        <c:crosses val="autoZero"/>
        <c:crossBetween val="midCat"/>
      </c:valAx>
      <c:valAx>
        <c:axId val="2061954319"/>
        <c:scaling>
          <c:logBase val="10"/>
          <c:orientation val="minMax"/>
          <c:min val="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r>
                  <a:rPr lang="de-AT"/>
                  <a:t>Q</a:t>
                </a:r>
                <a:r>
                  <a:rPr lang="de-AT" baseline="30000"/>
                  <a:t>.</a:t>
                </a:r>
                <a:r>
                  <a:rPr lang="de-AT"/>
                  <a:t> / [kW]</a:t>
                </a:r>
              </a:p>
            </c:rich>
          </c:tx>
          <c:overlay val="0"/>
          <c:spPr>
            <a:noFill/>
            <a:ln>
              <a:noFill/>
            </a:ln>
            <a:effectLst/>
          </c:spPr>
          <c:txPr>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endParaRPr lang="de-DE"/>
            </a:p>
          </c:txPr>
        </c:title>
        <c:numFmt formatCode="0.E+0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crossAx val="2022310255"/>
        <c:crosses val="autoZero"/>
        <c:crossBetween val="midCat"/>
      </c:valAx>
      <c:spPr>
        <a:noFill/>
        <a:ln>
          <a:noFill/>
        </a:ln>
        <a:effectLst/>
      </c:spPr>
    </c:plotArea>
    <c:legend>
      <c:legendPos val="t"/>
      <c:legendEntry>
        <c:idx val="3"/>
        <c:delete val="1"/>
      </c:legendEntry>
      <c:legendEntry>
        <c:idx val="4"/>
        <c:delete val="1"/>
      </c:legendEntry>
      <c:legendEntry>
        <c:idx val="5"/>
        <c:delete val="1"/>
      </c:legendEntry>
      <c:layout>
        <c:manualLayout>
          <c:xMode val="edge"/>
          <c:yMode val="edge"/>
          <c:x val="0.27790737519842484"/>
          <c:y val="0.10391385873069939"/>
          <c:w val="0.38979617839032255"/>
          <c:h val="0.12619672037572024"/>
        </c:manualLayout>
      </c:layout>
      <c:overlay val="1"/>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chart>
  <c:spPr>
    <a:solidFill>
      <a:schemeClr val="lt1"/>
    </a:solidFill>
    <a:ln w="9525" cap="flat" cmpd="sng" algn="ctr">
      <a:noFill/>
      <a:round/>
    </a:ln>
    <a:effectLst/>
  </c:spPr>
  <c:txPr>
    <a:bodyPr/>
    <a:lstStyle/>
    <a:p>
      <a:pPr>
        <a:defRPr sz="800"/>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5695</Words>
  <Characters>30715</Characters>
  <Application>Microsoft Office Word</Application>
  <DocSecurity>0</DocSecurity>
  <Lines>255</Lines>
  <Paragraphs>72</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dc:description/>
  <cp:lastModifiedBy>Ochs, Fabian</cp:lastModifiedBy>
  <cp:revision>3</cp:revision>
  <cp:lastPrinted>2023-02-22T09:40:00Z</cp:lastPrinted>
  <dcterms:created xsi:type="dcterms:W3CDTF">2026-09-09T10:22:00Z</dcterms:created>
  <dcterms:modified xsi:type="dcterms:W3CDTF">2026-09-09T10:24:00Z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