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65A206B5" w:rsidR="00DB52E7" w:rsidRDefault="004053B5" w:rsidP="007D0A57">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4B3249DD" w14:textId="260640D7" w:rsidR="0C3545CD" w:rsidRDefault="008C7DC5" w:rsidP="007D0A57">
      <w:pPr>
        <w:pStyle w:val="SWCTitle"/>
        <w:rPr>
          <w:rFonts w:ascii="Times New Roman" w:hAnsi="Times New Roman"/>
          <w:b w:val="0"/>
          <w:sz w:val="20"/>
          <w:szCs w:val="20"/>
        </w:rPr>
      </w:pPr>
      <w:r w:rsidRPr="008C7DC5">
        <w:rPr>
          <w:sz w:val="28"/>
          <w:szCs w:val="28"/>
        </w:rPr>
        <w:t>BUILDING ARCHETYPE DEVELOPMENT FOR AGGREGATED BUILDING MODELS - METHODOLOGY AND CASE STUDY RESULTS</w:t>
      </w:r>
    </w:p>
    <w:p w14:paraId="5850DC36" w14:textId="54E3B00D" w:rsidR="006B3D49" w:rsidRPr="00151CB8" w:rsidRDefault="00151CB8" w:rsidP="007D0A57">
      <w:pPr>
        <w:pStyle w:val="SWCTitle"/>
        <w:spacing w:before="0" w:after="0"/>
        <w:jc w:val="left"/>
        <w:rPr>
          <w:rFonts w:ascii="Times New Roman" w:hAnsi="Times New Roman"/>
          <w:b w:val="0"/>
          <w:sz w:val="20"/>
          <w:szCs w:val="20"/>
          <w:lang w:val="de-DE"/>
        </w:rPr>
      </w:pPr>
      <w:r w:rsidRPr="00151CB8">
        <w:rPr>
          <w:rFonts w:ascii="Times New Roman" w:hAnsi="Times New Roman"/>
          <w:b w:val="0"/>
          <w:sz w:val="20"/>
          <w:szCs w:val="20"/>
          <w:lang w:val="de-DE"/>
        </w:rPr>
        <w:t>Stefanie Lott</w:t>
      </w:r>
      <w:r w:rsidR="00FD2D84" w:rsidRPr="00FD2D84">
        <w:rPr>
          <w:rFonts w:ascii="Times New Roman" w:hAnsi="Times New Roman"/>
          <w:b w:val="0"/>
          <w:sz w:val="20"/>
          <w:szCs w:val="20"/>
          <w:vertAlign w:val="superscript"/>
          <w:lang w:val="de-DE"/>
        </w:rPr>
        <w:t>1</w:t>
      </w:r>
      <w:r w:rsidR="0C3545CD" w:rsidRPr="00151CB8">
        <w:rPr>
          <w:rFonts w:ascii="Times New Roman" w:hAnsi="Times New Roman"/>
          <w:b w:val="0"/>
          <w:sz w:val="20"/>
          <w:szCs w:val="20"/>
          <w:lang w:val="de-DE"/>
        </w:rPr>
        <w:t xml:space="preserve">, </w:t>
      </w:r>
      <w:r w:rsidRPr="00151CB8">
        <w:rPr>
          <w:rFonts w:ascii="Times New Roman" w:hAnsi="Times New Roman"/>
          <w:b w:val="0"/>
          <w:sz w:val="20"/>
          <w:szCs w:val="20"/>
          <w:lang w:val="de-DE"/>
        </w:rPr>
        <w:t>Harald Drück</w:t>
      </w:r>
      <w:r w:rsidR="00FD2D84" w:rsidRPr="00FD2D84">
        <w:rPr>
          <w:rFonts w:ascii="Times New Roman" w:hAnsi="Times New Roman"/>
          <w:b w:val="0"/>
          <w:sz w:val="20"/>
          <w:szCs w:val="20"/>
          <w:vertAlign w:val="superscript"/>
          <w:lang w:val="de-DE"/>
        </w:rPr>
        <w:t>1</w:t>
      </w:r>
      <w:r w:rsidR="0C3545CD" w:rsidRPr="00151CB8">
        <w:rPr>
          <w:rFonts w:ascii="Times New Roman" w:hAnsi="Times New Roman"/>
          <w:b w:val="0"/>
          <w:sz w:val="20"/>
          <w:szCs w:val="20"/>
          <w:lang w:val="de-DE"/>
        </w:rPr>
        <w:t xml:space="preserve">, </w:t>
      </w:r>
      <w:r w:rsidRPr="00151CB8">
        <w:rPr>
          <w:rFonts w:ascii="Times New Roman" w:hAnsi="Times New Roman"/>
          <w:b w:val="0"/>
          <w:sz w:val="20"/>
          <w:szCs w:val="20"/>
          <w:lang w:val="de-DE"/>
        </w:rPr>
        <w:t>Konstantinos Stergiaropoulos</w:t>
      </w:r>
      <w:r w:rsidR="00FD2D84" w:rsidRPr="00FD2D84">
        <w:rPr>
          <w:rFonts w:ascii="Times New Roman" w:hAnsi="Times New Roman"/>
          <w:b w:val="0"/>
          <w:sz w:val="20"/>
          <w:szCs w:val="20"/>
          <w:vertAlign w:val="superscript"/>
          <w:lang w:val="de-DE"/>
        </w:rPr>
        <w:t>1</w:t>
      </w:r>
    </w:p>
    <w:p w14:paraId="721C9126" w14:textId="3DE5B36C" w:rsidR="00151CB8" w:rsidRDefault="00FD2D84" w:rsidP="007D0A57">
      <w:pPr>
        <w:pStyle w:val="SWCTitle"/>
        <w:spacing w:before="0" w:after="0"/>
        <w:jc w:val="left"/>
        <w:rPr>
          <w:rFonts w:ascii="Times New Roman" w:hAnsi="Times New Roman"/>
          <w:b w:val="0"/>
          <w:sz w:val="20"/>
          <w:szCs w:val="22"/>
        </w:rPr>
      </w:pPr>
      <w:r w:rsidRPr="00FD2D84">
        <w:rPr>
          <w:rFonts w:ascii="Times New Roman" w:hAnsi="Times New Roman"/>
          <w:b w:val="0"/>
          <w:sz w:val="20"/>
          <w:szCs w:val="22"/>
          <w:vertAlign w:val="superscript"/>
        </w:rPr>
        <w:t>1</w:t>
      </w:r>
      <w:r w:rsidR="00151CB8" w:rsidRPr="00151CB8">
        <w:rPr>
          <w:rFonts w:ascii="Times New Roman" w:hAnsi="Times New Roman"/>
          <w:b w:val="0"/>
          <w:sz w:val="20"/>
          <w:szCs w:val="22"/>
        </w:rPr>
        <w:t xml:space="preserve">University of Stuttgart, Institute of Building Energetics, </w:t>
      </w:r>
      <w:proofErr w:type="spellStart"/>
      <w:r w:rsidR="00151CB8" w:rsidRPr="00151CB8">
        <w:rPr>
          <w:rFonts w:ascii="Times New Roman" w:hAnsi="Times New Roman"/>
          <w:b w:val="0"/>
          <w:sz w:val="20"/>
          <w:szCs w:val="22"/>
        </w:rPr>
        <w:t>Thermotechnology</w:t>
      </w:r>
      <w:proofErr w:type="spellEnd"/>
      <w:r w:rsidR="00151CB8" w:rsidRPr="00151CB8">
        <w:rPr>
          <w:rFonts w:ascii="Times New Roman" w:hAnsi="Times New Roman"/>
          <w:b w:val="0"/>
          <w:sz w:val="20"/>
          <w:szCs w:val="22"/>
        </w:rPr>
        <w:t xml:space="preserve"> and Energy Storage (IGTE), Stuttgart (Germany) </w:t>
      </w:r>
    </w:p>
    <w:p w14:paraId="18FA38F1" w14:textId="4FC1E4F5" w:rsidR="006B3D49" w:rsidRDefault="00151CB8" w:rsidP="007D0A57">
      <w:pPr>
        <w:pStyle w:val="SWCTitle"/>
        <w:spacing w:before="0" w:after="0"/>
        <w:jc w:val="left"/>
        <w:rPr>
          <w:rFonts w:ascii="Times New Roman" w:hAnsi="Times New Roman"/>
          <w:b w:val="0"/>
          <w:sz w:val="20"/>
          <w:szCs w:val="22"/>
        </w:rPr>
      </w:pPr>
      <w:r>
        <w:rPr>
          <w:rFonts w:ascii="Times New Roman" w:hAnsi="Times New Roman"/>
          <w:b w:val="0"/>
          <w:sz w:val="20"/>
          <w:szCs w:val="22"/>
        </w:rPr>
        <w:t>stefanie.lott@igte.uni-stuttgart.de</w:t>
      </w:r>
    </w:p>
    <w:p w14:paraId="3A7DF4B5" w14:textId="6F51DBA9" w:rsidR="001A775B" w:rsidRDefault="0C3545CD" w:rsidP="007D0A57">
      <w:pPr>
        <w:pStyle w:val="SWCSummary"/>
      </w:pPr>
      <w:r>
        <w:t>Summary</w:t>
      </w:r>
    </w:p>
    <w:p w14:paraId="41A9552D" w14:textId="44B3A4BE" w:rsidR="00024CFB" w:rsidRDefault="00024CFB" w:rsidP="007D0A57">
      <w:pPr>
        <w:pStyle w:val="SWCText"/>
      </w:pPr>
      <w:r w:rsidRPr="00024CFB">
        <w:t>Aggregated building models are urban building energy models (UBEM) in which model complexity is reduced through the use of building archetypes</w:t>
      </w:r>
      <w:r>
        <w:t xml:space="preserve">. Building archetypes are </w:t>
      </w:r>
      <w:r w:rsidRPr="00024CFB">
        <w:t xml:space="preserve">groups of buildings classified by shared energy-related characteristics such as </w:t>
      </w:r>
      <w:r>
        <w:t xml:space="preserve">building </w:t>
      </w:r>
      <w:r w:rsidRPr="00024CFB">
        <w:t>size</w:t>
      </w:r>
      <w:r w:rsidR="00CE018E">
        <w:t xml:space="preserve">, </w:t>
      </w:r>
      <w:r w:rsidRPr="00024CFB">
        <w:t>age</w:t>
      </w:r>
      <w:r w:rsidR="00B903E4">
        <w:t xml:space="preserve"> class</w:t>
      </w:r>
      <w:r w:rsidRPr="00024CFB">
        <w:t xml:space="preserve"> and energy supply system. They are important tools for analyzing heating, cooling, and electricity demand at </w:t>
      </w:r>
      <w:r w:rsidR="0061020F">
        <w:t>building</w:t>
      </w:r>
      <w:r w:rsidRPr="00024CFB">
        <w:t xml:space="preserve"> to </w:t>
      </w:r>
      <w:r w:rsidR="0061020F">
        <w:t>district</w:t>
      </w:r>
      <w:r>
        <w:t xml:space="preserve"> </w:t>
      </w:r>
      <w:r w:rsidR="0061020F">
        <w:t>level</w:t>
      </w:r>
      <w:r w:rsidRPr="00024CFB">
        <w:t xml:space="preserve">. This article </w:t>
      </w:r>
      <w:r w:rsidR="0061020F" w:rsidRPr="0061020F">
        <w:t>describes the development of</w:t>
      </w:r>
      <w:r w:rsidRPr="00024CFB">
        <w:t xml:space="preserve"> an extended aggregated building model that refines national building archetypes into local </w:t>
      </w:r>
      <w:r>
        <w:t xml:space="preserve">building </w:t>
      </w:r>
      <w:r w:rsidRPr="00024CFB">
        <w:t>archetypes, embedded in a dialogue process with heterogeneous stakeholders to support decisions toward</w:t>
      </w:r>
      <w:r w:rsidR="006D3DB9">
        <w:t>s</w:t>
      </w:r>
      <w:r w:rsidRPr="00024CFB">
        <w:t xml:space="preserve"> climate-neutral energy systems. </w:t>
      </w:r>
      <w:r>
        <w:t>A s</w:t>
      </w:r>
      <w:r w:rsidRPr="00024CFB">
        <w:t xml:space="preserve">takeholder survey </w:t>
      </w:r>
      <w:r>
        <w:t>was</w:t>
      </w:r>
      <w:r w:rsidRPr="00024CFB">
        <w:t xml:space="preserve"> used to collect building, energy</w:t>
      </w:r>
      <w:r>
        <w:t xml:space="preserve"> </w:t>
      </w:r>
      <w:r w:rsidRPr="00024CFB">
        <w:t>supply</w:t>
      </w:r>
      <w:r>
        <w:t xml:space="preserve"> system</w:t>
      </w:r>
      <w:r w:rsidRPr="00024CFB">
        <w:t xml:space="preserve">, and user-behavior data as model input. Simulation results for national, local, and stakeholder-specific building archetypes are compared against reference </w:t>
      </w:r>
      <w:r w:rsidR="006D3DB9">
        <w:t xml:space="preserve">final energy consumption </w:t>
      </w:r>
      <w:r w:rsidRPr="00024CFB">
        <w:t>at building and block level</w:t>
      </w:r>
      <w:r>
        <w:t>.</w:t>
      </w:r>
      <w:r w:rsidRPr="00024CFB">
        <w:t xml:space="preserve"> </w:t>
      </w:r>
      <w:r>
        <w:t>With the</w:t>
      </w:r>
      <w:r w:rsidRPr="00024CFB">
        <w:t xml:space="preserve"> </w:t>
      </w:r>
      <w:r w:rsidR="00B52188">
        <w:t>newly developed</w:t>
      </w:r>
      <w:r w:rsidR="00B52188" w:rsidRPr="00024CFB">
        <w:t xml:space="preserve"> </w:t>
      </w:r>
      <w:r>
        <w:t xml:space="preserve">building </w:t>
      </w:r>
      <w:r w:rsidRPr="00024CFB">
        <w:t xml:space="preserve">archetypes, </w:t>
      </w:r>
      <w:r>
        <w:t xml:space="preserve">a </w:t>
      </w:r>
      <w:r w:rsidRPr="00024CFB">
        <w:t xml:space="preserve">closer agreement with </w:t>
      </w:r>
      <w:r w:rsidR="006D3DB9">
        <w:t xml:space="preserve">building </w:t>
      </w:r>
      <w:r w:rsidRPr="00024CFB">
        <w:t>block</w:t>
      </w:r>
      <w:r>
        <w:t xml:space="preserve"> </w:t>
      </w:r>
      <w:r w:rsidRPr="00024CFB">
        <w:t xml:space="preserve">level reference </w:t>
      </w:r>
      <w:r w:rsidR="006D3DB9">
        <w:t xml:space="preserve">consumption </w:t>
      </w:r>
      <w:r w:rsidRPr="00024CFB">
        <w:t xml:space="preserve">than </w:t>
      </w:r>
      <w:r>
        <w:t xml:space="preserve">with </w:t>
      </w:r>
      <w:r w:rsidRPr="00024CFB">
        <w:t>the national</w:t>
      </w:r>
      <w:r>
        <w:t xml:space="preserve"> building</w:t>
      </w:r>
      <w:r w:rsidRPr="00024CFB">
        <w:t xml:space="preserve"> archetype</w:t>
      </w:r>
      <w:r>
        <w:t>s</w:t>
      </w:r>
      <w:r w:rsidRPr="00024CFB">
        <w:t xml:space="preserve"> </w:t>
      </w:r>
      <w:r w:rsidR="0061020F">
        <w:t>i</w:t>
      </w:r>
      <w:r>
        <w:t xml:space="preserve">s </w:t>
      </w:r>
      <w:r w:rsidRPr="00024CFB">
        <w:t>achieve</w:t>
      </w:r>
      <w:r>
        <w:t>d</w:t>
      </w:r>
      <w:r w:rsidRPr="00024CFB">
        <w:t>, while at building level they show a larger oppositely signed bias.</w:t>
      </w:r>
      <w:r>
        <w:t xml:space="preserve"> Further validation is required to conclusively confirm the model's behavior at </w:t>
      </w:r>
      <w:r w:rsidR="00B903E4">
        <w:t>all spatial and temporal level</w:t>
      </w:r>
      <w:r>
        <w:t>.</w:t>
      </w:r>
    </w:p>
    <w:p w14:paraId="5AB3A3E7" w14:textId="3AC3F300" w:rsidR="00DB52E7" w:rsidRDefault="00151CB8" w:rsidP="002C7721">
      <w:pPr>
        <w:pStyle w:val="SWCText"/>
        <w:spacing w:line="240" w:lineRule="auto"/>
        <w:ind w:left="992" w:hanging="992"/>
        <w:rPr>
          <w:i/>
          <w:iCs/>
        </w:rPr>
      </w:pPr>
      <w:r>
        <w:rPr>
          <w:i/>
          <w:iCs/>
        </w:rPr>
        <w:t xml:space="preserve">Keywords: </w:t>
      </w:r>
      <w:r w:rsidRPr="00151CB8">
        <w:rPr>
          <w:i/>
          <w:iCs/>
        </w:rPr>
        <w:t>Urban Building Energy Modeling, Aggregated Building Models, Local Building Archetypes, Stakeholder Surveys</w:t>
      </w:r>
    </w:p>
    <w:p w14:paraId="01458796" w14:textId="7D9CCF29" w:rsidR="00FA4DF8" w:rsidRDefault="002C089D" w:rsidP="002C7721">
      <w:pPr>
        <w:pStyle w:val="SWCText"/>
        <w:spacing w:line="240" w:lineRule="auto"/>
        <w:ind w:left="3119" w:hanging="3119"/>
        <w:rPr>
          <w:i/>
          <w:iCs/>
        </w:rPr>
      </w:pPr>
      <w:r>
        <w:rPr>
          <w:i/>
          <w:iCs/>
        </w:rPr>
        <w:t>Field of application for the findings:</w:t>
      </w:r>
      <w:r w:rsidR="00151CB8" w:rsidRPr="00151CB8">
        <w:rPr>
          <w:i/>
          <w:iCs/>
          <w:color w:val="auto"/>
        </w:rPr>
        <w:t xml:space="preserve"> </w:t>
      </w:r>
      <w:r w:rsidR="00151CB8" w:rsidRPr="000D559A">
        <w:rPr>
          <w:i/>
          <w:iCs/>
          <w:color w:val="auto"/>
        </w:rPr>
        <w:t xml:space="preserve">Urban Energy Planning </w:t>
      </w:r>
      <w:r w:rsidR="00151CB8" w:rsidRPr="005A3789">
        <w:rPr>
          <w:i/>
          <w:iCs/>
        </w:rPr>
        <w:t xml:space="preserve">of </w:t>
      </w:r>
      <w:r w:rsidR="00151CB8">
        <w:rPr>
          <w:i/>
          <w:iCs/>
        </w:rPr>
        <w:t>R</w:t>
      </w:r>
      <w:r w:rsidR="00151CB8" w:rsidRPr="005A3789">
        <w:rPr>
          <w:i/>
          <w:iCs/>
        </w:rPr>
        <w:t xml:space="preserve">esidential, </w:t>
      </w:r>
      <w:r w:rsidR="00151CB8">
        <w:rPr>
          <w:i/>
          <w:iCs/>
        </w:rPr>
        <w:t>N</w:t>
      </w:r>
      <w:r w:rsidR="00151CB8" w:rsidRPr="005A3789">
        <w:rPr>
          <w:i/>
          <w:iCs/>
        </w:rPr>
        <w:t>on-</w:t>
      </w:r>
      <w:r w:rsidR="00151CB8">
        <w:rPr>
          <w:i/>
          <w:iCs/>
        </w:rPr>
        <w:t>R</w:t>
      </w:r>
      <w:r w:rsidR="00151CB8" w:rsidRPr="005A3789">
        <w:rPr>
          <w:i/>
          <w:iCs/>
        </w:rPr>
        <w:t xml:space="preserve">esidential and </w:t>
      </w:r>
      <w:r w:rsidR="00151CB8">
        <w:rPr>
          <w:i/>
          <w:iCs/>
        </w:rPr>
        <w:t>M</w:t>
      </w:r>
      <w:r w:rsidR="00151CB8" w:rsidRPr="005A3789">
        <w:rPr>
          <w:i/>
          <w:iCs/>
        </w:rPr>
        <w:t xml:space="preserve">ixed </w:t>
      </w:r>
      <w:r w:rsidR="00151CB8">
        <w:rPr>
          <w:i/>
          <w:iCs/>
        </w:rPr>
        <w:t>U</w:t>
      </w:r>
      <w:r w:rsidR="00151CB8" w:rsidRPr="005A3789">
        <w:rPr>
          <w:i/>
          <w:iCs/>
        </w:rPr>
        <w:t>sed Districts, Citizen Participation, Sustainable Energy Transition</w:t>
      </w:r>
    </w:p>
    <w:p w14:paraId="185A319D" w14:textId="2B7BACC6" w:rsidR="002C089D" w:rsidRPr="00151CB8" w:rsidRDefault="00CC3B0C" w:rsidP="002C7721">
      <w:pPr>
        <w:pStyle w:val="SWCText"/>
        <w:spacing w:line="240" w:lineRule="auto"/>
        <w:ind w:left="1758" w:hanging="1758"/>
      </w:pPr>
      <w:r>
        <w:rPr>
          <w:i/>
          <w:iCs/>
        </w:rPr>
        <w:t>Addressed audience:</w:t>
      </w:r>
      <w:r w:rsidR="00151CB8">
        <w:rPr>
          <w:i/>
          <w:iCs/>
        </w:rPr>
        <w:t xml:space="preserve"> </w:t>
      </w:r>
      <w:r w:rsidR="00151CB8" w:rsidRPr="000D559A">
        <w:rPr>
          <w:i/>
          <w:iCs/>
          <w:color w:val="auto"/>
        </w:rPr>
        <w:t xml:space="preserve">Urban and </w:t>
      </w:r>
      <w:r w:rsidR="00151CB8">
        <w:rPr>
          <w:i/>
          <w:iCs/>
          <w:color w:val="auto"/>
        </w:rPr>
        <w:t>S</w:t>
      </w:r>
      <w:r w:rsidR="00151CB8" w:rsidRPr="000D559A">
        <w:rPr>
          <w:i/>
          <w:iCs/>
          <w:color w:val="auto"/>
        </w:rPr>
        <w:t xml:space="preserve">pecialist </w:t>
      </w:r>
      <w:r w:rsidR="00151CB8">
        <w:rPr>
          <w:i/>
          <w:iCs/>
          <w:color w:val="auto"/>
        </w:rPr>
        <w:t>P</w:t>
      </w:r>
      <w:r w:rsidR="00151CB8" w:rsidRPr="000D559A">
        <w:rPr>
          <w:i/>
          <w:iCs/>
          <w:color w:val="auto"/>
        </w:rPr>
        <w:t>lanners</w:t>
      </w:r>
      <w:r w:rsidR="0061020F">
        <w:rPr>
          <w:i/>
          <w:iCs/>
          <w:color w:val="auto"/>
        </w:rPr>
        <w:t xml:space="preserve"> for Energy Concepts</w:t>
      </w:r>
      <w:r w:rsidR="00151CB8" w:rsidRPr="000D559A">
        <w:rPr>
          <w:i/>
          <w:iCs/>
          <w:color w:val="auto"/>
        </w:rPr>
        <w:t xml:space="preserve">, </w:t>
      </w:r>
      <w:r w:rsidR="00151CB8">
        <w:rPr>
          <w:i/>
          <w:iCs/>
          <w:color w:val="auto"/>
        </w:rPr>
        <w:t>I</w:t>
      </w:r>
      <w:r w:rsidR="00151CB8" w:rsidRPr="000D559A">
        <w:rPr>
          <w:i/>
          <w:iCs/>
          <w:color w:val="auto"/>
        </w:rPr>
        <w:t xml:space="preserve">nterdisciplinary </w:t>
      </w:r>
      <w:r w:rsidR="00151CB8">
        <w:rPr>
          <w:i/>
          <w:iCs/>
          <w:color w:val="auto"/>
        </w:rPr>
        <w:t>T</w:t>
      </w:r>
      <w:r w:rsidR="00151CB8" w:rsidRPr="000D559A">
        <w:rPr>
          <w:i/>
          <w:iCs/>
          <w:color w:val="auto"/>
        </w:rPr>
        <w:t xml:space="preserve">eams in </w:t>
      </w:r>
      <w:r w:rsidR="00151CB8">
        <w:rPr>
          <w:i/>
          <w:iCs/>
          <w:color w:val="auto"/>
        </w:rPr>
        <w:t>C</w:t>
      </w:r>
      <w:r w:rsidR="00151CB8" w:rsidRPr="000D559A">
        <w:rPr>
          <w:i/>
          <w:iCs/>
          <w:color w:val="auto"/>
        </w:rPr>
        <w:t xml:space="preserve">ities and </w:t>
      </w:r>
      <w:r w:rsidR="00151CB8">
        <w:rPr>
          <w:i/>
          <w:iCs/>
          <w:color w:val="auto"/>
        </w:rPr>
        <w:t>M</w:t>
      </w:r>
      <w:r w:rsidR="00151CB8" w:rsidRPr="000D559A">
        <w:rPr>
          <w:i/>
          <w:iCs/>
          <w:color w:val="auto"/>
        </w:rPr>
        <w:t xml:space="preserve">unicipalities, </w:t>
      </w:r>
      <w:r w:rsidR="00151CB8">
        <w:rPr>
          <w:i/>
          <w:iCs/>
          <w:color w:val="auto"/>
        </w:rPr>
        <w:t>R</w:t>
      </w:r>
      <w:r w:rsidR="00151CB8" w:rsidRPr="000D559A">
        <w:rPr>
          <w:i/>
          <w:iCs/>
          <w:color w:val="auto"/>
        </w:rPr>
        <w:t>esearchers</w:t>
      </w:r>
    </w:p>
    <w:p w14:paraId="26310571" w14:textId="10DE3015" w:rsidR="00151CB8" w:rsidRDefault="0C3545CD" w:rsidP="007D0A57">
      <w:pPr>
        <w:pStyle w:val="SWCHeading1"/>
      </w:pPr>
      <w:r>
        <w:t>Introduction</w:t>
      </w:r>
    </w:p>
    <w:p w14:paraId="71F8EDD8" w14:textId="42D82996" w:rsidR="005E11D5" w:rsidRDefault="0047654B" w:rsidP="0047654B">
      <w:pPr>
        <w:pStyle w:val="SWCText"/>
      </w:pPr>
      <w:r>
        <w:t xml:space="preserve">A far-reaching transformation of our energy system, </w:t>
      </w:r>
      <w:proofErr w:type="spellStart"/>
      <w:r>
        <w:t>i</w:t>
      </w:r>
      <w:proofErr w:type="spellEnd"/>
      <w:r>
        <w:t xml:space="preserve">. e. the heating, cooling and electricity supply, is necessary in order to achieve the German federal state, national and European climate targets. This transformation is challenged not only by technical complexity but by social frictions and the involvement of heterogeneous stakeholders. To address this, in two case studies of the </w:t>
      </w:r>
      <w:r w:rsidR="003144B5" w:rsidRPr="00220BB9">
        <w:t xml:space="preserve">Stuttgart Research Initiative for the Discursive Transformation of Energy Systems (SRI </w:t>
      </w:r>
      <w:proofErr w:type="spellStart"/>
      <w:r w:rsidR="003144B5" w:rsidRPr="00220BB9">
        <w:t>DiTEnS</w:t>
      </w:r>
      <w:proofErr w:type="spellEnd"/>
      <w:r>
        <w:t xml:space="preserve">), a social dialogue process, structured as a series of </w:t>
      </w:r>
      <w:r w:rsidR="006376D9">
        <w:t xml:space="preserve">interactive </w:t>
      </w:r>
      <w:r>
        <w:t xml:space="preserve">workshops, supports stakeholders in reaching knowledge-based decisions on refurbishment measures and energy supply systems </w:t>
      </w:r>
      <w:r w:rsidR="006376D9">
        <w:t>for a climate-neutral transformation</w:t>
      </w:r>
      <w:r>
        <w:t xml:space="preserve">. </w:t>
      </w:r>
      <w:r w:rsidR="006376D9">
        <w:t xml:space="preserve">The </w:t>
      </w:r>
      <w:r w:rsidR="0031532D">
        <w:t xml:space="preserve">social </w:t>
      </w:r>
      <w:r w:rsidR="006376D9">
        <w:t xml:space="preserve">dialogue process is supported by a toolbox of automated routines that combines energy system analysis models, interactive workshop formats, and visualization techniques to prepare the workshops and inform stakeholders on </w:t>
      </w:r>
      <w:r w:rsidR="00324634" w:rsidRPr="00324634">
        <w:t xml:space="preserve">current and </w:t>
      </w:r>
      <w:r w:rsidR="00F956D7">
        <w:t xml:space="preserve">potential </w:t>
      </w:r>
      <w:r w:rsidR="00324634" w:rsidRPr="00324634">
        <w:t xml:space="preserve">future energy demand and energy supply </w:t>
      </w:r>
      <w:r w:rsidR="0031532D">
        <w:t xml:space="preserve">of the building stock </w:t>
      </w:r>
      <w:r w:rsidR="00324634" w:rsidRPr="00324634">
        <w:t>that can be influenced</w:t>
      </w:r>
      <w:r w:rsidR="00324634">
        <w:t xml:space="preserve"> by individual </w:t>
      </w:r>
      <w:r w:rsidR="005E11D5">
        <w:t xml:space="preserve">or joint </w:t>
      </w:r>
      <w:r w:rsidR="00324634">
        <w:t>decisions</w:t>
      </w:r>
      <w:r w:rsidR="006376D9">
        <w:t xml:space="preserve">. The aggregated building models described here are part of this toolbox and enable </w:t>
      </w:r>
      <w:r w:rsidR="0031532D">
        <w:t xml:space="preserve">combined heating, cooling, and electricity demand and supply system analyses at individual building </w:t>
      </w:r>
      <w:r w:rsidR="005E11D5">
        <w:t xml:space="preserve">to district </w:t>
      </w:r>
      <w:r w:rsidR="0031532D">
        <w:t>level in a high temporal resolution</w:t>
      </w:r>
      <w:r w:rsidR="006376D9">
        <w:t xml:space="preserve">. </w:t>
      </w:r>
      <w:r w:rsidR="005E11D5">
        <w:t>G</w:t>
      </w:r>
      <w:r w:rsidR="005E11D5" w:rsidRPr="007D5F59">
        <w:t xml:space="preserve">uided by parameters from the </w:t>
      </w:r>
      <w:r w:rsidR="005E11D5">
        <w:t xml:space="preserve">social </w:t>
      </w:r>
      <w:r w:rsidR="005E11D5" w:rsidRPr="007D5F59">
        <w:t>dialogue process</w:t>
      </w:r>
      <w:r w:rsidR="005E11D5">
        <w:t>, potential variants</w:t>
      </w:r>
      <w:r w:rsidR="005E11D5" w:rsidRPr="007D5F59">
        <w:t xml:space="preserve"> of refurbishment measures and </w:t>
      </w:r>
      <w:r w:rsidR="005E11D5">
        <w:t xml:space="preserve">energy </w:t>
      </w:r>
      <w:r w:rsidR="005E11D5" w:rsidRPr="007D5F59">
        <w:t>supply systems</w:t>
      </w:r>
      <w:r w:rsidR="005E11D5">
        <w:t xml:space="preserve"> to be decided</w:t>
      </w:r>
      <w:r w:rsidR="005E11D5" w:rsidRPr="007D5F59">
        <w:t xml:space="preserve">, are simulated to answer stakeholder-specific questions, identify </w:t>
      </w:r>
      <w:r w:rsidR="005E11D5">
        <w:t>the variants stakeholders prefer</w:t>
      </w:r>
      <w:r w:rsidR="005E11D5" w:rsidRPr="007D5F59">
        <w:t>.</w:t>
      </w:r>
      <w:r w:rsidR="005E11D5">
        <w:t xml:space="preserve"> </w:t>
      </w:r>
      <w:r w:rsidR="005E11D5" w:rsidRPr="005E11D5">
        <w:t>This provides the basis for implementing the measures resulting from individual or joint decisions.</w:t>
      </w:r>
    </w:p>
    <w:p w14:paraId="0BF8C004" w14:textId="066BD6B3" w:rsidR="000219FA" w:rsidRDefault="007F42F5" w:rsidP="007D0A57">
      <w:pPr>
        <w:pStyle w:val="SWCHeading11"/>
      </w:pPr>
      <w:r>
        <w:t xml:space="preserve">1.1 </w:t>
      </w:r>
      <w:r w:rsidR="000219FA">
        <w:t>Aggregated building models</w:t>
      </w:r>
    </w:p>
    <w:p w14:paraId="3C276402" w14:textId="6D2332CD" w:rsidR="00453296" w:rsidRPr="006309AA" w:rsidRDefault="00BE104F" w:rsidP="00BE104F">
      <w:pPr>
        <w:pStyle w:val="SWCText"/>
      </w:pPr>
      <w:r>
        <w:t xml:space="preserve">Detailed physics-based Building Energy Modeling (BEM) of every building in a study area are limited in practice by computational cost and by input data that are often unavailable or expensive to obtain (Kong et al., 2023). Urban </w:t>
      </w:r>
      <w:r>
        <w:lastRenderedPageBreak/>
        <w:t>Building Energy Models (UBEM) have therefore become established over the past 15 years for modeling heating, cooling, and electricity demand across district- to city-scale building stocks, including interdependencies between buildings, climatical changes and the evaluation of energetic refurbishment measures and strategies to integrate renewable energ</w:t>
      </w:r>
      <w:r w:rsidR="00DF709A">
        <w:t>ies</w:t>
      </w:r>
      <w:r>
        <w:t xml:space="preserve"> in central or decentral supply systems. UBEM are classified into top-down approaches, suited to strategic planning but not </w:t>
      </w:r>
      <w:r w:rsidR="00DF709A">
        <w:t xml:space="preserve">for </w:t>
      </w:r>
      <w:r w:rsidR="00FA5D3F">
        <w:t>building level</w:t>
      </w:r>
      <w:r>
        <w:t xml:space="preserve"> analysis, and bottom-up approaches, further </w:t>
      </w:r>
      <w:r w:rsidR="00DF709A">
        <w:t>sub</w:t>
      </w:r>
      <w:r>
        <w:t>divided into physics-based, statistical or data-driven, and hybrid methods. Physics-based or hybrid methods provide physically interpretable results and are used here (</w:t>
      </w:r>
      <w:proofErr w:type="spellStart"/>
      <w:r>
        <w:t>Ferrando</w:t>
      </w:r>
      <w:proofErr w:type="spellEnd"/>
      <w:r>
        <w:t xml:space="preserve">, 2020; Li et al., 2023; Swan and </w:t>
      </w:r>
      <w:proofErr w:type="spellStart"/>
      <w:r>
        <w:t>Ugursal</w:t>
      </w:r>
      <w:proofErr w:type="spellEnd"/>
      <w:r>
        <w:t>, 2009).</w:t>
      </w:r>
      <w:r w:rsidR="00C46B27">
        <w:t xml:space="preserve"> </w:t>
      </w:r>
      <w:r>
        <w:t>Moving from BEM to bottom-up UBEM requires simplifying building geometry, envelope properties, zoning, internal gains, and supply-system representation (</w:t>
      </w:r>
      <w:proofErr w:type="spellStart"/>
      <w:r>
        <w:t>Piro</w:t>
      </w:r>
      <w:proofErr w:type="spellEnd"/>
      <w:r>
        <w:t xml:space="preserve"> et al., 2023). A widely used simplification is the archetype method, in which buildings are classified and grouped by characteristics such as size, age, and </w:t>
      </w:r>
      <w:r w:rsidR="00E26168">
        <w:t>heat</w:t>
      </w:r>
      <w:r w:rsidR="0047654B">
        <w:t>ing</w:t>
      </w:r>
      <w:r w:rsidR="00E26168">
        <w:t xml:space="preserve"> and </w:t>
      </w:r>
      <w:r w:rsidR="0047654B">
        <w:t>electricity</w:t>
      </w:r>
      <w:r w:rsidR="00E26168">
        <w:t xml:space="preserve"> </w:t>
      </w:r>
      <w:r>
        <w:t xml:space="preserve">supply system and represented by statistical average values of envelope and supply-system parameters. The TABULA and EPISCOPE projects define a widely used archetype typology for the European residential building stock (Institute for Housing and Environment et al., 2016a). Archetypes reduce model complexity by limiting both the data collected per building </w:t>
      </w:r>
      <w:r w:rsidR="00E26168" w:rsidRPr="000C07AB">
        <w:t>required of the determ</w:t>
      </w:r>
      <w:r w:rsidR="00E26168">
        <w:t xml:space="preserve">ination of classification parameters </w:t>
      </w:r>
      <w:r>
        <w:t>and the number of distinct building characterizations to be modeled (Kong et al., 2023; Li et al., 2023). An aggregated building model is accordingly defined here as a UBEM in which complexity is reduced through such building archetypes.</w:t>
      </w:r>
    </w:p>
    <w:p w14:paraId="46E05398" w14:textId="44993099" w:rsidR="00B80DBF" w:rsidRDefault="00DD002F" w:rsidP="007D0A57">
      <w:pPr>
        <w:pStyle w:val="SWCHeading11"/>
      </w:pPr>
      <w:r>
        <w:t>1</w:t>
      </w:r>
      <w:r w:rsidR="007F42F5">
        <w:t xml:space="preserve">.2 </w:t>
      </w:r>
      <w:r w:rsidR="00B80DBF" w:rsidRPr="00750E72">
        <w:t xml:space="preserve">Development of local </w:t>
      </w:r>
      <w:r w:rsidR="00AB43CA">
        <w:t xml:space="preserve">building </w:t>
      </w:r>
      <w:r w:rsidR="00B80DBF" w:rsidRPr="00750E72">
        <w:t xml:space="preserve">archetypes through </w:t>
      </w:r>
      <w:r w:rsidR="00B80DBF">
        <w:t xml:space="preserve">stakeholder </w:t>
      </w:r>
      <w:r w:rsidR="00B80DBF" w:rsidRPr="00750E72">
        <w:t>surveys</w:t>
      </w:r>
    </w:p>
    <w:p w14:paraId="510C8997" w14:textId="4B2513AC" w:rsidR="00FC15FA" w:rsidRPr="00FC2B4D" w:rsidRDefault="00FF6EE8" w:rsidP="00FF6EE8">
      <w:pPr>
        <w:pStyle w:val="SWCText"/>
      </w:pPr>
      <w:r>
        <w:t xml:space="preserve">Grouping heterogeneous buildings into building archetypes improves comprehensibility but discards actual variability. The resulting systematic error depends on the heterogeneity e. g. of refurbishment states within each building archetype (Institute for Housing and Environment et al., 2016b), smoothing extremes and potentially causing failures to identify buildings in urgent need of refurbishment or misjudging individual refurbishment potential. </w:t>
      </w:r>
      <w:r w:rsidR="0094760B">
        <w:t>Malhotra et al. (2020) distinguish between primary, secondary and tertiary UBEM input data. Primary data is directly usable for simulations. Secondary data are classifiers, such as size and age class, while tertiary data consists of statistical data, such as census data or national building archetypes</w:t>
      </w:r>
      <w:r>
        <w:t xml:space="preserve">. As </w:t>
      </w:r>
      <w:proofErr w:type="spellStart"/>
      <w:r>
        <w:t>Rehmann</w:t>
      </w:r>
      <w:proofErr w:type="spellEnd"/>
      <w:r>
        <w:t xml:space="preserve"> et al. (2025) note, even secondary data are often unavailable, causing buildings to be misassigned to building archetypes, independent of the systematic building archetype error itself.</w:t>
      </w:r>
      <w:r w:rsidR="00C46B27">
        <w:t xml:space="preserve"> </w:t>
      </w:r>
      <w:r>
        <w:t xml:space="preserve">A further source of deviation is the energy performance gap, arising from user behavior, </w:t>
      </w:r>
      <w:proofErr w:type="spellStart"/>
      <w:r>
        <w:t>i</w:t>
      </w:r>
      <w:proofErr w:type="spellEnd"/>
      <w:r>
        <w:t xml:space="preserve">. e. setpoint temperatures, ventilation behavior, hot-water use, use of shading devices, and from deficient energy supply system operation. The latter leads to lower efficiency and can be attributed to incorrect installation, improper control settings, or lack of maintenance. </w:t>
      </w:r>
      <w:proofErr w:type="spellStart"/>
      <w:r>
        <w:t>Oraiopoulos</w:t>
      </w:r>
      <w:proofErr w:type="spellEnd"/>
      <w:r>
        <w:t xml:space="preserve"> and Howard (2022) report deviations between simulated energy demand and measured energy consumption using national building archetypes of less than 10 % up to 100 %, occasionally 1,000 %, at building level and annual temporal resolution, falling to a few percent at district or city</w:t>
      </w:r>
      <w:r w:rsidR="00FA5D3F">
        <w:t xml:space="preserve"> </w:t>
      </w:r>
      <w:r>
        <w:t>level as building-specific deviations average out. However, stakeholder interviews in the present case study show that tenants, landlords, and building owners are specifically interested in solutions tailored to their own building</w:t>
      </w:r>
      <w:r w:rsidR="005B05FA">
        <w:t>. M</w:t>
      </w:r>
      <w:r>
        <w:t xml:space="preserve">aking </w:t>
      </w:r>
      <w:r w:rsidR="00FA5D3F">
        <w:t>building level</w:t>
      </w:r>
      <w:r>
        <w:t xml:space="preserve"> reliability on simulation results a </w:t>
      </w:r>
      <w:r w:rsidR="005B05FA">
        <w:t>necessary condition</w:t>
      </w:r>
      <w:r>
        <w:t xml:space="preserve"> both for the model and for its use in the dialogue process.</w:t>
      </w:r>
      <w:r w:rsidR="00C46B27">
        <w:t xml:space="preserve"> </w:t>
      </w:r>
      <w:r>
        <w:t>Therefore, the aim of th</w:t>
      </w:r>
      <w:r w:rsidR="0076520B">
        <w:t xml:space="preserve">e research performed </w:t>
      </w:r>
      <w:r>
        <w:t xml:space="preserve">is to increase the reliability of results at smaller scales, down to </w:t>
      </w:r>
      <w:r w:rsidR="00FA5D3F">
        <w:t>building level</w:t>
      </w:r>
      <w:r>
        <w:t xml:space="preserve">, by extending the bottom-up physics-based UBEM with the archetype method by input data from a stakeholder survey. </w:t>
      </w:r>
    </w:p>
    <w:p w14:paraId="637A406D" w14:textId="57594471" w:rsidR="0063140C" w:rsidRPr="006F2992" w:rsidRDefault="0063140C" w:rsidP="007D0A57">
      <w:pPr>
        <w:pStyle w:val="SWCHeading1"/>
      </w:pPr>
      <w:r>
        <w:t>Stakeholder survey</w:t>
      </w:r>
      <w:r w:rsidR="00401E8E">
        <w:t xml:space="preserve"> </w:t>
      </w:r>
    </w:p>
    <w:p w14:paraId="7D3A2410" w14:textId="4EDEB9E7" w:rsidR="00C00997" w:rsidRPr="002E5DC4" w:rsidRDefault="00E73F76" w:rsidP="00FC36DF">
      <w:pPr>
        <w:pStyle w:val="SWCText"/>
      </w:pPr>
      <w:r w:rsidRPr="00E73F76">
        <w:t xml:space="preserve">The </w:t>
      </w:r>
      <w:r w:rsidR="002E5DC4" w:rsidRPr="002E5DC4">
        <w:t xml:space="preserve">survey concept design accounts for participants' varying knowledge and availability by prioritizing parameters into four levels and allowing items to be skipped or answered at varying detail. </w:t>
      </w:r>
      <w:bookmarkStart w:id="0" w:name="_Hlk239865449"/>
      <w:r w:rsidR="0094760B">
        <w:t>The survey concept</w:t>
      </w:r>
      <w:r w:rsidR="0094760B" w:rsidRPr="002E5DC4">
        <w:t xml:space="preserve"> </w:t>
      </w:r>
      <w:r w:rsidR="0094760B">
        <w:t xml:space="preserve">is </w:t>
      </w:r>
      <w:r w:rsidR="0094760B" w:rsidRPr="002E5DC4">
        <w:t>described</w:t>
      </w:r>
      <w:r w:rsidR="0094760B">
        <w:t xml:space="preserve"> in detail</w:t>
      </w:r>
      <w:r w:rsidR="0094760B" w:rsidRPr="002E5DC4">
        <w:t xml:space="preserve"> in Lott et al. (2026). </w:t>
      </w:r>
      <w:r w:rsidR="002E5DC4" w:rsidRPr="002E5DC4">
        <w:t>Priority one covers parameters for national building archetype classification, including the</w:t>
      </w:r>
      <w:r w:rsidR="00C00997">
        <w:t xml:space="preserve"> energy</w:t>
      </w:r>
      <w:r w:rsidR="002E5DC4" w:rsidRPr="002E5DC4">
        <w:t xml:space="preserve"> supply system. Priority two covers the current </w:t>
      </w:r>
      <w:r w:rsidR="00C00997">
        <w:t xml:space="preserve">energetic </w:t>
      </w:r>
      <w:r w:rsidR="002E5DC4" w:rsidRPr="002E5DC4">
        <w:t xml:space="preserve">envelope state. Priority three includes the user-behavior parameters </w:t>
      </w:r>
      <w:r w:rsidR="002B135B" w:rsidRPr="00C00997">
        <w:rPr>
          <w:color w:val="auto"/>
        </w:rPr>
        <w:t xml:space="preserve">such </w:t>
      </w:r>
      <w:r w:rsidR="002E5DC4" w:rsidRPr="002E5DC4">
        <w:t xml:space="preserve">as ventilation behavior and </w:t>
      </w:r>
      <w:r w:rsidR="00FF44E9">
        <w:t xml:space="preserve">indoor air </w:t>
      </w:r>
      <w:r w:rsidR="002E5DC4" w:rsidRPr="002E5DC4">
        <w:t xml:space="preserve">setpoint temperatures. Priority four covers the timing of </w:t>
      </w:r>
      <w:r w:rsidR="002B135B">
        <w:t xml:space="preserve">potential </w:t>
      </w:r>
      <w:r w:rsidR="002E5DC4" w:rsidRPr="002E5DC4">
        <w:t>past refurbishment measures.</w:t>
      </w:r>
      <w:bookmarkEnd w:id="0"/>
      <w:r w:rsidR="00777D2E">
        <w:t xml:space="preserve"> </w:t>
      </w:r>
      <w:r w:rsidR="00C00997" w:rsidRPr="002E5DC4">
        <w:t xml:space="preserve">Thematic question blocks were combined with a self-selected level of detail rather than rigid separation by priority level, prioritizing survey completion over strict adherence to the conceptual order. </w:t>
      </w:r>
      <w:r w:rsidR="00C00997">
        <w:t>Participants could complete a minimal or an extended professional-level question set, with only six mandatory questions required for submission</w:t>
      </w:r>
      <w:r w:rsidR="00C00997" w:rsidRPr="002E5DC4">
        <w:t xml:space="preserve">. These would be building age class, building size class and adjacency, primary energy carrier, primary heating system type for space heating and domestic hot water separately, and the current </w:t>
      </w:r>
      <w:r w:rsidR="00C00997">
        <w:t>energetic envelope</w:t>
      </w:r>
      <w:r w:rsidR="00C00997" w:rsidRPr="002E5DC4">
        <w:t xml:space="preserve"> state by </w:t>
      </w:r>
      <w:r w:rsidR="00C00997">
        <w:t>a</w:t>
      </w:r>
      <w:r w:rsidR="00C00997" w:rsidRPr="002E5DC4">
        <w:t xml:space="preserve"> coarse multiple-choice assessment per envelope component, </w:t>
      </w:r>
      <w:proofErr w:type="spellStart"/>
      <w:r w:rsidR="00C00997" w:rsidRPr="002E5DC4">
        <w:t>i</w:t>
      </w:r>
      <w:proofErr w:type="spellEnd"/>
      <w:r w:rsidR="00C00997" w:rsidRPr="002E5DC4">
        <w:t>. e. windows, exter</w:t>
      </w:r>
      <w:r w:rsidR="00C00997">
        <w:t>ior</w:t>
      </w:r>
      <w:r w:rsidR="00C00997" w:rsidRPr="002E5DC4">
        <w:t xml:space="preserve"> walls, roof or top ceiling, </w:t>
      </w:r>
      <w:r w:rsidR="00D213D3">
        <w:t>floor to unheated cellar</w:t>
      </w:r>
      <w:r w:rsidR="00C00997" w:rsidRPr="002E5DC4">
        <w:t xml:space="preserve">, encoding an approximate implementation period and refurbishment extent aligned with the TABULA typology. </w:t>
      </w:r>
      <w:r w:rsidR="00FF44E9" w:rsidRPr="000E64E1">
        <w:t xml:space="preserve">The survey was </w:t>
      </w:r>
      <w:r w:rsidR="00FF44E9" w:rsidRPr="000E64E1">
        <w:lastRenderedPageBreak/>
        <w:t xml:space="preserve">implemented in </w:t>
      </w:r>
      <w:proofErr w:type="spellStart"/>
      <w:r w:rsidR="00FF44E9" w:rsidRPr="000E64E1">
        <w:t>EvaSys</w:t>
      </w:r>
      <w:proofErr w:type="spellEnd"/>
      <w:r w:rsidR="00FF44E9" w:rsidRPr="000E64E1">
        <w:t>, a browser-based tool supporting online, paper-based, and hybrid surveys with multiple-choice, single-choice, and free-text questions and CSV export</w:t>
      </w:r>
      <w:r w:rsidR="00FF44E9">
        <w:t>.</w:t>
      </w:r>
      <w:r w:rsidR="00FF44E9" w:rsidRPr="000E64E1">
        <w:t xml:space="preserve"> </w:t>
      </w:r>
      <w:r w:rsidR="00FF44E9">
        <w:t>I</w:t>
      </w:r>
      <w:r w:rsidR="00FF44E9" w:rsidRPr="000E64E1">
        <w:t>t does not support photo upload</w:t>
      </w:r>
      <w:r w:rsidR="00FF44E9">
        <w:t xml:space="preserve">, </w:t>
      </w:r>
      <w:r w:rsidR="00FF44E9" w:rsidRPr="000E64E1">
        <w:t>e.g., of boiler nameplates or energy performance certificates</w:t>
      </w:r>
      <w:r w:rsidR="00FF44E9">
        <w:t>. I</w:t>
      </w:r>
      <w:r w:rsidR="00C00997">
        <w:t xml:space="preserve">nformation about the survey </w:t>
      </w:r>
      <w:r w:rsidR="00C00997" w:rsidRPr="002E5DC4">
        <w:t xml:space="preserve">was </w:t>
      </w:r>
      <w:r w:rsidR="00C00997">
        <w:t xml:space="preserve">provided </w:t>
      </w:r>
      <w:r w:rsidR="00C00997" w:rsidRPr="002E5DC4">
        <w:t xml:space="preserve">via letter to all </w:t>
      </w:r>
      <w:r w:rsidR="00C00997">
        <w:t>mailboxes</w:t>
      </w:r>
      <w:r w:rsidR="00C00997" w:rsidRPr="002E5DC4">
        <w:t xml:space="preserve"> in the study area, with a QR code and link</w:t>
      </w:r>
      <w:r w:rsidR="00C00997" w:rsidRPr="002E5DC4">
        <w:rPr>
          <w:i/>
        </w:rPr>
        <w:t xml:space="preserve"> </w:t>
      </w:r>
      <w:r w:rsidR="00C00997" w:rsidRPr="002E5DC4">
        <w:t>to the online survey, and an additional email reminder for those where email addresses where known, because their interested in the dialogue process.</w:t>
      </w:r>
      <w:r w:rsidR="00C00997">
        <w:rPr>
          <w:i/>
        </w:rPr>
        <w:t xml:space="preserve"> </w:t>
      </w:r>
      <w:r w:rsidR="00C00997" w:rsidRPr="002E5DC4">
        <w:t xml:space="preserve">Using the </w:t>
      </w:r>
      <w:r w:rsidR="00C00997">
        <w:t xml:space="preserve">link </w:t>
      </w:r>
      <w:hyperlink r:id="rId8" w:history="1">
        <w:r w:rsidR="00C00997" w:rsidRPr="008611E1">
          <w:rPr>
            <w:rStyle w:val="Hyperlink"/>
          </w:rPr>
          <w:t>https://survey.uni-stuttgart.de/evasys/online.php?p=EuroSun2026</w:t>
        </w:r>
      </w:hyperlink>
      <w:r w:rsidR="00C00997" w:rsidRPr="002E5DC4">
        <w:t>, the entire online survey</w:t>
      </w:r>
      <w:r w:rsidR="00777D2E">
        <w:t xml:space="preserve"> can be accessed</w:t>
      </w:r>
      <w:r w:rsidR="00C00997">
        <w:rPr>
          <w:i/>
        </w:rPr>
        <w:t xml:space="preserve">, </w:t>
      </w:r>
      <w:r w:rsidR="00C00997" w:rsidRPr="002E5DC4">
        <w:t>including options to select and deselect items</w:t>
      </w:r>
      <w:r w:rsidR="00C00997">
        <w:rPr>
          <w:i/>
        </w:rPr>
        <w:t xml:space="preserve">, </w:t>
      </w:r>
      <w:r w:rsidR="00C00997" w:rsidRPr="002E5DC4">
        <w:t>in German.</w:t>
      </w:r>
    </w:p>
    <w:p w14:paraId="3E2B9E67" w14:textId="0050DD05" w:rsidR="00401E8E" w:rsidRPr="00E73F76" w:rsidRDefault="00401E8E" w:rsidP="007D0A57">
      <w:pPr>
        <w:pStyle w:val="SWCHeading11"/>
      </w:pPr>
      <w:r w:rsidRPr="00E73F76">
        <w:t>2.1 Study area and results</w:t>
      </w:r>
    </w:p>
    <w:p w14:paraId="29D78328" w14:textId="63A2634D" w:rsidR="00D41E44" w:rsidRDefault="00D41E44" w:rsidP="00FC36DF">
      <w:pPr>
        <w:pStyle w:val="SWCText"/>
      </w:pPr>
      <w:r w:rsidRPr="00D41E44">
        <w:t>The study area</w:t>
      </w:r>
      <w:r w:rsidR="00A24EF5">
        <w:t xml:space="preserve"> </w:t>
      </w:r>
      <w:r w:rsidR="00E40FDF">
        <w:t xml:space="preserve">in Fig. 1 </w:t>
      </w:r>
      <w:r w:rsidR="00A24EF5">
        <w:t>is in Germany</w:t>
      </w:r>
      <w:r w:rsidRPr="00D41E44">
        <w:t>, in the Stuttgart, Bad Cannstatt district, comprises 132 building</w:t>
      </w:r>
      <w:r w:rsidR="00777D2E">
        <w:t xml:space="preserve"> </w:t>
      </w:r>
      <w:r w:rsidR="00777D2E" w:rsidRPr="00D41E44">
        <w:t>addres</w:t>
      </w:r>
      <w:r w:rsidR="00777D2E">
        <w:t>se</w:t>
      </w:r>
      <w:r w:rsidRPr="00D41E44">
        <w:t xml:space="preserve">s, with around 550 </w:t>
      </w:r>
      <w:r w:rsidR="00777D2E">
        <w:t>apartments</w:t>
      </w:r>
      <w:r w:rsidRPr="00D41E44">
        <w:t xml:space="preserve">, and 1,100 residents. The building stock consists predominantly small multi-family houses with three to six apartments, with some larger multi-family houses with seven to 20 apartments at the northern and southeastern edges, scattered single-family houses or single used small multi-family houses, and a small number of non-residential buildings, </w:t>
      </w:r>
      <w:proofErr w:type="spellStart"/>
      <w:r w:rsidRPr="00D41E44">
        <w:t>i</w:t>
      </w:r>
      <w:proofErr w:type="spellEnd"/>
      <w:r w:rsidRPr="00D41E44">
        <w:t xml:space="preserve">. e. one </w:t>
      </w:r>
      <w:r w:rsidR="00650D38">
        <w:t xml:space="preserve">general </w:t>
      </w:r>
      <w:r w:rsidRPr="00D41E44">
        <w:t>school</w:t>
      </w:r>
      <w:r w:rsidR="00650D38">
        <w:t xml:space="preserve"> including a gym</w:t>
      </w:r>
      <w:r w:rsidRPr="00D41E44">
        <w:t xml:space="preserve">, kindergarten, </w:t>
      </w:r>
      <w:r w:rsidR="00650D38">
        <w:t>commercial building</w:t>
      </w:r>
      <w:r w:rsidRPr="00D41E44">
        <w:t>, gas station</w:t>
      </w:r>
      <w:r w:rsidR="00650D38">
        <w:t>, two buildings for storage, two company buildings</w:t>
      </w:r>
      <w:r w:rsidR="00061EA0">
        <w:t xml:space="preserve"> and a</w:t>
      </w:r>
      <w:r w:rsidRPr="00D41E44">
        <w:t xml:space="preserve"> church</w:t>
      </w:r>
      <w:r w:rsidR="00650D38">
        <w:t xml:space="preserve"> with church tower</w:t>
      </w:r>
      <w:r w:rsidRPr="00D41E44">
        <w:t>.</w:t>
      </w:r>
      <w:r w:rsidR="00650D38">
        <w:t xml:space="preserve"> The latter are disused.</w:t>
      </w:r>
    </w:p>
    <w:p w14:paraId="66756471" w14:textId="77777777" w:rsidR="00492FA1" w:rsidRPr="0060589D" w:rsidRDefault="00492FA1" w:rsidP="00650D38">
      <w:pPr>
        <w:pStyle w:val="SWCText"/>
        <w:jc w:val="center"/>
      </w:pPr>
      <w:r>
        <w:rPr>
          <w:noProof/>
        </w:rPr>
        <w:drawing>
          <wp:inline distT="0" distB="0" distL="0" distR="0" wp14:anchorId="1CA4267D" wp14:editId="52556ED7">
            <wp:extent cx="4115654" cy="133868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9" cstate="print">
                      <a:extLst>
                        <a:ext uri="{28A0092B-C50C-407E-A947-70E740481C1C}">
                          <a14:useLocalDpi xmlns:a14="http://schemas.microsoft.com/office/drawing/2010/main" val="0"/>
                        </a:ext>
                      </a:extLst>
                    </a:blip>
                    <a:srcRect t="3188" b="2685"/>
                    <a:stretch/>
                  </pic:blipFill>
                  <pic:spPr bwMode="auto">
                    <a:xfrm>
                      <a:off x="0" y="0"/>
                      <a:ext cx="4119209" cy="1339838"/>
                    </a:xfrm>
                    <a:prstGeom prst="rect">
                      <a:avLst/>
                    </a:prstGeom>
                    <a:ln>
                      <a:noFill/>
                    </a:ln>
                    <a:extLst>
                      <a:ext uri="{53640926-AAD7-44D8-BBD7-CCE9431645EC}">
                        <a14:shadowObscured xmlns:a14="http://schemas.microsoft.com/office/drawing/2010/main"/>
                      </a:ext>
                    </a:extLst>
                  </pic:spPr>
                </pic:pic>
              </a:graphicData>
            </a:graphic>
          </wp:inline>
        </w:drawing>
      </w:r>
    </w:p>
    <w:p w14:paraId="42FFB2A6" w14:textId="65EDC3D9" w:rsidR="00492FA1" w:rsidRPr="00492FA1" w:rsidRDefault="00492FA1" w:rsidP="00492FA1">
      <w:pPr>
        <w:pStyle w:val="SWCTableHeader"/>
        <w:rPr>
          <w:sz w:val="16"/>
          <w:szCs w:val="16"/>
        </w:rPr>
      </w:pPr>
      <w:r w:rsidRPr="0060589D">
        <w:rPr>
          <w:sz w:val="16"/>
          <w:szCs w:val="16"/>
        </w:rPr>
        <w:t xml:space="preserve">Fig. 1: </w:t>
      </w:r>
      <w:r>
        <w:rPr>
          <w:sz w:val="16"/>
          <w:szCs w:val="16"/>
        </w:rPr>
        <w:t xml:space="preserve">Study area </w:t>
      </w:r>
      <w:r w:rsidR="00650D38">
        <w:rPr>
          <w:sz w:val="16"/>
          <w:szCs w:val="16"/>
        </w:rPr>
        <w:t xml:space="preserve">in Germany, </w:t>
      </w:r>
      <w:r w:rsidRPr="00492FA1">
        <w:rPr>
          <w:sz w:val="16"/>
          <w:szCs w:val="16"/>
        </w:rPr>
        <w:t>in the Stuttgart, Bad Cannstatt district</w:t>
      </w:r>
      <w:r>
        <w:rPr>
          <w:sz w:val="16"/>
          <w:szCs w:val="16"/>
        </w:rPr>
        <w:t xml:space="preserve">, including building function corresponding to 3D building model data (see </w:t>
      </w:r>
      <w:r w:rsidR="00650D38">
        <w:rPr>
          <w:sz w:val="16"/>
          <w:szCs w:val="16"/>
        </w:rPr>
        <w:t>Chapter</w:t>
      </w:r>
      <w:r>
        <w:rPr>
          <w:sz w:val="16"/>
          <w:szCs w:val="16"/>
        </w:rPr>
        <w:t xml:space="preserve"> 3.1) and definition of building blocks for the validation of simulation results in </w:t>
      </w:r>
      <w:r w:rsidR="00650D38">
        <w:rPr>
          <w:sz w:val="16"/>
          <w:szCs w:val="16"/>
        </w:rPr>
        <w:t>Chapter</w:t>
      </w:r>
      <w:r>
        <w:rPr>
          <w:sz w:val="16"/>
          <w:szCs w:val="16"/>
        </w:rPr>
        <w:t xml:space="preserve"> 6</w:t>
      </w:r>
    </w:p>
    <w:p w14:paraId="0C5CBD8B" w14:textId="4021F867" w:rsidR="000E64E1" w:rsidRDefault="001A391F" w:rsidP="00FC36DF">
      <w:pPr>
        <w:pStyle w:val="SWCText"/>
      </w:pPr>
      <w:r w:rsidRPr="001A391F">
        <w:t xml:space="preserve">Of </w:t>
      </w:r>
      <w:r w:rsidR="00C13967">
        <w:t xml:space="preserve">550 </w:t>
      </w:r>
      <w:r w:rsidR="00F46B17">
        <w:t>distributed</w:t>
      </w:r>
      <w:r w:rsidR="006453D9">
        <w:t xml:space="preserve"> survey invitations</w:t>
      </w:r>
      <w:r w:rsidRPr="001A391F">
        <w:t xml:space="preserve">, </w:t>
      </w:r>
      <w:r w:rsidR="00D41E44">
        <w:t>seven</w:t>
      </w:r>
      <w:r w:rsidR="00C13967">
        <w:t xml:space="preserve"> </w:t>
      </w:r>
      <w:r w:rsidRPr="001A391F">
        <w:t xml:space="preserve">valid responses were received, corresponding to a response rate of </w:t>
      </w:r>
      <w:r w:rsidR="00C13967">
        <w:t>1.3</w:t>
      </w:r>
      <w:r w:rsidR="00FF44E9">
        <w:t> </w:t>
      </w:r>
      <w:r w:rsidRPr="001A391F">
        <w:t xml:space="preserve">%. </w:t>
      </w:r>
      <w:r w:rsidR="00D41E44">
        <w:t>As all</w:t>
      </w:r>
      <w:r w:rsidR="00D41E44" w:rsidRPr="00D41E44">
        <w:t xml:space="preserve"> respondents live in multi-family house</w:t>
      </w:r>
      <w:r w:rsidR="00FF44E9">
        <w:t>s</w:t>
      </w:r>
      <w:r w:rsidR="00D41E44" w:rsidRPr="00D41E44">
        <w:t xml:space="preserve">, where priority-one parameters can be assumed common to all </w:t>
      </w:r>
      <w:r w:rsidR="00D41E44">
        <w:t>apartments</w:t>
      </w:r>
      <w:r w:rsidR="00D41E44" w:rsidRPr="00D41E44">
        <w:t xml:space="preserve">, the effective </w:t>
      </w:r>
      <w:r w:rsidR="00FA5D3F">
        <w:t>building level</w:t>
      </w:r>
      <w:r w:rsidR="00D41E44" w:rsidRPr="00D41E44">
        <w:t xml:space="preserve"> response rate is </w:t>
      </w:r>
      <w:r w:rsidR="00D41E44">
        <w:t>seven</w:t>
      </w:r>
      <w:r w:rsidR="00D41E44" w:rsidRPr="00D41E44">
        <w:t xml:space="preserve"> of 132 buildings</w:t>
      </w:r>
      <w:r w:rsidR="00D41E44" w:rsidRPr="001A391F">
        <w:t xml:space="preserve">, corresponding to a response rate of </w:t>
      </w:r>
      <w:r w:rsidR="00D41E44" w:rsidRPr="00D41E44">
        <w:t>5.3 %.</w:t>
      </w:r>
      <w:r w:rsidR="004D2B89">
        <w:t xml:space="preserve"> </w:t>
      </w:r>
      <w:r w:rsidR="000E64E1" w:rsidRPr="000E64E1">
        <w:t xml:space="preserve">Possible causes for the low rate include limited interest in refurbishment measures, perceived survey length, reduced </w:t>
      </w:r>
      <w:r w:rsidR="00FF44E9">
        <w:t>interest of</w:t>
      </w:r>
      <w:r w:rsidR="000E64E1" w:rsidRPr="000E64E1">
        <w:t xml:space="preserve"> older participants</w:t>
      </w:r>
      <w:r w:rsidR="00FF44E9">
        <w:t xml:space="preserve">, since the survey was online rather than </w:t>
      </w:r>
      <w:r w:rsidR="00FF44E9" w:rsidRPr="000E64E1">
        <w:t>paper-based</w:t>
      </w:r>
      <w:r w:rsidR="000E64E1" w:rsidRPr="000E64E1">
        <w:t xml:space="preserve">, absence of a personalized greeting, no monetary compensation, </w:t>
      </w:r>
      <w:r w:rsidR="00FF44E9">
        <w:t xml:space="preserve">language barriers for non-native speakers </w:t>
      </w:r>
      <w:r w:rsidR="000E64E1" w:rsidRPr="000E64E1">
        <w:t xml:space="preserve">and limited trust in academic institutions. Alternative distribution via the municipality, an energy provider, or door-to-door outreach with on-site assistance has not yet been tested and, as monetary compensation and time-intensive distribution are not intended to become part of the automated toolbox, may remain outside </w:t>
      </w:r>
      <w:r w:rsidR="00D6031A">
        <w:t>the</w:t>
      </w:r>
      <w:r w:rsidR="000E64E1" w:rsidRPr="000E64E1">
        <w:t xml:space="preserve"> scope. </w:t>
      </w:r>
      <w:r w:rsidR="00FF44E9">
        <w:t>The choice of the survey tool</w:t>
      </w:r>
      <w:r w:rsidR="000E64E1" w:rsidRPr="000E64E1">
        <w:t xml:space="preserve"> had no traceable effect on the response rate, as </w:t>
      </w:r>
      <w:r w:rsidR="000E64E1">
        <w:t>all</w:t>
      </w:r>
      <w:r w:rsidR="000E64E1" w:rsidRPr="000E64E1">
        <w:t xml:space="preserve"> </w:t>
      </w:r>
      <w:r w:rsidR="000E64E1">
        <w:t>respondents</w:t>
      </w:r>
      <w:r w:rsidR="000E64E1" w:rsidRPr="000E64E1">
        <w:t xml:space="preserve"> reported having </w:t>
      </w:r>
      <w:r w:rsidR="000E64E1">
        <w:t>no</w:t>
      </w:r>
      <w:r w:rsidR="000E64E1" w:rsidRPr="000E64E1">
        <w:t xml:space="preserve"> energy performance certificate.</w:t>
      </w:r>
      <w:r w:rsidR="00492FA1">
        <w:t xml:space="preserve"> </w:t>
      </w:r>
      <w:r w:rsidR="000E64E1">
        <w:t>The</w:t>
      </w:r>
      <w:r w:rsidR="000E64E1" w:rsidRPr="000E64E1">
        <w:t xml:space="preserve"> results </w:t>
      </w:r>
      <w:r w:rsidR="000E64E1">
        <w:t xml:space="preserve">of the small respondents group </w:t>
      </w:r>
      <w:r w:rsidR="000E64E1" w:rsidRPr="000E64E1">
        <w:t xml:space="preserve">show a predominance of </w:t>
      </w:r>
      <w:r w:rsidR="000E64E1">
        <w:t>small</w:t>
      </w:r>
      <w:r w:rsidR="000E64E1" w:rsidRPr="000E64E1">
        <w:t xml:space="preserve"> multi-family houses with partial component-level refurbishment</w:t>
      </w:r>
      <w:r w:rsidR="000E64E1">
        <w:t xml:space="preserve">, </w:t>
      </w:r>
      <w:r w:rsidR="000E64E1" w:rsidRPr="000E64E1">
        <w:t xml:space="preserve">e.g., </w:t>
      </w:r>
      <w:r w:rsidR="00271935">
        <w:t xml:space="preserve">exterior </w:t>
      </w:r>
      <w:r w:rsidR="000E64E1" w:rsidRPr="000E64E1">
        <w:t xml:space="preserve">walls and windows only, heating dominated by </w:t>
      </w:r>
      <w:r w:rsidR="000E64E1">
        <w:t xml:space="preserve">apartment and central </w:t>
      </w:r>
      <w:r w:rsidR="000E64E1" w:rsidRPr="000E64E1">
        <w:t>gas condensing boilers, domestic hot water generated together with space heating for</w:t>
      </w:r>
      <w:r w:rsidR="000E64E1">
        <w:t xml:space="preserve"> six</w:t>
      </w:r>
      <w:r w:rsidR="000E64E1" w:rsidRPr="000E64E1">
        <w:t xml:space="preserve"> of </w:t>
      </w:r>
      <w:r w:rsidR="000E64E1">
        <w:t>seven</w:t>
      </w:r>
      <w:r w:rsidR="000E64E1" w:rsidRPr="000E64E1">
        <w:t xml:space="preserve"> respondents, solar thermal systems in two cases, </w:t>
      </w:r>
      <w:r w:rsidR="000E64E1">
        <w:t>photovoltaic systems</w:t>
      </w:r>
      <w:r w:rsidR="000E64E1" w:rsidRPr="000E64E1">
        <w:t xml:space="preserve"> in three cases, manual ventilation for all respondents, and residential use confirmed for all assigned buildings.</w:t>
      </w:r>
    </w:p>
    <w:p w14:paraId="0B03CE79" w14:textId="29F08CF8" w:rsidR="00251BAA" w:rsidRPr="000E64E1" w:rsidRDefault="00251BAA" w:rsidP="00FC36DF">
      <w:pPr>
        <w:pStyle w:val="SWCHeading11"/>
      </w:pPr>
      <w:r w:rsidRPr="000E64E1">
        <w:t>2.2 Translation survey responses into input and validation data</w:t>
      </w:r>
    </w:p>
    <w:p w14:paraId="039F75D8" w14:textId="04B4B33E" w:rsidR="00DD002F" w:rsidRPr="00D21829" w:rsidRDefault="00FC36DF" w:rsidP="00FC36DF">
      <w:pPr>
        <w:pStyle w:val="SWCText"/>
        <w:rPr>
          <w:color w:val="auto"/>
        </w:rPr>
      </w:pPr>
      <w:r w:rsidRPr="00FC36DF">
        <w:t xml:space="preserve">Automated processing </w:t>
      </w:r>
      <w:r w:rsidR="00FF44E9">
        <w:t xml:space="preserve">of the survey answers </w:t>
      </w:r>
      <w:r w:rsidRPr="00FC36DF">
        <w:t xml:space="preserve">covers a defined subset of </w:t>
      </w:r>
      <w:r w:rsidR="00FF44E9">
        <w:t xml:space="preserve">questions </w:t>
      </w:r>
      <w:r w:rsidRPr="00FC36DF">
        <w:t xml:space="preserve">via a mapping table. Two translation variants are distinguished for envelope </w:t>
      </w:r>
      <w:r w:rsidR="00FF44E9">
        <w:t>energetic</w:t>
      </w:r>
      <w:r w:rsidRPr="00FC36DF">
        <w:t xml:space="preserve"> state and indoor air setpoint</w:t>
      </w:r>
      <w:r w:rsidR="00FF44E9">
        <w:t xml:space="preserve"> </w:t>
      </w:r>
      <w:r w:rsidR="00FF44E9" w:rsidRPr="00FC36DF">
        <w:t>temperature</w:t>
      </w:r>
      <w:r w:rsidRPr="00FC36DF">
        <w:t>. In a so-called</w:t>
      </w:r>
      <w:bookmarkStart w:id="1" w:name="_Hlk239687236"/>
      <w:r w:rsidRPr="00FC36DF">
        <w:t xml:space="preserve"> </w:t>
      </w:r>
      <w:r w:rsidRPr="00FF44E9">
        <w:rPr>
          <w:b/>
          <w:bCs/>
        </w:rPr>
        <w:t xml:space="preserve">local </w:t>
      </w:r>
      <w:r w:rsidR="00FA5D3F" w:rsidRPr="00FF44E9">
        <w:rPr>
          <w:b/>
          <w:bCs/>
        </w:rPr>
        <w:t xml:space="preserve">building </w:t>
      </w:r>
      <w:r w:rsidRPr="00FF44E9">
        <w:rPr>
          <w:b/>
          <w:bCs/>
        </w:rPr>
        <w:t>archetype variant</w:t>
      </w:r>
      <w:r w:rsidRPr="00FC36DF">
        <w:t>,</w:t>
      </w:r>
      <w:bookmarkEnd w:id="1"/>
      <w:r w:rsidRPr="00FC36DF">
        <w:t xml:space="preserve"> the current </w:t>
      </w:r>
      <w:r w:rsidR="00FF44E9">
        <w:t>energetic state</w:t>
      </w:r>
      <w:r w:rsidRPr="00FC36DF">
        <w:t xml:space="preserve"> by the coarse multiple-choice assessment answers were mapped onto one of three refurbishment levels per component, matching the</w:t>
      </w:r>
      <w:bookmarkStart w:id="2" w:name="_Hlk239687402"/>
      <w:r w:rsidRPr="00FF44E9">
        <w:rPr>
          <w:b/>
        </w:rPr>
        <w:t xml:space="preserve"> national building archetype</w:t>
      </w:r>
      <w:bookmarkEnd w:id="2"/>
      <w:r w:rsidRPr="00FC36DF">
        <w:t xml:space="preserve"> discretization of refurbishment states, with </w:t>
      </w:r>
      <w:r w:rsidR="00055DF6">
        <w:t xml:space="preserve">default </w:t>
      </w:r>
      <w:r w:rsidR="0094760B" w:rsidRPr="00FC36DF">
        <w:t>indoor air setpoint</w:t>
      </w:r>
      <w:r w:rsidR="0094760B">
        <w:t xml:space="preserve"> </w:t>
      </w:r>
      <w:r w:rsidR="0094760B" w:rsidRPr="00FC36DF">
        <w:t>temperature</w:t>
      </w:r>
      <w:r w:rsidRPr="00FC36DF">
        <w:t xml:space="preserve"> fixed at a 20 °C. In the so-called </w:t>
      </w:r>
      <w:bookmarkStart w:id="3" w:name="_Hlk239687246"/>
      <w:r w:rsidRPr="00FF44E9">
        <w:rPr>
          <w:b/>
        </w:rPr>
        <w:t>stakeholder-specific variant</w:t>
      </w:r>
      <w:r w:rsidRPr="00FC36DF">
        <w:t>,</w:t>
      </w:r>
      <w:bookmarkEnd w:id="3"/>
      <w:r w:rsidRPr="00FC36DF">
        <w:t xml:space="preserve"> only where the more detailed questions about the current refurbishment state were answered, exterior wall</w:t>
      </w:r>
      <w:r w:rsidR="00271935">
        <w:t>s</w:t>
      </w:r>
      <w:r w:rsidRPr="00FC36DF">
        <w:t xml:space="preserve">, roof or top ceiling and </w:t>
      </w:r>
      <w:r w:rsidR="00D213D3">
        <w:t>floor to unheated cellar</w:t>
      </w:r>
      <w:r w:rsidR="0058472D">
        <w:t xml:space="preserve"> or to ground</w:t>
      </w:r>
      <w:r w:rsidRPr="00FC36DF">
        <w:t xml:space="preserve"> refurbishment state is instead derived as explicit insulation thickness and mean thermal conductivity of the selected answer option. The detailed refurbishment state of the windows is not yet covered in this variant. </w:t>
      </w:r>
      <w:r w:rsidR="00D21829">
        <w:rPr>
          <w:color w:val="auto"/>
        </w:rPr>
        <w:t xml:space="preserve">Thermal characteristics of the front door were not part of the survey. </w:t>
      </w:r>
      <w:r w:rsidRPr="00FC36DF">
        <w:t xml:space="preserve">Instead, the same process as described for the local archetype variant is followed for </w:t>
      </w:r>
      <w:r w:rsidRPr="00FC36DF">
        <w:lastRenderedPageBreak/>
        <w:t xml:space="preserve">windows. A reported indoor </w:t>
      </w:r>
      <w:r w:rsidR="0058472D">
        <w:t xml:space="preserve">air </w:t>
      </w:r>
      <w:r w:rsidRPr="00FC36DF">
        <w:t>temperature perception</w:t>
      </w:r>
      <w:r w:rsidR="0058472D">
        <w:t xml:space="preserve"> </w:t>
      </w:r>
      <w:r w:rsidRPr="00FC36DF">
        <w:t>as five discrete thermostat setting levels, is translated into a building-specific air temperature setpoint for the heating period which varies between 17.5 to 22.5 °C. For the cooling period the building-specific air temperature setpoint remains fixed at 25</w:t>
      </w:r>
      <w:r>
        <w:t> </w:t>
      </w:r>
      <w:r w:rsidRPr="00FC36DF">
        <w:t>°C in both variants, as no respondent has reported an installed cooling system</w:t>
      </w:r>
      <w:r w:rsidR="00FF44E9">
        <w:t>.</w:t>
      </w:r>
      <w:r w:rsidR="00BB5196">
        <w:t xml:space="preserve"> </w:t>
      </w:r>
      <w:r w:rsidR="00FF44E9">
        <w:t xml:space="preserve">The </w:t>
      </w:r>
      <w:r w:rsidR="00F37906">
        <w:t>d</w:t>
      </w:r>
      <w:r w:rsidR="00BB5196">
        <w:t xml:space="preserve">efault </w:t>
      </w:r>
      <w:r w:rsidR="00BB5196" w:rsidRPr="00FC36DF">
        <w:t>air temperature setpoint</w:t>
      </w:r>
      <w:r w:rsidR="00FF44E9">
        <w:t>s</w:t>
      </w:r>
      <w:r w:rsidR="00BB5196">
        <w:t xml:space="preserve"> </w:t>
      </w:r>
      <w:r w:rsidR="00F37906">
        <w:t xml:space="preserve">mentioned </w:t>
      </w:r>
      <w:r w:rsidR="005664EA">
        <w:t>were</w:t>
      </w:r>
      <w:r w:rsidR="00BB5196">
        <w:t xml:space="preserve"> chosen according to </w:t>
      </w:r>
      <w:r w:rsidR="00F84B03" w:rsidRPr="002225CA">
        <w:t>DIN</w:t>
      </w:r>
      <w:r w:rsidR="00F84B03">
        <w:t>/TS</w:t>
      </w:r>
      <w:r w:rsidR="00F84B03" w:rsidRPr="002225CA">
        <w:t xml:space="preserve"> 18599-10:2025</w:t>
      </w:r>
      <w:r w:rsidR="00F84B03">
        <w:t xml:space="preserve"> </w:t>
      </w:r>
      <w:r w:rsidR="004C5C25">
        <w:t>for residential buildings</w:t>
      </w:r>
      <w:r w:rsidR="00BB5196">
        <w:t>.</w:t>
      </w:r>
      <w:r w:rsidR="00F84B03">
        <w:t xml:space="preserve"> </w:t>
      </w:r>
      <w:r w:rsidR="00C55EA8">
        <w:t xml:space="preserve">All remaining mapped parameters are translated identically across both variants. This includes construction year, building usage, building size class and adjacency, room height, window area, infiltration as well as heat and electricity consumption. It also includes two further parameters, the number of heated apartments and the number of total apartments. Where the number of heated apartments is lower than the total number of apartments, the difference is represented as an additional, unconditioned thermal zone within the same building envelope, separated from the conditioned zone by a dedicated construction, to represent buildings with permanently vacant or unused apartments. </w:t>
      </w:r>
      <w:r w:rsidR="00C55EA8" w:rsidRPr="00C55EA8">
        <w:t xml:space="preserve">It is assumed that a vacant apartment in a small </w:t>
      </w:r>
      <w:r w:rsidR="006E183E">
        <w:t>multi-family house</w:t>
      </w:r>
      <w:r w:rsidR="00C55EA8" w:rsidRPr="00C55EA8">
        <w:t xml:space="preserve"> occupies one floor</w:t>
      </w:r>
      <w:r w:rsidR="006E183E">
        <w:t>.</w:t>
      </w:r>
      <w:r w:rsidR="00C55EA8">
        <w:t xml:space="preserve"> </w:t>
      </w:r>
      <w:r w:rsidR="006E183E">
        <w:t>W</w:t>
      </w:r>
      <w:r w:rsidR="00C55EA8">
        <w:t>h</w:t>
      </w:r>
      <w:r w:rsidR="0094760B">
        <w:t>ile</w:t>
      </w:r>
      <w:r w:rsidR="00C55EA8">
        <w:t xml:space="preserve"> this condition applies, the total number of occupants is taken directly from the survey response rather than being </w:t>
      </w:r>
      <w:r w:rsidR="006E183E">
        <w:t>multiplied by the number of apartments</w:t>
      </w:r>
      <w:r w:rsidR="00C55EA8">
        <w:t xml:space="preserve">, since the latter derivation implicitly assumes all reported </w:t>
      </w:r>
      <w:r w:rsidR="006E183E">
        <w:t xml:space="preserve">apartments </w:t>
      </w:r>
      <w:r w:rsidR="00C55EA8">
        <w:t xml:space="preserve">are occupied. </w:t>
      </w:r>
      <w:r w:rsidR="00F37906">
        <w:t xml:space="preserve">Two further building level characteristics collected by the survey are whether the basement and the attic space are heated. Although this information was recorded and passed through the aggregated building model, it is not currently applied to the simulated zoning. This would require a more differentiated representation of partial or reduced-temperature heating of these spaces than the binary distinction between heated or unheated currently available in the translated dataset. </w:t>
      </w:r>
      <w:r w:rsidR="00C55EA8">
        <w:t>Heating system parameters, i.e., energy carrier and heating system type, are translated into simulation inputs following a fallback logic</w:t>
      </w:r>
      <w:r w:rsidR="00F37906">
        <w:t xml:space="preserve"> which prioritizes stakeholder-data over census data</w:t>
      </w:r>
      <w:r w:rsidR="006E183E">
        <w:t>.</w:t>
      </w:r>
      <w:r w:rsidR="00C55EA8">
        <w:t xml:space="preserve"> </w:t>
      </w:r>
      <w:r w:rsidR="006E183E">
        <w:t>W</w:t>
      </w:r>
      <w:r w:rsidR="00C55EA8">
        <w:t>here available, the stakeholder-reported energy carrier and heating system type take precedence, and are otherwise supplemented from grid</w:t>
      </w:r>
      <w:r w:rsidR="00FA5D3F">
        <w:t xml:space="preserve"> level</w:t>
      </w:r>
      <w:r w:rsidR="00C55EA8">
        <w:t xml:space="preserve"> census data </w:t>
      </w:r>
      <w:r w:rsidR="006E183E">
        <w:t xml:space="preserve">(see </w:t>
      </w:r>
      <w:r w:rsidR="00650D38">
        <w:t>Chapter</w:t>
      </w:r>
      <w:r w:rsidR="006E183E">
        <w:t xml:space="preserve"> 3.2)</w:t>
      </w:r>
      <w:r w:rsidR="00C55EA8">
        <w:t>.</w:t>
      </w:r>
      <w:r w:rsidR="00492FA1">
        <w:t xml:space="preserve"> </w:t>
      </w:r>
      <w:r w:rsidR="006E183E">
        <w:t>Detailed information about d</w:t>
      </w:r>
      <w:r w:rsidR="00C55EA8">
        <w:t>omestic hot water</w:t>
      </w:r>
      <w:r w:rsidR="006E183E">
        <w:t xml:space="preserve"> generation</w:t>
      </w:r>
      <w:r w:rsidRPr="00FC36DF">
        <w:t xml:space="preserve">, ventilation, </w:t>
      </w:r>
      <w:r w:rsidR="006E183E">
        <w:t>photovoltaic and thermal and electrical storage</w:t>
      </w:r>
      <w:r w:rsidRPr="00FC36DF">
        <w:t xml:space="preserve"> data and the </w:t>
      </w:r>
      <w:r w:rsidR="0058472D">
        <w:t xml:space="preserve">questions </w:t>
      </w:r>
      <w:r w:rsidR="006E183E">
        <w:t>about the user behavior</w:t>
      </w:r>
      <w:r w:rsidRPr="00FC36DF">
        <w:t xml:space="preserve"> are recorded but not yet automatically translated into simulation inputs.</w:t>
      </w:r>
    </w:p>
    <w:p w14:paraId="5D714981" w14:textId="1F13B490" w:rsidR="007F42F5" w:rsidRDefault="007F42F5" w:rsidP="007D0A57">
      <w:pPr>
        <w:pStyle w:val="SWCHeading1"/>
      </w:pPr>
      <w:r>
        <w:t>Data</w:t>
      </w:r>
    </w:p>
    <w:p w14:paraId="2CD35FF8" w14:textId="55CC2603" w:rsidR="000C07FF" w:rsidRPr="004C4AC4" w:rsidRDefault="00E86A44" w:rsidP="004C4AC4">
      <w:pPr>
        <w:pStyle w:val="SWCText"/>
      </w:pPr>
      <w:r>
        <w:t xml:space="preserve">With the </w:t>
      </w:r>
      <w:r w:rsidRPr="004C4AC4">
        <w:t xml:space="preserve">aim to be able to </w:t>
      </w:r>
      <w:r w:rsidR="004C4AC4" w:rsidRPr="004C4AC4">
        <w:t xml:space="preserve">model </w:t>
      </w:r>
      <w:r w:rsidRPr="004C4AC4">
        <w:t>any areas</w:t>
      </w:r>
      <w:r w:rsidR="00A00CBD">
        <w:t xml:space="preserve"> occupied by buildings in</w:t>
      </w:r>
      <w:r w:rsidRPr="004C4AC4">
        <w:t xml:space="preserve"> Germany, d</w:t>
      </w:r>
      <w:r w:rsidR="00402BEF" w:rsidRPr="004C4AC4">
        <w:t xml:space="preserve">espite the stakeholder survey data only open data sources shall be used </w:t>
      </w:r>
      <w:r w:rsidR="00F37906">
        <w:t>for</w:t>
      </w:r>
      <w:r w:rsidR="00402BEF" w:rsidRPr="004C4AC4">
        <w:t xml:space="preserve"> </w:t>
      </w:r>
      <w:r w:rsidRPr="004C4AC4">
        <w:t xml:space="preserve">the </w:t>
      </w:r>
      <w:r w:rsidR="00402BEF" w:rsidRPr="004C4AC4">
        <w:t xml:space="preserve">aggregated building models. As already summarized in </w:t>
      </w:r>
      <w:r w:rsidR="004C4AC4" w:rsidRPr="004C4AC4">
        <w:t xml:space="preserve">different literature (Lott et al., 2026; </w:t>
      </w:r>
      <w:proofErr w:type="spellStart"/>
      <w:r w:rsidR="004C4AC4" w:rsidRPr="004C4AC4">
        <w:t>Rehmann</w:t>
      </w:r>
      <w:proofErr w:type="spellEnd"/>
      <w:r w:rsidR="004C4AC4" w:rsidRPr="004C4AC4">
        <w:t xml:space="preserve"> et al., 2025; </w:t>
      </w:r>
      <w:proofErr w:type="spellStart"/>
      <w:r w:rsidR="004C4AC4" w:rsidRPr="004C4AC4">
        <w:t>Blömer</w:t>
      </w:r>
      <w:proofErr w:type="spellEnd"/>
      <w:r w:rsidR="004C4AC4" w:rsidRPr="004C4AC4">
        <w:t xml:space="preserve"> et al., 2025)</w:t>
      </w:r>
      <w:r w:rsidR="00251BAA" w:rsidRPr="004C4AC4">
        <w:t>,</w:t>
      </w:r>
      <w:r w:rsidR="00402BEF" w:rsidRPr="004C4AC4">
        <w:t xml:space="preserve"> some </w:t>
      </w:r>
      <w:r w:rsidR="00C171FF">
        <w:t>relevant</w:t>
      </w:r>
      <w:r w:rsidR="00402BEF" w:rsidRPr="004C4AC4">
        <w:t xml:space="preserve"> </w:t>
      </w:r>
      <w:r w:rsidRPr="004C4AC4">
        <w:t xml:space="preserve">open </w:t>
      </w:r>
      <w:r w:rsidR="00402BEF" w:rsidRPr="004C4AC4">
        <w:t xml:space="preserve">data sources </w:t>
      </w:r>
      <w:r w:rsidRPr="004C4AC4">
        <w:t xml:space="preserve">are available in Germany. This </w:t>
      </w:r>
      <w:r w:rsidR="00650D38">
        <w:t>Chapter</w:t>
      </w:r>
      <w:r w:rsidRPr="004C4AC4">
        <w:t xml:space="preserve"> describes which of the data sources are used and how they were pre-processed.</w:t>
      </w:r>
    </w:p>
    <w:p w14:paraId="441588A8" w14:textId="77777777" w:rsidR="000C07FF" w:rsidRPr="00C147CA" w:rsidRDefault="000C07FF" w:rsidP="007D0A57">
      <w:pPr>
        <w:pStyle w:val="SWCHeading11"/>
      </w:pPr>
      <w:r w:rsidRPr="00C147CA">
        <w:t xml:space="preserve">3.1 Input data </w:t>
      </w:r>
    </w:p>
    <w:p w14:paraId="683788A4" w14:textId="3EDD9DC7" w:rsidR="00FC016B" w:rsidRPr="00FC016B" w:rsidRDefault="00FC016B" w:rsidP="00476B82">
      <w:pPr>
        <w:pStyle w:val="SWCText"/>
      </w:pPr>
      <w:r w:rsidRPr="00FC016B">
        <w:t>Geometrical data, such as surface orientations and areas, as well as</w:t>
      </w:r>
      <w:r w:rsidR="004C4AC4">
        <w:t xml:space="preserve"> the non-geometric parameter</w:t>
      </w:r>
      <w:r w:rsidRPr="00FC016B">
        <w:t xml:space="preserve"> building function</w:t>
      </w:r>
      <w:r w:rsidR="00752B50">
        <w:t xml:space="preserve"> and the building address </w:t>
      </w:r>
      <w:r w:rsidRPr="00FC016B">
        <w:t>were taken from 3D building model</w:t>
      </w:r>
      <w:r w:rsidR="00752B50">
        <w:t xml:space="preserve"> data</w:t>
      </w:r>
      <w:r w:rsidRPr="00FC016B">
        <w:t xml:space="preserve"> </w:t>
      </w:r>
      <w:r w:rsidR="00E33700">
        <w:t xml:space="preserve">in the Level of Detail 2 </w:t>
      </w:r>
      <w:r w:rsidRPr="00FC016B">
        <w:t xml:space="preserve">provided by the federal states in the standardized semantic city model </w:t>
      </w:r>
      <w:proofErr w:type="spellStart"/>
      <w:r w:rsidRPr="00FC016B">
        <w:t>CityGML</w:t>
      </w:r>
      <w:proofErr w:type="spellEnd"/>
      <w:r w:rsidR="00E33700">
        <w:t xml:space="preserve"> (Kolbe and </w:t>
      </w:r>
      <w:proofErr w:type="spellStart"/>
      <w:r w:rsidR="00E33700">
        <w:t>Donaubauer</w:t>
      </w:r>
      <w:proofErr w:type="spellEnd"/>
      <w:r w:rsidR="00E33700">
        <w:t>, 2021)</w:t>
      </w:r>
      <w:r w:rsidRPr="00FC016B">
        <w:t xml:space="preserve">. </w:t>
      </w:r>
      <w:r w:rsidR="007826BC" w:rsidRPr="007826BC">
        <w:t>In Baden-Württemberg, the building</w:t>
      </w:r>
      <w:r w:rsidR="00220133">
        <w:t xml:space="preserve"> p</w:t>
      </w:r>
      <w:r w:rsidR="007826BC" w:rsidRPr="007826BC">
        <w:t xml:space="preserve">art attribute </w:t>
      </w:r>
      <w:r w:rsidR="007826BC">
        <w:t>of the 3D building model</w:t>
      </w:r>
      <w:r w:rsidR="00752B50">
        <w:t xml:space="preserve"> data</w:t>
      </w:r>
      <w:r w:rsidR="007826BC">
        <w:t xml:space="preserve"> </w:t>
      </w:r>
      <w:r w:rsidR="007826BC" w:rsidRPr="007826BC">
        <w:t>links floor</w:t>
      </w:r>
      <w:r w:rsidR="007826BC">
        <w:t xml:space="preserve"> </w:t>
      </w:r>
      <w:r w:rsidR="007826BC" w:rsidRPr="007826BC">
        <w:t xml:space="preserve">plan geometry </w:t>
      </w:r>
      <w:r w:rsidR="007826BC">
        <w:t xml:space="preserve">of building parts </w:t>
      </w:r>
      <w:r w:rsidR="007826BC" w:rsidRPr="007826BC">
        <w:t xml:space="preserve">without direct address assignment to main building parts. </w:t>
      </w:r>
      <w:r w:rsidR="001402B9">
        <w:t>P</w:t>
      </w:r>
      <w:r w:rsidRPr="00FC016B">
        <w:t xml:space="preserve">roperty boundaries are used to compute </w:t>
      </w:r>
      <w:r w:rsidR="007826BC">
        <w:t xml:space="preserve">if </w:t>
      </w:r>
      <w:r w:rsidRPr="00FC016B">
        <w:t>shading effects of the</w:t>
      </w:r>
      <w:r w:rsidR="007826BC">
        <w:t xml:space="preserve"> neighboring </w:t>
      </w:r>
      <w:r w:rsidRPr="00FC016B">
        <w:t>buildings</w:t>
      </w:r>
      <w:r w:rsidR="007826BC">
        <w:t xml:space="preserve"> are taken into account</w:t>
      </w:r>
      <w:r w:rsidR="001402B9">
        <w:t xml:space="preserve"> (Johari et al., 2023)</w:t>
      </w:r>
      <w:r w:rsidR="001402B9" w:rsidRPr="001402B9">
        <w:t xml:space="preserve"> and, in </w:t>
      </w:r>
      <w:r w:rsidR="001402B9">
        <w:t xml:space="preserve">data </w:t>
      </w:r>
      <w:r w:rsidR="001402B9" w:rsidRPr="001402B9">
        <w:t>pre-processing</w:t>
      </w:r>
      <w:r w:rsidR="001402B9">
        <w:t xml:space="preserve"> (see </w:t>
      </w:r>
      <w:r w:rsidR="00650D38">
        <w:t>Chapter</w:t>
      </w:r>
      <w:r w:rsidR="001402B9">
        <w:t xml:space="preserve"> 3.2)</w:t>
      </w:r>
      <w:r w:rsidR="001402B9" w:rsidRPr="001402B9">
        <w:t xml:space="preserve">, are used to propagate building age class and story height between buildings sharing a property, similar footprint size, and </w:t>
      </w:r>
      <w:r w:rsidR="001402B9">
        <w:t xml:space="preserve">building </w:t>
      </w:r>
      <w:r w:rsidR="001402B9" w:rsidRPr="001402B9">
        <w:t>function</w:t>
      </w:r>
      <w:r w:rsidRPr="00FC016B">
        <w:t xml:space="preserve">. Property boundaries are the outer edges of parcels of land, which are also freely available in Germany through the Official Real Estate </w:t>
      </w:r>
      <w:proofErr w:type="spellStart"/>
      <w:r w:rsidRPr="00FC016B">
        <w:t>Cadastre</w:t>
      </w:r>
      <w:proofErr w:type="spellEnd"/>
      <w:r w:rsidRPr="00FC016B">
        <w:t xml:space="preserve"> Information System (ALKIS) in the georeferenced shape format</w:t>
      </w:r>
      <w:r w:rsidR="007826BC">
        <w:t xml:space="preserve"> (</w:t>
      </w:r>
      <w:r w:rsidR="007826BC" w:rsidRPr="007826BC">
        <w:t>State Office for Geoinformation and Regional Development of Baden-Württemberg, 2026</w:t>
      </w:r>
      <w:r w:rsidR="007826BC">
        <w:t>)</w:t>
      </w:r>
      <w:r w:rsidRPr="00FC016B">
        <w:t xml:space="preserve">. </w:t>
      </w:r>
    </w:p>
    <w:p w14:paraId="1BBD13D1" w14:textId="5B6DA28C" w:rsidR="00FC016B" w:rsidRPr="00B613AB" w:rsidRDefault="00476B82" w:rsidP="00476B82">
      <w:pPr>
        <w:pStyle w:val="SWCText"/>
        <w:rPr>
          <w:i/>
        </w:rPr>
      </w:pPr>
      <w:r w:rsidRPr="00476B82">
        <w:t xml:space="preserve">Building age </w:t>
      </w:r>
      <w:r w:rsidR="00266B35">
        <w:t xml:space="preserve">and size </w:t>
      </w:r>
      <w:r w:rsidRPr="00476B82">
        <w:t>class is derived from ETHOS.BUILDA (</w:t>
      </w:r>
      <w:proofErr w:type="spellStart"/>
      <w:r w:rsidRPr="00476B82">
        <w:t>Dabrock</w:t>
      </w:r>
      <w:proofErr w:type="spellEnd"/>
      <w:r w:rsidRPr="00476B82">
        <w:t xml:space="preserve"> et al., 202</w:t>
      </w:r>
      <w:r w:rsidR="00B1751D">
        <w:t>5</w:t>
      </w:r>
      <w:r w:rsidRPr="00476B82">
        <w:t>), a nationwide, building-specific dataset combining OpenStreetMap, 3D building models, and census data via a machine-learning approach, rather than directly from the 100 m² census grid, as this dataset is already enriched.</w:t>
      </w:r>
      <w:r>
        <w:t xml:space="preserve"> </w:t>
      </w:r>
      <w:r w:rsidRPr="00A154DC">
        <w:t xml:space="preserve">Four further parameters are retrieved per building location </w:t>
      </w:r>
      <w:r>
        <w:t xml:space="preserve">directly </w:t>
      </w:r>
      <w:r w:rsidRPr="00A154DC">
        <w:t xml:space="preserve">from the 2022 </w:t>
      </w:r>
      <w:r w:rsidRPr="004F2AEB">
        <w:rPr>
          <w:color w:val="auto"/>
        </w:rPr>
        <w:t xml:space="preserve">census </w:t>
      </w:r>
      <w:r w:rsidR="00220133" w:rsidRPr="004F2AEB">
        <w:rPr>
          <w:color w:val="auto"/>
        </w:rPr>
        <w:t>data</w:t>
      </w:r>
      <w:r w:rsidR="004F2AEB">
        <w:rPr>
          <w:color w:val="auto"/>
        </w:rPr>
        <w:t xml:space="preserve"> via web map service</w:t>
      </w:r>
      <w:r w:rsidR="00220133" w:rsidRPr="004F2AEB">
        <w:rPr>
          <w:color w:val="auto"/>
        </w:rPr>
        <w:t xml:space="preserve"> </w:t>
      </w:r>
      <w:r w:rsidRPr="00A154DC">
        <w:t>(</w:t>
      </w:r>
      <w:hyperlink r:id="rId10" w:history="1">
        <w:r w:rsidR="004F2AEB" w:rsidRPr="00C531BF">
          <w:rPr>
            <w:rStyle w:val="Hyperlink"/>
          </w:rPr>
          <w:t>https://atlas.zensus2022.de/</w:t>
        </w:r>
      </w:hyperlink>
      <w:r w:rsidRPr="00A154DC">
        <w:t>), interpolated to the 100</w:t>
      </w:r>
      <w:r>
        <w:t> </w:t>
      </w:r>
      <w:r w:rsidRPr="00A154DC">
        <w:t>m</w:t>
      </w:r>
      <w:r>
        <w:t>² </w:t>
      </w:r>
      <w:r w:rsidRPr="00A154DC">
        <w:t>grid</w:t>
      </w:r>
      <w:r>
        <w:t xml:space="preserve">. The </w:t>
      </w:r>
      <w:r w:rsidRPr="00E47C58">
        <w:t>average living floor space</w:t>
      </w:r>
      <w:r w:rsidRPr="00A154DC">
        <w:t xml:space="preserve"> per occupant and average household size as single numeric values, replac</w:t>
      </w:r>
      <w:r w:rsidR="00C171FF">
        <w:t>e</w:t>
      </w:r>
      <w:r w:rsidRPr="00A154DC">
        <w:t xml:space="preserve"> literature-based defaults such as the Swedish value used by Johari et al. (2023)</w:t>
      </w:r>
      <w:r>
        <w:t>.</w:t>
      </w:r>
      <w:r w:rsidR="00FC016B" w:rsidRPr="00FC016B">
        <w:t xml:space="preserve"> </w:t>
      </w:r>
      <w:r w:rsidR="00752B50">
        <w:t>A</w:t>
      </w:r>
      <w:r w:rsidR="00752B50" w:rsidRPr="00A154DC">
        <w:t>s categorical share distributions, the predominant heating</w:t>
      </w:r>
      <w:r w:rsidR="00752B50">
        <w:t xml:space="preserve"> </w:t>
      </w:r>
      <w:r w:rsidR="00752B50" w:rsidRPr="00A154DC">
        <w:t>system type</w:t>
      </w:r>
      <w:r w:rsidR="00752B50">
        <w:t>,</w:t>
      </w:r>
      <w:r w:rsidR="00752B50" w:rsidRPr="00A154DC">
        <w:t xml:space="preserve"> </w:t>
      </w:r>
      <w:proofErr w:type="spellStart"/>
      <w:r w:rsidR="00752B50" w:rsidRPr="00FC016B">
        <w:t>i</w:t>
      </w:r>
      <w:proofErr w:type="spellEnd"/>
      <w:r w:rsidR="00752B50" w:rsidRPr="00FC016B">
        <w:t xml:space="preserve">. e. </w:t>
      </w:r>
      <w:r w:rsidR="00752B50">
        <w:t>apartment</w:t>
      </w:r>
      <w:r w:rsidR="00752B50" w:rsidRPr="00FC016B">
        <w:t xml:space="preserve"> heating, central heating, district heating, and other, and the predominant energy carrier, </w:t>
      </w:r>
      <w:proofErr w:type="spellStart"/>
      <w:r w:rsidR="00752B50" w:rsidRPr="00FC016B">
        <w:t>i</w:t>
      </w:r>
      <w:proofErr w:type="spellEnd"/>
      <w:r w:rsidR="00752B50" w:rsidRPr="00FC016B">
        <w:t xml:space="preserve">. e. gas, oil, district heating, </w:t>
      </w:r>
      <w:r w:rsidR="00752B50">
        <w:t xml:space="preserve">solar and </w:t>
      </w:r>
      <w:r w:rsidR="00752B50" w:rsidRPr="00FC016B">
        <w:t>other</w:t>
      </w:r>
      <w:r w:rsidR="00752B50">
        <w:t>, was used</w:t>
      </w:r>
      <w:r w:rsidR="00752B50" w:rsidRPr="00FC016B">
        <w:t xml:space="preserve">. Whereas </w:t>
      </w:r>
      <w:r w:rsidR="00752B50">
        <w:t xml:space="preserve">according to the census data the category </w:t>
      </w:r>
      <w:r w:rsidR="00752B50" w:rsidRPr="00FC016B">
        <w:t>other includes biomass as well as electrical heating without heat pumps</w:t>
      </w:r>
      <w:r w:rsidR="00752B50">
        <w:t>,</w:t>
      </w:r>
      <w:r w:rsidR="00752B50" w:rsidRPr="00FC016B">
        <w:t xml:space="preserve"> </w:t>
      </w:r>
      <w:r w:rsidR="00752B50">
        <w:t xml:space="preserve">the category </w:t>
      </w:r>
      <w:r w:rsidR="00752B50" w:rsidRPr="00FC016B">
        <w:t>solar includes solar thermal</w:t>
      </w:r>
      <w:r w:rsidR="00752B50">
        <w:t xml:space="preserve">, </w:t>
      </w:r>
      <w:r w:rsidR="00752B50" w:rsidRPr="00FC016B">
        <w:t xml:space="preserve">geothermal </w:t>
      </w:r>
      <w:r w:rsidR="00752B50">
        <w:t xml:space="preserve">supply systems </w:t>
      </w:r>
      <w:r w:rsidR="00752B50" w:rsidRPr="00FC016B">
        <w:t xml:space="preserve">and heat pumps. </w:t>
      </w:r>
      <w:r w:rsidR="00752B50">
        <w:t xml:space="preserve">The category </w:t>
      </w:r>
      <w:r w:rsidR="00752B50" w:rsidRPr="00FC016B">
        <w:t>solar</w:t>
      </w:r>
      <w:r w:rsidR="00752B50">
        <w:t xml:space="preserve"> is interpreted as heat pump in the data pre-processing. This is because the </w:t>
      </w:r>
      <w:r w:rsidR="00752B50">
        <w:lastRenderedPageBreak/>
        <w:t>census only queries the main energy carrier of a building. In the study area, no more than four solar thermal collectors with an approximated gross collector area of 8 m² were identified per building. Such a small collector area would be insufficient for a predominantly solar thermal heat supply</w:t>
      </w:r>
      <w:r w:rsidR="00FC016B" w:rsidRPr="00FC016B">
        <w:t xml:space="preserve">. This is an assumption specific to the study area, as no generally applicable </w:t>
      </w:r>
      <w:r w:rsidR="00752B50">
        <w:t>assumption</w:t>
      </w:r>
      <w:r w:rsidR="00FC016B" w:rsidRPr="00FC016B">
        <w:t xml:space="preserve"> could be defined.</w:t>
      </w:r>
      <w:r w:rsidR="005F1E9F">
        <w:t xml:space="preserve"> Numeric census quantities (</w:t>
      </w:r>
      <w:r w:rsidR="005F1E9F" w:rsidRPr="00E47C58">
        <w:t>average living floor space</w:t>
      </w:r>
      <w:r w:rsidR="005F1E9F" w:rsidRPr="00A154DC">
        <w:t xml:space="preserve"> per occupant and average household size</w:t>
      </w:r>
      <w:r w:rsidR="005F1E9F">
        <w:t xml:space="preserve">) are assigned to each building by a per-building point lookup in its enclosing 100 m² census grid cell, whereas categorical quantities </w:t>
      </w:r>
      <w:r w:rsidR="000A00C7">
        <w:t xml:space="preserve">such as </w:t>
      </w:r>
      <w:r w:rsidR="005F1E9F">
        <w:t>heating system type</w:t>
      </w:r>
      <w:r w:rsidR="000A00C7">
        <w:t xml:space="preserve"> and</w:t>
      </w:r>
      <w:r w:rsidR="005F1E9F">
        <w:t xml:space="preserve"> energy carrier are queried once per grid cell and then apportioned among the buildings located in that cell using a deterministic largest-remainder procedure, so that the </w:t>
      </w:r>
      <w:r w:rsidR="00FA5D3F">
        <w:t>building level</w:t>
      </w:r>
      <w:r w:rsidR="005F1E9F">
        <w:t xml:space="preserve"> category counts reproduce the cell's reported percentage shares as closely as possible. Each category's quota is its share multiplied by the number of buildings in the cell, the integer part of each quota is allocated directly, and any remaining buildings are assigned one by one to the categories with the largest fractional remainder, which yields a unique allocation for any given set of shares and building count.</w:t>
      </w:r>
    </w:p>
    <w:p w14:paraId="37B40B1B" w14:textId="77777777" w:rsidR="00586114" w:rsidRDefault="00FC016B" w:rsidP="00476B82">
      <w:pPr>
        <w:pStyle w:val="SWCText"/>
      </w:pPr>
      <w:r w:rsidRPr="00FC016B">
        <w:t xml:space="preserve">Non-geometric parameters, i.e., </w:t>
      </w:r>
      <w:r w:rsidR="00016A7A">
        <w:t>construction and thermal</w:t>
      </w:r>
      <w:r w:rsidRPr="00FC016B">
        <w:t xml:space="preserve"> properties </w:t>
      </w:r>
      <w:r w:rsidR="00016A7A">
        <w:t>of the building</w:t>
      </w:r>
      <w:r w:rsidRPr="00FC016B">
        <w:t xml:space="preserve"> envelope, were derived from the real existing buildings used to describe the archetype typology for the German residential building stock introduced in Chapter 1.1. Within the TABULA research project and its follow-up project EPISCOPE (Institute for Housing and Environment et al., 2016a), a database of real existing buildings was compiled. This database covers 12 building age classes and four building size classes each. For each combination, typical envelope constructions are described for </w:t>
      </w:r>
      <w:r w:rsidR="00271935" w:rsidRPr="002E5DC4">
        <w:t>windows, exter</w:t>
      </w:r>
      <w:r w:rsidR="00271935">
        <w:t>ior</w:t>
      </w:r>
      <w:r w:rsidR="00271935" w:rsidRPr="002E5DC4">
        <w:t xml:space="preserve"> walls, roof or top ceiling, </w:t>
      </w:r>
      <w:r w:rsidR="00D213D3">
        <w:t>floor to unheated cellar</w:t>
      </w:r>
      <w:r w:rsidRPr="00FC016B">
        <w:t xml:space="preserve"> </w:t>
      </w:r>
      <w:r w:rsidR="0058472D">
        <w:t xml:space="preserve">or to ground </w:t>
      </w:r>
      <w:r w:rsidRPr="00FC016B">
        <w:t xml:space="preserve">and front door, at three refurbishment levels. These envelope constructions were defined by an expert panel of German architects and other planning professionals. Heat transfer coefficients are provided for all envelope constructions. </w:t>
      </w:r>
      <w:r w:rsidRPr="001D0028">
        <w:t xml:space="preserve">Layer thicknesses and thermal conductivities, however, are only specified for the additional insulation layers introduced at the </w:t>
      </w:r>
      <w:r w:rsidR="001D0028" w:rsidRPr="001D0028">
        <w:t>second (</w:t>
      </w:r>
      <w:r w:rsidRPr="001D0028">
        <w:t>standard</w:t>
      </w:r>
      <w:r w:rsidR="001D0028" w:rsidRPr="001D0028">
        <w:t>)</w:t>
      </w:r>
      <w:r w:rsidRPr="001D0028">
        <w:t xml:space="preserve"> and </w:t>
      </w:r>
      <w:r w:rsidR="001D0028" w:rsidRPr="001D0028">
        <w:t>the third (</w:t>
      </w:r>
      <w:r w:rsidRPr="001D0028">
        <w:t>advanced</w:t>
      </w:r>
      <w:r w:rsidR="001D0028" w:rsidRPr="001D0028">
        <w:t>)</w:t>
      </w:r>
      <w:r w:rsidRPr="001D0028">
        <w:t xml:space="preserve"> refurbishment level</w:t>
      </w:r>
      <w:r w:rsidR="00336A33">
        <w:t>, not for the not refurbished level</w:t>
      </w:r>
      <w:r w:rsidRPr="001D0028">
        <w:t>.</w:t>
      </w:r>
      <w:r w:rsidR="001D0028" w:rsidRPr="001D0028">
        <w:t xml:space="preserve"> </w:t>
      </w:r>
      <w:r w:rsidR="00752B50" w:rsidRPr="00FC016B">
        <w:t xml:space="preserve">Deviations of </w:t>
      </w:r>
      <w:r w:rsidR="00752B50">
        <w:t xml:space="preserve">the target </w:t>
      </w:r>
      <w:r w:rsidR="00752B50" w:rsidRPr="00FC016B">
        <w:t xml:space="preserve">heat transfer coefficients </w:t>
      </w:r>
      <w:r w:rsidR="00752B50">
        <w:t xml:space="preserve">of </w:t>
      </w:r>
      <w:r w:rsidR="00752B50" w:rsidRPr="00FC016B">
        <w:t>0</w:t>
      </w:r>
      <w:r w:rsidR="00752B50">
        <w:t xml:space="preserve"> to </w:t>
      </w:r>
      <w:r w:rsidR="00752B50" w:rsidRPr="00FC016B">
        <w:t xml:space="preserve">8 % per envelope construction were found, with </w:t>
      </w:r>
      <w:r w:rsidR="00752B50">
        <w:t>one</w:t>
      </w:r>
      <w:r w:rsidR="00752B50" w:rsidRPr="00FC016B">
        <w:t xml:space="preserve"> larger exception</w:t>
      </w:r>
      <w:r w:rsidR="00752B50">
        <w:t xml:space="preserve">, </w:t>
      </w:r>
      <w:proofErr w:type="spellStart"/>
      <w:r w:rsidR="00752B50">
        <w:t>i</w:t>
      </w:r>
      <w:proofErr w:type="spellEnd"/>
      <w:r w:rsidR="00752B50">
        <w:t>. e.</w:t>
      </w:r>
      <w:r w:rsidR="00752B50" w:rsidRPr="00FC016B">
        <w:t xml:space="preserve"> the </w:t>
      </w:r>
      <w:r w:rsidR="00752B50">
        <w:t xml:space="preserve">not </w:t>
      </w:r>
      <w:r w:rsidR="00752B50" w:rsidRPr="00FC016B">
        <w:t>refurbished basement ceiling construction used for multi-family houses of building age class 1949</w:t>
      </w:r>
      <w:r w:rsidR="00752B50">
        <w:t xml:space="preserve"> to </w:t>
      </w:r>
      <w:r w:rsidR="00752B50" w:rsidRPr="00FC016B">
        <w:t>1957</w:t>
      </w:r>
      <w:r w:rsidR="00752B50">
        <w:t xml:space="preserve">. The </w:t>
      </w:r>
      <w:r w:rsidR="00752B50" w:rsidRPr="00FC016B">
        <w:t xml:space="preserve">calculated heat transfer coefficient deviates </w:t>
      </w:r>
      <w:r w:rsidR="00752B50">
        <w:t xml:space="preserve">here </w:t>
      </w:r>
      <w:r w:rsidR="00752B50" w:rsidRPr="00FC016B">
        <w:t>by 35 % from the database value. This construction consists of a homogeneous layer build-up of</w:t>
      </w:r>
      <w:r w:rsidR="00752B50">
        <w:t xml:space="preserve"> only two layers,</w:t>
      </w:r>
      <w:r w:rsidR="00752B50" w:rsidRPr="00FC016B">
        <w:t xml:space="preserve"> concrete and screed. The material properties and layer thicknesses used were compared against an independent source, a historical building construction atlas (</w:t>
      </w:r>
      <w:r w:rsidR="00752B50">
        <w:t>Lohse et al., 2025</w:t>
      </w:r>
      <w:r w:rsidR="00752B50" w:rsidRPr="00FC016B">
        <w:t xml:space="preserve">). </w:t>
      </w:r>
      <w:r w:rsidR="00752B50">
        <w:t>The</w:t>
      </w:r>
      <w:r w:rsidR="00752B50" w:rsidRPr="00FC016B">
        <w:t xml:space="preserve"> comparison showed that the </w:t>
      </w:r>
      <w:r w:rsidR="00752B50">
        <w:t xml:space="preserve">construction atlas </w:t>
      </w:r>
      <w:r w:rsidR="00752B50" w:rsidRPr="00FC016B">
        <w:t>reproduces the same heat transfer coefficient as the TABULA and EPISCOPE database, whereas the DIN EN ISO 6946</w:t>
      </w:r>
      <w:r w:rsidR="00752B50">
        <w:t>:2018</w:t>
      </w:r>
      <w:r w:rsidR="00752B50" w:rsidRPr="00FC016B">
        <w:t xml:space="preserve"> calculation deviates from both. This suggests that an additional floor covering or a similar thin layer may be included in the reference values but not </w:t>
      </w:r>
      <w:r w:rsidR="00752B50">
        <w:t xml:space="preserve">named in both sources and not </w:t>
      </w:r>
      <w:r w:rsidR="00752B50" w:rsidRPr="00FC016B">
        <w:t>accounted for in the present layer build-up.</w:t>
      </w:r>
      <w:r w:rsidR="00016A7A">
        <w:t xml:space="preserve"> </w:t>
      </w:r>
      <w:r w:rsidRPr="00FC016B">
        <w:t>For inhomogene</w:t>
      </w:r>
      <w:r w:rsidR="00752B50">
        <w:t>ities within a</w:t>
      </w:r>
      <w:r w:rsidRPr="00FC016B">
        <w:t xml:space="preserve"> layer, material properties were subsequently combined into a single homogeneous layer using area-weighted averaging. This approach slightly underestimates heat transfer through the resulting layer, since it neglects heat flow perpendicular to</w:t>
      </w:r>
      <w:r w:rsidR="00883EFE">
        <w:t xml:space="preserve"> </w:t>
      </w:r>
      <w:r w:rsidRPr="00FC016B">
        <w:t xml:space="preserve">the main direction of heat flow. This simplification is nonetheless required for compatibility with the </w:t>
      </w:r>
      <w:proofErr w:type="spellStart"/>
      <w:r w:rsidRPr="00FC016B">
        <w:t>EnergyPlus</w:t>
      </w:r>
      <w:proofErr w:type="spellEnd"/>
      <w:r w:rsidRPr="00FC016B">
        <w:t xml:space="preserve"> simulation software</w:t>
      </w:r>
      <w:r w:rsidR="00883EFE">
        <w:t xml:space="preserve"> used as simulation </w:t>
      </w:r>
      <w:r w:rsidR="00752B50">
        <w:t>software</w:t>
      </w:r>
      <w:r w:rsidR="00883EFE">
        <w:t xml:space="preserve"> (see </w:t>
      </w:r>
      <w:r w:rsidR="00650D38">
        <w:t>Chapter</w:t>
      </w:r>
      <w:r w:rsidR="00883EFE">
        <w:t xml:space="preserve"> 4)</w:t>
      </w:r>
      <w:r w:rsidRPr="00FC016B">
        <w:t>.</w:t>
      </w:r>
    </w:p>
    <w:p w14:paraId="6543ADF6" w14:textId="5868633D" w:rsidR="0025241B" w:rsidRPr="0025241B" w:rsidRDefault="00FC016B" w:rsidP="00476B82">
      <w:pPr>
        <w:pStyle w:val="SWCText"/>
      </w:pPr>
      <w:r w:rsidRPr="00FC016B">
        <w:t xml:space="preserve">A further outcome of the archetype typology for the German residential building stock is a survey of the German residential building stock itself. </w:t>
      </w:r>
      <w:r w:rsidR="00016A7A" w:rsidRPr="00016A7A">
        <w:t>Here, the residential building archetypes for Germany are classified according to the parameters of building size class and building age class and characterized by the concept of “synthetic average buildings”. A synthetic average building is a virtual building that corresponds to the statistical average data of the building group it represents.</w:t>
      </w:r>
      <w:r w:rsidR="00016A7A">
        <w:t xml:space="preserve"> </w:t>
      </w:r>
      <w:r w:rsidRPr="00FC016B">
        <w:t xml:space="preserve">For the synthetic average buildings, covering three building age classes and two building size classes each, heat transfer coefficients are likewise defined for </w:t>
      </w:r>
      <w:r w:rsidR="00271935" w:rsidRPr="002E5DC4">
        <w:t>windows, exter</w:t>
      </w:r>
      <w:r w:rsidR="00271935">
        <w:t>ior</w:t>
      </w:r>
      <w:r w:rsidR="00271935" w:rsidRPr="002E5DC4">
        <w:t xml:space="preserve"> walls, roof or top ceiling, </w:t>
      </w:r>
      <w:r w:rsidR="00D213D3">
        <w:t>floor to unheated cellar</w:t>
      </w:r>
      <w:r w:rsidRPr="00FC016B">
        <w:t xml:space="preserve"> </w:t>
      </w:r>
      <w:r w:rsidR="0058472D">
        <w:t xml:space="preserve">or to ground </w:t>
      </w:r>
      <w:r w:rsidRPr="00FC016B">
        <w:t xml:space="preserve">and </w:t>
      </w:r>
      <w:r w:rsidR="00271935">
        <w:t xml:space="preserve">front </w:t>
      </w:r>
      <w:r w:rsidRPr="00FC016B">
        <w:t xml:space="preserve">doors. These heat transfer coefficients represent the average refurbishment state of the German residential building stock. Since the underlying TABULA statistics are based primarily on data from 2009 and 2016 and therefore do not reflect refurbishment measures and energy supply system changes carried out since then, the representative typical buildings recently derived by Stein et al. (2025) from official building and housing censuses are additionally used to update the target refurbishment shares and the corresponding envelope heat transfer coefficients of the building archetypes, as described in </w:t>
      </w:r>
      <w:r w:rsidR="00650D38">
        <w:t>Chapter</w:t>
      </w:r>
      <w:r w:rsidR="00F33EC8">
        <w:t xml:space="preserve"> 5</w:t>
      </w:r>
      <w:r w:rsidRPr="00FC016B">
        <w:t>.</w:t>
      </w:r>
    </w:p>
    <w:p w14:paraId="6CB66A0E" w14:textId="670A2C4B" w:rsidR="0025241B" w:rsidRPr="005F1271" w:rsidRDefault="0025241B" w:rsidP="007D0A57">
      <w:pPr>
        <w:pStyle w:val="SWCHeading11"/>
      </w:pPr>
      <w:r w:rsidRPr="0025241B">
        <w:t>3.2 Data pre-processing</w:t>
      </w:r>
    </w:p>
    <w:p w14:paraId="0333F62A" w14:textId="20E248C7" w:rsidR="00AC56CE" w:rsidRDefault="003C024B" w:rsidP="003C024B">
      <w:pPr>
        <w:pStyle w:val="SWCText"/>
      </w:pPr>
      <w:r w:rsidRPr="003C024B">
        <w:t>The open data sources are merged per study area into a master building dataset, from which only a</w:t>
      </w:r>
      <w:r>
        <w:t>n</w:t>
      </w:r>
      <w:r w:rsidRPr="003C024B">
        <w:t xml:space="preserve"> </w:t>
      </w:r>
      <w:r>
        <w:t xml:space="preserve">aggregated building model </w:t>
      </w:r>
      <w:r w:rsidRPr="003C024B">
        <w:t xml:space="preserve">compatible building list is exported for </w:t>
      </w:r>
      <w:r>
        <w:t xml:space="preserve">building </w:t>
      </w:r>
      <w:r w:rsidRPr="003C024B">
        <w:t xml:space="preserve">archetype-based model generation. </w:t>
      </w:r>
      <w:r w:rsidR="00D60662">
        <w:t>B</w:t>
      </w:r>
      <w:r w:rsidRPr="003C024B">
        <w:t xml:space="preserve">uildings </w:t>
      </w:r>
      <w:r w:rsidR="00D60662">
        <w:t>from the 3D building models</w:t>
      </w:r>
      <w:r w:rsidR="00D60662" w:rsidRPr="003C024B">
        <w:t xml:space="preserve"> </w:t>
      </w:r>
      <w:r w:rsidRPr="003C024B">
        <w:t xml:space="preserve">are filtered by </w:t>
      </w:r>
      <w:r w:rsidR="00D60662">
        <w:t xml:space="preserve">building </w:t>
      </w:r>
      <w:r w:rsidRPr="003C024B">
        <w:t>function, excluding garages, sheds, and carports. Building parts thermally belonging to a main building</w:t>
      </w:r>
      <w:r w:rsidR="00D60662">
        <w:t xml:space="preserve">, </w:t>
      </w:r>
      <w:r w:rsidRPr="003C024B">
        <w:t>e.g., conservatories, low balcony or terrace substructures</w:t>
      </w:r>
      <w:r w:rsidR="00D60662">
        <w:t>,</w:t>
      </w:r>
      <w:r w:rsidRPr="003C024B">
        <w:t xml:space="preserve"> are, based on </w:t>
      </w:r>
      <w:r w:rsidRPr="003C024B">
        <w:lastRenderedPageBreak/>
        <w:t>their footprint size relative to the nearest larger neighboring building and their enclosure ratio</w:t>
      </w:r>
      <w:r w:rsidR="00D60662" w:rsidRPr="00D60662">
        <w:t xml:space="preserve"> </w:t>
      </w:r>
      <w:r w:rsidR="00D60662" w:rsidRPr="003C024B">
        <w:t xml:space="preserve">classified as </w:t>
      </w:r>
      <w:r w:rsidR="00D60662">
        <w:t>thermal conditioned</w:t>
      </w:r>
      <w:r w:rsidR="00D60662" w:rsidRPr="003C024B">
        <w:t xml:space="preserve">, merged into the main building footprint, or </w:t>
      </w:r>
      <w:r w:rsidR="00D60662">
        <w:t xml:space="preserve">thermal </w:t>
      </w:r>
      <w:r w:rsidR="00D60662" w:rsidRPr="003C024B">
        <w:t>un</w:t>
      </w:r>
      <w:r w:rsidR="00D60662">
        <w:t>conditioned</w:t>
      </w:r>
      <w:r w:rsidR="00D60662" w:rsidRPr="003C024B">
        <w:t xml:space="preserve">, removed from the building list. Addresses </w:t>
      </w:r>
      <w:r w:rsidR="00D16300">
        <w:t xml:space="preserve">are </w:t>
      </w:r>
      <w:r w:rsidR="00D60662" w:rsidRPr="003C024B">
        <w:t>derive</w:t>
      </w:r>
      <w:r w:rsidR="00752B50">
        <w:t>d</w:t>
      </w:r>
      <w:r w:rsidR="00D60662" w:rsidRPr="003C024B">
        <w:t xml:space="preserve"> from </w:t>
      </w:r>
      <w:r w:rsidR="00752B50">
        <w:t xml:space="preserve">the </w:t>
      </w:r>
      <w:r w:rsidR="00D60662">
        <w:t>3D building model</w:t>
      </w:r>
      <w:r w:rsidR="00752B50">
        <w:t xml:space="preserve"> data</w:t>
      </w:r>
      <w:r w:rsidR="00D60662">
        <w:t>.</w:t>
      </w:r>
      <w:r w:rsidR="00D60662" w:rsidRPr="003C024B">
        <w:t xml:space="preserve"> ETHOS.BUILDA attributes </w:t>
      </w:r>
      <w:r w:rsidR="00160D9D" w:rsidRPr="00160D9D">
        <w:t>b</w:t>
      </w:r>
      <w:r w:rsidR="00160D9D" w:rsidRPr="00476B82">
        <w:t xml:space="preserve">uilding age </w:t>
      </w:r>
      <w:r w:rsidR="00160D9D">
        <w:t xml:space="preserve">and size </w:t>
      </w:r>
      <w:r w:rsidR="00160D9D" w:rsidRPr="00476B82">
        <w:t xml:space="preserve">class </w:t>
      </w:r>
      <w:r w:rsidR="00D60662" w:rsidRPr="003C024B">
        <w:t xml:space="preserve">and </w:t>
      </w:r>
      <w:r w:rsidR="00D60662">
        <w:t>property boundaries</w:t>
      </w:r>
      <w:r w:rsidR="00D60662" w:rsidRPr="003C024B">
        <w:t xml:space="preserve"> are assigned by largest geometric overlap</w:t>
      </w:r>
      <w:r w:rsidR="00D60662">
        <w:t>.</w:t>
      </w:r>
      <w:r w:rsidR="00D60662" w:rsidRPr="003C024B">
        <w:t xml:space="preserve"> </w:t>
      </w:r>
      <w:r w:rsidR="00410642">
        <w:t xml:space="preserve">Key modeling parameters follow priority cascades applied stepwise per building across the merged data sources. After each step, known values are propagated to neighboring buildings (neighbor propagation) that share a directly adjoining footprint or the same property boundary with a similar footprint size and building function. </w:t>
      </w:r>
      <w:r w:rsidR="00AC56CE">
        <w:t xml:space="preserve">In the following the main </w:t>
      </w:r>
      <w:r w:rsidR="00AC56CE" w:rsidRPr="003C024B">
        <w:t>priority cascades</w:t>
      </w:r>
      <w:r w:rsidR="00AC56CE">
        <w:t xml:space="preserve"> are described in bullet points</w:t>
      </w:r>
      <w:r w:rsidR="00E863AB">
        <w:t>:</w:t>
      </w:r>
    </w:p>
    <w:p w14:paraId="20D8C000" w14:textId="7FDF1020" w:rsidR="00B935DD" w:rsidRDefault="00B935DD" w:rsidP="00B935DD">
      <w:pPr>
        <w:pStyle w:val="SWCBulletedList"/>
      </w:pPr>
      <w:r>
        <w:t>B</w:t>
      </w:r>
      <w:r w:rsidRPr="003C024B">
        <w:t>uilding height</w:t>
      </w:r>
      <w:r>
        <w:t>:</w:t>
      </w:r>
      <w:r w:rsidRPr="003C024B">
        <w:t xml:space="preserve"> </w:t>
      </w:r>
      <w:r>
        <w:t xml:space="preserve">I. 3D building model </w:t>
      </w:r>
      <w:r w:rsidR="00160D9D">
        <w:t xml:space="preserve">data </w:t>
      </w:r>
      <w:r>
        <w:t xml:space="preserve">attribute, II. </w:t>
      </w:r>
      <w:r w:rsidRPr="003C024B">
        <w:t>ETHOS.BUILDA</w:t>
      </w:r>
      <w:r>
        <w:t>, III. N</w:t>
      </w:r>
      <w:r w:rsidRPr="003C024B">
        <w:t>eighbor propagation</w:t>
      </w:r>
    </w:p>
    <w:p w14:paraId="44291C81" w14:textId="5EEE16DA" w:rsidR="00955C36" w:rsidRDefault="00B935DD" w:rsidP="00955C36">
      <w:pPr>
        <w:pStyle w:val="SWCBulletedList"/>
      </w:pPr>
      <w:r>
        <w:t>Building age class</w:t>
      </w:r>
      <w:r w:rsidR="00AC56CE">
        <w:t>:</w:t>
      </w:r>
      <w:r w:rsidR="003C024B" w:rsidRPr="003C024B">
        <w:t xml:space="preserve"> </w:t>
      </w:r>
      <w:r w:rsidR="00AC56CE">
        <w:t>I. S</w:t>
      </w:r>
      <w:r w:rsidR="003C024B" w:rsidRPr="003C024B">
        <w:t xml:space="preserve">takeholder survey, </w:t>
      </w:r>
      <w:r w:rsidR="00AC56CE">
        <w:t>II. N</w:t>
      </w:r>
      <w:r w:rsidR="00AC56CE" w:rsidRPr="003C024B">
        <w:t>eighbor propagation</w:t>
      </w:r>
      <w:r w:rsidR="00AC56CE">
        <w:t>, III. 3D building model attribute</w:t>
      </w:r>
      <w:r w:rsidR="00025941">
        <w:t xml:space="preserve">, </w:t>
      </w:r>
      <w:r w:rsidR="00266B35">
        <w:t>as some federal states have th</w:t>
      </w:r>
      <w:r w:rsidR="00025941">
        <w:t>e</w:t>
      </w:r>
      <w:r w:rsidR="00266B35">
        <w:t xml:space="preserve"> attribute construction year</w:t>
      </w:r>
      <w:r w:rsidR="003C024B" w:rsidRPr="003C024B">
        <w:t xml:space="preserve">, </w:t>
      </w:r>
      <w:r w:rsidR="00AC56CE">
        <w:t>I</w:t>
      </w:r>
      <w:r>
        <w:t>V</w:t>
      </w:r>
      <w:r w:rsidR="00AC56CE">
        <w:t>. N</w:t>
      </w:r>
      <w:r w:rsidR="003C024B" w:rsidRPr="003C024B">
        <w:t xml:space="preserve">eighbor propagation, </w:t>
      </w:r>
      <w:r>
        <w:t xml:space="preserve">V. </w:t>
      </w:r>
      <w:r w:rsidR="003C024B" w:rsidRPr="003C024B">
        <w:t xml:space="preserve">ETHOS.BUILDA, </w:t>
      </w:r>
      <w:r>
        <w:t>VI. N</w:t>
      </w:r>
      <w:r w:rsidRPr="003C024B">
        <w:t>eighbor propagation</w:t>
      </w:r>
      <w:r w:rsidR="003C024B" w:rsidRPr="003C024B">
        <w:t xml:space="preserve">, </w:t>
      </w:r>
      <w:r>
        <w:t>VII. D</w:t>
      </w:r>
      <w:r w:rsidR="003C024B" w:rsidRPr="003C024B">
        <w:t>efault value</w:t>
      </w:r>
      <w:r>
        <w:t xml:space="preserve"> </w:t>
      </w:r>
    </w:p>
    <w:p w14:paraId="7A4A488F" w14:textId="38A3F072" w:rsidR="00955C36" w:rsidRDefault="00B935DD" w:rsidP="00955C36">
      <w:pPr>
        <w:pStyle w:val="SWCBulletedList"/>
      </w:pPr>
      <w:r>
        <w:t xml:space="preserve">Residential building </w:t>
      </w:r>
      <w:r w:rsidR="003C024B" w:rsidRPr="003C024B">
        <w:t>size class and adjacency</w:t>
      </w:r>
      <w:r>
        <w:t>: I. S</w:t>
      </w:r>
      <w:r w:rsidR="003C024B" w:rsidRPr="003C024B">
        <w:t xml:space="preserve">takeholder survey, </w:t>
      </w:r>
      <w:r>
        <w:t>II. N</w:t>
      </w:r>
      <w:r w:rsidR="003C024B" w:rsidRPr="003C024B">
        <w:t xml:space="preserve">eighbor propagation, </w:t>
      </w:r>
      <w:r>
        <w:t xml:space="preserve">III. </w:t>
      </w:r>
      <w:r w:rsidR="003C024B" w:rsidRPr="003C024B">
        <w:t xml:space="preserve">ETHOS.BUILDA, </w:t>
      </w:r>
      <w:r>
        <w:t>IV. N</w:t>
      </w:r>
      <w:r w:rsidR="003C024B" w:rsidRPr="003C024B">
        <w:t>eighbor propagation</w:t>
      </w:r>
    </w:p>
    <w:p w14:paraId="213E8121" w14:textId="6DEA518D" w:rsidR="00955C36" w:rsidRPr="00955C36" w:rsidRDefault="00E863AB" w:rsidP="00955C36">
      <w:pPr>
        <w:pStyle w:val="SWCBulletedList"/>
        <w:rPr>
          <w:i/>
        </w:rPr>
      </w:pPr>
      <w:r>
        <w:t xml:space="preserve">Heated </w:t>
      </w:r>
      <w:proofErr w:type="spellStart"/>
      <w:r w:rsidR="00160D9D">
        <w:t>storeys</w:t>
      </w:r>
      <w:proofErr w:type="spellEnd"/>
      <w:r>
        <w:t>:</w:t>
      </w:r>
      <w:r w:rsidR="00025941" w:rsidRPr="003C024B">
        <w:t xml:space="preserve"> </w:t>
      </w:r>
      <w:r w:rsidR="00025941">
        <w:t>I. 3D building model attribute</w:t>
      </w:r>
      <w:r w:rsidR="00955C36">
        <w:t xml:space="preserve"> </w:t>
      </w:r>
      <w:proofErr w:type="spellStart"/>
      <w:r w:rsidR="00955C36">
        <w:t>storeys</w:t>
      </w:r>
      <w:proofErr w:type="spellEnd"/>
      <w:r w:rsidR="00955C36">
        <w:t xml:space="preserve"> above ground</w:t>
      </w:r>
      <w:r w:rsidR="00025941">
        <w:t>, where reported, II. N</w:t>
      </w:r>
      <w:r w:rsidR="00025941" w:rsidRPr="003C024B">
        <w:t>eighbor propagation</w:t>
      </w:r>
      <w:r w:rsidR="00025941">
        <w:t>, III. E</w:t>
      </w:r>
      <w:r w:rsidR="00025941" w:rsidRPr="003C024B">
        <w:t>stimat</w:t>
      </w:r>
      <w:r w:rsidR="00025941">
        <w:t>ion</w:t>
      </w:r>
      <w:r w:rsidR="00025941" w:rsidRPr="003C024B">
        <w:t xml:space="preserve"> from </w:t>
      </w:r>
      <w:r w:rsidR="00025941">
        <w:t>an</w:t>
      </w:r>
      <w:r w:rsidR="00025941" w:rsidRPr="003C024B">
        <w:t xml:space="preserve"> effective building height</w:t>
      </w:r>
      <w:r>
        <w:t xml:space="preserve"> </w:t>
      </w:r>
      <w:r w:rsidR="00025941" w:rsidRPr="003C024B">
        <w:t>divided by an assumed floor-to-floor height</w:t>
      </w:r>
      <w:r w:rsidR="00025941">
        <w:t>, IV. N</w:t>
      </w:r>
      <w:r w:rsidR="00025941" w:rsidRPr="003C024B">
        <w:t>eighbor propagation</w:t>
      </w:r>
    </w:p>
    <w:p w14:paraId="0FCB367C" w14:textId="76676769" w:rsidR="00955C36" w:rsidRPr="00955C36" w:rsidRDefault="00955C36" w:rsidP="00955C36">
      <w:pPr>
        <w:pStyle w:val="SWCBulletedList"/>
        <w:rPr>
          <w:i/>
        </w:rPr>
      </w:pPr>
      <w:r w:rsidRPr="003C024B">
        <w:t>Heating</w:t>
      </w:r>
      <w:r w:rsidR="000563ED">
        <w:t xml:space="preserve"> </w:t>
      </w:r>
      <w:r w:rsidRPr="003C024B">
        <w:t>system type and energy carrier</w:t>
      </w:r>
      <w:r>
        <w:t>: I. S</w:t>
      </w:r>
      <w:r w:rsidRPr="003C024B">
        <w:t xml:space="preserve">takeholder survey, </w:t>
      </w:r>
      <w:r>
        <w:t xml:space="preserve">II. Deterministic </w:t>
      </w:r>
      <w:r w:rsidR="005F1E9F">
        <w:t xml:space="preserve">2022 </w:t>
      </w:r>
      <w:r>
        <w:t>Census</w:t>
      </w:r>
      <w:r w:rsidR="005F1E9F">
        <w:t xml:space="preserve"> data assignment</w:t>
      </w:r>
    </w:p>
    <w:p w14:paraId="2ACC0823" w14:textId="7B0C4A2A" w:rsidR="00B935DD" w:rsidRPr="00410642" w:rsidRDefault="00025941" w:rsidP="00B613AB">
      <w:pPr>
        <w:pStyle w:val="SWCText"/>
        <w:rPr>
          <w:i/>
        </w:rPr>
      </w:pPr>
      <w:r>
        <w:t xml:space="preserve">The effective building height is defined by the </w:t>
      </w:r>
      <w:r w:rsidRPr="003C024B">
        <w:t xml:space="preserve">net of a fixed basement deduction </w:t>
      </w:r>
      <w:r>
        <w:t xml:space="preserve">(see </w:t>
      </w:r>
      <w:r w:rsidR="00650D38">
        <w:t>Chapter</w:t>
      </w:r>
      <w:r>
        <w:t xml:space="preserve"> 4.</w:t>
      </w:r>
      <w:r w:rsidR="006C0EB0">
        <w:t>3</w:t>
      </w:r>
      <w:r>
        <w:t>)</w:t>
      </w:r>
      <w:r w:rsidRPr="003C024B">
        <w:t xml:space="preserve"> and a roof-shape-dependent attic deduction</w:t>
      </w:r>
      <w:r w:rsidR="00160D9D">
        <w:t xml:space="preserve"> of the above listed building height</w:t>
      </w:r>
      <w:r>
        <w:t>. The roof shape-dependent attic deduction</w:t>
      </w:r>
      <w:r w:rsidRPr="003C024B">
        <w:t xml:space="preserve"> applied in full where the applicable </w:t>
      </w:r>
      <w:r>
        <w:t xml:space="preserve">building </w:t>
      </w:r>
      <w:r w:rsidRPr="003C024B">
        <w:t xml:space="preserve">archetype construction </w:t>
      </w:r>
      <w:r>
        <w:t xml:space="preserve">(see </w:t>
      </w:r>
      <w:r w:rsidR="00650D38">
        <w:t>Chapter</w:t>
      </w:r>
      <w:r>
        <w:t xml:space="preserve"> 5) </w:t>
      </w:r>
      <w:r w:rsidRPr="003C024B">
        <w:t>indicates an unheated attic</w:t>
      </w:r>
      <w:r>
        <w:t xml:space="preserve">, </w:t>
      </w:r>
      <w:proofErr w:type="spellStart"/>
      <w:r>
        <w:t>i</w:t>
      </w:r>
      <w:proofErr w:type="spellEnd"/>
      <w:r>
        <w:t>.</w:t>
      </w:r>
      <w:r w:rsidR="00E863AB">
        <w:t> </w:t>
      </w:r>
      <w:r>
        <w:t xml:space="preserve">e. only a </w:t>
      </w:r>
      <w:r w:rsidRPr="003C024B">
        <w:t>top</w:t>
      </w:r>
      <w:r>
        <w:t xml:space="preserve"> </w:t>
      </w:r>
      <w:r w:rsidRPr="003C024B">
        <w:t>ceiling</w:t>
      </w:r>
      <w:r>
        <w:t>, rather than a roof</w:t>
      </w:r>
      <w:r w:rsidRPr="003C024B">
        <w:t xml:space="preserve"> as envelope component</w:t>
      </w:r>
      <w:r w:rsidR="00160D9D">
        <w:t>.</w:t>
      </w:r>
      <w:r w:rsidRPr="003C024B">
        <w:t xml:space="preserve"> </w:t>
      </w:r>
      <w:r w:rsidR="00160D9D">
        <w:t xml:space="preserve">The deduction is </w:t>
      </w:r>
      <w:r w:rsidRPr="003C024B">
        <w:t>not applied where it indicates a heated attic</w:t>
      </w:r>
      <w:r>
        <w:t xml:space="preserve">, </w:t>
      </w:r>
      <w:proofErr w:type="spellStart"/>
      <w:r>
        <w:t>i</w:t>
      </w:r>
      <w:proofErr w:type="spellEnd"/>
      <w:r>
        <w:t xml:space="preserve">. e. a </w:t>
      </w:r>
      <w:r w:rsidRPr="003C024B">
        <w:t xml:space="preserve">sloped roof as envelope component, and, where the </w:t>
      </w:r>
      <w:r>
        <w:t xml:space="preserve">building </w:t>
      </w:r>
      <w:r w:rsidRPr="003C024B">
        <w:t>archetype cannot be resolved, falling back to a</w:t>
      </w:r>
      <w:r w:rsidR="00160D9D">
        <w:t>n</w:t>
      </w:r>
      <w:r w:rsidRPr="003C024B">
        <w:t xml:space="preserve"> </w:t>
      </w:r>
      <w:r w:rsidR="00160D9D">
        <w:t xml:space="preserve">attic </w:t>
      </w:r>
      <w:r w:rsidRPr="003C024B">
        <w:t xml:space="preserve">deduction </w:t>
      </w:r>
      <w:r w:rsidR="00160D9D">
        <w:t>of the above listed building height</w:t>
      </w:r>
      <w:r w:rsidR="00160D9D" w:rsidRPr="003C024B">
        <w:t xml:space="preserve"> </w:t>
      </w:r>
      <w:r w:rsidRPr="003C024B">
        <w:t xml:space="preserve">based on </w:t>
      </w:r>
      <w:r>
        <w:t>a default deduction per 3D building model</w:t>
      </w:r>
      <w:r w:rsidRPr="003C024B">
        <w:t xml:space="preserve"> roof shape alone</w:t>
      </w:r>
      <w:r>
        <w:t>.</w:t>
      </w:r>
      <w:r w:rsidRPr="003C024B">
        <w:t xml:space="preserve"> </w:t>
      </w:r>
      <w:r w:rsidR="00E863AB">
        <w:t xml:space="preserve">The </w:t>
      </w:r>
      <w:r w:rsidR="00E863AB" w:rsidRPr="003C024B">
        <w:t>floor-to-floor height</w:t>
      </w:r>
      <w:r w:rsidR="00160D9D">
        <w:t xml:space="preserve"> for the calculation of the above listed heated </w:t>
      </w:r>
      <w:proofErr w:type="spellStart"/>
      <w:r w:rsidR="00160D9D">
        <w:t>storeys</w:t>
      </w:r>
      <w:proofErr w:type="spellEnd"/>
      <w:r w:rsidR="00E863AB">
        <w:t xml:space="preserve">, is the </w:t>
      </w:r>
      <w:r w:rsidR="00C32248">
        <w:t xml:space="preserve">height reported </w:t>
      </w:r>
      <w:r w:rsidR="00E863AB">
        <w:t xml:space="preserve">by stakeholders or for the building age class typical mean clear </w:t>
      </w:r>
      <w:r w:rsidR="00E863AB" w:rsidRPr="003C024B">
        <w:t xml:space="preserve">room height plus a fixed allowance </w:t>
      </w:r>
      <w:r w:rsidR="00E863AB">
        <w:t xml:space="preserve">for a </w:t>
      </w:r>
      <w:r w:rsidR="00E863AB" w:rsidRPr="003C024B">
        <w:t>ceiling-construction</w:t>
      </w:r>
      <w:r w:rsidR="00E863AB">
        <w:t xml:space="preserve"> of 20 cm.</w:t>
      </w:r>
      <w:r w:rsidR="00B613AB">
        <w:t xml:space="preserve"> </w:t>
      </w:r>
      <w:r w:rsidRPr="003C024B">
        <w:t xml:space="preserve">Footprint area derives from the </w:t>
      </w:r>
      <w:r w:rsidR="00E863AB">
        <w:t>3D building model</w:t>
      </w:r>
      <w:r w:rsidRPr="003C024B">
        <w:t xml:space="preserve"> ground-floor polygon, i.e., the outer ring of </w:t>
      </w:r>
      <w:r w:rsidR="00955C36">
        <w:t xml:space="preserve">the corresponding </w:t>
      </w:r>
      <w:r w:rsidRPr="003C024B">
        <w:t>surface points</w:t>
      </w:r>
      <w:r w:rsidR="00955C36">
        <w:t>. The surface points are directly used in the</w:t>
      </w:r>
      <w:r w:rsidR="00E863AB">
        <w:t xml:space="preserve"> </w:t>
      </w:r>
      <w:r w:rsidR="00955C36" w:rsidRPr="002446B9">
        <w:t>scripts of the UBEM developed by Johari et al. (2023)</w:t>
      </w:r>
      <w:r w:rsidR="00955C36">
        <w:t xml:space="preserve">, see </w:t>
      </w:r>
      <w:r w:rsidR="00650D38">
        <w:t>Chapter</w:t>
      </w:r>
      <w:r w:rsidR="00955C36">
        <w:t xml:space="preserve"> 4.</w:t>
      </w:r>
      <w:r w:rsidR="00955C36">
        <w:rPr>
          <w:i/>
        </w:rPr>
        <w:t xml:space="preserve"> </w:t>
      </w:r>
      <w:r w:rsidR="00955C36">
        <w:t>The h</w:t>
      </w:r>
      <w:r w:rsidRPr="003C024B">
        <w:t xml:space="preserve">eated floor area equals footprint area </w:t>
      </w:r>
      <w:r w:rsidR="00C171FF">
        <w:t>multiplied by</w:t>
      </w:r>
      <w:r w:rsidRPr="003C024B">
        <w:t xml:space="preserve"> </w:t>
      </w:r>
      <w:r w:rsidR="00955C36">
        <w:t>heated floors</w:t>
      </w:r>
      <w:r w:rsidRPr="003C024B">
        <w:t xml:space="preserve">, </w:t>
      </w:r>
      <w:r w:rsidR="00955C36">
        <w:t>g</w:t>
      </w:r>
      <w:r w:rsidRPr="003C024B">
        <w:t>ross-to-net corrected by a factor of 0.85 (Institute for Housing and Environment, 2016a), plus the footprint area of any heated building appendages merged in above. The number of occupants per building, used to scale the occupancy profiles (</w:t>
      </w:r>
      <w:r w:rsidR="00650D38">
        <w:t>Chapter</w:t>
      </w:r>
      <w:r w:rsidRPr="003C024B">
        <w:t xml:space="preserve"> 4.</w:t>
      </w:r>
      <w:r w:rsidR="006C0EB0">
        <w:t>4</w:t>
      </w:r>
      <w:r w:rsidRPr="003C024B">
        <w:t>), is derived from heated floor area divided by the building-specific per-capita living floor space from the 2022 census (</w:t>
      </w:r>
      <w:r w:rsidR="00650D38">
        <w:t>Chapter</w:t>
      </w:r>
      <w:r w:rsidRPr="003C024B">
        <w:t xml:space="preserve"> 3.1), with a minimum of one occupant per building</w:t>
      </w:r>
      <w:r w:rsidR="00955C36">
        <w:t>.</w:t>
      </w:r>
      <w:r w:rsidRPr="003C024B">
        <w:t xml:space="preserve"> </w:t>
      </w:r>
      <w:r w:rsidR="00955C36">
        <w:t>A</w:t>
      </w:r>
      <w:r w:rsidRPr="003C024B">
        <w:t xml:space="preserve"> stakeholder-reported occupant number, where available, takes precedence. </w:t>
      </w:r>
      <w:r w:rsidR="00B613AB">
        <w:t>B</w:t>
      </w:r>
      <w:r w:rsidR="003C024B" w:rsidRPr="003C024B">
        <w:t>uilding size class, together with building age class, defines the size class</w:t>
      </w:r>
      <w:r w:rsidR="00C32F8E">
        <w:t xml:space="preserve"> and</w:t>
      </w:r>
      <w:r w:rsidR="003C024B" w:rsidRPr="003C024B">
        <w:t xml:space="preserve"> age class group used both for archetype assignment and for the group-wise </w:t>
      </w:r>
      <w:r w:rsidR="00FB0A12">
        <w:t>adjustment</w:t>
      </w:r>
      <w:r w:rsidR="003C024B" w:rsidRPr="003C024B">
        <w:t xml:space="preserve"> of </w:t>
      </w:r>
      <w:r w:rsidR="00B613AB">
        <w:t xml:space="preserve">a </w:t>
      </w:r>
      <w:r w:rsidR="003C024B" w:rsidRPr="003C024B">
        <w:t>refurbishment-state matrix</w:t>
      </w:r>
      <w:r w:rsidR="00B613AB">
        <w:t xml:space="preserve">, both described in </w:t>
      </w:r>
      <w:r w:rsidR="00650D38">
        <w:t>Chapter</w:t>
      </w:r>
      <w:r w:rsidR="00B613AB">
        <w:t> </w:t>
      </w:r>
      <w:r w:rsidR="003C024B" w:rsidRPr="003C024B">
        <w:t xml:space="preserve">5. </w:t>
      </w:r>
    </w:p>
    <w:p w14:paraId="13EBBD0E" w14:textId="41E42681" w:rsidR="00D10C14" w:rsidRPr="005F1271" w:rsidRDefault="00D10C14" w:rsidP="003C024B">
      <w:pPr>
        <w:pStyle w:val="SWCHeading11"/>
      </w:pPr>
      <w:r w:rsidRPr="005F1271">
        <w:t>3.</w:t>
      </w:r>
      <w:r>
        <w:t>3</w:t>
      </w:r>
      <w:r w:rsidRPr="005F1271">
        <w:t xml:space="preserve"> Weather data</w:t>
      </w:r>
    </w:p>
    <w:p w14:paraId="55C09029" w14:textId="00A0CE50" w:rsidR="00D10C14" w:rsidRPr="005F1271" w:rsidRDefault="00477005" w:rsidP="002446B9">
      <w:pPr>
        <w:pStyle w:val="SWCText"/>
      </w:pPr>
      <w:r w:rsidRPr="00477005">
        <w:t xml:space="preserve">Weather data </w:t>
      </w:r>
      <w:r w:rsidR="00C171FF">
        <w:t>is</w:t>
      </w:r>
      <w:r w:rsidRPr="00477005">
        <w:t xml:space="preserve"> obtained as high spatial resolution </w:t>
      </w:r>
      <w:r w:rsidR="00386A16">
        <w:t>of one</w:t>
      </w:r>
      <w:r w:rsidRPr="00477005">
        <w:t xml:space="preserve"> km² </w:t>
      </w:r>
      <w:r w:rsidR="004D24AE">
        <w:t>mean t</w:t>
      </w:r>
      <w:r w:rsidRPr="00477005">
        <w:t xml:space="preserve">est </w:t>
      </w:r>
      <w:r w:rsidR="004D24AE">
        <w:t>r</w:t>
      </w:r>
      <w:r w:rsidRPr="00477005">
        <w:t xml:space="preserve">eference </w:t>
      </w:r>
      <w:r w:rsidR="004D24AE">
        <w:t>y</w:t>
      </w:r>
      <w:r w:rsidRPr="00477005">
        <w:t>ear (TRY) from the German Weather Service</w:t>
      </w:r>
      <w:r>
        <w:t xml:space="preserve"> (German Weather Service</w:t>
      </w:r>
      <w:r w:rsidR="008B6D38">
        <w:t xml:space="preserve"> et al.</w:t>
      </w:r>
      <w:r>
        <w:t>, 2017</w:t>
      </w:r>
      <w:r w:rsidRPr="00477005">
        <w:t xml:space="preserve">), with historical datasets composed of observed periods matching long-term monthly and seasonal averages of </w:t>
      </w:r>
      <w:r w:rsidR="00386A16">
        <w:t>the</w:t>
      </w:r>
      <w:r w:rsidRPr="00477005">
        <w:t xml:space="preserve"> defined reference period </w:t>
      </w:r>
      <w:r w:rsidR="004D24AE" w:rsidRPr="00477005">
        <w:t>1995 to 2012</w:t>
      </w:r>
      <w:r w:rsidR="004D24AE">
        <w:t xml:space="preserve"> </w:t>
      </w:r>
      <w:r w:rsidRPr="00477005">
        <w:t xml:space="preserve">named TRY 2015, and future datasets derived from simulated data </w:t>
      </w:r>
      <w:r w:rsidR="004D24AE">
        <w:t>by a</w:t>
      </w:r>
      <w:r w:rsidR="004D24AE" w:rsidRPr="00477005">
        <w:t xml:space="preserve"> climate model </w:t>
      </w:r>
      <w:r w:rsidRPr="00477005">
        <w:t xml:space="preserve">for </w:t>
      </w:r>
      <w:r w:rsidR="00386A16">
        <w:t xml:space="preserve">the </w:t>
      </w:r>
      <w:r w:rsidRPr="00477005">
        <w:t xml:space="preserve">defined future </w:t>
      </w:r>
      <w:r w:rsidR="00386A16">
        <w:t xml:space="preserve">period </w:t>
      </w:r>
      <w:r w:rsidRPr="00477005">
        <w:t>2031 to 2060. Although a future TRY might appear preferable given the growing distance of the historical reference period from present conditions, comparison with the available validation data (</w:t>
      </w:r>
      <w:r w:rsidR="00650D38">
        <w:t>Chapter</w:t>
      </w:r>
      <w:r w:rsidRPr="00477005">
        <w:t xml:space="preserve"> 3.4) shows that the historical TRY currently reproduces the study area's heat demand more closely</w:t>
      </w:r>
      <w:r w:rsidR="00410642">
        <w:t>.</w:t>
      </w:r>
      <w:r w:rsidRPr="00477005">
        <w:t xml:space="preserve"> </w:t>
      </w:r>
      <w:r w:rsidR="00410642">
        <w:t xml:space="preserve">As expected, </w:t>
      </w:r>
      <w:r w:rsidRPr="00477005">
        <w:t>the warming reflected in the future TRY already exceeds present-day building-stock and supply-system conditions to a degree not yet matched in reality. The historical TRY 2015 is therefore used for the results presented here.</w:t>
      </w:r>
      <w:r w:rsidR="00D10C14">
        <w:t xml:space="preserve"> </w:t>
      </w:r>
    </w:p>
    <w:p w14:paraId="60B0B6C9" w14:textId="32D1021F" w:rsidR="0025241B" w:rsidRPr="00DD002F" w:rsidRDefault="0025241B" w:rsidP="007D0A57">
      <w:pPr>
        <w:pStyle w:val="SWCHeading11"/>
      </w:pPr>
      <w:r w:rsidRPr="00DD002F">
        <w:t>3.</w:t>
      </w:r>
      <w:r w:rsidR="00D10C14">
        <w:t>4</w:t>
      </w:r>
      <w:r w:rsidRPr="00DD002F">
        <w:t xml:space="preserve"> Validation data</w:t>
      </w:r>
    </w:p>
    <w:p w14:paraId="15CE8449" w14:textId="19E09BF5" w:rsidR="0076792B" w:rsidRPr="0064595E" w:rsidRDefault="003850A8" w:rsidP="002446B9">
      <w:pPr>
        <w:pStyle w:val="SWCText"/>
        <w:rPr>
          <w:i/>
        </w:rPr>
      </w:pPr>
      <w:r w:rsidRPr="00AC4109">
        <w:t xml:space="preserve">Validation data are available from two sources at different </w:t>
      </w:r>
      <w:r w:rsidR="00112267">
        <w:t xml:space="preserve">spatial </w:t>
      </w:r>
      <w:r w:rsidRPr="00AC4109">
        <w:t xml:space="preserve">levels. </w:t>
      </w:r>
      <w:r w:rsidRPr="0076792B">
        <w:t xml:space="preserve">At building level, annual </w:t>
      </w:r>
      <w:r w:rsidR="00D21829">
        <w:t xml:space="preserve">final </w:t>
      </w:r>
      <w:r w:rsidRPr="0076792B">
        <w:t xml:space="preserve">heating and electricity consumption reported through the stakeholder survey for individual buildings is used, as described in </w:t>
      </w:r>
      <w:r w:rsidR="00650D38">
        <w:t>Chapter</w:t>
      </w:r>
      <w:r w:rsidRPr="0076792B">
        <w:t xml:space="preserve"> 2.2</w:t>
      </w:r>
      <w:r w:rsidR="0076792B" w:rsidRPr="0076792B">
        <w:t>.</w:t>
      </w:r>
      <w:r w:rsidRPr="0076792B">
        <w:t xml:space="preserve"> </w:t>
      </w:r>
      <w:r w:rsidR="005664EA">
        <w:t xml:space="preserve">Of seven respondents only five reported a heat and or electrical consumption. </w:t>
      </w:r>
      <w:r w:rsidR="0076792B">
        <w:t>T</w:t>
      </w:r>
      <w:r w:rsidRPr="0076792B">
        <w:t xml:space="preserve">he specific year to </w:t>
      </w:r>
      <w:r w:rsidRPr="0076792B">
        <w:lastRenderedPageBreak/>
        <w:t xml:space="preserve">which the reported consumption refers is not queried by the survey and therefore remains unknown. </w:t>
      </w:r>
      <w:r w:rsidR="00AC4109" w:rsidRPr="00AC4109">
        <w:t>For buildings with a central heating system, the reported annual consumption value is used directly</w:t>
      </w:r>
      <w:r w:rsidR="00AC4109">
        <w:t xml:space="preserve"> from the survey answer</w:t>
      </w:r>
      <w:r w:rsidR="00AC4109" w:rsidRPr="00AC4109">
        <w:t>, as it already relates to the entire building. For buildings with apartment</w:t>
      </w:r>
      <w:r w:rsidR="00FA5D3F">
        <w:t xml:space="preserve"> level</w:t>
      </w:r>
      <w:r w:rsidR="00AC4109" w:rsidRPr="00AC4109">
        <w:t xml:space="preserve"> heating systems, by contrast, the survey typically returns a value reported for only a single apartment</w:t>
      </w:r>
      <w:r w:rsidR="00AC4109">
        <w:t>.</w:t>
      </w:r>
      <w:r w:rsidR="00AC4109" w:rsidRPr="00AC4109">
        <w:t xml:space="preserve"> </w:t>
      </w:r>
      <w:r w:rsidR="00AC4109">
        <w:t>T</w:t>
      </w:r>
      <w:r w:rsidR="00AC4109" w:rsidRPr="00AC4109">
        <w:t xml:space="preserve">his value is </w:t>
      </w:r>
      <w:r w:rsidR="00AC4109">
        <w:t xml:space="preserve">then </w:t>
      </w:r>
      <w:r w:rsidR="00AC4109" w:rsidRPr="00AC4109">
        <w:t xml:space="preserve">multiplied by the number of heated </w:t>
      </w:r>
      <w:r w:rsidR="006424C7">
        <w:t>apartment</w:t>
      </w:r>
      <w:r w:rsidR="00AC4109" w:rsidRPr="00AC4109">
        <w:t xml:space="preserve">s and the result is taken to represent the consumption of the entire building. This extrapolation amplifies any deviation between the surveyed </w:t>
      </w:r>
      <w:r w:rsidR="006424C7">
        <w:t>apartment</w:t>
      </w:r>
      <w:r w:rsidR="00AC4109" w:rsidRPr="00AC4109">
        <w:t xml:space="preserve"> and the building average that stems from individual user behavior, from the position of the apartment within the building</w:t>
      </w:r>
      <w:r w:rsidR="00AC4109">
        <w:t xml:space="preserve">, </w:t>
      </w:r>
      <w:r w:rsidR="00AC4109" w:rsidRPr="00AC4109">
        <w:t>e.g.</w:t>
      </w:r>
      <w:r w:rsidR="00AC4109">
        <w:t>,</w:t>
      </w:r>
      <w:r w:rsidR="00AC4109" w:rsidRPr="00AC4109">
        <w:t xml:space="preserve"> a centrally located apartment benefiting from adjacent heated units versus an end or corner apartment with more exposed surfaces, or from an erroneous individual response.</w:t>
      </w:r>
      <w:r w:rsidR="00CA7C40">
        <w:t xml:space="preserve"> </w:t>
      </w:r>
      <w:r w:rsidRPr="00AC4109">
        <w:t xml:space="preserve">At a </w:t>
      </w:r>
      <w:r w:rsidR="00AC4109">
        <w:t xml:space="preserve">building </w:t>
      </w:r>
      <w:r w:rsidR="00FA5D3F">
        <w:t>block level</w:t>
      </w:r>
      <w:r w:rsidRPr="00AC4109">
        <w:t xml:space="preserve">, the city of Stuttgart provides </w:t>
      </w:r>
      <w:r w:rsidR="00AC4109">
        <w:t xml:space="preserve">online </w:t>
      </w:r>
      <w:r w:rsidR="008A2408" w:rsidRPr="00AC4109">
        <w:t>(</w:t>
      </w:r>
      <w:hyperlink r:id="rId11" w:history="1">
        <w:r w:rsidR="008A2408" w:rsidRPr="00582972">
          <w:rPr>
            <w:rStyle w:val="Hyperlink"/>
          </w:rPr>
          <w:t>https://maps.stuttgart.de/stadtplan/#</w:t>
        </w:r>
      </w:hyperlink>
      <w:r w:rsidR="008A2408">
        <w:t xml:space="preserve">) </w:t>
      </w:r>
      <w:r w:rsidR="00AC4109">
        <w:t xml:space="preserve">the </w:t>
      </w:r>
      <w:r w:rsidRPr="00AC4109">
        <w:t xml:space="preserve">annual </w:t>
      </w:r>
      <w:r w:rsidR="00D21829">
        <w:t xml:space="preserve">final </w:t>
      </w:r>
      <w:r w:rsidRPr="00AC4109">
        <w:t xml:space="preserve">heat consumption in </w:t>
      </w:r>
      <w:r w:rsidR="00AC4109">
        <w:t>M</w:t>
      </w:r>
      <w:r w:rsidRPr="00AC4109">
        <w:t>Wh per building block for the reference year 2023</w:t>
      </w:r>
      <w:r w:rsidR="00AC4109">
        <w:t xml:space="preserve"> on a map</w:t>
      </w:r>
      <w:r w:rsidR="008A2408">
        <w:t xml:space="preserve">, where included addresses </w:t>
      </w:r>
      <w:r w:rsidR="008A2408" w:rsidRPr="008A2408">
        <w:t>can be clearly assigned</w:t>
      </w:r>
      <w:r w:rsidRPr="00AC4109">
        <w:t xml:space="preserve">. </w:t>
      </w:r>
      <w:r w:rsidR="00AC4109">
        <w:t>Th</w:t>
      </w:r>
      <w:r w:rsidR="008A2408">
        <w:t>e provided data</w:t>
      </w:r>
      <w:r w:rsidR="00AC4109">
        <w:t xml:space="preserve"> is the result of the data collection an</w:t>
      </w:r>
      <w:r w:rsidR="008A2408">
        <w:t xml:space="preserve">d </w:t>
      </w:r>
      <w:r w:rsidR="00AC4109">
        <w:t>pre-processing of the m</w:t>
      </w:r>
      <w:r w:rsidR="00AC4109" w:rsidRPr="00AC4109">
        <w:t xml:space="preserve">unicipal </w:t>
      </w:r>
      <w:r w:rsidR="00AC4109">
        <w:t>h</w:t>
      </w:r>
      <w:r w:rsidR="00AC4109" w:rsidRPr="00AC4109">
        <w:t xml:space="preserve">eat </w:t>
      </w:r>
      <w:r w:rsidR="00AC4109">
        <w:t>p</w:t>
      </w:r>
      <w:r w:rsidR="00AC4109" w:rsidRPr="00AC4109">
        <w:t>lanning</w:t>
      </w:r>
      <w:r w:rsidR="008A2408">
        <w:t xml:space="preserve"> of the city of Stuttgart</w:t>
      </w:r>
      <w:r w:rsidR="00AC4109">
        <w:t>.</w:t>
      </w:r>
      <w:r w:rsidR="00AC4109" w:rsidRPr="00AC4109">
        <w:t xml:space="preserve"> </w:t>
      </w:r>
      <w:r w:rsidRPr="00AC4109">
        <w:t xml:space="preserve">Since no weather station is available within the study area, and the weather data used for the simulation represents </w:t>
      </w:r>
      <w:r w:rsidR="00410642">
        <w:t>the chosen mean</w:t>
      </w:r>
      <w:r w:rsidRPr="00AC4109">
        <w:t xml:space="preserve"> test reference year rather than the specific year to which the </w:t>
      </w:r>
      <w:r w:rsidR="00FA5D3F">
        <w:t>block level</w:t>
      </w:r>
      <w:r w:rsidRPr="00AC4109">
        <w:t xml:space="preserve"> validation data refer, a weather correction of the validation data cannot be performed, and deviations between simulated and reported demand attributable to weather alone must be anticipated.</w:t>
      </w:r>
    </w:p>
    <w:p w14:paraId="1A14E8EC" w14:textId="0E48279F" w:rsidR="00287FF2" w:rsidRPr="0076792B" w:rsidRDefault="0076792B" w:rsidP="002446B9">
      <w:pPr>
        <w:pStyle w:val="SWCText"/>
      </w:pPr>
      <w:r w:rsidRPr="0076792B">
        <w:t xml:space="preserve">As a further </w:t>
      </w:r>
      <w:r w:rsidR="00D21829">
        <w:t xml:space="preserve">building </w:t>
      </w:r>
      <w:r w:rsidRPr="0076792B">
        <w:t>block and street</w:t>
      </w:r>
      <w:r w:rsidR="00FA5D3F">
        <w:t xml:space="preserve"> </w:t>
      </w:r>
      <w:r w:rsidRPr="0076792B">
        <w:t>segment</w:t>
      </w:r>
      <w:r w:rsidR="00FA5D3F">
        <w:t xml:space="preserve"> </w:t>
      </w:r>
      <w:r w:rsidRPr="0076792B">
        <w:t xml:space="preserve">level comparison, the model-based </w:t>
      </w:r>
      <w:proofErr w:type="spellStart"/>
      <w:r w:rsidRPr="0076792B">
        <w:t>W</w:t>
      </w:r>
      <w:r w:rsidR="00FC58EC">
        <w:t>ae</w:t>
      </w:r>
      <w:r w:rsidRPr="0076792B">
        <w:t>rmeatlas</w:t>
      </w:r>
      <w:proofErr w:type="spellEnd"/>
      <w:r w:rsidRPr="0076792B">
        <w:t xml:space="preserve"> Baden-W</w:t>
      </w:r>
      <w:r w:rsidR="00FC58EC">
        <w:t>ue</w:t>
      </w:r>
      <w:r w:rsidRPr="0076792B">
        <w:t>rttemberg (</w:t>
      </w:r>
      <w:proofErr w:type="spellStart"/>
      <w:r w:rsidRPr="0076792B">
        <w:t>Blömer</w:t>
      </w:r>
      <w:proofErr w:type="spellEnd"/>
      <w:r w:rsidRPr="0076792B">
        <w:t xml:space="preserve"> et al., 2025) is used, retrieved via the </w:t>
      </w:r>
      <w:proofErr w:type="spellStart"/>
      <w:r w:rsidRPr="0076792B">
        <w:t>Energieatlas</w:t>
      </w:r>
      <w:proofErr w:type="spellEnd"/>
      <w:r w:rsidRPr="0076792B">
        <w:t xml:space="preserve"> Baden-W</w:t>
      </w:r>
      <w:r w:rsidR="00FC58EC">
        <w:t>ue</w:t>
      </w:r>
      <w:r w:rsidRPr="0076792B">
        <w:t>rttemberg web map service at both building-block level and, at finer spatial resolution, aggregated along individual street segments</w:t>
      </w:r>
      <w:r w:rsidR="008A2408">
        <w:t xml:space="preserve"> (</w:t>
      </w:r>
      <w:hyperlink r:id="rId12" w:history="1">
        <w:r w:rsidR="00112267" w:rsidRPr="00C531BF">
          <w:rPr>
            <w:rStyle w:val="Hyperlink"/>
          </w:rPr>
          <w:t>https://www.energieatlas-bw.de/waerme/waermebedarf/karten?activeLayer=waermebedarf-gebiet</w:t>
        </w:r>
      </w:hyperlink>
      <w:r w:rsidR="00112267">
        <w:t xml:space="preserve">, </w:t>
      </w:r>
      <w:hyperlink r:id="rId13" w:history="1">
        <w:r w:rsidR="008A2408" w:rsidRPr="00582972">
          <w:rPr>
            <w:rStyle w:val="Hyperlink"/>
          </w:rPr>
          <w:t>https://www.energieatlas-bw.de/waerme/waermebedarf/karten?activeLayer=waermebedarf-strasse</w:t>
        </w:r>
      </w:hyperlink>
      <w:r w:rsidR="008A2408">
        <w:t>)</w:t>
      </w:r>
      <w:r w:rsidR="00287FF2" w:rsidRPr="00287FF2">
        <w:t>.</w:t>
      </w:r>
      <w:r w:rsidR="00112267">
        <w:t xml:space="preserve"> </w:t>
      </w:r>
      <w:r w:rsidR="00B81F0E">
        <w:t>Both datasets include</w:t>
      </w:r>
      <w:r w:rsidR="00B03992">
        <w:t xml:space="preserve"> the</w:t>
      </w:r>
      <w:r w:rsidRPr="0076792B">
        <w:t xml:space="preserve"> </w:t>
      </w:r>
      <w:r w:rsidR="00B81F0E">
        <w:t>useful</w:t>
      </w:r>
      <w:r w:rsidRPr="0076792B">
        <w:t xml:space="preserve"> energy demand for space heating and domestic hot water, generated per building from a national building simulation model differentiated by energetic building </w:t>
      </w:r>
      <w:r w:rsidR="00B81F0E">
        <w:t>archet</w:t>
      </w:r>
      <w:r w:rsidRPr="0076792B">
        <w:t xml:space="preserve">ype, building age class, and climate zone, and subsequently </w:t>
      </w:r>
      <w:r w:rsidR="00B81F0E">
        <w:t>adjusted</w:t>
      </w:r>
      <w:r w:rsidRPr="0076792B">
        <w:t xml:space="preserve"> to federal</w:t>
      </w:r>
      <w:r w:rsidR="00FA5D3F">
        <w:t xml:space="preserve"> </w:t>
      </w:r>
      <w:r w:rsidRPr="0076792B">
        <w:t>level consumption statistics</w:t>
      </w:r>
      <w:r w:rsidR="00B81F0E">
        <w:t>.</w:t>
      </w:r>
      <w:r w:rsidRPr="0076792B">
        <w:t xml:space="preserve"> Both aggregation levels </w:t>
      </w:r>
      <w:r w:rsidR="00410642">
        <w:t xml:space="preserve">available </w:t>
      </w:r>
      <w:r w:rsidRPr="0076792B">
        <w:t>for the present study area therefore represent a consumption-</w:t>
      </w:r>
      <w:r w:rsidR="00287FF2">
        <w:t xml:space="preserve">adjusted </w:t>
      </w:r>
      <w:r w:rsidR="001D45CE">
        <w:t xml:space="preserve">comparison </w:t>
      </w:r>
      <w:r w:rsidRPr="0076792B">
        <w:t xml:space="preserve">model rather than a direct measurement, and serve as the </w:t>
      </w:r>
      <w:r w:rsidR="001D45CE" w:rsidRPr="0076792B">
        <w:t>consumption-</w:t>
      </w:r>
      <w:r w:rsidR="001D45CE">
        <w:t xml:space="preserve">adjusted </w:t>
      </w:r>
      <w:r w:rsidR="00D21829">
        <w:t xml:space="preserve">final energy </w:t>
      </w:r>
      <w:r w:rsidR="001D45CE">
        <w:t xml:space="preserve">demand comparison </w:t>
      </w:r>
      <w:r w:rsidRPr="0076792B">
        <w:t xml:space="preserve">referred to in </w:t>
      </w:r>
      <w:r w:rsidR="00650D38">
        <w:t>Chapter</w:t>
      </w:r>
      <w:r w:rsidRPr="0076792B">
        <w:t xml:space="preserve"> 6</w:t>
      </w:r>
      <w:r w:rsidR="001D45CE">
        <w:t>,</w:t>
      </w:r>
      <w:r w:rsidRPr="0076792B">
        <w:t xml:space="preserve"> alongside </w:t>
      </w:r>
      <w:r w:rsidR="00B03992">
        <w:t xml:space="preserve">with </w:t>
      </w:r>
      <w:r w:rsidRPr="0076792B">
        <w:t xml:space="preserve">the </w:t>
      </w:r>
      <w:r w:rsidR="00410642">
        <w:t>consumption-based</w:t>
      </w:r>
      <w:r w:rsidRPr="0076792B">
        <w:t xml:space="preserve"> comparison </w:t>
      </w:r>
      <w:r w:rsidR="00410642">
        <w:t>with the data on building block level described above</w:t>
      </w:r>
      <w:r w:rsidRPr="0076792B">
        <w:t>.</w:t>
      </w:r>
      <w:r w:rsidR="00D10C14">
        <w:t xml:space="preserve"> </w:t>
      </w:r>
      <w:r w:rsidR="00D21829">
        <w:t xml:space="preserve">The described final energy consumptions and </w:t>
      </w:r>
      <w:r w:rsidR="00D21829" w:rsidRPr="0076792B">
        <w:t>consumption-</w:t>
      </w:r>
      <w:r w:rsidR="00D21829">
        <w:t xml:space="preserve">adjusted final energy demands, include space heating and domestic hot water supply and build the reference for model validation results in Chapter 6. </w:t>
      </w:r>
      <w:r w:rsidR="00D10C14">
        <w:t xml:space="preserve">The weather data used to generate the </w:t>
      </w:r>
      <w:r w:rsidR="00D21829">
        <w:t>simulated</w:t>
      </w:r>
      <w:r w:rsidR="00D10C14">
        <w:t xml:space="preserve"> </w:t>
      </w:r>
      <w:r w:rsidR="00D21829">
        <w:t>final energy demand</w:t>
      </w:r>
      <w:r w:rsidR="00D10C14">
        <w:t xml:space="preserve"> </w:t>
      </w:r>
      <w:r w:rsidR="00D21829">
        <w:t xml:space="preserve">for space heating and domestic hot water supply </w:t>
      </w:r>
      <w:r w:rsidR="00D10C14">
        <w:t xml:space="preserve">are identical to the in </w:t>
      </w:r>
      <w:r w:rsidR="00650D38">
        <w:t>Chapter</w:t>
      </w:r>
      <w:r w:rsidR="00D10C14">
        <w:t xml:space="preserve"> 3.3 described weather data</w:t>
      </w:r>
      <w:r w:rsidR="00FC58EC">
        <w:t>set mean TRY 2015</w:t>
      </w:r>
      <w:r w:rsidR="00D10C14">
        <w:t>.</w:t>
      </w:r>
    </w:p>
    <w:p w14:paraId="3A1072F8" w14:textId="77777777" w:rsidR="00232C4C" w:rsidRDefault="00232C4C" w:rsidP="007D0A57">
      <w:pPr>
        <w:pStyle w:val="SWCHeading1"/>
      </w:pPr>
      <w:r>
        <w:t>A</w:t>
      </w:r>
      <w:r w:rsidRPr="007F42F5">
        <w:t>ggregated building model</w:t>
      </w:r>
    </w:p>
    <w:p w14:paraId="43BBF5FF" w14:textId="6B7E87A9" w:rsidR="002446B9" w:rsidRPr="00C16ACF" w:rsidRDefault="00A41986" w:rsidP="00A41986">
      <w:pPr>
        <w:pStyle w:val="SWCText"/>
      </w:pPr>
      <w:r>
        <w:t xml:space="preserve">The aggregated building models are based on expanded and adapted Python scripts from the </w:t>
      </w:r>
      <w:r w:rsidR="00C16ACF">
        <w:t>UBEM</w:t>
      </w:r>
      <w:r>
        <w:t xml:space="preserve"> developed by Johari et al. (2023). Th</w:t>
      </w:r>
      <w:r w:rsidR="001D45CE">
        <w:t xml:space="preserve">e UBEM (Johari et al. 2023) </w:t>
      </w:r>
      <w:r>
        <w:t xml:space="preserve">generates a thermal building model for each building that is compatible with the </w:t>
      </w:r>
      <w:proofErr w:type="spellStart"/>
      <w:r>
        <w:t>EnergyPlus</w:t>
      </w:r>
      <w:proofErr w:type="spellEnd"/>
      <w:r>
        <w:t xml:space="preserve"> simulation </w:t>
      </w:r>
      <w:r w:rsidR="001D45CE">
        <w:t>software</w:t>
      </w:r>
      <w:r>
        <w:t>. This requires geometric input data</w:t>
      </w:r>
      <w:r w:rsidR="00C16ACF">
        <w:t xml:space="preserve"> of each building</w:t>
      </w:r>
      <w:r>
        <w:t>. Non-geometric</w:t>
      </w:r>
      <w:r w:rsidR="00C16ACF">
        <w:t>al</w:t>
      </w:r>
      <w:r>
        <w:t xml:space="preserve"> data are</w:t>
      </w:r>
      <w:r w:rsidR="001D45CE">
        <w:t>,</w:t>
      </w:r>
      <w:r w:rsidR="001D45CE" w:rsidRPr="001D45CE">
        <w:t xml:space="preserve"> </w:t>
      </w:r>
      <w:r w:rsidR="001D45CE">
        <w:t>among others,</w:t>
      </w:r>
      <w:r>
        <w:t xml:space="preserve"> based on defined building archetypes specified in the scripts.</w:t>
      </w:r>
      <w:r w:rsidR="00C16ACF">
        <w:t xml:space="preserve"> </w:t>
      </w:r>
      <w:r>
        <w:t xml:space="preserve">The scripts have been extended and adapted to incorporate German data sources and building typologies, as well as the </w:t>
      </w:r>
      <w:r w:rsidR="00C16ACF">
        <w:t>modeling</w:t>
      </w:r>
      <w:r>
        <w:t xml:space="preserve"> variants defined in </w:t>
      </w:r>
      <w:r w:rsidR="00C16ACF">
        <w:t xml:space="preserve">Tab. 1, </w:t>
      </w:r>
      <w:r w:rsidR="00650D38">
        <w:t>Chapter</w:t>
      </w:r>
      <w:r>
        <w:t xml:space="preserve"> 5</w:t>
      </w:r>
      <w:r w:rsidR="00CF6C9B">
        <w:t xml:space="preserve"> and described as concept in Lott et al. (2026).</w:t>
      </w:r>
      <w:r>
        <w:t xml:space="preserve"> </w:t>
      </w:r>
    </w:p>
    <w:p w14:paraId="2C78B0A9" w14:textId="4F1069E9" w:rsidR="001F3583" w:rsidRPr="007D0A57" w:rsidRDefault="001F3583" w:rsidP="007D0A57">
      <w:pPr>
        <w:pStyle w:val="SWCHeading11"/>
      </w:pPr>
      <w:r w:rsidRPr="007D0A57">
        <w:t>4.1 3D city model</w:t>
      </w:r>
    </w:p>
    <w:p w14:paraId="36BA2D24" w14:textId="6F2AF300" w:rsidR="00386A16" w:rsidRDefault="002446B9" w:rsidP="002446B9">
      <w:pPr>
        <w:pStyle w:val="SWCText"/>
      </w:pPr>
      <w:r w:rsidRPr="00A154DC">
        <w:t xml:space="preserve">Buildings are represented at LoD2 </w:t>
      </w:r>
      <w:r w:rsidR="00CC6741">
        <w:t xml:space="preserve">data </w:t>
      </w:r>
      <w:r w:rsidRPr="00A154DC">
        <w:t xml:space="preserve">rather than the simple LoD1 </w:t>
      </w:r>
      <w:r w:rsidR="00CC6741">
        <w:t>“</w:t>
      </w:r>
      <w:r w:rsidRPr="00A154DC">
        <w:t>shoe-box extrusion</w:t>
      </w:r>
      <w:r w:rsidR="00CC6741">
        <w:t>”</w:t>
      </w:r>
      <w:r w:rsidRPr="00A154DC">
        <w:t xml:space="preserve"> of Johari et al. (2023)</w:t>
      </w:r>
      <w:r w:rsidR="00894ED8">
        <w:t>.</w:t>
      </w:r>
      <w:r w:rsidRPr="00A154DC">
        <w:t xml:space="preserve"> </w:t>
      </w:r>
      <w:r w:rsidR="00894ED8">
        <w:t xml:space="preserve">This </w:t>
      </w:r>
      <w:r w:rsidRPr="00A154DC">
        <w:t>additionally account</w:t>
      </w:r>
      <w:r w:rsidR="00894ED8">
        <w:t>s</w:t>
      </w:r>
      <w:r w:rsidRPr="00A154DC">
        <w:t xml:space="preserve"> f</w:t>
      </w:r>
      <w:r w:rsidR="00894ED8">
        <w:t>or</w:t>
      </w:r>
      <w:r w:rsidRPr="00A154DC">
        <w:t xml:space="preserve"> roof shape to distinguish heated </w:t>
      </w:r>
      <w:r w:rsidR="00894ED8">
        <w:t xml:space="preserve">from unheated </w:t>
      </w:r>
      <w:r w:rsidRPr="00A154DC">
        <w:t>attics</w:t>
      </w:r>
      <w:r w:rsidR="00894ED8">
        <w:t>.</w:t>
      </w:r>
      <w:r w:rsidRPr="00A154DC">
        <w:t xml:space="preserve"> </w:t>
      </w:r>
      <w:r w:rsidR="00894ED8" w:rsidRPr="00A154DC">
        <w:t>For buildings with a heated attic,</w:t>
      </w:r>
      <w:r w:rsidR="00894ED8">
        <w:t xml:space="preserve"> </w:t>
      </w:r>
      <w:r w:rsidR="00894ED8" w:rsidRPr="00A154DC">
        <w:t>the roof construction adjacent to outdoor air is simulated as the relevant envelope component</w:t>
      </w:r>
      <w:r w:rsidR="00894ED8">
        <w:t>.</w:t>
      </w:r>
      <w:r w:rsidR="00894ED8" w:rsidRPr="00A154DC">
        <w:t xml:space="preserve"> </w:t>
      </w:r>
      <w:r w:rsidR="00894ED8">
        <w:t>Therefore</w:t>
      </w:r>
      <w:r w:rsidR="00697130">
        <w:t>,</w:t>
      </w:r>
      <w:r w:rsidR="00894ED8">
        <w:t xml:space="preserve"> t</w:t>
      </w:r>
      <w:r w:rsidR="00894ED8" w:rsidRPr="00A154DC">
        <w:t xml:space="preserve">he actual sloped roof facets extracted from </w:t>
      </w:r>
      <w:r w:rsidR="00894ED8">
        <w:t>3D building models described in Chapter 3.1</w:t>
      </w:r>
      <w:r w:rsidR="00894ED8" w:rsidRPr="00A154DC">
        <w:t xml:space="preserve"> are used directly, preserving real roof geometry rather than a flat substitute surface</w:t>
      </w:r>
      <w:r w:rsidR="00894ED8">
        <w:t>. F</w:t>
      </w:r>
      <w:r w:rsidR="00894ED8" w:rsidRPr="00A154DC">
        <w:t xml:space="preserve">or unheated attics, </w:t>
      </w:r>
      <w:r w:rsidRPr="00A154DC">
        <w:t xml:space="preserve">the top ceiling </w:t>
      </w:r>
      <w:r w:rsidR="00894ED8">
        <w:t xml:space="preserve">with the </w:t>
      </w:r>
      <w:r w:rsidR="00894ED8" w:rsidRPr="00A154DC">
        <w:t xml:space="preserve">flat, footprint-based </w:t>
      </w:r>
      <w:r w:rsidR="00894ED8">
        <w:t xml:space="preserve">top </w:t>
      </w:r>
      <w:r w:rsidR="00894ED8" w:rsidRPr="00A154DC">
        <w:t xml:space="preserve">ceiling area </w:t>
      </w:r>
      <w:r w:rsidRPr="00A154DC">
        <w:t xml:space="preserve">is </w:t>
      </w:r>
      <w:r w:rsidR="00894ED8">
        <w:t>simulated as the relevant envelope component</w:t>
      </w:r>
      <w:r w:rsidRPr="00A154DC">
        <w:t xml:space="preserve"> instead </w:t>
      </w:r>
      <w:r w:rsidR="001D45CE">
        <w:t xml:space="preserve">of </w:t>
      </w:r>
      <w:r w:rsidR="001D45CE" w:rsidRPr="00A154DC">
        <w:t>the roof construction</w:t>
      </w:r>
      <w:r w:rsidR="00894ED8">
        <w:t>.</w:t>
      </w:r>
      <w:r w:rsidR="001D45CE" w:rsidRPr="00A154DC">
        <w:t xml:space="preserve"> </w:t>
      </w:r>
      <w:r w:rsidR="00894ED8">
        <w:t>Additionally,</w:t>
      </w:r>
      <w:r w:rsidRPr="00A154DC">
        <w:t xml:space="preserve"> the deducted attic height </w:t>
      </w:r>
      <w:r w:rsidR="00386A16">
        <w:t xml:space="preserve">described in </w:t>
      </w:r>
      <w:r w:rsidR="00650D38">
        <w:t>Chapter</w:t>
      </w:r>
      <w:r w:rsidR="00894ED8">
        <w:t> </w:t>
      </w:r>
      <w:r w:rsidR="00386A16">
        <w:t xml:space="preserve">3.2 </w:t>
      </w:r>
      <w:r w:rsidRPr="00A154DC">
        <w:t>is subtracted from the</w:t>
      </w:r>
      <w:r w:rsidR="001D45CE">
        <w:t xml:space="preserve"> height </w:t>
      </w:r>
      <w:r w:rsidR="00E65B77">
        <w:t>used to calculate the</w:t>
      </w:r>
      <w:r w:rsidRPr="00A154DC">
        <w:t xml:space="preserve"> heated zone. Window</w:t>
      </w:r>
      <w:r w:rsidR="00E65B77">
        <w:t xml:space="preserve"> </w:t>
      </w:r>
      <w:r w:rsidRPr="00A154DC">
        <w:t>to</w:t>
      </w:r>
      <w:r w:rsidR="00E65B77">
        <w:t xml:space="preserve"> external </w:t>
      </w:r>
      <w:r w:rsidRPr="00A154DC">
        <w:t xml:space="preserve">wall ratio is applied per building </w:t>
      </w:r>
      <w:r w:rsidR="00386A16">
        <w:t>archet</w:t>
      </w:r>
      <w:r w:rsidRPr="00A154DC">
        <w:t xml:space="preserve">ype, differentiated by </w:t>
      </w:r>
      <w:r>
        <w:t xml:space="preserve">building </w:t>
      </w:r>
      <w:r w:rsidRPr="00A154DC">
        <w:t>age and size class from representative typical buildings</w:t>
      </w:r>
      <w:r>
        <w:t xml:space="preserve"> (Stein et al., 2025)</w:t>
      </w:r>
      <w:r w:rsidRPr="00A154DC">
        <w:t>, rather than the single fixed ratio</w:t>
      </w:r>
      <w:r>
        <w:t xml:space="preserve"> trough all building archetypes</w:t>
      </w:r>
      <w:r w:rsidRPr="00A154DC">
        <w:t xml:space="preserve"> assumed by Johari et al. </w:t>
      </w:r>
      <w:r w:rsidRPr="00E563DF">
        <w:t>(2023).</w:t>
      </w:r>
      <w:r w:rsidR="003C024B">
        <w:t xml:space="preserve"> </w:t>
      </w:r>
    </w:p>
    <w:p w14:paraId="48C9C2FD" w14:textId="0AABAA4C" w:rsidR="00263A0F" w:rsidRPr="007D0A57" w:rsidRDefault="00263A0F" w:rsidP="00263A0F">
      <w:pPr>
        <w:pStyle w:val="SWCHeading11"/>
      </w:pPr>
      <w:r w:rsidRPr="001F3583">
        <w:t xml:space="preserve">4.2 </w:t>
      </w:r>
      <w:r>
        <w:t>Building archetypes</w:t>
      </w:r>
    </w:p>
    <w:p w14:paraId="67772CF3" w14:textId="77777777" w:rsidR="002C7721" w:rsidRDefault="006C0EB0" w:rsidP="006C0EB0">
      <w:pPr>
        <w:pStyle w:val="SWCText"/>
      </w:pPr>
      <w:r w:rsidRPr="006C0EB0">
        <w:t xml:space="preserve">Thermal properties of the building envelope are assigned depending on the chosen building archetype variant. This </w:t>
      </w:r>
      <w:r w:rsidR="00650D38">
        <w:lastRenderedPageBreak/>
        <w:t>Chapter</w:t>
      </w:r>
      <w:r w:rsidRPr="006C0EB0">
        <w:t xml:space="preserve"> describes the basic variant, which uses the unmodified national building archetype.</w:t>
      </w:r>
      <w:r w:rsidR="00CF6C9B">
        <w:t xml:space="preserve"> </w:t>
      </w:r>
      <w:r w:rsidRPr="006C0EB0">
        <w:t xml:space="preserve">In Johari et al. (2023), each building is mapped onto a single archetype construction set. This construction set uses one representative mean heat transfer coefficient for each envelope component. </w:t>
      </w:r>
      <w:r>
        <w:t>C</w:t>
      </w:r>
      <w:r w:rsidRPr="006C0EB0">
        <w:t>omparable to the representative typical buildings of Stein et al. (2025)</w:t>
      </w:r>
      <w:r>
        <w:t>, t</w:t>
      </w:r>
      <w:r w:rsidRPr="006C0EB0">
        <w:t>his mean heat transfer coefficient for each envelope component</w:t>
      </w:r>
      <w:r>
        <w:t xml:space="preserve"> would</w:t>
      </w:r>
      <w:r w:rsidRPr="006C0EB0">
        <w:t xml:space="preserve"> already average over the real, heterogeneous refurbishment states found across the German building stock.</w:t>
      </w:r>
      <w:r>
        <w:t xml:space="preserve"> </w:t>
      </w:r>
      <w:r w:rsidRPr="006C0EB0">
        <w:t xml:space="preserve">Here, each building is instead assumed to have one </w:t>
      </w:r>
      <w:r w:rsidR="00FE48B3">
        <w:t xml:space="preserve">specific </w:t>
      </w:r>
      <w:r w:rsidRPr="006C0EB0">
        <w:t>refurbishment level</w:t>
      </w:r>
      <w:r>
        <w:t>, according to the three refurbishment levels of the real existing buildings of the TABULA and EPISCOPE database</w:t>
      </w:r>
      <w:r w:rsidR="00336A33">
        <w:t xml:space="preserve"> (</w:t>
      </w:r>
      <w:r w:rsidR="00336A33" w:rsidRPr="00FC016B">
        <w:t>Institute for Housing and Environment et al., 2016a)</w:t>
      </w:r>
      <w:r>
        <w:t xml:space="preserve"> described in </w:t>
      </w:r>
      <w:r w:rsidR="00650D38">
        <w:t>Chapter</w:t>
      </w:r>
      <w:r>
        <w:t xml:space="preserve"> 3.1, </w:t>
      </w:r>
      <w:proofErr w:type="spellStart"/>
      <w:r>
        <w:t>i</w:t>
      </w:r>
      <w:proofErr w:type="spellEnd"/>
      <w:r>
        <w:t xml:space="preserve">. e. not </w:t>
      </w:r>
      <w:r w:rsidRPr="006C0EB0">
        <w:t xml:space="preserve">refurbished, standard refurbished, or advanced refurbished. Each level corresponds to its own </w:t>
      </w:r>
      <w:r w:rsidR="00336A33">
        <w:t xml:space="preserve">building </w:t>
      </w:r>
      <w:r w:rsidRPr="006C0EB0">
        <w:t>archetype construction, with its own heat transfer coefficient.</w:t>
      </w:r>
    </w:p>
    <w:p w14:paraId="4D9C422B" w14:textId="6182CD54" w:rsidR="004225E5" w:rsidRDefault="00603922" w:rsidP="006C0EB0">
      <w:pPr>
        <w:pStyle w:val="SWCText"/>
      </w:pPr>
      <w:r>
        <w:t xml:space="preserve">To reflect the actual refurbishment progress of the building stock in Germany, buildings are distributed across these three refurbishment levels. Therefore, buildings in the study area are first grouped by building size class and age class. For each group and each envelope component, the target heat transfer coefficient of the related representative typical building group of Stein et al. (2025) is compared against the heat transfer coefficients of the group's own three refurbishment levels. This comparison yields, per envelope component, the area </w:t>
      </w:r>
      <w:proofErr w:type="gramStart"/>
      <w:r>
        <w:t>share</w:t>
      </w:r>
      <w:proofErr w:type="gramEnd"/>
      <w:r>
        <w:t xml:space="preserve"> of the group that should be at standard refurbished level or at advanced refurbished level to reproduce the target</w:t>
      </w:r>
      <w:r w:rsidR="00B5540E" w:rsidRPr="00344A91">
        <w:rPr>
          <w:color w:val="auto"/>
        </w:rPr>
        <w:t xml:space="preserve"> heat transfer coefficient</w:t>
      </w:r>
      <w:r>
        <w:t xml:space="preserve">. Within this share, a fixed split of 92.25 % standard refurbished level and 7.75 % advanced refurbished level is applied, taken from the distribution of refurbishment states in the federal state Baden-Württemberg of </w:t>
      </w:r>
      <w:proofErr w:type="spellStart"/>
      <w:r>
        <w:t>Dabrock</w:t>
      </w:r>
      <w:proofErr w:type="spellEnd"/>
      <w:r>
        <w:t xml:space="preserve"> et al. (2025). Since no single target </w:t>
      </w:r>
      <w:r w:rsidR="00B5540E" w:rsidRPr="00344A91">
        <w:rPr>
          <w:color w:val="auto"/>
        </w:rPr>
        <w:t>heat transfer coefficient</w:t>
      </w:r>
      <w:r>
        <w:t xml:space="preserve"> covers all envelope components jointly, the resulting area shares are averaged into one combined area share per building group. </w:t>
      </w:r>
      <w:r w:rsidR="006C0EB0" w:rsidRPr="006C0EB0">
        <w:t xml:space="preserve">Each building in a group is then assigned one of the three </w:t>
      </w:r>
      <w:r w:rsidR="00B5540E">
        <w:t xml:space="preserve">refurbishment </w:t>
      </w:r>
      <w:r w:rsidR="006C0EB0" w:rsidRPr="006C0EB0">
        <w:t>levels. This assignment uses a deterministic procedure</w:t>
      </w:r>
      <w:r w:rsidR="00805235">
        <w:t>.</w:t>
      </w:r>
      <w:r w:rsidR="006C0EB0" w:rsidRPr="006C0EB0">
        <w:t xml:space="preserve"> </w:t>
      </w:r>
      <w:r w:rsidR="00805235">
        <w:t>B</w:t>
      </w:r>
      <w:r w:rsidR="006C0EB0" w:rsidRPr="006C0EB0">
        <w:t xml:space="preserve">uildings are weighted by their heated floor area, and </w:t>
      </w:r>
      <w:r w:rsidR="00B5540E">
        <w:t xml:space="preserve">refurbishment </w:t>
      </w:r>
      <w:r w:rsidR="006C0EB0" w:rsidRPr="006C0EB0">
        <w:t xml:space="preserve">levels are allocated so that the </w:t>
      </w:r>
      <w:r w:rsidR="00697130">
        <w:t xml:space="preserve">group´s combined, </w:t>
      </w:r>
      <w:r w:rsidR="00805235">
        <w:t>adjusted</w:t>
      </w:r>
      <w:r w:rsidR="006C0EB0" w:rsidRPr="006C0EB0">
        <w:t xml:space="preserve"> </w:t>
      </w:r>
      <w:r w:rsidR="00697130">
        <w:t xml:space="preserve">target </w:t>
      </w:r>
      <w:r w:rsidR="006C0EB0" w:rsidRPr="006C0EB0">
        <w:t>are</w:t>
      </w:r>
      <w:r w:rsidR="00697130">
        <w:t xml:space="preserve"> shares</w:t>
      </w:r>
      <w:r w:rsidR="006C0EB0" w:rsidRPr="006C0EB0">
        <w:t xml:space="preserve"> </w:t>
      </w:r>
      <w:r w:rsidR="00697130">
        <w:t xml:space="preserve">for standard and advanced refurbishment level are </w:t>
      </w:r>
      <w:r w:rsidR="006C0EB0" w:rsidRPr="006C0EB0">
        <w:t xml:space="preserve">matched as closely as possible. </w:t>
      </w:r>
      <w:r w:rsidR="00805235">
        <w:t>A</w:t>
      </w:r>
      <w:r w:rsidR="006C0EB0" w:rsidRPr="006C0EB0">
        <w:t xml:space="preserve"> refinement of this basic building archetype into further variants is described in </w:t>
      </w:r>
      <w:r w:rsidR="00650D38">
        <w:t>Chapter</w:t>
      </w:r>
      <w:r w:rsidR="006C0EB0" w:rsidRPr="006C0EB0">
        <w:t xml:space="preserve"> 5.</w:t>
      </w:r>
      <w:r w:rsidR="00697130">
        <w:t xml:space="preserve"> </w:t>
      </w:r>
      <w:r w:rsidR="004225E5">
        <w:t xml:space="preserve">Infiltration is set to a medium rate at 0.2 </w:t>
      </w:r>
      <w:r w:rsidR="00C171FF">
        <w:t>air changes</w:t>
      </w:r>
      <w:r w:rsidR="004225E5">
        <w:t xml:space="preserve"> per hour for each building archetype and refurbishment level, according to the TABULA and EPISCOPE database.</w:t>
      </w:r>
    </w:p>
    <w:p w14:paraId="0501E38C" w14:textId="1761A18C" w:rsidR="001F3583" w:rsidRPr="00670573" w:rsidRDefault="001F3583" w:rsidP="006C0EB0">
      <w:pPr>
        <w:pStyle w:val="SWCHeading11"/>
        <w:rPr>
          <w:lang w:val="en-US"/>
        </w:rPr>
      </w:pPr>
      <w:r w:rsidRPr="00670573">
        <w:rPr>
          <w:lang w:val="en-US"/>
        </w:rPr>
        <w:t>4.</w:t>
      </w:r>
      <w:r w:rsidR="00F93913" w:rsidRPr="00670573">
        <w:rPr>
          <w:lang w:val="en-US"/>
        </w:rPr>
        <w:t>3</w:t>
      </w:r>
      <w:r w:rsidRPr="00670573">
        <w:rPr>
          <w:lang w:val="en-US"/>
        </w:rPr>
        <w:t xml:space="preserve"> Thermal zoning</w:t>
      </w:r>
    </w:p>
    <w:p w14:paraId="4A16CDCB" w14:textId="03D9DAAC" w:rsidR="002446B9" w:rsidRPr="008F753F" w:rsidRDefault="002446B9" w:rsidP="002446B9">
      <w:pPr>
        <w:pStyle w:val="SWCText"/>
      </w:pPr>
      <w:r w:rsidRPr="002446B9">
        <w:t>The singl</w:t>
      </w:r>
      <w:r>
        <w:t>e-</w:t>
      </w:r>
      <w:r w:rsidRPr="002446B9">
        <w:t>zone</w:t>
      </w:r>
      <w:r>
        <w:t xml:space="preserve"> </w:t>
      </w:r>
      <w:r w:rsidRPr="002446B9">
        <w:t>per</w:t>
      </w:r>
      <w:r>
        <w:t xml:space="preserve"> </w:t>
      </w:r>
      <w:r w:rsidRPr="002446B9">
        <w:t>building approach of Johari et al. (2023) is retained to keep model complexity and computation</w:t>
      </w:r>
      <w:r w:rsidR="00670573">
        <w:t>al</w:t>
      </w:r>
      <w:r w:rsidRPr="002446B9">
        <w:t xml:space="preserve"> </w:t>
      </w:r>
      <w:r w:rsidR="00670573">
        <w:t>cost</w:t>
      </w:r>
      <w:r w:rsidRPr="002446B9">
        <w:t xml:space="preserve"> low at district</w:t>
      </w:r>
      <w:r>
        <w:t>-</w:t>
      </w:r>
      <w:r w:rsidRPr="002446B9">
        <w:t xml:space="preserve"> </w:t>
      </w:r>
      <w:r w:rsidR="00856115">
        <w:t>to</w:t>
      </w:r>
      <w:r w:rsidRPr="002446B9">
        <w:t xml:space="preserve"> city</w:t>
      </w:r>
      <w:r>
        <w:t>-</w:t>
      </w:r>
      <w:r w:rsidRPr="002446B9">
        <w:t>scale</w:t>
      </w:r>
      <w:r>
        <w:t>.</w:t>
      </w:r>
      <w:r w:rsidRPr="002446B9">
        <w:t xml:space="preserve"> </w:t>
      </w:r>
      <w:r>
        <w:t>S</w:t>
      </w:r>
      <w:r w:rsidRPr="002446B9">
        <w:t xml:space="preserve">ingle-zone models show greater deviation from measured data at </w:t>
      </w:r>
      <w:r w:rsidR="00FA5D3F">
        <w:t>building level</w:t>
      </w:r>
      <w:r w:rsidRPr="002446B9">
        <w:t xml:space="preserve"> and hourly resolution than multi-zone models, but this becomes negligible at higher spatial aggregation</w:t>
      </w:r>
      <w:r>
        <w:t xml:space="preserve"> (Johari et al., 2023)</w:t>
      </w:r>
      <w:r w:rsidRPr="002446B9">
        <w:t>, and the resulting low computation</w:t>
      </w:r>
      <w:r w:rsidR="00670573">
        <w:t>al</w:t>
      </w:r>
      <w:r w:rsidRPr="002446B9">
        <w:t xml:space="preserve"> </w:t>
      </w:r>
      <w:r w:rsidR="00670573">
        <w:t>cost</w:t>
      </w:r>
      <w:r w:rsidRPr="002446B9">
        <w:t xml:space="preserve"> may additionally enable interactive simulation </w:t>
      </w:r>
      <w:r>
        <w:t xml:space="preserve">for a better consulting </w:t>
      </w:r>
      <w:r w:rsidRPr="002446B9">
        <w:t xml:space="preserve">within the dialogue workshops. </w:t>
      </w:r>
      <w:r w:rsidR="00856115">
        <w:t>As model results shall be used</w:t>
      </w:r>
      <w:r w:rsidR="00856115" w:rsidRPr="002446B9">
        <w:t xml:space="preserve"> to support both consulting </w:t>
      </w:r>
      <w:r w:rsidR="00856115">
        <w:t xml:space="preserve">on </w:t>
      </w:r>
      <w:r w:rsidR="00FA5D3F">
        <w:t>building level</w:t>
      </w:r>
      <w:r w:rsidR="00856115" w:rsidRPr="002446B9">
        <w:t xml:space="preserve"> and </w:t>
      </w:r>
      <w:r w:rsidR="00856115">
        <w:t xml:space="preserve">on </w:t>
      </w:r>
      <w:r w:rsidR="00856115" w:rsidRPr="002446B9">
        <w:t>higher aggregation level</w:t>
      </w:r>
      <w:r w:rsidR="00856115">
        <w:t xml:space="preserve"> </w:t>
      </w:r>
      <w:r w:rsidR="00856115" w:rsidRPr="002446B9">
        <w:t xml:space="preserve">for </w:t>
      </w:r>
      <w:r w:rsidR="00856115">
        <w:t>different stakeholder groups.</w:t>
      </w:r>
      <w:r w:rsidR="00856115" w:rsidRPr="002446B9">
        <w:t xml:space="preserve"> </w:t>
      </w:r>
      <w:r w:rsidRPr="002446B9">
        <w:t xml:space="preserve">Buildings adjacent to a </w:t>
      </w:r>
      <w:r w:rsidR="00856115" w:rsidRPr="002446B9">
        <w:t>neighboring building</w:t>
      </w:r>
      <w:r w:rsidR="00856115">
        <w:t>, like semidetached or terraced</w:t>
      </w:r>
      <w:r w:rsidRPr="002446B9">
        <w:t xml:space="preserve"> </w:t>
      </w:r>
      <w:r w:rsidR="00856115">
        <w:t xml:space="preserve">houses, </w:t>
      </w:r>
      <w:r w:rsidRPr="002446B9">
        <w:t>are assumed to share a common wall</w:t>
      </w:r>
      <w:r w:rsidR="00856115">
        <w:t>. A</w:t>
      </w:r>
      <w:r w:rsidR="00856115" w:rsidRPr="002446B9">
        <w:t xml:space="preserve">djacency </w:t>
      </w:r>
      <w:r w:rsidR="00856115">
        <w:t xml:space="preserve">is </w:t>
      </w:r>
      <w:r w:rsidR="00856115" w:rsidRPr="002446B9">
        <w:t xml:space="preserve">determined through a </w:t>
      </w:r>
      <w:r w:rsidR="00856115">
        <w:t xml:space="preserve">one meter </w:t>
      </w:r>
      <w:r w:rsidR="00856115" w:rsidRPr="002446B9">
        <w:t>buffered geometric overlap between neighboring footprints.</w:t>
      </w:r>
      <w:r w:rsidR="00856115">
        <w:t xml:space="preserve"> The determined common walls are </w:t>
      </w:r>
      <w:r w:rsidR="00856115" w:rsidRPr="002446B9">
        <w:t>modeled</w:t>
      </w:r>
      <w:r w:rsidRPr="002446B9">
        <w:t xml:space="preserve"> as adiabatic and without </w:t>
      </w:r>
      <w:r w:rsidR="00856115">
        <w:t>windows.</w:t>
      </w:r>
      <w:r w:rsidRPr="002446B9">
        <w:t xml:space="preserve"> </w:t>
      </w:r>
      <w:r w:rsidRPr="008B38CD">
        <w:rPr>
          <w:color w:val="auto"/>
        </w:rPr>
        <w:t xml:space="preserve">As residential buildings in the study area </w:t>
      </w:r>
      <w:r w:rsidR="00045247" w:rsidRPr="008B38CD">
        <w:rPr>
          <w:color w:val="auto"/>
        </w:rPr>
        <w:t xml:space="preserve">predominantly </w:t>
      </w:r>
      <w:r w:rsidRPr="008B38CD">
        <w:rPr>
          <w:color w:val="auto"/>
        </w:rPr>
        <w:t>have a basement situated at least 1</w:t>
      </w:r>
      <w:r w:rsidR="00670573">
        <w:rPr>
          <w:color w:val="auto"/>
        </w:rPr>
        <w:t>.5</w:t>
      </w:r>
      <w:r w:rsidRPr="008B38CD">
        <w:rPr>
          <w:color w:val="auto"/>
        </w:rPr>
        <w:t xml:space="preserve"> m above ground level, every building is assumed to have a</w:t>
      </w:r>
      <w:r w:rsidR="00045247" w:rsidRPr="008B38CD">
        <w:rPr>
          <w:color w:val="auto"/>
        </w:rPr>
        <w:t xml:space="preserve"> thermal unconditioned</w:t>
      </w:r>
      <w:r w:rsidRPr="008B38CD">
        <w:rPr>
          <w:color w:val="auto"/>
        </w:rPr>
        <w:t xml:space="preserve"> basement, extending 1</w:t>
      </w:r>
      <w:r w:rsidR="00670573">
        <w:rPr>
          <w:color w:val="auto"/>
        </w:rPr>
        <w:t>.5</w:t>
      </w:r>
      <w:r w:rsidR="00045247" w:rsidRPr="008B38CD">
        <w:rPr>
          <w:color w:val="auto"/>
        </w:rPr>
        <w:t> </w:t>
      </w:r>
      <w:r w:rsidRPr="008B38CD">
        <w:rPr>
          <w:color w:val="auto"/>
        </w:rPr>
        <w:t xml:space="preserve">m above and 1 m below ground, with below-ground constructions equal to the corresponding above-ground constructions </w:t>
      </w:r>
      <w:r w:rsidR="00670573">
        <w:rPr>
          <w:color w:val="auto"/>
        </w:rPr>
        <w:t xml:space="preserve">but a different </w:t>
      </w:r>
      <w:r w:rsidRPr="008B38CD">
        <w:rPr>
          <w:color w:val="auto"/>
        </w:rPr>
        <w:t xml:space="preserve">boundary condition. </w:t>
      </w:r>
    </w:p>
    <w:p w14:paraId="34231BEC" w14:textId="3BCFD8E3" w:rsidR="001F3583" w:rsidRPr="007D0A57" w:rsidRDefault="001F3583" w:rsidP="002446B9">
      <w:pPr>
        <w:pStyle w:val="SWCHeading11"/>
      </w:pPr>
      <w:r w:rsidRPr="001F3583">
        <w:t>4.</w:t>
      </w:r>
      <w:r w:rsidR="006C0EB0">
        <w:t>4</w:t>
      </w:r>
      <w:r w:rsidRPr="001F3583">
        <w:t xml:space="preserve"> Occupancy and load</w:t>
      </w:r>
    </w:p>
    <w:p w14:paraId="69B50CF8" w14:textId="2AECADF7" w:rsidR="00064358" w:rsidRDefault="00064358" w:rsidP="00064358">
      <w:pPr>
        <w:pStyle w:val="SWCText"/>
        <w:rPr>
          <w:i/>
        </w:rPr>
      </w:pPr>
      <w:r w:rsidRPr="00064358">
        <w:t xml:space="preserve">The occupancy and load model of Johari et al. (2023) was retained unmodified. Hourly occupancy, internal heat gain, lighting, appliance and domestic hot water profiles are </w:t>
      </w:r>
      <w:r w:rsidR="00670573">
        <w:t>derived</w:t>
      </w:r>
      <w:r w:rsidRPr="00064358">
        <w:t xml:space="preserve"> from average daily load profiles generated by a stochastic model originally developed for typical Swedish households, representing 100 </w:t>
      </w:r>
      <w:r>
        <w:t xml:space="preserve">profiles of </w:t>
      </w:r>
      <w:r w:rsidRPr="00064358">
        <w:t xml:space="preserve">single-family houses </w:t>
      </w:r>
      <w:r>
        <w:t xml:space="preserve">and </w:t>
      </w:r>
      <w:r w:rsidRPr="00064358">
        <w:t xml:space="preserve">10 apartments </w:t>
      </w:r>
      <w:r>
        <w:t>in</w:t>
      </w:r>
      <w:r w:rsidRPr="00064358">
        <w:t xml:space="preserve"> multi-family houses, averaged into fixed 24-hour weekday and weekend profiles each and scaled by the number of occupants per building. The </w:t>
      </w:r>
      <w:r w:rsidR="00733131">
        <w:t xml:space="preserve">number of </w:t>
      </w:r>
      <w:r w:rsidRPr="00064358">
        <w:t xml:space="preserve">occupants per building </w:t>
      </w:r>
      <w:r w:rsidR="00733131">
        <w:t>is</w:t>
      </w:r>
      <w:r w:rsidR="00733131" w:rsidRPr="00064358">
        <w:t xml:space="preserve"> </w:t>
      </w:r>
      <w:r w:rsidRPr="00064358">
        <w:t xml:space="preserve">estimated as described in </w:t>
      </w:r>
      <w:r w:rsidR="00650D38">
        <w:t>Chapter</w:t>
      </w:r>
      <w:r w:rsidRPr="00064358">
        <w:t xml:space="preserve"> 3.2. Adapting this to German households, the stochastic 24-hour domestic hot water profile was scaled to the typical per-capita domestic hot water consumption in Germany</w:t>
      </w:r>
      <w:r>
        <w:t xml:space="preserve"> of 40 Liters</w:t>
      </w:r>
      <w:r w:rsidRPr="00064358">
        <w:t xml:space="preserve">, as also used in the domestic hot water profile generator </w:t>
      </w:r>
      <w:proofErr w:type="spellStart"/>
      <w:r w:rsidRPr="00064358">
        <w:t>DHWcalc</w:t>
      </w:r>
      <w:proofErr w:type="spellEnd"/>
      <w:r w:rsidRPr="00064358">
        <w:t xml:space="preserve"> developed at the University of Kassel</w:t>
      </w:r>
      <w:r>
        <w:t xml:space="preserve"> (Jordan and </w:t>
      </w:r>
      <w:proofErr w:type="spellStart"/>
      <w:r>
        <w:t>Vajen</w:t>
      </w:r>
      <w:proofErr w:type="spellEnd"/>
      <w:r>
        <w:t>, 2000)</w:t>
      </w:r>
      <w:r w:rsidR="00670573">
        <w:t xml:space="preserve"> at 42 °C</w:t>
      </w:r>
      <w:r w:rsidRPr="00064358">
        <w:t xml:space="preserve">. </w:t>
      </w:r>
      <w:r w:rsidR="00697130">
        <w:t xml:space="preserve">Solar gains are calculated by </w:t>
      </w:r>
      <w:proofErr w:type="spellStart"/>
      <w:r w:rsidR="00697130">
        <w:t>EnergyPlus</w:t>
      </w:r>
      <w:proofErr w:type="spellEnd"/>
      <w:r w:rsidR="00697130">
        <w:t>, accounting for shading from neighboring buildings that share the same property boundary as the building in question, following Johari et al. (2023).</w:t>
      </w:r>
    </w:p>
    <w:p w14:paraId="64BA0E5E" w14:textId="021D501B" w:rsidR="001F3583" w:rsidRPr="00FF356B" w:rsidRDefault="001F3583" w:rsidP="00FF356B">
      <w:pPr>
        <w:pStyle w:val="SWCHeading11"/>
      </w:pPr>
      <w:r w:rsidRPr="00FF356B">
        <w:t>4.</w:t>
      </w:r>
      <w:r w:rsidR="006C0EB0">
        <w:t>5</w:t>
      </w:r>
      <w:r w:rsidRPr="00FF356B">
        <w:t xml:space="preserve"> HVAC systems</w:t>
      </w:r>
    </w:p>
    <w:p w14:paraId="664416D5" w14:textId="65E53AA6" w:rsidR="001F3583" w:rsidRPr="001F3583" w:rsidRDefault="00441AA7" w:rsidP="0064595E">
      <w:pPr>
        <w:pStyle w:val="SWCText"/>
      </w:pPr>
      <w:r>
        <w:t>Space h</w:t>
      </w:r>
      <w:r w:rsidR="00710F44" w:rsidRPr="00710F44">
        <w:t>eating and domestic</w:t>
      </w:r>
      <w:r w:rsidR="00710F44">
        <w:t xml:space="preserve"> </w:t>
      </w:r>
      <w:r w:rsidR="00710F44" w:rsidRPr="00710F44">
        <w:t>hot</w:t>
      </w:r>
      <w:r w:rsidR="00710F44">
        <w:t xml:space="preserve"> </w:t>
      </w:r>
      <w:r w:rsidR="00710F44" w:rsidRPr="00710F44">
        <w:t xml:space="preserve">water demand simulated with the </w:t>
      </w:r>
      <w:r w:rsidR="00670573">
        <w:t>selection “</w:t>
      </w:r>
      <w:r w:rsidR="00710F44" w:rsidRPr="00710F44">
        <w:t>ideal-loads air system</w:t>
      </w:r>
      <w:r w:rsidR="00670573">
        <w:t>”</w:t>
      </w:r>
      <w:r w:rsidR="00710F44">
        <w:t xml:space="preserve"> of the </w:t>
      </w:r>
      <w:r w:rsidR="00710F44">
        <w:lastRenderedPageBreak/>
        <w:t xml:space="preserve">simulation </w:t>
      </w:r>
      <w:r w:rsidR="00752B50">
        <w:t>software</w:t>
      </w:r>
      <w:r w:rsidR="00710F44">
        <w:t xml:space="preserve"> </w:t>
      </w:r>
      <w:proofErr w:type="spellStart"/>
      <w:r w:rsidR="00710F44">
        <w:t>EnergyPlus</w:t>
      </w:r>
      <w:proofErr w:type="spellEnd"/>
      <w:r w:rsidR="00BE2A18">
        <w:t>.</w:t>
      </w:r>
      <w:r w:rsidR="00710F44" w:rsidRPr="00710F44">
        <w:t xml:space="preserve"> </w:t>
      </w:r>
      <w:r w:rsidR="00BE2A18">
        <w:t>Space h</w:t>
      </w:r>
      <w:r w:rsidR="00BE2A18" w:rsidRPr="00710F44">
        <w:t>eating and domestic</w:t>
      </w:r>
      <w:r w:rsidR="00BE2A18">
        <w:t xml:space="preserve"> </w:t>
      </w:r>
      <w:r w:rsidR="00BE2A18" w:rsidRPr="00710F44">
        <w:t>hot</w:t>
      </w:r>
      <w:r w:rsidR="00BE2A18">
        <w:t xml:space="preserve"> </w:t>
      </w:r>
      <w:r w:rsidR="00BE2A18" w:rsidRPr="00710F44">
        <w:t xml:space="preserve">water </w:t>
      </w:r>
      <w:r w:rsidR="00710F44" w:rsidRPr="00710F44">
        <w:t xml:space="preserve">and electricity demand, are converted to final energy in a </w:t>
      </w:r>
      <w:r>
        <w:t xml:space="preserve">simplified </w:t>
      </w:r>
      <w:r w:rsidR="00710F44" w:rsidRPr="00710F44">
        <w:t>post-processing step</w:t>
      </w:r>
      <w:r w:rsidR="00710F44">
        <w:t>.</w:t>
      </w:r>
      <w:r w:rsidR="00710F44" w:rsidRPr="00710F44">
        <w:t xml:space="preserve"> </w:t>
      </w:r>
      <w:r>
        <w:t>F</w:t>
      </w:r>
      <w:r w:rsidR="00710F44" w:rsidRPr="00710F44">
        <w:t xml:space="preserve">ixed conversion efficiencies </w:t>
      </w:r>
      <w:r w:rsidR="000C2AE5">
        <w:t xml:space="preserve">according to the </w:t>
      </w:r>
      <w:r>
        <w:t>r</w:t>
      </w:r>
      <w:r w:rsidRPr="00441AA7">
        <w:t>eciprocal</w:t>
      </w:r>
      <w:r>
        <w:t xml:space="preserve"> of the </w:t>
      </w:r>
      <w:r w:rsidR="000C2AE5">
        <w:t xml:space="preserve">energy expenditure coefficients defined in the TABULA database </w:t>
      </w:r>
      <w:r w:rsidR="00710F44" w:rsidRPr="00710F44">
        <w:t>apply per assigned energy carrier</w:t>
      </w:r>
      <w:r w:rsidR="000C2AE5">
        <w:t xml:space="preserve">, </w:t>
      </w:r>
      <w:proofErr w:type="spellStart"/>
      <w:r w:rsidR="000C2AE5">
        <w:t>i</w:t>
      </w:r>
      <w:proofErr w:type="spellEnd"/>
      <w:r w:rsidR="000C2AE5">
        <w:t xml:space="preserve">. e. </w:t>
      </w:r>
      <w:r w:rsidR="00710F44" w:rsidRPr="00710F44">
        <w:t xml:space="preserve">gas </w:t>
      </w:r>
      <w:r>
        <w:t xml:space="preserve">with </w:t>
      </w:r>
      <w:r w:rsidR="00710F44" w:rsidRPr="00710F44">
        <w:t>0.9</w:t>
      </w:r>
      <w:r w:rsidR="000C2AE5">
        <w:t>2</w:t>
      </w:r>
      <w:r w:rsidR="00710F44" w:rsidRPr="00710F44">
        <w:t xml:space="preserve">, heating oil </w:t>
      </w:r>
      <w:r>
        <w:t xml:space="preserve">with </w:t>
      </w:r>
      <w:r w:rsidR="00710F44" w:rsidRPr="00710F44">
        <w:t>0.8</w:t>
      </w:r>
      <w:r w:rsidR="000C2AE5">
        <w:t>8</w:t>
      </w:r>
      <w:r w:rsidR="00710F44" w:rsidRPr="00710F44">
        <w:t xml:space="preserve">, district heating </w:t>
      </w:r>
      <w:r>
        <w:t xml:space="preserve">with </w:t>
      </w:r>
      <w:r w:rsidR="00710F44" w:rsidRPr="00710F44">
        <w:t>0.9</w:t>
      </w:r>
      <w:r w:rsidR="000C2AE5">
        <w:t>8</w:t>
      </w:r>
      <w:r>
        <w:t xml:space="preserve"> and</w:t>
      </w:r>
      <w:r w:rsidR="00710F44" w:rsidRPr="00710F44">
        <w:t xml:space="preserve"> other</w:t>
      </w:r>
      <w:r w:rsidR="000C2AE5">
        <w:t xml:space="preserve"> </w:t>
      </w:r>
      <w:r>
        <w:t xml:space="preserve">with </w:t>
      </w:r>
      <w:r w:rsidR="000C2AE5">
        <w:t>1</w:t>
      </w:r>
      <w:r w:rsidR="00BE2A18">
        <w:t>.</w:t>
      </w:r>
      <w:r w:rsidR="005264AD">
        <w:t>0</w:t>
      </w:r>
      <w:r w:rsidR="000C2AE5">
        <w:t xml:space="preserve">. The latter is assumed to be only electricity, as one of the stakeholder </w:t>
      </w:r>
      <w:r>
        <w:t>respondent’s</w:t>
      </w:r>
      <w:r w:rsidR="000C2AE5">
        <w:t xml:space="preserve"> electrical apartment heating as</w:t>
      </w:r>
      <w:r w:rsidR="005264AD">
        <w:t xml:space="preserve"> the</w:t>
      </w:r>
      <w:r w:rsidR="000C2AE5">
        <w:t xml:space="preserve"> </w:t>
      </w:r>
      <w:r>
        <w:t>predominant</w:t>
      </w:r>
      <w:r w:rsidR="000C2AE5">
        <w:t xml:space="preserve"> heating system</w:t>
      </w:r>
      <w:r>
        <w:t xml:space="preserve"> for space heating and domestic hot water</w:t>
      </w:r>
      <w:r w:rsidR="000C2AE5">
        <w:t xml:space="preserve">. </w:t>
      </w:r>
      <w:r>
        <w:t>F</w:t>
      </w:r>
      <w:r w:rsidR="00710F44" w:rsidRPr="00710F44">
        <w:t>or heat pump</w:t>
      </w:r>
      <w:r w:rsidR="00AD0ADB">
        <w:t>s</w:t>
      </w:r>
      <w:r w:rsidR="00710F44" w:rsidRPr="00710F44">
        <w:t xml:space="preserve"> coefficient-of-performance correlations of </w:t>
      </w:r>
      <w:proofErr w:type="spellStart"/>
      <w:r w:rsidR="00710F44" w:rsidRPr="00710F44">
        <w:t>Ruhnau</w:t>
      </w:r>
      <w:proofErr w:type="spellEnd"/>
      <w:r w:rsidR="00710F44" w:rsidRPr="00710F44">
        <w:t xml:space="preserve"> et al. </w:t>
      </w:r>
      <w:r>
        <w:t xml:space="preserve">(2023) </w:t>
      </w:r>
      <w:r w:rsidR="00710F44" w:rsidRPr="00710F44">
        <w:t>as a function of the temperature lift between heat sink and source, already implemented for ground-, water-, and air-source heat pumps following Johari et al. (2023)</w:t>
      </w:r>
      <w:r w:rsidR="003418FF">
        <w:t xml:space="preserve"> were used</w:t>
      </w:r>
      <w:r w:rsidR="00710F44" w:rsidRPr="00710F44">
        <w:t xml:space="preserve">. Where present, solar thermal systems are assumed to cover a fixed fraction of </w:t>
      </w:r>
      <w:r>
        <w:t xml:space="preserve">40 % of </w:t>
      </w:r>
      <w:r w:rsidR="00710F44" w:rsidRPr="00710F44">
        <w:t>domestic</w:t>
      </w:r>
      <w:r>
        <w:t xml:space="preserve"> </w:t>
      </w:r>
      <w:r w:rsidR="00710F44" w:rsidRPr="00710F44">
        <w:t>hot</w:t>
      </w:r>
      <w:r>
        <w:t xml:space="preserve"> </w:t>
      </w:r>
      <w:r w:rsidR="00710F44" w:rsidRPr="00710F44">
        <w:t>water demand,</w:t>
      </w:r>
      <w:r>
        <w:t xml:space="preserve"> defined in the TABULA database. This fixed fraction is</w:t>
      </w:r>
      <w:r w:rsidR="00710F44" w:rsidRPr="00710F44">
        <w:t xml:space="preserve"> deducted before the conversion to final energy. Heating and cooling setpoint temperatures </w:t>
      </w:r>
      <w:r w:rsidR="00BE2A18">
        <w:t>for</w:t>
      </w:r>
      <w:r w:rsidR="00710F44" w:rsidRPr="00710F44">
        <w:t xml:space="preserve"> </w:t>
      </w:r>
      <w:r w:rsidR="00BE2A18">
        <w:t>selection “</w:t>
      </w:r>
      <w:r w:rsidR="00BE2A18" w:rsidRPr="00710F44">
        <w:t>ideal-loads air system</w:t>
      </w:r>
      <w:r w:rsidR="00BE2A18">
        <w:t xml:space="preserve">” </w:t>
      </w:r>
      <w:r w:rsidR="00710F44" w:rsidRPr="00710F44">
        <w:t>follow</w:t>
      </w:r>
      <w:r>
        <w:t xml:space="preserve"> the building-specific definitions described in </w:t>
      </w:r>
      <w:r w:rsidR="00650D38">
        <w:t>Chapter</w:t>
      </w:r>
      <w:r>
        <w:t xml:space="preserve"> 2</w:t>
      </w:r>
      <w:r w:rsidR="001F3583" w:rsidRPr="001F3583">
        <w:t>.</w:t>
      </w:r>
    </w:p>
    <w:p w14:paraId="3AB124CD" w14:textId="5A638B19" w:rsidR="001F3583" w:rsidRPr="00F000D1" w:rsidRDefault="008C429F" w:rsidP="007D0A57">
      <w:pPr>
        <w:pStyle w:val="SWCHeading1"/>
      </w:pPr>
      <w:r>
        <w:t>Building a</w:t>
      </w:r>
      <w:r w:rsidR="00C900FC">
        <w:t>rchetype development</w:t>
      </w:r>
    </w:p>
    <w:p w14:paraId="7A35122F" w14:textId="5A902696" w:rsidR="00814344" w:rsidRPr="00814344" w:rsidRDefault="00711F48" w:rsidP="00225DDC">
      <w:pPr>
        <w:pStyle w:val="SWCText"/>
      </w:pPr>
      <w:r w:rsidRPr="00FA5D3F">
        <w:rPr>
          <w:color w:val="auto"/>
        </w:rPr>
        <w:t>The aim of the</w:t>
      </w:r>
      <w:r w:rsidR="000E4777">
        <w:rPr>
          <w:color w:val="auto"/>
        </w:rPr>
        <w:t xml:space="preserve"> newly developed</w:t>
      </w:r>
      <w:r w:rsidRPr="00FA5D3F">
        <w:rPr>
          <w:color w:val="auto"/>
        </w:rPr>
        <w:t xml:space="preserve"> extended aggregated building model is to increase </w:t>
      </w:r>
      <w:r w:rsidR="00BE2A18" w:rsidRPr="00FA5D3F">
        <w:rPr>
          <w:color w:val="auto"/>
        </w:rPr>
        <w:t>the reliability of building level results for use in individual consulting</w:t>
      </w:r>
      <w:r w:rsidR="00BE2A18">
        <w:rPr>
          <w:color w:val="auto"/>
        </w:rPr>
        <w:t xml:space="preserve"> activities</w:t>
      </w:r>
      <w:r w:rsidR="00BE2A18" w:rsidRPr="00FA5D3F">
        <w:rPr>
          <w:color w:val="auto"/>
        </w:rPr>
        <w:t>, without requiring fully individualized, multi-zone building models</w:t>
      </w:r>
      <w:r w:rsidR="00BE2A18">
        <w:rPr>
          <w:color w:val="auto"/>
        </w:rPr>
        <w:t>. To receive this aim, the</w:t>
      </w:r>
      <w:r w:rsidRPr="00FA5D3F">
        <w:rPr>
          <w:color w:val="auto"/>
        </w:rPr>
        <w:t xml:space="preserve"> share of primary input data, in the sense of the classification of Malhotra</w:t>
      </w:r>
      <w:r w:rsidR="00BE2A18">
        <w:rPr>
          <w:color w:val="auto"/>
        </w:rPr>
        <w:t> </w:t>
      </w:r>
      <w:r w:rsidRPr="00FA5D3F">
        <w:rPr>
          <w:color w:val="auto"/>
        </w:rPr>
        <w:t>et</w:t>
      </w:r>
      <w:r w:rsidR="00BE2A18">
        <w:rPr>
          <w:color w:val="auto"/>
        </w:rPr>
        <w:t> </w:t>
      </w:r>
      <w:r w:rsidRPr="00FA5D3F">
        <w:rPr>
          <w:color w:val="auto"/>
        </w:rPr>
        <w:t>al.</w:t>
      </w:r>
      <w:r w:rsidR="00BE2A18">
        <w:rPr>
          <w:color w:val="auto"/>
        </w:rPr>
        <w:t> </w:t>
      </w:r>
      <w:r w:rsidRPr="00FA5D3F">
        <w:rPr>
          <w:color w:val="auto"/>
        </w:rPr>
        <w:t>(2020)</w:t>
      </w:r>
      <w:r w:rsidR="00BE2A18">
        <w:rPr>
          <w:color w:val="auto"/>
        </w:rPr>
        <w:t xml:space="preserve">, </w:t>
      </w:r>
      <w:r w:rsidR="00BE2A18" w:rsidRPr="00FA5D3F">
        <w:rPr>
          <w:color w:val="auto"/>
        </w:rPr>
        <w:t>is to increase</w:t>
      </w:r>
      <w:r w:rsidR="00BE2A18">
        <w:rPr>
          <w:color w:val="auto"/>
        </w:rPr>
        <w:t xml:space="preserve"> by feeding </w:t>
      </w:r>
      <w:r w:rsidRPr="00FA5D3F">
        <w:rPr>
          <w:color w:val="auto"/>
        </w:rPr>
        <w:t>stakeholder survey data</w:t>
      </w:r>
      <w:r w:rsidR="00BE2A18">
        <w:rPr>
          <w:color w:val="auto"/>
        </w:rPr>
        <w:t xml:space="preserve"> </w:t>
      </w:r>
      <w:r w:rsidRPr="00FA5D3F">
        <w:rPr>
          <w:color w:val="auto"/>
        </w:rPr>
        <w:t xml:space="preserve">into the archetype-based single-zone framework of </w:t>
      </w:r>
      <w:r w:rsidR="00650D38">
        <w:rPr>
          <w:color w:val="auto"/>
        </w:rPr>
        <w:t>Chapter</w:t>
      </w:r>
      <w:r w:rsidRPr="00FA5D3F">
        <w:rPr>
          <w:color w:val="auto"/>
        </w:rPr>
        <w:t xml:space="preserve"> 4. Deviating from the modeling concept described in Lott et al. (2026), where local archetypes are formed through hierarchical clustering of stakeholder-reported priority-two parameters within each national archetype, the low survey response rate obtained here (</w:t>
      </w:r>
      <w:r w:rsidR="000E4777">
        <w:rPr>
          <w:color w:val="auto"/>
        </w:rPr>
        <w:t xml:space="preserve">see </w:t>
      </w:r>
      <w:r w:rsidR="00650D38">
        <w:rPr>
          <w:color w:val="auto"/>
        </w:rPr>
        <w:t>Chapter</w:t>
      </w:r>
      <w:r w:rsidRPr="00FA5D3F">
        <w:rPr>
          <w:color w:val="auto"/>
        </w:rPr>
        <w:t xml:space="preserve"> 2) does not provide a sufficient number of responses per national archetype group for a meaningful clustering step</w:t>
      </w:r>
      <w:r w:rsidR="00FA5D3F" w:rsidRPr="00FA5D3F">
        <w:rPr>
          <w:color w:val="auto"/>
        </w:rPr>
        <w:t>.</w:t>
      </w:r>
      <w:r w:rsidRPr="00FA5D3F">
        <w:rPr>
          <w:color w:val="auto"/>
        </w:rPr>
        <w:t xml:space="preserve"> </w:t>
      </w:r>
      <w:r w:rsidR="00FA5D3F" w:rsidRPr="00FA5D3F">
        <w:rPr>
          <w:color w:val="auto"/>
        </w:rPr>
        <w:t>I</w:t>
      </w:r>
      <w:r w:rsidRPr="00FA5D3F">
        <w:rPr>
          <w:color w:val="auto"/>
        </w:rPr>
        <w:t xml:space="preserve">nstead, the two derivation </w:t>
      </w:r>
      <w:r w:rsidR="00FA5D3F" w:rsidRPr="00FA5D3F">
        <w:rPr>
          <w:color w:val="auto"/>
        </w:rPr>
        <w:t>variants</w:t>
      </w:r>
      <w:r w:rsidRPr="00FA5D3F">
        <w:rPr>
          <w:color w:val="auto"/>
        </w:rPr>
        <w:t xml:space="preserve"> introduced in </w:t>
      </w:r>
      <w:r w:rsidR="00650D38">
        <w:rPr>
          <w:color w:val="auto"/>
        </w:rPr>
        <w:t>Chapter</w:t>
      </w:r>
      <w:r w:rsidRPr="00FA5D3F">
        <w:rPr>
          <w:color w:val="auto"/>
        </w:rPr>
        <w:t xml:space="preserve"> 2.2, </w:t>
      </w:r>
      <w:r w:rsidR="00FA5D3F" w:rsidRPr="00FA5D3F">
        <w:rPr>
          <w:color w:val="auto"/>
        </w:rPr>
        <w:t>l</w:t>
      </w:r>
      <w:r w:rsidRPr="00FA5D3F">
        <w:rPr>
          <w:color w:val="auto"/>
        </w:rPr>
        <w:t xml:space="preserve">ocal </w:t>
      </w:r>
      <w:r w:rsidR="00FA5D3F" w:rsidRPr="00FA5D3F">
        <w:rPr>
          <w:color w:val="auto"/>
        </w:rPr>
        <w:t>building a</w:t>
      </w:r>
      <w:r w:rsidRPr="00FA5D3F">
        <w:rPr>
          <w:color w:val="auto"/>
        </w:rPr>
        <w:t xml:space="preserve">rchetype and </w:t>
      </w:r>
      <w:r w:rsidR="00FA5D3F" w:rsidRPr="00FA5D3F">
        <w:rPr>
          <w:color w:val="auto"/>
        </w:rPr>
        <w:t>s</w:t>
      </w:r>
      <w:r w:rsidRPr="00FA5D3F">
        <w:rPr>
          <w:color w:val="auto"/>
        </w:rPr>
        <w:t>takeholder-</w:t>
      </w:r>
      <w:r w:rsidR="00FA5D3F" w:rsidRPr="00FA5D3F">
        <w:rPr>
          <w:color w:val="auto"/>
        </w:rPr>
        <w:t>s</w:t>
      </w:r>
      <w:r w:rsidRPr="00FA5D3F">
        <w:rPr>
          <w:color w:val="auto"/>
        </w:rPr>
        <w:t>pecific, are used directly.</w:t>
      </w:r>
      <w:r w:rsidR="004225E5">
        <w:rPr>
          <w:color w:val="auto"/>
        </w:rPr>
        <w:t xml:space="preserve"> </w:t>
      </w:r>
      <w:r w:rsidR="004225E5">
        <w:t>Additionally, r</w:t>
      </w:r>
      <w:r w:rsidR="00BF775D" w:rsidRPr="00BF775D">
        <w:t xml:space="preserve">ather than averaging the four envelope components into one combined </w:t>
      </w:r>
      <w:r w:rsidR="00BE2A18">
        <w:t>area</w:t>
      </w:r>
      <w:r w:rsidR="00BF775D" w:rsidRPr="00BF775D">
        <w:t xml:space="preserve"> share and assigning a single, uniform refurbishment level per building, as described for the national building archetype in </w:t>
      </w:r>
      <w:r w:rsidR="00650D38">
        <w:t>Chapter</w:t>
      </w:r>
      <w:r w:rsidR="00BF775D" w:rsidRPr="00BF775D">
        <w:t xml:space="preserve"> 4.2, </w:t>
      </w:r>
      <w:r w:rsidR="00D213D3">
        <w:t>energetic envelope</w:t>
      </w:r>
      <w:r w:rsidR="00BF775D" w:rsidRPr="00BF775D">
        <w:t xml:space="preserve"> state is represented</w:t>
      </w:r>
      <w:r w:rsidR="00C171FF">
        <w:t xml:space="preserve"> here</w:t>
      </w:r>
      <w:r w:rsidR="00BF775D" w:rsidRPr="00BF775D">
        <w:t xml:space="preserve"> as a matrix of four independent envelope component</w:t>
      </w:r>
      <w:r w:rsidR="004225E5">
        <w:t xml:space="preserve">s, </w:t>
      </w:r>
      <w:proofErr w:type="spellStart"/>
      <w:r w:rsidR="004225E5">
        <w:t>i</w:t>
      </w:r>
      <w:proofErr w:type="spellEnd"/>
      <w:r w:rsidR="004225E5">
        <w:t xml:space="preserve">. e. </w:t>
      </w:r>
      <w:r w:rsidR="00BF775D" w:rsidRPr="00BF775D">
        <w:t>window</w:t>
      </w:r>
      <w:r w:rsidR="004225E5">
        <w:t>s</w:t>
      </w:r>
      <w:r w:rsidR="00BF775D" w:rsidRPr="00BF775D">
        <w:t xml:space="preserve">, </w:t>
      </w:r>
      <w:r w:rsidR="004225E5">
        <w:t xml:space="preserve">exterior </w:t>
      </w:r>
      <w:r w:rsidR="00BF775D" w:rsidRPr="00BF775D">
        <w:t>wall</w:t>
      </w:r>
      <w:r w:rsidR="004225E5">
        <w:t>s</w:t>
      </w:r>
      <w:r w:rsidR="00BF775D" w:rsidRPr="00BF775D">
        <w:t>, roof</w:t>
      </w:r>
      <w:r w:rsidR="004225E5">
        <w:t xml:space="preserve"> or top ceiling</w:t>
      </w:r>
      <w:r w:rsidR="00D213D3">
        <w:t xml:space="preserve">, </w:t>
      </w:r>
      <w:r w:rsidR="00BF775D" w:rsidRPr="00BF775D">
        <w:t>floor</w:t>
      </w:r>
      <w:r w:rsidR="00D213D3">
        <w:t xml:space="preserve"> to unheated cellar</w:t>
      </w:r>
      <w:r w:rsidR="004225E5">
        <w:t>,</w:t>
      </w:r>
      <w:r w:rsidR="00BF775D" w:rsidRPr="00BF775D">
        <w:t xml:space="preserve"> each assigned its own refurbishment level. This finer representation is motivated by the responses of the stakeholder survey (</w:t>
      </w:r>
      <w:r w:rsidR="00650D38">
        <w:t>Chapter</w:t>
      </w:r>
      <w:r w:rsidR="00BF775D" w:rsidRPr="00BF775D">
        <w:t xml:space="preserve"> 2.1), which show a predominance of partial, component-level refurbishment</w:t>
      </w:r>
      <w:r w:rsidR="004225E5">
        <w:t>,</w:t>
      </w:r>
      <w:r w:rsidR="00BF775D" w:rsidRPr="00BF775D">
        <w:t xml:space="preserve"> e.g., exterior walls and windows refurbished while the roof or </w:t>
      </w:r>
      <w:r w:rsidR="00D213D3" w:rsidRPr="00BF775D">
        <w:t>floor</w:t>
      </w:r>
      <w:r w:rsidR="00D213D3">
        <w:t xml:space="preserve"> to unheated cellar </w:t>
      </w:r>
      <w:r w:rsidR="00BF775D" w:rsidRPr="00BF775D">
        <w:t xml:space="preserve">remain </w:t>
      </w:r>
      <w:r w:rsidR="004225E5">
        <w:t xml:space="preserve">not </w:t>
      </w:r>
      <w:r w:rsidR="00BF775D" w:rsidRPr="00BF775D">
        <w:t>refurbished</w:t>
      </w:r>
      <w:r w:rsidR="004225E5">
        <w:t>,</w:t>
      </w:r>
      <w:r w:rsidR="00BF775D" w:rsidRPr="00BF775D">
        <w:t xml:space="preserve"> rather than buildings refurbished uniformly across all four components at once. Representing refurbishment state per component therefore allows the actual heterogeneity of the building stock to be captured at the level of the individual building</w:t>
      </w:r>
      <w:r w:rsidR="004225E5">
        <w:t>.</w:t>
      </w:r>
      <w:r w:rsidR="002C7721">
        <w:t xml:space="preserve"> </w:t>
      </w:r>
      <w:r w:rsidR="00225DDC" w:rsidRPr="00344A91">
        <w:rPr>
          <w:color w:val="auto"/>
        </w:rPr>
        <w:t>Where survey-derived refurbishment levels are unavailable for a given building and component, the same target</w:t>
      </w:r>
      <w:r w:rsidR="00344A91" w:rsidRPr="00344A91">
        <w:rPr>
          <w:color w:val="auto"/>
        </w:rPr>
        <w:t xml:space="preserve"> </w:t>
      </w:r>
      <w:r w:rsidR="00225DDC" w:rsidRPr="00344A91">
        <w:rPr>
          <w:color w:val="auto"/>
        </w:rPr>
        <w:t>heat</w:t>
      </w:r>
      <w:r w:rsidR="00344A91" w:rsidRPr="00344A91">
        <w:rPr>
          <w:color w:val="auto"/>
        </w:rPr>
        <w:t xml:space="preserve"> </w:t>
      </w:r>
      <w:r w:rsidR="00225DDC" w:rsidRPr="00344A91">
        <w:rPr>
          <w:color w:val="auto"/>
        </w:rPr>
        <w:t>transfer</w:t>
      </w:r>
      <w:r w:rsidR="00344A91" w:rsidRPr="00344A91">
        <w:rPr>
          <w:color w:val="auto"/>
        </w:rPr>
        <w:t xml:space="preserve"> </w:t>
      </w:r>
      <w:r w:rsidR="00225DDC" w:rsidRPr="00344A91">
        <w:rPr>
          <w:color w:val="auto"/>
        </w:rPr>
        <w:t xml:space="preserve">coefficient comparison described in </w:t>
      </w:r>
      <w:r w:rsidR="00650D38">
        <w:rPr>
          <w:color w:val="auto"/>
        </w:rPr>
        <w:t>Chapter</w:t>
      </w:r>
      <w:r w:rsidR="00225DDC" w:rsidRPr="00344A91">
        <w:rPr>
          <w:color w:val="auto"/>
        </w:rPr>
        <w:t xml:space="preserve"> 4.2 is applied independently to each of the four envelope components, rather than being averaged into one combined area share. Unlike the national archetype, where the resulting single, combined level per building is weighted by heated floor area, each component's own area is used as the weight here, since each component's target heat transfer coefficient and physical extent differ. Where a stakeholder-reported refurbishment level is available for a given component, it is used directly for that component alone</w:t>
      </w:r>
      <w:r w:rsidR="00344A91" w:rsidRPr="00344A91">
        <w:rPr>
          <w:color w:val="auto"/>
        </w:rPr>
        <w:t>.</w:t>
      </w:r>
      <w:r w:rsidR="00225DDC" w:rsidRPr="00344A91">
        <w:rPr>
          <w:color w:val="auto"/>
        </w:rPr>
        <w:t xml:space="preserve"> </w:t>
      </w:r>
      <w:r w:rsidR="00225DDC" w:rsidRPr="00F75165">
        <w:t xml:space="preserve">For buildings with a measured </w:t>
      </w:r>
      <w:r w:rsidR="000C6507">
        <w:t xml:space="preserve">thermal </w:t>
      </w:r>
      <w:r w:rsidR="00225DDC" w:rsidRPr="00F75165">
        <w:t xml:space="preserve">insulation thickness and thermal conductivity, an individually parametrized </w:t>
      </w:r>
      <w:r w:rsidR="0058472D">
        <w:t xml:space="preserve">component construction </w:t>
      </w:r>
      <w:r w:rsidR="0058472D" w:rsidRPr="000C6507">
        <w:t>data set</w:t>
      </w:r>
      <w:r w:rsidR="00225DDC" w:rsidRPr="00F75165">
        <w:t xml:space="preserve"> is generated for the corresponding component</w:t>
      </w:r>
      <w:r w:rsidR="00344A91" w:rsidRPr="00F75165">
        <w:t xml:space="preserve">. </w:t>
      </w:r>
      <w:r w:rsidR="00814344" w:rsidRPr="00F75165">
        <w:rPr>
          <w:color w:val="auto"/>
        </w:rPr>
        <w:t>Combining the sources of refurbishment-state information described yields</w:t>
      </w:r>
      <w:r w:rsidR="00814344">
        <w:rPr>
          <w:color w:val="auto"/>
        </w:rPr>
        <w:t xml:space="preserve"> to</w:t>
      </w:r>
      <w:r w:rsidR="00814344" w:rsidRPr="00F75165">
        <w:rPr>
          <w:color w:val="auto"/>
        </w:rPr>
        <w:t xml:space="preserve"> three modeling variants, all built from the same underlying per-component refurbishment matrix but differing in how it is populated for a given building (Tab</w:t>
      </w:r>
      <w:r w:rsidR="00814344">
        <w:rPr>
          <w:color w:val="auto"/>
        </w:rPr>
        <w:t xml:space="preserve">. </w:t>
      </w:r>
      <w:r w:rsidR="00814344" w:rsidRPr="00F75165">
        <w:rPr>
          <w:color w:val="auto"/>
        </w:rPr>
        <w:t>1).</w:t>
      </w:r>
    </w:p>
    <w:p w14:paraId="0A899997" w14:textId="32EE79D9" w:rsidR="00DE3F39" w:rsidRPr="00F75165" w:rsidRDefault="00DE3F39" w:rsidP="00F700E9">
      <w:pPr>
        <w:pStyle w:val="SWCTableFigureCaption"/>
        <w:rPr>
          <w:color w:val="auto"/>
        </w:rPr>
      </w:pPr>
      <w:r w:rsidRPr="00F75165">
        <w:rPr>
          <w:color w:val="auto"/>
        </w:rPr>
        <w:t>Ta</w:t>
      </w:r>
      <w:r w:rsidR="00F700E9" w:rsidRPr="00F75165">
        <w:rPr>
          <w:color w:val="auto"/>
        </w:rPr>
        <w:t>b.</w:t>
      </w:r>
      <w:r w:rsidRPr="00F75165">
        <w:rPr>
          <w:color w:val="auto"/>
        </w:rPr>
        <w:t xml:space="preserve"> 1: Modeling variants and their refurbishment-state source and </w:t>
      </w:r>
      <w:r w:rsidR="0058472D">
        <w:t xml:space="preserve">component construction </w:t>
      </w:r>
      <w:r w:rsidR="0058472D" w:rsidRPr="000C6507">
        <w:t>data set</w:t>
      </w:r>
      <w:r w:rsidRPr="00F75165">
        <w:rPr>
          <w:color w:val="auto"/>
        </w:rPr>
        <w:t xml:space="preserve"> basis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0"/>
        <w:gridCol w:w="7087"/>
      </w:tblGrid>
      <w:tr w:rsidR="00F75165" w:rsidRPr="00F75165" w14:paraId="0A7D1937" w14:textId="77777777" w:rsidTr="00112267">
        <w:trPr>
          <w:cantSplit/>
          <w:trHeight w:val="20"/>
          <w:tblHeader/>
        </w:trPr>
        <w:tc>
          <w:tcPr>
            <w:tcW w:w="1980" w:type="dxa"/>
            <w:shd w:val="clear" w:color="auto" w:fill="auto"/>
            <w:tcMar>
              <w:top w:w="40" w:type="dxa"/>
              <w:left w:w="60" w:type="dxa"/>
              <w:bottom w:w="40" w:type="dxa"/>
              <w:right w:w="60" w:type="dxa"/>
            </w:tcMar>
            <w:vAlign w:val="center"/>
          </w:tcPr>
          <w:p w14:paraId="5BD5FDA3" w14:textId="77777777" w:rsidR="00F700E9" w:rsidRPr="00F75165" w:rsidRDefault="00F700E9" w:rsidP="00F700E9">
            <w:pPr>
              <w:pStyle w:val="SWCTableHeader"/>
              <w:rPr>
                <w:color w:val="auto"/>
              </w:rPr>
            </w:pPr>
            <w:r w:rsidRPr="00F75165">
              <w:rPr>
                <w:color w:val="auto"/>
              </w:rPr>
              <w:t>Variant</w:t>
            </w:r>
          </w:p>
        </w:tc>
        <w:tc>
          <w:tcPr>
            <w:tcW w:w="7087" w:type="dxa"/>
            <w:shd w:val="clear" w:color="auto" w:fill="auto"/>
            <w:tcMar>
              <w:top w:w="40" w:type="dxa"/>
              <w:left w:w="60" w:type="dxa"/>
              <w:bottom w:w="40" w:type="dxa"/>
              <w:right w:w="60" w:type="dxa"/>
            </w:tcMar>
            <w:vAlign w:val="center"/>
          </w:tcPr>
          <w:p w14:paraId="3B703081" w14:textId="77777777" w:rsidR="00F700E9" w:rsidRPr="00F75165" w:rsidRDefault="00F700E9" w:rsidP="00F700E9">
            <w:pPr>
              <w:pStyle w:val="SWCTableHeader"/>
              <w:rPr>
                <w:color w:val="auto"/>
              </w:rPr>
            </w:pPr>
            <w:r w:rsidRPr="00F75165">
              <w:rPr>
                <w:color w:val="auto"/>
              </w:rPr>
              <w:t>Refurbishment level per component</w:t>
            </w:r>
          </w:p>
        </w:tc>
      </w:tr>
      <w:tr w:rsidR="00F75165" w:rsidRPr="00831D44" w14:paraId="22987A6A" w14:textId="77777777" w:rsidTr="00112267">
        <w:trPr>
          <w:cantSplit/>
          <w:trHeight w:val="20"/>
        </w:trPr>
        <w:tc>
          <w:tcPr>
            <w:tcW w:w="1980" w:type="dxa"/>
            <w:shd w:val="clear" w:color="auto" w:fill="auto"/>
            <w:tcMar>
              <w:top w:w="40" w:type="dxa"/>
              <w:left w:w="60" w:type="dxa"/>
              <w:bottom w:w="40" w:type="dxa"/>
              <w:right w:w="60" w:type="dxa"/>
            </w:tcMar>
            <w:vAlign w:val="center"/>
          </w:tcPr>
          <w:p w14:paraId="7C3CFD16" w14:textId="3F823995" w:rsidR="00F700E9" w:rsidRPr="00F75165" w:rsidRDefault="00F700E9" w:rsidP="00F700E9">
            <w:pPr>
              <w:pStyle w:val="SWCTableText"/>
              <w:rPr>
                <w:color w:val="auto"/>
              </w:rPr>
            </w:pPr>
            <w:r w:rsidRPr="00F75165">
              <w:rPr>
                <w:color w:val="auto"/>
              </w:rPr>
              <w:t>National building archetype</w:t>
            </w:r>
          </w:p>
        </w:tc>
        <w:tc>
          <w:tcPr>
            <w:tcW w:w="7087" w:type="dxa"/>
            <w:shd w:val="clear" w:color="auto" w:fill="auto"/>
            <w:tcMar>
              <w:top w:w="40" w:type="dxa"/>
              <w:left w:w="60" w:type="dxa"/>
              <w:bottom w:w="40" w:type="dxa"/>
              <w:right w:w="60" w:type="dxa"/>
            </w:tcMar>
            <w:vAlign w:val="center"/>
          </w:tcPr>
          <w:p w14:paraId="4AC63857" w14:textId="70380C44" w:rsidR="00F700E9" w:rsidRPr="00F75165" w:rsidRDefault="00225DDC" w:rsidP="00F700E9">
            <w:pPr>
              <w:pStyle w:val="SWCTableText"/>
              <w:rPr>
                <w:color w:val="auto"/>
                <w:lang w:val="en-US"/>
              </w:rPr>
            </w:pPr>
            <w:r w:rsidRPr="00F75165">
              <w:rPr>
                <w:color w:val="auto"/>
              </w:rPr>
              <w:t xml:space="preserve">One uniform level for all four components, adjusted as described in </w:t>
            </w:r>
            <w:r w:rsidR="00650D38">
              <w:rPr>
                <w:color w:val="auto"/>
              </w:rPr>
              <w:t>Chapter</w:t>
            </w:r>
            <w:r w:rsidRPr="00F75165">
              <w:rPr>
                <w:color w:val="auto"/>
              </w:rPr>
              <w:t xml:space="preserve"> 4.2</w:t>
            </w:r>
          </w:p>
        </w:tc>
      </w:tr>
      <w:tr w:rsidR="00F75165" w:rsidRPr="00831D44" w14:paraId="792EA398" w14:textId="77777777" w:rsidTr="00112267">
        <w:trPr>
          <w:cantSplit/>
          <w:trHeight w:val="20"/>
        </w:trPr>
        <w:tc>
          <w:tcPr>
            <w:tcW w:w="1980" w:type="dxa"/>
            <w:shd w:val="clear" w:color="auto" w:fill="auto"/>
            <w:tcMar>
              <w:top w:w="40" w:type="dxa"/>
              <w:left w:w="60" w:type="dxa"/>
              <w:bottom w:w="40" w:type="dxa"/>
              <w:right w:w="60" w:type="dxa"/>
            </w:tcMar>
            <w:vAlign w:val="center"/>
          </w:tcPr>
          <w:p w14:paraId="4E9CE7FC" w14:textId="542E6C0A" w:rsidR="00F700E9" w:rsidRPr="00F75165" w:rsidRDefault="00F700E9" w:rsidP="00F700E9">
            <w:pPr>
              <w:pStyle w:val="SWCTableText"/>
              <w:rPr>
                <w:color w:val="auto"/>
              </w:rPr>
            </w:pPr>
            <w:r w:rsidRPr="00F75165">
              <w:rPr>
                <w:color w:val="auto"/>
              </w:rPr>
              <w:t>Local building archetype</w:t>
            </w:r>
          </w:p>
        </w:tc>
        <w:tc>
          <w:tcPr>
            <w:tcW w:w="7087" w:type="dxa"/>
            <w:shd w:val="clear" w:color="auto" w:fill="auto"/>
            <w:tcMar>
              <w:top w:w="40" w:type="dxa"/>
              <w:left w:w="60" w:type="dxa"/>
              <w:bottom w:w="40" w:type="dxa"/>
              <w:right w:w="60" w:type="dxa"/>
            </w:tcMar>
            <w:vAlign w:val="center"/>
          </w:tcPr>
          <w:p w14:paraId="747C8037" w14:textId="5BB63FA4" w:rsidR="00F700E9" w:rsidRPr="00F75165" w:rsidRDefault="00225DDC" w:rsidP="00F700E9">
            <w:pPr>
              <w:pStyle w:val="SWCTableText"/>
              <w:rPr>
                <w:color w:val="auto"/>
                <w:lang w:val="en-US"/>
              </w:rPr>
            </w:pPr>
            <w:r w:rsidRPr="00F75165">
              <w:rPr>
                <w:color w:val="auto"/>
              </w:rPr>
              <w:t>Independent level per component, survey-derived where available (</w:t>
            </w:r>
            <w:r w:rsidR="006343C7">
              <w:rPr>
                <w:color w:val="auto"/>
              </w:rPr>
              <w:t xml:space="preserve">see </w:t>
            </w:r>
            <w:r w:rsidR="00650D38">
              <w:rPr>
                <w:color w:val="auto"/>
              </w:rPr>
              <w:t>Chapter</w:t>
            </w:r>
            <w:r w:rsidRPr="00F75165">
              <w:rPr>
                <w:color w:val="auto"/>
              </w:rPr>
              <w:t xml:space="preserve"> 2), otherwise adjusted per component as described in </w:t>
            </w:r>
            <w:r w:rsidR="00650D38">
              <w:rPr>
                <w:color w:val="auto"/>
              </w:rPr>
              <w:t>Chapter</w:t>
            </w:r>
            <w:r w:rsidRPr="00F75165">
              <w:rPr>
                <w:color w:val="auto"/>
              </w:rPr>
              <w:t xml:space="preserve"> 5</w:t>
            </w:r>
          </w:p>
        </w:tc>
      </w:tr>
      <w:tr w:rsidR="00F75165" w:rsidRPr="00831D44" w14:paraId="1906D099" w14:textId="77777777" w:rsidTr="00112267">
        <w:trPr>
          <w:cantSplit/>
          <w:trHeight w:val="20"/>
        </w:trPr>
        <w:tc>
          <w:tcPr>
            <w:tcW w:w="1980" w:type="dxa"/>
            <w:shd w:val="clear" w:color="auto" w:fill="auto"/>
            <w:tcMar>
              <w:top w:w="40" w:type="dxa"/>
              <w:left w:w="60" w:type="dxa"/>
              <w:bottom w:w="40" w:type="dxa"/>
              <w:right w:w="60" w:type="dxa"/>
            </w:tcMar>
            <w:vAlign w:val="center"/>
          </w:tcPr>
          <w:p w14:paraId="0D46F74E" w14:textId="77777777" w:rsidR="00F700E9" w:rsidRPr="00F75165" w:rsidRDefault="00F700E9" w:rsidP="00F700E9">
            <w:pPr>
              <w:pStyle w:val="SWCTableText"/>
              <w:rPr>
                <w:color w:val="auto"/>
              </w:rPr>
            </w:pPr>
            <w:r w:rsidRPr="00F75165">
              <w:rPr>
                <w:color w:val="auto"/>
              </w:rPr>
              <w:t>Stakeholder-specific</w:t>
            </w:r>
          </w:p>
        </w:tc>
        <w:tc>
          <w:tcPr>
            <w:tcW w:w="7087" w:type="dxa"/>
            <w:shd w:val="clear" w:color="auto" w:fill="auto"/>
            <w:tcMar>
              <w:top w:w="40" w:type="dxa"/>
              <w:left w:w="60" w:type="dxa"/>
              <w:bottom w:w="40" w:type="dxa"/>
              <w:right w:w="60" w:type="dxa"/>
            </w:tcMar>
            <w:vAlign w:val="center"/>
          </w:tcPr>
          <w:p w14:paraId="768A3330" w14:textId="4C02D89D" w:rsidR="00F700E9" w:rsidRPr="00F75165" w:rsidRDefault="00225DDC" w:rsidP="00F700E9">
            <w:pPr>
              <w:pStyle w:val="SWCTableText"/>
              <w:rPr>
                <w:color w:val="auto"/>
                <w:lang w:val="en-US"/>
              </w:rPr>
            </w:pPr>
            <w:r w:rsidRPr="00F75165">
              <w:rPr>
                <w:color w:val="auto"/>
              </w:rPr>
              <w:t xml:space="preserve">As local </w:t>
            </w:r>
            <w:r w:rsidR="0058472D">
              <w:rPr>
                <w:color w:val="auto"/>
              </w:rPr>
              <w:t xml:space="preserve">building </w:t>
            </w:r>
            <w:r w:rsidRPr="00F75165">
              <w:rPr>
                <w:color w:val="auto"/>
              </w:rPr>
              <w:t>archetype, but</w:t>
            </w:r>
            <w:r w:rsidR="006343C7">
              <w:rPr>
                <w:color w:val="auto"/>
              </w:rPr>
              <w:t xml:space="preserve"> default values for </w:t>
            </w:r>
            <w:r w:rsidR="00D21829">
              <w:rPr>
                <w:color w:val="auto"/>
              </w:rPr>
              <w:t xml:space="preserve">windows </w:t>
            </w:r>
            <w:r w:rsidR="0058472D">
              <w:rPr>
                <w:color w:val="auto"/>
              </w:rPr>
              <w:t xml:space="preserve">external </w:t>
            </w:r>
            <w:r w:rsidRPr="00F75165">
              <w:rPr>
                <w:color w:val="auto"/>
              </w:rPr>
              <w:t>wall</w:t>
            </w:r>
            <w:r w:rsidR="0058472D">
              <w:rPr>
                <w:color w:val="auto"/>
              </w:rPr>
              <w:t>s</w:t>
            </w:r>
            <w:r w:rsidRPr="00F75165">
              <w:rPr>
                <w:color w:val="auto"/>
              </w:rPr>
              <w:t xml:space="preserve">, roof, </w:t>
            </w:r>
            <w:r w:rsidR="00D213D3">
              <w:rPr>
                <w:color w:val="auto"/>
              </w:rPr>
              <w:t>floor to unheated cellar</w:t>
            </w:r>
            <w:r w:rsidR="0058472D">
              <w:rPr>
                <w:color w:val="auto"/>
              </w:rPr>
              <w:t xml:space="preserve"> </w:t>
            </w:r>
            <w:r w:rsidRPr="00F75165">
              <w:rPr>
                <w:color w:val="auto"/>
              </w:rPr>
              <w:t xml:space="preserve">overridden where detailed insulation data </w:t>
            </w:r>
            <w:r w:rsidR="0058472D">
              <w:rPr>
                <w:color w:val="auto"/>
              </w:rPr>
              <w:t>is</w:t>
            </w:r>
            <w:r w:rsidRPr="00F75165">
              <w:rPr>
                <w:color w:val="auto"/>
              </w:rPr>
              <w:t xml:space="preserve"> available</w:t>
            </w:r>
            <w:r w:rsidR="0058472D">
              <w:rPr>
                <w:color w:val="auto"/>
              </w:rPr>
              <w:t xml:space="preserve"> </w:t>
            </w:r>
          </w:p>
        </w:tc>
      </w:tr>
    </w:tbl>
    <w:p w14:paraId="55190D2E" w14:textId="42CF26C4" w:rsidR="002C7721" w:rsidRPr="002C7721" w:rsidRDefault="002C7721" w:rsidP="00814344">
      <w:pPr>
        <w:pStyle w:val="SWCText"/>
        <w:spacing w:before="240"/>
        <w:rPr>
          <w:color w:val="auto"/>
        </w:rPr>
      </w:pPr>
      <w:r w:rsidRPr="00F75165">
        <w:rPr>
          <w:color w:val="auto"/>
        </w:rPr>
        <w:lastRenderedPageBreak/>
        <w:t>The automated evaluation of the stakeholder survey currently covers only th</w:t>
      </w:r>
      <w:r>
        <w:rPr>
          <w:color w:val="auto"/>
        </w:rPr>
        <w:t>e above-described</w:t>
      </w:r>
      <w:r w:rsidRPr="00F75165">
        <w:rPr>
          <w:color w:val="auto"/>
        </w:rPr>
        <w:t xml:space="preserve"> defined subset of questions. The local </w:t>
      </w:r>
      <w:r>
        <w:rPr>
          <w:color w:val="auto"/>
        </w:rPr>
        <w:t xml:space="preserve">building </w:t>
      </w:r>
      <w:r w:rsidRPr="00F75165">
        <w:rPr>
          <w:color w:val="auto"/>
        </w:rPr>
        <w:t xml:space="preserve">archetype and stakeholder-specific </w:t>
      </w:r>
      <w:r>
        <w:rPr>
          <w:color w:val="auto"/>
        </w:rPr>
        <w:t>variants</w:t>
      </w:r>
      <w:r w:rsidRPr="00F75165">
        <w:rPr>
          <w:color w:val="auto"/>
        </w:rPr>
        <w:t xml:space="preserve"> are distinguished exclusively with respect to envelope refurbishment state, while all other mapped parameters are derived identically in both </w:t>
      </w:r>
      <w:r>
        <w:rPr>
          <w:color w:val="auto"/>
        </w:rPr>
        <w:t>variants</w:t>
      </w:r>
      <w:r w:rsidRPr="00F75165">
        <w:rPr>
          <w:color w:val="auto"/>
        </w:rPr>
        <w:t>.</w:t>
      </w:r>
    </w:p>
    <w:p w14:paraId="3707D9FF" w14:textId="352A204F" w:rsidR="00C900FC" w:rsidRPr="00B1751D" w:rsidRDefault="00C900FC" w:rsidP="007D0A57">
      <w:pPr>
        <w:pStyle w:val="SWCHeading1"/>
        <w:rPr>
          <w:color w:val="auto"/>
        </w:rPr>
      </w:pPr>
      <w:r w:rsidRPr="00B1751D">
        <w:rPr>
          <w:color w:val="auto"/>
        </w:rPr>
        <w:t>Results</w:t>
      </w:r>
    </w:p>
    <w:p w14:paraId="2AB2BFAA" w14:textId="35886F83" w:rsidR="004F7B1C" w:rsidRDefault="0060589D" w:rsidP="004F7B1C">
      <w:pPr>
        <w:pStyle w:val="SWCText"/>
      </w:pPr>
      <w:r w:rsidRPr="0060589D">
        <w:t xml:space="preserve">Simulation results are compared at building and block level for the three modeling variants introduced in </w:t>
      </w:r>
      <w:r w:rsidR="00650D38">
        <w:t>Chapter</w:t>
      </w:r>
      <w:r w:rsidR="00B1751D">
        <w:t> </w:t>
      </w:r>
      <w:r w:rsidRPr="0060589D">
        <w:t xml:space="preserve">5, against the validation data described in </w:t>
      </w:r>
      <w:r w:rsidR="00650D38">
        <w:t>Chapter</w:t>
      </w:r>
      <w:r w:rsidRPr="0060589D">
        <w:t xml:space="preserve"> 3.4. </w:t>
      </w:r>
      <w:r w:rsidR="00440F66" w:rsidRPr="00440F66">
        <w:t xml:space="preserve">The analysis is limited to residential buildings, since the archetypes and usage profiles of non-residential buildings have been taken into account methodologically but have not yet been parameterized. Including </w:t>
      </w:r>
      <w:r w:rsidR="00440F66">
        <w:t xml:space="preserve">only </w:t>
      </w:r>
      <w:r w:rsidR="00440F66" w:rsidRPr="00440F66">
        <w:t>building blocks</w:t>
      </w:r>
      <w:r w:rsidR="00492FA1">
        <w:t xml:space="preserve"> one to five in </w:t>
      </w:r>
      <w:r w:rsidR="00CF6C9B">
        <w:t>F</w:t>
      </w:r>
      <w:r w:rsidR="00492FA1">
        <w:t>ig</w:t>
      </w:r>
      <w:r w:rsidR="00405ABB">
        <w:t>.</w:t>
      </w:r>
      <w:r w:rsidR="00492FA1">
        <w:t xml:space="preserve"> 1 (</w:t>
      </w:r>
      <w:r w:rsidR="00650D38">
        <w:t>Chapter</w:t>
      </w:r>
      <w:r w:rsidR="00492FA1">
        <w:t xml:space="preserve"> 2),</w:t>
      </w:r>
      <w:r w:rsidR="00440F66" w:rsidRPr="00440F66">
        <w:t xml:space="preserve"> with a negligible proportion of </w:t>
      </w:r>
      <w:r w:rsidR="00CF6C9B">
        <w:t xml:space="preserve">thermal conditioned </w:t>
      </w:r>
      <w:r w:rsidR="00440F66" w:rsidRPr="00440F66">
        <w:t>non-residential buildings</w:t>
      </w:r>
      <w:r w:rsidR="00492FA1">
        <w:t>,</w:t>
      </w:r>
      <w:r w:rsidR="00440F66" w:rsidRPr="00440F66">
        <w:t xml:space="preserve"> in the analysis reduces the number of buildings from 132 to 103</w:t>
      </w:r>
      <w:r w:rsidR="00440F66">
        <w:t>.</w:t>
      </w:r>
      <w:r w:rsidR="004F7B1C">
        <w:t xml:space="preserve"> Model performance is assessed using two complementary indicators, following </w:t>
      </w:r>
      <w:proofErr w:type="spellStart"/>
      <w:r w:rsidR="004F7B1C">
        <w:t>Rehmann</w:t>
      </w:r>
      <w:proofErr w:type="spellEnd"/>
      <w:r w:rsidR="004F7B1C">
        <w:t xml:space="preserve"> et al. (2025). The Normalized Mean Bias Error (NMBE) and the Coefficient of Variation of the Root Mean Square Error (CV</w:t>
      </w:r>
      <w:r w:rsidR="00D21829">
        <w:t>-</w:t>
      </w:r>
      <w:r w:rsidR="004F7B1C">
        <w:t xml:space="preserve">RMSE). The NMBE quantifies systematic bias, whether a variant consistently over- or underestimates the </w:t>
      </w:r>
      <w:r w:rsidR="00D21829">
        <w:t>reference final energy consumption or consumption-adjusted final energy demand defined in Chapter 3.4</w:t>
      </w:r>
      <w:r w:rsidR="004F7B1C">
        <w:t>, while CV</w:t>
      </w:r>
      <w:r w:rsidR="00D21829">
        <w:t>-</w:t>
      </w:r>
      <w:r w:rsidR="004F7B1C">
        <w:t xml:space="preserve">RMSE quantifies the overall scatter of </w:t>
      </w:r>
      <w:r w:rsidR="00D21829">
        <w:t>simulated final energy demands</w:t>
      </w:r>
      <w:r w:rsidR="004F7B1C">
        <w:t xml:space="preserve"> around that reference, independent of its direction. The two indicators </w:t>
      </w:r>
      <w:r w:rsidR="00D21829">
        <w:t>were chosen, since a</w:t>
      </w:r>
      <w:r w:rsidR="004F7B1C">
        <w:t xml:space="preserve"> variant can show a small NMBE while still carrying a high </w:t>
      </w:r>
      <w:r w:rsidR="00D21829">
        <w:t>CV-RMSE</w:t>
      </w:r>
      <w:r w:rsidR="004F7B1C">
        <w:t xml:space="preserve">, if positive and negative deviations across buildings, street segments, or building blocks happen to offset each other in the mean without doing so individually. Reporting both together, as recommended by </w:t>
      </w:r>
      <w:proofErr w:type="spellStart"/>
      <w:r w:rsidR="004F7B1C">
        <w:t>Rehmann</w:t>
      </w:r>
      <w:proofErr w:type="spellEnd"/>
      <w:r w:rsidR="00D21829">
        <w:t> </w:t>
      </w:r>
      <w:r w:rsidR="004F7B1C">
        <w:t xml:space="preserve">et al. (2025), is therefore necessary for a transparent assessment of whether and at which spatial level the local building archetype and stakeholder-specific variants actually improve on the national building archetype variant. The mean absolute percentage error (MAPE) </w:t>
      </w:r>
      <w:r w:rsidR="00A050F5">
        <w:t>is</w:t>
      </w:r>
      <w:r w:rsidR="004F7B1C">
        <w:t xml:space="preserve"> reported alongside as auxiliary, since a small number of buildings with disproportionately large relative errors is more directly visible in MAPE than in an aggregate scatter-based metric such as </w:t>
      </w:r>
      <w:r w:rsidR="00D21829">
        <w:t>CV-RMSE</w:t>
      </w:r>
      <w:r w:rsidR="004F7B1C">
        <w:t>.</w:t>
      </w:r>
    </w:p>
    <w:p w14:paraId="67A85BE2" w14:textId="2C4EDC35" w:rsidR="00220BB9" w:rsidRDefault="00220BB9" w:rsidP="00814344">
      <w:pPr>
        <w:pStyle w:val="SWCText"/>
        <w:spacing w:after="0"/>
      </w:pPr>
      <w:r w:rsidRPr="00A050F5">
        <w:rPr>
          <w:b/>
          <w:bCs/>
        </w:rPr>
        <w:t>At building level</w:t>
      </w:r>
      <w:r w:rsidRPr="00405ABB">
        <w:t xml:space="preserve">, for the five buildings with stakeholder-reported annual </w:t>
      </w:r>
      <w:r>
        <w:t>final energy</w:t>
      </w:r>
      <w:r w:rsidRPr="00405ABB">
        <w:t xml:space="preserve"> consumption</w:t>
      </w:r>
      <w:r>
        <w:t xml:space="preserve"> for space heating and domestic hot water supply (see Fig. 2 (a))</w:t>
      </w:r>
      <w:r w:rsidRPr="00405ABB">
        <w:t xml:space="preserve">, the national </w:t>
      </w:r>
      <w:r>
        <w:t xml:space="preserve">building </w:t>
      </w:r>
      <w:r w:rsidRPr="00405ABB">
        <w:t xml:space="preserve">archetype shows a moderate negative bias </w:t>
      </w:r>
      <w:r>
        <w:t xml:space="preserve">of </w:t>
      </w:r>
      <w:r w:rsidRPr="00405ABB">
        <w:t>NMBE</w:t>
      </w:r>
      <w:r>
        <w:t xml:space="preserve"> -</w:t>
      </w:r>
      <w:r w:rsidRPr="00405ABB">
        <w:t>11.8</w:t>
      </w:r>
      <w:r>
        <w:t> </w:t>
      </w:r>
      <w:r w:rsidRPr="00405ABB">
        <w:t>%, MAPE 18.6 %</w:t>
      </w:r>
      <w:r>
        <w:t xml:space="preserve"> and</w:t>
      </w:r>
      <w:r w:rsidRPr="00405ABB">
        <w:t xml:space="preserve"> </w:t>
      </w:r>
      <w:r>
        <w:t>CV-RMSE</w:t>
      </w:r>
      <w:r w:rsidRPr="00405ABB">
        <w:t xml:space="preserve"> 33.8 %, while the local and stakeholder-specific variants show a comparable</w:t>
      </w:r>
      <w:r>
        <w:t xml:space="preserve"> </w:t>
      </w:r>
      <w:r w:rsidRPr="00405ABB">
        <w:t xml:space="preserve">magnitude positive bias </w:t>
      </w:r>
      <w:r>
        <w:t xml:space="preserve">of </w:t>
      </w:r>
      <w:r w:rsidRPr="00405ABB">
        <w:t xml:space="preserve">NMBE </w:t>
      </w:r>
      <w:r>
        <w:t>+</w:t>
      </w:r>
      <w:r w:rsidRPr="00405ABB">
        <w:t xml:space="preserve">15.1 % and +15.8 % and a substantially higher MAPE </w:t>
      </w:r>
      <w:r>
        <w:t xml:space="preserve">of </w:t>
      </w:r>
      <w:r w:rsidRPr="00405ABB">
        <w:t xml:space="preserve">38.1 % and 39.5 %. </w:t>
      </w:r>
      <w:r>
        <w:t>CV-RMSE</w:t>
      </w:r>
      <w:r w:rsidRPr="00405ABB">
        <w:t>, however, does not confirm this ranking</w:t>
      </w:r>
      <w:r>
        <w:t>.</w:t>
      </w:r>
      <w:r w:rsidRPr="00405ABB">
        <w:t xml:space="preserve"> </w:t>
      </w:r>
      <w:r>
        <w:t>I</w:t>
      </w:r>
      <w:r w:rsidRPr="00405ABB">
        <w:t>t is highest for the local variant</w:t>
      </w:r>
      <w:r>
        <w:t xml:space="preserve"> with </w:t>
      </w:r>
      <w:r w:rsidRPr="00405ABB">
        <w:t>58.0 %</w:t>
      </w:r>
      <w:r>
        <w:t>,</w:t>
      </w:r>
      <w:r w:rsidRPr="00405ABB">
        <w:t xml:space="preserve"> and lowest for the national variant</w:t>
      </w:r>
      <w:r>
        <w:t xml:space="preserve"> with </w:t>
      </w:r>
      <w:r w:rsidRPr="00405ABB">
        <w:t xml:space="preserve">33.8 %, </w:t>
      </w:r>
      <w:r>
        <w:t>and for</w:t>
      </w:r>
      <w:r w:rsidRPr="00405ABB">
        <w:t xml:space="preserve"> the stakeholder-specific variant in between</w:t>
      </w:r>
      <w:r>
        <w:t xml:space="preserve"> with </w:t>
      </w:r>
      <w:r w:rsidRPr="00405ABB">
        <w:t xml:space="preserve">48.0 %. Since </w:t>
      </w:r>
      <w:r>
        <w:t>CV-RMSE</w:t>
      </w:r>
      <w:r w:rsidRPr="00405ABB">
        <w:t xml:space="preserve"> weights larger absolute deviations more strongly while MAPE is dominated by relative deviations on individual, sometimes small, reference values, this divergence points to a small number of buildings with disproportionately large relative errors driving the MAPE ranking without dominating the overall root-mean-square error</w:t>
      </w:r>
      <w:r>
        <w:t>. This is</w:t>
      </w:r>
      <w:r w:rsidRPr="00405ABB">
        <w:t xml:space="preserve"> visible in Fig. </w:t>
      </w:r>
      <w:r>
        <w:t>2 (</w:t>
      </w:r>
      <w:r w:rsidRPr="00405ABB">
        <w:t>a</w:t>
      </w:r>
      <w:r>
        <w:t>)</w:t>
      </w:r>
      <w:r w:rsidRPr="00405ABB">
        <w:t xml:space="preserve"> as isolated buildings where the simulated bar diverges from the </w:t>
      </w:r>
      <w:r>
        <w:t>reference bars</w:t>
      </w:r>
      <w:r w:rsidRPr="00405ABB">
        <w:t xml:space="preserve"> while most others align reasonably well. The building-by-building deviation is highly heterogeneous. Under the local </w:t>
      </w:r>
      <w:r>
        <w:t xml:space="preserve">building archetype </w:t>
      </w:r>
      <w:r w:rsidRPr="00405ABB">
        <w:t xml:space="preserve">and stakeholder-specific variants, the largest deviation is shown </w:t>
      </w:r>
      <w:r>
        <w:t>for</w:t>
      </w:r>
      <w:r w:rsidRPr="00405ABB">
        <w:t xml:space="preserve"> building </w:t>
      </w:r>
      <w:r>
        <w:t>number </w:t>
      </w:r>
      <w:r w:rsidRPr="00405ABB">
        <w:t>20</w:t>
      </w:r>
      <w:r>
        <w:t>.</w:t>
      </w:r>
      <w:r w:rsidRPr="00405ABB">
        <w:t xml:space="preserve"> </w:t>
      </w:r>
      <w:r>
        <w:t>I</w:t>
      </w:r>
      <w:r w:rsidRPr="00405ABB">
        <w:t xml:space="preserve">ts reference stakeholder-reported annual </w:t>
      </w:r>
      <w:r>
        <w:t>final energy</w:t>
      </w:r>
      <w:r w:rsidRPr="00405ABB">
        <w:t xml:space="preserve"> consumption</w:t>
      </w:r>
      <w:r>
        <w:t xml:space="preserve"> </w:t>
      </w:r>
      <w:r w:rsidRPr="00405ABB">
        <w:t>is a low, apartment-scaled extrapolation</w:t>
      </w:r>
      <w:r>
        <w:t xml:space="preserve"> </w:t>
      </w:r>
      <w:r w:rsidRPr="00405ABB">
        <w:t>(</w:t>
      </w:r>
      <w:r>
        <w:t>Chapter</w:t>
      </w:r>
      <w:r w:rsidRPr="00405ABB">
        <w:t xml:space="preserve"> 3.4), further undermined by an internally inconsistent stakeholder response</w:t>
      </w:r>
      <w:r>
        <w:t>. The stakeholder response reported an</w:t>
      </w:r>
      <w:r w:rsidRPr="00405ABB">
        <w:t xml:space="preserve"> all-electric heating system</w:t>
      </w:r>
      <w:r>
        <w:t>,</w:t>
      </w:r>
      <w:r w:rsidRPr="00405ABB">
        <w:t xml:space="preserve"> </w:t>
      </w:r>
      <w:r>
        <w:t xml:space="preserve">with </w:t>
      </w:r>
      <w:r w:rsidRPr="00405ABB">
        <w:t>electric apartment heating for space heating, electric instantaneous water heaters for domestic hot water</w:t>
      </w:r>
      <w:r>
        <w:t>,</w:t>
      </w:r>
      <w:r w:rsidRPr="00405ABB">
        <w:t xml:space="preserve"> </w:t>
      </w:r>
      <w:r>
        <w:t xml:space="preserve">but a low </w:t>
      </w:r>
      <w:r w:rsidRPr="00405ABB">
        <w:t xml:space="preserve">annual </w:t>
      </w:r>
      <w:r>
        <w:t>electricity</w:t>
      </w:r>
      <w:r w:rsidRPr="00405ABB">
        <w:t xml:space="preserve"> consumption</w:t>
      </w:r>
      <w:r>
        <w:t xml:space="preserve"> </w:t>
      </w:r>
      <w:r w:rsidRPr="00405ABB">
        <w:t xml:space="preserve">alongside </w:t>
      </w:r>
      <w:r>
        <w:t xml:space="preserve">a </w:t>
      </w:r>
      <w:r w:rsidRPr="00405ABB">
        <w:t>separate</w:t>
      </w:r>
      <w:r>
        <w:t xml:space="preserve"> even lower annual </w:t>
      </w:r>
      <w:r w:rsidRPr="00405ABB">
        <w:t xml:space="preserve">gas consumption. The survey also reports this building's envelope as </w:t>
      </w:r>
      <w:r>
        <w:t xml:space="preserve">not </w:t>
      </w:r>
      <w:r w:rsidRPr="00405ABB">
        <w:t xml:space="preserve">refurbished, which these two variants apply directly, yielding the highest simulated </w:t>
      </w:r>
      <w:r>
        <w:t xml:space="preserve">annual </w:t>
      </w:r>
      <w:r w:rsidRPr="00405ABB">
        <w:t xml:space="preserve">final energy demand of all </w:t>
      </w:r>
      <w:proofErr w:type="spellStart"/>
      <w:r>
        <w:t>validatable</w:t>
      </w:r>
      <w:proofErr w:type="spellEnd"/>
      <w:r>
        <w:t xml:space="preserve"> </w:t>
      </w:r>
      <w:r w:rsidRPr="00405ABB">
        <w:t xml:space="preserve">buildings in the study area. Under the national </w:t>
      </w:r>
      <w:r>
        <w:t xml:space="preserve">building </w:t>
      </w:r>
      <w:r w:rsidRPr="00405ABB">
        <w:t>archetype</w:t>
      </w:r>
      <w:r>
        <w:t xml:space="preserve"> variant</w:t>
      </w:r>
      <w:r w:rsidRPr="00405ABB">
        <w:t xml:space="preserve">, where this stakeholder-reported refurbishment state is not used, building </w:t>
      </w:r>
      <w:r>
        <w:t xml:space="preserve">number </w:t>
      </w:r>
      <w:r w:rsidRPr="00405ABB">
        <w:t xml:space="preserve">20 instead receives a standard refurbishment level through the </w:t>
      </w:r>
      <w:r>
        <w:t>adjustment</w:t>
      </w:r>
      <w:r w:rsidRPr="00405ABB">
        <w:t xml:space="preserve"> described in </w:t>
      </w:r>
      <w:r>
        <w:t>Chapter</w:t>
      </w:r>
      <w:r w:rsidRPr="00405ABB">
        <w:t xml:space="preserve"> 4.2, which happens to reproduce its low reference stakeholder-reported annual </w:t>
      </w:r>
      <w:r>
        <w:t>final energy</w:t>
      </w:r>
      <w:r w:rsidRPr="00405ABB">
        <w:t xml:space="preserve"> consumption</w:t>
      </w:r>
      <w:r>
        <w:t xml:space="preserve"> for space heating and domestic hot water supply</w:t>
      </w:r>
      <w:r w:rsidRPr="00405ABB">
        <w:t xml:space="preserve"> more closely</w:t>
      </w:r>
      <w:r>
        <w:t>,</w:t>
      </w:r>
      <w:r w:rsidRPr="00405ABB">
        <w:t xml:space="preserve"> coincidentally rather than because it reflects the building's actual </w:t>
      </w:r>
      <w:r>
        <w:t xml:space="preserve">energetic envelope </w:t>
      </w:r>
      <w:r w:rsidRPr="00405ABB">
        <w:t>state. Compounding this, because the stakeholder-reported heating</w:t>
      </w:r>
      <w:r>
        <w:t xml:space="preserve"> </w:t>
      </w:r>
      <w:r w:rsidRPr="00405ABB">
        <w:t>system</w:t>
      </w:r>
      <w:r>
        <w:t xml:space="preserve"> type and carrier</w:t>
      </w:r>
      <w:r w:rsidRPr="00405ABB">
        <w:t xml:space="preserve"> could not be used for </w:t>
      </w:r>
      <w:r>
        <w:t>the national building archetype variant</w:t>
      </w:r>
      <w:r w:rsidRPr="00405ABB">
        <w:t>, its heating</w:t>
      </w:r>
      <w:r>
        <w:t xml:space="preserve"> </w:t>
      </w:r>
      <w:r w:rsidRPr="00405ABB">
        <w:t>system</w:t>
      </w:r>
      <w:r>
        <w:t xml:space="preserve"> type and carrier</w:t>
      </w:r>
      <w:r w:rsidRPr="00405ABB">
        <w:t xml:space="preserve"> falls back to the </w:t>
      </w:r>
      <w:r>
        <w:t>deterministic census data assignment</w:t>
      </w:r>
      <w:r w:rsidRPr="00405ABB">
        <w:t xml:space="preserve"> (</w:t>
      </w:r>
      <w:r>
        <w:t>Chapter</w:t>
      </w:r>
      <w:r w:rsidRPr="00405ABB">
        <w:t xml:space="preserve"> 3.2), which assigns an oil-f</w:t>
      </w:r>
      <w:r>
        <w:t>ueled</w:t>
      </w:r>
      <w:r w:rsidRPr="00405ABB">
        <w:t xml:space="preserve"> central heating system for the final-energy conversion</w:t>
      </w:r>
      <w:r>
        <w:t>.</w:t>
      </w:r>
      <w:r w:rsidRPr="00405ABB">
        <w:t xml:space="preserve"> </w:t>
      </w:r>
      <w:r>
        <w:t xml:space="preserve">This is </w:t>
      </w:r>
      <w:r w:rsidRPr="00405ABB">
        <w:t xml:space="preserve">contradicting the stakeholder-reported electric heating and illustrating a combination that would undermine trust if shown to this building's residents in the dialogue process. The largest deviation under the national </w:t>
      </w:r>
      <w:r>
        <w:t xml:space="preserve">building </w:t>
      </w:r>
      <w:r w:rsidRPr="00405ABB">
        <w:t xml:space="preserve">archetype </w:t>
      </w:r>
      <w:r>
        <w:t xml:space="preserve">variant </w:t>
      </w:r>
      <w:r w:rsidRPr="00405ABB">
        <w:t xml:space="preserve">instead occurs for building </w:t>
      </w:r>
      <w:r>
        <w:t xml:space="preserve">number </w:t>
      </w:r>
      <w:r w:rsidRPr="00405ABB">
        <w:t xml:space="preserve">90, which is likewise assigned a standard </w:t>
      </w:r>
      <w:r>
        <w:t xml:space="preserve">refurbishment </w:t>
      </w:r>
      <w:r w:rsidRPr="00405ABB">
        <w:t xml:space="preserve">level </w:t>
      </w:r>
      <w:r w:rsidRPr="00405ABB">
        <w:lastRenderedPageBreak/>
        <w:t xml:space="preserve">by the same </w:t>
      </w:r>
      <w:r>
        <w:t>adjustment</w:t>
      </w:r>
      <w:r w:rsidRPr="00405ABB">
        <w:t>, while the survey reports only a window replacement and light wall insulation for it</w:t>
      </w:r>
      <w:r>
        <w:t>,</w:t>
      </w:r>
      <w:r w:rsidRPr="00405ABB">
        <w:t xml:space="preserve"> materially less than standard</w:t>
      </w:r>
      <w:r>
        <w:t xml:space="preserve"> refurbishment, </w:t>
      </w:r>
      <w:r w:rsidRPr="00405ABB">
        <w:t>so the assigned level overestimates its actual refurbishment progress.</w:t>
      </w:r>
      <w:r>
        <w:t xml:space="preserve"> </w:t>
      </w:r>
      <w:r w:rsidRPr="00A050F5">
        <w:rPr>
          <w:b/>
          <w:bCs/>
        </w:rPr>
        <w:t>At building block level</w:t>
      </w:r>
      <w:r w:rsidR="00F33032">
        <w:rPr>
          <w:b/>
          <w:bCs/>
        </w:rPr>
        <w:t xml:space="preserve"> </w:t>
      </w:r>
      <w:r w:rsidR="00F33032" w:rsidRPr="00F33032">
        <w:t>(see Fig. 2 (b))</w:t>
      </w:r>
      <w:r>
        <w:t xml:space="preserve">, for the five building blocks with available </w:t>
      </w:r>
      <w:r w:rsidRPr="00405ABB">
        <w:t xml:space="preserve">annual </w:t>
      </w:r>
      <w:r>
        <w:t>final energy</w:t>
      </w:r>
      <w:r w:rsidRPr="00405ABB">
        <w:t xml:space="preserve"> consumption</w:t>
      </w:r>
      <w:r>
        <w:t xml:space="preserve"> for space heating and domestic hot water supply, the national building archetype again shows a negative bias, of NMBE - 15.2 %, MAPE 14.3 % and CV-RMSE 17.9 %, while the local building archetype variant performs best with NMBE -4.4 %, MAPE 7.8 % and CV-RMSE 11.6 %, followed by the stakeholder-specific variant with NMBE - 11.1 %, MAPE 11.2 % and CV-RMSE 15.2 %. </w:t>
      </w:r>
      <w:r w:rsidRPr="00A050F5">
        <w:rPr>
          <w:b/>
          <w:bCs/>
        </w:rPr>
        <w:t>At street-segment level</w:t>
      </w:r>
      <w:r>
        <w:t xml:space="preserve">, for nine </w:t>
      </w:r>
      <w:proofErr w:type="spellStart"/>
      <w:r>
        <w:t>validatable</w:t>
      </w:r>
      <w:proofErr w:type="spellEnd"/>
      <w:r>
        <w:t xml:space="preserve"> street segments (see Fig. 2 (c)), all three variants are validated against the </w:t>
      </w:r>
      <w:r w:rsidRPr="00405ABB">
        <w:t>annual consumption</w:t>
      </w:r>
      <w:r>
        <w:t>-adjusted final energy</w:t>
      </w:r>
      <w:r w:rsidRPr="00405ABB">
        <w:t xml:space="preserve"> </w:t>
      </w:r>
      <w:r>
        <w:t>demand for space heating and domestic hot water supply of the comparison model. The local building archetype variant again performs best with NMBE -5.7 %, MAPE 12.4 % and CV-RMSE 13.7 %, followed by the stakeholder-specific variant with NMBE -10.9 %, MAPE 14.5 % and CV-RMSE 15.9 %, and with the national building archetype showing the largest deviation with NMBE -18.7 %, MAPE 21.3 % and CV-RMSE 20.6 %, the same ranking as at block level.</w:t>
      </w:r>
    </w:p>
    <w:p w14:paraId="416BE9C9" w14:textId="3949AD88" w:rsidR="0060589D" w:rsidRPr="0060589D" w:rsidRDefault="00174069" w:rsidP="00174069">
      <w:pPr>
        <w:pStyle w:val="SWCText"/>
        <w:jc w:val="center"/>
      </w:pPr>
      <w:r>
        <w:rPr>
          <w:noProof/>
        </w:rPr>
        <w:drawing>
          <wp:inline distT="0" distB="0" distL="0" distR="0" wp14:anchorId="7598536E" wp14:editId="224E986F">
            <wp:extent cx="4319516" cy="4786716"/>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4" cstate="print">
                      <a:extLst>
                        <a:ext uri="{28A0092B-C50C-407E-A947-70E740481C1C}">
                          <a14:useLocalDpi xmlns:a14="http://schemas.microsoft.com/office/drawing/2010/main" val="0"/>
                        </a:ext>
                      </a:extLst>
                    </a:blip>
                    <a:srcRect l="384" t="967" r="9308" b="1129"/>
                    <a:stretch/>
                  </pic:blipFill>
                  <pic:spPr bwMode="auto">
                    <a:xfrm>
                      <a:off x="0" y="0"/>
                      <a:ext cx="4325051" cy="4792850"/>
                    </a:xfrm>
                    <a:prstGeom prst="rect">
                      <a:avLst/>
                    </a:prstGeom>
                    <a:ln>
                      <a:noFill/>
                    </a:ln>
                    <a:extLst>
                      <a:ext uri="{53640926-AAD7-44D8-BBD7-CCE9431645EC}">
                        <a14:shadowObscured xmlns:a14="http://schemas.microsoft.com/office/drawing/2010/main"/>
                      </a:ext>
                    </a:extLst>
                  </pic:spPr>
                </pic:pic>
              </a:graphicData>
            </a:graphic>
          </wp:inline>
        </w:drawing>
      </w:r>
    </w:p>
    <w:p w14:paraId="1360E6A5" w14:textId="3ABEF392" w:rsidR="003617BF" w:rsidRPr="00F5243C" w:rsidRDefault="0060589D" w:rsidP="00F5243C">
      <w:pPr>
        <w:pStyle w:val="SWCTableHeader"/>
        <w:rPr>
          <w:sz w:val="16"/>
          <w:szCs w:val="16"/>
        </w:rPr>
      </w:pPr>
      <w:r w:rsidRPr="0060589D">
        <w:rPr>
          <w:sz w:val="16"/>
          <w:szCs w:val="16"/>
        </w:rPr>
        <w:t xml:space="preserve">Fig. </w:t>
      </w:r>
      <w:r w:rsidR="00F32088">
        <w:rPr>
          <w:sz w:val="16"/>
          <w:szCs w:val="16"/>
        </w:rPr>
        <w:t>2</w:t>
      </w:r>
      <w:r w:rsidRPr="0060589D">
        <w:rPr>
          <w:sz w:val="16"/>
          <w:szCs w:val="16"/>
        </w:rPr>
        <w:t xml:space="preserve">: </w:t>
      </w:r>
      <w:r w:rsidR="00D21829">
        <w:rPr>
          <w:sz w:val="16"/>
          <w:szCs w:val="16"/>
        </w:rPr>
        <w:t>Fi</w:t>
      </w:r>
      <w:r w:rsidR="00405ABB" w:rsidRPr="00405ABB">
        <w:rPr>
          <w:sz w:val="16"/>
          <w:szCs w:val="16"/>
        </w:rPr>
        <w:t xml:space="preserve">nal energy for the three </w:t>
      </w:r>
      <w:proofErr w:type="spellStart"/>
      <w:r w:rsidR="00405ABB" w:rsidRPr="00405ABB">
        <w:rPr>
          <w:sz w:val="16"/>
          <w:szCs w:val="16"/>
        </w:rPr>
        <w:t>modeling</w:t>
      </w:r>
      <w:proofErr w:type="spellEnd"/>
      <w:r w:rsidR="00405ABB" w:rsidRPr="00405ABB">
        <w:rPr>
          <w:sz w:val="16"/>
          <w:szCs w:val="16"/>
        </w:rPr>
        <w:t xml:space="preserve"> variants</w:t>
      </w:r>
      <w:r w:rsidR="00174069">
        <w:rPr>
          <w:sz w:val="16"/>
          <w:szCs w:val="16"/>
        </w:rPr>
        <w:t>,</w:t>
      </w:r>
      <w:r w:rsidR="00405ABB" w:rsidRPr="00405ABB">
        <w:rPr>
          <w:sz w:val="16"/>
          <w:szCs w:val="16"/>
        </w:rPr>
        <w:t xml:space="preserve"> national</w:t>
      </w:r>
      <w:r w:rsidR="00174069">
        <w:rPr>
          <w:sz w:val="16"/>
          <w:szCs w:val="16"/>
        </w:rPr>
        <w:t xml:space="preserve"> and </w:t>
      </w:r>
      <w:r w:rsidR="00405ABB" w:rsidRPr="00405ABB">
        <w:rPr>
          <w:sz w:val="16"/>
          <w:szCs w:val="16"/>
        </w:rPr>
        <w:t>local</w:t>
      </w:r>
      <w:r w:rsidR="00174069">
        <w:rPr>
          <w:sz w:val="16"/>
          <w:szCs w:val="16"/>
        </w:rPr>
        <w:t xml:space="preserve"> building archetype and</w:t>
      </w:r>
      <w:r w:rsidR="00405ABB" w:rsidRPr="00405ABB">
        <w:rPr>
          <w:sz w:val="16"/>
          <w:szCs w:val="16"/>
        </w:rPr>
        <w:t xml:space="preserve"> stakeholder-specific</w:t>
      </w:r>
      <w:r w:rsidR="00174069">
        <w:rPr>
          <w:sz w:val="16"/>
          <w:szCs w:val="16"/>
        </w:rPr>
        <w:t>,</w:t>
      </w:r>
      <w:r w:rsidR="00405ABB" w:rsidRPr="00405ABB">
        <w:rPr>
          <w:sz w:val="16"/>
          <w:szCs w:val="16"/>
        </w:rPr>
        <w:t xml:space="preserve"> against the respective </w:t>
      </w:r>
      <w:r w:rsidR="00D21829">
        <w:rPr>
          <w:sz w:val="16"/>
          <w:szCs w:val="16"/>
        </w:rPr>
        <w:t>reference</w:t>
      </w:r>
      <w:r w:rsidR="00405ABB" w:rsidRPr="00405ABB">
        <w:rPr>
          <w:sz w:val="16"/>
          <w:szCs w:val="16"/>
        </w:rPr>
        <w:t>, at building level (a), block level (</w:t>
      </w:r>
      <w:r w:rsidR="00905883">
        <w:rPr>
          <w:sz w:val="16"/>
          <w:szCs w:val="16"/>
        </w:rPr>
        <w:t>b</w:t>
      </w:r>
      <w:r w:rsidR="00405ABB" w:rsidRPr="00405ABB">
        <w:rPr>
          <w:sz w:val="16"/>
          <w:szCs w:val="16"/>
        </w:rPr>
        <w:t>), and street-segment level (c)</w:t>
      </w:r>
    </w:p>
    <w:p w14:paraId="5D00CB34" w14:textId="01987D3F" w:rsidR="00405ABB" w:rsidRPr="00405ABB" w:rsidRDefault="00A050F5" w:rsidP="00A050F5">
      <w:pPr>
        <w:pStyle w:val="SWCText"/>
      </w:pPr>
      <w:r>
        <w:t xml:space="preserve">For the national building archetype, MAPE rises marginally from building to street level before falling at block level, again interrupting the otherwise expected decrease of deviation with increasing spatial aggregation as building-specific deviations average out (see Chapter 1.2; </w:t>
      </w:r>
      <w:proofErr w:type="spellStart"/>
      <w:r>
        <w:t>Oraiopoulos</w:t>
      </w:r>
      <w:proofErr w:type="spellEnd"/>
      <w:r>
        <w:t xml:space="preserve"> and Howard, 2022). By contrast, CV-RMSE</w:t>
      </w:r>
      <w:r w:rsidR="00180918">
        <w:t xml:space="preserve"> </w:t>
      </w:r>
      <w:r>
        <w:t>decreases monotonically across all three levels for the national building archetype as well</w:t>
      </w:r>
      <w:r w:rsidR="00180918">
        <w:t xml:space="preserve"> </w:t>
      </w:r>
      <w:r>
        <w:t xml:space="preserve">at block level, so the exception is confined to MAPE. For the local building archetype and stakeholder-specific variants, both MAPE and CV-RMSE decrease monotonically from building to street to block level, consistent with the same expectation. Even the building-level deviations reported here, from MAPE 18.6 % to 39.5 %, remain well within the wide range </w:t>
      </w:r>
      <w:proofErr w:type="spellStart"/>
      <w:r>
        <w:t>Oraiopoulos</w:t>
      </w:r>
      <w:proofErr w:type="spellEnd"/>
      <w:r>
        <w:t xml:space="preserve"> and Howard (2022) report for typical UBEM results at building level (Chapter 1.2), falling, as expected, to a few percent at block level.</w:t>
      </w:r>
    </w:p>
    <w:p w14:paraId="3DAB9886" w14:textId="11CA8272" w:rsidR="001A6BFD" w:rsidRPr="002E289E" w:rsidRDefault="001A6BFD" w:rsidP="007D0A57">
      <w:pPr>
        <w:pStyle w:val="SWCHeading1"/>
        <w:rPr>
          <w:color w:val="auto"/>
        </w:rPr>
      </w:pPr>
      <w:r w:rsidRPr="002E289E">
        <w:rPr>
          <w:color w:val="auto"/>
        </w:rPr>
        <w:lastRenderedPageBreak/>
        <w:t>Conclusion</w:t>
      </w:r>
      <w:r w:rsidR="0060589D" w:rsidRPr="002E289E">
        <w:rPr>
          <w:color w:val="auto"/>
        </w:rPr>
        <w:t xml:space="preserve"> and Outlook</w:t>
      </w:r>
    </w:p>
    <w:p w14:paraId="7DAC2C60" w14:textId="5F29CCE2" w:rsidR="00405ABB" w:rsidRPr="002E289E" w:rsidRDefault="00405ABB" w:rsidP="00405ABB">
      <w:pPr>
        <w:pStyle w:val="SWCText"/>
      </w:pPr>
      <w:r>
        <w:t>This article presented a</w:t>
      </w:r>
      <w:r w:rsidR="00C84B2C">
        <w:t xml:space="preserve"> newly developed </w:t>
      </w:r>
      <w:r>
        <w:t xml:space="preserve">extended aggregated building model that refines national building archetypes into </w:t>
      </w:r>
      <w:r w:rsidR="004F7C05">
        <w:t xml:space="preserve">a </w:t>
      </w:r>
      <w:r>
        <w:t xml:space="preserve">local </w:t>
      </w:r>
      <w:r w:rsidR="004F7C05">
        <w:t xml:space="preserve">building archetype </w:t>
      </w:r>
      <w:r>
        <w:t xml:space="preserve">and </w:t>
      </w:r>
      <w:r w:rsidR="004F7C05">
        <w:t xml:space="preserve">a </w:t>
      </w:r>
      <w:r>
        <w:t xml:space="preserve">stakeholder-specific </w:t>
      </w:r>
      <w:r w:rsidR="004F7C05">
        <w:t>variant</w:t>
      </w:r>
      <w:r>
        <w:t xml:space="preserve"> using stakeholder survey data. At </w:t>
      </w:r>
      <w:r w:rsidR="004F7C05">
        <w:t xml:space="preserve">building </w:t>
      </w:r>
      <w:r>
        <w:t>block level, both refined variants</w:t>
      </w:r>
      <w:r w:rsidR="00142CD0">
        <w:t xml:space="preserve">, </w:t>
      </w:r>
      <w:r w:rsidR="00142CD0" w:rsidRPr="006F08C2">
        <w:t xml:space="preserve">the local </w:t>
      </w:r>
      <w:r w:rsidR="00142CD0">
        <w:t xml:space="preserve">building archetype </w:t>
      </w:r>
      <w:r w:rsidR="00142CD0" w:rsidRPr="006F08C2">
        <w:t>and stakeholder-specific</w:t>
      </w:r>
      <w:r w:rsidR="00142CD0">
        <w:t>,</w:t>
      </w:r>
      <w:r>
        <w:t xml:space="preserve"> improve </w:t>
      </w:r>
      <w:r w:rsidR="00142CD0">
        <w:t xml:space="preserve">compared to </w:t>
      </w:r>
      <w:r>
        <w:t xml:space="preserve">the national </w:t>
      </w:r>
      <w:r w:rsidR="004F7C05">
        <w:t xml:space="preserve">building </w:t>
      </w:r>
      <w:r>
        <w:t xml:space="preserve">archetype on every indicator, with the local variant achieving the closest overall agreement </w:t>
      </w:r>
      <w:r w:rsidR="004F7C05">
        <w:t>with validation data</w:t>
      </w:r>
      <w:r>
        <w:t xml:space="preserve">. The same ranking is corroborated independently at street-segment level against the </w:t>
      </w:r>
      <w:r w:rsidR="00142CD0">
        <w:t xml:space="preserve">consumption-adjusted final energy demand for space heating and domestic hot water supply of the </w:t>
      </w:r>
      <w:r>
        <w:t xml:space="preserve">comparison model. </w:t>
      </w:r>
      <w:r w:rsidR="002E289E" w:rsidRPr="002E289E">
        <w:t xml:space="preserve">At building level, however, both refined variants show a larger average percentage deviation between simulated </w:t>
      </w:r>
      <w:r w:rsidR="00142CD0">
        <w:t xml:space="preserve">final energy demand </w:t>
      </w:r>
      <w:r w:rsidR="002E289E" w:rsidRPr="002E289E">
        <w:t xml:space="preserve">and reported </w:t>
      </w:r>
      <w:r w:rsidR="004B6827">
        <w:t>final energy</w:t>
      </w:r>
      <w:r w:rsidR="00142CD0">
        <w:t xml:space="preserve"> consumption</w:t>
      </w:r>
      <w:r w:rsidR="002E289E" w:rsidRPr="002E289E">
        <w:t xml:space="preserve"> than the national building archetype variant, and the direction of their systematic bias is reversed relative to it</w:t>
      </w:r>
      <w:r w:rsidR="002E289E">
        <w:t>.</w:t>
      </w:r>
      <w:r w:rsidR="002E289E" w:rsidRPr="002E289E">
        <w:t xml:space="preserve"> </w:t>
      </w:r>
      <w:r w:rsidR="002E289E">
        <w:t>W</w:t>
      </w:r>
      <w:r w:rsidR="002E289E" w:rsidRPr="002E289E">
        <w:t xml:space="preserve">hile the national variant on average underestimates reported </w:t>
      </w:r>
      <w:r w:rsidR="00142CD0">
        <w:t>final energy consumption</w:t>
      </w:r>
      <w:r w:rsidR="002E289E" w:rsidRPr="002E289E">
        <w:t>, the local and stakeholder-specific variants on average overestimate it. Looking instead at the overall scatter of deviations</w:t>
      </w:r>
      <w:r w:rsidR="002E289E">
        <w:t xml:space="preserve">, </w:t>
      </w:r>
      <w:r w:rsidR="002E289E" w:rsidRPr="002E289E">
        <w:t>the ranking among the three variants changes and no longer consistently matches the percentage-based one.</w:t>
      </w:r>
      <w:r w:rsidR="002E289E">
        <w:t xml:space="preserve"> The scatter deviations </w:t>
      </w:r>
      <w:r w:rsidR="002E289E" w:rsidRPr="002E289E">
        <w:t>weights larger absolute deviations more heavily than the percentage-based comparison do</w:t>
      </w:r>
      <w:r w:rsidR="002E289E">
        <w:t xml:space="preserve">. </w:t>
      </w:r>
      <w:r w:rsidR="002E289E">
        <w:rPr>
          <w:color w:val="auto"/>
        </w:rPr>
        <w:t>Whereby</w:t>
      </w:r>
      <w:r w:rsidRPr="00283CA4">
        <w:rPr>
          <w:color w:val="auto"/>
        </w:rPr>
        <w:t xml:space="preserve"> </w:t>
      </w:r>
      <w:r w:rsidR="002E289E">
        <w:rPr>
          <w:color w:val="auto"/>
        </w:rPr>
        <w:t xml:space="preserve">the </w:t>
      </w:r>
      <w:r w:rsidRPr="00283CA4">
        <w:rPr>
          <w:color w:val="auto"/>
        </w:rPr>
        <w:t>building-level result is shaped by two specific outlier buildings</w:t>
      </w:r>
      <w:r w:rsidR="009B4E67" w:rsidRPr="00283CA4">
        <w:rPr>
          <w:color w:val="auto"/>
        </w:rPr>
        <w:t xml:space="preserve">. </w:t>
      </w:r>
      <w:r w:rsidRPr="00283CA4">
        <w:rPr>
          <w:color w:val="auto"/>
        </w:rPr>
        <w:t xml:space="preserve">Building </w:t>
      </w:r>
      <w:r w:rsidR="00142CD0">
        <w:rPr>
          <w:color w:val="auto"/>
        </w:rPr>
        <w:t>number</w:t>
      </w:r>
      <w:r w:rsidR="009B4E67" w:rsidRPr="00283CA4">
        <w:rPr>
          <w:color w:val="auto"/>
        </w:rPr>
        <w:t xml:space="preserve"> </w:t>
      </w:r>
      <w:r w:rsidRPr="00283CA4">
        <w:rPr>
          <w:color w:val="auto"/>
        </w:rPr>
        <w:t xml:space="preserve">20 dominates the deviation under the local </w:t>
      </w:r>
      <w:r w:rsidR="009B4E67" w:rsidRPr="00283CA4">
        <w:rPr>
          <w:color w:val="auto"/>
        </w:rPr>
        <w:t xml:space="preserve">building archetype </w:t>
      </w:r>
      <w:r w:rsidRPr="00283CA4">
        <w:rPr>
          <w:color w:val="auto"/>
        </w:rPr>
        <w:t>and stakeholder-specific variants</w:t>
      </w:r>
      <w:r w:rsidR="009B4E67" w:rsidRPr="00283CA4">
        <w:rPr>
          <w:color w:val="auto"/>
        </w:rPr>
        <w:t>.</w:t>
      </w:r>
      <w:r w:rsidRPr="00283CA4">
        <w:rPr>
          <w:color w:val="auto"/>
        </w:rPr>
        <w:t xml:space="preserve"> Under the national </w:t>
      </w:r>
      <w:r w:rsidR="0083141C">
        <w:rPr>
          <w:color w:val="auto"/>
        </w:rPr>
        <w:t xml:space="preserve">building </w:t>
      </w:r>
      <w:r w:rsidRPr="00283CA4">
        <w:rPr>
          <w:color w:val="auto"/>
        </w:rPr>
        <w:t xml:space="preserve">archetype, by contrast, this building's reported refurbishment state is not used, and the assigned standard level </w:t>
      </w:r>
      <w:r w:rsidR="00283CA4" w:rsidRPr="00283CA4">
        <w:rPr>
          <w:color w:val="auto"/>
        </w:rPr>
        <w:t xml:space="preserve">of refurbishment </w:t>
      </w:r>
      <w:r w:rsidR="00A055C1">
        <w:rPr>
          <w:color w:val="auto"/>
        </w:rPr>
        <w:t xml:space="preserve">by the described method in </w:t>
      </w:r>
      <w:r w:rsidR="00650D38">
        <w:rPr>
          <w:color w:val="auto"/>
        </w:rPr>
        <w:t>Chapter</w:t>
      </w:r>
      <w:r w:rsidR="00A055C1">
        <w:rPr>
          <w:color w:val="auto"/>
        </w:rPr>
        <w:t xml:space="preserve"> 4.2 </w:t>
      </w:r>
      <w:r w:rsidRPr="00283CA4">
        <w:rPr>
          <w:color w:val="auto"/>
        </w:rPr>
        <w:t>happens to match its low reference value without reflecting its actual state</w:t>
      </w:r>
      <w:r w:rsidR="00283CA4" w:rsidRPr="00283CA4">
        <w:rPr>
          <w:color w:val="auto"/>
        </w:rPr>
        <w:t>.</w:t>
      </w:r>
      <w:r w:rsidRPr="00283CA4">
        <w:rPr>
          <w:color w:val="auto"/>
        </w:rPr>
        <w:t xml:space="preserve"> </w:t>
      </w:r>
      <w:r w:rsidR="00A055C1">
        <w:t xml:space="preserve">Based on these indicators, the expected added reliability of simulation results by incorporating stakeholder data at building level could therefore not be confirmed. At the same time, this article shows that data comparable to the </w:t>
      </w:r>
      <w:r w:rsidR="00461691">
        <w:t xml:space="preserve">one resulting from the </w:t>
      </w:r>
      <w:r w:rsidR="00A055C1">
        <w:t>stakeholder survey is necessary for building-specific stakeholder consulting, since without it, refurbishment states and heating systems are assigned through randomized apportionment (</w:t>
      </w:r>
      <w:r w:rsidR="00650D38">
        <w:t>Chapter</w:t>
      </w:r>
      <w:r w:rsidR="00A055C1">
        <w:t xml:space="preserve"> 4.2), which risks trust in simulation results and the transformation proposals derived from them.</w:t>
      </w:r>
    </w:p>
    <w:p w14:paraId="4A9EFAB8" w14:textId="7AA347BF" w:rsidR="00283CA4" w:rsidRDefault="00405ABB" w:rsidP="00405ABB">
      <w:pPr>
        <w:pStyle w:val="SWCText"/>
      </w:pPr>
      <w:r>
        <w:t>Part of the remaining deviation must also be expected due to two unaddressed limitations</w:t>
      </w:r>
      <w:r w:rsidR="009B4E67">
        <w:t>.</w:t>
      </w:r>
      <w:r>
        <w:t xml:space="preserve"> </w:t>
      </w:r>
      <w:r w:rsidR="009B4E67">
        <w:t>T</w:t>
      </w:r>
      <w:r>
        <w:t>he test reference year weather does not match the specific consumption year, and the energy performance gap</w:t>
      </w:r>
      <w:r w:rsidR="00DD4867">
        <w:t xml:space="preserve"> as mentioned in Lott et al. (2026) </w:t>
      </w:r>
      <w:r>
        <w:t>is not yet represented in the simulation. Beyond these, two directions are prioritized for further validation. First, given the low survey response rate (</w:t>
      </w:r>
      <w:r w:rsidR="00650D38">
        <w:t>Chapter</w:t>
      </w:r>
      <w:r>
        <w:t xml:space="preserve"> 2.1) and the </w:t>
      </w:r>
      <w:r w:rsidR="00283CA4">
        <w:t xml:space="preserve">validation </w:t>
      </w:r>
      <w:r>
        <w:t xml:space="preserve">data-quality </w:t>
      </w:r>
      <w:r w:rsidR="00283CA4">
        <w:t>risk</w:t>
      </w:r>
      <w:r>
        <w:t xml:space="preserve"> illustrated by building </w:t>
      </w:r>
      <w:r w:rsidR="00142CD0">
        <w:t>number</w:t>
      </w:r>
      <w:r w:rsidR="00283CA4">
        <w:t xml:space="preserve"> </w:t>
      </w:r>
      <w:r>
        <w:t>20, the building</w:t>
      </w:r>
      <w:r w:rsidR="00283CA4">
        <w:t xml:space="preserve"> </w:t>
      </w:r>
      <w:r>
        <w:t xml:space="preserve">level assessment currently rests entirely on self-reported, unverified stakeholder </w:t>
      </w:r>
      <w:r w:rsidR="00E40FDF">
        <w:t xml:space="preserve">final energy </w:t>
      </w:r>
      <w:r>
        <w:t>consumption</w:t>
      </w:r>
      <w:r w:rsidR="00E40FDF">
        <w:t>s</w:t>
      </w:r>
      <w:r w:rsidR="00283CA4">
        <w:t>.</w:t>
      </w:r>
      <w:r>
        <w:t xml:space="preserve"> </w:t>
      </w:r>
      <w:r w:rsidR="00283CA4">
        <w:t>V</w:t>
      </w:r>
      <w:r>
        <w:t xml:space="preserve">alidation </w:t>
      </w:r>
      <w:r w:rsidR="00142CD0">
        <w:t xml:space="preserve">of the simulated use and final heating, cooling, and electricity demand profiles </w:t>
      </w:r>
      <w:r>
        <w:t>against measured data</w:t>
      </w:r>
      <w:r w:rsidR="00283CA4">
        <w:t xml:space="preserve"> </w:t>
      </w:r>
      <w:r w:rsidR="00812E4F">
        <w:t xml:space="preserve">or against comparable UBEM environments </w:t>
      </w:r>
      <w:r w:rsidR="00283CA4">
        <w:t>in a high temporal resolution</w:t>
      </w:r>
      <w:r>
        <w:t xml:space="preserve"> is needed at </w:t>
      </w:r>
      <w:r w:rsidR="00283CA4">
        <w:t xml:space="preserve">every spatial level, especially on </w:t>
      </w:r>
      <w:r>
        <w:t xml:space="preserve">building level, </w:t>
      </w:r>
      <w:r w:rsidR="00812E4F">
        <w:t xml:space="preserve">to get </w:t>
      </w:r>
      <w:r>
        <w:t>load-shape errors against hourly profiles</w:t>
      </w:r>
      <w:r w:rsidR="00283CA4">
        <w:t xml:space="preserve"> become visible</w:t>
      </w:r>
      <w:r w:rsidR="00A055C1">
        <w:t xml:space="preserve"> and to</w:t>
      </w:r>
      <w:r w:rsidR="00A055C1" w:rsidRPr="00A055C1">
        <w:t xml:space="preserve"> be able to classify acceptable deviations between simulation results and measurement data</w:t>
      </w:r>
      <w:r w:rsidR="00814344">
        <w:t>.</w:t>
      </w:r>
    </w:p>
    <w:p w14:paraId="36DCF7F3" w14:textId="25D6C3DE" w:rsidR="00F75F40" w:rsidRDefault="0060589D" w:rsidP="00405ABB">
      <w:pPr>
        <w:pStyle w:val="SWCText"/>
      </w:pPr>
      <w:r w:rsidRPr="0060589D">
        <w:t xml:space="preserve">Future development </w:t>
      </w:r>
      <w:r w:rsidR="00B1751D">
        <w:t xml:space="preserve">of the extended aggregated building models </w:t>
      </w:r>
      <w:r w:rsidRPr="0060589D">
        <w:t>will extend the model to non-residential buildings with case</w:t>
      </w:r>
      <w:r w:rsidR="00813240">
        <w:t xml:space="preserve"> </w:t>
      </w:r>
      <w:r w:rsidRPr="0060589D">
        <w:t>study</w:t>
      </w:r>
      <w:r w:rsidR="00813240">
        <w:t xml:space="preserve"> </w:t>
      </w:r>
      <w:r w:rsidRPr="0060589D">
        <w:t>specific usage profiles and envelope properties, and will replace the currently averaged domestic-hot</w:t>
      </w:r>
      <w:r w:rsidR="00813240">
        <w:t xml:space="preserve"> </w:t>
      </w:r>
      <w:r w:rsidRPr="0060589D">
        <w:t>water profile with an individually seeded, building</w:t>
      </w:r>
      <w:r w:rsidR="00813240">
        <w:t xml:space="preserve"> </w:t>
      </w:r>
      <w:r w:rsidRPr="0060589D">
        <w:t xml:space="preserve">specific profile as well as explicit modeling of the energy supply system itself, enabling scenario comparisons across weather, refurbishment progress, and centralized versus decentralized </w:t>
      </w:r>
      <w:r w:rsidR="00813240">
        <w:t xml:space="preserve">energy </w:t>
      </w:r>
      <w:r w:rsidRPr="0060589D">
        <w:t>supply</w:t>
      </w:r>
      <w:r w:rsidR="00813240">
        <w:t xml:space="preserve"> systems</w:t>
      </w:r>
      <w:r w:rsidR="005B4C94" w:rsidRPr="0060589D">
        <w:t>.</w:t>
      </w:r>
      <w:r w:rsidR="009334F9">
        <w:t xml:space="preserve"> Overall, the extended aggregated building model presented here provides a tool for determining building-level heating, cooling, and electricity demand, forming a solid basis for subsequent, high-temporal-resolution simulations of different energy supply system variants.</w:t>
      </w:r>
    </w:p>
    <w:p w14:paraId="527863AB" w14:textId="464335EC" w:rsidR="009334F9" w:rsidRPr="009334F9" w:rsidRDefault="009334F9" w:rsidP="009334F9">
      <w:pPr>
        <w:pStyle w:val="SWCHeading1"/>
      </w:pPr>
      <w:r>
        <w:t>Acknowledgements</w:t>
      </w:r>
      <w:r w:rsidRPr="009334F9">
        <w:t xml:space="preserve"> </w:t>
      </w:r>
    </w:p>
    <w:p w14:paraId="75D1BC16" w14:textId="1EE93E4D" w:rsidR="00220BB9" w:rsidRPr="00220BB9" w:rsidRDefault="00220BB9" w:rsidP="00220BB9">
      <w:pPr>
        <w:pStyle w:val="SWCTitle"/>
        <w:spacing w:before="0" w:after="0"/>
        <w:jc w:val="both"/>
        <w:rPr>
          <w:rFonts w:ascii="Times New Roman" w:hAnsi="Times New Roman"/>
          <w:b w:val="0"/>
          <w:sz w:val="20"/>
          <w:szCs w:val="22"/>
        </w:rPr>
      </w:pPr>
      <w:r w:rsidRPr="00220BB9">
        <w:rPr>
          <w:rFonts w:ascii="Times New Roman" w:hAnsi="Times New Roman"/>
          <w:b w:val="0"/>
          <w:sz w:val="20"/>
          <w:szCs w:val="22"/>
        </w:rPr>
        <w:t xml:space="preserve">The initial research project “VR-based simulation design of a social dialogue on the transformation of urban energy systems” by the Stuttgart Research Initiative for the Discursive Transformation of Energy Systems (SRI </w:t>
      </w:r>
      <w:proofErr w:type="spellStart"/>
      <w:r w:rsidRPr="00220BB9">
        <w:rPr>
          <w:rFonts w:ascii="Times New Roman" w:hAnsi="Times New Roman"/>
          <w:b w:val="0"/>
          <w:sz w:val="20"/>
          <w:szCs w:val="22"/>
        </w:rPr>
        <w:t>DiTEnS</w:t>
      </w:r>
      <w:proofErr w:type="spellEnd"/>
      <w:r w:rsidRPr="00220BB9">
        <w:rPr>
          <w:rFonts w:ascii="Times New Roman" w:hAnsi="Times New Roman"/>
          <w:b w:val="0"/>
          <w:sz w:val="20"/>
          <w:szCs w:val="22"/>
        </w:rPr>
        <w:t xml:space="preserve">) is funded by the Carl Zeiss Stiftung. The following institutions of the University of Stuttgart, Germany are involved in the </w:t>
      </w:r>
      <w:proofErr w:type="spellStart"/>
      <w:r w:rsidRPr="00220BB9">
        <w:rPr>
          <w:rFonts w:ascii="Times New Roman" w:hAnsi="Times New Roman"/>
          <w:b w:val="0"/>
          <w:sz w:val="20"/>
          <w:szCs w:val="22"/>
        </w:rPr>
        <w:t>DiTEnS</w:t>
      </w:r>
      <w:proofErr w:type="spellEnd"/>
      <w:r w:rsidRPr="00220BB9">
        <w:rPr>
          <w:rFonts w:ascii="Times New Roman" w:hAnsi="Times New Roman"/>
          <w:b w:val="0"/>
          <w:sz w:val="20"/>
          <w:szCs w:val="22"/>
        </w:rPr>
        <w:t xml:space="preserve"> research project: </w:t>
      </w:r>
    </w:p>
    <w:p w14:paraId="0A299AE5" w14:textId="7ED8F43E" w:rsidR="00220BB9" w:rsidRPr="00220BB9" w:rsidRDefault="00220BB9" w:rsidP="00112267">
      <w:pPr>
        <w:pStyle w:val="SWCTitle"/>
        <w:numPr>
          <w:ilvl w:val="0"/>
          <w:numId w:val="37"/>
        </w:numPr>
        <w:spacing w:before="0" w:after="0" w:line="260" w:lineRule="exact"/>
        <w:ind w:left="357" w:hanging="357"/>
        <w:jc w:val="both"/>
        <w:rPr>
          <w:rFonts w:ascii="Times New Roman" w:hAnsi="Times New Roman"/>
          <w:b w:val="0"/>
          <w:sz w:val="20"/>
          <w:szCs w:val="22"/>
        </w:rPr>
      </w:pPr>
      <w:r w:rsidRPr="00220BB9">
        <w:rPr>
          <w:rFonts w:ascii="Times New Roman" w:hAnsi="Times New Roman"/>
          <w:b w:val="0"/>
          <w:sz w:val="20"/>
          <w:szCs w:val="22"/>
        </w:rPr>
        <w:t>Institute of Energy Economics and Rational Energy Use (IER)</w:t>
      </w:r>
    </w:p>
    <w:p w14:paraId="79280340" w14:textId="641EED26" w:rsidR="00220BB9" w:rsidRPr="00220BB9" w:rsidRDefault="00814344" w:rsidP="00112267">
      <w:pPr>
        <w:pStyle w:val="SWCTitle"/>
        <w:numPr>
          <w:ilvl w:val="0"/>
          <w:numId w:val="37"/>
        </w:numPr>
        <w:spacing w:before="0" w:after="0" w:line="260" w:lineRule="exact"/>
        <w:ind w:left="357" w:hanging="357"/>
        <w:jc w:val="both"/>
        <w:rPr>
          <w:rFonts w:ascii="Times New Roman" w:hAnsi="Times New Roman"/>
          <w:b w:val="0"/>
          <w:sz w:val="20"/>
          <w:szCs w:val="22"/>
        </w:rPr>
      </w:pPr>
      <w:r w:rsidRPr="00D43B26">
        <w:rPr>
          <w:noProof/>
        </w:rPr>
        <w:drawing>
          <wp:anchor distT="0" distB="0" distL="114300" distR="114300" simplePos="0" relativeHeight="251659264" behindDoc="1" locked="0" layoutInCell="1" allowOverlap="1" wp14:anchorId="276D1DE0" wp14:editId="6A0C4D90">
            <wp:simplePos x="0" y="0"/>
            <wp:positionH relativeFrom="margin">
              <wp:posOffset>4808855</wp:posOffset>
            </wp:positionH>
            <wp:positionV relativeFrom="paragraph">
              <wp:posOffset>11430</wp:posOffset>
            </wp:positionV>
            <wp:extent cx="956945" cy="546735"/>
            <wp:effectExtent l="0" t="0" r="0" b="571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6945" cy="546735"/>
                    </a:xfrm>
                    <a:prstGeom prst="rect">
                      <a:avLst/>
                    </a:prstGeom>
                    <a:noFill/>
                  </pic:spPr>
                </pic:pic>
              </a:graphicData>
            </a:graphic>
            <wp14:sizeRelH relativeFrom="margin">
              <wp14:pctWidth>0</wp14:pctWidth>
            </wp14:sizeRelH>
            <wp14:sizeRelV relativeFrom="margin">
              <wp14:pctHeight>0</wp14:pctHeight>
            </wp14:sizeRelV>
          </wp:anchor>
        </w:drawing>
      </w:r>
      <w:r w:rsidR="00220BB9" w:rsidRPr="00220BB9">
        <w:rPr>
          <w:rFonts w:ascii="Times New Roman" w:hAnsi="Times New Roman"/>
          <w:b w:val="0"/>
          <w:sz w:val="20"/>
          <w:szCs w:val="22"/>
        </w:rPr>
        <w:t xml:space="preserve">Institute of Building Energetics, </w:t>
      </w:r>
      <w:proofErr w:type="spellStart"/>
      <w:r w:rsidR="00220BB9" w:rsidRPr="00220BB9">
        <w:rPr>
          <w:rFonts w:ascii="Times New Roman" w:hAnsi="Times New Roman"/>
          <w:b w:val="0"/>
          <w:sz w:val="20"/>
          <w:szCs w:val="22"/>
        </w:rPr>
        <w:t>Thermotechnology</w:t>
      </w:r>
      <w:proofErr w:type="spellEnd"/>
      <w:r w:rsidR="00220BB9" w:rsidRPr="00220BB9">
        <w:rPr>
          <w:rFonts w:ascii="Times New Roman" w:hAnsi="Times New Roman"/>
          <w:b w:val="0"/>
          <w:sz w:val="20"/>
          <w:szCs w:val="22"/>
        </w:rPr>
        <w:t xml:space="preserve"> and Energy Storage (IGTE)</w:t>
      </w:r>
    </w:p>
    <w:p w14:paraId="0F11BA12" w14:textId="289C64E5" w:rsidR="00220BB9" w:rsidRPr="00220BB9" w:rsidRDefault="00220BB9" w:rsidP="00112267">
      <w:pPr>
        <w:pStyle w:val="SWCTitle"/>
        <w:numPr>
          <w:ilvl w:val="0"/>
          <w:numId w:val="37"/>
        </w:numPr>
        <w:spacing w:before="0" w:after="0" w:line="260" w:lineRule="exact"/>
        <w:ind w:left="357" w:hanging="357"/>
        <w:jc w:val="both"/>
        <w:rPr>
          <w:rFonts w:ascii="Times New Roman" w:hAnsi="Times New Roman"/>
          <w:b w:val="0"/>
          <w:sz w:val="20"/>
          <w:szCs w:val="22"/>
        </w:rPr>
      </w:pPr>
      <w:r w:rsidRPr="00220BB9">
        <w:rPr>
          <w:rFonts w:ascii="Times New Roman" w:hAnsi="Times New Roman"/>
          <w:b w:val="0"/>
          <w:sz w:val="20"/>
          <w:szCs w:val="22"/>
        </w:rPr>
        <w:t>Institute of Power Transmission and High Voltage Technology (IEH)</w:t>
      </w:r>
    </w:p>
    <w:p w14:paraId="361BF5EB" w14:textId="12D78028" w:rsidR="00220BB9" w:rsidRPr="00220BB9" w:rsidRDefault="00220BB9" w:rsidP="00112267">
      <w:pPr>
        <w:pStyle w:val="SWCTitle"/>
        <w:numPr>
          <w:ilvl w:val="0"/>
          <w:numId w:val="37"/>
        </w:numPr>
        <w:spacing w:before="0" w:after="0" w:line="260" w:lineRule="exact"/>
        <w:ind w:left="357" w:hanging="357"/>
        <w:jc w:val="both"/>
        <w:rPr>
          <w:rFonts w:ascii="Times New Roman" w:hAnsi="Times New Roman"/>
          <w:b w:val="0"/>
          <w:sz w:val="20"/>
          <w:szCs w:val="22"/>
        </w:rPr>
      </w:pPr>
      <w:r w:rsidRPr="00220BB9">
        <w:rPr>
          <w:rFonts w:ascii="Times New Roman" w:hAnsi="Times New Roman"/>
          <w:b w:val="0"/>
          <w:sz w:val="20"/>
          <w:szCs w:val="22"/>
        </w:rPr>
        <w:t>High Performance Computing Center Stuttgart (HLRS)</w:t>
      </w:r>
    </w:p>
    <w:p w14:paraId="69B606BE" w14:textId="705C45A3" w:rsidR="00220BB9" w:rsidRPr="00220BB9" w:rsidRDefault="00220BB9" w:rsidP="00112267">
      <w:pPr>
        <w:pStyle w:val="SWCTitle"/>
        <w:numPr>
          <w:ilvl w:val="0"/>
          <w:numId w:val="37"/>
        </w:numPr>
        <w:spacing w:before="0" w:after="0" w:line="260" w:lineRule="exact"/>
        <w:ind w:left="357" w:hanging="357"/>
        <w:jc w:val="both"/>
        <w:rPr>
          <w:rFonts w:ascii="Times New Roman" w:hAnsi="Times New Roman"/>
          <w:b w:val="0"/>
          <w:sz w:val="20"/>
          <w:szCs w:val="22"/>
        </w:rPr>
      </w:pPr>
      <w:r w:rsidRPr="00220BB9">
        <w:rPr>
          <w:rFonts w:ascii="Times New Roman" w:hAnsi="Times New Roman"/>
          <w:b w:val="0"/>
          <w:sz w:val="20"/>
          <w:szCs w:val="22"/>
        </w:rPr>
        <w:t>Center for Interdisciplinary Risk and Innovation Studies (ZIRIUS)</w:t>
      </w:r>
    </w:p>
    <w:p w14:paraId="3B24EB5F" w14:textId="072DA714" w:rsidR="009334F9" w:rsidRPr="009334F9" w:rsidRDefault="00220BB9" w:rsidP="00220BB9">
      <w:pPr>
        <w:pStyle w:val="SWCText"/>
        <w:spacing w:after="0"/>
      </w:pPr>
      <w:r>
        <w:t>The authors gratefully acknowledge the funding and carry the full responsibility for the content of this publication.</w:t>
      </w:r>
    </w:p>
    <w:p w14:paraId="26134189" w14:textId="7380465F" w:rsidR="00773B70" w:rsidRPr="00180918" w:rsidRDefault="00D32EF0" w:rsidP="00180918">
      <w:pPr>
        <w:pStyle w:val="SWCHeading1"/>
        <w:rPr>
          <w:lang w:val="en-GB"/>
        </w:rPr>
      </w:pPr>
      <w:r w:rsidRPr="00C97946">
        <w:rPr>
          <w:lang w:val="en-GB"/>
        </w:rPr>
        <w:lastRenderedPageBreak/>
        <w:t>References</w:t>
      </w:r>
      <w:r w:rsidR="004E5D79" w:rsidRPr="00C97946">
        <w:rPr>
          <w:lang w:val="en-GB"/>
        </w:rPr>
        <w:t xml:space="preserve"> </w:t>
      </w:r>
    </w:p>
    <w:p w14:paraId="32CD2C12" w14:textId="67C785C8" w:rsidR="007B7AAD" w:rsidRPr="00F75165" w:rsidRDefault="007B7AAD" w:rsidP="007D0A57">
      <w:pPr>
        <w:pStyle w:val="SWCText"/>
        <w:jc w:val="left"/>
        <w:rPr>
          <w:color w:val="auto"/>
        </w:rPr>
      </w:pPr>
      <w:r w:rsidRPr="00F75165">
        <w:rPr>
          <w:color w:val="auto"/>
        </w:rPr>
        <w:t>Reference to journal publication</w:t>
      </w:r>
      <w:r w:rsidR="004F2AEB">
        <w:rPr>
          <w:color w:val="auto"/>
        </w:rPr>
        <w:t>s and conference proceedings</w:t>
      </w:r>
      <w:r w:rsidRPr="00F75165">
        <w:rPr>
          <w:color w:val="auto"/>
        </w:rPr>
        <w:t xml:space="preserve">: </w:t>
      </w:r>
    </w:p>
    <w:p w14:paraId="21B60999" w14:textId="7424FFAF" w:rsidR="002225CA" w:rsidRPr="002225CA" w:rsidRDefault="002225CA" w:rsidP="00B903E4">
      <w:pPr>
        <w:pStyle w:val="SWCText"/>
        <w:spacing w:line="240" w:lineRule="auto"/>
        <w:jc w:val="left"/>
      </w:pPr>
      <w:proofErr w:type="spellStart"/>
      <w:r w:rsidRPr="00B1751D">
        <w:rPr>
          <w:lang w:val="de-DE"/>
        </w:rPr>
        <w:t>Dabrock</w:t>
      </w:r>
      <w:proofErr w:type="spellEnd"/>
      <w:r w:rsidRPr="00B1751D">
        <w:rPr>
          <w:lang w:val="de-DE"/>
        </w:rPr>
        <w:t xml:space="preserve">, K., Ulken, J., Pflugradt, N., Weinand, J. M., </w:t>
      </w:r>
      <w:proofErr w:type="spellStart"/>
      <w:r w:rsidRPr="00B1751D">
        <w:rPr>
          <w:lang w:val="de-DE"/>
        </w:rPr>
        <w:t>Stolten</w:t>
      </w:r>
      <w:proofErr w:type="spellEnd"/>
      <w:r w:rsidRPr="00B1751D">
        <w:rPr>
          <w:lang w:val="de-DE"/>
        </w:rPr>
        <w:t xml:space="preserve">, D., 2025. </w:t>
      </w:r>
      <w:r w:rsidRPr="00F75165">
        <w:t>Generating a nation-wide residential building types dataset using machine learning, Build. Environ., vol. 274</w:t>
      </w:r>
      <w:r w:rsidR="00C46B27">
        <w:t>.</w:t>
      </w:r>
    </w:p>
    <w:p w14:paraId="042076A0" w14:textId="1EB19174" w:rsidR="007B7AAD" w:rsidRPr="00F75165" w:rsidRDefault="007B7AAD" w:rsidP="00B903E4">
      <w:pPr>
        <w:pStyle w:val="SWCText"/>
        <w:spacing w:line="240" w:lineRule="auto"/>
        <w:jc w:val="left"/>
      </w:pPr>
      <w:proofErr w:type="spellStart"/>
      <w:r w:rsidRPr="00F75165">
        <w:t>Ferrando</w:t>
      </w:r>
      <w:proofErr w:type="spellEnd"/>
      <w:r w:rsidRPr="00F75165">
        <w:t xml:space="preserve">, M., </w:t>
      </w:r>
      <w:proofErr w:type="spellStart"/>
      <w:r w:rsidRPr="00F75165">
        <w:t>Causone</w:t>
      </w:r>
      <w:proofErr w:type="spellEnd"/>
      <w:r w:rsidRPr="00F75165">
        <w:t>, F., Hong, T., Chen, Y., 2020. Urban building energy modeling (UBEM) tools: A state-of-the-art review of bottom-up physics-based approaches. Sustainable Cities and Society Volume 62, 102408</w:t>
      </w:r>
      <w:r w:rsidR="00C46B27">
        <w:t>.</w:t>
      </w:r>
    </w:p>
    <w:p w14:paraId="635F369E" w14:textId="51AFBF22" w:rsidR="00C46B27" w:rsidRDefault="00C46B27" w:rsidP="00B903E4">
      <w:pPr>
        <w:pStyle w:val="SWCText"/>
        <w:spacing w:line="240" w:lineRule="auto"/>
        <w:jc w:val="left"/>
      </w:pPr>
      <w:r w:rsidRPr="00C46B27">
        <w:t>Johari, F.</w:t>
      </w:r>
      <w:r>
        <w:t>,</w:t>
      </w:r>
      <w:r w:rsidRPr="00C46B27">
        <w:t xml:space="preserve"> </w:t>
      </w:r>
      <w:proofErr w:type="spellStart"/>
      <w:r w:rsidRPr="00C46B27">
        <w:t>Shadram</w:t>
      </w:r>
      <w:proofErr w:type="spellEnd"/>
      <w:r w:rsidRPr="00C46B27">
        <w:t>, F.</w:t>
      </w:r>
      <w:r>
        <w:t xml:space="preserve">, </w:t>
      </w:r>
      <w:proofErr w:type="spellStart"/>
      <w:r w:rsidRPr="00C46B27">
        <w:t>Widén</w:t>
      </w:r>
      <w:proofErr w:type="spellEnd"/>
      <w:r w:rsidRPr="00C46B27">
        <w:t>,</w:t>
      </w:r>
      <w:r>
        <w:t xml:space="preserve"> </w:t>
      </w:r>
      <w:r w:rsidRPr="00C46B27">
        <w:t>J.</w:t>
      </w:r>
      <w:r>
        <w:t>, 2023.</w:t>
      </w:r>
      <w:r w:rsidRPr="00C46B27">
        <w:t xml:space="preserve"> Urban building energy modeling from geo-referenced energy performance certificate data: Development, calibration, and validation</w:t>
      </w:r>
      <w:r>
        <w:t>.</w:t>
      </w:r>
      <w:r w:rsidRPr="00C46B27">
        <w:t xml:space="preserve"> Sustain. </w:t>
      </w:r>
      <w:r w:rsidRPr="00F75165">
        <w:t xml:space="preserve">Sustainable Cities and Society Volume </w:t>
      </w:r>
      <w:r>
        <w:t>96</w:t>
      </w:r>
      <w:r w:rsidRPr="00F75165">
        <w:t xml:space="preserve">, </w:t>
      </w:r>
      <w:r w:rsidRPr="00C46B27">
        <w:t>104664</w:t>
      </w:r>
      <w:r>
        <w:t>.</w:t>
      </w:r>
    </w:p>
    <w:p w14:paraId="26778979" w14:textId="7DBBD386" w:rsidR="00653DD2" w:rsidRPr="00B1751D" w:rsidRDefault="002225CA" w:rsidP="00B903E4">
      <w:pPr>
        <w:pStyle w:val="SWCText"/>
        <w:spacing w:line="240" w:lineRule="auto"/>
        <w:jc w:val="left"/>
        <w:rPr>
          <w:lang w:val="de-DE"/>
        </w:rPr>
      </w:pPr>
      <w:r w:rsidRPr="004F2AEB">
        <w:t xml:space="preserve">Kolbe, T. H., </w:t>
      </w:r>
      <w:proofErr w:type="spellStart"/>
      <w:r w:rsidRPr="004F2AEB">
        <w:t>Donaubauer</w:t>
      </w:r>
      <w:proofErr w:type="spellEnd"/>
      <w:r w:rsidRPr="004F2AEB">
        <w:t xml:space="preserve">, A. 2021. </w:t>
      </w:r>
      <w:r w:rsidRPr="00F75165">
        <w:t xml:space="preserve">Semantic 3D City Modeling and BIM, Urban Informatics, W. Shi, M. F. Goodchild, M. Batty, M.-P. Kwan, and A. Zhang, Eds., in The Urban Book Series. </w:t>
      </w:r>
      <w:r w:rsidRPr="00B1751D">
        <w:rPr>
          <w:lang w:val="de-DE"/>
        </w:rPr>
        <w:t>Singapore: Springer Singapore</w:t>
      </w:r>
      <w:r w:rsidR="00C46B27">
        <w:rPr>
          <w:lang w:val="de-DE"/>
        </w:rPr>
        <w:t>.</w:t>
      </w:r>
    </w:p>
    <w:p w14:paraId="6C73818F" w14:textId="1F3A1D33" w:rsidR="007B7AAD" w:rsidRPr="00F75165" w:rsidRDefault="007B7AAD" w:rsidP="00B903E4">
      <w:pPr>
        <w:pStyle w:val="SWCText"/>
        <w:spacing w:line="240" w:lineRule="auto"/>
        <w:jc w:val="left"/>
      </w:pPr>
      <w:r w:rsidRPr="00B1751D">
        <w:rPr>
          <w:lang w:val="de-DE"/>
        </w:rPr>
        <w:t xml:space="preserve">Kong, D., </w:t>
      </w:r>
      <w:proofErr w:type="spellStart"/>
      <w:r w:rsidRPr="00B1751D">
        <w:rPr>
          <w:lang w:val="de-DE"/>
        </w:rPr>
        <w:t>Cheshmehzangi</w:t>
      </w:r>
      <w:proofErr w:type="spellEnd"/>
      <w:r w:rsidRPr="00B1751D">
        <w:rPr>
          <w:lang w:val="de-DE"/>
        </w:rPr>
        <w:t xml:space="preserve">, A., Zhang, Z. et al., 2023. </w:t>
      </w:r>
      <w:r w:rsidRPr="00F75165">
        <w:t xml:space="preserve">Urban building energy modeling (UBEM): a systematic </w:t>
      </w:r>
      <w:r w:rsidR="002225CA">
        <w:t>r</w:t>
      </w:r>
      <w:r w:rsidRPr="00F75165">
        <w:t xml:space="preserve">eview of challenges and opportunities. Energy Efficiency 16, 69. </w:t>
      </w:r>
    </w:p>
    <w:p w14:paraId="10A69A18" w14:textId="2E6E795C" w:rsidR="00D0113E" w:rsidRDefault="007B7AAD" w:rsidP="00B903E4">
      <w:pPr>
        <w:pStyle w:val="SWCText"/>
        <w:spacing w:line="240" w:lineRule="auto"/>
        <w:jc w:val="left"/>
      </w:pPr>
      <w:r w:rsidRPr="00F75165">
        <w:t>Li, Z., Ma, J., Tan, Y., Guo, C., Li, X., 2023. Combining physical approaches with deep learning techniques for urban building energy modeling: A comprehensive review and future research prospects. Building and Environment, Volume 246, 110960.</w:t>
      </w:r>
    </w:p>
    <w:p w14:paraId="2F1CE126" w14:textId="77777777" w:rsidR="004F2AEB" w:rsidRPr="004F2AEB" w:rsidRDefault="004F2AEB" w:rsidP="004F2AEB">
      <w:pPr>
        <w:pStyle w:val="SWCText"/>
        <w:spacing w:line="240" w:lineRule="auto"/>
        <w:jc w:val="left"/>
      </w:pPr>
      <w:r w:rsidRPr="00831D44">
        <w:t xml:space="preserve">Lott, S., </w:t>
      </w:r>
      <w:proofErr w:type="spellStart"/>
      <w:r w:rsidRPr="00831D44">
        <w:t>Drück</w:t>
      </w:r>
      <w:proofErr w:type="spellEnd"/>
      <w:r w:rsidRPr="00831D44">
        <w:t xml:space="preserve">, H., </w:t>
      </w:r>
      <w:proofErr w:type="spellStart"/>
      <w:r w:rsidRPr="00831D44">
        <w:t>Stergiaropoulos</w:t>
      </w:r>
      <w:proofErr w:type="spellEnd"/>
      <w:r w:rsidRPr="00831D44">
        <w:t xml:space="preserve">, K., 2026. </w:t>
      </w:r>
      <w:r w:rsidRPr="00F75165">
        <w:t>An Approach for a Discursive Transformation of Energy Systems Using Aggregated Building Models</w:t>
      </w:r>
      <w:r>
        <w:t xml:space="preserve">. </w:t>
      </w:r>
      <w:hyperlink r:id="rId16" w:history="1">
        <w:r w:rsidRPr="00F75165">
          <w:t>International Sustainable Energy Conference - Proceedings</w:t>
        </w:r>
      </w:hyperlink>
      <w:r>
        <w:t>.</w:t>
      </w:r>
    </w:p>
    <w:p w14:paraId="5F327E1C" w14:textId="01F634A4" w:rsidR="004F2AEB" w:rsidRPr="00831D44" w:rsidRDefault="004F2AEB" w:rsidP="004F2AEB">
      <w:pPr>
        <w:pStyle w:val="SWCText"/>
        <w:spacing w:line="240" w:lineRule="auto"/>
        <w:jc w:val="left"/>
      </w:pPr>
      <w:proofErr w:type="spellStart"/>
      <w:r w:rsidRPr="004F2AEB">
        <w:t>Luft</w:t>
      </w:r>
      <w:proofErr w:type="spellEnd"/>
      <w:r w:rsidRPr="004F2AEB">
        <w:t xml:space="preserve">, J., </w:t>
      </w:r>
      <w:proofErr w:type="spellStart"/>
      <w:r w:rsidRPr="004F2AEB">
        <w:t>Bagherinejad</w:t>
      </w:r>
      <w:proofErr w:type="spellEnd"/>
      <w:r w:rsidRPr="004F2AEB">
        <w:t xml:space="preserve">, N., </w:t>
      </w:r>
      <w:proofErr w:type="spellStart"/>
      <w:r w:rsidRPr="004F2AEB">
        <w:t>Razavian</w:t>
      </w:r>
      <w:proofErr w:type="spellEnd"/>
      <w:r w:rsidRPr="004F2AEB">
        <w:t xml:space="preserve">, A., Reinke, J., Sommer, P., Rasch, J., 2025. </w:t>
      </w:r>
      <w:proofErr w:type="spellStart"/>
      <w:r w:rsidRPr="00F75165">
        <w:t>Municipla</w:t>
      </w:r>
      <w:proofErr w:type="spellEnd"/>
      <w:r w:rsidRPr="00F75165">
        <w:t xml:space="preserve"> Heat Planning with a Single Click – using Open Date for a </w:t>
      </w:r>
      <w:proofErr w:type="spellStart"/>
      <w:r w:rsidRPr="00F75165">
        <w:t>Scal</w:t>
      </w:r>
      <w:proofErr w:type="spellEnd"/>
      <w:r w:rsidRPr="00F75165">
        <w:t xml:space="preserve">-able Planning Tool, in 3. </w:t>
      </w:r>
      <w:r w:rsidRPr="00B1751D">
        <w:rPr>
          <w:lang w:val="de-DE"/>
        </w:rPr>
        <w:t xml:space="preserve">Konferenz der Norddeutschen Wärmeforschung, Tagungsband, Hochschule Bremen, </w:t>
      </w:r>
      <w:hyperlink r:id="rId17" w:history="1">
        <w:r w:rsidRPr="00B1751D">
          <w:rPr>
            <w:lang w:val="de-DE"/>
          </w:rPr>
          <w:t>https://www.hs-bremen.de/die-hsb/aktuelles/veranstaltung/3-konferenz-der-norddeutschen-waermeforschung/</w:t>
        </w:r>
      </w:hyperlink>
      <w:r w:rsidRPr="00B1751D">
        <w:rPr>
          <w:lang w:val="de-DE"/>
        </w:rPr>
        <w:t xml:space="preserve">. </w:t>
      </w:r>
      <w:r w:rsidRPr="00831D44">
        <w:t>Last accessed, February 26, 2026.</w:t>
      </w:r>
    </w:p>
    <w:p w14:paraId="5FE381FA" w14:textId="0D4CC491" w:rsidR="007B7AAD" w:rsidRPr="00F75165" w:rsidRDefault="007B7AAD" w:rsidP="00B903E4">
      <w:pPr>
        <w:pStyle w:val="SWCText"/>
        <w:spacing w:line="240" w:lineRule="auto"/>
        <w:jc w:val="left"/>
      </w:pPr>
      <w:r w:rsidRPr="00831D44">
        <w:t xml:space="preserve">Malhotra, A., Bischof, J., Allan, J., </w:t>
      </w:r>
      <w:proofErr w:type="spellStart"/>
      <w:r w:rsidRPr="00831D44">
        <w:t>Schwengler</w:t>
      </w:r>
      <w:proofErr w:type="spellEnd"/>
      <w:r w:rsidRPr="00831D44">
        <w:t xml:space="preserve">, T., Benner, J., O Donnell, J., Schweiger, G., 2020. </w:t>
      </w:r>
      <w:r w:rsidRPr="00F75165">
        <w:t xml:space="preserve">A review on country specific data availability and acquisition techniques for city quarter information modelling for building energy analysis. Conference Proceedings of </w:t>
      </w:r>
      <w:proofErr w:type="spellStart"/>
      <w:r w:rsidRPr="00F75165">
        <w:t>BauSIM</w:t>
      </w:r>
      <w:proofErr w:type="spellEnd"/>
      <w:r w:rsidRPr="00F75165">
        <w:t xml:space="preserve"> 2020: 8th Conference of IBPSA Germany and Austria, 543.</w:t>
      </w:r>
    </w:p>
    <w:p w14:paraId="76AE3596" w14:textId="6F8D46DA" w:rsidR="007B7AAD" w:rsidRPr="00F75165" w:rsidRDefault="007B7AAD" w:rsidP="00B903E4">
      <w:pPr>
        <w:pStyle w:val="SWCText"/>
        <w:spacing w:line="240" w:lineRule="auto"/>
        <w:jc w:val="left"/>
      </w:pPr>
      <w:proofErr w:type="spellStart"/>
      <w:r w:rsidRPr="00F75165">
        <w:t>Oraiopoulos</w:t>
      </w:r>
      <w:proofErr w:type="spellEnd"/>
      <w:r w:rsidRPr="00F75165">
        <w:t>, A., Howard, B., 2022, On the accuracy of Urban Building Energy Modelling. Renewable and Sustainable Energy Reviews, Volume 158, 111976.</w:t>
      </w:r>
    </w:p>
    <w:p w14:paraId="0E693785" w14:textId="417CE5EB" w:rsidR="007B7AAD" w:rsidRPr="00F75165" w:rsidRDefault="007B7AAD" w:rsidP="00B903E4">
      <w:pPr>
        <w:pStyle w:val="SWCText"/>
        <w:spacing w:line="240" w:lineRule="auto"/>
        <w:jc w:val="left"/>
      </w:pPr>
      <w:proofErr w:type="spellStart"/>
      <w:r w:rsidRPr="00F75165">
        <w:t>Piro</w:t>
      </w:r>
      <w:proofErr w:type="spellEnd"/>
      <w:r w:rsidRPr="00F75165">
        <w:t xml:space="preserve">, M., </w:t>
      </w:r>
      <w:proofErr w:type="spellStart"/>
      <w:r w:rsidRPr="00F75165">
        <w:t>Ballarini</w:t>
      </w:r>
      <w:proofErr w:type="spellEnd"/>
      <w:r w:rsidRPr="00F75165">
        <w:t xml:space="preserve">, I., </w:t>
      </w:r>
      <w:proofErr w:type="spellStart"/>
      <w:r w:rsidRPr="00F75165">
        <w:t>Corrado</w:t>
      </w:r>
      <w:proofErr w:type="spellEnd"/>
      <w:r w:rsidRPr="00F75165">
        <w:t>, V., 2023. From Building Energy Models (BEM) to Urban Building Energy Models (UBEM): input data and modelling approaches. Conference Proceedings of Building Simulation 2023: 18th Conference of IBPSA, 2937.</w:t>
      </w:r>
    </w:p>
    <w:p w14:paraId="56A6F7F5" w14:textId="1A40C2C6" w:rsidR="007B7AAD" w:rsidRPr="00F75165" w:rsidRDefault="007B7AAD" w:rsidP="00B903E4">
      <w:pPr>
        <w:pStyle w:val="SWCText"/>
        <w:spacing w:line="240" w:lineRule="auto"/>
        <w:jc w:val="left"/>
      </w:pPr>
      <w:proofErr w:type="spellStart"/>
      <w:r w:rsidRPr="00F75165">
        <w:t>Rehmann</w:t>
      </w:r>
      <w:proofErr w:type="spellEnd"/>
      <w:r w:rsidRPr="00F75165">
        <w:t xml:space="preserve">, F., </w:t>
      </w:r>
      <w:proofErr w:type="spellStart"/>
      <w:r w:rsidRPr="00F75165">
        <w:t>Mosteiro</w:t>
      </w:r>
      <w:proofErr w:type="spellEnd"/>
      <w:r w:rsidRPr="00F75165">
        <w:t xml:space="preserve">-Romero, M., Miller, C., </w:t>
      </w:r>
      <w:proofErr w:type="spellStart"/>
      <w:r w:rsidRPr="00F75165">
        <w:t>Streblow</w:t>
      </w:r>
      <w:proofErr w:type="spellEnd"/>
      <w:r w:rsidRPr="00F75165">
        <w:t>, R., 2025. Enhancing urban energy modeling: A case study of data acquisition, enrichment, and evaluation in Berlin. Energy and Buildings, Volume 346, 116070.</w:t>
      </w:r>
    </w:p>
    <w:p w14:paraId="4E87A81E" w14:textId="5929236C" w:rsidR="00BB4263" w:rsidRPr="00F75165" w:rsidRDefault="007B7AAD" w:rsidP="00B903E4">
      <w:pPr>
        <w:pStyle w:val="SWCText"/>
        <w:spacing w:line="240" w:lineRule="auto"/>
        <w:jc w:val="left"/>
      </w:pPr>
      <w:r w:rsidRPr="00F75165">
        <w:t xml:space="preserve">Swan, L. G., </w:t>
      </w:r>
      <w:proofErr w:type="spellStart"/>
      <w:r w:rsidRPr="00F75165">
        <w:t>Ugursal</w:t>
      </w:r>
      <w:proofErr w:type="spellEnd"/>
      <w:r w:rsidRPr="00F75165">
        <w:t>, V. I., 2009. Modeling of end-use energy consumption in the residential sector: A review of modeling techniques. Renewable and Sustainable Energy Reviews, Volume 13, Issue 8, 1819.</w:t>
      </w:r>
    </w:p>
    <w:p w14:paraId="1910564D" w14:textId="4BCCEDCF" w:rsidR="00F75165" w:rsidRDefault="00BB4263" w:rsidP="00B903E4">
      <w:pPr>
        <w:pStyle w:val="SWCText"/>
        <w:spacing w:line="240" w:lineRule="auto"/>
        <w:jc w:val="left"/>
      </w:pPr>
      <w:r w:rsidRPr="00F75165">
        <w:t xml:space="preserve">Westermann, P., </w:t>
      </w:r>
      <w:proofErr w:type="spellStart"/>
      <w:r w:rsidRPr="00F75165">
        <w:t>Evins</w:t>
      </w:r>
      <w:proofErr w:type="spellEnd"/>
      <w:r w:rsidRPr="00F75165">
        <w:t>, R., 2019. Surrogate modelling for sustainable building design – A review, Energy Building, Volume 198</w:t>
      </w:r>
      <w:r w:rsidR="00C46B27">
        <w:t>.</w:t>
      </w:r>
    </w:p>
    <w:p w14:paraId="178DE823" w14:textId="1DACD82E" w:rsidR="00F75165" w:rsidRPr="00F75165" w:rsidRDefault="00F75165" w:rsidP="00B903E4">
      <w:pPr>
        <w:pStyle w:val="SWCText"/>
        <w:spacing w:line="240" w:lineRule="auto"/>
        <w:jc w:val="left"/>
      </w:pPr>
      <w:r w:rsidRPr="00B1751D">
        <w:rPr>
          <w:lang w:val="de-DE"/>
        </w:rPr>
        <w:t xml:space="preserve">Ruhnau, O., Hirth, L., </w:t>
      </w:r>
      <w:proofErr w:type="spellStart"/>
      <w:r w:rsidRPr="00B1751D">
        <w:rPr>
          <w:lang w:val="de-DE"/>
        </w:rPr>
        <w:t>Praktiknjo</w:t>
      </w:r>
      <w:proofErr w:type="spellEnd"/>
      <w:r w:rsidRPr="00B1751D">
        <w:rPr>
          <w:lang w:val="de-DE"/>
        </w:rPr>
        <w:t>, A.</w:t>
      </w:r>
      <w:r w:rsidR="002225CA" w:rsidRPr="00B1751D">
        <w:rPr>
          <w:lang w:val="de-DE"/>
        </w:rPr>
        <w:t xml:space="preserve">, </w:t>
      </w:r>
      <w:r w:rsidRPr="00B1751D">
        <w:rPr>
          <w:lang w:val="de-DE"/>
        </w:rPr>
        <w:t xml:space="preserve">2019. </w:t>
      </w:r>
      <w:r w:rsidRPr="00F75165">
        <w:t>Time series of heat demand and heat</w:t>
      </w:r>
      <w:r w:rsidR="002225CA">
        <w:t xml:space="preserve"> </w:t>
      </w:r>
      <w:r w:rsidRPr="00F75165">
        <w:t xml:space="preserve">pump efficiency for energy system modeling. Scientific Data. </w:t>
      </w:r>
    </w:p>
    <w:p w14:paraId="6DF9574B" w14:textId="77777777" w:rsidR="002225CA" w:rsidRPr="002225CA" w:rsidRDefault="002225CA" w:rsidP="002225CA">
      <w:pPr>
        <w:pStyle w:val="SWCText"/>
        <w:spacing w:line="240" w:lineRule="auto"/>
        <w:rPr>
          <w:sz w:val="4"/>
          <w:szCs w:val="6"/>
        </w:rPr>
      </w:pPr>
    </w:p>
    <w:p w14:paraId="78D4FA21" w14:textId="0B2506F9" w:rsidR="007B7AAD" w:rsidRPr="00F75165" w:rsidRDefault="007B7AAD" w:rsidP="00F75165">
      <w:pPr>
        <w:pStyle w:val="SWCText"/>
        <w:jc w:val="left"/>
      </w:pPr>
      <w:r w:rsidRPr="00F75165">
        <w:t>Reference to project homepages</w:t>
      </w:r>
      <w:r w:rsidR="00F84B03">
        <w:t xml:space="preserve">, </w:t>
      </w:r>
      <w:r w:rsidRPr="00F75165">
        <w:t>research reports</w:t>
      </w:r>
      <w:r w:rsidR="00F84B03">
        <w:t xml:space="preserve">, standards, </w:t>
      </w:r>
      <w:r w:rsidR="004F2AEB">
        <w:t xml:space="preserve">other </w:t>
      </w:r>
      <w:proofErr w:type="spellStart"/>
      <w:r w:rsidR="004F2AEB">
        <w:t>desciptions</w:t>
      </w:r>
      <w:proofErr w:type="spellEnd"/>
      <w:r w:rsidR="00F84B03">
        <w:t xml:space="preserve"> and data sets</w:t>
      </w:r>
      <w:r w:rsidRPr="00F75165">
        <w:t xml:space="preserve">: </w:t>
      </w:r>
    </w:p>
    <w:p w14:paraId="031C32F1" w14:textId="13718BDB" w:rsidR="00F84B03" w:rsidRPr="00F84B03" w:rsidRDefault="00F84B03" w:rsidP="002225CA">
      <w:pPr>
        <w:pStyle w:val="SWCText"/>
        <w:spacing w:line="240" w:lineRule="auto"/>
        <w:jc w:val="left"/>
        <w:rPr>
          <w:lang w:val="de-DE"/>
        </w:rPr>
      </w:pPr>
      <w:r w:rsidRPr="00F84B03">
        <w:rPr>
          <w:lang w:val="de-DE"/>
        </w:rPr>
        <w:t xml:space="preserve">Blömer, </w:t>
      </w:r>
      <w:r>
        <w:rPr>
          <w:lang w:val="de-DE"/>
        </w:rPr>
        <w:t xml:space="preserve">S., </w:t>
      </w:r>
      <w:r w:rsidRPr="00F84B03">
        <w:rPr>
          <w:lang w:val="de-DE"/>
        </w:rPr>
        <w:t>Acker</w:t>
      </w:r>
      <w:r>
        <w:rPr>
          <w:lang w:val="de-DE"/>
        </w:rPr>
        <w:t>, Y.</w:t>
      </w:r>
      <w:r w:rsidRPr="00F84B03">
        <w:rPr>
          <w:lang w:val="de-DE"/>
        </w:rPr>
        <w:t xml:space="preserve">, Huber, </w:t>
      </w:r>
      <w:r>
        <w:rPr>
          <w:lang w:val="de-DE"/>
        </w:rPr>
        <w:t xml:space="preserve">B., </w:t>
      </w:r>
      <w:r w:rsidRPr="00F84B03">
        <w:rPr>
          <w:lang w:val="de-DE"/>
        </w:rPr>
        <w:t>Jäger</w:t>
      </w:r>
      <w:r>
        <w:rPr>
          <w:lang w:val="de-DE"/>
        </w:rPr>
        <w:t>, S.</w:t>
      </w:r>
      <w:r w:rsidRPr="00F84B03">
        <w:rPr>
          <w:lang w:val="de-DE"/>
        </w:rPr>
        <w:t>,</w:t>
      </w:r>
      <w:r>
        <w:rPr>
          <w:lang w:val="de-DE"/>
        </w:rPr>
        <w:t xml:space="preserve"> </w:t>
      </w:r>
      <w:r w:rsidRPr="00F84B03">
        <w:rPr>
          <w:lang w:val="de-DE"/>
        </w:rPr>
        <w:t>Ochse</w:t>
      </w:r>
      <w:r>
        <w:rPr>
          <w:lang w:val="de-DE"/>
        </w:rPr>
        <w:t xml:space="preserve">, S., 2025. </w:t>
      </w:r>
      <w:proofErr w:type="spellStart"/>
      <w:r>
        <w:rPr>
          <w:lang w:val="de-DE"/>
        </w:rPr>
        <w:t>Waermeatlas</w:t>
      </w:r>
      <w:proofErr w:type="spellEnd"/>
      <w:r>
        <w:rPr>
          <w:lang w:val="de-DE"/>
        </w:rPr>
        <w:t xml:space="preserve"> Deutschland 4.0. </w:t>
      </w:r>
      <w:proofErr w:type="spellStart"/>
      <w:r>
        <w:rPr>
          <w:lang w:val="de-DE"/>
        </w:rPr>
        <w:t>GIS_Modell</w:t>
      </w:r>
      <w:proofErr w:type="spellEnd"/>
      <w:r>
        <w:rPr>
          <w:lang w:val="de-DE"/>
        </w:rPr>
        <w:t xml:space="preserve"> des Nutzenergiebedarfs für Raumwärme und Warmwasser im deutschen Gebäudebestand. </w:t>
      </w:r>
      <w:r w:rsidRPr="00F84B03">
        <w:rPr>
          <w:lang w:val="de-DE"/>
        </w:rPr>
        <w:t>https://www.ifeu.de/fileadmin/uploads/Publikationen/Energie/W%C3%A4rmeatlas/Modellbeschreibung_W%C3%A4rmeatlas_Deutschland_4.0_2025.pdf</w:t>
      </w:r>
      <w:r>
        <w:rPr>
          <w:lang w:val="de-DE"/>
        </w:rPr>
        <w:t xml:space="preserve">. </w:t>
      </w:r>
      <w:r w:rsidRPr="00F84B03">
        <w:rPr>
          <w:lang w:val="de-DE"/>
        </w:rPr>
        <w:t xml:space="preserve">Last </w:t>
      </w:r>
      <w:proofErr w:type="spellStart"/>
      <w:r w:rsidRPr="00F84B03">
        <w:rPr>
          <w:lang w:val="de-DE"/>
        </w:rPr>
        <w:t>accessed</w:t>
      </w:r>
      <w:proofErr w:type="spellEnd"/>
      <w:r w:rsidRPr="00F84B03">
        <w:rPr>
          <w:lang w:val="de-DE"/>
        </w:rPr>
        <w:t xml:space="preserve">, </w:t>
      </w:r>
      <w:proofErr w:type="spellStart"/>
      <w:r w:rsidRPr="00F84B03">
        <w:rPr>
          <w:lang w:val="de-DE"/>
        </w:rPr>
        <w:t>February</w:t>
      </w:r>
      <w:proofErr w:type="spellEnd"/>
      <w:r w:rsidRPr="00F84B03">
        <w:rPr>
          <w:lang w:val="de-DE"/>
        </w:rPr>
        <w:t xml:space="preserve"> 26, 2026.</w:t>
      </w:r>
      <w:r>
        <w:rPr>
          <w:lang w:val="de-DE"/>
        </w:rPr>
        <w:t xml:space="preserve"> </w:t>
      </w:r>
    </w:p>
    <w:p w14:paraId="06650784" w14:textId="77777777" w:rsidR="00F84B03" w:rsidRPr="002225CA" w:rsidRDefault="00F84B03" w:rsidP="00F84B03">
      <w:pPr>
        <w:pStyle w:val="SWCText"/>
        <w:spacing w:line="240" w:lineRule="auto"/>
        <w:jc w:val="left"/>
      </w:pPr>
      <w:r w:rsidRPr="002225CA">
        <w:t xml:space="preserve">DIN EN ISO 6946:2018: </w:t>
      </w:r>
      <w:r>
        <w:t>Building components and building elements - Thermal resistance and thermal transmittance - Calculation methods.</w:t>
      </w:r>
    </w:p>
    <w:p w14:paraId="11D07D56" w14:textId="1ACF30F9" w:rsidR="00F84B03" w:rsidRPr="002225CA" w:rsidRDefault="00F84B03" w:rsidP="002225CA">
      <w:pPr>
        <w:pStyle w:val="SWCText"/>
        <w:spacing w:line="240" w:lineRule="auto"/>
        <w:jc w:val="left"/>
      </w:pPr>
      <w:r w:rsidRPr="002225CA">
        <w:t>DIN</w:t>
      </w:r>
      <w:r>
        <w:t>/TS</w:t>
      </w:r>
      <w:r w:rsidRPr="002225CA">
        <w:t xml:space="preserve"> 18599-10:2025</w:t>
      </w:r>
      <w:r>
        <w:t xml:space="preserve">: </w:t>
      </w:r>
      <w:r w:rsidRPr="002225CA">
        <w:t>Energy efficiency of buildings - Calculation of the net, final and primary energy demand for heating, cooling, ventilation, domestic hot water and lighting - Part 10: Boundary conditions of use, climatic data</w:t>
      </w:r>
      <w:r>
        <w:t>.</w:t>
      </w:r>
    </w:p>
    <w:p w14:paraId="11DF1BC7" w14:textId="77777777" w:rsidR="00FB0A12" w:rsidRDefault="00FB0A12" w:rsidP="00FB0A12">
      <w:pPr>
        <w:pStyle w:val="SWCText"/>
        <w:spacing w:line="240" w:lineRule="auto"/>
        <w:jc w:val="left"/>
      </w:pPr>
      <w:r w:rsidRPr="00FB0A12">
        <w:rPr>
          <w:lang w:val="de-DE"/>
        </w:rPr>
        <w:lastRenderedPageBreak/>
        <w:t xml:space="preserve">German </w:t>
      </w:r>
      <w:proofErr w:type="spellStart"/>
      <w:r w:rsidRPr="00FB0A12">
        <w:rPr>
          <w:lang w:val="de-DE"/>
        </w:rPr>
        <w:t>Weather</w:t>
      </w:r>
      <w:proofErr w:type="spellEnd"/>
      <w:r w:rsidRPr="00FB0A12">
        <w:rPr>
          <w:lang w:val="de-DE"/>
        </w:rPr>
        <w:t xml:space="preserve"> Service</w:t>
      </w:r>
      <w:r w:rsidRPr="00B1751D">
        <w:rPr>
          <w:lang w:val="de-DE"/>
        </w:rPr>
        <w:t xml:space="preserve">, Bundesinstitut für Bau-, Stadt- und Raumforschung, 2017. Handbuch, Ortsgenaue Testreferenzjahre von Deutschland für mittlere, extreme und zukünftige Witterungsverhältnisse, </w:t>
      </w:r>
      <w:hyperlink r:id="rId18" w:history="1">
        <w:r w:rsidRPr="00B1751D">
          <w:rPr>
            <w:rStyle w:val="Hyperlink"/>
            <w:color w:val="000000"/>
            <w:u w:val="none"/>
            <w:lang w:val="de-DE"/>
          </w:rPr>
          <w:t>https://www.bbsr.bund.de/BBSR/DE/forschung/programme/zb/Auftragsforschung/5EnergieKlimaBauen/2013/testreferenzjahre/try-handbuch.pdf?__blob=publicationFile&amp;v=</w:t>
        </w:r>
      </w:hyperlink>
      <w:r w:rsidRPr="00B1751D">
        <w:rPr>
          <w:lang w:val="de-DE"/>
        </w:rPr>
        <w:t xml:space="preserve">. </w:t>
      </w:r>
      <w:r w:rsidRPr="002225CA">
        <w:t>Last accessed, February 26, 2026.</w:t>
      </w:r>
    </w:p>
    <w:p w14:paraId="33B50C8A" w14:textId="3739628E" w:rsidR="004F2AEB" w:rsidRDefault="004F2AEB" w:rsidP="004F2AEB">
      <w:pPr>
        <w:pStyle w:val="SWCText"/>
        <w:spacing w:line="240" w:lineRule="auto"/>
        <w:jc w:val="left"/>
      </w:pPr>
      <w:r w:rsidRPr="00831D44">
        <w:t xml:space="preserve">Horst, D., </w:t>
      </w:r>
      <w:proofErr w:type="spellStart"/>
      <w:r w:rsidRPr="00831D44">
        <w:t>Ganal</w:t>
      </w:r>
      <w:proofErr w:type="spellEnd"/>
      <w:r w:rsidRPr="00831D44">
        <w:t xml:space="preserve">, H., Krebs, F., 2023. </w:t>
      </w:r>
      <w:r w:rsidRPr="00F75165">
        <w:t xml:space="preserve">Scalable population synthesis with conditional variational autoencoder and combinatorial optimization. Proceedings of the Workshop “Agent-based Modeling for Energy Economics and Energy Policy”, </w:t>
      </w:r>
      <w:hyperlink r:id="rId19" w:history="1">
        <w:r w:rsidRPr="002225CA">
          <w:t>https://web.archive.org/web/20240321075820id_/https://publica-rest.fraunhofer.de/server/api/core/bitstreams/c5e1e9b7-95ad-4312-95a1-60b3eeed6133/content</w:t>
        </w:r>
      </w:hyperlink>
      <w:r w:rsidRPr="00F75165">
        <w:t>. Last accessed, February 26, 2026.</w:t>
      </w:r>
    </w:p>
    <w:p w14:paraId="1D8CC996" w14:textId="669556AA" w:rsidR="007B7AAD" w:rsidRPr="002225CA" w:rsidRDefault="007B7AAD" w:rsidP="002225CA">
      <w:pPr>
        <w:pStyle w:val="SWCText"/>
        <w:spacing w:line="240" w:lineRule="auto"/>
        <w:jc w:val="left"/>
      </w:pPr>
      <w:r w:rsidRPr="002225CA">
        <w:t xml:space="preserve">Institute of Housing and Environment, 2016a. Typology Approach for Building Stock Energy Assessment, TABULA and Energy Performance Indicator Tracking Schemes for the Continuous </w:t>
      </w:r>
      <w:proofErr w:type="spellStart"/>
      <w:r w:rsidRPr="002225CA">
        <w:t>Optimisation</w:t>
      </w:r>
      <w:proofErr w:type="spellEnd"/>
      <w:r w:rsidRPr="002225CA">
        <w:t xml:space="preserve"> of Refurbishment Processes in European Housing Stocks, EPISCOPE. </w:t>
      </w:r>
      <w:hyperlink r:id="rId20" w:history="1">
        <w:r w:rsidRPr="002225CA">
          <w:rPr>
            <w:rStyle w:val="Hyperlink"/>
            <w:color w:val="000000"/>
            <w:u w:val="none"/>
          </w:rPr>
          <w:t>https://episcope.eu/building-typology/</w:t>
        </w:r>
      </w:hyperlink>
      <w:r w:rsidRPr="002225CA">
        <w:t>. Last accessed, February 26, 2026.</w:t>
      </w:r>
    </w:p>
    <w:p w14:paraId="47738305" w14:textId="4D278238" w:rsidR="00F75165" w:rsidRPr="002225CA" w:rsidRDefault="007B7AAD" w:rsidP="002225CA">
      <w:pPr>
        <w:pStyle w:val="SWCText"/>
        <w:spacing w:line="240" w:lineRule="auto"/>
        <w:jc w:val="left"/>
      </w:pPr>
      <w:r w:rsidRPr="002225CA">
        <w:t xml:space="preserve">Institute of Housing and Environment, 2016b. Monitor Progress Towards Climate Targets in European Housing Stocks, Main Results of the EPISCOPE Project, Final Project Report, </w:t>
      </w:r>
      <w:hyperlink r:id="rId21" w:history="1">
        <w:r w:rsidRPr="002225CA">
          <w:rPr>
            <w:rStyle w:val="Hyperlink"/>
            <w:color w:val="000000"/>
            <w:u w:val="none"/>
          </w:rPr>
          <w:t>https://episcope.eu/fileadmin/episcope/public/docs/reports/EPISCOPE_FinalReport.pdf</w:t>
        </w:r>
      </w:hyperlink>
      <w:r w:rsidRPr="002225CA">
        <w:t xml:space="preserve">. Last accessed, February 26, 2026. </w:t>
      </w:r>
    </w:p>
    <w:p w14:paraId="389E5EE4" w14:textId="4856123E" w:rsidR="00F75165" w:rsidRPr="00831D44" w:rsidRDefault="00F75165" w:rsidP="002225CA">
      <w:pPr>
        <w:pStyle w:val="SWCText"/>
        <w:spacing w:line="240" w:lineRule="auto"/>
        <w:jc w:val="left"/>
      </w:pPr>
      <w:r w:rsidRPr="002225CA">
        <w:t xml:space="preserve">Institute for Housing and Environment et al., 2016c: Institute for Housing and Environment, 2016. </w:t>
      </w:r>
      <w:r w:rsidRPr="00B1751D">
        <w:rPr>
          <w:lang w:val="de-DE"/>
        </w:rPr>
        <w:t xml:space="preserve">„TABULA“ – Entwicklung von Gebäudetypologien zur energetischen Bewertung des Wohngebäudebestands in 13 europäischen Ländern, TABULA-Analyses_DE-Typology_DataTables.zip, </w:t>
      </w:r>
      <w:hyperlink r:id="rId22" w:history="1">
        <w:r w:rsidRPr="00B1751D">
          <w:rPr>
            <w:rStyle w:val="Hyperlink"/>
            <w:color w:val="000000"/>
            <w:u w:val="none"/>
            <w:lang w:val="de-DE"/>
          </w:rPr>
          <w:t>https://www.iwu.de/index.php?id=205</w:t>
        </w:r>
      </w:hyperlink>
      <w:r w:rsidRPr="00B1751D">
        <w:rPr>
          <w:lang w:val="de-DE"/>
        </w:rPr>
        <w:t xml:space="preserve">. </w:t>
      </w:r>
      <w:r w:rsidRPr="00831D44">
        <w:t>Last accessed, February 26, 2026.</w:t>
      </w:r>
    </w:p>
    <w:p w14:paraId="2906A8D2" w14:textId="4A71D92E" w:rsidR="004F2AEB" w:rsidRPr="004F2AEB" w:rsidRDefault="004F2AEB" w:rsidP="002225CA">
      <w:pPr>
        <w:pStyle w:val="SWCText"/>
        <w:spacing w:line="240" w:lineRule="auto"/>
        <w:jc w:val="left"/>
        <w:rPr>
          <w:lang w:val="de-DE"/>
        </w:rPr>
      </w:pPr>
      <w:r w:rsidRPr="00F75165">
        <w:t xml:space="preserve">Jordan, U., </w:t>
      </w:r>
      <w:proofErr w:type="spellStart"/>
      <w:r w:rsidRPr="00F75165">
        <w:t>Vajen</w:t>
      </w:r>
      <w:proofErr w:type="spellEnd"/>
      <w:r w:rsidRPr="00F75165">
        <w:t xml:space="preserve">, K., 2000. Influence of the </w:t>
      </w:r>
      <w:proofErr w:type="spellStart"/>
      <w:r w:rsidRPr="00F75165">
        <w:t>dhw</w:t>
      </w:r>
      <w:proofErr w:type="spellEnd"/>
      <w:r w:rsidRPr="00F75165">
        <w:t>-load profile on the fractional energy savings: a case study of a</w:t>
      </w:r>
      <w:r>
        <w:t xml:space="preserve"> </w:t>
      </w:r>
      <w:r w:rsidRPr="00F75165">
        <w:t xml:space="preserve">solar combi-system with </w:t>
      </w:r>
      <w:proofErr w:type="spellStart"/>
      <w:r w:rsidRPr="00F75165">
        <w:t>trnsys</w:t>
      </w:r>
      <w:proofErr w:type="spellEnd"/>
      <w:r w:rsidRPr="00F75165">
        <w:t xml:space="preserve"> simulations, Proc. </w:t>
      </w:r>
      <w:proofErr w:type="spellStart"/>
      <w:r w:rsidRPr="00B1751D">
        <w:rPr>
          <w:lang w:val="de-DE"/>
        </w:rPr>
        <w:t>EuroSun</w:t>
      </w:r>
      <w:proofErr w:type="spellEnd"/>
      <w:r w:rsidRPr="00B1751D">
        <w:rPr>
          <w:lang w:val="de-DE"/>
        </w:rPr>
        <w:t xml:space="preserve"> '00, </w:t>
      </w:r>
      <w:proofErr w:type="spellStart"/>
      <w:r w:rsidRPr="00B1751D">
        <w:rPr>
          <w:lang w:val="de-DE"/>
        </w:rPr>
        <w:t>Copenhagen</w:t>
      </w:r>
      <w:proofErr w:type="spellEnd"/>
      <w:r w:rsidRPr="00B1751D">
        <w:rPr>
          <w:lang w:val="de-DE"/>
        </w:rPr>
        <w:t xml:space="preserve"> (DK), 19. - 22.6.2000, CD, </w:t>
      </w:r>
      <w:hyperlink r:id="rId23" w:history="1">
        <w:r w:rsidRPr="00B1751D">
          <w:rPr>
            <w:lang w:val="de-DE"/>
          </w:rPr>
          <w:t>https://www.uni-kassel.de/maschinenbau/institute/thermische-energietechnik/fachgebiete/solar-und-anlagentechnik/downloads.html</w:t>
        </w:r>
      </w:hyperlink>
      <w:r w:rsidRPr="00B1751D">
        <w:rPr>
          <w:lang w:val="de-DE"/>
        </w:rPr>
        <w:t>.</w:t>
      </w:r>
    </w:p>
    <w:p w14:paraId="7DC91B24" w14:textId="2EB69B3F" w:rsidR="004F2AEB" w:rsidRPr="00831D44" w:rsidRDefault="002225CA" w:rsidP="004F2AEB">
      <w:pPr>
        <w:pStyle w:val="SWCText"/>
        <w:spacing w:line="240" w:lineRule="auto"/>
        <w:jc w:val="left"/>
      </w:pPr>
      <w:r w:rsidRPr="00831D44">
        <w:rPr>
          <w:lang w:val="de-DE"/>
        </w:rPr>
        <w:t xml:space="preserve">Lohse, L., </w:t>
      </w:r>
      <w:proofErr w:type="spellStart"/>
      <w:r w:rsidRPr="00831D44">
        <w:rPr>
          <w:lang w:val="de-DE"/>
        </w:rPr>
        <w:t>Vukadinovic</w:t>
      </w:r>
      <w:proofErr w:type="spellEnd"/>
      <w:r w:rsidRPr="00831D44">
        <w:rPr>
          <w:lang w:val="de-DE"/>
        </w:rPr>
        <w:t xml:space="preserve">, M., Maas, A., Klauß, S., 2025. </w:t>
      </w:r>
      <w:r w:rsidRPr="00B1751D">
        <w:rPr>
          <w:lang w:val="de-DE"/>
        </w:rPr>
        <w:t xml:space="preserve">Online-Datenbank Altbauatlas Fortschreibung der Deutschlandkarte für Altbaumaterialien und -konstruktionen, </w:t>
      </w:r>
      <w:proofErr w:type="spellStart"/>
      <w:r w:rsidRPr="00B1751D">
        <w:rPr>
          <w:lang w:val="de-DE"/>
        </w:rPr>
        <w:t>BBSROnline</w:t>
      </w:r>
      <w:proofErr w:type="spellEnd"/>
      <w:r w:rsidRPr="00B1751D">
        <w:rPr>
          <w:lang w:val="de-DE"/>
        </w:rPr>
        <w:t xml:space="preserve">-Publikation 17/2025, </w:t>
      </w:r>
      <w:hyperlink r:id="rId24" w:history="1">
        <w:r w:rsidRPr="00B1751D">
          <w:rPr>
            <w:rStyle w:val="Hyperlink"/>
            <w:color w:val="000000"/>
            <w:u w:val="none"/>
            <w:lang w:val="de-DE"/>
          </w:rPr>
          <w:t>https://www.bbsr.bund.de/BBSR/DE/veroeffentlichungen/bbsr-online/2025/bbsr-online-017-2025-dl.pdf?__blob=publicationFile&amp;v=2</w:t>
        </w:r>
      </w:hyperlink>
      <w:r w:rsidRPr="00B1751D">
        <w:rPr>
          <w:lang w:val="de-DE"/>
        </w:rPr>
        <w:t xml:space="preserve">, </w:t>
      </w:r>
      <w:proofErr w:type="spellStart"/>
      <w:r w:rsidRPr="00B1751D">
        <w:rPr>
          <w:lang w:val="de-DE"/>
        </w:rPr>
        <w:t>direct</w:t>
      </w:r>
      <w:proofErr w:type="spellEnd"/>
      <w:r w:rsidRPr="00B1751D">
        <w:rPr>
          <w:lang w:val="de-DE"/>
        </w:rPr>
        <w:t xml:space="preserve"> link </w:t>
      </w:r>
      <w:proofErr w:type="spellStart"/>
      <w:r w:rsidRPr="00B1751D">
        <w:rPr>
          <w:lang w:val="de-DE"/>
        </w:rPr>
        <w:t>to</w:t>
      </w:r>
      <w:proofErr w:type="spellEnd"/>
      <w:r w:rsidRPr="00B1751D">
        <w:rPr>
          <w:lang w:val="de-DE"/>
        </w:rPr>
        <w:t xml:space="preserve"> </w:t>
      </w:r>
      <w:proofErr w:type="spellStart"/>
      <w:r w:rsidRPr="00B1751D">
        <w:rPr>
          <w:lang w:val="de-DE"/>
        </w:rPr>
        <w:t>database</w:t>
      </w:r>
      <w:proofErr w:type="spellEnd"/>
      <w:r w:rsidRPr="00B1751D">
        <w:rPr>
          <w:lang w:val="de-DE"/>
        </w:rPr>
        <w:t xml:space="preserve">: </w:t>
      </w:r>
      <w:hyperlink r:id="rId25" w:history="1">
        <w:r w:rsidRPr="00B1751D">
          <w:rPr>
            <w:rStyle w:val="Hyperlink"/>
            <w:color w:val="000000"/>
            <w:u w:val="none"/>
            <w:lang w:val="de-DE"/>
          </w:rPr>
          <w:t>https://www.altbauatlas.de/index.php?suche=1</w:t>
        </w:r>
      </w:hyperlink>
      <w:r w:rsidRPr="00B1751D">
        <w:rPr>
          <w:lang w:val="de-DE"/>
        </w:rPr>
        <w:t xml:space="preserve">. </w:t>
      </w:r>
      <w:r w:rsidRPr="00831D44">
        <w:t>Last accessed, February 26, 2026.</w:t>
      </w:r>
    </w:p>
    <w:p w14:paraId="3E71A48C" w14:textId="77777777" w:rsidR="00C46B27" w:rsidRPr="00831D44" w:rsidRDefault="00C46B27" w:rsidP="00C46B27">
      <w:pPr>
        <w:pStyle w:val="SWCText"/>
        <w:spacing w:line="240" w:lineRule="auto"/>
        <w:jc w:val="left"/>
        <w:rPr>
          <w:lang w:val="de-DE"/>
        </w:rPr>
      </w:pPr>
      <w:r w:rsidRPr="00F75165">
        <w:t xml:space="preserve">State Office for Geoinformation and Regional Development of Baden-Württemberg, 2026. General information about the Official Real Estate </w:t>
      </w:r>
      <w:proofErr w:type="spellStart"/>
      <w:r w:rsidRPr="00F75165">
        <w:t>Cadastre</w:t>
      </w:r>
      <w:proofErr w:type="spellEnd"/>
      <w:r w:rsidRPr="00F75165">
        <w:t xml:space="preserve"> Information System, (in </w:t>
      </w:r>
      <w:proofErr w:type="spellStart"/>
      <w:r w:rsidRPr="00F75165">
        <w:t>german</w:t>
      </w:r>
      <w:proofErr w:type="spellEnd"/>
      <w:r w:rsidRPr="00F75165">
        <w:t xml:space="preserve"> </w:t>
      </w:r>
      <w:proofErr w:type="spellStart"/>
      <w:r w:rsidRPr="00F75165">
        <w:t>Amtliche</w:t>
      </w:r>
      <w:proofErr w:type="spellEnd"/>
      <w:r w:rsidRPr="00F75165">
        <w:t xml:space="preserve"> </w:t>
      </w:r>
      <w:proofErr w:type="spellStart"/>
      <w:r w:rsidRPr="00F75165">
        <w:t>Liegenschaftskataster</w:t>
      </w:r>
      <w:proofErr w:type="spellEnd"/>
      <w:r w:rsidRPr="00F75165">
        <w:t xml:space="preserve"> </w:t>
      </w:r>
      <w:proofErr w:type="spellStart"/>
      <w:r w:rsidRPr="00F75165">
        <w:t>Informationssystem</w:t>
      </w:r>
      <w:proofErr w:type="spellEnd"/>
      <w:r w:rsidRPr="00F75165">
        <w:t xml:space="preserve">, ALKIS), </w:t>
      </w:r>
      <w:hyperlink r:id="rId26" w:history="1">
        <w:r w:rsidRPr="002225CA">
          <w:t>https://www.lgl-bw.de/Produkte/Liegenschaftskataster/ALKIS/</w:t>
        </w:r>
      </w:hyperlink>
      <w:r w:rsidRPr="00F75165">
        <w:t xml:space="preserve">. </w:t>
      </w:r>
      <w:r w:rsidRPr="00831D44">
        <w:rPr>
          <w:lang w:val="de-DE"/>
        </w:rPr>
        <w:t xml:space="preserve">Last </w:t>
      </w:r>
      <w:proofErr w:type="spellStart"/>
      <w:r w:rsidRPr="00831D44">
        <w:rPr>
          <w:lang w:val="de-DE"/>
        </w:rPr>
        <w:t>accessed</w:t>
      </w:r>
      <w:proofErr w:type="spellEnd"/>
      <w:r w:rsidRPr="00831D44">
        <w:rPr>
          <w:lang w:val="de-DE"/>
        </w:rPr>
        <w:t>, August 14, 2026.</w:t>
      </w:r>
    </w:p>
    <w:p w14:paraId="335C5137" w14:textId="296C5E51" w:rsidR="0060589D" w:rsidRPr="0061020F" w:rsidRDefault="00B33244" w:rsidP="002225CA">
      <w:pPr>
        <w:pStyle w:val="SWCText"/>
        <w:spacing w:line="240" w:lineRule="auto"/>
        <w:jc w:val="left"/>
      </w:pPr>
      <w:r w:rsidRPr="00B1751D">
        <w:rPr>
          <w:lang w:val="de-DE"/>
        </w:rPr>
        <w:t xml:space="preserve">Stein, B., </w:t>
      </w:r>
      <w:proofErr w:type="spellStart"/>
      <w:r w:rsidRPr="00B1751D">
        <w:rPr>
          <w:lang w:val="de-DE"/>
        </w:rPr>
        <w:t>Loga</w:t>
      </w:r>
      <w:proofErr w:type="spellEnd"/>
      <w:r w:rsidRPr="00B1751D">
        <w:rPr>
          <w:lang w:val="de-DE"/>
        </w:rPr>
        <w:t xml:space="preserve">, T., Müller, A., 2025. Repräsentative Typgebäude als Erweiterung der deutschen Wohngebäudetypologie. </w:t>
      </w:r>
      <w:proofErr w:type="spellStart"/>
      <w:r w:rsidRPr="0061020F">
        <w:t>Schlussbericht</w:t>
      </w:r>
      <w:proofErr w:type="spellEnd"/>
      <w:r w:rsidRPr="0061020F">
        <w:t xml:space="preserve">. </w:t>
      </w:r>
      <w:proofErr w:type="spellStart"/>
      <w:r w:rsidRPr="0061020F">
        <w:t>Zenodo</w:t>
      </w:r>
      <w:proofErr w:type="spellEnd"/>
      <w:r w:rsidRPr="0061020F">
        <w:t xml:space="preserve">, </w:t>
      </w:r>
      <w:proofErr w:type="spellStart"/>
      <w:r w:rsidRPr="0061020F">
        <w:t>doi</w:t>
      </w:r>
      <w:proofErr w:type="spellEnd"/>
      <w:r w:rsidRPr="0061020F">
        <w:t xml:space="preserve">: 10.5281/ZENODO.15482864 with dataset </w:t>
      </w:r>
      <w:proofErr w:type="spellStart"/>
      <w:r w:rsidRPr="0061020F">
        <w:t>doi</w:t>
      </w:r>
      <w:proofErr w:type="spellEnd"/>
      <w:r w:rsidRPr="0061020F">
        <w:t xml:space="preserve">: 10.5281/zenodo.15488548. Last accessed, February 26, 2026. </w:t>
      </w:r>
    </w:p>
    <w:p w14:paraId="283158D7" w14:textId="6AD145FF" w:rsidR="004F2AEB" w:rsidRPr="00B1751D" w:rsidRDefault="00F84B03" w:rsidP="002225CA">
      <w:pPr>
        <w:pStyle w:val="SWCText"/>
        <w:spacing w:line="240" w:lineRule="auto"/>
        <w:jc w:val="left"/>
        <w:rPr>
          <w:rStyle w:val="Hyperlink"/>
          <w:color w:val="000000"/>
          <w:u w:val="none"/>
        </w:rPr>
      </w:pPr>
      <w:r>
        <w:t xml:space="preserve">Watson, T.E., Arnold, C.G., Baxter, V.D., Borges, D.S., Cabot, P.W., Clements, </w:t>
      </w:r>
      <w:r w:rsidRPr="00A055C1">
        <w:t>W.S</w:t>
      </w:r>
      <w:r>
        <w:t>.,</w:t>
      </w:r>
      <w:r w:rsidRPr="00A055C1">
        <w:t xml:space="preserve"> </w:t>
      </w:r>
      <w:r>
        <w:t xml:space="preserve">Coward, C.W., Crowder, H.L., Dougherty, B.P., Evans, R.A., Hallstrom, A.D., </w:t>
      </w:r>
      <w:proofErr w:type="spellStart"/>
      <w:r>
        <w:t>Hermans</w:t>
      </w:r>
      <w:proofErr w:type="spellEnd"/>
      <w:r>
        <w:t xml:space="preserve">, R.D., Hogan, J.F., </w:t>
      </w:r>
      <w:proofErr w:type="spellStart"/>
      <w:r>
        <w:t>Kohloss</w:t>
      </w:r>
      <w:proofErr w:type="spellEnd"/>
      <w:r>
        <w:t xml:space="preserve">, F.H., Landman, W.J., Lewis, R.H., Montgomery, R.D., </w:t>
      </w:r>
      <w:proofErr w:type="spellStart"/>
      <w:r>
        <w:t>Novosel</w:t>
      </w:r>
      <w:proofErr w:type="spellEnd"/>
      <w:r>
        <w:t xml:space="preserve">, D., </w:t>
      </w:r>
      <w:proofErr w:type="spellStart"/>
      <w:r>
        <w:t>Stanke</w:t>
      </w:r>
      <w:proofErr w:type="spellEnd"/>
      <w:r>
        <w:t xml:space="preserve">, D.A., Tavares, M., Taylor, S.T., Wright, J.R., </w:t>
      </w:r>
      <w:proofErr w:type="spellStart"/>
      <w:r>
        <w:t>Burgett</w:t>
      </w:r>
      <w:proofErr w:type="spellEnd"/>
      <w:r>
        <w:t xml:space="preserve">, L.W., </w:t>
      </w:r>
      <w:proofErr w:type="spellStart"/>
      <w:r>
        <w:t>Holness</w:t>
      </w:r>
      <w:proofErr w:type="spellEnd"/>
      <w:r>
        <w:t xml:space="preserve">, G.V.R., </w:t>
      </w:r>
      <w:proofErr w:type="spellStart"/>
      <w:r>
        <w:t>Ramspeck</w:t>
      </w:r>
      <w:proofErr w:type="spellEnd"/>
      <w:r>
        <w:t xml:space="preserve">, C.B., 2002. ASHRAE Guideline 14–2002: Measurement of Energy and Demand Savings. </w:t>
      </w:r>
    </w:p>
    <w:p w14:paraId="5A1D29D7" w14:textId="77777777" w:rsidR="00BE12F9" w:rsidRDefault="00BE12F9" w:rsidP="002438E6">
      <w:pPr>
        <w:rPr>
          <w:lang w:val="en-GB"/>
        </w:rPr>
      </w:pPr>
    </w:p>
    <w:sectPr w:rsidR="00BE12F9" w:rsidSect="000548A8">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C2B4" w14:textId="77777777" w:rsidR="00C438A1" w:rsidRDefault="00C438A1">
      <w:r>
        <w:separator/>
      </w:r>
    </w:p>
  </w:endnote>
  <w:endnote w:type="continuationSeparator" w:id="0">
    <w:p w14:paraId="2457559F" w14:textId="77777777" w:rsidR="00C438A1" w:rsidRDefault="00C4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30DE8" w14:textId="77777777" w:rsidR="00C438A1" w:rsidRDefault="00C438A1">
      <w:r>
        <w:separator/>
      </w:r>
    </w:p>
  </w:footnote>
  <w:footnote w:type="continuationSeparator" w:id="0">
    <w:p w14:paraId="2C8AA937" w14:textId="77777777" w:rsidR="00C438A1" w:rsidRDefault="00C43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E9631FC"/>
    <w:multiLevelType w:val="multilevel"/>
    <w:tmpl w:val="A81E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F1796"/>
    <w:multiLevelType w:val="hybridMultilevel"/>
    <w:tmpl w:val="0CF09C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9B30BA"/>
    <w:multiLevelType w:val="hybridMultilevel"/>
    <w:tmpl w:val="D4FEC26C"/>
    <w:lvl w:ilvl="0" w:tplc="38A2F54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360"/>
        </w:tabs>
        <w:ind w:left="360" w:hanging="360"/>
      </w:pPr>
      <w:rPr>
        <w:rFonts w:ascii="Symbol" w:hAnsi="Symbol" w:hint="default"/>
        <w:b w:val="0"/>
        <w:i w:val="0"/>
        <w:color w:val="000000"/>
        <w:sz w:val="20"/>
        <w:szCs w:val="20"/>
        <w:u w:val="none"/>
      </w:rPr>
    </w:lvl>
    <w:lvl w:ilvl="1" w:tplc="04070003">
      <w:start w:val="1"/>
      <w:numFmt w:val="bullet"/>
      <w:lvlText w:val="o"/>
      <w:lvlJc w:val="left"/>
      <w:pPr>
        <w:tabs>
          <w:tab w:val="num" w:pos="626"/>
        </w:tabs>
        <w:ind w:left="626" w:hanging="360"/>
      </w:pPr>
      <w:rPr>
        <w:rFonts w:ascii="Courier New" w:hAnsi="Courier New" w:cs="Courier New" w:hint="default"/>
      </w:rPr>
    </w:lvl>
    <w:lvl w:ilvl="2" w:tplc="04070005" w:tentative="1">
      <w:start w:val="1"/>
      <w:numFmt w:val="bullet"/>
      <w:lvlText w:val=""/>
      <w:lvlJc w:val="left"/>
      <w:pPr>
        <w:tabs>
          <w:tab w:val="num" w:pos="1346"/>
        </w:tabs>
        <w:ind w:left="1346" w:hanging="360"/>
      </w:pPr>
      <w:rPr>
        <w:rFonts w:ascii="Wingdings" w:hAnsi="Wingdings" w:hint="default"/>
      </w:rPr>
    </w:lvl>
    <w:lvl w:ilvl="3" w:tplc="04070001" w:tentative="1">
      <w:start w:val="1"/>
      <w:numFmt w:val="bullet"/>
      <w:lvlText w:val=""/>
      <w:lvlJc w:val="left"/>
      <w:pPr>
        <w:tabs>
          <w:tab w:val="num" w:pos="2066"/>
        </w:tabs>
        <w:ind w:left="2066" w:hanging="360"/>
      </w:pPr>
      <w:rPr>
        <w:rFonts w:ascii="Symbol" w:hAnsi="Symbol" w:hint="default"/>
      </w:rPr>
    </w:lvl>
    <w:lvl w:ilvl="4" w:tplc="04070003" w:tentative="1">
      <w:start w:val="1"/>
      <w:numFmt w:val="bullet"/>
      <w:lvlText w:val="o"/>
      <w:lvlJc w:val="left"/>
      <w:pPr>
        <w:tabs>
          <w:tab w:val="num" w:pos="2786"/>
        </w:tabs>
        <w:ind w:left="2786" w:hanging="360"/>
      </w:pPr>
      <w:rPr>
        <w:rFonts w:ascii="Courier New" w:hAnsi="Courier New" w:cs="Courier New" w:hint="default"/>
      </w:rPr>
    </w:lvl>
    <w:lvl w:ilvl="5" w:tplc="04070005" w:tentative="1">
      <w:start w:val="1"/>
      <w:numFmt w:val="bullet"/>
      <w:lvlText w:val=""/>
      <w:lvlJc w:val="left"/>
      <w:pPr>
        <w:tabs>
          <w:tab w:val="num" w:pos="3506"/>
        </w:tabs>
        <w:ind w:left="3506" w:hanging="360"/>
      </w:pPr>
      <w:rPr>
        <w:rFonts w:ascii="Wingdings" w:hAnsi="Wingdings" w:hint="default"/>
      </w:rPr>
    </w:lvl>
    <w:lvl w:ilvl="6" w:tplc="04070001" w:tentative="1">
      <w:start w:val="1"/>
      <w:numFmt w:val="bullet"/>
      <w:lvlText w:val=""/>
      <w:lvlJc w:val="left"/>
      <w:pPr>
        <w:tabs>
          <w:tab w:val="num" w:pos="4226"/>
        </w:tabs>
        <w:ind w:left="4226" w:hanging="360"/>
      </w:pPr>
      <w:rPr>
        <w:rFonts w:ascii="Symbol" w:hAnsi="Symbol" w:hint="default"/>
      </w:rPr>
    </w:lvl>
    <w:lvl w:ilvl="7" w:tplc="04070003" w:tentative="1">
      <w:start w:val="1"/>
      <w:numFmt w:val="bullet"/>
      <w:lvlText w:val="o"/>
      <w:lvlJc w:val="left"/>
      <w:pPr>
        <w:tabs>
          <w:tab w:val="num" w:pos="4946"/>
        </w:tabs>
        <w:ind w:left="4946" w:hanging="360"/>
      </w:pPr>
      <w:rPr>
        <w:rFonts w:ascii="Courier New" w:hAnsi="Courier New" w:cs="Courier New" w:hint="default"/>
      </w:rPr>
    </w:lvl>
    <w:lvl w:ilvl="8" w:tplc="04070005" w:tentative="1">
      <w:start w:val="1"/>
      <w:numFmt w:val="bullet"/>
      <w:lvlText w:val=""/>
      <w:lvlJc w:val="left"/>
      <w:pPr>
        <w:tabs>
          <w:tab w:val="num" w:pos="5666"/>
        </w:tabs>
        <w:ind w:left="5666"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94C7804"/>
    <w:multiLevelType w:val="multilevel"/>
    <w:tmpl w:val="034C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0279AF"/>
    <w:multiLevelType w:val="multilevel"/>
    <w:tmpl w:val="3DBE0584"/>
    <w:lvl w:ilvl="0">
      <w:start w:val="1"/>
      <w:numFmt w:val="decimal"/>
      <w:pStyle w:val="SWCHeading1"/>
      <w:lvlText w:val="%1."/>
      <w:lvlJc w:val="left"/>
      <w:pPr>
        <w:tabs>
          <w:tab w:val="num" w:pos="720"/>
        </w:tabs>
        <w:ind w:left="720" w:hanging="360"/>
      </w:pPr>
      <w:rPr>
        <w:rFonts w:ascii="Times New Roman" w:hAnsi="Times New Roman" w:cs="Times New Roman"/>
        <w:b/>
        <w:bCs/>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9DF5E7A"/>
    <w:multiLevelType w:val="multilevel"/>
    <w:tmpl w:val="4FE2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B07D56"/>
    <w:multiLevelType w:val="multilevel"/>
    <w:tmpl w:val="399C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3"/>
  </w:num>
  <w:num w:numId="4">
    <w:abstractNumId w:val="28"/>
  </w:num>
  <w:num w:numId="5">
    <w:abstractNumId w:val="4"/>
  </w:num>
  <w:num w:numId="6">
    <w:abstractNumId w:val="3"/>
  </w:num>
  <w:num w:numId="7">
    <w:abstractNumId w:val="0"/>
  </w:num>
  <w:num w:numId="8">
    <w:abstractNumId w:val="2"/>
  </w:num>
  <w:num w:numId="9">
    <w:abstractNumId w:val="1"/>
  </w:num>
  <w:num w:numId="10">
    <w:abstractNumId w:val="8"/>
  </w:num>
  <w:num w:numId="11">
    <w:abstractNumId w:val="22"/>
  </w:num>
  <w:num w:numId="12">
    <w:abstractNumId w:val="17"/>
  </w:num>
  <w:num w:numId="13">
    <w:abstractNumId w:val="8"/>
    <w:lvlOverride w:ilvl="0">
      <w:startOverride w:val="1"/>
    </w:lvlOverride>
  </w:num>
  <w:num w:numId="14">
    <w:abstractNumId w:val="20"/>
  </w:num>
  <w:num w:numId="15">
    <w:abstractNumId w:val="9"/>
  </w:num>
  <w:num w:numId="16">
    <w:abstractNumId w:val="16"/>
  </w:num>
  <w:num w:numId="17">
    <w:abstractNumId w:val="19"/>
  </w:num>
  <w:num w:numId="18">
    <w:abstractNumId w:val="24"/>
  </w:num>
  <w:num w:numId="19">
    <w:abstractNumId w:val="12"/>
  </w:num>
  <w:num w:numId="20">
    <w:abstractNumId w:val="11"/>
  </w:num>
  <w:num w:numId="21">
    <w:abstractNumId w:val="15"/>
  </w:num>
  <w:num w:numId="22">
    <w:abstractNumId w:val="23"/>
  </w:num>
  <w:num w:numId="23">
    <w:abstractNumId w:val="18"/>
  </w:num>
  <w:num w:numId="24">
    <w:abstractNumId w:val="25"/>
  </w:num>
  <w:num w:numId="25">
    <w:abstractNumId w:val="22"/>
    <w:lvlOverride w:ilvl="0">
      <w:startOverride w:val="1"/>
    </w:lvlOverride>
  </w:num>
  <w:num w:numId="26">
    <w:abstractNumId w:val="22"/>
    <w:lvlOverride w:ilvl="0">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21"/>
  </w:num>
  <w:num w:numId="34">
    <w:abstractNumId w:val="26"/>
  </w:num>
  <w:num w:numId="35">
    <w:abstractNumId w:val="27"/>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EA6"/>
    <w:rsid w:val="000067DB"/>
    <w:rsid w:val="00010262"/>
    <w:rsid w:val="00015002"/>
    <w:rsid w:val="00016A7A"/>
    <w:rsid w:val="00017BCC"/>
    <w:rsid w:val="000219FA"/>
    <w:rsid w:val="0002379F"/>
    <w:rsid w:val="00024CFB"/>
    <w:rsid w:val="00025941"/>
    <w:rsid w:val="0002642B"/>
    <w:rsid w:val="000308D5"/>
    <w:rsid w:val="00031F13"/>
    <w:rsid w:val="00035CBC"/>
    <w:rsid w:val="0004235D"/>
    <w:rsid w:val="00045247"/>
    <w:rsid w:val="0005003E"/>
    <w:rsid w:val="000533E4"/>
    <w:rsid w:val="000534F5"/>
    <w:rsid w:val="00053E02"/>
    <w:rsid w:val="00054206"/>
    <w:rsid w:val="000548A8"/>
    <w:rsid w:val="00055ACB"/>
    <w:rsid w:val="00055DB9"/>
    <w:rsid w:val="00055DF6"/>
    <w:rsid w:val="000563ED"/>
    <w:rsid w:val="00057B5E"/>
    <w:rsid w:val="00061EA0"/>
    <w:rsid w:val="00064358"/>
    <w:rsid w:val="00066B26"/>
    <w:rsid w:val="00066F72"/>
    <w:rsid w:val="000678AC"/>
    <w:rsid w:val="000712A1"/>
    <w:rsid w:val="000725B6"/>
    <w:rsid w:val="00074DBF"/>
    <w:rsid w:val="00090EEE"/>
    <w:rsid w:val="00092ED5"/>
    <w:rsid w:val="00093E49"/>
    <w:rsid w:val="000A00C7"/>
    <w:rsid w:val="000A0ADB"/>
    <w:rsid w:val="000A1CC8"/>
    <w:rsid w:val="000A30A5"/>
    <w:rsid w:val="000A36B5"/>
    <w:rsid w:val="000A52A1"/>
    <w:rsid w:val="000B04BE"/>
    <w:rsid w:val="000B09B5"/>
    <w:rsid w:val="000B1F4D"/>
    <w:rsid w:val="000B646A"/>
    <w:rsid w:val="000C06A6"/>
    <w:rsid w:val="000C07AB"/>
    <w:rsid w:val="000C07FF"/>
    <w:rsid w:val="000C2344"/>
    <w:rsid w:val="000C2AB5"/>
    <w:rsid w:val="000C2AE5"/>
    <w:rsid w:val="000C6507"/>
    <w:rsid w:val="000D3A9D"/>
    <w:rsid w:val="000D64B9"/>
    <w:rsid w:val="000D6E1A"/>
    <w:rsid w:val="000D6F75"/>
    <w:rsid w:val="000E1855"/>
    <w:rsid w:val="000E4777"/>
    <w:rsid w:val="000E64E1"/>
    <w:rsid w:val="000E6618"/>
    <w:rsid w:val="000E6CBA"/>
    <w:rsid w:val="000F5182"/>
    <w:rsid w:val="000F739B"/>
    <w:rsid w:val="0010501A"/>
    <w:rsid w:val="00112267"/>
    <w:rsid w:val="001127DA"/>
    <w:rsid w:val="00115D3B"/>
    <w:rsid w:val="0011692F"/>
    <w:rsid w:val="0013222F"/>
    <w:rsid w:val="00134F48"/>
    <w:rsid w:val="00136177"/>
    <w:rsid w:val="001402B9"/>
    <w:rsid w:val="001416AA"/>
    <w:rsid w:val="00142CD0"/>
    <w:rsid w:val="001462EF"/>
    <w:rsid w:val="0015090D"/>
    <w:rsid w:val="00150B42"/>
    <w:rsid w:val="00151CB8"/>
    <w:rsid w:val="00152708"/>
    <w:rsid w:val="00152C2A"/>
    <w:rsid w:val="00155FB8"/>
    <w:rsid w:val="00157CE5"/>
    <w:rsid w:val="00160D45"/>
    <w:rsid w:val="00160D9D"/>
    <w:rsid w:val="00161BC0"/>
    <w:rsid w:val="001647D2"/>
    <w:rsid w:val="001667BB"/>
    <w:rsid w:val="00166C42"/>
    <w:rsid w:val="00171BF4"/>
    <w:rsid w:val="00174069"/>
    <w:rsid w:val="00176EF6"/>
    <w:rsid w:val="00180918"/>
    <w:rsid w:val="0018092C"/>
    <w:rsid w:val="00181472"/>
    <w:rsid w:val="00184541"/>
    <w:rsid w:val="001904A7"/>
    <w:rsid w:val="00191406"/>
    <w:rsid w:val="0019232E"/>
    <w:rsid w:val="001939BE"/>
    <w:rsid w:val="00194E9A"/>
    <w:rsid w:val="001968B5"/>
    <w:rsid w:val="001969B9"/>
    <w:rsid w:val="001A117A"/>
    <w:rsid w:val="001A391F"/>
    <w:rsid w:val="001A584A"/>
    <w:rsid w:val="001A6BFD"/>
    <w:rsid w:val="001A775B"/>
    <w:rsid w:val="001A7F40"/>
    <w:rsid w:val="001B13D6"/>
    <w:rsid w:val="001B6BCF"/>
    <w:rsid w:val="001B7B01"/>
    <w:rsid w:val="001C2F10"/>
    <w:rsid w:val="001C3A3D"/>
    <w:rsid w:val="001C452C"/>
    <w:rsid w:val="001C63A2"/>
    <w:rsid w:val="001D0028"/>
    <w:rsid w:val="001D0384"/>
    <w:rsid w:val="001D45CE"/>
    <w:rsid w:val="001D4912"/>
    <w:rsid w:val="001D7885"/>
    <w:rsid w:val="001E2B93"/>
    <w:rsid w:val="001E694E"/>
    <w:rsid w:val="001F1AAA"/>
    <w:rsid w:val="001F2881"/>
    <w:rsid w:val="001F3583"/>
    <w:rsid w:val="0020215E"/>
    <w:rsid w:val="00205626"/>
    <w:rsid w:val="00206116"/>
    <w:rsid w:val="00212628"/>
    <w:rsid w:val="00216C44"/>
    <w:rsid w:val="00220133"/>
    <w:rsid w:val="002209E6"/>
    <w:rsid w:val="00220BB9"/>
    <w:rsid w:val="002225CA"/>
    <w:rsid w:val="0022299B"/>
    <w:rsid w:val="00225724"/>
    <w:rsid w:val="00225DDC"/>
    <w:rsid w:val="00232C4C"/>
    <w:rsid w:val="002331FE"/>
    <w:rsid w:val="0024164F"/>
    <w:rsid w:val="00243214"/>
    <w:rsid w:val="002438E6"/>
    <w:rsid w:val="002446B9"/>
    <w:rsid w:val="002470B2"/>
    <w:rsid w:val="00247A55"/>
    <w:rsid w:val="00251BAA"/>
    <w:rsid w:val="0025241B"/>
    <w:rsid w:val="00263A0F"/>
    <w:rsid w:val="002647A0"/>
    <w:rsid w:val="00266B35"/>
    <w:rsid w:val="00266E47"/>
    <w:rsid w:val="00270E75"/>
    <w:rsid w:val="00271935"/>
    <w:rsid w:val="0027288C"/>
    <w:rsid w:val="00273341"/>
    <w:rsid w:val="00281D0B"/>
    <w:rsid w:val="00283CA4"/>
    <w:rsid w:val="0028684C"/>
    <w:rsid w:val="00287FF2"/>
    <w:rsid w:val="0029596F"/>
    <w:rsid w:val="002972D1"/>
    <w:rsid w:val="002A04A9"/>
    <w:rsid w:val="002A39BB"/>
    <w:rsid w:val="002A7503"/>
    <w:rsid w:val="002B135B"/>
    <w:rsid w:val="002B2448"/>
    <w:rsid w:val="002B2A2F"/>
    <w:rsid w:val="002B417A"/>
    <w:rsid w:val="002C089D"/>
    <w:rsid w:val="002C101B"/>
    <w:rsid w:val="002C347F"/>
    <w:rsid w:val="002C68AD"/>
    <w:rsid w:val="002C7721"/>
    <w:rsid w:val="002D1E38"/>
    <w:rsid w:val="002D322C"/>
    <w:rsid w:val="002D4864"/>
    <w:rsid w:val="002E289E"/>
    <w:rsid w:val="002E502B"/>
    <w:rsid w:val="002E5D62"/>
    <w:rsid w:val="002E5DC4"/>
    <w:rsid w:val="002E7625"/>
    <w:rsid w:val="002F1386"/>
    <w:rsid w:val="002F1D87"/>
    <w:rsid w:val="002F6B87"/>
    <w:rsid w:val="00303345"/>
    <w:rsid w:val="003144B5"/>
    <w:rsid w:val="0031532D"/>
    <w:rsid w:val="0031685E"/>
    <w:rsid w:val="00324634"/>
    <w:rsid w:val="003302AD"/>
    <w:rsid w:val="003357AC"/>
    <w:rsid w:val="00336A33"/>
    <w:rsid w:val="0033791B"/>
    <w:rsid w:val="00337F77"/>
    <w:rsid w:val="003418FF"/>
    <w:rsid w:val="00344A91"/>
    <w:rsid w:val="00353B40"/>
    <w:rsid w:val="0035638A"/>
    <w:rsid w:val="003567FD"/>
    <w:rsid w:val="003605B9"/>
    <w:rsid w:val="003617BF"/>
    <w:rsid w:val="00362122"/>
    <w:rsid w:val="00364A52"/>
    <w:rsid w:val="00373F97"/>
    <w:rsid w:val="0037406D"/>
    <w:rsid w:val="00374216"/>
    <w:rsid w:val="00376D8A"/>
    <w:rsid w:val="00381356"/>
    <w:rsid w:val="003850A8"/>
    <w:rsid w:val="0038545D"/>
    <w:rsid w:val="003869E8"/>
    <w:rsid w:val="00386A16"/>
    <w:rsid w:val="00391288"/>
    <w:rsid w:val="00392D42"/>
    <w:rsid w:val="00393777"/>
    <w:rsid w:val="00395001"/>
    <w:rsid w:val="00395E5A"/>
    <w:rsid w:val="00395F5E"/>
    <w:rsid w:val="0039742D"/>
    <w:rsid w:val="00397859"/>
    <w:rsid w:val="003A2E97"/>
    <w:rsid w:val="003A3A38"/>
    <w:rsid w:val="003A5D15"/>
    <w:rsid w:val="003A7DB9"/>
    <w:rsid w:val="003B2055"/>
    <w:rsid w:val="003B30FF"/>
    <w:rsid w:val="003B55F4"/>
    <w:rsid w:val="003C024B"/>
    <w:rsid w:val="003C0806"/>
    <w:rsid w:val="003C18DE"/>
    <w:rsid w:val="003C1B31"/>
    <w:rsid w:val="003C2B1A"/>
    <w:rsid w:val="003C39C6"/>
    <w:rsid w:val="003C7E95"/>
    <w:rsid w:val="003D0C22"/>
    <w:rsid w:val="003D3DB0"/>
    <w:rsid w:val="003D6941"/>
    <w:rsid w:val="003E1E1C"/>
    <w:rsid w:val="003F0403"/>
    <w:rsid w:val="003F5B99"/>
    <w:rsid w:val="004019FD"/>
    <w:rsid w:val="00401E8E"/>
    <w:rsid w:val="00402BEF"/>
    <w:rsid w:val="00403E6A"/>
    <w:rsid w:val="004053B5"/>
    <w:rsid w:val="00405ABB"/>
    <w:rsid w:val="0040615A"/>
    <w:rsid w:val="00410642"/>
    <w:rsid w:val="00411B9C"/>
    <w:rsid w:val="00411E29"/>
    <w:rsid w:val="004121F8"/>
    <w:rsid w:val="004127FA"/>
    <w:rsid w:val="00416DC0"/>
    <w:rsid w:val="0042033E"/>
    <w:rsid w:val="00420C53"/>
    <w:rsid w:val="004225E5"/>
    <w:rsid w:val="00427AC1"/>
    <w:rsid w:val="004309C7"/>
    <w:rsid w:val="00431A01"/>
    <w:rsid w:val="004357AD"/>
    <w:rsid w:val="00440F66"/>
    <w:rsid w:val="00441AA7"/>
    <w:rsid w:val="004451B3"/>
    <w:rsid w:val="00453296"/>
    <w:rsid w:val="00461691"/>
    <w:rsid w:val="004625A5"/>
    <w:rsid w:val="00462653"/>
    <w:rsid w:val="00467DFD"/>
    <w:rsid w:val="0047654B"/>
    <w:rsid w:val="00476879"/>
    <w:rsid w:val="00476B82"/>
    <w:rsid w:val="00477005"/>
    <w:rsid w:val="0048188C"/>
    <w:rsid w:val="00482A28"/>
    <w:rsid w:val="00482B33"/>
    <w:rsid w:val="00490F10"/>
    <w:rsid w:val="004911EA"/>
    <w:rsid w:val="00492FA1"/>
    <w:rsid w:val="00493C81"/>
    <w:rsid w:val="00494006"/>
    <w:rsid w:val="004A14C9"/>
    <w:rsid w:val="004A3506"/>
    <w:rsid w:val="004B0CD4"/>
    <w:rsid w:val="004B6827"/>
    <w:rsid w:val="004C39AD"/>
    <w:rsid w:val="004C3BEF"/>
    <w:rsid w:val="004C4AC4"/>
    <w:rsid w:val="004C4EE9"/>
    <w:rsid w:val="004C5C25"/>
    <w:rsid w:val="004D24AE"/>
    <w:rsid w:val="004D2B89"/>
    <w:rsid w:val="004E0026"/>
    <w:rsid w:val="004E066B"/>
    <w:rsid w:val="004E5D79"/>
    <w:rsid w:val="004F28EA"/>
    <w:rsid w:val="004F2AEB"/>
    <w:rsid w:val="004F4904"/>
    <w:rsid w:val="004F4F0E"/>
    <w:rsid w:val="004F5FF9"/>
    <w:rsid w:val="004F7B1C"/>
    <w:rsid w:val="004F7C05"/>
    <w:rsid w:val="00500640"/>
    <w:rsid w:val="00500D7D"/>
    <w:rsid w:val="00502386"/>
    <w:rsid w:val="005067AC"/>
    <w:rsid w:val="00514890"/>
    <w:rsid w:val="0051584D"/>
    <w:rsid w:val="00515DA8"/>
    <w:rsid w:val="00517E39"/>
    <w:rsid w:val="00521A24"/>
    <w:rsid w:val="0052412B"/>
    <w:rsid w:val="005264AD"/>
    <w:rsid w:val="0053048D"/>
    <w:rsid w:val="00532138"/>
    <w:rsid w:val="0053532A"/>
    <w:rsid w:val="005404F1"/>
    <w:rsid w:val="00540A95"/>
    <w:rsid w:val="00544D85"/>
    <w:rsid w:val="00550776"/>
    <w:rsid w:val="00556004"/>
    <w:rsid w:val="00566460"/>
    <w:rsid w:val="005664EA"/>
    <w:rsid w:val="005673B9"/>
    <w:rsid w:val="0057075C"/>
    <w:rsid w:val="005721F8"/>
    <w:rsid w:val="00581D8C"/>
    <w:rsid w:val="005836C7"/>
    <w:rsid w:val="0058472D"/>
    <w:rsid w:val="00586114"/>
    <w:rsid w:val="00586676"/>
    <w:rsid w:val="00587B8A"/>
    <w:rsid w:val="00591096"/>
    <w:rsid w:val="00595FF9"/>
    <w:rsid w:val="005A1991"/>
    <w:rsid w:val="005A548F"/>
    <w:rsid w:val="005A7543"/>
    <w:rsid w:val="005B05FA"/>
    <w:rsid w:val="005B3D28"/>
    <w:rsid w:val="005B3E86"/>
    <w:rsid w:val="005B4C94"/>
    <w:rsid w:val="005B6F55"/>
    <w:rsid w:val="005C4A6D"/>
    <w:rsid w:val="005D1066"/>
    <w:rsid w:val="005D5116"/>
    <w:rsid w:val="005D5CF6"/>
    <w:rsid w:val="005D7C3F"/>
    <w:rsid w:val="005E04EA"/>
    <w:rsid w:val="005E0D7D"/>
    <w:rsid w:val="005E11D5"/>
    <w:rsid w:val="005E59E6"/>
    <w:rsid w:val="005E7208"/>
    <w:rsid w:val="005F106F"/>
    <w:rsid w:val="005F1271"/>
    <w:rsid w:val="005F1E9F"/>
    <w:rsid w:val="00603922"/>
    <w:rsid w:val="0060589D"/>
    <w:rsid w:val="00607C4E"/>
    <w:rsid w:val="0061020F"/>
    <w:rsid w:val="00613AF9"/>
    <w:rsid w:val="0061732F"/>
    <w:rsid w:val="0062257E"/>
    <w:rsid w:val="00625BC2"/>
    <w:rsid w:val="00627E34"/>
    <w:rsid w:val="006309AA"/>
    <w:rsid w:val="0063140C"/>
    <w:rsid w:val="00633473"/>
    <w:rsid w:val="006343C7"/>
    <w:rsid w:val="006376D9"/>
    <w:rsid w:val="006379BD"/>
    <w:rsid w:val="006424C7"/>
    <w:rsid w:val="00643F8C"/>
    <w:rsid w:val="0064403B"/>
    <w:rsid w:val="006453D9"/>
    <w:rsid w:val="0064595E"/>
    <w:rsid w:val="006500EC"/>
    <w:rsid w:val="00650D38"/>
    <w:rsid w:val="00652071"/>
    <w:rsid w:val="00652D7E"/>
    <w:rsid w:val="00653551"/>
    <w:rsid w:val="006539EF"/>
    <w:rsid w:val="00653DD2"/>
    <w:rsid w:val="0065563B"/>
    <w:rsid w:val="006623CA"/>
    <w:rsid w:val="00665471"/>
    <w:rsid w:val="00670573"/>
    <w:rsid w:val="006722C6"/>
    <w:rsid w:val="0069039A"/>
    <w:rsid w:val="00692D7F"/>
    <w:rsid w:val="00697130"/>
    <w:rsid w:val="006A0AE2"/>
    <w:rsid w:val="006A2F10"/>
    <w:rsid w:val="006A6935"/>
    <w:rsid w:val="006A77D0"/>
    <w:rsid w:val="006B2CF7"/>
    <w:rsid w:val="006B3D49"/>
    <w:rsid w:val="006B4C9F"/>
    <w:rsid w:val="006C0EB0"/>
    <w:rsid w:val="006C1311"/>
    <w:rsid w:val="006C756C"/>
    <w:rsid w:val="006D19E1"/>
    <w:rsid w:val="006D3DB9"/>
    <w:rsid w:val="006D4A96"/>
    <w:rsid w:val="006E0E19"/>
    <w:rsid w:val="006E10D5"/>
    <w:rsid w:val="006E183E"/>
    <w:rsid w:val="006E209E"/>
    <w:rsid w:val="006F08C2"/>
    <w:rsid w:val="006F2992"/>
    <w:rsid w:val="006F3259"/>
    <w:rsid w:val="006F5372"/>
    <w:rsid w:val="006F5B85"/>
    <w:rsid w:val="00702AE0"/>
    <w:rsid w:val="00710F44"/>
    <w:rsid w:val="00711F48"/>
    <w:rsid w:val="007145B3"/>
    <w:rsid w:val="007174DA"/>
    <w:rsid w:val="00722B51"/>
    <w:rsid w:val="00725ED2"/>
    <w:rsid w:val="0072661F"/>
    <w:rsid w:val="0072725E"/>
    <w:rsid w:val="00733131"/>
    <w:rsid w:val="0073582F"/>
    <w:rsid w:val="007400DF"/>
    <w:rsid w:val="00752B50"/>
    <w:rsid w:val="007535ED"/>
    <w:rsid w:val="0075406E"/>
    <w:rsid w:val="0075425C"/>
    <w:rsid w:val="00756702"/>
    <w:rsid w:val="0076136B"/>
    <w:rsid w:val="00762EA3"/>
    <w:rsid w:val="0076520B"/>
    <w:rsid w:val="007658E8"/>
    <w:rsid w:val="0076792B"/>
    <w:rsid w:val="00770222"/>
    <w:rsid w:val="00773B70"/>
    <w:rsid w:val="007763CB"/>
    <w:rsid w:val="00777D2E"/>
    <w:rsid w:val="007804A7"/>
    <w:rsid w:val="00781098"/>
    <w:rsid w:val="007826BC"/>
    <w:rsid w:val="007908F6"/>
    <w:rsid w:val="007954D9"/>
    <w:rsid w:val="007A7952"/>
    <w:rsid w:val="007B0985"/>
    <w:rsid w:val="007B0BDB"/>
    <w:rsid w:val="007B33DF"/>
    <w:rsid w:val="007B3894"/>
    <w:rsid w:val="007B7AAD"/>
    <w:rsid w:val="007C1632"/>
    <w:rsid w:val="007C36EF"/>
    <w:rsid w:val="007C3823"/>
    <w:rsid w:val="007C6BDE"/>
    <w:rsid w:val="007C74FD"/>
    <w:rsid w:val="007D0678"/>
    <w:rsid w:val="007D0A57"/>
    <w:rsid w:val="007D1440"/>
    <w:rsid w:val="007D1C2C"/>
    <w:rsid w:val="007D3443"/>
    <w:rsid w:val="007D5F59"/>
    <w:rsid w:val="007E7634"/>
    <w:rsid w:val="007F090A"/>
    <w:rsid w:val="007F42F5"/>
    <w:rsid w:val="007F7A21"/>
    <w:rsid w:val="00800E25"/>
    <w:rsid w:val="00801634"/>
    <w:rsid w:val="00805235"/>
    <w:rsid w:val="0080537B"/>
    <w:rsid w:val="00812E4F"/>
    <w:rsid w:val="00813240"/>
    <w:rsid w:val="00814344"/>
    <w:rsid w:val="008219CF"/>
    <w:rsid w:val="0083141C"/>
    <w:rsid w:val="008314FC"/>
    <w:rsid w:val="00831D44"/>
    <w:rsid w:val="00834062"/>
    <w:rsid w:val="008352F2"/>
    <w:rsid w:val="00837104"/>
    <w:rsid w:val="00840E8F"/>
    <w:rsid w:val="0084100F"/>
    <w:rsid w:val="0084466B"/>
    <w:rsid w:val="00844F36"/>
    <w:rsid w:val="00845AE3"/>
    <w:rsid w:val="0085221E"/>
    <w:rsid w:val="00856115"/>
    <w:rsid w:val="00871321"/>
    <w:rsid w:val="0087241B"/>
    <w:rsid w:val="0087562F"/>
    <w:rsid w:val="00883EFE"/>
    <w:rsid w:val="00893500"/>
    <w:rsid w:val="00894ED8"/>
    <w:rsid w:val="008A0437"/>
    <w:rsid w:val="008A13C2"/>
    <w:rsid w:val="008A2408"/>
    <w:rsid w:val="008B38CD"/>
    <w:rsid w:val="008B618F"/>
    <w:rsid w:val="008B6D38"/>
    <w:rsid w:val="008C08A7"/>
    <w:rsid w:val="008C429F"/>
    <w:rsid w:val="008C7DC5"/>
    <w:rsid w:val="008D3ECA"/>
    <w:rsid w:val="008D44C5"/>
    <w:rsid w:val="008D7E85"/>
    <w:rsid w:val="008E19FF"/>
    <w:rsid w:val="008E53FF"/>
    <w:rsid w:val="008E5793"/>
    <w:rsid w:val="008E58AC"/>
    <w:rsid w:val="008F249D"/>
    <w:rsid w:val="008F54F8"/>
    <w:rsid w:val="008F753F"/>
    <w:rsid w:val="008F75A9"/>
    <w:rsid w:val="008F7FBD"/>
    <w:rsid w:val="009011AA"/>
    <w:rsid w:val="009015EF"/>
    <w:rsid w:val="00904774"/>
    <w:rsid w:val="00905883"/>
    <w:rsid w:val="00906CC3"/>
    <w:rsid w:val="00917D56"/>
    <w:rsid w:val="009209C8"/>
    <w:rsid w:val="00926AF3"/>
    <w:rsid w:val="00931C9D"/>
    <w:rsid w:val="009334F9"/>
    <w:rsid w:val="00933A00"/>
    <w:rsid w:val="00933BFD"/>
    <w:rsid w:val="00941691"/>
    <w:rsid w:val="00942AED"/>
    <w:rsid w:val="00944E25"/>
    <w:rsid w:val="0094760B"/>
    <w:rsid w:val="00951063"/>
    <w:rsid w:val="00953F15"/>
    <w:rsid w:val="00955C36"/>
    <w:rsid w:val="00961B17"/>
    <w:rsid w:val="009642AB"/>
    <w:rsid w:val="009663D7"/>
    <w:rsid w:val="00974121"/>
    <w:rsid w:val="00974F5F"/>
    <w:rsid w:val="00976A7F"/>
    <w:rsid w:val="00982BCB"/>
    <w:rsid w:val="00983244"/>
    <w:rsid w:val="00993F03"/>
    <w:rsid w:val="0099435F"/>
    <w:rsid w:val="00996BC5"/>
    <w:rsid w:val="009A6A84"/>
    <w:rsid w:val="009A6D34"/>
    <w:rsid w:val="009B4816"/>
    <w:rsid w:val="009B4E67"/>
    <w:rsid w:val="009C1BA8"/>
    <w:rsid w:val="009C2D0D"/>
    <w:rsid w:val="009C3492"/>
    <w:rsid w:val="009C4337"/>
    <w:rsid w:val="009C49C6"/>
    <w:rsid w:val="009C5AA4"/>
    <w:rsid w:val="009D02D4"/>
    <w:rsid w:val="009D1263"/>
    <w:rsid w:val="009D3372"/>
    <w:rsid w:val="009D40D7"/>
    <w:rsid w:val="009D609E"/>
    <w:rsid w:val="009D60E3"/>
    <w:rsid w:val="009D74F5"/>
    <w:rsid w:val="009E0D67"/>
    <w:rsid w:val="009E1E6E"/>
    <w:rsid w:val="009E4985"/>
    <w:rsid w:val="009F16C5"/>
    <w:rsid w:val="009F3E11"/>
    <w:rsid w:val="009F6AF8"/>
    <w:rsid w:val="009F6E78"/>
    <w:rsid w:val="009F7A4B"/>
    <w:rsid w:val="009F7C7E"/>
    <w:rsid w:val="00A00CBD"/>
    <w:rsid w:val="00A01148"/>
    <w:rsid w:val="00A050F5"/>
    <w:rsid w:val="00A055C1"/>
    <w:rsid w:val="00A144B6"/>
    <w:rsid w:val="00A24EF5"/>
    <w:rsid w:val="00A31DC5"/>
    <w:rsid w:val="00A40C81"/>
    <w:rsid w:val="00A41986"/>
    <w:rsid w:val="00A436CD"/>
    <w:rsid w:val="00A5180B"/>
    <w:rsid w:val="00A55E36"/>
    <w:rsid w:val="00A6457C"/>
    <w:rsid w:val="00A66AA0"/>
    <w:rsid w:val="00A8223C"/>
    <w:rsid w:val="00A8757B"/>
    <w:rsid w:val="00A92044"/>
    <w:rsid w:val="00A9727D"/>
    <w:rsid w:val="00AA0D2E"/>
    <w:rsid w:val="00AA16B9"/>
    <w:rsid w:val="00AA2039"/>
    <w:rsid w:val="00AA47DC"/>
    <w:rsid w:val="00AA6AE5"/>
    <w:rsid w:val="00AB09E2"/>
    <w:rsid w:val="00AB2127"/>
    <w:rsid w:val="00AB43CA"/>
    <w:rsid w:val="00AB624E"/>
    <w:rsid w:val="00AB6BB7"/>
    <w:rsid w:val="00AC2C09"/>
    <w:rsid w:val="00AC3B5A"/>
    <w:rsid w:val="00AC4109"/>
    <w:rsid w:val="00AC56CE"/>
    <w:rsid w:val="00AC6B6F"/>
    <w:rsid w:val="00AD0ADB"/>
    <w:rsid w:val="00AD4CB5"/>
    <w:rsid w:val="00AE11FC"/>
    <w:rsid w:val="00AE3203"/>
    <w:rsid w:val="00AE48F5"/>
    <w:rsid w:val="00AE6354"/>
    <w:rsid w:val="00AF15AF"/>
    <w:rsid w:val="00AF3983"/>
    <w:rsid w:val="00AF6EB4"/>
    <w:rsid w:val="00B01141"/>
    <w:rsid w:val="00B02E33"/>
    <w:rsid w:val="00B03992"/>
    <w:rsid w:val="00B04CF2"/>
    <w:rsid w:val="00B12803"/>
    <w:rsid w:val="00B1751D"/>
    <w:rsid w:val="00B2037B"/>
    <w:rsid w:val="00B214A1"/>
    <w:rsid w:val="00B22D5C"/>
    <w:rsid w:val="00B263F0"/>
    <w:rsid w:val="00B2716E"/>
    <w:rsid w:val="00B31661"/>
    <w:rsid w:val="00B32703"/>
    <w:rsid w:val="00B33244"/>
    <w:rsid w:val="00B35552"/>
    <w:rsid w:val="00B473B7"/>
    <w:rsid w:val="00B47522"/>
    <w:rsid w:val="00B5097B"/>
    <w:rsid w:val="00B50A24"/>
    <w:rsid w:val="00B517F7"/>
    <w:rsid w:val="00B52188"/>
    <w:rsid w:val="00B54313"/>
    <w:rsid w:val="00B5540E"/>
    <w:rsid w:val="00B60B5F"/>
    <w:rsid w:val="00B613AB"/>
    <w:rsid w:val="00B6496F"/>
    <w:rsid w:val="00B676BC"/>
    <w:rsid w:val="00B715EA"/>
    <w:rsid w:val="00B73320"/>
    <w:rsid w:val="00B753EF"/>
    <w:rsid w:val="00B8064D"/>
    <w:rsid w:val="00B80DBF"/>
    <w:rsid w:val="00B80F06"/>
    <w:rsid w:val="00B81F0E"/>
    <w:rsid w:val="00B827C6"/>
    <w:rsid w:val="00B84CEB"/>
    <w:rsid w:val="00B86327"/>
    <w:rsid w:val="00B90254"/>
    <w:rsid w:val="00B903E4"/>
    <w:rsid w:val="00B935DD"/>
    <w:rsid w:val="00B93F09"/>
    <w:rsid w:val="00B96C99"/>
    <w:rsid w:val="00BA23FC"/>
    <w:rsid w:val="00BA4027"/>
    <w:rsid w:val="00BB1390"/>
    <w:rsid w:val="00BB4263"/>
    <w:rsid w:val="00BB5196"/>
    <w:rsid w:val="00BB7FDB"/>
    <w:rsid w:val="00BC6B4B"/>
    <w:rsid w:val="00BC738E"/>
    <w:rsid w:val="00BD0576"/>
    <w:rsid w:val="00BE104F"/>
    <w:rsid w:val="00BE12F9"/>
    <w:rsid w:val="00BE2A18"/>
    <w:rsid w:val="00BE50D0"/>
    <w:rsid w:val="00BF16FE"/>
    <w:rsid w:val="00BF775D"/>
    <w:rsid w:val="00C008CB"/>
    <w:rsid w:val="00C00997"/>
    <w:rsid w:val="00C012F5"/>
    <w:rsid w:val="00C05B91"/>
    <w:rsid w:val="00C05E5B"/>
    <w:rsid w:val="00C068BC"/>
    <w:rsid w:val="00C11985"/>
    <w:rsid w:val="00C11C8A"/>
    <w:rsid w:val="00C13967"/>
    <w:rsid w:val="00C147CA"/>
    <w:rsid w:val="00C16ACF"/>
    <w:rsid w:val="00C17081"/>
    <w:rsid w:val="00C171FF"/>
    <w:rsid w:val="00C20A85"/>
    <w:rsid w:val="00C2597B"/>
    <w:rsid w:val="00C27FD4"/>
    <w:rsid w:val="00C310B5"/>
    <w:rsid w:val="00C32248"/>
    <w:rsid w:val="00C32F8E"/>
    <w:rsid w:val="00C3434C"/>
    <w:rsid w:val="00C365E2"/>
    <w:rsid w:val="00C438A1"/>
    <w:rsid w:val="00C44EFB"/>
    <w:rsid w:val="00C46B27"/>
    <w:rsid w:val="00C5229F"/>
    <w:rsid w:val="00C55264"/>
    <w:rsid w:val="00C55EA8"/>
    <w:rsid w:val="00C57B00"/>
    <w:rsid w:val="00C61012"/>
    <w:rsid w:val="00C66776"/>
    <w:rsid w:val="00C6695C"/>
    <w:rsid w:val="00C7451B"/>
    <w:rsid w:val="00C84B2C"/>
    <w:rsid w:val="00C900FC"/>
    <w:rsid w:val="00C95F5F"/>
    <w:rsid w:val="00C97946"/>
    <w:rsid w:val="00CA4F91"/>
    <w:rsid w:val="00CA7ABB"/>
    <w:rsid w:val="00CA7C40"/>
    <w:rsid w:val="00CB32D8"/>
    <w:rsid w:val="00CB4725"/>
    <w:rsid w:val="00CB57E5"/>
    <w:rsid w:val="00CB7EE8"/>
    <w:rsid w:val="00CC0BDA"/>
    <w:rsid w:val="00CC3B0C"/>
    <w:rsid w:val="00CC445A"/>
    <w:rsid w:val="00CC6741"/>
    <w:rsid w:val="00CD4EFC"/>
    <w:rsid w:val="00CE018E"/>
    <w:rsid w:val="00CE432C"/>
    <w:rsid w:val="00CE6DBB"/>
    <w:rsid w:val="00CF6C9B"/>
    <w:rsid w:val="00D0113E"/>
    <w:rsid w:val="00D0520C"/>
    <w:rsid w:val="00D07783"/>
    <w:rsid w:val="00D10C14"/>
    <w:rsid w:val="00D11DF8"/>
    <w:rsid w:val="00D14555"/>
    <w:rsid w:val="00D16300"/>
    <w:rsid w:val="00D17DCC"/>
    <w:rsid w:val="00D213D3"/>
    <w:rsid w:val="00D21829"/>
    <w:rsid w:val="00D31359"/>
    <w:rsid w:val="00D32EF0"/>
    <w:rsid w:val="00D34665"/>
    <w:rsid w:val="00D35E52"/>
    <w:rsid w:val="00D368CE"/>
    <w:rsid w:val="00D36FA6"/>
    <w:rsid w:val="00D37A40"/>
    <w:rsid w:val="00D41E44"/>
    <w:rsid w:val="00D41E9A"/>
    <w:rsid w:val="00D44F02"/>
    <w:rsid w:val="00D53062"/>
    <w:rsid w:val="00D53F31"/>
    <w:rsid w:val="00D5584D"/>
    <w:rsid w:val="00D6031A"/>
    <w:rsid w:val="00D60662"/>
    <w:rsid w:val="00D62269"/>
    <w:rsid w:val="00D62EDC"/>
    <w:rsid w:val="00D631B3"/>
    <w:rsid w:val="00D63D44"/>
    <w:rsid w:val="00D74FD6"/>
    <w:rsid w:val="00D976DC"/>
    <w:rsid w:val="00DA1829"/>
    <w:rsid w:val="00DA244B"/>
    <w:rsid w:val="00DA3749"/>
    <w:rsid w:val="00DA3FE7"/>
    <w:rsid w:val="00DA7D97"/>
    <w:rsid w:val="00DA7F88"/>
    <w:rsid w:val="00DB4C52"/>
    <w:rsid w:val="00DB52E7"/>
    <w:rsid w:val="00DC0318"/>
    <w:rsid w:val="00DD002F"/>
    <w:rsid w:val="00DD1D5F"/>
    <w:rsid w:val="00DD4867"/>
    <w:rsid w:val="00DE0269"/>
    <w:rsid w:val="00DE3F39"/>
    <w:rsid w:val="00DF2333"/>
    <w:rsid w:val="00DF709A"/>
    <w:rsid w:val="00E00EFC"/>
    <w:rsid w:val="00E012C5"/>
    <w:rsid w:val="00E023A9"/>
    <w:rsid w:val="00E045C8"/>
    <w:rsid w:val="00E07D1B"/>
    <w:rsid w:val="00E1006D"/>
    <w:rsid w:val="00E21405"/>
    <w:rsid w:val="00E218E2"/>
    <w:rsid w:val="00E23FEE"/>
    <w:rsid w:val="00E26168"/>
    <w:rsid w:val="00E30B89"/>
    <w:rsid w:val="00E33700"/>
    <w:rsid w:val="00E40FDF"/>
    <w:rsid w:val="00E514D7"/>
    <w:rsid w:val="00E53F82"/>
    <w:rsid w:val="00E548A7"/>
    <w:rsid w:val="00E57E49"/>
    <w:rsid w:val="00E60E76"/>
    <w:rsid w:val="00E61C50"/>
    <w:rsid w:val="00E65B77"/>
    <w:rsid w:val="00E65D4A"/>
    <w:rsid w:val="00E66FAD"/>
    <w:rsid w:val="00E71633"/>
    <w:rsid w:val="00E7237D"/>
    <w:rsid w:val="00E7329A"/>
    <w:rsid w:val="00E73F76"/>
    <w:rsid w:val="00E8611A"/>
    <w:rsid w:val="00E863AB"/>
    <w:rsid w:val="00E86A44"/>
    <w:rsid w:val="00E9064E"/>
    <w:rsid w:val="00E91263"/>
    <w:rsid w:val="00E91524"/>
    <w:rsid w:val="00E917F8"/>
    <w:rsid w:val="00E9249A"/>
    <w:rsid w:val="00E9530B"/>
    <w:rsid w:val="00EA34C6"/>
    <w:rsid w:val="00EA50D7"/>
    <w:rsid w:val="00EA56BF"/>
    <w:rsid w:val="00EA7159"/>
    <w:rsid w:val="00EB16B6"/>
    <w:rsid w:val="00EB56E6"/>
    <w:rsid w:val="00EC0498"/>
    <w:rsid w:val="00EC3533"/>
    <w:rsid w:val="00EC59B8"/>
    <w:rsid w:val="00ED7123"/>
    <w:rsid w:val="00EE40FA"/>
    <w:rsid w:val="00EE43DB"/>
    <w:rsid w:val="00EE5A55"/>
    <w:rsid w:val="00EF2F33"/>
    <w:rsid w:val="00EF596C"/>
    <w:rsid w:val="00F000D1"/>
    <w:rsid w:val="00F0298C"/>
    <w:rsid w:val="00F054A0"/>
    <w:rsid w:val="00F05EE9"/>
    <w:rsid w:val="00F06696"/>
    <w:rsid w:val="00F07750"/>
    <w:rsid w:val="00F10047"/>
    <w:rsid w:val="00F15CC0"/>
    <w:rsid w:val="00F30A77"/>
    <w:rsid w:val="00F31033"/>
    <w:rsid w:val="00F32088"/>
    <w:rsid w:val="00F32740"/>
    <w:rsid w:val="00F33032"/>
    <w:rsid w:val="00F33EC8"/>
    <w:rsid w:val="00F37906"/>
    <w:rsid w:val="00F4393F"/>
    <w:rsid w:val="00F46A3A"/>
    <w:rsid w:val="00F46B17"/>
    <w:rsid w:val="00F47D9D"/>
    <w:rsid w:val="00F511BA"/>
    <w:rsid w:val="00F5243C"/>
    <w:rsid w:val="00F5375D"/>
    <w:rsid w:val="00F5454E"/>
    <w:rsid w:val="00F5637C"/>
    <w:rsid w:val="00F700E9"/>
    <w:rsid w:val="00F715C3"/>
    <w:rsid w:val="00F718BD"/>
    <w:rsid w:val="00F75165"/>
    <w:rsid w:val="00F75F40"/>
    <w:rsid w:val="00F77F3D"/>
    <w:rsid w:val="00F80507"/>
    <w:rsid w:val="00F80F3F"/>
    <w:rsid w:val="00F83CD3"/>
    <w:rsid w:val="00F84B03"/>
    <w:rsid w:val="00F85F61"/>
    <w:rsid w:val="00F93913"/>
    <w:rsid w:val="00F95487"/>
    <w:rsid w:val="00F956D7"/>
    <w:rsid w:val="00F95DEF"/>
    <w:rsid w:val="00FA1553"/>
    <w:rsid w:val="00FA4DF8"/>
    <w:rsid w:val="00FA5D3F"/>
    <w:rsid w:val="00FB047D"/>
    <w:rsid w:val="00FB0A12"/>
    <w:rsid w:val="00FB45FB"/>
    <w:rsid w:val="00FC016B"/>
    <w:rsid w:val="00FC09A1"/>
    <w:rsid w:val="00FC0FD7"/>
    <w:rsid w:val="00FC1374"/>
    <w:rsid w:val="00FC15FA"/>
    <w:rsid w:val="00FC1781"/>
    <w:rsid w:val="00FC244F"/>
    <w:rsid w:val="00FC2B4D"/>
    <w:rsid w:val="00FC36DF"/>
    <w:rsid w:val="00FC58EC"/>
    <w:rsid w:val="00FD2D84"/>
    <w:rsid w:val="00FD79DA"/>
    <w:rsid w:val="00FE2ADC"/>
    <w:rsid w:val="00FE48B3"/>
    <w:rsid w:val="00FE5855"/>
    <w:rsid w:val="00FE5997"/>
    <w:rsid w:val="00FF0950"/>
    <w:rsid w:val="00FF356B"/>
    <w:rsid w:val="00FF44E9"/>
    <w:rsid w:val="00FF4556"/>
    <w:rsid w:val="00FF5484"/>
    <w:rsid w:val="00FF6BDD"/>
    <w:rsid w:val="00FF6EE8"/>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link w:val="KommentartextZchn"/>
    <w:uiPriority w:val="99"/>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customStyle="1" w:styleId="KommentartextZchn">
    <w:name w:val="Kommentartext Zchn"/>
    <w:basedOn w:val="Absatz-Standardschriftart"/>
    <w:link w:val="Kommentartext"/>
    <w:uiPriority w:val="99"/>
    <w:rsid w:val="007B7AAD"/>
    <w:rPr>
      <w:lang w:val="de-DE" w:eastAsia="de-DE"/>
    </w:rPr>
  </w:style>
  <w:style w:type="paragraph" w:styleId="Listenabsatz">
    <w:name w:val="List Paragraph"/>
    <w:basedOn w:val="Standard"/>
    <w:uiPriority w:val="34"/>
    <w:rsid w:val="007F42F5"/>
    <w:pPr>
      <w:ind w:left="720"/>
      <w:contextualSpacing/>
    </w:pPr>
  </w:style>
  <w:style w:type="character" w:styleId="NichtaufgelsteErwhnung">
    <w:name w:val="Unresolved Mention"/>
    <w:basedOn w:val="Absatz-Standardschriftart"/>
    <w:uiPriority w:val="99"/>
    <w:semiHidden/>
    <w:unhideWhenUsed/>
    <w:rsid w:val="00B73320"/>
    <w:rPr>
      <w:color w:val="605E5C"/>
      <w:shd w:val="clear" w:color="auto" w:fill="E1DFDD"/>
    </w:rPr>
  </w:style>
  <w:style w:type="paragraph" w:styleId="Literaturverzeichnis">
    <w:name w:val="Bibliography"/>
    <w:basedOn w:val="Standard"/>
    <w:next w:val="Standard"/>
    <w:uiPriority w:val="37"/>
    <w:semiHidden/>
    <w:unhideWhenUsed/>
    <w:rsid w:val="00BB4263"/>
  </w:style>
  <w:style w:type="paragraph" w:customStyle="1" w:styleId="nova-legacy-e-listitem">
    <w:name w:val="nova-legacy-e-list__item"/>
    <w:basedOn w:val="Standard"/>
    <w:rsid w:val="00251BAA"/>
    <w:pPr>
      <w:spacing w:before="100" w:beforeAutospacing="1" w:after="100" w:afterAutospacing="1"/>
    </w:pPr>
  </w:style>
  <w:style w:type="character" w:styleId="Fett">
    <w:name w:val="Strong"/>
    <w:basedOn w:val="Absatz-Standardschriftart"/>
    <w:uiPriority w:val="22"/>
    <w:qFormat/>
    <w:rsid w:val="0076792B"/>
    <w:rPr>
      <w:b/>
      <w:bCs/>
    </w:rPr>
  </w:style>
  <w:style w:type="character" w:styleId="BesuchterLink">
    <w:name w:val="FollowedHyperlink"/>
    <w:basedOn w:val="Absatz-Standardschriftart"/>
    <w:uiPriority w:val="99"/>
    <w:semiHidden/>
    <w:unhideWhenUsed/>
    <w:rsid w:val="00C745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6002">
      <w:bodyDiv w:val="1"/>
      <w:marLeft w:val="0"/>
      <w:marRight w:val="0"/>
      <w:marTop w:val="0"/>
      <w:marBottom w:val="0"/>
      <w:divBdr>
        <w:top w:val="none" w:sz="0" w:space="0" w:color="auto"/>
        <w:left w:val="none" w:sz="0" w:space="0" w:color="auto"/>
        <w:bottom w:val="none" w:sz="0" w:space="0" w:color="auto"/>
        <w:right w:val="none" w:sz="0" w:space="0" w:color="auto"/>
      </w:divBdr>
    </w:div>
    <w:div w:id="388236187">
      <w:bodyDiv w:val="1"/>
      <w:marLeft w:val="0"/>
      <w:marRight w:val="0"/>
      <w:marTop w:val="0"/>
      <w:marBottom w:val="0"/>
      <w:divBdr>
        <w:top w:val="none" w:sz="0" w:space="0" w:color="auto"/>
        <w:left w:val="none" w:sz="0" w:space="0" w:color="auto"/>
        <w:bottom w:val="none" w:sz="0" w:space="0" w:color="auto"/>
        <w:right w:val="none" w:sz="0" w:space="0" w:color="auto"/>
      </w:divBdr>
    </w:div>
    <w:div w:id="585499990">
      <w:bodyDiv w:val="1"/>
      <w:marLeft w:val="0"/>
      <w:marRight w:val="0"/>
      <w:marTop w:val="0"/>
      <w:marBottom w:val="0"/>
      <w:divBdr>
        <w:top w:val="none" w:sz="0" w:space="0" w:color="auto"/>
        <w:left w:val="none" w:sz="0" w:space="0" w:color="auto"/>
        <w:bottom w:val="none" w:sz="0" w:space="0" w:color="auto"/>
        <w:right w:val="none" w:sz="0" w:space="0" w:color="auto"/>
      </w:divBdr>
    </w:div>
    <w:div w:id="610237186">
      <w:bodyDiv w:val="1"/>
      <w:marLeft w:val="0"/>
      <w:marRight w:val="0"/>
      <w:marTop w:val="0"/>
      <w:marBottom w:val="0"/>
      <w:divBdr>
        <w:top w:val="none" w:sz="0" w:space="0" w:color="auto"/>
        <w:left w:val="none" w:sz="0" w:space="0" w:color="auto"/>
        <w:bottom w:val="none" w:sz="0" w:space="0" w:color="auto"/>
        <w:right w:val="none" w:sz="0" w:space="0" w:color="auto"/>
      </w:divBdr>
    </w:div>
    <w:div w:id="655911641">
      <w:bodyDiv w:val="1"/>
      <w:marLeft w:val="0"/>
      <w:marRight w:val="0"/>
      <w:marTop w:val="0"/>
      <w:marBottom w:val="0"/>
      <w:divBdr>
        <w:top w:val="none" w:sz="0" w:space="0" w:color="auto"/>
        <w:left w:val="none" w:sz="0" w:space="0" w:color="auto"/>
        <w:bottom w:val="none" w:sz="0" w:space="0" w:color="auto"/>
        <w:right w:val="none" w:sz="0" w:space="0" w:color="auto"/>
      </w:divBdr>
    </w:div>
    <w:div w:id="771705123">
      <w:bodyDiv w:val="1"/>
      <w:marLeft w:val="0"/>
      <w:marRight w:val="0"/>
      <w:marTop w:val="0"/>
      <w:marBottom w:val="0"/>
      <w:divBdr>
        <w:top w:val="none" w:sz="0" w:space="0" w:color="auto"/>
        <w:left w:val="none" w:sz="0" w:space="0" w:color="auto"/>
        <w:bottom w:val="none" w:sz="0" w:space="0" w:color="auto"/>
        <w:right w:val="none" w:sz="0" w:space="0" w:color="auto"/>
      </w:divBdr>
    </w:div>
    <w:div w:id="811093887">
      <w:bodyDiv w:val="1"/>
      <w:marLeft w:val="0"/>
      <w:marRight w:val="0"/>
      <w:marTop w:val="0"/>
      <w:marBottom w:val="0"/>
      <w:divBdr>
        <w:top w:val="none" w:sz="0" w:space="0" w:color="auto"/>
        <w:left w:val="none" w:sz="0" w:space="0" w:color="auto"/>
        <w:bottom w:val="none" w:sz="0" w:space="0" w:color="auto"/>
        <w:right w:val="none" w:sz="0" w:space="0" w:color="auto"/>
      </w:divBdr>
    </w:div>
    <w:div w:id="825823122">
      <w:bodyDiv w:val="1"/>
      <w:marLeft w:val="0"/>
      <w:marRight w:val="0"/>
      <w:marTop w:val="0"/>
      <w:marBottom w:val="0"/>
      <w:divBdr>
        <w:top w:val="none" w:sz="0" w:space="0" w:color="auto"/>
        <w:left w:val="none" w:sz="0" w:space="0" w:color="auto"/>
        <w:bottom w:val="none" w:sz="0" w:space="0" w:color="auto"/>
        <w:right w:val="none" w:sz="0" w:space="0" w:color="auto"/>
      </w:divBdr>
    </w:div>
    <w:div w:id="945385869">
      <w:bodyDiv w:val="1"/>
      <w:marLeft w:val="0"/>
      <w:marRight w:val="0"/>
      <w:marTop w:val="0"/>
      <w:marBottom w:val="0"/>
      <w:divBdr>
        <w:top w:val="none" w:sz="0" w:space="0" w:color="auto"/>
        <w:left w:val="none" w:sz="0" w:space="0" w:color="auto"/>
        <w:bottom w:val="none" w:sz="0" w:space="0" w:color="auto"/>
        <w:right w:val="none" w:sz="0" w:space="0" w:color="auto"/>
      </w:divBdr>
    </w:div>
    <w:div w:id="1274289203">
      <w:bodyDiv w:val="1"/>
      <w:marLeft w:val="0"/>
      <w:marRight w:val="0"/>
      <w:marTop w:val="0"/>
      <w:marBottom w:val="0"/>
      <w:divBdr>
        <w:top w:val="none" w:sz="0" w:space="0" w:color="auto"/>
        <w:left w:val="none" w:sz="0" w:space="0" w:color="auto"/>
        <w:bottom w:val="none" w:sz="0" w:space="0" w:color="auto"/>
        <w:right w:val="none" w:sz="0" w:space="0" w:color="auto"/>
      </w:divBdr>
    </w:div>
    <w:div w:id="1299990097">
      <w:bodyDiv w:val="1"/>
      <w:marLeft w:val="0"/>
      <w:marRight w:val="0"/>
      <w:marTop w:val="0"/>
      <w:marBottom w:val="0"/>
      <w:divBdr>
        <w:top w:val="none" w:sz="0" w:space="0" w:color="auto"/>
        <w:left w:val="none" w:sz="0" w:space="0" w:color="auto"/>
        <w:bottom w:val="none" w:sz="0" w:space="0" w:color="auto"/>
        <w:right w:val="none" w:sz="0" w:space="0" w:color="auto"/>
      </w:divBdr>
    </w:div>
    <w:div w:id="1379356842">
      <w:bodyDiv w:val="1"/>
      <w:marLeft w:val="0"/>
      <w:marRight w:val="0"/>
      <w:marTop w:val="0"/>
      <w:marBottom w:val="0"/>
      <w:divBdr>
        <w:top w:val="none" w:sz="0" w:space="0" w:color="auto"/>
        <w:left w:val="none" w:sz="0" w:space="0" w:color="auto"/>
        <w:bottom w:val="none" w:sz="0" w:space="0" w:color="auto"/>
        <w:right w:val="none" w:sz="0" w:space="0" w:color="auto"/>
      </w:divBdr>
    </w:div>
    <w:div w:id="1398938040">
      <w:bodyDiv w:val="1"/>
      <w:marLeft w:val="0"/>
      <w:marRight w:val="0"/>
      <w:marTop w:val="0"/>
      <w:marBottom w:val="0"/>
      <w:divBdr>
        <w:top w:val="none" w:sz="0" w:space="0" w:color="auto"/>
        <w:left w:val="none" w:sz="0" w:space="0" w:color="auto"/>
        <w:bottom w:val="none" w:sz="0" w:space="0" w:color="auto"/>
        <w:right w:val="none" w:sz="0" w:space="0" w:color="auto"/>
      </w:divBdr>
      <w:divsChild>
        <w:div w:id="856699281">
          <w:marLeft w:val="0"/>
          <w:marRight w:val="0"/>
          <w:marTop w:val="0"/>
          <w:marBottom w:val="150"/>
          <w:divBdr>
            <w:top w:val="none" w:sz="0" w:space="0" w:color="auto"/>
            <w:left w:val="none" w:sz="0" w:space="0" w:color="auto"/>
            <w:bottom w:val="none" w:sz="0" w:space="0" w:color="auto"/>
            <w:right w:val="none" w:sz="0" w:space="0" w:color="auto"/>
          </w:divBdr>
        </w:div>
        <w:div w:id="1212696167">
          <w:marLeft w:val="0"/>
          <w:marRight w:val="0"/>
          <w:marTop w:val="0"/>
          <w:marBottom w:val="225"/>
          <w:divBdr>
            <w:top w:val="none" w:sz="0" w:space="0" w:color="auto"/>
            <w:left w:val="none" w:sz="0" w:space="0" w:color="auto"/>
            <w:bottom w:val="none" w:sz="0" w:space="0" w:color="auto"/>
            <w:right w:val="none" w:sz="0" w:space="0" w:color="auto"/>
          </w:divBdr>
          <w:divsChild>
            <w:div w:id="1676490778">
              <w:marLeft w:val="0"/>
              <w:marRight w:val="0"/>
              <w:marTop w:val="0"/>
              <w:marBottom w:val="0"/>
              <w:divBdr>
                <w:top w:val="none" w:sz="0" w:space="0" w:color="auto"/>
                <w:left w:val="none" w:sz="0" w:space="0" w:color="auto"/>
                <w:bottom w:val="none" w:sz="0" w:space="0" w:color="auto"/>
                <w:right w:val="none" w:sz="0" w:space="0" w:color="auto"/>
              </w:divBdr>
              <w:divsChild>
                <w:div w:id="1648050012">
                  <w:marLeft w:val="0"/>
                  <w:marRight w:val="0"/>
                  <w:marTop w:val="0"/>
                  <w:marBottom w:val="75"/>
                  <w:divBdr>
                    <w:top w:val="none" w:sz="0" w:space="0" w:color="auto"/>
                    <w:left w:val="none" w:sz="0" w:space="0" w:color="auto"/>
                    <w:bottom w:val="none" w:sz="0" w:space="0" w:color="auto"/>
                    <w:right w:val="none" w:sz="0" w:space="0" w:color="auto"/>
                  </w:divBdr>
                </w:div>
                <w:div w:id="1517965307">
                  <w:marLeft w:val="0"/>
                  <w:marRight w:val="0"/>
                  <w:marTop w:val="0"/>
                  <w:marBottom w:val="75"/>
                  <w:divBdr>
                    <w:top w:val="none" w:sz="0" w:space="0" w:color="auto"/>
                    <w:left w:val="none" w:sz="0" w:space="0" w:color="auto"/>
                    <w:bottom w:val="none" w:sz="0" w:space="0" w:color="auto"/>
                    <w:right w:val="none" w:sz="0" w:space="0" w:color="auto"/>
                  </w:divBdr>
                </w:div>
                <w:div w:id="7009771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64095655">
      <w:bodyDiv w:val="1"/>
      <w:marLeft w:val="0"/>
      <w:marRight w:val="0"/>
      <w:marTop w:val="0"/>
      <w:marBottom w:val="0"/>
      <w:divBdr>
        <w:top w:val="none" w:sz="0" w:space="0" w:color="auto"/>
        <w:left w:val="none" w:sz="0" w:space="0" w:color="auto"/>
        <w:bottom w:val="none" w:sz="0" w:space="0" w:color="auto"/>
        <w:right w:val="none" w:sz="0" w:space="0" w:color="auto"/>
      </w:divBdr>
    </w:div>
    <w:div w:id="1617910160">
      <w:bodyDiv w:val="1"/>
      <w:marLeft w:val="0"/>
      <w:marRight w:val="0"/>
      <w:marTop w:val="0"/>
      <w:marBottom w:val="0"/>
      <w:divBdr>
        <w:top w:val="none" w:sz="0" w:space="0" w:color="auto"/>
        <w:left w:val="none" w:sz="0" w:space="0" w:color="auto"/>
        <w:bottom w:val="none" w:sz="0" w:space="0" w:color="auto"/>
        <w:right w:val="none" w:sz="0" w:space="0" w:color="auto"/>
      </w:divBdr>
    </w:div>
    <w:div w:id="1673337485">
      <w:bodyDiv w:val="1"/>
      <w:marLeft w:val="0"/>
      <w:marRight w:val="0"/>
      <w:marTop w:val="0"/>
      <w:marBottom w:val="0"/>
      <w:divBdr>
        <w:top w:val="none" w:sz="0" w:space="0" w:color="auto"/>
        <w:left w:val="none" w:sz="0" w:space="0" w:color="auto"/>
        <w:bottom w:val="none" w:sz="0" w:space="0" w:color="auto"/>
        <w:right w:val="none" w:sz="0" w:space="0" w:color="auto"/>
      </w:divBdr>
    </w:div>
    <w:div w:id="1764302087">
      <w:bodyDiv w:val="1"/>
      <w:marLeft w:val="0"/>
      <w:marRight w:val="0"/>
      <w:marTop w:val="0"/>
      <w:marBottom w:val="0"/>
      <w:divBdr>
        <w:top w:val="none" w:sz="0" w:space="0" w:color="auto"/>
        <w:left w:val="none" w:sz="0" w:space="0" w:color="auto"/>
        <w:bottom w:val="none" w:sz="0" w:space="0" w:color="auto"/>
        <w:right w:val="none" w:sz="0" w:space="0" w:color="auto"/>
      </w:divBdr>
    </w:div>
    <w:div w:id="1911960683">
      <w:bodyDiv w:val="1"/>
      <w:marLeft w:val="0"/>
      <w:marRight w:val="0"/>
      <w:marTop w:val="0"/>
      <w:marBottom w:val="0"/>
      <w:divBdr>
        <w:top w:val="none" w:sz="0" w:space="0" w:color="auto"/>
        <w:left w:val="none" w:sz="0" w:space="0" w:color="auto"/>
        <w:bottom w:val="none" w:sz="0" w:space="0" w:color="auto"/>
        <w:right w:val="none" w:sz="0" w:space="0" w:color="auto"/>
      </w:divBdr>
      <w:divsChild>
        <w:div w:id="1481536923">
          <w:marLeft w:val="0"/>
          <w:marRight w:val="0"/>
          <w:marTop w:val="0"/>
          <w:marBottom w:val="0"/>
          <w:divBdr>
            <w:top w:val="none" w:sz="0" w:space="0" w:color="auto"/>
            <w:left w:val="none" w:sz="0" w:space="0" w:color="auto"/>
            <w:bottom w:val="none" w:sz="0" w:space="0" w:color="auto"/>
            <w:right w:val="none" w:sz="0" w:space="0" w:color="auto"/>
          </w:divBdr>
        </w:div>
      </w:divsChild>
    </w:div>
    <w:div w:id="1963610884">
      <w:bodyDiv w:val="1"/>
      <w:marLeft w:val="0"/>
      <w:marRight w:val="0"/>
      <w:marTop w:val="0"/>
      <w:marBottom w:val="0"/>
      <w:divBdr>
        <w:top w:val="none" w:sz="0" w:space="0" w:color="auto"/>
        <w:left w:val="none" w:sz="0" w:space="0" w:color="auto"/>
        <w:bottom w:val="none" w:sz="0" w:space="0" w:color="auto"/>
        <w:right w:val="none" w:sz="0" w:space="0" w:color="auto"/>
      </w:divBdr>
    </w:div>
    <w:div w:id="209100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uni-stuttgart.de/evasys/online.php?p=EuroSun2026" TargetMode="External"/><Relationship Id="rId13" Type="http://schemas.openxmlformats.org/officeDocument/2006/relationships/hyperlink" Target="https://www.energieatlas-bw.de/waerme/waermebedarf/karten?activeLayer=waermebedarf-strasse" TargetMode="External"/><Relationship Id="rId18" Type="http://schemas.openxmlformats.org/officeDocument/2006/relationships/hyperlink" Target="https://www.bbsr.bund.de/BBSR/DE/forschung/programme/zb/Auftragsforschung/5EnergieKlimaBauen/2013/testreferenzjahre/try-handbuch.pdf?__blob=publicationFile&amp;v=" TargetMode="External"/><Relationship Id="rId26" Type="http://schemas.openxmlformats.org/officeDocument/2006/relationships/hyperlink" Target="https://www.lgl-bw.de/Produkte/Liegenschaftskataster/ALKIS/" TargetMode="External"/><Relationship Id="rId3" Type="http://schemas.openxmlformats.org/officeDocument/2006/relationships/styles" Target="styles.xml"/><Relationship Id="rId21" Type="http://schemas.openxmlformats.org/officeDocument/2006/relationships/hyperlink" Target="https://episcope.eu/fileadmin/episcope/public/docs/reports/EPISCOPE_FinalReport.pdf" TargetMode="External"/><Relationship Id="rId7" Type="http://schemas.openxmlformats.org/officeDocument/2006/relationships/endnotes" Target="endnotes.xml"/><Relationship Id="rId12" Type="http://schemas.openxmlformats.org/officeDocument/2006/relationships/hyperlink" Target="https://www.energieatlas-bw.de/waerme/waermebedarf/karten?activeLayer=waermebedarf-gebiet" TargetMode="External"/><Relationship Id="rId17" Type="http://schemas.openxmlformats.org/officeDocument/2006/relationships/hyperlink" Target="https://www.hs-bremen.de/die-hsb/aktuelles/veranstaltung/3-konferenz-der-norddeutschen-waermeforschung/" TargetMode="External"/><Relationship Id="rId25" Type="http://schemas.openxmlformats.org/officeDocument/2006/relationships/hyperlink" Target="https://www.altbauatlas.de/index.php?suche=1" TargetMode="External"/><Relationship Id="rId2" Type="http://schemas.openxmlformats.org/officeDocument/2006/relationships/numbering" Target="numbering.xml"/><Relationship Id="rId16" Type="http://schemas.openxmlformats.org/officeDocument/2006/relationships/hyperlink" Target="https://www.researchgate.net/journal/International-Sustainable-Energy-Conference-Proceedings-2976-2030?_tp=eyJjb250ZXh0Ijp7ImZpcnN0UGFnZSI6InB1YmxpY2F0aW9uIiwicGFnZSI6InB1YmxpY2F0aW9uIiwicG9zaXRpb24iOiJwYWdlSGVhZGVyIn19" TargetMode="External"/><Relationship Id="rId20" Type="http://schemas.openxmlformats.org/officeDocument/2006/relationships/hyperlink" Target="https://episcope.eu/building-typolo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stuttgart.de/stadtplan/" TargetMode="External"/><Relationship Id="rId24" Type="http://schemas.openxmlformats.org/officeDocument/2006/relationships/hyperlink" Target="https://www.bbsr.bund.de/BBSR/DE/veroeffentlichungen/bbsr-online/2025/bbsr-online-017-2025-dl.pdf?__blob=publicationFile&amp;v=2"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uni-kassel.de/maschinenbau/institute/thermische-energietechnik/fachgebiete/solar-und-anlagentechnik/downloads.html" TargetMode="External"/><Relationship Id="rId28" Type="http://schemas.openxmlformats.org/officeDocument/2006/relationships/theme" Target="theme/theme1.xml"/><Relationship Id="rId10" Type="http://schemas.openxmlformats.org/officeDocument/2006/relationships/hyperlink" Target="https://atlas.zensus2022.de/" TargetMode="External"/><Relationship Id="rId19" Type="http://schemas.openxmlformats.org/officeDocument/2006/relationships/hyperlink" Target="https://web.archive.org/web/20240321075820id_/https://publica-rest.fraunhofer.de/server/api/core/bitstreams/c5e1e9b7-95ad-4312-95a1-60b3eeed6133/conten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yperlink" Target="https://www.iwu.de/index.php?id=205"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CE761-A658-4E98-86B4-B870F4F81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9351</Words>
  <Characters>58578</Characters>
  <Application>Microsoft Office Word</Application>
  <DocSecurity>0</DocSecurity>
  <Lines>488</Lines>
  <Paragraphs>135</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67794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Stefanie</cp:lastModifiedBy>
  <cp:revision>6</cp:revision>
  <cp:lastPrinted>2026-09-09T22:51:00Z</cp:lastPrinted>
  <dcterms:created xsi:type="dcterms:W3CDTF">2026-09-09T22:24:00Z</dcterms:created>
  <dcterms:modified xsi:type="dcterms:W3CDTF">2026-09-09T22:51:00Z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