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33AFC1ED" w:rsidR="00D32EF0" w:rsidRDefault="006D1F7E" w:rsidP="00B32703">
      <w:pPr>
        <w:pStyle w:val="SWCTitle"/>
        <w:rPr>
          <w:sz w:val="28"/>
          <w:szCs w:val="28"/>
        </w:rPr>
      </w:pPr>
      <w:r>
        <w:t xml:space="preserve">SECTOR </w:t>
      </w:r>
      <w:proofErr w:type="gramStart"/>
      <w:r>
        <w:t>COUPLING FOR</w:t>
      </w:r>
      <w:proofErr w:type="gramEnd"/>
      <w:r>
        <w:t xml:space="preserve"> PEAK HEAT SUPPLY IN BIVALENT </w:t>
      </w:r>
      <w:r w:rsidR="0016402B">
        <w:t>HP</w:t>
      </w:r>
      <w:r>
        <w:t xml:space="preserve"> SYSTEMS USING POWER-TO-X ENERGY CARRIERS</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294BEF11" w:rsidR="006B3D49" w:rsidRPr="007B2113" w:rsidRDefault="006D1F7E" w:rsidP="00E917F8">
      <w:pPr>
        <w:pStyle w:val="SWCTitle"/>
        <w:spacing w:before="0" w:after="0"/>
        <w:jc w:val="left"/>
        <w:rPr>
          <w:rFonts w:ascii="Times New Roman" w:hAnsi="Times New Roman"/>
          <w:b w:val="0"/>
          <w:sz w:val="20"/>
          <w:szCs w:val="20"/>
        </w:rPr>
      </w:pPr>
      <w:r w:rsidRPr="007B2113">
        <w:rPr>
          <w:rFonts w:ascii="Times New Roman" w:hAnsi="Times New Roman"/>
          <w:b w:val="0"/>
          <w:sz w:val="20"/>
          <w:szCs w:val="20"/>
        </w:rPr>
        <w:t>Yvonne I</w:t>
      </w:r>
      <w:r w:rsidR="007B2113">
        <w:rPr>
          <w:rFonts w:ascii="Times New Roman" w:hAnsi="Times New Roman"/>
          <w:b w:val="0"/>
          <w:sz w:val="20"/>
          <w:szCs w:val="20"/>
        </w:rPr>
        <w:t>sabell</w:t>
      </w:r>
      <w:r w:rsidRPr="007B2113">
        <w:rPr>
          <w:rFonts w:ascii="Times New Roman" w:hAnsi="Times New Roman"/>
          <w:b w:val="0"/>
          <w:sz w:val="20"/>
          <w:szCs w:val="20"/>
        </w:rPr>
        <w:t xml:space="preserve"> B</w:t>
      </w:r>
      <w:r w:rsidR="007B2113">
        <w:rPr>
          <w:rFonts w:ascii="Times New Roman" w:hAnsi="Times New Roman"/>
          <w:b w:val="0"/>
          <w:sz w:val="20"/>
          <w:szCs w:val="20"/>
        </w:rPr>
        <w:t>ae</w:t>
      </w:r>
      <w:r w:rsidRPr="007B2113">
        <w:rPr>
          <w:rFonts w:ascii="Times New Roman" w:hAnsi="Times New Roman"/>
          <w:b w:val="0"/>
          <w:sz w:val="20"/>
          <w:szCs w:val="20"/>
        </w:rPr>
        <w:t>uerle</w:t>
      </w:r>
      <w:r w:rsidR="0C3545CD" w:rsidRPr="007B2113">
        <w:rPr>
          <w:rFonts w:ascii="Times New Roman" w:hAnsi="Times New Roman"/>
          <w:b w:val="0"/>
          <w:sz w:val="20"/>
          <w:szCs w:val="20"/>
        </w:rPr>
        <w:t xml:space="preserve"> (corresponding author), </w:t>
      </w:r>
      <w:r w:rsidRPr="007B2113">
        <w:rPr>
          <w:rFonts w:ascii="Times New Roman" w:hAnsi="Times New Roman"/>
          <w:b w:val="0"/>
          <w:sz w:val="20"/>
          <w:szCs w:val="20"/>
        </w:rPr>
        <w:t>Krisztina Kelevitz</w:t>
      </w:r>
      <w:r w:rsidR="0C3545CD" w:rsidRPr="007B2113">
        <w:rPr>
          <w:rFonts w:ascii="Times New Roman" w:hAnsi="Times New Roman"/>
          <w:b w:val="0"/>
          <w:sz w:val="20"/>
          <w:szCs w:val="20"/>
        </w:rPr>
        <w:t xml:space="preserve">, </w:t>
      </w:r>
      <w:r w:rsidRPr="007B2113">
        <w:rPr>
          <w:rFonts w:ascii="Times New Roman" w:hAnsi="Times New Roman"/>
          <w:b w:val="0"/>
          <w:sz w:val="20"/>
          <w:szCs w:val="20"/>
        </w:rPr>
        <w:t xml:space="preserve">Michel </w:t>
      </w:r>
      <w:r w:rsidR="007B2113" w:rsidRPr="007B2113">
        <w:rPr>
          <w:rFonts w:ascii="Times New Roman" w:hAnsi="Times New Roman"/>
          <w:b w:val="0"/>
          <w:sz w:val="20"/>
          <w:szCs w:val="20"/>
        </w:rPr>
        <w:t xml:space="preserve">Yves </w:t>
      </w:r>
      <w:r w:rsidRPr="007B2113">
        <w:rPr>
          <w:rFonts w:ascii="Times New Roman" w:hAnsi="Times New Roman"/>
          <w:b w:val="0"/>
          <w:sz w:val="20"/>
          <w:szCs w:val="20"/>
        </w:rPr>
        <w:t>Haller</w:t>
      </w:r>
    </w:p>
    <w:p w14:paraId="311CE447" w14:textId="4B7DDF19" w:rsidR="006B3D49" w:rsidRP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Affiliation(s)</w:t>
      </w:r>
      <w:r w:rsidR="006D1F7E">
        <w:rPr>
          <w:rFonts w:ascii="Times New Roman" w:hAnsi="Times New Roman"/>
          <w:b w:val="0"/>
          <w:sz w:val="20"/>
          <w:szCs w:val="22"/>
        </w:rPr>
        <w:t xml:space="preserve"> </w:t>
      </w:r>
      <w:r w:rsidR="007B2113">
        <w:rPr>
          <w:rFonts w:ascii="Times New Roman" w:hAnsi="Times New Roman"/>
          <w:b w:val="0"/>
          <w:sz w:val="20"/>
          <w:szCs w:val="22"/>
        </w:rPr>
        <w:t>SPF Institute for Solar Technology / Eastern Switzerland University of Applied Sciences (OST), 8640 Rapperswil (Switzerland)</w:t>
      </w:r>
    </w:p>
    <w:p w14:paraId="18FA38F1" w14:textId="32B3BB9C" w:rsid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Email(s)</w:t>
      </w:r>
      <w:r w:rsidR="006D1F7E">
        <w:rPr>
          <w:rFonts w:ascii="Times New Roman" w:hAnsi="Times New Roman"/>
          <w:b w:val="0"/>
          <w:sz w:val="20"/>
          <w:szCs w:val="22"/>
        </w:rPr>
        <w:t xml:space="preserve"> </w:t>
      </w:r>
      <w:hyperlink r:id="rId8" w:history="1">
        <w:r w:rsidR="006D1F7E" w:rsidRPr="00097FA3">
          <w:rPr>
            <w:rStyle w:val="Hyperlink"/>
            <w:rFonts w:ascii="Times New Roman" w:hAnsi="Times New Roman"/>
            <w:b w:val="0"/>
            <w:sz w:val="20"/>
            <w:szCs w:val="22"/>
          </w:rPr>
          <w:t>yvonne.baeuerle@ost.ch</w:t>
        </w:r>
      </w:hyperlink>
      <w:r w:rsidR="006D1F7E">
        <w:rPr>
          <w:rFonts w:ascii="Times New Roman" w:hAnsi="Times New Roman"/>
          <w:b w:val="0"/>
          <w:sz w:val="20"/>
          <w:szCs w:val="22"/>
        </w:rPr>
        <w:t xml:space="preserve">, </w:t>
      </w:r>
      <w:hyperlink r:id="rId9" w:history="1">
        <w:r w:rsidR="00C90E4B" w:rsidRPr="00AD050E">
          <w:rPr>
            <w:rStyle w:val="Hyperlink"/>
            <w:rFonts w:ascii="Times New Roman" w:hAnsi="Times New Roman"/>
            <w:b w:val="0"/>
            <w:sz w:val="20"/>
            <w:szCs w:val="22"/>
          </w:rPr>
          <w:t>kriztina.kelevitz@ost.ch</w:t>
        </w:r>
      </w:hyperlink>
      <w:r w:rsidR="006D1F7E">
        <w:rPr>
          <w:rFonts w:ascii="Times New Roman" w:hAnsi="Times New Roman"/>
          <w:b w:val="0"/>
          <w:sz w:val="20"/>
          <w:szCs w:val="22"/>
        </w:rPr>
        <w:t xml:space="preserve">, </w:t>
      </w:r>
      <w:hyperlink r:id="rId10" w:history="1">
        <w:r w:rsidR="00C90E4B" w:rsidRPr="00C90E4B">
          <w:rPr>
            <w:rStyle w:val="Hyperlink"/>
            <w:rFonts w:ascii="Times New Roman" w:hAnsi="Times New Roman"/>
            <w:b w:val="0"/>
            <w:sz w:val="20"/>
            <w:szCs w:val="22"/>
          </w:rPr>
          <w:t>michel.haller@ost.ch</w:t>
        </w:r>
      </w:hyperlink>
      <w:r w:rsidR="006D1F7E">
        <w:rPr>
          <w:rFonts w:ascii="Times New Roman" w:hAnsi="Times New Roman"/>
          <w:b w:val="0"/>
          <w:sz w:val="20"/>
          <w:szCs w:val="22"/>
        </w:rPr>
        <w:t xml:space="preserve"> </w:t>
      </w:r>
    </w:p>
    <w:p w14:paraId="3A7DF4B5" w14:textId="7DCCF57A" w:rsidR="001A775B" w:rsidRDefault="0C3545CD" w:rsidP="0C3545CD">
      <w:pPr>
        <w:pStyle w:val="SWCSummary"/>
        <w:pBdr>
          <w:bottom w:val="single" w:sz="6" w:space="1" w:color="auto"/>
        </w:pBdr>
      </w:pPr>
      <w:r>
        <w:t>Summary</w:t>
      </w:r>
    </w:p>
    <w:p w14:paraId="2D9BF0A8" w14:textId="41821EF5" w:rsidR="0031685E" w:rsidRDefault="00754D44" w:rsidP="008A0437">
      <w:pPr>
        <w:pStyle w:val="SWCText"/>
        <w:pBdr>
          <w:bottom w:val="single" w:sz="6" w:space="1" w:color="auto"/>
        </w:pBdr>
      </w:pPr>
      <w:r>
        <w:t xml:space="preserve">Winter heating peaks </w:t>
      </w:r>
      <w:r w:rsidR="00C90E4B">
        <w:t xml:space="preserve">may </w:t>
      </w:r>
      <w:r>
        <w:t xml:space="preserve">require large heat-pump (HP) capacities and increase electricity demand when local renewable generation is limited. This study investigates </w:t>
      </w:r>
      <w:r w:rsidR="00C77865">
        <w:t xml:space="preserve">sector coupling through </w:t>
      </w:r>
      <w:r>
        <w:t xml:space="preserve">bivalent HP and X-to-Energy systems as a means of reducing both installed HP capacity and winter grid </w:t>
      </w:r>
      <w:r w:rsidR="00C77865">
        <w:t xml:space="preserve">electricity </w:t>
      </w:r>
      <w:r>
        <w:t xml:space="preserve">imports, while offering a potential renewable </w:t>
      </w:r>
      <w:r w:rsidR="00C77865">
        <w:t xml:space="preserve">Power-to-X </w:t>
      </w:r>
      <w:r>
        <w:t xml:space="preserve">alternative to fossil-fuel peak-load units. A renovated multifamily house in Zurich is simulated using weather data for 2014–2024. Air-source and ground-source HP configurations of </w:t>
      </w:r>
      <w:r w:rsidR="00C5397C">
        <w:t>15, 20, and 25</w:t>
      </w:r>
      <w:r w:rsidR="001152EE">
        <w:t> </w:t>
      </w:r>
      <w:r>
        <w:t xml:space="preserve">kW are compared with corresponding 50 kW reference systems. Hydrogen, methane, methanol and aluminium are evaluated as </w:t>
      </w:r>
      <w:r w:rsidR="00C77865">
        <w:t xml:space="preserve">long-duration energy-storage </w:t>
      </w:r>
      <w:r>
        <w:t>carriers.</w:t>
      </w:r>
      <w:r w:rsidR="00952FC4">
        <w:t xml:space="preserve"> </w:t>
      </w:r>
      <w:r w:rsidR="00864C8F">
        <w:t>More than 90% of the annual X-carrier consumption occurs between Oct</w:t>
      </w:r>
      <w:r w:rsidR="0065490D">
        <w:t>.</w:t>
      </w:r>
      <w:r w:rsidR="00864C8F">
        <w:t xml:space="preserve"> and March. Hydrogen provides the greatest reduction in winter grid-electricity imports but has the highest system cost, mainly because of compressed-gas storage. </w:t>
      </w:r>
      <w:r w:rsidR="0065490D">
        <w:t>U</w:t>
      </w:r>
      <w:r w:rsidR="00864C8F">
        <w:t xml:space="preserve">nder average economic assumptions, aluminium provides the lowest-cost bivalent configurations: the air-source HP configuration costs </w:t>
      </w:r>
      <w:r w:rsidR="0065490D">
        <w:t>approx.</w:t>
      </w:r>
      <w:r w:rsidR="004C3D24">
        <w:t xml:space="preserve"> </w:t>
      </w:r>
      <w:r w:rsidR="00864C8F">
        <w:t>2.7</w:t>
      </w:r>
      <w:r w:rsidR="00864C8F">
        <w:t> </w:t>
      </w:r>
      <w:proofErr w:type="spellStart"/>
      <w:r w:rsidR="00864C8F">
        <w:t>kCHF</w:t>
      </w:r>
      <w:proofErr w:type="spellEnd"/>
      <w:r w:rsidR="00864C8F">
        <w:t xml:space="preserve">/a more than its reference, whereas the ground-source HP configuration costs </w:t>
      </w:r>
      <w:r w:rsidR="0065490D">
        <w:t>approx.</w:t>
      </w:r>
      <w:r w:rsidR="00864C8F">
        <w:t xml:space="preserve"> 1.5</w:t>
      </w:r>
      <w:r w:rsidR="00864C8F">
        <w:t> </w:t>
      </w:r>
      <w:proofErr w:type="spellStart"/>
      <w:r w:rsidR="00864C8F">
        <w:t>kCHF</w:t>
      </w:r>
      <w:proofErr w:type="spellEnd"/>
      <w:r w:rsidR="00864C8F">
        <w:t>/a less than its reference</w:t>
      </w:r>
      <w:r w:rsidR="0065490D">
        <w:t xml:space="preserve"> monovalent HP system</w:t>
      </w:r>
      <w:r w:rsidR="00864C8F">
        <w:t xml:space="preserve">. </w:t>
      </w:r>
      <w:r>
        <w:t xml:space="preserve">Nevertheless, economies of scale in </w:t>
      </w:r>
      <w:r w:rsidR="00C90E4B">
        <w:t xml:space="preserve">energy </w:t>
      </w:r>
      <w:r>
        <w:t>carrier production</w:t>
      </w:r>
      <w:r w:rsidR="0001510A">
        <w:t xml:space="preserve"> and </w:t>
      </w:r>
      <w:r>
        <w:t xml:space="preserve">converter manufacturing could improve future competitiveness. X-to-Energy may therefore complement efficient electrification by replacing fossil peak-load supply and reducing winter grid stress, </w:t>
      </w:r>
      <w:r w:rsidR="00245D8B">
        <w:t>assuming</w:t>
      </w:r>
      <w:r>
        <w:t xml:space="preserve"> that </w:t>
      </w:r>
      <w:r w:rsidR="00C132C1">
        <w:t>X-carrier</w:t>
      </w:r>
      <w:r>
        <w:t xml:space="preserve"> sustainability, site feasibility and additional costs are adequately addressed.</w:t>
      </w:r>
    </w:p>
    <w:p w14:paraId="5AB3A3E7" w14:textId="2591FA8E" w:rsidR="00DB52E7" w:rsidRDefault="006D1F7E" w:rsidP="001A775B">
      <w:pPr>
        <w:pStyle w:val="SWCText"/>
        <w:pBdr>
          <w:bottom w:val="single" w:sz="6" w:space="1" w:color="auto"/>
        </w:pBdr>
        <w:rPr>
          <w:i/>
          <w:iCs/>
        </w:rPr>
      </w:pPr>
      <w:r>
        <w:rPr>
          <w:i/>
          <w:iCs/>
        </w:rPr>
        <w:t xml:space="preserve">Keywords: Sector coupling, bivalent heating system, </w:t>
      </w:r>
      <w:r w:rsidR="0016402B">
        <w:rPr>
          <w:i/>
          <w:iCs/>
        </w:rPr>
        <w:t>HP</w:t>
      </w:r>
      <w:r>
        <w:rPr>
          <w:i/>
          <w:iCs/>
        </w:rPr>
        <w:t xml:space="preserve">, renewable peak load heating systems, long-duration energy storage, Power-to-X, X-to-Energy; winter </w:t>
      </w:r>
      <w:r w:rsidR="007C0BC9">
        <w:rPr>
          <w:i/>
          <w:iCs/>
        </w:rPr>
        <w:t>grid-</w:t>
      </w:r>
      <w:r>
        <w:rPr>
          <w:i/>
          <w:iCs/>
        </w:rPr>
        <w:t>electricity reduction</w:t>
      </w:r>
    </w:p>
    <w:p w14:paraId="01458796" w14:textId="1E174717" w:rsidR="00FA4DF8" w:rsidRDefault="002C089D" w:rsidP="001A775B">
      <w:pPr>
        <w:pStyle w:val="SWCText"/>
        <w:pBdr>
          <w:bottom w:val="single" w:sz="6" w:space="1" w:color="auto"/>
        </w:pBdr>
        <w:rPr>
          <w:i/>
          <w:iCs/>
        </w:rPr>
      </w:pPr>
      <w:r>
        <w:rPr>
          <w:i/>
          <w:iCs/>
        </w:rPr>
        <w:t>Field of application for the findings:</w:t>
      </w:r>
      <w:r w:rsidR="006D1F7E">
        <w:rPr>
          <w:i/>
          <w:iCs/>
        </w:rPr>
        <w:t xml:space="preserve"> Multifamily house, district heating networks, sector coupling, Power-to-X, X-to-Energy, long-duration energy storage</w:t>
      </w:r>
    </w:p>
    <w:p w14:paraId="4BABB1BE" w14:textId="501F777C" w:rsidR="006D1F7E" w:rsidRDefault="00CC3B0C" w:rsidP="006D1F7E">
      <w:pPr>
        <w:pStyle w:val="SWCText"/>
        <w:pBdr>
          <w:bottom w:val="single" w:sz="6" w:space="1" w:color="auto"/>
        </w:pBdr>
      </w:pPr>
      <w:r>
        <w:rPr>
          <w:i/>
          <w:iCs/>
        </w:rPr>
        <w:t>Addressed audience:</w:t>
      </w:r>
      <w:r w:rsidR="006D1F7E">
        <w:rPr>
          <w:i/>
          <w:iCs/>
        </w:rPr>
        <w:t xml:space="preserve"> </w:t>
      </w:r>
      <w:r w:rsidR="0001510A">
        <w:rPr>
          <w:i/>
          <w:iCs/>
        </w:rPr>
        <w:t xml:space="preserve">Building owners, </w:t>
      </w:r>
      <w:r w:rsidR="006D1F7E">
        <w:rPr>
          <w:i/>
          <w:iCs/>
        </w:rPr>
        <w:t xml:space="preserve">Energy system researchers, </w:t>
      </w:r>
      <w:r w:rsidR="0016402B">
        <w:rPr>
          <w:i/>
          <w:iCs/>
        </w:rPr>
        <w:t>HP</w:t>
      </w:r>
      <w:r w:rsidR="006D1F7E">
        <w:rPr>
          <w:i/>
          <w:iCs/>
        </w:rPr>
        <w:t xml:space="preserve"> manufacturers, district heating operators, policy makers</w:t>
      </w:r>
    </w:p>
    <w:p w14:paraId="378F0C31" w14:textId="6A422401" w:rsidR="00D32EF0" w:rsidRPr="006309AA" w:rsidRDefault="007B2113" w:rsidP="00490F10">
      <w:pPr>
        <w:pStyle w:val="SWCHeading1"/>
      </w:pPr>
      <w:r>
        <w:t>Introduction</w:t>
      </w:r>
    </w:p>
    <w:p w14:paraId="22C76579" w14:textId="56CBD16F" w:rsidR="007B2113" w:rsidRDefault="007B2113" w:rsidP="007B2113">
      <w:pPr>
        <w:pStyle w:val="SWCText"/>
      </w:pPr>
      <w:r>
        <w:t xml:space="preserve">Heating plays a crucial role in </w:t>
      </w:r>
      <w:r w:rsidR="007A37E3">
        <w:t xml:space="preserve">European </w:t>
      </w:r>
      <w:r>
        <w:t>energy consumption. Space heating and domestic hot water typically account for approx. 7</w:t>
      </w:r>
      <w:r w:rsidR="007A37E3">
        <w:t>5</w:t>
      </w:r>
      <w:r>
        <w:t xml:space="preserve">% of household </w:t>
      </w:r>
      <w:r w:rsidR="007A37E3">
        <w:t xml:space="preserve">final </w:t>
      </w:r>
      <w:r>
        <w:t xml:space="preserve">energy consumption within </w:t>
      </w:r>
      <w:r w:rsidR="00713804">
        <w:t>the EU residential sector</w:t>
      </w:r>
      <w:r w:rsidR="003B3FC9">
        <w:t xml:space="preserve"> (Eurostat, 2026).</w:t>
      </w:r>
      <w:r w:rsidR="007A37E3">
        <w:t xml:space="preserve"> </w:t>
      </w:r>
      <w:r w:rsidR="003B3FC9">
        <w:t xml:space="preserve">In 2022, </w:t>
      </w:r>
      <w:r w:rsidR="007A37E3">
        <w:t>energy use in buildings cause</w:t>
      </w:r>
      <w:r w:rsidR="00C132C1">
        <w:t>d</w:t>
      </w:r>
      <w:r w:rsidR="007A37E3">
        <w:t xml:space="preserve"> around </w:t>
      </w:r>
      <w:r w:rsidR="003B3FC9">
        <w:t>34%</w:t>
      </w:r>
      <w:r w:rsidR="007A37E3">
        <w:t xml:space="preserve"> of </w:t>
      </w:r>
      <w:r w:rsidR="003B3FC9">
        <w:t xml:space="preserve">the EU’s </w:t>
      </w:r>
      <w:r w:rsidR="007A37E3">
        <w:t xml:space="preserve">energy-related </w:t>
      </w:r>
      <w:r w:rsidR="00C132C1">
        <w:t>greenhouse gas</w:t>
      </w:r>
      <w:r w:rsidR="007A37E3">
        <w:t xml:space="preserve"> emissions</w:t>
      </w:r>
      <w:r w:rsidR="003B3FC9">
        <w:t>,</w:t>
      </w:r>
      <w:r w:rsidR="003B3FC9" w:rsidRPr="003B3FC9">
        <w:t xml:space="preserve"> including around 400</w:t>
      </w:r>
      <w:r w:rsidR="003B3FC9">
        <w:t> </w:t>
      </w:r>
      <w:r w:rsidR="003B3FC9" w:rsidRPr="003B3FC9">
        <w:t>Mio.</w:t>
      </w:r>
      <w:r w:rsidR="003B3FC9">
        <w:t> </w:t>
      </w:r>
      <w:r w:rsidR="003B3FC9" w:rsidRPr="003B3FC9">
        <w:t>tonne CO</w:t>
      </w:r>
      <w:r w:rsidR="003B3FC9" w:rsidRPr="003B3FC9">
        <w:rPr>
          <w:vertAlign w:val="subscript"/>
        </w:rPr>
        <w:t>2</w:t>
      </w:r>
      <w:r w:rsidR="003B3FC9">
        <w:t xml:space="preserve">-eq </w:t>
      </w:r>
      <w:r w:rsidR="003B3FC9" w:rsidRPr="003B3FC9">
        <w:t xml:space="preserve">from direct fossil </w:t>
      </w:r>
      <w:r w:rsidR="00C132C1">
        <w:t>fuel</w:t>
      </w:r>
      <w:r w:rsidR="003B3FC9" w:rsidRPr="003B3FC9">
        <w:t xml:space="preserve"> use </w:t>
      </w:r>
      <w:r w:rsidR="003B3FC9">
        <w:t>and</w:t>
      </w:r>
      <w:r w:rsidR="003B3FC9" w:rsidRPr="003B3FC9">
        <w:t xml:space="preserve"> 495</w:t>
      </w:r>
      <w:r w:rsidR="003B3FC9">
        <w:t> </w:t>
      </w:r>
      <w:r w:rsidR="003B3FC9" w:rsidRPr="003B3FC9">
        <w:t>Mio.</w:t>
      </w:r>
      <w:r w:rsidR="003B3FC9">
        <w:t> </w:t>
      </w:r>
      <w:r w:rsidR="003B3FC9" w:rsidRPr="003B3FC9">
        <w:t>tonne CO</w:t>
      </w:r>
      <w:r w:rsidR="003B3FC9" w:rsidRPr="003B3FC9">
        <w:rPr>
          <w:vertAlign w:val="subscript"/>
        </w:rPr>
        <w:t>2</w:t>
      </w:r>
      <w:r w:rsidR="003B3FC9">
        <w:t xml:space="preserve">-eq </w:t>
      </w:r>
      <w:r w:rsidR="003B3FC9" w:rsidRPr="003B3FC9">
        <w:t>from indirect emissions linked to electricity and district heat for use in buildings</w:t>
      </w:r>
      <w:r>
        <w:t xml:space="preserve"> (</w:t>
      </w:r>
      <w:r w:rsidR="007A37E3">
        <w:t>EEA, 2025</w:t>
      </w:r>
      <w:r>
        <w:t xml:space="preserve">). This space heating demand is highly seasonal, with most of it concentrated in winter months (Oct-March); therefore, final energy consumption for heating increases to 66% of total final demand in January, for example, in Switzerland. These peak demand periods determine the required capacity of monovalent heating systems, in which a single heat generator covers the entire heating demand of a building, and therefore strongly </w:t>
      </w:r>
      <w:proofErr w:type="gramStart"/>
      <w:r>
        <w:t>influence</w:t>
      </w:r>
      <w:proofErr w:type="gramEnd"/>
      <w:r>
        <w:t xml:space="preserve"> </w:t>
      </w:r>
      <w:r w:rsidR="0016402B">
        <w:t>heat pump (HP)</w:t>
      </w:r>
      <w:r>
        <w:t xml:space="preserve"> sizing. It also increases electricity demand during winter peak periods (Connolly et al., 2014). </w:t>
      </w:r>
    </w:p>
    <w:p w14:paraId="1E0BB087" w14:textId="77777777" w:rsidR="004B5697" w:rsidRDefault="004B5697" w:rsidP="007B2113">
      <w:pPr>
        <w:pStyle w:val="SWCText"/>
      </w:pPr>
      <w:r>
        <w:t xml:space="preserve">HPs are a key technology for </w:t>
      </w:r>
      <w:proofErr w:type="spellStart"/>
      <w:r>
        <w:t>decarbonising</w:t>
      </w:r>
      <w:proofErr w:type="spellEnd"/>
      <w:r>
        <w:t xml:space="preserve"> low- to medium-temperature heat supply. Monovalent systems are generally dimensioned for the maximum heating load, often including additional safety margins, which may result in oversized systems.</w:t>
      </w:r>
    </w:p>
    <w:p w14:paraId="6A10AAD8" w14:textId="0384F084" w:rsidR="007B2113" w:rsidRDefault="007B2113" w:rsidP="007B2113">
      <w:pPr>
        <w:pStyle w:val="SWCText"/>
      </w:pPr>
      <w:r>
        <w:lastRenderedPageBreak/>
        <w:t xml:space="preserve">Fig. 1 compares installed specific heating power with heating power derived from measured demand for 251 </w:t>
      </w:r>
      <w:r w:rsidR="0016402B">
        <w:t>HP</w:t>
      </w:r>
      <w:r>
        <w:t xml:space="preserve"> systems, based on measurement periods of 3-9 years. The installed heating capacity is typically higher than the measured requirement, indicating systematic oversizing of </w:t>
      </w:r>
      <w:r w:rsidR="0016402B">
        <w:t>HP</w:t>
      </w:r>
      <w:r>
        <w:t xml:space="preserve"> systems in practice. Field studies of </w:t>
      </w:r>
      <w:r w:rsidR="0016402B">
        <w:t>HP</w:t>
      </w:r>
      <w:r>
        <w:t xml:space="preserve"> systems in more than 600 Swiss multifamily houses</w:t>
      </w:r>
      <w:r w:rsidR="00693B44">
        <w:t xml:space="preserve"> (MFH)</w:t>
      </w:r>
      <w:r>
        <w:t xml:space="preserve"> indicated a median oversizing of approx. 40% compared to heating power derived from measured demand (Bosshard et al., 2023). Oversizing increases investment costs, potentially reduces system efficiency and lifetime due to frequent cycling, and contributes to higher electricity demand during winter peak periods. </w:t>
      </w:r>
    </w:p>
    <w:p w14:paraId="1C771775" w14:textId="689A35D5" w:rsidR="007B2113" w:rsidRDefault="007B2113" w:rsidP="007B2113">
      <w:pPr>
        <w:pStyle w:val="SWCText"/>
      </w:pPr>
      <w:r>
        <w:t xml:space="preserve">One potential approach to reduce </w:t>
      </w:r>
      <w:r w:rsidR="0016402B">
        <w:t>HP</w:t>
      </w:r>
      <w:r>
        <w:t xml:space="preserve"> oversizing is the use of bivalent heating systems, in which peak heating demand is covered by </w:t>
      </w:r>
      <w:proofErr w:type="gramStart"/>
      <w:r>
        <w:t>an auxiliary</w:t>
      </w:r>
      <w:proofErr w:type="gramEnd"/>
      <w:r>
        <w:t xml:space="preserve"> technology rather than increasing the installed </w:t>
      </w:r>
      <w:r w:rsidR="0016402B">
        <w:t>HP</w:t>
      </w:r>
      <w:r>
        <w:t xml:space="preserve"> capacity. </w:t>
      </w:r>
      <w:r w:rsidR="006A332B">
        <w:t>Long-duration and seasonal energy storage options include thermal storage and Power-to-X pathways, such as hydrogen, synthetic fuels and renewable metal energy carriers (B</w:t>
      </w:r>
      <w:r w:rsidR="006A332B">
        <w:t>ae</w:t>
      </w:r>
      <w:r w:rsidR="006A332B">
        <w:t xml:space="preserve">uerle et al., 2025). </w:t>
      </w:r>
      <w:r>
        <w:t>This study, therefore, investigates the use of renewable X-to-Energy technologies for peak-load coverage</w:t>
      </w:r>
      <w:r w:rsidR="00050CCE">
        <w:t xml:space="preserve"> to reduce winter electricity demand</w:t>
      </w:r>
      <w:r>
        <w:t xml:space="preserve">. </w:t>
      </w:r>
      <w:r w:rsidR="00045C8F">
        <w:t>This work was conducted within the Swiss research project “ReWAX – Smaller HP Dimensioning Using X-to-Energy for Peak Load Coverage”</w:t>
      </w:r>
      <w:r w:rsidR="0001510A">
        <w:t>.</w:t>
      </w:r>
      <w:r w:rsidR="00BE56A5">
        <w:t xml:space="preserve"> </w:t>
      </w:r>
      <w:r w:rsidR="00045C8F">
        <w:t>The analysis investigates how integrating these technologies into bivalent HP systems can reduce the required HP capacity and winter electricity demand compared with conventional monovalent systems in multifamily houses, and assesses the resulting system costs</w:t>
      </w:r>
      <w:r w:rsidR="00045C8F">
        <w:t xml:space="preserve"> </w:t>
      </w:r>
      <w:r w:rsidR="00CB744C">
        <w:t>(</w:t>
      </w:r>
      <w:r w:rsidR="00E44A52">
        <w:t>Baeuerle, 2025)</w:t>
      </w:r>
      <w:r w:rsidR="00BE56A5">
        <w:t>.</w:t>
      </w:r>
    </w:p>
    <w:p w14:paraId="14BE8E6A" w14:textId="77777777" w:rsidR="007C0BC9" w:rsidRPr="00DF1595" w:rsidRDefault="007C0BC9" w:rsidP="007B2113">
      <w:pPr>
        <w:pStyle w:val="SWCText"/>
        <w:rPr>
          <w:sz w:val="8"/>
          <w:szCs w:val="8"/>
        </w:rPr>
      </w:pPr>
    </w:p>
    <w:p w14:paraId="62FB4F5E" w14:textId="162D2E8A" w:rsidR="007B2113" w:rsidRDefault="007B2113" w:rsidP="00804C6E">
      <w:pPr>
        <w:pStyle w:val="SWCText"/>
        <w:jc w:val="center"/>
      </w:pPr>
      <w:r>
        <w:rPr>
          <w:noProof/>
        </w:rPr>
        <w:drawing>
          <wp:inline distT="0" distB="0" distL="0" distR="0" wp14:anchorId="0271E45F" wp14:editId="6652BAD8">
            <wp:extent cx="4263241" cy="2156664"/>
            <wp:effectExtent l="0" t="0" r="4445" b="0"/>
            <wp:docPr id="195849453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94536" name="Graphic 1958494536"/>
                    <pic:cNvPicPr/>
                  </pic:nvPicPr>
                  <pic:blipFill>
                    <a:blip r:embed="rId11">
                      <a:extLst>
                        <a:ext uri="{96DAC541-7B7A-43D3-8B79-37D633B846F1}">
                          <asvg:svgBlip xmlns:asvg="http://schemas.microsoft.com/office/drawing/2016/SVG/main" r:embed="rId12"/>
                        </a:ext>
                      </a:extLst>
                    </a:blip>
                    <a:stretch>
                      <a:fillRect/>
                    </a:stretch>
                  </pic:blipFill>
                  <pic:spPr>
                    <a:xfrm>
                      <a:off x="0" y="0"/>
                      <a:ext cx="4266068" cy="2158094"/>
                    </a:xfrm>
                    <a:prstGeom prst="rect">
                      <a:avLst/>
                    </a:prstGeom>
                  </pic:spPr>
                </pic:pic>
              </a:graphicData>
            </a:graphic>
          </wp:inline>
        </w:drawing>
      </w:r>
    </w:p>
    <w:p w14:paraId="346A6C5B" w14:textId="6A882393" w:rsidR="00CA74F1" w:rsidRPr="007B2113" w:rsidRDefault="007B2113" w:rsidP="007B2113">
      <w:pPr>
        <w:pStyle w:val="SWCText"/>
        <w:rPr>
          <w:b/>
          <w:sz w:val="16"/>
          <w:szCs w:val="20"/>
        </w:rPr>
      </w:pPr>
      <w:r w:rsidRPr="007B2113">
        <w:rPr>
          <w:b/>
          <w:sz w:val="16"/>
          <w:szCs w:val="20"/>
        </w:rPr>
        <w:t xml:space="preserve">Fig. 1: Specific heating power of 251 </w:t>
      </w:r>
      <w:r w:rsidR="0016402B">
        <w:rPr>
          <w:b/>
          <w:sz w:val="16"/>
          <w:szCs w:val="20"/>
        </w:rPr>
        <w:t>HP</w:t>
      </w:r>
      <w:r w:rsidRPr="007B2113">
        <w:rPr>
          <w:b/>
          <w:sz w:val="16"/>
          <w:szCs w:val="20"/>
        </w:rPr>
        <w:t xml:space="preserve"> systems as a function of measured heating energy consumption</w:t>
      </w:r>
      <w:r w:rsidR="009F2828">
        <w:rPr>
          <w:b/>
          <w:sz w:val="16"/>
          <w:szCs w:val="20"/>
        </w:rPr>
        <w:t>: i</w:t>
      </w:r>
      <w:r w:rsidRPr="007B2113">
        <w:rPr>
          <w:b/>
          <w:sz w:val="16"/>
          <w:szCs w:val="20"/>
        </w:rPr>
        <w:t xml:space="preserve">nstalled specific heating power (blue), specific heating power derived from design documents (green), and specific heating power derived from measurement data (orange). The </w:t>
      </w:r>
      <w:proofErr w:type="spellStart"/>
      <w:r w:rsidRPr="007B2113">
        <w:rPr>
          <w:b/>
          <w:sz w:val="16"/>
          <w:szCs w:val="20"/>
        </w:rPr>
        <w:t>coloured</w:t>
      </w:r>
      <w:proofErr w:type="spellEnd"/>
      <w:r w:rsidRPr="007B2113">
        <w:rPr>
          <w:b/>
          <w:sz w:val="16"/>
          <w:szCs w:val="20"/>
        </w:rPr>
        <w:t xml:space="preserve"> lines represent the average values over measurement periods of 3–9 years. Source: Bosshard et al., 2023</w:t>
      </w:r>
      <w:r w:rsidR="009F2828">
        <w:rPr>
          <w:b/>
          <w:sz w:val="16"/>
          <w:szCs w:val="20"/>
        </w:rPr>
        <w:t>.</w:t>
      </w:r>
    </w:p>
    <w:p w14:paraId="3D83E22A" w14:textId="138E29E2" w:rsidR="003E1E1C" w:rsidRDefault="00781269" w:rsidP="00490F10">
      <w:pPr>
        <w:pStyle w:val="SWCHeading1"/>
      </w:pPr>
      <w:r>
        <w:t>Energy s</w:t>
      </w:r>
      <w:r w:rsidR="007B2113">
        <w:t>ystem concept and methodology</w:t>
      </w:r>
    </w:p>
    <w:p w14:paraId="4E5AAE19" w14:textId="2BBDDDAF" w:rsidR="00A27642" w:rsidRDefault="00A27642" w:rsidP="00A27642">
      <w:pPr>
        <w:pStyle w:val="SWCHeading11"/>
      </w:pPr>
      <w:r>
        <w:t>2.1. Renewable Power-to-X and X-to-Energy concept for bivalent heating systems in MFH</w:t>
      </w:r>
    </w:p>
    <w:p w14:paraId="0E90F236" w14:textId="007D4A64" w:rsidR="008F3A31" w:rsidRDefault="008F3A31" w:rsidP="008F3A31">
      <w:pPr>
        <w:pStyle w:val="SWCText"/>
      </w:pPr>
      <w:r>
        <w:t>Renewable Power-to-X-to-Energy pathways comprise three principal stages: the conversion of renewable electricity into an energy carrier</w:t>
      </w:r>
      <w:r w:rsidR="009F2828">
        <w:t xml:space="preserve"> X</w:t>
      </w:r>
      <w:r>
        <w:t>, its storage and transport, and its subsequent conversion into useful energy at the point of demand. In the Power-to-X stage, renewable electricity is converted into a chemical or metal energy carrier. The seven carriers considered in the ReWAX technology screening are hydrogen, methane, methanol, ammonia, liquid organic hydrogen carriers (LOHC), aluminium and iron</w:t>
      </w:r>
      <w:r w:rsidR="00572C70">
        <w:t xml:space="preserve"> as Renewable Metal Energy Carrier (ReMEC)</w:t>
      </w:r>
      <w:r>
        <w:t xml:space="preserve">. </w:t>
      </w:r>
      <w:r w:rsidR="00211AC4">
        <w:t xml:space="preserve">The characteristics and corresponding Power-to-X pathways, and </w:t>
      </w:r>
      <w:r w:rsidR="004D42EE">
        <w:t>l</w:t>
      </w:r>
      <w:r w:rsidR="00211AC4">
        <w:t xml:space="preserve">evelized </w:t>
      </w:r>
      <w:r w:rsidR="004D42EE">
        <w:t>c</w:t>
      </w:r>
      <w:r w:rsidR="00211AC4">
        <w:t xml:space="preserve">ost of </w:t>
      </w:r>
      <w:r w:rsidR="00C132C1">
        <w:t>X-carrier</w:t>
      </w:r>
      <w:r w:rsidR="00211AC4">
        <w:t xml:space="preserve"> </w:t>
      </w:r>
      <w:r w:rsidR="004D42EE">
        <w:t>s</w:t>
      </w:r>
      <w:r w:rsidR="00211AC4">
        <w:t xml:space="preserve">torage (LCOXS) are published in a series of ReWAX </w:t>
      </w:r>
      <w:proofErr w:type="gramStart"/>
      <w:r w:rsidR="00211AC4">
        <w:t>factsheets</w:t>
      </w:r>
      <w:proofErr w:type="gramEnd"/>
      <w:r w:rsidR="00211AC4">
        <w:t xml:space="preserve"> available on the project website</w:t>
      </w:r>
      <w:r w:rsidR="00211AC4">
        <w:rPr>
          <w:rStyle w:val="FootnoteReference"/>
        </w:rPr>
        <w:footnoteReference w:id="1"/>
      </w:r>
      <w:r w:rsidR="009F2828">
        <w:t>.</w:t>
      </w:r>
      <w:r w:rsidR="00211AC4">
        <w:t xml:space="preserve"> </w:t>
      </w:r>
      <w:r w:rsidR="009F2828">
        <w:t xml:space="preserve">The conversion of energy into </w:t>
      </w:r>
      <w:proofErr w:type="gramStart"/>
      <w:r w:rsidR="009F2828">
        <w:t>an energy</w:t>
      </w:r>
      <w:proofErr w:type="gramEnd"/>
      <w:r w:rsidR="009F2828">
        <w:t xml:space="preserve"> carrier X</w:t>
      </w:r>
      <w:r>
        <w:t xml:space="preserve"> allows renewable electricity generation to be decoupled in time and space from final energy demand</w:t>
      </w:r>
      <w:r w:rsidR="00AF50A1">
        <w:t xml:space="preserve"> </w:t>
      </w:r>
      <w:r w:rsidR="00AF50A1">
        <w:t>(Parra et al., 2017; Al-Breiki and Bicer, 2021)</w:t>
      </w:r>
      <w:r>
        <w:t>.</w:t>
      </w:r>
      <w:r w:rsidR="00211AC4">
        <w:t xml:space="preserve"> </w:t>
      </w:r>
    </w:p>
    <w:p w14:paraId="081E4C8F" w14:textId="02AD0409" w:rsidR="008F3A31" w:rsidRDefault="008F3A31" w:rsidP="008F3A31">
      <w:pPr>
        <w:pStyle w:val="SWCText"/>
      </w:pPr>
      <w:r>
        <w:t xml:space="preserve">The storage and transport requirements depend on the physical and chemical properties of the </w:t>
      </w:r>
      <w:r w:rsidR="00C132C1">
        <w:t>X-carrier</w:t>
      </w:r>
      <w:r>
        <w:t xml:space="preserve">. Gaseous and liquid carriers require suitable tanks, storage facilities or transport infrastructure, whereas </w:t>
      </w:r>
      <w:r w:rsidR="00952FC4">
        <w:t>ReMEC</w:t>
      </w:r>
      <w:r>
        <w:t xml:space="preserve"> can be stored and transported as solids. </w:t>
      </w:r>
    </w:p>
    <w:p w14:paraId="790CB33E" w14:textId="7FDABEE8" w:rsidR="008F3A31" w:rsidRDefault="008F3A31" w:rsidP="008F3A31">
      <w:pPr>
        <w:pStyle w:val="SWCText"/>
      </w:pPr>
      <w:r>
        <w:t xml:space="preserve">At the point of use, the stored </w:t>
      </w:r>
      <w:r w:rsidR="009F2828">
        <w:t xml:space="preserve">energy carrier </w:t>
      </w:r>
      <w:r w:rsidR="00DA38D8">
        <w:t xml:space="preserve">X </w:t>
      </w:r>
      <w:r>
        <w:t xml:space="preserve">is converted into heat or into a combination of heat and electricity. </w:t>
      </w:r>
      <w:r>
        <w:lastRenderedPageBreak/>
        <w:t xml:space="preserve">Heat-only conversion may be provided by boilers or other thermal conversion units, whereas combined heat and power </w:t>
      </w:r>
      <w:r w:rsidR="00952FC4">
        <w:t xml:space="preserve">(CHP) </w:t>
      </w:r>
      <w:r>
        <w:t xml:space="preserve">systems additionally generate electricity. The </w:t>
      </w:r>
      <w:proofErr w:type="gramStart"/>
      <w:r>
        <w:t>generated heat</w:t>
      </w:r>
      <w:proofErr w:type="gramEnd"/>
      <w:r>
        <w:t xml:space="preserve"> contributes directly to the building’s heat supply. Depending on the conversion pathway, </w:t>
      </w:r>
      <w:r w:rsidR="00037E8A">
        <w:t>produced</w:t>
      </w:r>
      <w:r>
        <w:t xml:space="preserve"> electricity may contribute to </w:t>
      </w:r>
      <w:r w:rsidR="00037E8A">
        <w:t>HP</w:t>
      </w:r>
      <w:r>
        <w:t xml:space="preserve"> operation, other building electricity demand or battery charging.</w:t>
      </w:r>
    </w:p>
    <w:p w14:paraId="578C9527" w14:textId="55ACFE83" w:rsidR="007C0BC9" w:rsidRDefault="008F3A31" w:rsidP="008F3A31">
      <w:pPr>
        <w:pStyle w:val="SWCText"/>
      </w:pPr>
      <w:r>
        <w:t xml:space="preserve">Within the bivalent ReWAX system, the HP remains the primary heat generator and supplies most of the annual space heating and domestic hot water demand (DHW) of the MFH. The X-to-Energy unit covers residual heat demand </w:t>
      </w:r>
      <w:r w:rsidR="00F62C73">
        <w:t xml:space="preserve">in winter </w:t>
      </w:r>
      <w:r>
        <w:t xml:space="preserve">when the required heating power exceeds the available heat-pump output or when </w:t>
      </w:r>
      <w:r w:rsidR="00F62C73">
        <w:t xml:space="preserve">battery charging state is insufficient </w:t>
      </w:r>
      <w:r>
        <w:t xml:space="preserve">(Fig. 2). The </w:t>
      </w:r>
      <w:r w:rsidR="00C132C1">
        <w:t>X-carrier</w:t>
      </w:r>
      <w:r>
        <w:t xml:space="preserve"> is therefore </w:t>
      </w:r>
      <w:r w:rsidR="00DA38D8">
        <w:t>primarily</w:t>
      </w:r>
      <w:r>
        <w:t xml:space="preserve"> used during winter periods rather than for continuous heat supply. </w:t>
      </w:r>
    </w:p>
    <w:p w14:paraId="31BEA147" w14:textId="77777777" w:rsidR="00F62C73" w:rsidRDefault="00F62C73" w:rsidP="008F3A31">
      <w:pPr>
        <w:pStyle w:val="SWCText"/>
      </w:pPr>
    </w:p>
    <w:p w14:paraId="27987078" w14:textId="0D858D5B" w:rsidR="00CB744C" w:rsidRDefault="005F07D2" w:rsidP="008F3A31">
      <w:pPr>
        <w:pStyle w:val="SWCText"/>
      </w:pPr>
      <w:r w:rsidRPr="005F07D2">
        <w:rPr>
          <w:noProof/>
        </w:rPr>
        <w:drawing>
          <wp:inline distT="0" distB="0" distL="0" distR="0" wp14:anchorId="3FCE2D25" wp14:editId="05ADE802">
            <wp:extent cx="5761990" cy="2390140"/>
            <wp:effectExtent l="0" t="0" r="0" b="0"/>
            <wp:docPr id="765600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990" cy="2390140"/>
                    </a:xfrm>
                    <a:prstGeom prst="rect">
                      <a:avLst/>
                    </a:prstGeom>
                    <a:noFill/>
                    <a:ln>
                      <a:noFill/>
                    </a:ln>
                  </pic:spPr>
                </pic:pic>
              </a:graphicData>
            </a:graphic>
          </wp:inline>
        </w:drawing>
      </w:r>
    </w:p>
    <w:p w14:paraId="34E95236" w14:textId="762101EB" w:rsidR="00CB744C" w:rsidRDefault="00CB744C" w:rsidP="00CB744C">
      <w:pPr>
        <w:pStyle w:val="SWCTableFigureCaption"/>
      </w:pPr>
      <w:r>
        <w:t>Fig</w:t>
      </w:r>
      <w:r w:rsidR="003238E5">
        <w:t>.</w:t>
      </w:r>
      <w:r>
        <w:t xml:space="preserve"> 2: </w:t>
      </w:r>
      <w:proofErr w:type="spellStart"/>
      <w:r>
        <w:t>Analysed</w:t>
      </w:r>
      <w:proofErr w:type="spellEnd"/>
      <w:r>
        <w:t xml:space="preserve"> </w:t>
      </w:r>
      <w:r w:rsidR="00781269">
        <w:t xml:space="preserve">bivalent energy </w:t>
      </w:r>
      <w:r>
        <w:t>system for MFH</w:t>
      </w:r>
      <w:r w:rsidR="008E30F8">
        <w:t xml:space="preserve"> including</w:t>
      </w:r>
      <w:r w:rsidR="0001510A">
        <w:t xml:space="preserve"> photovoltaic</w:t>
      </w:r>
      <w:r w:rsidR="008E30F8">
        <w:t xml:space="preserve"> </w:t>
      </w:r>
      <w:r w:rsidR="0001510A">
        <w:t>(</w:t>
      </w:r>
      <w:r w:rsidR="008E30F8">
        <w:t>PV</w:t>
      </w:r>
      <w:r w:rsidR="0001510A">
        <w:t>)</w:t>
      </w:r>
      <w:r w:rsidR="008E30F8">
        <w:t xml:space="preserve">, </w:t>
      </w:r>
      <w:r w:rsidR="00C132C1">
        <w:t>b</w:t>
      </w:r>
      <w:r w:rsidR="008E30F8">
        <w:t>attery, and</w:t>
      </w:r>
      <w:r w:rsidR="0001510A">
        <w:t xml:space="preserve"> thermal energy storage</w:t>
      </w:r>
      <w:r w:rsidR="008E30F8">
        <w:t xml:space="preserve"> </w:t>
      </w:r>
      <w:r w:rsidR="0001510A">
        <w:t>(</w:t>
      </w:r>
      <w:r w:rsidR="008E30F8">
        <w:t>TES</w:t>
      </w:r>
      <w:r w:rsidR="0001510A">
        <w:t>)</w:t>
      </w:r>
      <w:r>
        <w:t>. Flows of heat, electricity and material are represented in orange, green, and grey.</w:t>
      </w:r>
    </w:p>
    <w:p w14:paraId="7238C4EC" w14:textId="34B972D4" w:rsidR="008F3A31" w:rsidRPr="008F3A31" w:rsidRDefault="008F3A31" w:rsidP="00A27642">
      <w:pPr>
        <w:pStyle w:val="SWCText"/>
      </w:pPr>
      <w:r w:rsidRPr="008F3A31">
        <w:t xml:space="preserve">The dynamic simulation determines the operation of the bivalent system and the resulting residual energy demand to be supplied by the X-to-Energy unit. </w:t>
      </w:r>
      <w:r w:rsidR="00E84222" w:rsidRPr="00E84222">
        <w:t xml:space="preserve">The simulations were performed using pysim365, a Python-based </w:t>
      </w:r>
      <w:r w:rsidR="009F2828">
        <w:t>sector coupling and building</w:t>
      </w:r>
      <w:r w:rsidR="00E84222" w:rsidRPr="00E84222">
        <w:t xml:space="preserve"> simulation framework developed at SPF/OST.</w:t>
      </w:r>
      <w:r w:rsidR="00E84222">
        <w:t xml:space="preserve"> pysim365</w:t>
      </w:r>
      <w:r w:rsidRPr="008F3A31">
        <w:t xml:space="preserve"> builds on the modelling approach applied previously within the REVEAL project</w:t>
      </w:r>
      <w:r w:rsidR="00E84222">
        <w:t xml:space="preserve">, focusing on PV self-consumption and bivalent HP-Alu-to-Energy and fuel cell system </w:t>
      </w:r>
      <w:r w:rsidRPr="008F3A31">
        <w:t xml:space="preserve">(Escher et al., 2025). </w:t>
      </w:r>
      <w:r w:rsidR="00E84222" w:rsidRPr="00E84222">
        <w:t>The present study adapts the framework to the ReWAX system configuration and control strategy</w:t>
      </w:r>
      <w:r w:rsidR="00E84222">
        <w:t xml:space="preserve">. </w:t>
      </w:r>
      <w:r w:rsidR="00A27642" w:rsidRPr="00A27642">
        <w:t>Each system configuration is simulated over a full year with a temporal resolution of 15 min.</w:t>
      </w:r>
      <w:r w:rsidR="00A27642">
        <w:t xml:space="preserve"> The model represents</w:t>
      </w:r>
      <w:r w:rsidR="00781269" w:rsidRPr="00781269">
        <w:t xml:space="preserve"> </w:t>
      </w:r>
      <w:r w:rsidR="00A27642">
        <w:t xml:space="preserve">the </w:t>
      </w:r>
      <w:r w:rsidR="00781269" w:rsidRPr="00781269">
        <w:t>space</w:t>
      </w:r>
      <w:r w:rsidR="00781269">
        <w:t xml:space="preserve"> </w:t>
      </w:r>
      <w:r w:rsidR="00781269" w:rsidRPr="00781269">
        <w:t>heating</w:t>
      </w:r>
      <w:r w:rsidR="00781269">
        <w:t xml:space="preserve"> (SH)</w:t>
      </w:r>
      <w:r w:rsidR="00781269" w:rsidRPr="00781269">
        <w:t>, domestic</w:t>
      </w:r>
      <w:r w:rsidR="00781269">
        <w:t xml:space="preserve"> </w:t>
      </w:r>
      <w:r w:rsidR="00781269" w:rsidRPr="00781269">
        <w:t>hot</w:t>
      </w:r>
      <w:r w:rsidR="00781269">
        <w:t xml:space="preserve"> </w:t>
      </w:r>
      <w:r w:rsidR="00781269" w:rsidRPr="00781269">
        <w:t>water</w:t>
      </w:r>
      <w:r w:rsidR="00781269">
        <w:t xml:space="preserve"> (DHW)</w:t>
      </w:r>
      <w:r w:rsidR="00781269" w:rsidRPr="00781269">
        <w:t xml:space="preserve"> and building</w:t>
      </w:r>
      <w:r w:rsidR="00781269">
        <w:t xml:space="preserve"> </w:t>
      </w:r>
      <w:r w:rsidR="00781269" w:rsidRPr="00781269">
        <w:t>electricity demands together with the photovoltaic system</w:t>
      </w:r>
      <w:r w:rsidR="00781269">
        <w:t xml:space="preserve"> (PV)</w:t>
      </w:r>
      <w:r w:rsidR="00781269" w:rsidRPr="00781269">
        <w:t xml:space="preserve">, battery, </w:t>
      </w:r>
      <w:r w:rsidR="00781269">
        <w:t>HP</w:t>
      </w:r>
      <w:r w:rsidR="00781269" w:rsidRPr="00781269">
        <w:t xml:space="preserve">, </w:t>
      </w:r>
      <w:r w:rsidR="00781269">
        <w:t>DHW</w:t>
      </w:r>
      <w:r w:rsidR="00781269" w:rsidRPr="00781269">
        <w:t xml:space="preserve"> storage, electricity grid and X-to-Energy unit</w:t>
      </w:r>
      <w:r w:rsidR="00E84222">
        <w:t xml:space="preserve"> (Fig. 2)</w:t>
      </w:r>
      <w:r w:rsidR="00781269" w:rsidRPr="00781269">
        <w:t>.</w:t>
      </w:r>
      <w:r w:rsidR="0031005F">
        <w:t xml:space="preserve"> </w:t>
      </w:r>
      <w:r w:rsidR="00E84222" w:rsidRPr="00E84222">
        <w:t>Their conversion characteristics and costs are applied to the simulated X-to-Energy demand to determine the required carrier quantities and the resulting system costs.</w:t>
      </w:r>
    </w:p>
    <w:p w14:paraId="4A397056" w14:textId="7B54EF64" w:rsidR="00CA74F1" w:rsidRDefault="008F3A31" w:rsidP="00A27642">
      <w:pPr>
        <w:pStyle w:val="SWCText"/>
        <w:rPr>
          <w:lang w:val="en-GB"/>
        </w:rPr>
      </w:pPr>
      <w:r w:rsidRPr="008F3A31">
        <w:t>Aluminium</w:t>
      </w:r>
      <w:r w:rsidR="00A27642">
        <w:t xml:space="preserve"> as </w:t>
      </w:r>
      <w:r w:rsidR="00DA38D8">
        <w:t>ReMEC</w:t>
      </w:r>
      <w:r w:rsidRPr="008F3A31">
        <w:t xml:space="preserve"> represents one of the four selected pathways</w:t>
      </w:r>
      <w:r w:rsidR="00DA38D8">
        <w:t>, developed, tested and validated within the EU REVEAL project</w:t>
      </w:r>
      <w:r w:rsidR="00DA38D8">
        <w:rPr>
          <w:rStyle w:val="FootnoteReference"/>
        </w:rPr>
        <w:footnoteReference w:id="2"/>
      </w:r>
      <w:r w:rsidRPr="008F3A31">
        <w:t xml:space="preserve">. In the Power-to-Aluminium </w:t>
      </w:r>
      <w:r w:rsidR="00DA38D8">
        <w:t>process</w:t>
      </w:r>
      <w:r w:rsidRPr="008F3A31">
        <w:t>, renewable electricity is used to produce metallic aluminium</w:t>
      </w:r>
      <w:r w:rsidR="00DA38D8">
        <w:t xml:space="preserve"> via a CO</w:t>
      </w:r>
      <w:r w:rsidR="00DA38D8" w:rsidRPr="00DA38D8">
        <w:rPr>
          <w:vertAlign w:val="subscript"/>
        </w:rPr>
        <w:t>2</w:t>
      </w:r>
      <w:r w:rsidR="00DA38D8">
        <w:t>-free Al smelter</w:t>
      </w:r>
      <w:r w:rsidRPr="008F3A31">
        <w:t xml:space="preserve">, which can be stored and </w:t>
      </w:r>
      <w:r w:rsidR="00572C70">
        <w:t xml:space="preserve">easily </w:t>
      </w:r>
      <w:r w:rsidRPr="008F3A31">
        <w:t xml:space="preserve">transported </w:t>
      </w:r>
      <w:r w:rsidR="00DA38D8">
        <w:t xml:space="preserve">as </w:t>
      </w:r>
      <w:r>
        <w:t>granules</w:t>
      </w:r>
      <w:r w:rsidR="00572C70">
        <w:t xml:space="preserve"> with </w:t>
      </w:r>
      <w:r w:rsidR="00E84222">
        <w:t>a</w:t>
      </w:r>
      <w:r w:rsidR="00572C70">
        <w:t xml:space="preserve"> volumetric energy density of 15 MWh/m</w:t>
      </w:r>
      <w:r w:rsidR="00572C70" w:rsidRPr="00572C70">
        <w:rPr>
          <w:vertAlign w:val="superscript"/>
        </w:rPr>
        <w:t>3</w:t>
      </w:r>
      <w:r w:rsidR="00572C70">
        <w:t>, requiring very small storage volume and</w:t>
      </w:r>
      <w:r w:rsidR="009E6BC9">
        <w:t xml:space="preserve"> resulting in comparatively</w:t>
      </w:r>
      <w:r w:rsidR="00572C70">
        <w:t xml:space="preserve"> low cost</w:t>
      </w:r>
      <w:r w:rsidR="008818FF">
        <w:t xml:space="preserve"> (Haller, 2020)</w:t>
      </w:r>
      <w:r w:rsidRPr="008F3A31">
        <w:t>. During Aluminium-to-Energy conversion, aluminium reacts with water, releasing heat and producing hydrogen that can be converted into electricity in a fuel cell</w:t>
      </w:r>
      <w:r w:rsidR="008818FF">
        <w:t xml:space="preserve"> (</w:t>
      </w:r>
      <w:r w:rsidR="006A332B">
        <w:t xml:space="preserve">Haller et al., 2021). </w:t>
      </w:r>
      <w:r w:rsidR="006A332B">
        <w:t>The influence of reaction conditions and granule treatments is investigated by Agote-Arán et al</w:t>
      </w:r>
      <w:r w:rsidR="006A332B">
        <w:t>. (</w:t>
      </w:r>
      <w:r w:rsidR="008818FF">
        <w:t>2025</w:t>
      </w:r>
      <w:r w:rsidR="006A332B">
        <w:t>)</w:t>
      </w:r>
      <w:r w:rsidRPr="008F3A31">
        <w:t>.</w:t>
      </w:r>
      <w:r w:rsidR="00DA38D8">
        <w:t xml:space="preserve"> </w:t>
      </w:r>
      <w:r w:rsidRPr="008F3A31">
        <w:t xml:space="preserve">The resulting aluminium hydroxide is returned to the production pathway, where it is calcined to aluminium oxide and </w:t>
      </w:r>
      <w:r w:rsidR="00A27642">
        <w:t>again</w:t>
      </w:r>
      <w:r w:rsidRPr="008F3A31">
        <w:t xml:space="preserve"> reduced to metallic aluminium. The energy and material balances of this proposed closed material cycle are described by Escher et al. (2025), while its thermodynamic pathways and conversion options are discussed by Haller et al. (2025).</w:t>
      </w:r>
    </w:p>
    <w:p w14:paraId="68094616" w14:textId="034F7D33" w:rsidR="009F6AF8" w:rsidRDefault="00804C6E" w:rsidP="009F7C7E">
      <w:pPr>
        <w:pStyle w:val="SWCHeading11"/>
      </w:pPr>
      <w:r>
        <w:t>2</w:t>
      </w:r>
      <w:r w:rsidR="0084100F">
        <w:t xml:space="preserve">.2. </w:t>
      </w:r>
      <w:r w:rsidR="00A27642">
        <w:t>MFH case study and bivalent system configurations</w:t>
      </w:r>
    </w:p>
    <w:p w14:paraId="151AAFF8" w14:textId="56D5DD5D" w:rsidR="00462350" w:rsidRPr="00462350" w:rsidRDefault="00462350" w:rsidP="00462350">
      <w:pPr>
        <w:pStyle w:val="SWCText"/>
      </w:pPr>
      <w:r w:rsidRPr="00462350">
        <w:lastRenderedPageBreak/>
        <w:t xml:space="preserve">The case study is based on </w:t>
      </w:r>
      <w:r w:rsidR="009E6BC9">
        <w:t>an</w:t>
      </w:r>
      <w:r w:rsidRPr="00462350">
        <w:t xml:space="preserve"> MFH constructed in 1964 and renovated in 2019. It has a heated floor area of 1548</w:t>
      </w:r>
      <w:r>
        <w:t> </w:t>
      </w:r>
      <w:r w:rsidRPr="00462350">
        <w:t xml:space="preserve">m² and comprises 20 apartments, each represented as a separate thermal zone. The assumed occupancy is 40 people. Time-dependent occupancy, electricity and DHW profiles are assigned to </w:t>
      </w:r>
      <w:proofErr w:type="gramStart"/>
      <w:r w:rsidRPr="00462350">
        <w:t>the individual</w:t>
      </w:r>
      <w:proofErr w:type="gramEnd"/>
      <w:r w:rsidRPr="00462350">
        <w:t xml:space="preserve"> apartments. The associated internal gains are included in the thermal building model, while the apartment-level electricity and DHW profiles are aggregated at MFH level.</w:t>
      </w:r>
    </w:p>
    <w:p w14:paraId="3A56B5A6" w14:textId="24510F86" w:rsidR="00462350" w:rsidRDefault="00462350" w:rsidP="003E3CDD">
      <w:pPr>
        <w:pStyle w:val="SWCText"/>
      </w:pPr>
      <w:r w:rsidRPr="00462350">
        <w:t xml:space="preserve">The principal building and demand characteristics are </w:t>
      </w:r>
      <w:proofErr w:type="spellStart"/>
      <w:r w:rsidRPr="00462350">
        <w:t>summarised</w:t>
      </w:r>
      <w:proofErr w:type="spellEnd"/>
      <w:r w:rsidRPr="00462350">
        <w:t xml:space="preserve"> in Table 1, while the building</w:t>
      </w:r>
      <w:r>
        <w:t xml:space="preserve"> insulation</w:t>
      </w:r>
      <w:r w:rsidRPr="00462350">
        <w:t xml:space="preserve"> properties are provided in Appendix </w:t>
      </w:r>
      <w:r w:rsidR="00A343F1">
        <w:t>1</w:t>
      </w:r>
      <w:r w:rsidRPr="00462350">
        <w:t>.</w:t>
      </w:r>
      <w:r w:rsidR="00C73717">
        <w:t xml:space="preserve"> </w:t>
      </w:r>
    </w:p>
    <w:p w14:paraId="1630D648" w14:textId="18C7FCC1" w:rsidR="00C62036" w:rsidRDefault="00C62036" w:rsidP="00C62036">
      <w:pPr>
        <w:pStyle w:val="SWCTableFigureCaption"/>
      </w:pPr>
      <w:r>
        <w:t xml:space="preserve">Table </w:t>
      </w:r>
      <w:r>
        <w:fldChar w:fldCharType="begin"/>
      </w:r>
      <w:r>
        <w:instrText xml:space="preserve"> SEQ Table \* ARABIC </w:instrText>
      </w:r>
      <w:r>
        <w:fldChar w:fldCharType="separate"/>
      </w:r>
      <w:r w:rsidR="008A47FD">
        <w:rPr>
          <w:noProof/>
        </w:rPr>
        <w:t>1</w:t>
      </w:r>
      <w:r>
        <w:fldChar w:fldCharType="end"/>
      </w:r>
      <w:r>
        <w:t xml:space="preserve"> Principal MFH and system assumptions</w:t>
      </w:r>
    </w:p>
    <w:tbl>
      <w:tblPr>
        <w:tblStyle w:val="TableGrid"/>
        <w:tblW w:w="0" w:type="auto"/>
        <w:tblLook w:val="04A0" w:firstRow="1" w:lastRow="0" w:firstColumn="1" w:lastColumn="0" w:noHBand="0" w:noVBand="1"/>
      </w:tblPr>
      <w:tblGrid>
        <w:gridCol w:w="3021"/>
        <w:gridCol w:w="3021"/>
        <w:gridCol w:w="3022"/>
      </w:tblGrid>
      <w:tr w:rsidR="003E3CDD" w14:paraId="2FCDBB04" w14:textId="77777777" w:rsidTr="003E3CDD">
        <w:tc>
          <w:tcPr>
            <w:tcW w:w="3021" w:type="dxa"/>
          </w:tcPr>
          <w:p w14:paraId="1E36B1BA" w14:textId="3841E2A3" w:rsidR="003E3CDD" w:rsidRDefault="00BA09AD" w:rsidP="0031005F">
            <w:pPr>
              <w:pStyle w:val="SWCTableHeader"/>
              <w:spacing w:after="0"/>
            </w:pPr>
            <w:r>
              <w:t>Category</w:t>
            </w:r>
          </w:p>
        </w:tc>
        <w:tc>
          <w:tcPr>
            <w:tcW w:w="3021" w:type="dxa"/>
          </w:tcPr>
          <w:p w14:paraId="334CE24C" w14:textId="03635E66" w:rsidR="003E3CDD" w:rsidRDefault="00BA09AD" w:rsidP="0031005F">
            <w:pPr>
              <w:pStyle w:val="SWCTableHeader"/>
              <w:spacing w:after="0"/>
            </w:pPr>
            <w:r>
              <w:t>Parameter</w:t>
            </w:r>
          </w:p>
        </w:tc>
        <w:tc>
          <w:tcPr>
            <w:tcW w:w="3022" w:type="dxa"/>
          </w:tcPr>
          <w:p w14:paraId="27923A27" w14:textId="3396EE12" w:rsidR="003E3CDD" w:rsidRDefault="00BA09AD" w:rsidP="0031005F">
            <w:pPr>
              <w:pStyle w:val="SWCTableHeader"/>
              <w:spacing w:after="0"/>
            </w:pPr>
            <w:r>
              <w:t>Value</w:t>
            </w:r>
          </w:p>
        </w:tc>
      </w:tr>
      <w:tr w:rsidR="00BA09AD" w14:paraId="0709450F" w14:textId="77777777" w:rsidTr="003E3CDD">
        <w:tc>
          <w:tcPr>
            <w:tcW w:w="3021" w:type="dxa"/>
            <w:vMerge w:val="restart"/>
          </w:tcPr>
          <w:p w14:paraId="028C61EC" w14:textId="6B68715D" w:rsidR="00BA09AD" w:rsidRDefault="00BA09AD" w:rsidP="0031005F">
            <w:pPr>
              <w:pStyle w:val="SWCTableText"/>
              <w:spacing w:after="0"/>
            </w:pPr>
            <w:r>
              <w:t>Building</w:t>
            </w:r>
          </w:p>
        </w:tc>
        <w:tc>
          <w:tcPr>
            <w:tcW w:w="3021" w:type="dxa"/>
          </w:tcPr>
          <w:p w14:paraId="5E954990" w14:textId="78105B93" w:rsidR="00BA09AD" w:rsidRDefault="00BA09AD" w:rsidP="0031005F">
            <w:pPr>
              <w:pStyle w:val="SWCTableText"/>
              <w:spacing w:after="0"/>
            </w:pPr>
            <w:r>
              <w:t>Construction/renovation</w:t>
            </w:r>
          </w:p>
        </w:tc>
        <w:tc>
          <w:tcPr>
            <w:tcW w:w="3022" w:type="dxa"/>
          </w:tcPr>
          <w:p w14:paraId="20340750" w14:textId="48345D8E" w:rsidR="00BA09AD" w:rsidRDefault="00BA09AD" w:rsidP="0031005F">
            <w:pPr>
              <w:pStyle w:val="SWCTableText"/>
              <w:spacing w:after="0"/>
            </w:pPr>
            <w:r>
              <w:t>1964/2019</w:t>
            </w:r>
          </w:p>
        </w:tc>
      </w:tr>
      <w:tr w:rsidR="00BA09AD" w14:paraId="05DD484E" w14:textId="77777777" w:rsidTr="003E3CDD">
        <w:tc>
          <w:tcPr>
            <w:tcW w:w="3021" w:type="dxa"/>
            <w:vMerge/>
          </w:tcPr>
          <w:p w14:paraId="09AAFE62" w14:textId="77777777" w:rsidR="00BA09AD" w:rsidRDefault="00BA09AD" w:rsidP="0031005F">
            <w:pPr>
              <w:pStyle w:val="SWCTableText"/>
              <w:spacing w:after="0"/>
            </w:pPr>
          </w:p>
        </w:tc>
        <w:tc>
          <w:tcPr>
            <w:tcW w:w="3021" w:type="dxa"/>
          </w:tcPr>
          <w:p w14:paraId="7FEDB656" w14:textId="4E67CD11" w:rsidR="00BA09AD" w:rsidRDefault="00BA09AD" w:rsidP="0031005F">
            <w:pPr>
              <w:pStyle w:val="SWCTableText"/>
              <w:spacing w:after="0"/>
            </w:pPr>
            <w:r>
              <w:t>Heated floor area</w:t>
            </w:r>
          </w:p>
        </w:tc>
        <w:tc>
          <w:tcPr>
            <w:tcW w:w="3022" w:type="dxa"/>
          </w:tcPr>
          <w:p w14:paraId="5D78FF0C" w14:textId="3BFC7DB2" w:rsidR="00BA09AD" w:rsidRDefault="00BA09AD" w:rsidP="0031005F">
            <w:pPr>
              <w:pStyle w:val="SWCTableText"/>
              <w:spacing w:after="0"/>
            </w:pPr>
            <w:r>
              <w:t>1550 m</w:t>
            </w:r>
            <w:r w:rsidRPr="00BA09AD">
              <w:rPr>
                <w:vertAlign w:val="superscript"/>
              </w:rPr>
              <w:t>2</w:t>
            </w:r>
          </w:p>
        </w:tc>
      </w:tr>
      <w:tr w:rsidR="00BA09AD" w14:paraId="2AC67DE9" w14:textId="77777777" w:rsidTr="003E3CDD">
        <w:tc>
          <w:tcPr>
            <w:tcW w:w="3021" w:type="dxa"/>
            <w:vMerge/>
          </w:tcPr>
          <w:p w14:paraId="152B7CC1" w14:textId="77777777" w:rsidR="00BA09AD" w:rsidRDefault="00BA09AD" w:rsidP="0031005F">
            <w:pPr>
              <w:pStyle w:val="SWCTableText"/>
              <w:spacing w:after="0"/>
            </w:pPr>
          </w:p>
        </w:tc>
        <w:tc>
          <w:tcPr>
            <w:tcW w:w="3021" w:type="dxa"/>
          </w:tcPr>
          <w:p w14:paraId="405DB63B" w14:textId="36E8893E" w:rsidR="00BA09AD" w:rsidRDefault="00BA09AD" w:rsidP="0031005F">
            <w:pPr>
              <w:pStyle w:val="SWCTableText"/>
              <w:spacing w:after="0"/>
            </w:pPr>
            <w:r>
              <w:t>Apartments/thermal zones</w:t>
            </w:r>
          </w:p>
        </w:tc>
        <w:tc>
          <w:tcPr>
            <w:tcW w:w="3022" w:type="dxa"/>
          </w:tcPr>
          <w:p w14:paraId="6624BF29" w14:textId="5F525ED3" w:rsidR="00BA09AD" w:rsidRDefault="00BA09AD" w:rsidP="0031005F">
            <w:pPr>
              <w:pStyle w:val="SWCTableText"/>
              <w:spacing w:after="0"/>
            </w:pPr>
            <w:r>
              <w:t>20/20</w:t>
            </w:r>
          </w:p>
        </w:tc>
      </w:tr>
      <w:tr w:rsidR="003E3CDD" w14:paraId="4F590FED" w14:textId="77777777" w:rsidTr="003E3CDD">
        <w:tc>
          <w:tcPr>
            <w:tcW w:w="3021" w:type="dxa"/>
          </w:tcPr>
          <w:p w14:paraId="1BD90A58" w14:textId="6E7C1929" w:rsidR="003E3CDD" w:rsidRDefault="00BA09AD" w:rsidP="0031005F">
            <w:pPr>
              <w:pStyle w:val="SWCTableText"/>
              <w:spacing w:after="0"/>
            </w:pPr>
            <w:r>
              <w:t>Occupancy</w:t>
            </w:r>
          </w:p>
        </w:tc>
        <w:tc>
          <w:tcPr>
            <w:tcW w:w="3021" w:type="dxa"/>
          </w:tcPr>
          <w:p w14:paraId="706E9C5F" w14:textId="6B66BC1F" w:rsidR="003E3CDD" w:rsidRDefault="00BA09AD" w:rsidP="0031005F">
            <w:pPr>
              <w:pStyle w:val="SWCTableText"/>
              <w:spacing w:after="0"/>
            </w:pPr>
            <w:r>
              <w:t>Number of occupants</w:t>
            </w:r>
          </w:p>
        </w:tc>
        <w:tc>
          <w:tcPr>
            <w:tcW w:w="3022" w:type="dxa"/>
          </w:tcPr>
          <w:p w14:paraId="5E71D083" w14:textId="2506F2D2" w:rsidR="003E3CDD" w:rsidRDefault="00BA09AD" w:rsidP="0031005F">
            <w:pPr>
              <w:pStyle w:val="SWCTableText"/>
              <w:spacing w:after="0"/>
            </w:pPr>
            <w:r>
              <w:t>40</w:t>
            </w:r>
          </w:p>
        </w:tc>
      </w:tr>
      <w:tr w:rsidR="003E3CDD" w14:paraId="3E125FA5" w14:textId="77777777" w:rsidTr="003E3CDD">
        <w:tc>
          <w:tcPr>
            <w:tcW w:w="3021" w:type="dxa"/>
          </w:tcPr>
          <w:p w14:paraId="26C4C4E0" w14:textId="334134E4" w:rsidR="003E3CDD" w:rsidRDefault="00BA09AD" w:rsidP="0031005F">
            <w:pPr>
              <w:pStyle w:val="SWCTableText"/>
              <w:spacing w:after="0"/>
            </w:pPr>
            <w:r>
              <w:t>Climate</w:t>
            </w:r>
          </w:p>
        </w:tc>
        <w:tc>
          <w:tcPr>
            <w:tcW w:w="3021" w:type="dxa"/>
          </w:tcPr>
          <w:p w14:paraId="65C18DAE" w14:textId="45A951CC" w:rsidR="003E3CDD" w:rsidRDefault="00BA09AD" w:rsidP="0031005F">
            <w:pPr>
              <w:pStyle w:val="SWCTableText"/>
              <w:spacing w:after="0"/>
            </w:pPr>
            <w:r>
              <w:t>Weather data</w:t>
            </w:r>
          </w:p>
        </w:tc>
        <w:tc>
          <w:tcPr>
            <w:tcW w:w="3022" w:type="dxa"/>
          </w:tcPr>
          <w:p w14:paraId="4D6530EA" w14:textId="04131C27" w:rsidR="003E3CDD" w:rsidRDefault="00BA09AD" w:rsidP="0031005F">
            <w:pPr>
              <w:pStyle w:val="SWCTableText"/>
              <w:spacing w:after="0"/>
            </w:pPr>
            <w:r>
              <w:t>Zurich, 2014-2024</w:t>
            </w:r>
          </w:p>
        </w:tc>
      </w:tr>
      <w:tr w:rsidR="00BA09AD" w14:paraId="27540AD4" w14:textId="77777777" w:rsidTr="003E3CDD">
        <w:tc>
          <w:tcPr>
            <w:tcW w:w="3021" w:type="dxa"/>
          </w:tcPr>
          <w:p w14:paraId="3111DF14" w14:textId="36A37CBA" w:rsidR="00BA09AD" w:rsidRDefault="00BA09AD" w:rsidP="0031005F">
            <w:pPr>
              <w:pStyle w:val="SWCTableText"/>
              <w:spacing w:after="0"/>
            </w:pPr>
            <w:r>
              <w:t>Space heating</w:t>
            </w:r>
          </w:p>
        </w:tc>
        <w:tc>
          <w:tcPr>
            <w:tcW w:w="3021" w:type="dxa"/>
          </w:tcPr>
          <w:p w14:paraId="15A7C39B" w14:textId="79D7F1FE" w:rsidR="00BA09AD" w:rsidRDefault="00BA09AD" w:rsidP="0031005F">
            <w:pPr>
              <w:pStyle w:val="SWCTableText"/>
              <w:spacing w:after="0"/>
            </w:pPr>
            <w:r>
              <w:t>Annual</w:t>
            </w:r>
            <w:r w:rsidR="00525A84">
              <w:t xml:space="preserve"> thermal</w:t>
            </w:r>
            <w:r>
              <w:t xml:space="preserve"> demand</w:t>
            </w:r>
          </w:p>
        </w:tc>
        <w:tc>
          <w:tcPr>
            <w:tcW w:w="3022" w:type="dxa"/>
          </w:tcPr>
          <w:p w14:paraId="6007D3C5" w14:textId="762392E5" w:rsidR="00BA09AD" w:rsidRDefault="00BA09AD" w:rsidP="0031005F">
            <w:pPr>
              <w:pStyle w:val="SWCTableText"/>
              <w:spacing w:after="0"/>
            </w:pPr>
            <w:r>
              <w:t>40–49 MWh/a</w:t>
            </w:r>
          </w:p>
        </w:tc>
      </w:tr>
      <w:tr w:rsidR="00BA09AD" w14:paraId="446F7DF0" w14:textId="77777777" w:rsidTr="003E3CDD">
        <w:tc>
          <w:tcPr>
            <w:tcW w:w="3021" w:type="dxa"/>
          </w:tcPr>
          <w:p w14:paraId="7CC0024D" w14:textId="10E6CC8A" w:rsidR="00BA09AD" w:rsidRDefault="00BA09AD" w:rsidP="0031005F">
            <w:pPr>
              <w:pStyle w:val="SWCTableText"/>
              <w:spacing w:after="0"/>
            </w:pPr>
            <w:r>
              <w:t>Domestic hot water</w:t>
            </w:r>
          </w:p>
        </w:tc>
        <w:tc>
          <w:tcPr>
            <w:tcW w:w="3021" w:type="dxa"/>
          </w:tcPr>
          <w:p w14:paraId="6D253736" w14:textId="06EB01C6" w:rsidR="00BA09AD" w:rsidRDefault="00BA09AD" w:rsidP="0031005F">
            <w:pPr>
              <w:pStyle w:val="SWCTableText"/>
              <w:spacing w:after="0"/>
            </w:pPr>
            <w:r>
              <w:t xml:space="preserve">Annual </w:t>
            </w:r>
            <w:r w:rsidR="00525A84">
              <w:t xml:space="preserve">thermal </w:t>
            </w:r>
            <w:r>
              <w:t>demand</w:t>
            </w:r>
          </w:p>
        </w:tc>
        <w:tc>
          <w:tcPr>
            <w:tcW w:w="3022" w:type="dxa"/>
          </w:tcPr>
          <w:p w14:paraId="47C3FA8B" w14:textId="7534F5FC" w:rsidR="00BA09AD" w:rsidRDefault="00BA09AD" w:rsidP="0031005F">
            <w:pPr>
              <w:pStyle w:val="SWCTableText"/>
              <w:spacing w:after="0"/>
            </w:pPr>
            <w:r>
              <w:t>37 MWh/a</w:t>
            </w:r>
          </w:p>
        </w:tc>
      </w:tr>
      <w:tr w:rsidR="00BA09AD" w14:paraId="6856DE05" w14:textId="77777777" w:rsidTr="003E3CDD">
        <w:tc>
          <w:tcPr>
            <w:tcW w:w="3021" w:type="dxa"/>
          </w:tcPr>
          <w:p w14:paraId="00F6D5ED" w14:textId="27393346" w:rsidR="00BA09AD" w:rsidRDefault="00BA09AD" w:rsidP="0031005F">
            <w:pPr>
              <w:pStyle w:val="SWCTableText"/>
              <w:spacing w:after="0"/>
            </w:pPr>
            <w:r>
              <w:t>Electricity</w:t>
            </w:r>
          </w:p>
        </w:tc>
        <w:tc>
          <w:tcPr>
            <w:tcW w:w="3021" w:type="dxa"/>
          </w:tcPr>
          <w:p w14:paraId="18798F83" w14:textId="5255E10B" w:rsidR="00BA09AD" w:rsidRDefault="00BA09AD" w:rsidP="0031005F">
            <w:pPr>
              <w:pStyle w:val="SWCTableText"/>
              <w:spacing w:after="0"/>
            </w:pPr>
            <w:r>
              <w:t>Annual demand</w:t>
            </w:r>
          </w:p>
        </w:tc>
        <w:tc>
          <w:tcPr>
            <w:tcW w:w="3022" w:type="dxa"/>
          </w:tcPr>
          <w:p w14:paraId="0A8340BA" w14:textId="6BECCD24" w:rsidR="00BA09AD" w:rsidRDefault="00BA09AD" w:rsidP="0031005F">
            <w:pPr>
              <w:pStyle w:val="SWCTableText"/>
              <w:spacing w:after="0"/>
            </w:pPr>
            <w:r>
              <w:t xml:space="preserve">54 </w:t>
            </w:r>
            <w:proofErr w:type="spellStart"/>
            <w:r>
              <w:t>MWhel</w:t>
            </w:r>
            <w:proofErr w:type="spellEnd"/>
            <w:r>
              <w:t>/a</w:t>
            </w:r>
          </w:p>
        </w:tc>
      </w:tr>
      <w:tr w:rsidR="00BA09AD" w14:paraId="47CEE3FF" w14:textId="77777777" w:rsidTr="003E3CDD">
        <w:tc>
          <w:tcPr>
            <w:tcW w:w="3021" w:type="dxa"/>
          </w:tcPr>
          <w:p w14:paraId="67906215" w14:textId="6451E98A" w:rsidR="00BA09AD" w:rsidRDefault="00BA09AD" w:rsidP="0031005F">
            <w:pPr>
              <w:pStyle w:val="SWCTableText"/>
              <w:spacing w:after="0"/>
            </w:pPr>
            <w:r>
              <w:t>Photovoltaic</w:t>
            </w:r>
          </w:p>
        </w:tc>
        <w:tc>
          <w:tcPr>
            <w:tcW w:w="3021" w:type="dxa"/>
          </w:tcPr>
          <w:p w14:paraId="290FB651" w14:textId="4B780354" w:rsidR="00BA09AD" w:rsidRDefault="00BA09AD" w:rsidP="0031005F">
            <w:pPr>
              <w:pStyle w:val="SWCTableText"/>
              <w:spacing w:after="0"/>
            </w:pPr>
            <w:r>
              <w:t xml:space="preserve">Available </w:t>
            </w:r>
            <w:r w:rsidR="00525A84">
              <w:t xml:space="preserve">roof </w:t>
            </w:r>
            <w:r>
              <w:t>area/capacity</w:t>
            </w:r>
          </w:p>
        </w:tc>
        <w:tc>
          <w:tcPr>
            <w:tcW w:w="3022" w:type="dxa"/>
          </w:tcPr>
          <w:p w14:paraId="5AD21079" w14:textId="689899D3" w:rsidR="00BA09AD" w:rsidRDefault="00BA09AD" w:rsidP="0031005F">
            <w:pPr>
              <w:pStyle w:val="SWCTableText"/>
              <w:spacing w:after="0"/>
            </w:pPr>
            <w:r>
              <w:t>380 m</w:t>
            </w:r>
            <w:r w:rsidRPr="00BA09AD">
              <w:rPr>
                <w:vertAlign w:val="superscript"/>
              </w:rPr>
              <w:t>2</w:t>
            </w:r>
            <w:r>
              <w:t xml:space="preserve">/72 </w:t>
            </w:r>
            <w:proofErr w:type="spellStart"/>
            <w:r>
              <w:t>kW</w:t>
            </w:r>
            <w:r w:rsidRPr="00BA09AD">
              <w:rPr>
                <w:vertAlign w:val="subscript"/>
              </w:rPr>
              <w:t>p</w:t>
            </w:r>
            <w:proofErr w:type="spellEnd"/>
          </w:p>
        </w:tc>
      </w:tr>
      <w:tr w:rsidR="00BA09AD" w14:paraId="5097806E" w14:textId="77777777" w:rsidTr="003E3CDD">
        <w:tc>
          <w:tcPr>
            <w:tcW w:w="3021" w:type="dxa"/>
          </w:tcPr>
          <w:p w14:paraId="670D9902" w14:textId="2FCEE398" w:rsidR="00BA09AD" w:rsidRDefault="00BA09AD" w:rsidP="0031005F">
            <w:pPr>
              <w:pStyle w:val="SWCTableText"/>
              <w:spacing w:after="0"/>
            </w:pPr>
            <w:r>
              <w:t>Battery</w:t>
            </w:r>
          </w:p>
        </w:tc>
        <w:tc>
          <w:tcPr>
            <w:tcW w:w="3021" w:type="dxa"/>
          </w:tcPr>
          <w:p w14:paraId="0FB3C6BC" w14:textId="0CDFD3D1" w:rsidR="00BA09AD" w:rsidRDefault="00525A84" w:rsidP="0031005F">
            <w:pPr>
              <w:pStyle w:val="SWCTableText"/>
              <w:spacing w:after="0"/>
            </w:pPr>
            <w:r>
              <w:t>Electric c</w:t>
            </w:r>
            <w:r w:rsidR="00BA09AD">
              <w:t>apacity/power</w:t>
            </w:r>
          </w:p>
        </w:tc>
        <w:tc>
          <w:tcPr>
            <w:tcW w:w="3022" w:type="dxa"/>
          </w:tcPr>
          <w:p w14:paraId="7EDBC813" w14:textId="710D70AB" w:rsidR="00BA09AD" w:rsidRDefault="00BA09AD" w:rsidP="0031005F">
            <w:pPr>
              <w:pStyle w:val="SWCTableText"/>
              <w:spacing w:after="0"/>
            </w:pPr>
            <w:r>
              <w:t>60 kWh/30 kW</w:t>
            </w:r>
          </w:p>
        </w:tc>
      </w:tr>
      <w:tr w:rsidR="00BA09AD" w14:paraId="64C7A0E6" w14:textId="77777777" w:rsidTr="003E3CDD">
        <w:tc>
          <w:tcPr>
            <w:tcW w:w="3021" w:type="dxa"/>
          </w:tcPr>
          <w:p w14:paraId="5F26DBCB" w14:textId="10B75A6B" w:rsidR="00BA09AD" w:rsidRDefault="00BA09AD" w:rsidP="0031005F">
            <w:pPr>
              <w:pStyle w:val="SWCTableText"/>
              <w:spacing w:after="0"/>
            </w:pPr>
            <w:r>
              <w:t>DHW</w:t>
            </w:r>
            <w:r w:rsidR="00525A84">
              <w:t xml:space="preserve">/SH </w:t>
            </w:r>
            <w:r>
              <w:t>storage</w:t>
            </w:r>
          </w:p>
        </w:tc>
        <w:tc>
          <w:tcPr>
            <w:tcW w:w="3021" w:type="dxa"/>
          </w:tcPr>
          <w:p w14:paraId="70CAE0CC" w14:textId="4B0793BD" w:rsidR="00BA09AD" w:rsidRDefault="00BA09AD" w:rsidP="0031005F">
            <w:pPr>
              <w:pStyle w:val="SWCTableText"/>
              <w:spacing w:after="0"/>
            </w:pPr>
            <w:r>
              <w:t>Installed volume</w:t>
            </w:r>
          </w:p>
        </w:tc>
        <w:tc>
          <w:tcPr>
            <w:tcW w:w="3022" w:type="dxa"/>
          </w:tcPr>
          <w:p w14:paraId="321EDB16" w14:textId="72552C26" w:rsidR="00BA09AD" w:rsidRDefault="00BA09AD" w:rsidP="0031005F">
            <w:pPr>
              <w:pStyle w:val="SWCTableText"/>
              <w:spacing w:after="0"/>
            </w:pPr>
            <w:r>
              <w:t>4</w:t>
            </w:r>
            <w:r w:rsidR="00525A84">
              <w:t xml:space="preserve">/4 </w:t>
            </w:r>
            <w:r>
              <w:t>m</w:t>
            </w:r>
            <w:r w:rsidRPr="00BA09AD">
              <w:rPr>
                <w:vertAlign w:val="superscript"/>
              </w:rPr>
              <w:t>3</w:t>
            </w:r>
          </w:p>
        </w:tc>
      </w:tr>
      <w:tr w:rsidR="00BA09AD" w14:paraId="5B20DB70" w14:textId="77777777" w:rsidTr="003E3CDD">
        <w:tc>
          <w:tcPr>
            <w:tcW w:w="3021" w:type="dxa"/>
          </w:tcPr>
          <w:p w14:paraId="59748373" w14:textId="01A2063B" w:rsidR="00BA09AD" w:rsidRDefault="00BA09AD" w:rsidP="0031005F">
            <w:pPr>
              <w:pStyle w:val="SWCTableText"/>
              <w:spacing w:after="0"/>
            </w:pPr>
            <w:r>
              <w:t>HP</w:t>
            </w:r>
          </w:p>
        </w:tc>
        <w:tc>
          <w:tcPr>
            <w:tcW w:w="3021" w:type="dxa"/>
          </w:tcPr>
          <w:p w14:paraId="65E3C232" w14:textId="623FF811" w:rsidR="00BA09AD" w:rsidRDefault="00BA09AD" w:rsidP="0031005F">
            <w:pPr>
              <w:pStyle w:val="SWCTableText"/>
              <w:spacing w:after="0"/>
            </w:pPr>
            <w:r>
              <w:t>Technology</w:t>
            </w:r>
          </w:p>
        </w:tc>
        <w:tc>
          <w:tcPr>
            <w:tcW w:w="3022" w:type="dxa"/>
          </w:tcPr>
          <w:p w14:paraId="6D9DD5D2" w14:textId="6054C7D8" w:rsidR="00BA09AD" w:rsidRDefault="00BA09AD" w:rsidP="0031005F">
            <w:pPr>
              <w:pStyle w:val="SWCTableText"/>
              <w:spacing w:after="0"/>
            </w:pPr>
            <w:r>
              <w:t>air-source/ground-source</w:t>
            </w:r>
          </w:p>
        </w:tc>
      </w:tr>
      <w:tr w:rsidR="00BA09AD" w14:paraId="1882E069" w14:textId="77777777" w:rsidTr="003E3CDD">
        <w:tc>
          <w:tcPr>
            <w:tcW w:w="3021" w:type="dxa"/>
          </w:tcPr>
          <w:p w14:paraId="0D257998" w14:textId="4523DA8A" w:rsidR="00BA09AD" w:rsidRDefault="00C132C1" w:rsidP="0031005F">
            <w:pPr>
              <w:pStyle w:val="SWCTableText"/>
              <w:spacing w:after="0"/>
            </w:pPr>
            <w:r>
              <w:t>X-carrier</w:t>
            </w:r>
            <w:r w:rsidR="00BA09AD">
              <w:t>s</w:t>
            </w:r>
          </w:p>
        </w:tc>
        <w:tc>
          <w:tcPr>
            <w:tcW w:w="3021" w:type="dxa"/>
          </w:tcPr>
          <w:p w14:paraId="71B66C78" w14:textId="3073D2B9" w:rsidR="00BA09AD" w:rsidRDefault="00BA09AD" w:rsidP="0031005F">
            <w:pPr>
              <w:pStyle w:val="SWCTableText"/>
              <w:spacing w:after="0"/>
            </w:pPr>
            <w:r>
              <w:t>X-to-Energy CHP</w:t>
            </w:r>
          </w:p>
        </w:tc>
        <w:tc>
          <w:tcPr>
            <w:tcW w:w="3022" w:type="dxa"/>
          </w:tcPr>
          <w:p w14:paraId="7E6C36E5" w14:textId="5AC149BE" w:rsidR="00BA09AD" w:rsidRDefault="00BA09AD" w:rsidP="0031005F">
            <w:pPr>
              <w:pStyle w:val="SWCTableText"/>
              <w:spacing w:after="0"/>
            </w:pPr>
            <w:r>
              <w:t>Al, H</w:t>
            </w:r>
            <w:r w:rsidRPr="00BA09AD">
              <w:rPr>
                <w:vertAlign w:val="subscript"/>
              </w:rPr>
              <w:t>2</w:t>
            </w:r>
            <w:r>
              <w:t>, CH</w:t>
            </w:r>
            <w:r w:rsidRPr="00BA09AD">
              <w:rPr>
                <w:vertAlign w:val="subscript"/>
              </w:rPr>
              <w:t>4</w:t>
            </w:r>
            <w:r>
              <w:t>, MeOH</w:t>
            </w:r>
          </w:p>
        </w:tc>
      </w:tr>
    </w:tbl>
    <w:p w14:paraId="60D107E3" w14:textId="77777777" w:rsidR="00220518" w:rsidRDefault="00220518" w:rsidP="003E3CDD">
      <w:pPr>
        <w:pStyle w:val="SWCText"/>
      </w:pPr>
    </w:p>
    <w:p w14:paraId="49D36E98" w14:textId="77777777" w:rsidR="00C73717" w:rsidRDefault="003E3CDD" w:rsidP="003E3CDD">
      <w:pPr>
        <w:pStyle w:val="SWCText"/>
      </w:pPr>
      <w:r>
        <w:t>All configurations include a PV system with a nominal capacity of 72 </w:t>
      </w:r>
      <w:proofErr w:type="spellStart"/>
      <w:r>
        <w:t>kWp</w:t>
      </w:r>
      <w:proofErr w:type="spellEnd"/>
      <w:r>
        <w:t xml:space="preserve">, corresponding to the available roof area of 380 m². Based on preliminary simulations with battery </w:t>
      </w:r>
      <w:r w:rsidR="00525A84">
        <w:t xml:space="preserve">electric </w:t>
      </w:r>
      <w:r>
        <w:t xml:space="preserve">capacities of 0, 60 and 90 kWh, a capacity of 60 kWh was selected as a balance between battery </w:t>
      </w:r>
      <w:proofErr w:type="spellStart"/>
      <w:r>
        <w:t>utilisation</w:t>
      </w:r>
      <w:proofErr w:type="spellEnd"/>
      <w:r>
        <w:t xml:space="preserve"> and additional investment cost. The battery has a maximum charging and discharging </w:t>
      </w:r>
      <w:r w:rsidR="00525A84">
        <w:t xml:space="preserve">electric </w:t>
      </w:r>
      <w:r>
        <w:t>power of 30</w:t>
      </w:r>
      <w:r w:rsidR="00C62036">
        <w:t> </w:t>
      </w:r>
      <w:r>
        <w:t>kW. The existing central DHW storage has an installed volume of 4 m</w:t>
      </w:r>
      <w:proofErr w:type="gramStart"/>
      <w:r>
        <w:t>³, and</w:t>
      </w:r>
      <w:proofErr w:type="gramEnd"/>
      <w:r>
        <w:t xml:space="preserve"> is retained unchanged in all configurations.</w:t>
      </w:r>
      <w:r w:rsidR="00525A84">
        <w:t xml:space="preserve"> Additionally, </w:t>
      </w:r>
      <w:proofErr w:type="gramStart"/>
      <w:r w:rsidR="00525A84">
        <w:t>a</w:t>
      </w:r>
      <w:proofErr w:type="gramEnd"/>
      <w:r w:rsidR="00525A84">
        <w:t xml:space="preserve"> SH storage of 4 m</w:t>
      </w:r>
      <w:r w:rsidR="00525A84" w:rsidRPr="00525A84">
        <w:rPr>
          <w:vertAlign w:val="superscript"/>
        </w:rPr>
        <w:t>3</w:t>
      </w:r>
      <w:r w:rsidR="00525A84">
        <w:t xml:space="preserve"> was assumed.</w:t>
      </w:r>
    </w:p>
    <w:p w14:paraId="633A615A" w14:textId="0153C806" w:rsidR="003E3CDD" w:rsidRPr="008D43FD" w:rsidRDefault="003E261D" w:rsidP="003E3CDD">
      <w:pPr>
        <w:pStyle w:val="SWCText"/>
        <w:rPr>
          <w:lang w:val="en-GB"/>
        </w:rPr>
      </w:pPr>
      <w:r>
        <w:t xml:space="preserve">Both air-source heat pump (ASHP) and ground-source heat pump (GSHP) configurations were simulated using source-specific performance models and boundary conditions. A monovalent 50 kW HP configuration serves as the reference, while HP capacities of 15, 20 and 25 kW were investigated in the bivalent configurations. For the ASHP, these capacities result in parallel bivalence points of around 0, </w:t>
      </w:r>
      <w:r w:rsidR="008D43FD">
        <w:t>-</w:t>
      </w:r>
      <w:r>
        <w:t xml:space="preserve">5 and </w:t>
      </w:r>
      <w:r w:rsidR="008D43FD">
        <w:t>-</w:t>
      </w:r>
      <w:r>
        <w:t>9 °C, respectively, based on the temperature-dependent HP output and the unsmoothed hourly SH load</w:t>
      </w:r>
      <w:r w:rsidR="00DC6584">
        <w:t>,</w:t>
      </w:r>
      <w:r>
        <w:t xml:space="preserve"> with a max</w:t>
      </w:r>
      <w:r w:rsidR="00DC6584">
        <w:t>.</w:t>
      </w:r>
      <w:r>
        <w:t xml:space="preserve"> of </w:t>
      </w:r>
      <w:r w:rsidR="00DC6584">
        <w:t>approx.</w:t>
      </w:r>
      <w:r>
        <w:t xml:space="preserve"> 27</w:t>
      </w:r>
      <w:r w:rsidR="00DC6584">
        <w:t> </w:t>
      </w:r>
      <w:r>
        <w:t>kW. The corresponding X-to-Energy peak capacities required to cover the max</w:t>
      </w:r>
      <w:r w:rsidR="00DC6584">
        <w:t>.</w:t>
      </w:r>
      <w:r>
        <w:t xml:space="preserve"> residual SH load </w:t>
      </w:r>
      <w:r w:rsidR="00DC6584">
        <w:t>were</w:t>
      </w:r>
      <w:r>
        <w:t xml:space="preserve"> 16.</w:t>
      </w:r>
      <w:r w:rsidR="00DC6584">
        <w:t>5</w:t>
      </w:r>
      <w:r>
        <w:t>, 12 and 8.5 kW. Based on this initial sizing,</w:t>
      </w:r>
      <w:r w:rsidR="00DC6584">
        <w:t xml:space="preserve"> X</w:t>
      </w:r>
      <w:r>
        <w:t xml:space="preserve"> converter </w:t>
      </w:r>
      <w:r w:rsidR="00DC6584">
        <w:t xml:space="preserve">thermal </w:t>
      </w:r>
      <w:r>
        <w:t>capacities between 8 and 20 kW were evaluated dynamically</w:t>
      </w:r>
      <w:r w:rsidR="00DC6584">
        <w:t xml:space="preserve"> for the weather years 2014-2024</w:t>
      </w:r>
      <w:r>
        <w:t>. Only configurations meeting the technical-feasibility criteria defined in Section 2.3 were retained.</w:t>
      </w:r>
      <w:r w:rsidR="008D43FD">
        <w:t xml:space="preserve"> </w:t>
      </w:r>
      <w:r w:rsidR="00C132C1">
        <w:t>The notation HP20 + X8, for example, denotes an HP with a nominal thermal capacity of 20 kW combined with an X-to-Energy converter with a nominal thermal output of 8 kW.</w:t>
      </w:r>
    </w:p>
    <w:p w14:paraId="2601D47B" w14:textId="19AB8FA4" w:rsidR="0084100F" w:rsidRDefault="00804C6E" w:rsidP="0084100F">
      <w:pPr>
        <w:pStyle w:val="SWCHeading11"/>
      </w:pPr>
      <w:r>
        <w:t>2</w:t>
      </w:r>
      <w:r w:rsidR="0084100F">
        <w:t>.3</w:t>
      </w:r>
      <w:r w:rsidR="0073193F">
        <w:t>.</w:t>
      </w:r>
      <w:r w:rsidR="0084100F">
        <w:t xml:space="preserve"> </w:t>
      </w:r>
      <w:r w:rsidR="001A70BD">
        <w:t>Control strategy</w:t>
      </w:r>
      <w:r w:rsidR="0031054F">
        <w:t xml:space="preserve"> </w:t>
      </w:r>
      <w:r w:rsidR="001A70BD">
        <w:t>and technical feasibility</w:t>
      </w:r>
    </w:p>
    <w:p w14:paraId="26B3789E" w14:textId="4D96DF38" w:rsidR="008869C2" w:rsidRDefault="008869C2" w:rsidP="008869C2">
      <w:pPr>
        <w:pStyle w:val="SWCText"/>
        <w:rPr>
          <w:sz w:val="24"/>
          <w:szCs w:val="24"/>
          <w:lang w:val="en-GB" w:eastAsia="en-GB"/>
        </w:rPr>
      </w:pPr>
      <w:r>
        <w:t>The control strategy implements the bivalent system concept described in Section 2.1. Its objectives are to maintain SH and DHW supply with a reduced HP capacity</w:t>
      </w:r>
      <w:r w:rsidR="0031054F">
        <w:t xml:space="preserve"> while</w:t>
      </w:r>
      <w:r>
        <w:t xml:space="preserve"> </w:t>
      </w:r>
      <w:proofErr w:type="spellStart"/>
      <w:r>
        <w:t>prioritis</w:t>
      </w:r>
      <w:r w:rsidR="0031054F">
        <w:t>ing</w:t>
      </w:r>
      <w:proofErr w:type="spellEnd"/>
      <w:r>
        <w:t xml:space="preserve"> </w:t>
      </w:r>
      <w:r w:rsidR="0031054F">
        <w:t xml:space="preserve">the usage of </w:t>
      </w:r>
      <w:r>
        <w:t>locally generated PV electricity</w:t>
      </w:r>
      <w:r w:rsidR="0031054F">
        <w:t>.</w:t>
      </w:r>
      <w:r>
        <w:t xml:space="preserve"> </w:t>
      </w:r>
      <w:r w:rsidR="0031054F">
        <w:t>A further aim is to r</w:t>
      </w:r>
      <w:r>
        <w:t xml:space="preserve">educe grid-electricity imports during winter peak-demand periods, when heating-related electricity demand is high and renewable electricity availability may be limited. The control strategy </w:t>
      </w:r>
      <w:proofErr w:type="spellStart"/>
      <w:r>
        <w:t>prioritises</w:t>
      </w:r>
      <w:proofErr w:type="spellEnd"/>
      <w:r>
        <w:t xml:space="preserve"> X-to-Energy operation during the winter period from October to March, while limited operation outside this period may occur under specific system conditions.</w:t>
      </w:r>
    </w:p>
    <w:p w14:paraId="52DA6D67" w14:textId="6D3AA3DD" w:rsidR="003645AD" w:rsidRDefault="003645AD" w:rsidP="008869C2">
      <w:pPr>
        <w:pStyle w:val="SWCText"/>
      </w:pPr>
      <w:r>
        <w:t xml:space="preserve">At each simulation time step, PV electricity first supplies the household electricity demand, while the battery balances any remaining demand. DHW supply is </w:t>
      </w:r>
      <w:proofErr w:type="spellStart"/>
      <w:r>
        <w:t>prioritised</w:t>
      </w:r>
      <w:proofErr w:type="spellEnd"/>
      <w:r>
        <w:t>: the HP covers the current DHW demand</w:t>
      </w:r>
      <w:r w:rsidR="003E46CA">
        <w:t xml:space="preserve">, </w:t>
      </w:r>
      <w:r>
        <w:t>charg</w:t>
      </w:r>
      <w:r w:rsidR="003E46CA">
        <w:t>ing</w:t>
      </w:r>
      <w:r>
        <w:t xml:space="preserve"> the DHW storage. </w:t>
      </w:r>
      <w:r w:rsidR="003E46CA">
        <w:t>During winter,</w:t>
      </w:r>
      <w:r>
        <w:t xml:space="preserve"> HP output</w:t>
      </w:r>
      <w:r w:rsidR="003E46CA">
        <w:t xml:space="preserve"> </w:t>
      </w:r>
      <w:proofErr w:type="spellStart"/>
      <w:r w:rsidR="003E46CA">
        <w:t>prioritised</w:t>
      </w:r>
      <w:proofErr w:type="spellEnd"/>
      <w:r w:rsidR="003E46CA">
        <w:t xml:space="preserve"> </w:t>
      </w:r>
      <w:r>
        <w:t>SH</w:t>
      </w:r>
      <w:r w:rsidR="003E46CA">
        <w:t xml:space="preserve"> demand coverage to improve operation efficiency. </w:t>
      </w:r>
    </w:p>
    <w:p w14:paraId="4D989C53" w14:textId="638C7E20" w:rsidR="008869C2" w:rsidRDefault="008869C2" w:rsidP="008869C2">
      <w:pPr>
        <w:pStyle w:val="SWCText"/>
      </w:pPr>
      <w:r>
        <w:t xml:space="preserve">X-to-Energy operation is </w:t>
      </w:r>
      <w:r w:rsidR="00E87876">
        <w:t>triggered</w:t>
      </w:r>
      <w:r>
        <w:t xml:space="preserve"> </w:t>
      </w:r>
      <w:r w:rsidR="00040379">
        <w:t xml:space="preserve">if residual SH demand remains or if </w:t>
      </w:r>
      <w:r>
        <w:t xml:space="preserve">the battery state of charge </w:t>
      </w:r>
      <w:r w:rsidR="00040379">
        <w:t>decreases to</w:t>
      </w:r>
      <w:r w:rsidR="00E87876">
        <w:t xml:space="preserve"> SOC</w:t>
      </w:r>
      <w:r w:rsidR="00040379">
        <w:t xml:space="preserve"> </w:t>
      </w:r>
      <w:r w:rsidR="00E87876">
        <w:t>0.4</w:t>
      </w:r>
      <w:r w:rsidR="00040379">
        <w:t xml:space="preserve">. </w:t>
      </w:r>
      <w:r w:rsidR="003645AD">
        <w:t xml:space="preserve">It starts only if its nominal heat output can be supplied directly or absorbed by the SH or DHW storage, thus preventing heat dumping. The </w:t>
      </w:r>
      <w:proofErr w:type="gramStart"/>
      <w:r w:rsidR="003645AD">
        <w:t>generated electricity</w:t>
      </w:r>
      <w:proofErr w:type="gramEnd"/>
      <w:r w:rsidR="003645AD">
        <w:t xml:space="preserve"> from X supplies the household demand and charges the </w:t>
      </w:r>
      <w:r w:rsidR="003645AD">
        <w:lastRenderedPageBreak/>
        <w:t>battery. Operation requested by low battery SOC continues until SOC reaches 0.8, provided that the heat-</w:t>
      </w:r>
      <w:proofErr w:type="spellStart"/>
      <w:r w:rsidR="003645AD">
        <w:t>utilisation</w:t>
      </w:r>
      <w:proofErr w:type="spellEnd"/>
      <w:r w:rsidR="003645AD">
        <w:t xml:space="preserve"> condition remains fulfilled. Any SH demand remaining after X-to-Energy operation is covered by the HP using grid electricity.</w:t>
      </w:r>
    </w:p>
    <w:p w14:paraId="72B1F1B8" w14:textId="74994B93" w:rsidR="008869C2" w:rsidRDefault="008869C2" w:rsidP="008869C2">
      <w:pPr>
        <w:pStyle w:val="SWCText"/>
      </w:pPr>
      <w:r>
        <w:t xml:space="preserve">A configuration is considered technically feasible when the combined unmet </w:t>
      </w:r>
      <w:r w:rsidR="000A72AF">
        <w:t xml:space="preserve">thermal </w:t>
      </w:r>
      <w:r>
        <w:t xml:space="preserve">SH and DHW demand after a seven-day </w:t>
      </w:r>
      <w:proofErr w:type="spellStart"/>
      <w:r>
        <w:t>initialisation</w:t>
      </w:r>
      <w:proofErr w:type="spellEnd"/>
      <w:r>
        <w:t xml:space="preserve"> period does not exceed 1 kWh/a. This criterion is applied before the economic results are evaluated. </w:t>
      </w:r>
    </w:p>
    <w:p w14:paraId="673F3CA8" w14:textId="2CDB40C1" w:rsidR="001301DE" w:rsidRPr="0073193F" w:rsidRDefault="0073193F" w:rsidP="0073193F">
      <w:pPr>
        <w:pStyle w:val="SWCHeading11"/>
      </w:pPr>
      <w:r>
        <w:t xml:space="preserve">2.4. </w:t>
      </w:r>
      <w:r w:rsidR="007B2113">
        <w:t xml:space="preserve">Economic </w:t>
      </w:r>
      <w:r w:rsidR="00A343F1">
        <w:t>asses</w:t>
      </w:r>
      <w:r w:rsidR="00245D8B">
        <w:t>s</w:t>
      </w:r>
      <w:r w:rsidR="00A343F1">
        <w:t>ment</w:t>
      </w:r>
    </w:p>
    <w:p w14:paraId="5E59B8D9" w14:textId="2E0D3381" w:rsidR="00CA2A90" w:rsidRDefault="00CA2A90" w:rsidP="0073193F">
      <w:pPr>
        <w:pStyle w:val="SWCText"/>
      </w:pPr>
      <w:r>
        <w:t xml:space="preserve">The economic assessment combines the annual energy flows obtained from the dynamic simulations with the investment, maintenance and energy-cost assumptions of the respective system configurations. The assessment covers the complete building energy system, including the PV system, stationary battery, heat pump (HP), domestic hot-water thermal energy storage (DHW TES), X-to-Energy converter and X-carrier storage. Annual X-carrier expenditure, grid-electricity purchases and PV feed-in revenues are also included. Detailed economic assumptions are provided in Appendix </w:t>
      </w:r>
      <w:r w:rsidR="00A343F1">
        <w:t>2</w:t>
      </w:r>
      <w:r>
        <w:t>.</w:t>
      </w:r>
      <w:r w:rsidR="00245D8B">
        <w:t xml:space="preserve"> All costs are reported in CHF (CHF 1 ≈ EUR 1.07, 28 August 2026).</w:t>
      </w:r>
    </w:p>
    <w:p w14:paraId="4E69514D" w14:textId="1D2DBDB3" w:rsidR="0073193F" w:rsidRPr="0073193F" w:rsidRDefault="0073193F" w:rsidP="0073193F">
      <w:pPr>
        <w:pStyle w:val="SWCText"/>
        <w:rPr>
          <w:lang w:val="en-GB"/>
        </w:rPr>
      </w:pPr>
      <w:r>
        <w:t>Investment costs are converted into equivalent annual costs using the</w:t>
      </w:r>
      <w:r w:rsidR="00912719">
        <w:t xml:space="preserve"> component-specific</w:t>
      </w:r>
      <w:r>
        <w:t xml:space="preserve"> annuity factor (</w:t>
      </w:r>
      <w:proofErr w:type="spellStart"/>
      <w:r>
        <w:t>AF</w:t>
      </w:r>
      <w:r w:rsidRPr="0073193F">
        <w:rPr>
          <w:vertAlign w:val="subscript"/>
        </w:rPr>
        <w:t>j</w:t>
      </w:r>
      <w:proofErr w:type="spellEnd"/>
      <w:r>
        <w:t>):</w:t>
      </w:r>
    </w:p>
    <w:p w14:paraId="59470022" w14:textId="4FB6F2D9" w:rsidR="00804C6E" w:rsidRPr="00A7725C" w:rsidRDefault="00B00A11" w:rsidP="00B00A11">
      <w:pPr>
        <w:pStyle w:val="SWCText"/>
      </w:pPr>
      <m:oMath>
        <m:r>
          <w:rPr>
            <w:rFonts w:ascii="Cambria Math" w:hAnsi="Cambria Math"/>
          </w:rPr>
          <m:t>A</m:t>
        </m:r>
        <m:sSub>
          <m:sSubPr>
            <m:ctrlPr>
              <w:rPr>
                <w:rFonts w:ascii="Cambria Math" w:hAnsi="Cambria Math"/>
              </w:rPr>
            </m:ctrlPr>
          </m:sSubPr>
          <m:e>
            <m:r>
              <w:rPr>
                <w:rFonts w:ascii="Cambria Math" w:hAnsi="Cambria Math"/>
              </w:rPr>
              <m:t>F</m:t>
            </m:r>
          </m:e>
          <m:sub>
            <m:r>
              <w:rPr>
                <w:rFonts w:ascii="Cambria Math" w:hAnsi="Cambria Math"/>
              </w:rPr>
              <m:t>j</m:t>
            </m:r>
          </m:sub>
        </m:sSub>
        <m:r>
          <m:rPr>
            <m:sty m:val="p"/>
          </m:rPr>
          <w:rPr>
            <w:rFonts w:ascii="Cambria Math" w:hAnsi="Cambria Math"/>
          </w:rPr>
          <m:t>=</m:t>
        </m:r>
        <m:f>
          <m:fPr>
            <m:ctrlPr>
              <w:rPr>
                <w:rFonts w:ascii="Cambria Math" w:hAnsi="Cambria Math"/>
              </w:rPr>
            </m:ctrlPr>
          </m:fPr>
          <m:num>
            <m:r>
              <w:rPr>
                <w:rFonts w:ascii="Cambria Math" w:hAnsi="Cambria Math"/>
              </w:rPr>
              <m:t>i</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i</m:t>
                    </m:r>
                  </m:e>
                </m:d>
              </m:e>
              <m:sup>
                <m:sSub>
                  <m:sSubPr>
                    <m:ctrlPr>
                      <w:rPr>
                        <w:rFonts w:ascii="Cambria Math" w:hAnsi="Cambria Math"/>
                      </w:rPr>
                    </m:ctrlPr>
                  </m:sSubPr>
                  <m:e>
                    <m:r>
                      <w:rPr>
                        <w:rFonts w:ascii="Cambria Math" w:hAnsi="Cambria Math"/>
                      </w:rPr>
                      <m:t>n</m:t>
                    </m:r>
                  </m:e>
                  <m:sub>
                    <m:r>
                      <w:rPr>
                        <w:rFonts w:ascii="Cambria Math" w:hAnsi="Cambria Math"/>
                      </w:rPr>
                      <m:t>j</m:t>
                    </m:r>
                  </m:sub>
                </m:sSub>
              </m:sup>
            </m:sSup>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i</m:t>
                    </m:r>
                  </m:e>
                </m:d>
              </m:e>
              <m:sup>
                <m:sSub>
                  <m:sSubPr>
                    <m:ctrlPr>
                      <w:rPr>
                        <w:rFonts w:ascii="Cambria Math" w:hAnsi="Cambria Math"/>
                      </w:rPr>
                    </m:ctrlPr>
                  </m:sSubPr>
                  <m:e>
                    <m:r>
                      <w:rPr>
                        <w:rFonts w:ascii="Cambria Math" w:hAnsi="Cambria Math"/>
                      </w:rPr>
                      <m:t>n</m:t>
                    </m:r>
                  </m:e>
                  <m:sub>
                    <m:r>
                      <w:rPr>
                        <w:rFonts w:ascii="Cambria Math" w:hAnsi="Cambria Math"/>
                      </w:rPr>
                      <m:t>j</m:t>
                    </m:r>
                  </m:sub>
                </m:sSub>
              </m:sup>
            </m:sSup>
            <m:r>
              <m:rPr>
                <m:sty m:val="p"/>
              </m:rPr>
              <w:rPr>
                <w:rFonts w:ascii="Cambria Math" w:hAnsi="Cambria Math"/>
              </w:rPr>
              <m:t>-1</m:t>
            </m:r>
          </m:den>
        </m:f>
      </m:oMath>
      <w:r w:rsidR="00A7725C">
        <w:tab/>
      </w:r>
      <w:r w:rsidR="00A7725C">
        <w:tab/>
      </w:r>
      <w:r w:rsidR="00A7725C">
        <w:tab/>
      </w:r>
      <w:r w:rsidR="00A7725C">
        <w:tab/>
      </w:r>
      <w:r w:rsidR="00A7725C">
        <w:tab/>
      </w:r>
      <w:r w:rsidR="00A7725C">
        <w:tab/>
      </w:r>
      <w:r w:rsidR="00A7725C">
        <w:tab/>
      </w:r>
      <w:r w:rsidR="00A7725C">
        <w:tab/>
      </w:r>
      <w:r w:rsidR="00A7725C">
        <w:tab/>
      </w:r>
      <w:r w:rsidR="00A7725C">
        <w:tab/>
        <w:t>(eq.1)</w:t>
      </w:r>
    </w:p>
    <w:p w14:paraId="0F01D322" w14:textId="2F8EF860" w:rsidR="0073193F" w:rsidRPr="0073193F" w:rsidRDefault="0073193F" w:rsidP="00B00A11">
      <w:pPr>
        <w:pStyle w:val="SWCText"/>
      </w:pPr>
      <w:r>
        <w:t>where (</w:t>
      </w:r>
      <w:proofErr w:type="spellStart"/>
      <w:r>
        <w:t>i</w:t>
      </w:r>
      <w:proofErr w:type="spellEnd"/>
      <w:r>
        <w:t xml:space="preserve">) is the discount rate and </w:t>
      </w:r>
      <w:proofErr w:type="spellStart"/>
      <w:r>
        <w:t>n</w:t>
      </w:r>
      <w:r w:rsidRPr="0073193F">
        <w:rPr>
          <w:vertAlign w:val="subscript"/>
        </w:rPr>
        <w:t>j</w:t>
      </w:r>
      <w:proofErr w:type="spellEnd"/>
      <w:r>
        <w:t xml:space="preserve"> is the economic lifetime of component (</w:t>
      </w:r>
      <w:r w:rsidR="00953F1F">
        <w:t>j</w:t>
      </w:r>
      <w:r>
        <w:t xml:space="preserve">). A discount rate of 3% is applied, while component-specific lifetimes are used. </w:t>
      </w:r>
      <w:r w:rsidR="00670FB5">
        <w:t>The annual cost of component</w:t>
      </w:r>
      <w:r w:rsidR="006F3B71">
        <w:t xml:space="preserve"> j</w:t>
      </w:r>
      <w:r w:rsidR="00670FB5">
        <w:t xml:space="preserve"> is calculated as:</w:t>
      </w:r>
    </w:p>
    <w:p w14:paraId="4442C4EA" w14:textId="22491BE3" w:rsidR="00B00A11" w:rsidRPr="00A7725C" w:rsidRDefault="007F6680" w:rsidP="00B00A11">
      <w:pPr>
        <w:pStyle w:val="SWCText"/>
      </w:pPr>
      <m:oMath>
        <m:sSub>
          <m:sSubPr>
            <m:ctrlPr>
              <w:rPr>
                <w:rFonts w:ascii="Cambria Math" w:hAnsi="Cambria Math"/>
                <w:i/>
              </w:rPr>
            </m:ctrlPr>
          </m:sSubPr>
          <m:e>
            <m:r>
              <w:rPr>
                <w:rFonts w:ascii="Cambria Math" w:hAnsi="Cambria Math"/>
              </w:rPr>
              <m:t>C</m:t>
            </m:r>
          </m:e>
          <m:sub>
            <m:r>
              <w:rPr>
                <w:rFonts w:ascii="Cambria Math" w:hAnsi="Cambria Math"/>
              </w:rPr>
              <m:t>annual,j</m:t>
            </m:r>
          </m:sub>
        </m:sSub>
        <m:r>
          <w:rPr>
            <w:rFonts w:ascii="Cambria Math" w:hAnsi="Cambria Math"/>
          </w:rPr>
          <m:t>=CAPE</m:t>
        </m:r>
        <m:sSub>
          <m:sSubPr>
            <m:ctrlPr>
              <w:rPr>
                <w:rFonts w:ascii="Cambria Math" w:hAnsi="Cambria Math"/>
                <w:i/>
              </w:rPr>
            </m:ctrlPr>
          </m:sSubPr>
          <m:e>
            <m:r>
              <w:rPr>
                <w:rFonts w:ascii="Cambria Math" w:hAnsi="Cambria Math"/>
              </w:rPr>
              <m:t>X</m:t>
            </m:r>
          </m:e>
          <m:sub>
            <m:r>
              <w:rPr>
                <w:rFonts w:ascii="Cambria Math" w:hAnsi="Cambria Math"/>
              </w:rPr>
              <m:t>j</m:t>
            </m:r>
          </m:sub>
        </m:sSub>
        <m:d>
          <m:dPr>
            <m:ctrlPr>
              <w:rPr>
                <w:rFonts w:ascii="Cambria Math" w:hAnsi="Cambria Math"/>
                <w:i/>
              </w:rPr>
            </m:ctrlPr>
          </m:dPr>
          <m:e>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O&amp;M,j</m:t>
                </m:r>
              </m:sub>
            </m:sSub>
          </m:e>
        </m:d>
      </m:oMath>
      <w:r w:rsidR="00A7725C">
        <w:tab/>
      </w:r>
      <w:r w:rsidR="00A7725C">
        <w:tab/>
      </w:r>
      <w:r w:rsidR="00A7725C">
        <w:tab/>
      </w:r>
      <w:r w:rsidR="00A7725C">
        <w:tab/>
      </w:r>
      <w:r w:rsidR="00A7725C">
        <w:tab/>
      </w:r>
      <w:r w:rsidR="00A7725C">
        <w:tab/>
      </w:r>
      <w:r w:rsidR="00A7725C">
        <w:tab/>
      </w:r>
      <w:r w:rsidR="00A7725C">
        <w:tab/>
        <w:t>(eq.2)</w:t>
      </w:r>
    </w:p>
    <w:p w14:paraId="3D29755E" w14:textId="102210E6" w:rsidR="00953F1F" w:rsidRDefault="00A7725C" w:rsidP="00B00A11">
      <w:pPr>
        <w:pStyle w:val="SWCText"/>
      </w:pPr>
      <w:r>
        <w:t>w</w:t>
      </w:r>
      <w:r w:rsidR="00670FB5">
        <w:t xml:space="preserve">here </w:t>
      </w:r>
      <w:proofErr w:type="spellStart"/>
      <w:r w:rsidR="00670FB5">
        <w:t>f</w:t>
      </w:r>
      <w:r w:rsidR="00670FB5" w:rsidRPr="00670FB5">
        <w:rPr>
          <w:vertAlign w:val="subscript"/>
        </w:rPr>
        <w:t>O&amp;</w:t>
      </w:r>
      <w:proofErr w:type="gramStart"/>
      <w:r w:rsidR="00670FB5" w:rsidRPr="00670FB5">
        <w:rPr>
          <w:vertAlign w:val="subscript"/>
        </w:rPr>
        <w:t>M,j</w:t>
      </w:r>
      <w:proofErr w:type="spellEnd"/>
      <w:proofErr w:type="gramEnd"/>
      <w:r w:rsidR="00670FB5">
        <w:t xml:space="preserve"> </w:t>
      </w:r>
      <w:r w:rsidR="00C3324F">
        <w:t>represents</w:t>
      </w:r>
      <w:r w:rsidR="008753F3">
        <w:t xml:space="preserve"> the annual O&amp;M cost as a fraction of the component CAPEX. Component CAPEX is determined from the installed capacity and the corresponding specific investment cost.</w:t>
      </w:r>
      <w:r w:rsidR="003E03B7">
        <w:t xml:space="preserve"> As each configuration comprises several components, these annual costs </w:t>
      </w:r>
      <w:r w:rsidR="00912719">
        <w:t xml:space="preserve">calculated using </w:t>
      </w:r>
      <w:r w:rsidR="003E03B7">
        <w:t xml:space="preserve">eq. </w:t>
      </w:r>
      <w:r w:rsidR="00912719">
        <w:t>2 are summed in eq. 3</w:t>
      </w:r>
      <w:r w:rsidR="003E03B7">
        <w:t>. Here, (J) denotes the set of components included in the respective configuration: the PV system, battery, HP, SH and DHW storage systems, X-to-Energy converter and X-carrier storage.</w:t>
      </w:r>
    </w:p>
    <w:p w14:paraId="11E6118C" w14:textId="595921BE" w:rsidR="00670FB5" w:rsidRPr="00670FB5" w:rsidRDefault="00CA2A90" w:rsidP="00B00A11">
      <w:pPr>
        <w:pStyle w:val="SWCText"/>
      </w:pPr>
      <w:r>
        <w:t>The</w:t>
      </w:r>
      <w:r w:rsidR="00912719">
        <w:t>refore, the</w:t>
      </w:r>
      <w:r>
        <w:t xml:space="preserve"> total annual system cost is calculated as</w:t>
      </w:r>
      <w:r w:rsidR="00953F1F">
        <w:t>:</w:t>
      </w:r>
    </w:p>
    <w:p w14:paraId="0F67E4CB" w14:textId="20AFD3B0" w:rsidR="003F33E7" w:rsidRDefault="007F6680" w:rsidP="005641FB">
      <w:pPr>
        <w:pStyle w:val="SWCText"/>
      </w:pPr>
      <m:oMath>
        <m:sSub>
          <m:sSubPr>
            <m:ctrlPr>
              <w:rPr>
                <w:rFonts w:ascii="Cambria Math" w:hAnsi="Cambria Math"/>
                <w:i/>
              </w:rPr>
            </m:ctrlPr>
          </m:sSubPr>
          <m:e>
            <m:r>
              <w:rPr>
                <w:rFonts w:ascii="Cambria Math" w:hAnsi="Cambria Math"/>
              </w:rPr>
              <m:t>C</m:t>
            </m:r>
          </m:e>
          <m:sub>
            <m:r>
              <w:rPr>
                <w:rFonts w:ascii="Cambria Math" w:hAnsi="Cambria Math"/>
              </w:rPr>
              <m:t>sys,annual</m:t>
            </m:r>
          </m:sub>
        </m:sSub>
        <m:r>
          <w:rPr>
            <w:rFonts w:ascii="Cambria Math" w:hAnsi="Cambria Math"/>
          </w:rPr>
          <m:t>=</m:t>
        </m:r>
        <m:nary>
          <m:naryPr>
            <m:chr m:val="∑"/>
            <m:supHide m:val="1"/>
            <m:ctrlPr>
              <w:rPr>
                <w:rFonts w:ascii="Cambria Math" w:hAnsi="Cambria Math"/>
                <w:i/>
              </w:rPr>
            </m:ctrlPr>
          </m:naryPr>
          <m:sub>
            <m:r>
              <w:rPr>
                <w:rFonts w:ascii="Cambria Math" w:hAnsi="Cambria Math"/>
              </w:rPr>
              <m:t>j∈J</m:t>
            </m:r>
          </m:sub>
          <m:sup/>
          <m:e>
            <m:sSub>
              <m:sSubPr>
                <m:ctrlPr>
                  <w:rPr>
                    <w:rFonts w:ascii="Cambria Math" w:hAnsi="Cambria Math"/>
                    <w:i/>
                  </w:rPr>
                </m:ctrlPr>
              </m:sSubPr>
              <m:e>
                <m:r>
                  <w:rPr>
                    <w:rFonts w:ascii="Cambria Math" w:hAnsi="Cambria Math"/>
                  </w:rPr>
                  <m:t>C</m:t>
                </m:r>
              </m:e>
              <m:sub>
                <m:r>
                  <w:rPr>
                    <w:rFonts w:ascii="Cambria Math" w:hAnsi="Cambria Math"/>
                  </w:rPr>
                  <m:t>ann,j</m:t>
                </m:r>
              </m:sub>
            </m:sSub>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X,carrier</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grid</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feed-in</m:t>
            </m:r>
          </m:sub>
        </m:sSub>
      </m:oMath>
      <w:r w:rsidR="00407DBC">
        <w:tab/>
      </w:r>
      <w:r w:rsidR="008C12A9">
        <w:tab/>
      </w:r>
      <w:r w:rsidR="008C12A9">
        <w:tab/>
      </w:r>
      <w:r w:rsidR="008C12A9">
        <w:tab/>
      </w:r>
      <w:r w:rsidR="008C12A9">
        <w:tab/>
      </w:r>
      <w:r w:rsidR="00A7725C">
        <w:t>(eq.3)</w:t>
      </w:r>
    </w:p>
    <w:p w14:paraId="3CD349CC" w14:textId="2F4A3950" w:rsidR="003F33E7" w:rsidRPr="003F33E7" w:rsidRDefault="007F6680" w:rsidP="005641FB">
      <w:pPr>
        <w:pStyle w:val="SWCText"/>
      </w:pPr>
      <m:oMath>
        <m:sSub>
          <m:sSubPr>
            <m:ctrlPr>
              <w:rPr>
                <w:rFonts w:ascii="Cambria Math" w:hAnsi="Cambria Math"/>
              </w:rPr>
            </m:ctrlPr>
          </m:sSubPr>
          <m:e>
            <m:r>
              <w:rPr>
                <w:rFonts w:ascii="Cambria Math" w:hAnsi="Cambria Math"/>
              </w:rPr>
              <m:t>C</m:t>
            </m:r>
          </m:e>
          <m:sub>
            <m:r>
              <m:rPr>
                <m:sty m:val="p"/>
              </m:rPr>
              <w:rPr>
                <w:rFonts w:ascii="Cambria Math" w:hAnsi="Cambria Math"/>
              </w:rPr>
              <m:t>X</m:t>
            </m:r>
            <m:r>
              <w:rPr>
                <w:rFonts w:ascii="Cambria Math" w:hAnsi="Cambria Math"/>
              </w:rPr>
              <m:t>,</m:t>
            </m:r>
            <m:r>
              <m:rPr>
                <m:sty m:val="p"/>
              </m:rPr>
              <w:rPr>
                <w:rFonts w:ascii="Cambria Math" w:hAnsi="Cambria Math"/>
              </w:rPr>
              <m:t>carrier</m:t>
            </m:r>
          </m:sub>
        </m:sSub>
      </m:oMath>
      <w:r w:rsidR="00707F4B">
        <w:t xml:space="preserve"> is</w:t>
      </w:r>
      <w:r w:rsidR="008C12A9">
        <w:t xml:space="preserve"> the annual X-carrier expenditure, </w:t>
      </w:r>
      <m:oMath>
        <m:sSub>
          <m:sSubPr>
            <m:ctrlPr>
              <w:rPr>
                <w:rFonts w:ascii="Cambria Math" w:hAnsi="Cambria Math"/>
              </w:rPr>
            </m:ctrlPr>
          </m:sSubPr>
          <m:e>
            <m:r>
              <w:rPr>
                <w:rFonts w:ascii="Cambria Math" w:hAnsi="Cambria Math"/>
              </w:rPr>
              <m:t>C</m:t>
            </m:r>
          </m:e>
          <m:sub>
            <m:r>
              <m:rPr>
                <m:sty m:val="p"/>
              </m:rPr>
              <w:rPr>
                <w:rFonts w:ascii="Cambria Math" w:hAnsi="Cambria Math"/>
              </w:rPr>
              <m:t>grid</m:t>
            </m:r>
          </m:sub>
        </m:sSub>
      </m:oMath>
      <w:r w:rsidR="00707F4B">
        <w:t xml:space="preserve"> is</w:t>
      </w:r>
      <w:r w:rsidR="008C12A9">
        <w:t xml:space="preserve"> the annual cost of grid-electricity purchases, and </w:t>
      </w:r>
      <m:oMath>
        <m:sSub>
          <m:sSubPr>
            <m:ctrlPr>
              <w:rPr>
                <w:rFonts w:ascii="Cambria Math" w:hAnsi="Cambria Math"/>
              </w:rPr>
            </m:ctrlPr>
          </m:sSubPr>
          <m:e>
            <m:r>
              <w:rPr>
                <w:rFonts w:ascii="Cambria Math" w:hAnsi="Cambria Math"/>
              </w:rPr>
              <m:t>R</m:t>
            </m:r>
          </m:e>
          <m:sub>
            <m:r>
              <m:rPr>
                <m:sty m:val="p"/>
              </m:rPr>
              <w:rPr>
                <w:rFonts w:ascii="Cambria Math" w:hAnsi="Cambria Math"/>
              </w:rPr>
              <m:t>feed</m:t>
            </m:r>
            <m:r>
              <w:rPr>
                <w:rFonts w:ascii="Cambria Math" w:hAnsi="Cambria Math"/>
              </w:rPr>
              <m:t>-</m:t>
            </m:r>
            <m:r>
              <m:rPr>
                <m:sty m:val="p"/>
              </m:rPr>
              <w:rPr>
                <w:rFonts w:ascii="Cambria Math" w:hAnsi="Cambria Math"/>
              </w:rPr>
              <m:t>in</m:t>
            </m:r>
          </m:sub>
        </m:sSub>
      </m:oMath>
      <w:r w:rsidR="008C12A9">
        <w:t xml:space="preserve">is the annual revenue from electricity exported to the grid. </w:t>
      </w:r>
    </w:p>
    <w:p w14:paraId="7200C9A8" w14:textId="105D6BDF" w:rsidR="00B00A11" w:rsidRDefault="00DD2F4E" w:rsidP="00DD2F4E">
      <w:pPr>
        <w:pStyle w:val="SWCText"/>
      </w:pPr>
      <w:r>
        <w:t xml:space="preserve">The annual X-carrier expenditure is obtained from the simulated carrier </w:t>
      </w:r>
      <w:r w:rsidR="00A7725C">
        <w:t>consumption:</w:t>
      </w:r>
    </w:p>
    <w:p w14:paraId="7C356476" w14:textId="13234C20" w:rsidR="00B00A11" w:rsidRPr="00A7725C" w:rsidRDefault="007F6680" w:rsidP="00A7725C">
      <w:pPr>
        <w:pStyle w:val="SWCText"/>
      </w:pPr>
      <m:oMath>
        <m:sSub>
          <m:sSubPr>
            <m:ctrlPr>
              <w:rPr>
                <w:rFonts w:ascii="Cambria Math" w:hAnsi="Cambria Math"/>
                <w:i/>
              </w:rPr>
            </m:ctrlPr>
          </m:sSubPr>
          <m:e>
            <m:r>
              <w:rPr>
                <w:rFonts w:ascii="Cambria Math" w:hAnsi="Cambria Math"/>
              </w:rPr>
              <m:t>C</m:t>
            </m:r>
          </m:e>
          <m:sub>
            <m:r>
              <w:rPr>
                <w:rFonts w:ascii="Cambria Math" w:hAnsi="Cambria Math"/>
              </w:rPr>
              <m:t>X,carrier</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X,annual</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X,carrier</m:t>
            </m:r>
          </m:sub>
        </m:sSub>
      </m:oMath>
      <w:r w:rsidR="00A7725C">
        <w:tab/>
      </w:r>
      <w:r w:rsidR="00A7725C">
        <w:tab/>
      </w:r>
      <w:r w:rsidR="00A7725C">
        <w:tab/>
      </w:r>
      <w:r w:rsidR="00A7725C">
        <w:tab/>
      </w:r>
      <w:r w:rsidR="00A7725C">
        <w:tab/>
      </w:r>
      <w:r w:rsidR="00A7725C">
        <w:tab/>
      </w:r>
      <w:r w:rsidR="00A7725C">
        <w:tab/>
      </w:r>
      <w:r w:rsidR="00A7725C">
        <w:tab/>
        <w:t>(eq.</w:t>
      </w:r>
      <w:r w:rsidR="00D23E21">
        <w:t>4</w:t>
      </w:r>
      <w:r w:rsidR="00A7725C">
        <w:t>)</w:t>
      </w:r>
    </w:p>
    <w:p w14:paraId="3891A4BA" w14:textId="77777777" w:rsidR="005641FB" w:rsidRDefault="00A7725C" w:rsidP="005641FB">
      <w:pPr>
        <w:pStyle w:val="SWCText"/>
      </w:pPr>
      <w:r w:rsidRPr="00A7725C">
        <w:t xml:space="preserve">where </w:t>
      </w:r>
      <w:proofErr w:type="spellStart"/>
      <w:proofErr w:type="gramStart"/>
      <w:r w:rsidRPr="00A7725C">
        <w:t>m</w:t>
      </w:r>
      <w:r w:rsidRPr="00A7725C">
        <w:rPr>
          <w:vertAlign w:val="subscript"/>
        </w:rPr>
        <w:t>X,annual</w:t>
      </w:r>
      <w:proofErr w:type="spellEnd"/>
      <w:proofErr w:type="gramEnd"/>
      <w:r w:rsidRPr="00A7725C">
        <w:t xml:space="preserve"> is the annual carrier consumption and </w:t>
      </w:r>
      <w:proofErr w:type="spellStart"/>
      <w:proofErr w:type="gramStart"/>
      <w:r w:rsidRPr="00A7725C">
        <w:t>c</w:t>
      </w:r>
      <w:r w:rsidRPr="00A7725C">
        <w:rPr>
          <w:vertAlign w:val="subscript"/>
        </w:rPr>
        <w:t>X,carrier</w:t>
      </w:r>
      <w:proofErr w:type="spellEnd"/>
      <w:proofErr w:type="gramEnd"/>
      <w:r w:rsidRPr="00A7725C">
        <w:t xml:space="preserve"> is the delivered carrier price. </w:t>
      </w:r>
    </w:p>
    <w:p w14:paraId="28DD597A" w14:textId="236157CF" w:rsidR="00A7725C" w:rsidRPr="00A7725C" w:rsidRDefault="00D23E21" w:rsidP="005641FB">
      <w:pPr>
        <w:pStyle w:val="SWCText"/>
      </w:pPr>
      <w:r>
        <w:t xml:space="preserve">As the </w:t>
      </w:r>
      <w:proofErr w:type="spellStart"/>
      <w:r>
        <w:t>analysed</w:t>
      </w:r>
      <w:proofErr w:type="spellEnd"/>
      <w:r>
        <w:t xml:space="preserve"> configurations supply both useful heat and electricity, neither the levelized cost of heat nor the levelized cost of electricity alone represents the complete system output. Following the energy-costing method for combined heat and electricity production described by Van </w:t>
      </w:r>
      <w:proofErr w:type="spellStart"/>
      <w:r>
        <w:t>Erdeweghe</w:t>
      </w:r>
      <w:proofErr w:type="spellEnd"/>
      <w:r>
        <w:t xml:space="preserve"> et al. (2019), the levelized cost of energy (</w:t>
      </w:r>
      <w:proofErr w:type="spellStart"/>
      <w:r>
        <w:t>LCOEn</w:t>
      </w:r>
      <w:proofErr w:type="spellEnd"/>
      <w:r>
        <w:t>) is calculated by assigning equal energy-based weighting to useful heat and electricity</w:t>
      </w:r>
      <w:r w:rsidR="00A7725C">
        <w:t>:</w:t>
      </w:r>
    </w:p>
    <w:p w14:paraId="494CDF59" w14:textId="3F3BB118" w:rsidR="0073193F" w:rsidRPr="00A7725C" w:rsidRDefault="0073193F" w:rsidP="00A7725C">
      <w:pPr>
        <w:pStyle w:val="SWCText"/>
      </w:pPr>
      <m:oMath>
        <m:r>
          <w:rPr>
            <w:rFonts w:ascii="Cambria Math" w:hAnsi="Cambria Math"/>
          </w:rPr>
          <m:t>LCOEn</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sys,annual</m:t>
                </m:r>
              </m:sub>
            </m:sSub>
          </m:num>
          <m:den>
            <m:sSub>
              <m:sSubPr>
                <m:ctrlPr>
                  <w:rPr>
                    <w:rFonts w:ascii="Cambria Math" w:hAnsi="Cambria Math"/>
                  </w:rPr>
                </m:ctrlPr>
              </m:sSubPr>
              <m:e>
                <m:r>
                  <w:rPr>
                    <w:rFonts w:ascii="Cambria Math" w:hAnsi="Cambria Math"/>
                  </w:rPr>
                  <m:t>Q</m:t>
                </m:r>
              </m:e>
              <m:sub>
                <m:r>
                  <w:rPr>
                    <w:rFonts w:ascii="Cambria Math" w:hAnsi="Cambria Math"/>
                  </w:rPr>
                  <m:t>SH</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DHW</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el,building</m:t>
                </m:r>
              </m:sub>
            </m:sSub>
          </m:den>
        </m:f>
      </m:oMath>
      <w:r w:rsidR="00A7725C">
        <w:tab/>
      </w:r>
      <w:r w:rsidR="00A7725C">
        <w:tab/>
      </w:r>
      <w:r w:rsidR="00A7725C">
        <w:tab/>
      </w:r>
      <w:r w:rsidR="00A7725C">
        <w:tab/>
      </w:r>
      <w:r w:rsidR="00A7725C">
        <w:tab/>
      </w:r>
      <w:r w:rsidR="00A7725C">
        <w:tab/>
      </w:r>
      <w:r w:rsidR="00A7725C">
        <w:tab/>
      </w:r>
      <w:r w:rsidR="00A7725C">
        <w:tab/>
        <w:t>(eq.</w:t>
      </w:r>
      <w:r w:rsidR="00D23E21">
        <w:t>5</w:t>
      </w:r>
      <w:r w:rsidR="00A7725C">
        <w:t>)</w:t>
      </w:r>
    </w:p>
    <w:p w14:paraId="389FE28C" w14:textId="1C511ADC" w:rsidR="0073193F" w:rsidRDefault="00A7725C" w:rsidP="00A7725C">
      <w:pPr>
        <w:pStyle w:val="SWCText"/>
      </w:pPr>
      <w:proofErr w:type="gramStart"/>
      <w:r>
        <w:t>where</w:t>
      </w:r>
      <w:proofErr w:type="gramEnd"/>
      <w:r>
        <w:t xml:space="preserve"> Q</w:t>
      </w:r>
      <w:r w:rsidRPr="00A7725C">
        <w:rPr>
          <w:vertAlign w:val="subscript"/>
        </w:rPr>
        <w:t>SH</w:t>
      </w:r>
      <w:r>
        <w:t xml:space="preserve"> +Q</w:t>
      </w:r>
      <w:r w:rsidRPr="00A7725C">
        <w:rPr>
          <w:vertAlign w:val="subscript"/>
        </w:rPr>
        <w:t>DHW</w:t>
      </w:r>
      <w:r>
        <w:t xml:space="preserve"> is the useful annual heat supplied to the building</w:t>
      </w:r>
      <w:r w:rsidR="00770651">
        <w:t xml:space="preserve"> and </w:t>
      </w:r>
      <w:proofErr w:type="spellStart"/>
      <w:proofErr w:type="gramStart"/>
      <w:r w:rsidR="00770651">
        <w:t>E</w:t>
      </w:r>
      <w:r w:rsidR="00770651" w:rsidRPr="00770651">
        <w:rPr>
          <w:vertAlign w:val="subscript"/>
        </w:rPr>
        <w:t>el,building</w:t>
      </w:r>
      <w:proofErr w:type="spellEnd"/>
      <w:proofErr w:type="gramEnd"/>
      <w:r w:rsidR="00770651">
        <w:t xml:space="preserve"> is the annual building-electricity demand</w:t>
      </w:r>
      <w:r w:rsidR="006F3B71">
        <w:t xml:space="preserve"> covered</w:t>
      </w:r>
      <w:r w:rsidR="00770651">
        <w:t xml:space="preserve">. The </w:t>
      </w:r>
      <w:proofErr w:type="spellStart"/>
      <w:r w:rsidR="00770651">
        <w:t>LCOEn</w:t>
      </w:r>
      <w:proofErr w:type="spellEnd"/>
      <w:r w:rsidR="00770651">
        <w:t xml:space="preserve"> represents the cost of the complete building energy system relative to the useful heat and electricity supplied. It provides a consistent basis for comparing configurations that supply the same building energy demands but does not account for differences in the thermodynamic quality of heat and electricity. </w:t>
      </w:r>
    </w:p>
    <w:p w14:paraId="62BA311B" w14:textId="111F12E1" w:rsidR="00080B89" w:rsidRDefault="00080B89" w:rsidP="00080B89">
      <w:pPr>
        <w:pStyle w:val="SWCText"/>
      </w:pPr>
      <w:r>
        <w:t>Each bivalent configuration is compared with the 50</w:t>
      </w:r>
      <w:r w:rsidR="00707F4B">
        <w:t> </w:t>
      </w:r>
      <w:proofErr w:type="spellStart"/>
      <w:r>
        <w:t>kWth</w:t>
      </w:r>
      <w:proofErr w:type="spellEnd"/>
      <w:r>
        <w:t xml:space="preserve"> HP reference configuration for the same weather year. The avoided winter grid import is calculated as:</w:t>
      </w:r>
    </w:p>
    <w:p w14:paraId="3E2E3935" w14:textId="65A7E585" w:rsidR="0073193F" w:rsidRPr="0073193F" w:rsidRDefault="007F6680" w:rsidP="00A7725C">
      <w:pPr>
        <w:pStyle w:val="SWCText"/>
      </w:pPr>
      <m:oMath>
        <m:sSub>
          <m:sSubPr>
            <m:ctrlPr>
              <w:rPr>
                <w:rFonts w:ascii="Cambria Math" w:hAnsi="Cambria Math"/>
              </w:rPr>
            </m:ctrlPr>
          </m:sSubPr>
          <m:e>
            <m:r>
              <w:rPr>
                <w:rFonts w:ascii="Cambria Math" w:hAnsi="Cambria Math"/>
              </w:rPr>
              <m:t>E</m:t>
            </m:r>
          </m:e>
          <m:sub>
            <m:r>
              <w:rPr>
                <w:rFonts w:ascii="Cambria Math" w:hAnsi="Cambria Math"/>
              </w:rPr>
              <m:t>grid</m:t>
            </m:r>
            <m:r>
              <m:rPr>
                <m:sty m:val="p"/>
              </m:rPr>
              <w:rPr>
                <w:rFonts w:ascii="Cambria Math" w:hAnsi="Cambria Math"/>
              </w:rPr>
              <m:t>,</m:t>
            </m:r>
            <m:r>
              <w:rPr>
                <w:rFonts w:ascii="Cambria Math" w:hAnsi="Cambria Math"/>
              </w:rPr>
              <m:t>winter</m:t>
            </m:r>
            <m:r>
              <m:rPr>
                <m:sty m:val="p"/>
              </m:rPr>
              <w:rPr>
                <w:rFonts w:ascii="Cambria Math" w:hAnsi="Cambria Math"/>
              </w:rPr>
              <m:t>,</m:t>
            </m:r>
            <m:r>
              <w:rPr>
                <w:rFonts w:ascii="Cambria Math" w:hAnsi="Cambria Math"/>
              </w:rPr>
              <m:t>avoided</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grid</m:t>
            </m:r>
            <m:r>
              <m:rPr>
                <m:sty m:val="p"/>
              </m:rPr>
              <w:rPr>
                <w:rFonts w:ascii="Cambria Math" w:hAnsi="Cambria Math"/>
              </w:rPr>
              <m:t>,</m:t>
            </m:r>
            <m:r>
              <w:rPr>
                <w:rFonts w:ascii="Cambria Math" w:hAnsi="Cambria Math"/>
              </w:rPr>
              <m:t>winter</m:t>
            </m:r>
            <m:r>
              <m:rPr>
                <m:sty m:val="p"/>
              </m:rPr>
              <w:rPr>
                <w:rFonts w:ascii="Cambria Math" w:hAnsi="Cambria Math"/>
              </w:rPr>
              <m:t>,</m:t>
            </m:r>
            <m:r>
              <w:rPr>
                <w:rFonts w:ascii="Cambria Math" w:hAnsi="Cambria Math"/>
              </w:rPr>
              <m:t>ref</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grid</m:t>
            </m:r>
            <m:r>
              <m:rPr>
                <m:sty m:val="p"/>
              </m:rPr>
              <w:rPr>
                <w:rFonts w:ascii="Cambria Math" w:hAnsi="Cambria Math"/>
              </w:rPr>
              <m:t>,</m:t>
            </m:r>
            <m:r>
              <w:rPr>
                <w:rFonts w:ascii="Cambria Math" w:hAnsi="Cambria Math"/>
              </w:rPr>
              <m:t>winter</m:t>
            </m:r>
            <m:r>
              <m:rPr>
                <m:sty m:val="p"/>
              </m:rPr>
              <w:rPr>
                <w:rFonts w:ascii="Cambria Math" w:hAnsi="Cambria Math"/>
              </w:rPr>
              <m:t>,HP+</m:t>
            </m:r>
            <m:r>
              <w:rPr>
                <w:rFonts w:ascii="Cambria Math" w:hAnsi="Cambria Math"/>
              </w:rPr>
              <m:t>X</m:t>
            </m:r>
          </m:sub>
        </m:sSub>
      </m:oMath>
      <w:r w:rsidR="00A7725C">
        <w:tab/>
      </w:r>
      <w:r w:rsidR="00A7725C">
        <w:tab/>
      </w:r>
      <w:r w:rsidR="00A7725C">
        <w:tab/>
      </w:r>
      <w:r w:rsidR="00A7725C">
        <w:tab/>
      </w:r>
      <w:r w:rsidR="00A7725C">
        <w:tab/>
        <w:t>(eq.</w:t>
      </w:r>
      <w:r w:rsidR="00770651">
        <w:t>6</w:t>
      </w:r>
      <w:r w:rsidR="00A7725C">
        <w:t>)</w:t>
      </w:r>
    </w:p>
    <w:p w14:paraId="74E835AE" w14:textId="2E3D33D5" w:rsidR="009F1348" w:rsidRDefault="009F1348" w:rsidP="00A7725C">
      <w:pPr>
        <w:pStyle w:val="SWCText"/>
      </w:pPr>
      <w:r>
        <w:t xml:space="preserve">where </w:t>
      </w:r>
      <w:proofErr w:type="spellStart"/>
      <w:proofErr w:type="gramStart"/>
      <w:r>
        <w:t>E</w:t>
      </w:r>
      <w:r w:rsidRPr="009F1348">
        <w:rPr>
          <w:vertAlign w:val="subscript"/>
        </w:rPr>
        <w:t>grid,winter</w:t>
      </w:r>
      <w:proofErr w:type="gramEnd"/>
      <w:r w:rsidRPr="009F1348">
        <w:rPr>
          <w:vertAlign w:val="subscript"/>
        </w:rPr>
        <w:t>,ref</w:t>
      </w:r>
      <w:proofErr w:type="spellEnd"/>
      <w:r>
        <w:rPr>
          <w:vertAlign w:val="subscript"/>
        </w:rPr>
        <w:t xml:space="preserve"> </w:t>
      </w:r>
      <w:r>
        <w:t xml:space="preserve">and </w:t>
      </w:r>
      <w:proofErr w:type="spellStart"/>
      <w:proofErr w:type="gramStart"/>
      <w:r>
        <w:t>E</w:t>
      </w:r>
      <w:r w:rsidRPr="009F1348">
        <w:rPr>
          <w:vertAlign w:val="subscript"/>
        </w:rPr>
        <w:t>grid,winter</w:t>
      </w:r>
      <w:proofErr w:type="gramEnd"/>
      <w:r w:rsidRPr="009F1348">
        <w:rPr>
          <w:vertAlign w:val="subscript"/>
        </w:rPr>
        <w:t>,HP+X</w:t>
      </w:r>
      <w:proofErr w:type="spellEnd"/>
      <w:r w:rsidRPr="009F1348">
        <w:rPr>
          <w:vertAlign w:val="subscript"/>
        </w:rPr>
        <w:t xml:space="preserve"> </w:t>
      </w:r>
      <w:r>
        <w:t xml:space="preserve">are the winter grid-electricity imports of the reference and bivalent </w:t>
      </w:r>
      <w:r>
        <w:lastRenderedPageBreak/>
        <w:t>configurations, respectively. Positive values indicate that the bivalent configuration reduces winter grid-electricity imports relative to the reference configuration.</w:t>
      </w:r>
      <w:r w:rsidR="00B8312B">
        <w:t xml:space="preserve"> </w:t>
      </w:r>
    </w:p>
    <w:p w14:paraId="14DC695F" w14:textId="77917B66" w:rsidR="00080B89" w:rsidRDefault="009F1348" w:rsidP="00A7725C">
      <w:pPr>
        <w:pStyle w:val="SWCText"/>
      </w:pPr>
      <w:r>
        <w:t>T</w:t>
      </w:r>
      <w:r w:rsidR="00080B89">
        <w:t>he corresponding additional annual</w:t>
      </w:r>
      <w:r w:rsidR="006F3B71">
        <w:t xml:space="preserve"> system</w:t>
      </w:r>
      <w:r w:rsidR="00770651">
        <w:t xml:space="preserve"> </w:t>
      </w:r>
      <w:r w:rsidR="00080B89">
        <w:t xml:space="preserve">cost </w:t>
      </w:r>
      <w:r>
        <w:t xml:space="preserve">is calculated </w:t>
      </w:r>
      <w:r w:rsidR="00080B89">
        <w:t>as:</w:t>
      </w:r>
    </w:p>
    <w:p w14:paraId="1C128E4C" w14:textId="6D2541CA" w:rsidR="0073193F" w:rsidRDefault="00770651" w:rsidP="00080B89">
      <w:pPr>
        <w:pStyle w:val="SWCText"/>
      </w:pPr>
      <m:oMath>
        <m:r>
          <m:rPr>
            <m:sty m:val="p"/>
          </m:rPr>
          <w:rPr>
            <w:rFonts w:ascii="Cambria Math" w:hAnsi="Cambria Math"/>
          </w:rPr>
          <m:t>Δ</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annual</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system,annual,HP+X</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system,annual,ref</m:t>
            </m:r>
          </m:sub>
        </m:sSub>
      </m:oMath>
      <w:r w:rsidR="00080B89">
        <w:tab/>
      </w:r>
      <w:r>
        <w:tab/>
      </w:r>
      <w:r>
        <w:tab/>
      </w:r>
      <w:r>
        <w:tab/>
      </w:r>
      <w:r w:rsidR="00080B89">
        <w:tab/>
      </w:r>
      <w:r w:rsidR="00080B89">
        <w:tab/>
        <w:t>(eq.</w:t>
      </w:r>
      <w:r>
        <w:t>7</w:t>
      </w:r>
      <w:r w:rsidR="00080B89">
        <w:t>)</w:t>
      </w:r>
    </w:p>
    <w:p w14:paraId="630CBD5F" w14:textId="78D8EC8B" w:rsidR="00770651" w:rsidRDefault="00770651" w:rsidP="00334624">
      <w:pPr>
        <w:pStyle w:val="SWCText"/>
      </w:pPr>
      <w:r>
        <w:t>Positive values indicate additional annual system costs, whereas negative values indicate annual cost savings relative to the reference configuration.</w:t>
      </w:r>
    </w:p>
    <w:p w14:paraId="5F69789F" w14:textId="02A7FE8E" w:rsidR="00334624" w:rsidRDefault="00334624" w:rsidP="00334624">
      <w:pPr>
        <w:pStyle w:val="SWCText"/>
        <w:rPr>
          <w:sz w:val="24"/>
          <w:szCs w:val="24"/>
          <w:lang w:val="en-GB" w:eastAsia="en-GB"/>
        </w:rPr>
      </w:pPr>
      <w:r>
        <w:t>Winter is defined as the period from Oct</w:t>
      </w:r>
      <w:r w:rsidR="00BE1253">
        <w:t>.</w:t>
      </w:r>
      <w:r>
        <w:t xml:space="preserve"> to March. Comparing each bivalent configuration with the reference configuration for the same weather year prevents differences in climatic conditions from being attributed to the system design. Results across the weather years 2014–2024 are evaluated using the median, while the range across the weather years represents interannual climatic variability.</w:t>
      </w:r>
    </w:p>
    <w:p w14:paraId="0BFE182C" w14:textId="717A7E4B" w:rsidR="00B8312B" w:rsidRDefault="00BE1253" w:rsidP="00B8312B">
      <w:pPr>
        <w:pStyle w:val="SWCText"/>
      </w:pPr>
      <w:r>
        <w:t>Economic uncertainty is assessed using all nine combinations of low, average and high delivered X-carrier prices and low, average and high specific X-to-Energy converter CAPEX.</w:t>
      </w:r>
      <w:r>
        <w:t xml:space="preserve"> </w:t>
      </w:r>
      <w:r w:rsidR="00334624">
        <w:t>The resulting combinations show the sensitivity of the annual</w:t>
      </w:r>
      <w:r w:rsidR="006F3B71">
        <w:t xml:space="preserve"> </w:t>
      </w:r>
      <w:r w:rsidR="00334624">
        <w:t xml:space="preserve">system cost and </w:t>
      </w:r>
      <w:proofErr w:type="spellStart"/>
      <w:r w:rsidR="00334624">
        <w:t>LCO</w:t>
      </w:r>
      <w:r w:rsidR="006F3B71">
        <w:t>En</w:t>
      </w:r>
      <w:proofErr w:type="spellEnd"/>
      <w:r w:rsidR="00334624">
        <w:t xml:space="preserve"> to the principal X-specific economic parameters. All other economic assumptions remain unchanged unless stated otherwise.</w:t>
      </w:r>
      <w:r w:rsidR="00B8312B">
        <w:t xml:space="preserve"> </w:t>
      </w:r>
    </w:p>
    <w:p w14:paraId="63FC3CE0" w14:textId="5FAC59AE" w:rsidR="00B8312B" w:rsidRDefault="00B8312B" w:rsidP="00B8312B">
      <w:pPr>
        <w:pStyle w:val="SWCText"/>
      </w:pPr>
      <w:r>
        <w:t xml:space="preserve">The annual cost of grid-electricity purchases and the revenues from electricity exported to the grid are calculated using time-resolved electricity tariffs. The same tariff profiles are applied to all configurations and weather years. Depending on the temporal distribution of grid imports and electricity exports, the resulting annual effective average prices vary slightly between configurations. Across the </w:t>
      </w:r>
      <w:proofErr w:type="gramStart"/>
      <w:r>
        <w:t>investigated cases</w:t>
      </w:r>
      <w:proofErr w:type="gramEnd"/>
      <w:r>
        <w:t xml:space="preserve">, the effective grid-electricity price is </w:t>
      </w:r>
      <w:r w:rsidR="003F29E0">
        <w:t>approx.</w:t>
      </w:r>
      <w:r>
        <w:t xml:space="preserve"> 0.30</w:t>
      </w:r>
      <w:r w:rsidR="00156CE1">
        <w:t> </w:t>
      </w:r>
      <w:r>
        <w:t xml:space="preserve">CHF/kWh, while the effective feed-in remuneration is </w:t>
      </w:r>
      <w:r w:rsidR="003F29E0">
        <w:t>approx.</w:t>
      </w:r>
      <w:r>
        <w:t xml:space="preserve"> 0.07</w:t>
      </w:r>
      <w:r w:rsidR="00156CE1">
        <w:t> </w:t>
      </w:r>
      <w:r>
        <w:t>CHF/kWh. Grid-purchase costs and feed-in revenues are calculated separately based on the corresponding hourly energy flows.</w:t>
      </w:r>
      <w:r w:rsidR="00BE1253">
        <w:t xml:space="preserve"> </w:t>
      </w:r>
      <w:r w:rsidR="00BE1253">
        <w:t>In addition to the baseline grid-electricity purchase tariff, a modified-tariff sensitivity was evaluated to represent a larger seasonal price differential. Relative to the baseline tariff, the purchase price was increased by 0.06 CHF/kWh from Oct</w:t>
      </w:r>
      <w:r w:rsidR="00BE1253">
        <w:t>.</w:t>
      </w:r>
      <w:r w:rsidR="00BE1253">
        <w:t xml:space="preserve"> to March and reduced by 0.06 CHF/kWh from April to Sept</w:t>
      </w:r>
      <w:r w:rsidR="00BE1253">
        <w:t>.</w:t>
      </w:r>
      <w:r w:rsidR="00BE1253">
        <w:t>, resulting in representative winter and summer prices of 0.39 and 0.22</w:t>
      </w:r>
      <w:r w:rsidR="00BE1253">
        <w:t> </w:t>
      </w:r>
      <w:r w:rsidR="00BE1253">
        <w:t>CHF/kWh, respectively, compared with 0.33 and 0.28 CHF/kWh under the baseline tariff. The feed-in tariff remained unchanged. The modified tariff was applied only in the economic assessment; system operation and simulated energy flows were not recalculated.</w:t>
      </w:r>
    </w:p>
    <w:p w14:paraId="12EE69FA" w14:textId="3516CFF7" w:rsidR="00BE1253" w:rsidRDefault="00BE1253" w:rsidP="00B8312B">
      <w:pPr>
        <w:pStyle w:val="SWCText"/>
      </w:pPr>
      <w:r>
        <w:t xml:space="preserve">For each HP source, X carrier, tariff scenario and combination of </w:t>
      </w:r>
      <w:r>
        <w:t>X-</w:t>
      </w:r>
      <w:r>
        <w:t xml:space="preserve">carrier-price and converter-CAPEX assumptions, the technically feasible configuration with the lowest median </w:t>
      </w:r>
      <w:proofErr w:type="spellStart"/>
      <w:r>
        <w:t>LCOEn</w:t>
      </w:r>
      <w:proofErr w:type="spellEnd"/>
      <w:r>
        <w:t xml:space="preserve"> across the weather years was identified. The configuration labels in Fig. 5 indicate the respective optima under the average carrier-price and converter-CAPEX assumptions.</w:t>
      </w:r>
    </w:p>
    <w:p w14:paraId="31849B40" w14:textId="7B2BCC29" w:rsidR="001301DE" w:rsidRPr="007B2113" w:rsidRDefault="001301DE" w:rsidP="001301DE">
      <w:pPr>
        <w:pStyle w:val="SWCHeading1"/>
        <w:rPr>
          <w:lang w:val="en-GB"/>
        </w:rPr>
      </w:pPr>
      <w:r>
        <w:rPr>
          <w:lang w:val="en-GB"/>
        </w:rPr>
        <w:t>Results</w:t>
      </w:r>
    </w:p>
    <w:p w14:paraId="1828AA73" w14:textId="1ABEC54B" w:rsidR="001301DE" w:rsidRDefault="007200C4" w:rsidP="001301DE">
      <w:pPr>
        <w:pStyle w:val="SWCHeading11"/>
      </w:pPr>
      <w:r>
        <w:t xml:space="preserve">3.1. </w:t>
      </w:r>
      <w:r w:rsidR="00610E15">
        <w:t>Operation of bivalent HP and X-to-Energy configurations</w:t>
      </w:r>
    </w:p>
    <w:p w14:paraId="56BEF301" w14:textId="65687EE9" w:rsidR="006C19F8" w:rsidRDefault="006C19F8" w:rsidP="008C0435">
      <w:pPr>
        <w:pStyle w:val="SWCText"/>
      </w:pPr>
      <w:r w:rsidRPr="006C19F8">
        <w:t xml:space="preserve">This section presents results for the </w:t>
      </w:r>
      <w:r w:rsidR="006509C5">
        <w:t xml:space="preserve">bivalent </w:t>
      </w:r>
      <w:r w:rsidRPr="006C19F8">
        <w:t>configurations.</w:t>
      </w:r>
    </w:p>
    <w:p w14:paraId="60C43C3F" w14:textId="2651CCAE" w:rsidR="00037E8A" w:rsidRDefault="00F62C73" w:rsidP="008C0435">
      <w:pPr>
        <w:pStyle w:val="SWCText"/>
      </w:pPr>
      <w:r>
        <w:rPr>
          <w:noProof/>
        </w:rPr>
        <w:drawing>
          <wp:inline distT="0" distB="0" distL="0" distR="0" wp14:anchorId="2B25F1BD" wp14:editId="437A5328">
            <wp:extent cx="5761427" cy="2070625"/>
            <wp:effectExtent l="0" t="0" r="0" b="6350"/>
            <wp:docPr id="91362747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27470" name="Graphic 913627470"/>
                    <pic:cNvPicPr/>
                  </pic:nvPicPr>
                  <pic:blipFill rotWithShape="1">
                    <a:blip r:embed="rId14">
                      <a:extLst>
                        <a:ext uri="{96DAC541-7B7A-43D3-8B79-37D633B846F1}">
                          <asvg:svgBlip xmlns:asvg="http://schemas.microsoft.com/office/drawing/2016/SVG/main" r:embed="rId15"/>
                        </a:ext>
                      </a:extLst>
                    </a:blip>
                    <a:srcRect t="15047" b="8598"/>
                    <a:stretch>
                      <a:fillRect/>
                    </a:stretch>
                  </pic:blipFill>
                  <pic:spPr bwMode="auto">
                    <a:xfrm>
                      <a:off x="0" y="0"/>
                      <a:ext cx="5761990" cy="2070827"/>
                    </a:xfrm>
                    <a:prstGeom prst="rect">
                      <a:avLst/>
                    </a:prstGeom>
                    <a:ln>
                      <a:noFill/>
                    </a:ln>
                    <a:extLst>
                      <a:ext uri="{53640926-AAD7-44D8-BBD7-CCE9431645EC}">
                        <a14:shadowObscured xmlns:a14="http://schemas.microsoft.com/office/drawing/2010/main"/>
                      </a:ext>
                    </a:extLst>
                  </pic:spPr>
                </pic:pic>
              </a:graphicData>
            </a:graphic>
          </wp:inline>
        </w:drawing>
      </w:r>
    </w:p>
    <w:p w14:paraId="195EC6E5" w14:textId="72058BD2" w:rsidR="00A80385" w:rsidRDefault="00A80385" w:rsidP="00A80385">
      <w:pPr>
        <w:pStyle w:val="SWCTableFigureCaption"/>
      </w:pPr>
      <w:r>
        <w:lastRenderedPageBreak/>
        <w:t>Fig</w:t>
      </w:r>
      <w:r w:rsidR="003238E5">
        <w:t>.</w:t>
      </w:r>
      <w:r>
        <w:t xml:space="preserve"> 3</w:t>
      </w:r>
      <w:r w:rsidR="003238E5">
        <w:t>:</w:t>
      </w:r>
      <w:r>
        <w:t xml:space="preserve"> </w:t>
      </w:r>
      <w:r w:rsidR="007200C4">
        <w:t xml:space="preserve">Median annual electricity supply of the building and HP for </w:t>
      </w:r>
      <w:proofErr w:type="gramStart"/>
      <w:r w:rsidR="007200C4">
        <w:t>the reference</w:t>
      </w:r>
      <w:proofErr w:type="gramEnd"/>
      <w:r w:rsidR="007200C4">
        <w:t xml:space="preserve"> and bivalent HP20 </w:t>
      </w:r>
      <w:r w:rsidR="002424E8">
        <w:t>X1</w:t>
      </w:r>
      <w:r w:rsidR="00F62C73">
        <w:t>2</w:t>
      </w:r>
      <w:r w:rsidR="002424E8">
        <w:t xml:space="preserve"> </w:t>
      </w:r>
      <w:r w:rsidR="007200C4">
        <w:t>configurations</w:t>
      </w:r>
      <w:r w:rsidR="002424E8">
        <w:t xml:space="preserve"> with (a) ASHP and (b) GSHP</w:t>
      </w:r>
      <w:r w:rsidR="007200C4">
        <w:t>.</w:t>
      </w:r>
      <w:r w:rsidR="00037E8A">
        <w:t xml:space="preserve"> </w:t>
      </w:r>
      <w:r w:rsidR="007200C4">
        <w:t>Error bars indicate the range across the weather years 2014–2024. Battery discharge includes stored electricity originating from both the PV system and the X-to-Energy unit.</w:t>
      </w:r>
    </w:p>
    <w:p w14:paraId="0FB84786" w14:textId="59D1FBFC" w:rsidR="00037E8A" w:rsidRDefault="00037E8A" w:rsidP="00882AB9">
      <w:pPr>
        <w:pStyle w:val="SWCText"/>
      </w:pPr>
      <w:r>
        <w:t xml:space="preserve">Fig. 3 shows the median annual electricity supply and useful heat demand of the building for </w:t>
      </w:r>
      <w:proofErr w:type="gramStart"/>
      <w:r>
        <w:t>the reference</w:t>
      </w:r>
      <w:proofErr w:type="gramEnd"/>
      <w:r>
        <w:t xml:space="preserve"> and bivalent HP20</w:t>
      </w:r>
      <w:r w:rsidR="002424E8">
        <w:t>-X1</w:t>
      </w:r>
      <w:r>
        <w:t xml:space="preserve"> configurations</w:t>
      </w:r>
      <w:r w:rsidR="002424E8">
        <w:t xml:space="preserve"> with (a) ASHP and (b) GSHP</w:t>
      </w:r>
      <w:r>
        <w:t xml:space="preserve">. </w:t>
      </w:r>
      <w:r w:rsidR="00E030C3">
        <w:t>In the reference configurations, grid imports account for 40% of the annual electricity supply for the ASHP and 37% for the GSHP. Electricity generated by the X-to-Energy unit reduces this contribution in the bivalent configurations. For the ASHP, the remaining grid share amounts to approx. 16% for hydrogen, 22% for methane and methanol, and 28% for aluminium. For the GSHP, the corresponding grid shares are approx. 13%, 19% and 26%, respectively. Direct PV use remains constant at approx. 30 MWh/a electric, while battery discharge increases in the bivalent configurations because battery discharge includes stored electricity originating from both the PV system and the X-to-Energy unit.</w:t>
      </w:r>
    </w:p>
    <w:p w14:paraId="654F97A5" w14:textId="34C69DD9" w:rsidR="007200C4" w:rsidRDefault="00E030C3" w:rsidP="00882AB9">
      <w:pPr>
        <w:pStyle w:val="SWCText"/>
      </w:pPr>
      <w:r>
        <w:t xml:space="preserve">More than </w:t>
      </w:r>
      <w:r w:rsidR="006C19F8">
        <w:t>9</w:t>
      </w:r>
      <w:r>
        <w:t>0</w:t>
      </w:r>
      <w:r w:rsidR="006C19F8">
        <w:t xml:space="preserve">% of annual X-carrier consumption occurs between Oct. and March, with the highest </w:t>
      </w:r>
      <w:r>
        <w:t xml:space="preserve">monthly values generally </w:t>
      </w:r>
      <w:r w:rsidR="00611B68">
        <w:t>occurring</w:t>
      </w:r>
      <w:r w:rsidR="006C19F8">
        <w:t xml:space="preserve"> in Dec. and Jan. </w:t>
      </w:r>
      <w:r>
        <w:t xml:space="preserve">The profiles are similar for the three HP capacities and both HP sources, confirming the seasonal role of the X-to-Energy unit </w:t>
      </w:r>
      <w:r w:rsidR="006C19F8">
        <w:t>(Fig. 4).</w:t>
      </w:r>
    </w:p>
    <w:p w14:paraId="0D1FC460" w14:textId="749602C1" w:rsidR="00610E15" w:rsidRDefault="00951419" w:rsidP="00610E15">
      <w:pPr>
        <w:pStyle w:val="SWCText"/>
      </w:pPr>
      <w:r>
        <w:rPr>
          <w:noProof/>
        </w:rPr>
        <w:drawing>
          <wp:inline distT="0" distB="0" distL="0" distR="0" wp14:anchorId="39F4AA10" wp14:editId="72986ACC">
            <wp:extent cx="5761944" cy="1935892"/>
            <wp:effectExtent l="0" t="0" r="0" b="7620"/>
            <wp:docPr id="17602319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31963" name="Graphic 1760231963"/>
                    <pic:cNvPicPr/>
                  </pic:nvPicPr>
                  <pic:blipFill rotWithShape="1">
                    <a:blip r:embed="rId16">
                      <a:extLst>
                        <a:ext uri="{96DAC541-7B7A-43D3-8B79-37D633B846F1}">
                          <asvg:svgBlip xmlns:asvg="http://schemas.microsoft.com/office/drawing/2016/SVG/main" r:embed="rId17"/>
                        </a:ext>
                      </a:extLst>
                    </a:blip>
                    <a:srcRect t="12871" b="7529"/>
                    <a:stretch>
                      <a:fillRect/>
                    </a:stretch>
                  </pic:blipFill>
                  <pic:spPr bwMode="auto">
                    <a:xfrm>
                      <a:off x="0" y="0"/>
                      <a:ext cx="5761990" cy="1935908"/>
                    </a:xfrm>
                    <a:prstGeom prst="rect">
                      <a:avLst/>
                    </a:prstGeom>
                    <a:ln>
                      <a:noFill/>
                    </a:ln>
                    <a:extLst>
                      <a:ext uri="{53640926-AAD7-44D8-BBD7-CCE9431645EC}">
                        <a14:shadowObscured xmlns:a14="http://schemas.microsoft.com/office/drawing/2010/main"/>
                      </a:ext>
                    </a:extLst>
                  </pic:spPr>
                </pic:pic>
              </a:graphicData>
            </a:graphic>
          </wp:inline>
        </w:drawing>
      </w:r>
    </w:p>
    <w:p w14:paraId="16BD4BED" w14:textId="40F9AA59" w:rsidR="00610E15" w:rsidRPr="00610E15" w:rsidRDefault="00610E15" w:rsidP="00610E15">
      <w:pPr>
        <w:pStyle w:val="SWCTableFigureCaption"/>
      </w:pPr>
      <w:r w:rsidRPr="00610E15">
        <w:t>Fig</w:t>
      </w:r>
      <w:r w:rsidR="003238E5">
        <w:t>.</w:t>
      </w:r>
      <w:r w:rsidRPr="00610E15">
        <w:t xml:space="preserve"> 4: </w:t>
      </w:r>
      <w:r w:rsidR="00E030C3">
        <w:t>Monthly X-carrier energy input for the bivalent HP15–X1</w:t>
      </w:r>
      <w:r w:rsidR="00951419">
        <w:t>2</w:t>
      </w:r>
      <w:r w:rsidR="00E030C3">
        <w:t>, HP20–X1</w:t>
      </w:r>
      <w:r w:rsidR="00951419">
        <w:t>2</w:t>
      </w:r>
      <w:r w:rsidR="00E030C3">
        <w:t xml:space="preserve"> and HP25–X1</w:t>
      </w:r>
      <w:r w:rsidR="00951419">
        <w:t>2</w:t>
      </w:r>
      <w:r w:rsidR="00E030C3">
        <w:t xml:space="preserve"> configurations with ASHP</w:t>
      </w:r>
      <w:r w:rsidR="00366F00">
        <w:t xml:space="preserve"> (left)</w:t>
      </w:r>
      <w:r w:rsidR="00E030C3">
        <w:t xml:space="preserve"> and GSHP</w:t>
      </w:r>
      <w:r w:rsidR="00366F00">
        <w:t xml:space="preserve"> (right)</w:t>
      </w:r>
      <w:r w:rsidR="00E030C3">
        <w:t xml:space="preserve">. </w:t>
      </w:r>
      <w:r w:rsidR="00C132C1">
        <w:t>X-carrier</w:t>
      </w:r>
      <w:r w:rsidR="00E030C3">
        <w:t xml:space="preserve"> energy is calculated on an HHV basis. Lines show median values across the investigated </w:t>
      </w:r>
      <w:r w:rsidR="00C132C1">
        <w:t>X-carrier</w:t>
      </w:r>
      <w:r w:rsidR="00E030C3">
        <w:t>s and weather years, while shaded areas indicate the range across the weather years 2014–2024</w:t>
      </w:r>
      <w:r w:rsidRPr="00610E15">
        <w:t>.</w:t>
      </w:r>
    </w:p>
    <w:p w14:paraId="3229A815" w14:textId="02F0D8EA" w:rsidR="00AE4761" w:rsidRDefault="008D2C16" w:rsidP="00882AB9">
      <w:pPr>
        <w:pStyle w:val="SWCText"/>
      </w:pPr>
      <w:r>
        <w:t xml:space="preserve">The equivalent full-load hours of the X-to-Energy converters vary with the HP and converter capacities and between the </w:t>
      </w:r>
      <w:r w:rsidR="00C132C1">
        <w:t>X-carrier</w:t>
      </w:r>
      <w:r>
        <w:t xml:space="preserve">s because of their different heat-to-electricity output ratios and rated converter outputs. </w:t>
      </w:r>
      <w:r w:rsidR="006D6083">
        <w:t xml:space="preserve">Across valid </w:t>
      </w:r>
      <w:r w:rsidR="006D6083">
        <w:t xml:space="preserve">bivalent </w:t>
      </w:r>
      <w:r w:rsidR="006D6083">
        <w:t>configurations</w:t>
      </w:r>
      <w:r w:rsidR="006D6083">
        <w:t>, m</w:t>
      </w:r>
      <w:r>
        <w:t xml:space="preserve">edian values </w:t>
      </w:r>
      <w:r w:rsidR="006D6083">
        <w:t xml:space="preserve">calculated over all weather years </w:t>
      </w:r>
      <w:r>
        <w:t xml:space="preserve">range from approx. </w:t>
      </w:r>
      <w:r w:rsidR="00C54F33">
        <w:t>1150</w:t>
      </w:r>
      <w:r>
        <w:t xml:space="preserve"> to 2</w:t>
      </w:r>
      <w:r w:rsidR="00C54F33">
        <w:t>90</w:t>
      </w:r>
      <w:r>
        <w:t>5 h/</w:t>
      </w:r>
      <w:proofErr w:type="gramStart"/>
      <w:r>
        <w:t>a for</w:t>
      </w:r>
      <w:proofErr w:type="gramEnd"/>
      <w:r>
        <w:t xml:space="preserve"> the ASHP</w:t>
      </w:r>
      <w:r w:rsidR="006D6083">
        <w:t>-X</w:t>
      </w:r>
      <w:r>
        <w:t xml:space="preserve"> and from 1150 to 2880 h/</w:t>
      </w:r>
      <w:proofErr w:type="gramStart"/>
      <w:r>
        <w:t>a for</w:t>
      </w:r>
      <w:proofErr w:type="gramEnd"/>
      <w:r>
        <w:t xml:space="preserve"> the GSHP</w:t>
      </w:r>
      <w:r w:rsidR="006D6083">
        <w:t>-X conf</w:t>
      </w:r>
      <w:r>
        <w:t>igurations.</w:t>
      </w:r>
      <w:r w:rsidR="00C54F33">
        <w:t xml:space="preserve"> The highest values occur for the smaller X8 converters, which operate for longer time periods.</w:t>
      </w:r>
      <w:r>
        <w:t xml:space="preserve"> The resulting annual X-carrier consumption ranges from </w:t>
      </w:r>
      <w:r w:rsidR="00D807ED">
        <w:t>3.</w:t>
      </w:r>
      <w:r w:rsidR="006D6083">
        <w:t>4</w:t>
      </w:r>
      <w:r>
        <w:t xml:space="preserve"> to 4</w:t>
      </w:r>
      <w:r w:rsidR="00D807ED">
        <w:t>.</w:t>
      </w:r>
      <w:r w:rsidR="006D6083">
        <w:t>5</w:t>
      </w:r>
      <w:r>
        <w:t> t/</w:t>
      </w:r>
      <w:proofErr w:type="gramStart"/>
      <w:r>
        <w:t>a for</w:t>
      </w:r>
      <w:proofErr w:type="gramEnd"/>
      <w:r>
        <w:t xml:space="preserve"> aluminium, from </w:t>
      </w:r>
      <w:r w:rsidR="00D807ED">
        <w:t>1.</w:t>
      </w:r>
      <w:r w:rsidR="006D6083">
        <w:t>1</w:t>
      </w:r>
      <w:r>
        <w:t xml:space="preserve"> to 1.</w:t>
      </w:r>
      <w:r w:rsidR="006D6083">
        <w:t>5</w:t>
      </w:r>
      <w:r>
        <w:t> t/</w:t>
      </w:r>
      <w:proofErr w:type="gramStart"/>
      <w:r>
        <w:t>a for</w:t>
      </w:r>
      <w:proofErr w:type="gramEnd"/>
      <w:r>
        <w:t xml:space="preserve"> hydrogen, from </w:t>
      </w:r>
      <w:r w:rsidR="00D807ED">
        <w:t>2</w:t>
      </w:r>
      <w:r>
        <w:t>.</w:t>
      </w:r>
      <w:r w:rsidR="006D6083">
        <w:t>6</w:t>
      </w:r>
      <w:r>
        <w:t xml:space="preserve"> to 3</w:t>
      </w:r>
      <w:r w:rsidR="00D807ED">
        <w:t>.</w:t>
      </w:r>
      <w:r w:rsidR="006D6083">
        <w:t>4</w:t>
      </w:r>
      <w:r>
        <w:t> t/</w:t>
      </w:r>
      <w:proofErr w:type="gramStart"/>
      <w:r>
        <w:t>a for</w:t>
      </w:r>
      <w:proofErr w:type="gramEnd"/>
      <w:r>
        <w:t xml:space="preserve"> methane and from </w:t>
      </w:r>
      <w:r w:rsidR="00D807ED">
        <w:t>6.4</w:t>
      </w:r>
      <w:r>
        <w:t xml:space="preserve"> to </w:t>
      </w:r>
      <w:r w:rsidR="00D807ED">
        <w:t>8.4</w:t>
      </w:r>
      <w:r>
        <w:t> t/</w:t>
      </w:r>
      <w:proofErr w:type="gramStart"/>
      <w:r>
        <w:t>a for</w:t>
      </w:r>
      <w:proofErr w:type="gramEnd"/>
      <w:r>
        <w:t xml:space="preserve"> methanol. </w:t>
      </w:r>
      <w:r w:rsidR="00AD66C3">
        <w:t>Based on the</w:t>
      </w:r>
      <w:r w:rsidR="00AE4761">
        <w:t>se</w:t>
      </w:r>
      <w:r w:rsidR="00AD66C3">
        <w:t xml:space="preserve"> </w:t>
      </w:r>
      <w:r w:rsidR="00C132C1">
        <w:t>X-carrier</w:t>
      </w:r>
      <w:r w:rsidR="00AD66C3">
        <w:t xml:space="preserve"> demand</w:t>
      </w:r>
      <w:r w:rsidR="00AE4761">
        <w:t>s</w:t>
      </w:r>
      <w:r w:rsidR="00AD66C3">
        <w:t>,</w:t>
      </w:r>
      <w:r w:rsidR="00882AB9">
        <w:t xml:space="preserve"> </w:t>
      </w:r>
      <w:r w:rsidR="00AE4761">
        <w:t xml:space="preserve">the following </w:t>
      </w:r>
      <w:r w:rsidR="00882AB9">
        <w:t xml:space="preserve">X-carrier storage capacities </w:t>
      </w:r>
      <w:r w:rsidR="00AD66C3">
        <w:t>were</w:t>
      </w:r>
      <w:r w:rsidR="00882AB9">
        <w:t xml:space="preserve"> </w:t>
      </w:r>
      <w:r w:rsidR="00AE4761">
        <w:t>defined</w:t>
      </w:r>
      <w:r w:rsidR="00C54F33">
        <w:t xml:space="preserve"> assuming a maximum of two deliveries per year</w:t>
      </w:r>
      <w:r w:rsidR="00CB3B19">
        <w:t xml:space="preserve"> (Table 2)</w:t>
      </w:r>
      <w:r w:rsidR="00AE4761">
        <w:t>:</w:t>
      </w:r>
    </w:p>
    <w:p w14:paraId="6E3D05BE" w14:textId="0BD8FD55" w:rsidR="008A47FD" w:rsidRDefault="008A47FD" w:rsidP="008A47FD">
      <w:pPr>
        <w:pStyle w:val="SWCTableFigureCaption"/>
      </w:pPr>
      <w:r>
        <w:t xml:space="preserve">Table </w:t>
      </w:r>
      <w:r>
        <w:fldChar w:fldCharType="begin"/>
      </w:r>
      <w:r>
        <w:instrText xml:space="preserve"> SEQ Table \* ARABIC </w:instrText>
      </w:r>
      <w:r>
        <w:fldChar w:fldCharType="separate"/>
      </w:r>
      <w:r>
        <w:rPr>
          <w:noProof/>
        </w:rPr>
        <w:t>2</w:t>
      </w:r>
      <w:r>
        <w:fldChar w:fldCharType="end"/>
      </w:r>
      <w:r>
        <w:t>: Assumed X-carrier storage capacities and corresponding internal storage volumes.</w:t>
      </w:r>
    </w:p>
    <w:tbl>
      <w:tblPr>
        <w:tblStyle w:val="TableGrid"/>
        <w:tblW w:w="0" w:type="auto"/>
        <w:tblLook w:val="04A0" w:firstRow="1" w:lastRow="0" w:firstColumn="1" w:lastColumn="0" w:noHBand="0" w:noVBand="1"/>
      </w:tblPr>
      <w:tblGrid>
        <w:gridCol w:w="1525"/>
        <w:gridCol w:w="2790"/>
        <w:gridCol w:w="1980"/>
        <w:gridCol w:w="2769"/>
      </w:tblGrid>
      <w:tr w:rsidR="008A47FD" w14:paraId="2DD18283" w14:textId="77777777" w:rsidTr="008A47FD">
        <w:tc>
          <w:tcPr>
            <w:tcW w:w="1525" w:type="dxa"/>
          </w:tcPr>
          <w:p w14:paraId="0E41434D" w14:textId="5ABE403A" w:rsidR="008A47FD" w:rsidRDefault="00C132C1" w:rsidP="008A47FD">
            <w:pPr>
              <w:pStyle w:val="SWCTableHeader"/>
            </w:pPr>
            <w:r>
              <w:t>X-carrier</w:t>
            </w:r>
          </w:p>
        </w:tc>
        <w:tc>
          <w:tcPr>
            <w:tcW w:w="2790" w:type="dxa"/>
          </w:tcPr>
          <w:p w14:paraId="78BF97BE" w14:textId="610CCC2C" w:rsidR="008A47FD" w:rsidRDefault="008A47FD" w:rsidP="008A47FD">
            <w:pPr>
              <w:pStyle w:val="SWCTableHeader"/>
            </w:pPr>
            <w:r>
              <w:t>Storage condition</w:t>
            </w:r>
          </w:p>
        </w:tc>
        <w:tc>
          <w:tcPr>
            <w:tcW w:w="1980" w:type="dxa"/>
          </w:tcPr>
          <w:p w14:paraId="692D4BC2" w14:textId="00D64DD5" w:rsidR="008A47FD" w:rsidRDefault="008A47FD" w:rsidP="008A47FD">
            <w:pPr>
              <w:pStyle w:val="SWCTableHeader"/>
            </w:pPr>
            <w:r>
              <w:t>Storage mass, kg</w:t>
            </w:r>
          </w:p>
        </w:tc>
        <w:tc>
          <w:tcPr>
            <w:tcW w:w="2769" w:type="dxa"/>
          </w:tcPr>
          <w:p w14:paraId="09C03582" w14:textId="0C012B06" w:rsidR="008A47FD" w:rsidRDefault="008A47FD" w:rsidP="008A47FD">
            <w:pPr>
              <w:pStyle w:val="SWCTableHeader"/>
            </w:pPr>
            <w:r>
              <w:t xml:space="preserve">Storage volume </w:t>
            </w:r>
            <w:r w:rsidRPr="008A47FD">
              <w:rPr>
                <w:vertAlign w:val="superscript"/>
              </w:rPr>
              <w:t>a</w:t>
            </w:r>
            <w:r>
              <w:t>, m</w:t>
            </w:r>
            <w:r w:rsidRPr="008A47FD">
              <w:rPr>
                <w:vertAlign w:val="superscript"/>
              </w:rPr>
              <w:t>3</w:t>
            </w:r>
          </w:p>
        </w:tc>
      </w:tr>
      <w:tr w:rsidR="008A47FD" w:rsidRPr="008A47FD" w14:paraId="32E4282A" w14:textId="77777777" w:rsidTr="008A47FD">
        <w:tc>
          <w:tcPr>
            <w:tcW w:w="1525" w:type="dxa"/>
          </w:tcPr>
          <w:p w14:paraId="59889D9A" w14:textId="06DF8B90" w:rsidR="008A47FD" w:rsidRPr="008A47FD" w:rsidRDefault="008A47FD" w:rsidP="008A47FD">
            <w:pPr>
              <w:pStyle w:val="SWCTableText"/>
              <w:spacing w:after="0"/>
            </w:pPr>
            <w:r w:rsidRPr="008A47FD">
              <w:t>Aluminium</w:t>
            </w:r>
          </w:p>
        </w:tc>
        <w:tc>
          <w:tcPr>
            <w:tcW w:w="2790" w:type="dxa"/>
          </w:tcPr>
          <w:p w14:paraId="6912F7C2" w14:textId="2D4F2377" w:rsidR="008A47FD" w:rsidRPr="008A47FD" w:rsidRDefault="008A47FD" w:rsidP="008A47FD">
            <w:pPr>
              <w:pStyle w:val="SWCTableText"/>
              <w:spacing w:after="0"/>
            </w:pPr>
            <w:r>
              <w:t>G</w:t>
            </w:r>
            <w:r w:rsidRPr="008A47FD">
              <w:t>ranules; 15</w:t>
            </w:r>
            <w:r>
              <w:t> </w:t>
            </w:r>
            <w:r w:rsidRPr="008A47FD">
              <w:t>MWh/m</w:t>
            </w:r>
            <w:r w:rsidRPr="008A47FD">
              <w:rPr>
                <w:vertAlign w:val="superscript"/>
              </w:rPr>
              <w:t>3</w:t>
            </w:r>
            <w:r w:rsidRPr="008A47FD">
              <w:t xml:space="preserve"> </w:t>
            </w:r>
          </w:p>
        </w:tc>
        <w:tc>
          <w:tcPr>
            <w:tcW w:w="1980" w:type="dxa"/>
          </w:tcPr>
          <w:p w14:paraId="17B7AD03" w14:textId="2F346457" w:rsidR="008A47FD" w:rsidRPr="008A47FD" w:rsidRDefault="00EB766E" w:rsidP="008A47FD">
            <w:pPr>
              <w:pStyle w:val="SWCTableText"/>
              <w:spacing w:after="0"/>
            </w:pPr>
            <w:r>
              <w:t>2</w:t>
            </w:r>
            <w:r w:rsidR="00D807ED">
              <w:t>2</w:t>
            </w:r>
            <w:r w:rsidR="00063FF2">
              <w:t>5</w:t>
            </w:r>
            <w:r w:rsidR="008A47FD">
              <w:t>0</w:t>
            </w:r>
          </w:p>
        </w:tc>
        <w:tc>
          <w:tcPr>
            <w:tcW w:w="2769" w:type="dxa"/>
          </w:tcPr>
          <w:p w14:paraId="7C751644" w14:textId="09A3B582" w:rsidR="008A47FD" w:rsidRPr="008A47FD" w:rsidRDefault="00501EF9" w:rsidP="008A47FD">
            <w:pPr>
              <w:pStyle w:val="SWCTableText"/>
              <w:spacing w:after="0"/>
            </w:pPr>
            <w:r>
              <w:t>1.3</w:t>
            </w:r>
            <w:r w:rsidR="008A47FD">
              <w:t xml:space="preserve"> + </w:t>
            </w:r>
            <w:r>
              <w:t>2.6</w:t>
            </w:r>
            <w:r w:rsidR="008A47FD">
              <w:t xml:space="preserve"> for reaction product</w:t>
            </w:r>
          </w:p>
        </w:tc>
      </w:tr>
      <w:tr w:rsidR="008A47FD" w:rsidRPr="008A47FD" w14:paraId="696B1393" w14:textId="77777777" w:rsidTr="008A47FD">
        <w:tc>
          <w:tcPr>
            <w:tcW w:w="1525" w:type="dxa"/>
          </w:tcPr>
          <w:p w14:paraId="75E597AA" w14:textId="48F9BB06" w:rsidR="008A47FD" w:rsidRPr="008A47FD" w:rsidRDefault="008A47FD" w:rsidP="008A47FD">
            <w:pPr>
              <w:pStyle w:val="SWCTableText"/>
              <w:spacing w:after="0"/>
            </w:pPr>
            <w:r w:rsidRPr="008A47FD">
              <w:t>Hydrogen</w:t>
            </w:r>
          </w:p>
        </w:tc>
        <w:tc>
          <w:tcPr>
            <w:tcW w:w="2790" w:type="dxa"/>
          </w:tcPr>
          <w:p w14:paraId="03F84EBF" w14:textId="1D14F5A6" w:rsidR="008A47FD" w:rsidRPr="008A47FD" w:rsidRDefault="008A47FD" w:rsidP="008A47FD">
            <w:pPr>
              <w:pStyle w:val="SWCTableText"/>
              <w:spacing w:after="0"/>
            </w:pPr>
            <w:r>
              <w:t>Compressed gas; 500 </w:t>
            </w:r>
            <w:proofErr w:type="gramStart"/>
            <w:r>
              <w:t>bar</w:t>
            </w:r>
            <w:proofErr w:type="gramEnd"/>
          </w:p>
        </w:tc>
        <w:tc>
          <w:tcPr>
            <w:tcW w:w="1980" w:type="dxa"/>
          </w:tcPr>
          <w:p w14:paraId="67F19DC5" w14:textId="5ED895AF" w:rsidR="008A47FD" w:rsidRPr="008A47FD" w:rsidRDefault="00D807ED" w:rsidP="008A47FD">
            <w:pPr>
              <w:pStyle w:val="SWCTableText"/>
              <w:spacing w:after="0"/>
            </w:pPr>
            <w:r>
              <w:t>7</w:t>
            </w:r>
            <w:r w:rsidR="00606C29">
              <w:t>5</w:t>
            </w:r>
            <w:r w:rsidR="008A47FD">
              <w:t>0</w:t>
            </w:r>
          </w:p>
        </w:tc>
        <w:tc>
          <w:tcPr>
            <w:tcW w:w="2769" w:type="dxa"/>
          </w:tcPr>
          <w:p w14:paraId="3B3E8B19" w14:textId="7079B5C7" w:rsidR="008A47FD" w:rsidRPr="008A47FD" w:rsidRDefault="00BC5149" w:rsidP="008A47FD">
            <w:pPr>
              <w:pStyle w:val="SWCTableText"/>
              <w:spacing w:after="0"/>
            </w:pPr>
            <w:r>
              <w:t>2</w:t>
            </w:r>
            <w:r w:rsidR="00063FF2">
              <w:t>5</w:t>
            </w:r>
          </w:p>
        </w:tc>
      </w:tr>
      <w:tr w:rsidR="008A47FD" w:rsidRPr="008A47FD" w14:paraId="624F41EA" w14:textId="77777777" w:rsidTr="008A47FD">
        <w:tc>
          <w:tcPr>
            <w:tcW w:w="1525" w:type="dxa"/>
          </w:tcPr>
          <w:p w14:paraId="4BDAD1E8" w14:textId="2F88B95C" w:rsidR="008A47FD" w:rsidRPr="008A47FD" w:rsidRDefault="008A47FD" w:rsidP="008A47FD">
            <w:pPr>
              <w:pStyle w:val="SWCTableText"/>
              <w:spacing w:after="0"/>
            </w:pPr>
            <w:r w:rsidRPr="008A47FD">
              <w:t>Methane</w:t>
            </w:r>
          </w:p>
        </w:tc>
        <w:tc>
          <w:tcPr>
            <w:tcW w:w="2790" w:type="dxa"/>
          </w:tcPr>
          <w:p w14:paraId="24B39384" w14:textId="27657265" w:rsidR="008A47FD" w:rsidRPr="008A47FD" w:rsidRDefault="008A47FD" w:rsidP="008A47FD">
            <w:pPr>
              <w:pStyle w:val="SWCTableText"/>
              <w:spacing w:after="0"/>
            </w:pPr>
            <w:r>
              <w:t>Compressed gas; 200 </w:t>
            </w:r>
            <w:proofErr w:type="gramStart"/>
            <w:r>
              <w:t>bar</w:t>
            </w:r>
            <w:proofErr w:type="gramEnd"/>
          </w:p>
        </w:tc>
        <w:tc>
          <w:tcPr>
            <w:tcW w:w="1980" w:type="dxa"/>
          </w:tcPr>
          <w:p w14:paraId="182EE774" w14:textId="217F0C82" w:rsidR="008A47FD" w:rsidRPr="008A47FD" w:rsidRDefault="00EB766E" w:rsidP="008A47FD">
            <w:pPr>
              <w:pStyle w:val="SWCTableText"/>
              <w:spacing w:after="0"/>
            </w:pPr>
            <w:r>
              <w:t>1</w:t>
            </w:r>
            <w:r w:rsidR="00D807ED">
              <w:t>7</w:t>
            </w:r>
            <w:r w:rsidR="00063FF2">
              <w:t>5</w:t>
            </w:r>
            <w:r w:rsidR="008A47FD">
              <w:t>0</w:t>
            </w:r>
          </w:p>
        </w:tc>
        <w:tc>
          <w:tcPr>
            <w:tcW w:w="2769" w:type="dxa"/>
          </w:tcPr>
          <w:p w14:paraId="5A71FEF7" w14:textId="4A909E52" w:rsidR="008A47FD" w:rsidRPr="008A47FD" w:rsidRDefault="00BC5149" w:rsidP="008A47FD">
            <w:pPr>
              <w:pStyle w:val="SWCTableText"/>
              <w:spacing w:after="0"/>
            </w:pPr>
            <w:r>
              <w:t>10</w:t>
            </w:r>
            <w:r w:rsidR="00063FF2">
              <w:t>.3</w:t>
            </w:r>
          </w:p>
        </w:tc>
      </w:tr>
      <w:tr w:rsidR="008A47FD" w:rsidRPr="008A47FD" w14:paraId="47C2F447" w14:textId="77777777" w:rsidTr="008A47FD">
        <w:tc>
          <w:tcPr>
            <w:tcW w:w="1525" w:type="dxa"/>
          </w:tcPr>
          <w:p w14:paraId="15A09556" w14:textId="2B3BD2A5" w:rsidR="008A47FD" w:rsidRPr="008A47FD" w:rsidRDefault="008A47FD" w:rsidP="008A47FD">
            <w:pPr>
              <w:pStyle w:val="SWCTableText"/>
              <w:spacing w:after="0"/>
            </w:pPr>
            <w:r w:rsidRPr="008A47FD">
              <w:t>Methanol</w:t>
            </w:r>
          </w:p>
        </w:tc>
        <w:tc>
          <w:tcPr>
            <w:tcW w:w="2790" w:type="dxa"/>
          </w:tcPr>
          <w:p w14:paraId="4C8DCA3A" w14:textId="50DB4E42" w:rsidR="008A47FD" w:rsidRPr="008A47FD" w:rsidRDefault="008A47FD" w:rsidP="008A47FD">
            <w:pPr>
              <w:pStyle w:val="SWCTableText"/>
              <w:spacing w:after="0"/>
            </w:pPr>
            <w:r>
              <w:t>Liquid</w:t>
            </w:r>
          </w:p>
        </w:tc>
        <w:tc>
          <w:tcPr>
            <w:tcW w:w="1980" w:type="dxa"/>
          </w:tcPr>
          <w:p w14:paraId="7693DF92" w14:textId="4F062E7B" w:rsidR="008A47FD" w:rsidRPr="008A47FD" w:rsidRDefault="00D807ED" w:rsidP="008A47FD">
            <w:pPr>
              <w:pStyle w:val="SWCTableText"/>
              <w:spacing w:after="0"/>
            </w:pPr>
            <w:r>
              <w:t>4</w:t>
            </w:r>
            <w:r w:rsidR="00606C29">
              <w:t>2</w:t>
            </w:r>
            <w:r w:rsidR="008A47FD">
              <w:t>00</w:t>
            </w:r>
          </w:p>
        </w:tc>
        <w:tc>
          <w:tcPr>
            <w:tcW w:w="2769" w:type="dxa"/>
          </w:tcPr>
          <w:p w14:paraId="21F4CF57" w14:textId="7C8965CA" w:rsidR="008A47FD" w:rsidRPr="008A47FD" w:rsidRDefault="00063FF2" w:rsidP="008A47FD">
            <w:pPr>
              <w:pStyle w:val="SWCTableText"/>
              <w:spacing w:after="0"/>
            </w:pPr>
            <w:r>
              <w:t>5.3</w:t>
            </w:r>
          </w:p>
        </w:tc>
      </w:tr>
    </w:tbl>
    <w:p w14:paraId="4EAC40BF" w14:textId="53E08668" w:rsidR="008C0435" w:rsidRDefault="008A47FD" w:rsidP="008C0435">
      <w:pPr>
        <w:pStyle w:val="SWCText"/>
      </w:pPr>
      <w:proofErr w:type="gramStart"/>
      <w:r w:rsidRPr="008A47FD">
        <w:rPr>
          <w:vertAlign w:val="superscript"/>
        </w:rPr>
        <w:t>a</w:t>
      </w:r>
      <w:r>
        <w:rPr>
          <w:vertAlign w:val="superscript"/>
        </w:rPr>
        <w:t xml:space="preserve"> </w:t>
      </w:r>
      <w:r>
        <w:t>V</w:t>
      </w:r>
      <w:r w:rsidR="00AE4761">
        <w:t>olumes</w:t>
      </w:r>
      <w:proofErr w:type="gramEnd"/>
      <w:r w:rsidR="00AE4761">
        <w:t xml:space="preserve"> </w:t>
      </w:r>
      <w:r w:rsidR="00882AB9">
        <w:t>represent the internal carrier volume and exclude storage vessels, containment, auxiliary equipment and safety distances.</w:t>
      </w:r>
    </w:p>
    <w:p w14:paraId="719455B0" w14:textId="4BC42F36" w:rsidR="001301DE" w:rsidRDefault="001301DE" w:rsidP="001301DE">
      <w:pPr>
        <w:pStyle w:val="SWCHeading11"/>
      </w:pPr>
      <w:r>
        <w:t>3.</w:t>
      </w:r>
      <w:r w:rsidR="007C47D1">
        <w:t>2</w:t>
      </w:r>
      <w:r w:rsidR="005F07D2">
        <w:t>.</w:t>
      </w:r>
      <w:r>
        <w:t xml:space="preserve"> </w:t>
      </w:r>
      <w:r w:rsidR="008E30F8">
        <w:t>Economic evaluation</w:t>
      </w:r>
    </w:p>
    <w:p w14:paraId="6EF30CFC" w14:textId="1A6C8F51" w:rsidR="00DE1AA1" w:rsidRDefault="00DE1AA1" w:rsidP="00DE1AA1">
      <w:pPr>
        <w:pStyle w:val="SWCText"/>
        <w:rPr>
          <w:sz w:val="24"/>
          <w:szCs w:val="24"/>
          <w:lang w:val="en-GB" w:eastAsia="en-GB"/>
        </w:rPr>
      </w:pPr>
      <w:r>
        <w:t xml:space="preserve">The economic comparison of the bivalent configurations is evaluated based on the </w:t>
      </w:r>
      <w:proofErr w:type="spellStart"/>
      <w:r>
        <w:t>LCOEn</w:t>
      </w:r>
      <w:proofErr w:type="spellEnd"/>
      <w:r>
        <w:t xml:space="preserve"> </w:t>
      </w:r>
      <w:r w:rsidR="00513809">
        <w:t xml:space="preserve">of the building, including PV, battery, HP, TES, X-to-Energy converter and </w:t>
      </w:r>
      <w:r w:rsidR="00C132C1">
        <w:t>X-carrier</w:t>
      </w:r>
      <w:r w:rsidR="00513809">
        <w:t xml:space="preserve"> consumption and storage, </w:t>
      </w:r>
      <w:r>
        <w:t>relative to the corresponding source-specific HP50 reference configuration</w:t>
      </w:r>
      <w:r w:rsidR="00513809">
        <w:t xml:space="preserve">. Fig. 5 presents the economically preferred bivalent configuration for each HP source: ASHP20 + X8 and GSHP15 + X12. The circles represent the median </w:t>
      </w:r>
      <w:proofErr w:type="spellStart"/>
      <w:r w:rsidR="00513809">
        <w:t>LCOEn</w:t>
      </w:r>
      <w:proofErr w:type="spellEnd"/>
      <w:r w:rsidR="00513809">
        <w:t xml:space="preserve"> under the average X-carrier purchase-price and converter-CAPEX assumptions, while the horizontal ranges </w:t>
      </w:r>
      <w:r w:rsidR="00513809">
        <w:lastRenderedPageBreak/>
        <w:t>indicate the results obtained with the low and high assumptions. Filled markers and solid lines represent the baseline grid-electricity purchase tariff, whereas open markers and dash-dotted lines represent the modified tariff.</w:t>
      </w:r>
      <w:r w:rsidR="00F91981">
        <w:t xml:space="preserve"> The economic assessment includes the time-resolved grid-electricity costs and feed-in revenues described in Section 2.4.</w:t>
      </w:r>
    </w:p>
    <w:p w14:paraId="795BC63D" w14:textId="2266AAE8" w:rsidR="00513809" w:rsidRDefault="00513809" w:rsidP="001301DE">
      <w:pPr>
        <w:pStyle w:val="SWCText"/>
      </w:pPr>
      <w:r>
        <w:t xml:space="preserve">Under the baseline grid-electricity purchase tariff and average economic assumptions, the ASHP50 and GSHP50 reference configurations have median </w:t>
      </w:r>
      <w:proofErr w:type="spellStart"/>
      <w:r>
        <w:t>LCOEn</w:t>
      </w:r>
      <w:proofErr w:type="spellEnd"/>
      <w:r>
        <w:t xml:space="preserve"> values of approximately 0.19 and 0.24</w:t>
      </w:r>
      <w:r w:rsidR="00F957AC">
        <w:t> </w:t>
      </w:r>
      <w:r>
        <w:t xml:space="preserve">CHF/kWh, respectively. For the selected bivalent configurations, the median </w:t>
      </w:r>
      <w:proofErr w:type="spellStart"/>
      <w:r>
        <w:t>LCOEn</w:t>
      </w:r>
      <w:proofErr w:type="spellEnd"/>
      <w:r>
        <w:t xml:space="preserve"> is </w:t>
      </w:r>
      <w:r>
        <w:t xml:space="preserve">approx. </w:t>
      </w:r>
      <w:r>
        <w:t>0.21</w:t>
      </w:r>
      <w:r w:rsidR="00F957AC">
        <w:t> </w:t>
      </w:r>
      <w:r>
        <w:t>CHF/kWh for aluminium, 0.24</w:t>
      </w:r>
      <w:r w:rsidR="00F957AC">
        <w:t> </w:t>
      </w:r>
      <w:r>
        <w:t>CHF/kWh for methanol, 0.25</w:t>
      </w:r>
      <w:r w:rsidR="00F957AC">
        <w:t> </w:t>
      </w:r>
      <w:r>
        <w:t>CHF/kWh for methane and 0.37</w:t>
      </w:r>
      <w:r w:rsidR="00F957AC">
        <w:t> </w:t>
      </w:r>
      <w:r>
        <w:t xml:space="preserve">CHF/kWh for hydrogen with the ASHP system. The corresponding GSHP values are </w:t>
      </w:r>
      <w:r>
        <w:t>around</w:t>
      </w:r>
      <w:r>
        <w:t xml:space="preserve"> 0.23, 0.26, 0.27 and 0.39</w:t>
      </w:r>
      <w:r w:rsidR="00F957AC">
        <w:t> </w:t>
      </w:r>
      <w:r>
        <w:t xml:space="preserve">CHF/kWh. The modified tariff changes the </w:t>
      </w:r>
      <w:proofErr w:type="spellStart"/>
      <w:r>
        <w:t>LCOEn</w:t>
      </w:r>
      <w:proofErr w:type="spellEnd"/>
      <w:r>
        <w:t xml:space="preserve"> of the bivalent configurations only slightly and does not alter their ranking. The generally higher </w:t>
      </w:r>
      <w:proofErr w:type="spellStart"/>
      <w:r>
        <w:t>LCOEn</w:t>
      </w:r>
      <w:proofErr w:type="spellEnd"/>
      <w:r>
        <w:t xml:space="preserve"> of the GSHP configurations primarily reflects the higher assumed investment cost of the GSHP system.</w:t>
      </w:r>
    </w:p>
    <w:p w14:paraId="4CF0DFEB" w14:textId="211B2347" w:rsidR="0091591C" w:rsidRDefault="00214EC3" w:rsidP="001301DE">
      <w:pPr>
        <w:pStyle w:val="SWCText"/>
      </w:pPr>
      <w:r>
        <w:rPr>
          <w:noProof/>
        </w:rPr>
        <w:drawing>
          <wp:inline distT="0" distB="0" distL="0" distR="0" wp14:anchorId="29252ECA" wp14:editId="3B8C405A">
            <wp:extent cx="5710107" cy="2252397"/>
            <wp:effectExtent l="0" t="0" r="5080" b="0"/>
            <wp:docPr id="140142633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26332" name="Graphic 1401426332"/>
                    <pic:cNvPicPr/>
                  </pic:nvPicPr>
                  <pic:blipFill rotWithShape="1">
                    <a:blip r:embed="rId18">
                      <a:extLst>
                        <a:ext uri="{96DAC541-7B7A-43D3-8B79-37D633B846F1}">
                          <asvg:svgBlip xmlns:asvg="http://schemas.microsoft.com/office/drawing/2016/SVG/main" r:embed="rId19"/>
                        </a:ext>
                      </a:extLst>
                    </a:blip>
                    <a:srcRect l="7892" t="9718" r="5097" b="10243"/>
                    <a:stretch>
                      <a:fillRect/>
                    </a:stretch>
                  </pic:blipFill>
                  <pic:spPr bwMode="auto">
                    <a:xfrm>
                      <a:off x="0" y="0"/>
                      <a:ext cx="5716286" cy="2254834"/>
                    </a:xfrm>
                    <a:prstGeom prst="rect">
                      <a:avLst/>
                    </a:prstGeom>
                    <a:ln>
                      <a:noFill/>
                    </a:ln>
                    <a:extLst>
                      <a:ext uri="{53640926-AAD7-44D8-BBD7-CCE9431645EC}">
                        <a14:shadowObscured xmlns:a14="http://schemas.microsoft.com/office/drawing/2010/main"/>
                      </a:ext>
                    </a:extLst>
                  </pic:spPr>
                </pic:pic>
              </a:graphicData>
            </a:graphic>
          </wp:inline>
        </w:drawing>
      </w:r>
    </w:p>
    <w:p w14:paraId="2E7C1A30" w14:textId="3BD091AC" w:rsidR="00DE1AA1" w:rsidRDefault="003C7199" w:rsidP="00214EC3">
      <w:pPr>
        <w:pStyle w:val="SWCTableFigureCaption"/>
        <w:tabs>
          <w:tab w:val="clear" w:pos="136"/>
          <w:tab w:val="clear" w:pos="278"/>
        </w:tabs>
      </w:pPr>
      <w:r>
        <w:t>Fig</w:t>
      </w:r>
      <w:r w:rsidR="003238E5">
        <w:t>.</w:t>
      </w:r>
      <w:r>
        <w:t xml:space="preserve"> </w:t>
      </w:r>
      <w:r w:rsidR="007C47D1">
        <w:t>5</w:t>
      </w:r>
      <w:r>
        <w:t xml:space="preserve">: </w:t>
      </w:r>
      <w:r w:rsidR="00214EC3">
        <w:t>Median levelized cost of supplied energy (</w:t>
      </w:r>
      <w:proofErr w:type="spellStart"/>
      <w:r w:rsidR="00214EC3">
        <w:t>LCOEn</w:t>
      </w:r>
      <w:proofErr w:type="spellEnd"/>
      <w:r w:rsidR="00214EC3">
        <w:t xml:space="preserve">), based on the total annual system cost and the useful heat and electricity supplied to the building, for the minimum-cost bivalent configuration of each </w:t>
      </w:r>
      <w:r w:rsidR="00C132C1">
        <w:t>X-carrier</w:t>
      </w:r>
      <w:r w:rsidR="00214EC3">
        <w:t>, economic case and grid-</w:t>
      </w:r>
      <w:r w:rsidR="00214EC3">
        <w:t xml:space="preserve">electricity </w:t>
      </w:r>
      <w:r w:rsidR="00214EC3">
        <w:t xml:space="preserve">purchase tariff. </w:t>
      </w:r>
      <w:r w:rsidR="00C132C1">
        <w:t>Configuration labels identify the optima under the average cost assumptions: ASHP20 + X8 (left) and GSHP15 + X12 (right).</w:t>
      </w:r>
      <w:r w:rsidR="00C132C1">
        <w:t xml:space="preserve"> </w:t>
      </w:r>
      <w:r w:rsidR="00214EC3">
        <w:t xml:space="preserve">Values represent medians across the weather years 2014–2024. In the </w:t>
      </w:r>
      <w:proofErr w:type="gramStart"/>
      <w:r w:rsidR="00214EC3">
        <w:t>modified-tariff</w:t>
      </w:r>
      <w:proofErr w:type="gramEnd"/>
      <w:r w:rsidR="00214EC3">
        <w:t xml:space="preserve"> sensitivity, the grid-electricity purchase price is increased by 6 Rp/kWh from Oct</w:t>
      </w:r>
      <w:r w:rsidR="00214EC3">
        <w:t>.</w:t>
      </w:r>
      <w:r w:rsidR="00214EC3">
        <w:t xml:space="preserve"> to Mar</w:t>
      </w:r>
      <w:r w:rsidR="00214EC3">
        <w:t>.</w:t>
      </w:r>
      <w:r w:rsidR="00214EC3">
        <w:t xml:space="preserve"> and reduced by 6 Rp/kWh from Apr</w:t>
      </w:r>
      <w:r w:rsidR="00214EC3">
        <w:t>.</w:t>
      </w:r>
      <w:r w:rsidR="00214EC3">
        <w:t xml:space="preserve"> to Sept</w:t>
      </w:r>
      <w:r w:rsidR="00214EC3">
        <w:t>.</w:t>
      </w:r>
      <w:r w:rsidR="00214EC3">
        <w:t xml:space="preserve"> relative to the baseline tariff; the feed-in tariff and system operation remain unchanged. Vertical lines indicate the corresponding HP50 references.</w:t>
      </w:r>
    </w:p>
    <w:p w14:paraId="12590906" w14:textId="54993BDC" w:rsidR="00DE1AA1" w:rsidRDefault="00DE1AA1" w:rsidP="00DE1AA1">
      <w:pPr>
        <w:pStyle w:val="SWCText"/>
      </w:pPr>
      <w:r>
        <w:t>Aluminium consequently provides the lowest-cost bivalent configuration under the average assumptions, followed by methanol</w:t>
      </w:r>
      <w:r w:rsidR="00194EF8">
        <w:t xml:space="preserve"> and methane</w:t>
      </w:r>
      <w:r>
        <w:t xml:space="preserve">. Hydrogen has the highest </w:t>
      </w:r>
      <w:proofErr w:type="spellStart"/>
      <w:r>
        <w:t>LCOEn</w:t>
      </w:r>
      <w:proofErr w:type="spellEnd"/>
      <w:r>
        <w:t xml:space="preserve"> despite achieving the greatest reduction in winter grid imports. </w:t>
      </w:r>
      <w:r w:rsidR="005F0B0B">
        <w:t xml:space="preserve">Its cost disadvantage relative to the other </w:t>
      </w:r>
      <w:r w:rsidR="00C132C1">
        <w:t>X-carrier</w:t>
      </w:r>
      <w:r w:rsidR="005F0B0B">
        <w:t xml:space="preserve">s is primarily attributable to the high CAPEX of </w:t>
      </w:r>
      <w:r w:rsidR="005F0B0B">
        <w:t>compressed h</w:t>
      </w:r>
      <w:r w:rsidR="005F0B0B">
        <w:t xml:space="preserve">ydrogen storage. The resulting </w:t>
      </w:r>
      <w:proofErr w:type="spellStart"/>
      <w:r w:rsidR="005F0B0B">
        <w:t>annualised</w:t>
      </w:r>
      <w:proofErr w:type="spellEnd"/>
      <w:r w:rsidR="005F0B0B">
        <w:t xml:space="preserve"> storage cost is </w:t>
      </w:r>
      <w:r w:rsidR="005F0B0B">
        <w:t xml:space="preserve">approx. </w:t>
      </w:r>
      <w:r w:rsidR="005F0B0B">
        <w:t>17.4</w:t>
      </w:r>
      <w:r w:rsidR="005F0B0B">
        <w:t> </w:t>
      </w:r>
      <w:proofErr w:type="spellStart"/>
      <w:r w:rsidR="005F0B0B">
        <w:t>kCHF</w:t>
      </w:r>
      <w:proofErr w:type="spellEnd"/>
      <w:r w:rsidR="005F0B0B">
        <w:t>/a, compared with 0.7</w:t>
      </w:r>
      <w:r w:rsidR="005F0B0B">
        <w:t> </w:t>
      </w:r>
      <w:proofErr w:type="spellStart"/>
      <w:r w:rsidR="005F0B0B">
        <w:t>kCHF</w:t>
      </w:r>
      <w:proofErr w:type="spellEnd"/>
      <w:r w:rsidR="005F0B0B">
        <w:t>/</w:t>
      </w:r>
      <w:proofErr w:type="gramStart"/>
      <w:r w:rsidR="005F0B0B">
        <w:t>a for</w:t>
      </w:r>
      <w:proofErr w:type="gramEnd"/>
      <w:r w:rsidR="005F0B0B">
        <w:t xml:space="preserve"> aluminium, 1.6</w:t>
      </w:r>
      <w:r w:rsidR="005F0B0B">
        <w:t> </w:t>
      </w:r>
      <w:proofErr w:type="spellStart"/>
      <w:r w:rsidR="005F0B0B">
        <w:t>kCHF</w:t>
      </w:r>
      <w:proofErr w:type="spellEnd"/>
      <w:r w:rsidR="005F0B0B">
        <w:t>/</w:t>
      </w:r>
      <w:proofErr w:type="gramStart"/>
      <w:r w:rsidR="005F0B0B">
        <w:t>a for</w:t>
      </w:r>
      <w:proofErr w:type="gramEnd"/>
      <w:r w:rsidR="005F0B0B">
        <w:t xml:space="preserve"> methanol and 3.3</w:t>
      </w:r>
      <w:r w:rsidR="005F0B0B">
        <w:t> </w:t>
      </w:r>
      <w:proofErr w:type="spellStart"/>
      <w:r w:rsidR="005F0B0B">
        <w:t>kCHF</w:t>
      </w:r>
      <w:proofErr w:type="spellEnd"/>
      <w:r w:rsidR="005F0B0B">
        <w:t>/</w:t>
      </w:r>
      <w:proofErr w:type="gramStart"/>
      <w:r w:rsidR="005F0B0B">
        <w:t>a for</w:t>
      </w:r>
      <w:proofErr w:type="gramEnd"/>
      <w:r w:rsidR="005F0B0B">
        <w:t xml:space="preserve"> methane. The assumed hydrogen purchase price also contributes to its higher </w:t>
      </w:r>
      <w:proofErr w:type="spellStart"/>
      <w:r w:rsidR="005F0B0B">
        <w:t>LCOEn</w:t>
      </w:r>
      <w:proofErr w:type="spellEnd"/>
      <w:r w:rsidR="005F0B0B">
        <w:t xml:space="preserve">, whereas insufficient </w:t>
      </w:r>
      <w:r w:rsidR="005F0B0B">
        <w:t xml:space="preserve">X </w:t>
      </w:r>
      <w:r w:rsidR="005F0B0B">
        <w:t xml:space="preserve">converter </w:t>
      </w:r>
      <w:proofErr w:type="spellStart"/>
      <w:r w:rsidR="005F0B0B">
        <w:t>utilisation</w:t>
      </w:r>
      <w:proofErr w:type="spellEnd"/>
      <w:r w:rsidR="005F0B0B">
        <w:t xml:space="preserve"> is not the determining factor.</w:t>
      </w:r>
    </w:p>
    <w:p w14:paraId="7BED34F0" w14:textId="06BE0C94" w:rsidR="00D262AD" w:rsidRDefault="00D262AD" w:rsidP="00DE1AA1">
      <w:pPr>
        <w:pStyle w:val="SWCText"/>
      </w:pPr>
      <w:r>
        <w:t xml:space="preserve">Relative to the respective HP50 reference, the median additional annual system cost under the average assumptions is </w:t>
      </w:r>
      <w:r>
        <w:t xml:space="preserve">approx. </w:t>
      </w:r>
      <w:r>
        <w:t xml:space="preserve">2.7 </w:t>
      </w:r>
      <w:proofErr w:type="spellStart"/>
      <w:r>
        <w:t>kCHF</w:t>
      </w:r>
      <w:proofErr w:type="spellEnd"/>
      <w:r>
        <w:t>/a for aluminium, 6.9</w:t>
      </w:r>
      <w:r>
        <w:t> </w:t>
      </w:r>
      <w:proofErr w:type="spellStart"/>
      <w:r>
        <w:t>kCHF</w:t>
      </w:r>
      <w:proofErr w:type="spellEnd"/>
      <w:r>
        <w:t>/a for methanol, 8.2</w:t>
      </w:r>
      <w:r>
        <w:t> </w:t>
      </w:r>
      <w:proofErr w:type="spellStart"/>
      <w:r>
        <w:t>kCHF</w:t>
      </w:r>
      <w:proofErr w:type="spellEnd"/>
      <w:r>
        <w:t>/a for methane and 24.3</w:t>
      </w:r>
      <w:r>
        <w:t> </w:t>
      </w:r>
      <w:proofErr w:type="spellStart"/>
      <w:r>
        <w:t>kCHF</w:t>
      </w:r>
      <w:proofErr w:type="spellEnd"/>
      <w:r>
        <w:t>/a for hydrogen for the selected ASHP20 + X8 configurations. For the selected GSHP15 + X12 configurations, the corresponding values are</w:t>
      </w:r>
      <w:r>
        <w:t>:</w:t>
      </w:r>
      <w:r w:rsidR="00194EF8">
        <w:t xml:space="preserve"> -</w:t>
      </w:r>
      <w:r>
        <w:t xml:space="preserve">1.5, 2.9, 4.0 and 20.6 </w:t>
      </w:r>
      <w:proofErr w:type="spellStart"/>
      <w:r>
        <w:t>kCHF</w:t>
      </w:r>
      <w:proofErr w:type="spellEnd"/>
      <w:r>
        <w:t xml:space="preserve">/a. The higher absolute </w:t>
      </w:r>
      <w:proofErr w:type="spellStart"/>
      <w:r>
        <w:t>LCOEn</w:t>
      </w:r>
      <w:proofErr w:type="spellEnd"/>
      <w:r>
        <w:t xml:space="preserve"> values of the GSHP configurations result primarily from the higher assumed GSHP investment costs. However, replacing the GSHP50 reference with the smaller GSHP15 reduces the </w:t>
      </w:r>
      <w:proofErr w:type="spellStart"/>
      <w:r>
        <w:t>annualised</w:t>
      </w:r>
      <w:proofErr w:type="spellEnd"/>
      <w:r>
        <w:t xml:space="preserve"> HP investment costs sufficiently to offset a larger share of the additional X-to-Energy costs. Consequently, the selected GSHP bivalent configurations show smaller cost increases relative to their reference than the selected ASHP configurations. For aluminium, the resulting savings exceed the additional X-to-Energy costs, producing a median annual system cost </w:t>
      </w:r>
      <w:r>
        <w:t>around</w:t>
      </w:r>
      <w:r>
        <w:t xml:space="preserve"> 1.5</w:t>
      </w:r>
      <w:r>
        <w:t> </w:t>
      </w:r>
      <w:proofErr w:type="spellStart"/>
      <w:r>
        <w:t>kCHF</w:t>
      </w:r>
      <w:proofErr w:type="spellEnd"/>
      <w:r>
        <w:t>/a below that of the GSHP50 reference.</w:t>
      </w:r>
    </w:p>
    <w:p w14:paraId="4F92F69B" w14:textId="48416798" w:rsidR="00DE1AA1" w:rsidRDefault="00DE1AA1" w:rsidP="00DE1AA1">
      <w:pPr>
        <w:pStyle w:val="SWCText"/>
      </w:pPr>
      <w:r>
        <w:t xml:space="preserve">Economic uncertainty is dominated by the </w:t>
      </w:r>
      <w:r w:rsidR="00C132C1">
        <w:t>X-carrier</w:t>
      </w:r>
      <w:r>
        <w:t xml:space="preserve"> price, while variation in converter CAPEX has a smaller influence. </w:t>
      </w:r>
      <w:r w:rsidR="00D262AD">
        <w:t xml:space="preserve">Under the low </w:t>
      </w:r>
      <w:r w:rsidR="00C132C1">
        <w:t>X-carrier</w:t>
      </w:r>
      <w:r w:rsidR="0011645C">
        <w:t xml:space="preserve"> </w:t>
      </w:r>
      <w:r w:rsidR="00D262AD">
        <w:t xml:space="preserve">price and low converter-CAPEX assumptions, the median </w:t>
      </w:r>
      <w:proofErr w:type="spellStart"/>
      <w:r w:rsidR="00D262AD">
        <w:t>LCOEn</w:t>
      </w:r>
      <w:proofErr w:type="spellEnd"/>
      <w:r w:rsidR="00D262AD">
        <w:t xml:space="preserve"> of the </w:t>
      </w:r>
      <w:r w:rsidR="00194EF8">
        <w:t xml:space="preserve">minimum-cost </w:t>
      </w:r>
      <w:r w:rsidR="00D262AD">
        <w:t>aluminium configurations decreases to a</w:t>
      </w:r>
      <w:r w:rsidR="00D262AD">
        <w:t>round</w:t>
      </w:r>
      <w:r w:rsidR="00D262AD">
        <w:t xml:space="preserve"> 0.2</w:t>
      </w:r>
      <w:r w:rsidR="00D262AD">
        <w:t>0</w:t>
      </w:r>
      <w:r w:rsidR="00194EF8">
        <w:t> </w:t>
      </w:r>
      <w:r w:rsidR="00D262AD">
        <w:t>CHF/kWh for ASHP</w:t>
      </w:r>
      <w:r w:rsidR="0011645C">
        <w:t>15</w:t>
      </w:r>
      <w:r w:rsidR="008D43FD">
        <w:t> </w:t>
      </w:r>
      <w:r w:rsidR="00D262AD">
        <w:t>+</w:t>
      </w:r>
      <w:r w:rsidR="008D43FD">
        <w:t> </w:t>
      </w:r>
      <w:r w:rsidR="00D262AD">
        <w:t>X</w:t>
      </w:r>
      <w:r w:rsidR="0011645C">
        <w:t>12</w:t>
      </w:r>
      <w:r w:rsidR="00D262AD">
        <w:t xml:space="preserve"> and 0.21</w:t>
      </w:r>
      <w:r w:rsidR="00194EF8">
        <w:t> </w:t>
      </w:r>
      <w:r w:rsidR="00D262AD">
        <w:t>CHF/kWh for GSHP15</w:t>
      </w:r>
      <w:r w:rsidR="008D43FD">
        <w:t> </w:t>
      </w:r>
      <w:r w:rsidR="00D262AD">
        <w:t>+</w:t>
      </w:r>
      <w:r w:rsidR="008D43FD">
        <w:t> </w:t>
      </w:r>
      <w:r w:rsidR="00D262AD">
        <w:t xml:space="preserve">X12. Cost parity with the ASHP50 reference is not reached, although the additional </w:t>
      </w:r>
      <w:r w:rsidR="00D262AD">
        <w:lastRenderedPageBreak/>
        <w:t xml:space="preserve">median annual system cost of the aluminium configuration decreases to </w:t>
      </w:r>
      <w:r w:rsidR="00194EF8">
        <w:t>around</w:t>
      </w:r>
      <w:r w:rsidR="00D262AD">
        <w:t xml:space="preserve"> 0.</w:t>
      </w:r>
      <w:r w:rsidR="00194EF8">
        <w:t>4 </w:t>
      </w:r>
      <w:proofErr w:type="spellStart"/>
      <w:r w:rsidR="00D262AD">
        <w:t>kCHF</w:t>
      </w:r>
      <w:proofErr w:type="spellEnd"/>
      <w:r w:rsidR="00D262AD">
        <w:t xml:space="preserve">/a. For the GSHP configurations, aluminium is already less expensive than the GSHP50 reference under the average assumptions. Under the </w:t>
      </w:r>
      <w:proofErr w:type="gramStart"/>
      <w:r w:rsidR="00D262AD">
        <w:t>lowest-cost</w:t>
      </w:r>
      <w:proofErr w:type="gramEnd"/>
      <w:r w:rsidR="00D262AD">
        <w:t xml:space="preserve"> assumptions, its median annual system cost is approximately 4.1</w:t>
      </w:r>
      <w:r w:rsidR="00194EF8">
        <w:t> </w:t>
      </w:r>
      <w:proofErr w:type="spellStart"/>
      <w:r w:rsidR="00D262AD">
        <w:t>kCHF</w:t>
      </w:r>
      <w:proofErr w:type="spellEnd"/>
      <w:r w:rsidR="00D262AD">
        <w:t>/a below the reference. The methane and methanol configurations also fall below the GSHP50 reference by approximately 0.6 and 1.9</w:t>
      </w:r>
      <w:r w:rsidR="00194EF8">
        <w:t> </w:t>
      </w:r>
      <w:proofErr w:type="spellStart"/>
      <w:r w:rsidR="00D262AD">
        <w:t>kCHF</w:t>
      </w:r>
      <w:proofErr w:type="spellEnd"/>
      <w:r w:rsidR="00D262AD">
        <w:t>/a, respectively, whereas hydrogen remains above the reference.</w:t>
      </w:r>
    </w:p>
    <w:p w14:paraId="539854B0" w14:textId="1D1ABAD5" w:rsidR="00C33C2A" w:rsidRDefault="00C33C2A" w:rsidP="00DE1AA1">
      <w:pPr>
        <w:pStyle w:val="SWCText"/>
      </w:pPr>
      <w:r>
        <w:t xml:space="preserve">The modified tariff changes the </w:t>
      </w:r>
      <w:proofErr w:type="spellStart"/>
      <w:r>
        <w:t>LCOEn</w:t>
      </w:r>
      <w:proofErr w:type="spellEnd"/>
      <w:r>
        <w:t xml:space="preserve"> only slightly because system operation is kept unchanged. It increases the value of avoided winter grid imports relative to summer electricity, thereby slightly reducing the economic disadvantage of the bivalent configurations relative to their HP50 references. </w:t>
      </w:r>
      <w:r w:rsidR="00194EF8">
        <w:t xml:space="preserve">However, it does not change the ranking of the </w:t>
      </w:r>
      <w:r w:rsidR="00C132C1">
        <w:t>X-carrier</w:t>
      </w:r>
      <w:r w:rsidR="00194EF8">
        <w:t>s or bring any additional carrier configuration to cost parity under the average economic assumptions; the GSHP aluminium configuration remains the only case below its reference.</w:t>
      </w:r>
    </w:p>
    <w:p w14:paraId="321990A5" w14:textId="026C7BC3" w:rsidR="001301DE" w:rsidRDefault="007A0159" w:rsidP="001301DE">
      <w:pPr>
        <w:pStyle w:val="SWCHeading1"/>
      </w:pPr>
      <w:r>
        <w:t>Technology c</w:t>
      </w:r>
      <w:r w:rsidR="001301DE">
        <w:t xml:space="preserve">hallenges and </w:t>
      </w:r>
      <w:r>
        <w:t xml:space="preserve">study </w:t>
      </w:r>
      <w:r w:rsidR="001301DE">
        <w:t>limitations</w:t>
      </w:r>
    </w:p>
    <w:p w14:paraId="48BBBB4E" w14:textId="6C1C48F4" w:rsidR="00B74A75" w:rsidRDefault="00B74A75" w:rsidP="00B74A75">
      <w:pPr>
        <w:pStyle w:val="SWCText"/>
      </w:pPr>
      <w:r>
        <w:t xml:space="preserve">The investigated </w:t>
      </w:r>
      <w:r w:rsidR="00C132C1">
        <w:t>X-carrier</w:t>
      </w:r>
      <w:r w:rsidR="007A0159">
        <w:t xml:space="preserve"> </w:t>
      </w:r>
      <w:r>
        <w:t xml:space="preserve">pathways face carrier-specific implementation constraints, as </w:t>
      </w:r>
      <w:proofErr w:type="spellStart"/>
      <w:r>
        <w:t>summarised</w:t>
      </w:r>
      <w:proofErr w:type="spellEnd"/>
      <w:r>
        <w:t xml:space="preserve"> in the ReWAX factsheets </w:t>
      </w:r>
      <w:r w:rsidR="00283697">
        <w:rPr>
          <w:rStyle w:val="text-token-text-primary"/>
        </w:rPr>
        <w:t>(B</w:t>
      </w:r>
      <w:r w:rsidR="00AF50A1">
        <w:rPr>
          <w:rStyle w:val="text-token-text-primary"/>
        </w:rPr>
        <w:t>ae</w:t>
      </w:r>
      <w:r w:rsidR="00283697">
        <w:rPr>
          <w:rStyle w:val="text-token-text-primary"/>
        </w:rPr>
        <w:t>uerle, 2025)</w:t>
      </w:r>
      <w:r>
        <w:t xml:space="preserve">. </w:t>
      </w:r>
      <w:r w:rsidR="007A0159">
        <w:t xml:space="preserve">Their technological maturity must be distinguished between Power-to-X production and X-to-Energy conversion. Hydrogen production by electrolysis and fuel-cell conversion are commercially available, but renewable hydrogen production and the associated transport and distribution infrastructure remain limited. Its low volumetric energy density additionally results in large and costly high-pressure storage systems. Power-to-Methane is at an early commercial stage, with catalytic methanation being more mature than biological methanation, whereas methane </w:t>
      </w:r>
      <w:r w:rsidR="00A11FC8">
        <w:t xml:space="preserve">storage tanks and </w:t>
      </w:r>
      <w:r w:rsidR="007A0159">
        <w:t>CHP units are commercially available. Renewable methane production is constrained either by the availability of sustainable biomass or, for synthetic methane, by the supply of renewable hydrogen and biogenic or directly captured CO</w:t>
      </w:r>
      <w:r w:rsidR="007A0159" w:rsidRPr="007A0159">
        <w:rPr>
          <w:vertAlign w:val="subscript"/>
        </w:rPr>
        <w:t>2</w:t>
      </w:r>
      <w:r w:rsidR="007A0159">
        <w:t>. Integrated renewable methanol production is estimated at TRL 6–7, while suitable X-to-Energy conversion technologies are commercially available. Renewable methanol production likewise requires renewable hydrogen and a viable CO</w:t>
      </w:r>
      <w:r w:rsidR="007A0159" w:rsidRPr="007A0159">
        <w:rPr>
          <w:vertAlign w:val="subscript"/>
        </w:rPr>
        <w:t>2</w:t>
      </w:r>
      <w:r w:rsidR="007A0159">
        <w:t xml:space="preserve"> source. As most methane and methanol are currently produced from fossil resources, verification of their renewable origin and carbon source is essential. Methanol is also toxic and flammable and therefore requires appropriate handling and storage measures. Aluminium provides high volumetric energy density and can be stored and transported in stable solid form using established bulk-material logistics. However, its suitability as a CO</w:t>
      </w:r>
      <w:r w:rsidR="007A0159" w:rsidRPr="007A0159">
        <w:rPr>
          <w:vertAlign w:val="subscript"/>
        </w:rPr>
        <w:t>2</w:t>
      </w:r>
      <w:r w:rsidR="007A0159">
        <w:t>-free energy carrier depends on alumina reduction using renewable electricity and carbon-free anodes. The maturity of the relevant carbon-free Power-to-Aluminium technologies ranges from approx. TRL 4 to 6, depending on the production route, while the investigated Aluminium-to-Energy technology is currently at around TRL 5. Certified CO</w:t>
      </w:r>
      <w:r w:rsidR="007A0159" w:rsidRPr="007A0159">
        <w:rPr>
          <w:vertAlign w:val="subscript"/>
        </w:rPr>
        <w:t>2</w:t>
      </w:r>
      <w:r w:rsidR="007A0159">
        <w:t>-free aluminium is not yet widely available. Furthermore, current CO</w:t>
      </w:r>
      <w:r w:rsidR="007A0159" w:rsidRPr="007A0159">
        <w:rPr>
          <w:vertAlign w:val="subscript"/>
        </w:rPr>
        <w:t>2</w:t>
      </w:r>
      <w:r w:rsidR="007A0159">
        <w:t xml:space="preserve">-free aluminium smelting requires comparatively continuous electricity input; seasonal operation limited to periods of renewable electricity surplus is therefore </w:t>
      </w:r>
      <w:r w:rsidR="002D588C">
        <w:t xml:space="preserve">currently </w:t>
      </w:r>
      <w:r w:rsidR="007A0159">
        <w:t xml:space="preserve">not </w:t>
      </w:r>
      <w:proofErr w:type="gramStart"/>
      <w:r w:rsidR="007A0159">
        <w:t xml:space="preserve">considered </w:t>
      </w:r>
      <w:r w:rsidR="002D588C">
        <w:t>as</w:t>
      </w:r>
      <w:proofErr w:type="gramEnd"/>
      <w:r w:rsidR="002D588C">
        <w:t xml:space="preserve"> economically advantageous </w:t>
      </w:r>
      <w:r>
        <w:t>(Haller et al., 2025).</w:t>
      </w:r>
    </w:p>
    <w:p w14:paraId="650D6D42" w14:textId="0D729E59" w:rsidR="00B74A75" w:rsidRDefault="00B74A75" w:rsidP="00B74A75">
      <w:pPr>
        <w:pStyle w:val="SWCText"/>
      </w:pPr>
      <w:r>
        <w:t xml:space="preserve">The simulations use fixed </w:t>
      </w:r>
      <w:r w:rsidR="00A11FC8">
        <w:t xml:space="preserve">X-to-Energy </w:t>
      </w:r>
      <w:r>
        <w:t xml:space="preserve">conversion efficiencies and do not represent part-load performance, start-up losses, degradation, downtime or all auxiliary-energy requirements. Reported storage volumes exclude </w:t>
      </w:r>
      <w:r w:rsidR="00A11FC8">
        <w:t xml:space="preserve">storage </w:t>
      </w:r>
      <w:r>
        <w:t xml:space="preserve">vessels, auxiliary equipment and safety distances. The economic assessment uses indicative CAPEX and delivered carrier-price assumptions and does not include all site-specific installation, permitting and safety costs. Moreover, avoided grid imports quantify the effect at building level rather than the resulting benefit for the distribution grid. The results are therefore specific to the </w:t>
      </w:r>
      <w:proofErr w:type="gramStart"/>
      <w:r>
        <w:t>investigated</w:t>
      </w:r>
      <w:proofErr w:type="gramEnd"/>
      <w:r>
        <w:t xml:space="preserve"> MFH, system dimensions, control strategy and climatic conditions.</w:t>
      </w:r>
    </w:p>
    <w:p w14:paraId="39164E62" w14:textId="48B47FD8" w:rsidR="001301DE" w:rsidRDefault="001301DE" w:rsidP="001301DE">
      <w:pPr>
        <w:pStyle w:val="SWCHeading1"/>
      </w:pPr>
      <w:r>
        <w:t>Discussion and conclusions</w:t>
      </w:r>
    </w:p>
    <w:p w14:paraId="042DBB46" w14:textId="2C4F08E5" w:rsidR="00C33C2A" w:rsidRDefault="00C33C2A" w:rsidP="00C33C2A">
      <w:pPr>
        <w:pStyle w:val="SWCText"/>
        <w:rPr>
          <w:sz w:val="24"/>
          <w:szCs w:val="24"/>
          <w:lang w:val="en-GB" w:eastAsia="en-GB"/>
        </w:rPr>
      </w:pPr>
      <w:r>
        <w:t xml:space="preserve">The </w:t>
      </w:r>
      <w:r w:rsidR="008D43FD">
        <w:t>results</w:t>
      </w:r>
      <w:r>
        <w:t xml:space="preserve"> demonstrate that bivalent HP and X-to-Energy systems can </w:t>
      </w:r>
      <w:r w:rsidR="00CB365E">
        <w:t>supply residual winter heat while simultaneously generating electricity, allowing the</w:t>
      </w:r>
      <w:r>
        <w:t xml:space="preserve"> HP </w:t>
      </w:r>
      <w:r w:rsidR="001C5A99">
        <w:t xml:space="preserve">thermal </w:t>
      </w:r>
      <w:r>
        <w:t xml:space="preserve">capacity of the investigated MFH </w:t>
      </w:r>
      <w:r w:rsidR="00CB365E">
        <w:t xml:space="preserve">to be reduced </w:t>
      </w:r>
      <w:r>
        <w:t xml:space="preserve">from 50 to </w:t>
      </w:r>
      <w:r w:rsidR="001C5A99">
        <w:t>25, 20, and 15</w:t>
      </w:r>
      <w:r w:rsidR="00754D44">
        <w:t> </w:t>
      </w:r>
      <w:r>
        <w:t xml:space="preserve">kW. </w:t>
      </w:r>
      <w:r w:rsidR="00C132C1">
        <w:t>More than</w:t>
      </w:r>
      <w:r>
        <w:t xml:space="preserve"> 9</w:t>
      </w:r>
      <w:r w:rsidR="00C132C1">
        <w:t>0</w:t>
      </w:r>
      <w:r>
        <w:t>% of the X-carrier consumption occurs between Oct</w:t>
      </w:r>
      <w:r w:rsidR="001152EE">
        <w:t>.</w:t>
      </w:r>
      <w:r>
        <w:t xml:space="preserve"> and March. Moreover, </w:t>
      </w:r>
      <w:r w:rsidR="001C5A99">
        <w:t>de</w:t>
      </w:r>
      <w:r>
        <w:t xml:space="preserve">creasing the HP capacity from </w:t>
      </w:r>
      <w:r w:rsidR="001C5A99">
        <w:t>25</w:t>
      </w:r>
      <w:r>
        <w:t xml:space="preserve"> to </w:t>
      </w:r>
      <w:r w:rsidR="00076B95">
        <w:t>2</w:t>
      </w:r>
      <w:r>
        <w:t>0 kW changes the avoided winter grid</w:t>
      </w:r>
      <w:r w:rsidR="00CB365E">
        <w:t xml:space="preserve"> electricity</w:t>
      </w:r>
      <w:r>
        <w:t xml:space="preserve"> import by less than 0.3 </w:t>
      </w:r>
      <w:proofErr w:type="spellStart"/>
      <w:r>
        <w:t>MWhel</w:t>
      </w:r>
      <w:proofErr w:type="spellEnd"/>
      <w:r>
        <w:t>/a. Winter grid</w:t>
      </w:r>
      <w:r w:rsidR="00CB365E">
        <w:t xml:space="preserve"> electricity</w:t>
      </w:r>
      <w:r>
        <w:t xml:space="preserve"> </w:t>
      </w:r>
      <w:r w:rsidR="00CB365E">
        <w:t>reduction</w:t>
      </w:r>
      <w:r>
        <w:t xml:space="preserve"> </w:t>
      </w:r>
      <w:r w:rsidR="00CB365E">
        <w:t>is therefore determined primarily by the operating strategy and the heat-to-electricity output ratio of the X-to-Energy pathway, while the investigated HP capacity has a comparatively small influence.</w:t>
      </w:r>
    </w:p>
    <w:p w14:paraId="1209B8AD" w14:textId="49E29BAD" w:rsidR="00081EAA" w:rsidRDefault="00C33C2A" w:rsidP="00C33C2A">
      <w:pPr>
        <w:pStyle w:val="SWCText"/>
      </w:pPr>
      <w:r>
        <w:t xml:space="preserve">The comparison reveals a trade-off between grid relief and cost. </w:t>
      </w:r>
      <w:r w:rsidR="002D588C">
        <w:t>With the chosen dimensioning of the systems, h</w:t>
      </w:r>
      <w:r>
        <w:t xml:space="preserve">ydrogen provides the greatest reduction in winter grid imports because of its high electricity output, but also </w:t>
      </w:r>
      <w:r w:rsidR="00CB365E">
        <w:t xml:space="preserve">has </w:t>
      </w:r>
      <w:r w:rsidR="00CB365E">
        <w:lastRenderedPageBreak/>
        <w:t xml:space="preserve">the highest </w:t>
      </w:r>
      <w:proofErr w:type="spellStart"/>
      <w:r w:rsidR="00CB365E">
        <w:t>LCOEn</w:t>
      </w:r>
      <w:proofErr w:type="spellEnd"/>
      <w:r w:rsidR="00CB365E">
        <w:t>, primarily because of the high CAPEX of compressed</w:t>
      </w:r>
      <w:r w:rsidR="00CB365E">
        <w:t xml:space="preserve"> </w:t>
      </w:r>
      <w:r w:rsidR="00CB365E">
        <w:t xml:space="preserve">hydrogen storage. </w:t>
      </w:r>
      <w:r w:rsidR="00C132C1">
        <w:t>The assumed delivered hydrogen price, which includes storage at the production site and transport to the MFH, further contributes to this result.</w:t>
      </w:r>
      <w:r>
        <w:t xml:space="preserve"> Aluminium achieves a smaller reduction but provides the most </w:t>
      </w:r>
      <w:proofErr w:type="spellStart"/>
      <w:r>
        <w:t>favourable</w:t>
      </w:r>
      <w:proofErr w:type="spellEnd"/>
      <w:r>
        <w:t xml:space="preserve"> economic performance, while methane and methanol occupy intermediate position</w:t>
      </w:r>
      <w:r w:rsidR="002D588C">
        <w:t>s</w:t>
      </w:r>
      <w:r>
        <w:t xml:space="preserve">. </w:t>
      </w:r>
      <w:r w:rsidR="00081EAA">
        <w:t xml:space="preserve">Under the average economic assumptions, none of the selected ASHP configurations reaches cost parity with the ASHP50 reference. The GSHP15 + aluminium X12 configuration, however, has a median annual system cost </w:t>
      </w:r>
      <w:r w:rsidR="00081EAA">
        <w:t>approx.</w:t>
      </w:r>
      <w:r w:rsidR="00081EAA">
        <w:t xml:space="preserve"> 1.5</w:t>
      </w:r>
      <w:r w:rsidR="00081EAA">
        <w:t> </w:t>
      </w:r>
      <w:proofErr w:type="spellStart"/>
      <w:r w:rsidR="00081EAA">
        <w:t>kCHF</w:t>
      </w:r>
      <w:proofErr w:type="spellEnd"/>
      <w:r w:rsidR="00081EAA">
        <w:t>/a below that of the GSHP50 reference</w:t>
      </w:r>
      <w:r>
        <w:t xml:space="preserve">. </w:t>
      </w:r>
      <w:r w:rsidR="00081EAA">
        <w:t xml:space="preserve">The modified tariff slightly improves the position of the bivalent configurations relative to the HP50 references but does not change the ranking of the </w:t>
      </w:r>
      <w:r w:rsidR="00C132C1">
        <w:t>X-carrier</w:t>
      </w:r>
      <w:r w:rsidR="00081EAA">
        <w:t>s or bring any additional configuration to cost parity under the average economic assumptions.</w:t>
      </w:r>
      <w:r w:rsidR="00081EAA">
        <w:t xml:space="preserve"> </w:t>
      </w:r>
      <w:r w:rsidR="00081EAA">
        <w:t>Broader economic viability could be achieved through larger winter–summer electricity-price differentials and/or substantial reductions in Power-to-</w:t>
      </w:r>
      <w:r w:rsidR="00C132C1">
        <w:t>X-carrier</w:t>
      </w:r>
      <w:r w:rsidR="00081EAA">
        <w:t>, storage and X-to-Energy converter costs relative to the assumptions applied in this study. Future economic assessments could also examine whether the value of avoided winter electricity demand and peak grid loads can be quantified and incorporated into the economic evaluation.</w:t>
      </w:r>
    </w:p>
    <w:p w14:paraId="61671630" w14:textId="4A250894" w:rsidR="006C19F8" w:rsidRDefault="006C19F8" w:rsidP="00C33C2A">
      <w:pPr>
        <w:pStyle w:val="SWCText"/>
      </w:pPr>
      <w:r>
        <w:t xml:space="preserve">The building-scale assessment may not fully capture economies of scale. Shared </w:t>
      </w:r>
      <w:r w:rsidR="0011645C">
        <w:t xml:space="preserve">X </w:t>
      </w:r>
      <w:r>
        <w:t xml:space="preserve">converters, storage and carrier supply at </w:t>
      </w:r>
      <w:proofErr w:type="spellStart"/>
      <w:r>
        <w:t>neighbourhood</w:t>
      </w:r>
      <w:proofErr w:type="spellEnd"/>
      <w:r>
        <w:t xml:space="preserve"> scale could reduce specific costs, although additional distribution infrastructure would be required. Site feasibility remains particularly critical for high-pressure hydrogen storage; its simulated grid</w:t>
      </w:r>
      <w:r w:rsidR="00081EAA">
        <w:t xml:space="preserve"> electricity </w:t>
      </w:r>
      <w:r>
        <w:t>relief potential should therefore not be interpreted as direct feasibility for an individual MFH.</w:t>
      </w:r>
    </w:p>
    <w:p w14:paraId="141CF4B6" w14:textId="652B3771" w:rsidR="00C33C2A" w:rsidRDefault="00C33C2A" w:rsidP="00C33C2A">
      <w:pPr>
        <w:pStyle w:val="SWCText"/>
      </w:pPr>
      <w:r>
        <w:t xml:space="preserve">Overall, X-to-Energy should be considered a seasonal complement to efficient </w:t>
      </w:r>
      <w:r w:rsidR="001152EE">
        <w:t>HP</w:t>
      </w:r>
      <w:r>
        <w:t xml:space="preserve"> electrification rather than its replacement</w:t>
      </w:r>
      <w:r w:rsidR="001152EE">
        <w:t>. It could potentially replace fossil-fueled peak-load units while reducing winter electricity demand</w:t>
      </w:r>
      <w:r w:rsidR="002D588C">
        <w:t xml:space="preserve"> and grid </w:t>
      </w:r>
      <w:r w:rsidR="00C641D7">
        <w:t>load</w:t>
      </w:r>
      <w:r w:rsidR="001152EE">
        <w:t xml:space="preserve">, assuming that renewable </w:t>
      </w:r>
      <w:r w:rsidR="00C641D7">
        <w:t xml:space="preserve">energy </w:t>
      </w:r>
      <w:r w:rsidR="001152EE">
        <w:t xml:space="preserve">carriers are available and site-specific implementation is feasible. Further work should address part-load </w:t>
      </w:r>
      <w:proofErr w:type="spellStart"/>
      <w:r w:rsidR="001152EE">
        <w:t>behaviour</w:t>
      </w:r>
      <w:proofErr w:type="spellEnd"/>
      <w:r w:rsidR="001152EE">
        <w:t xml:space="preserve">, site-specific installation and safety requirements, environmental impacts of the complete carrier cycles, economies of scale and the temporal and spatial value of avoided </w:t>
      </w:r>
      <w:r w:rsidR="0011645C">
        <w:t xml:space="preserve">winter </w:t>
      </w:r>
      <w:r w:rsidR="001152EE">
        <w:t xml:space="preserve">grid </w:t>
      </w:r>
      <w:r w:rsidR="0011645C">
        <w:t xml:space="preserve">electricity </w:t>
      </w:r>
      <w:r w:rsidR="001152EE">
        <w:t>imports.</w:t>
      </w:r>
    </w:p>
    <w:p w14:paraId="227605EE" w14:textId="7B654FAD" w:rsidR="001301DE" w:rsidRPr="001301DE" w:rsidRDefault="001301DE" w:rsidP="001301DE">
      <w:pPr>
        <w:pStyle w:val="SWCHeading1"/>
      </w:pPr>
      <w:r>
        <w:t>Acknowledgements</w:t>
      </w:r>
    </w:p>
    <w:p w14:paraId="7C195834" w14:textId="05CF5BFC" w:rsidR="001301DE" w:rsidRDefault="00CF2C9A" w:rsidP="001301DE">
      <w:pPr>
        <w:pStyle w:val="SWCText"/>
      </w:pPr>
      <w:r>
        <w:t>This research was conducted within the ReWAX project, “Smaller heat pump dimensioning using X-to-Energy for peak-load coverage”, funded by the Swiss Federal Office of Energy (SFOE) under contract SI/502836-01 and co-financed by IWB Industrielle Werke Basel, St. Galler Stadtwerke (</w:t>
      </w:r>
      <w:proofErr w:type="spellStart"/>
      <w:r>
        <w:t>sgsw</w:t>
      </w:r>
      <w:proofErr w:type="spellEnd"/>
      <w:r>
        <w:t xml:space="preserve">), IWK/POWERLOOP, </w:t>
      </w:r>
      <w:proofErr w:type="spellStart"/>
      <w:r>
        <w:t>Romande</w:t>
      </w:r>
      <w:proofErr w:type="spellEnd"/>
      <w:r>
        <w:t xml:space="preserve"> Energie and </w:t>
      </w:r>
      <w:proofErr w:type="spellStart"/>
      <w:r>
        <w:t>Realstone</w:t>
      </w:r>
      <w:proofErr w:type="spellEnd"/>
      <w:r>
        <w:t xml:space="preserve"> SA. The authors thank the members of the ReWAX advisory board and the project </w:t>
      </w:r>
      <w:proofErr w:type="gramStart"/>
      <w:r>
        <w:t>partners tend</w:t>
      </w:r>
      <w:proofErr w:type="gramEnd"/>
      <w:r>
        <w:t xml:space="preserve"> AG and Vaillant Group for their valuable technical input and feedback. </w:t>
      </w:r>
    </w:p>
    <w:p w14:paraId="43885A76" w14:textId="73EFF697" w:rsidR="007B2113" w:rsidRPr="007B2113" w:rsidRDefault="00D32EF0" w:rsidP="007B2113">
      <w:pPr>
        <w:pStyle w:val="SWCHeading1"/>
        <w:rPr>
          <w:lang w:val="en-GB"/>
        </w:rPr>
      </w:pPr>
      <w:r w:rsidRPr="00C97946">
        <w:rPr>
          <w:lang w:val="en-GB"/>
        </w:rPr>
        <w:t>References</w:t>
      </w:r>
      <w:r w:rsidR="004E5D79" w:rsidRPr="00C97946">
        <w:rPr>
          <w:lang w:val="en-GB"/>
        </w:rPr>
        <w:t xml:space="preserve"> </w:t>
      </w:r>
    </w:p>
    <w:p w14:paraId="4EAD2352" w14:textId="1DF125F4" w:rsidR="008818FF" w:rsidRDefault="008818FF" w:rsidP="0031005F">
      <w:pPr>
        <w:pStyle w:val="SWCText"/>
      </w:pPr>
      <w:r>
        <w:t xml:space="preserve">Agote-Arán, et al., 2025. Al6060 cut wire granules for Al-water reaction: Evaluation of reaction conditions and granule treatments. International Journal of Hydrogen Energy 117, 430–441. </w:t>
      </w:r>
      <w:hyperlink r:id="rId20" w:history="1">
        <w:r w:rsidRPr="008818FF">
          <w:rPr>
            <w:lang w:val="en-GB"/>
          </w:rPr>
          <w:t>https://doi.org/10.1016/j.ijhydene.2025.03.117</w:t>
        </w:r>
      </w:hyperlink>
    </w:p>
    <w:p w14:paraId="4DC31CB5" w14:textId="09B06206" w:rsidR="00050CCE" w:rsidRDefault="00050CCE" w:rsidP="0031005F">
      <w:pPr>
        <w:pStyle w:val="SWCText"/>
      </w:pPr>
      <w:r w:rsidRPr="00050CCE">
        <w:t xml:space="preserve">Al-Breiki, M., Bicer, Y., 2021. Comparative life cycle assessment of sustainable energy carriers including production, storage, overseas transport and utilization. </w:t>
      </w:r>
      <w:r w:rsidRPr="000B6D5C">
        <w:t>Journal of Cleaner Production 279, 123481.</w:t>
      </w:r>
    </w:p>
    <w:p w14:paraId="786BB3D7" w14:textId="67B74657" w:rsidR="006A332B" w:rsidRPr="000B6D5C" w:rsidRDefault="006A332B" w:rsidP="0031005F">
      <w:pPr>
        <w:pStyle w:val="SWCText"/>
        <w:rPr>
          <w:i/>
        </w:rPr>
      </w:pPr>
      <w:r w:rsidRPr="006A332B">
        <w:rPr>
          <w:lang w:val="en-GB"/>
        </w:rPr>
        <w:t>B</w:t>
      </w:r>
      <w:r>
        <w:rPr>
          <w:lang w:val="en-GB"/>
        </w:rPr>
        <w:t>ae</w:t>
      </w:r>
      <w:r w:rsidRPr="006A332B">
        <w:rPr>
          <w:lang w:val="en-GB"/>
        </w:rPr>
        <w:t>uerle, Y.I.,</w:t>
      </w:r>
      <w:r w:rsidRPr="006A332B">
        <w:rPr>
          <w:lang w:val="en-GB"/>
        </w:rPr>
        <w:t xml:space="preserve"> et al.,</w:t>
      </w:r>
      <w:r w:rsidRPr="006A332B">
        <w:rPr>
          <w:lang w:val="en-GB"/>
        </w:rPr>
        <w:t xml:space="preserve"> </w:t>
      </w:r>
      <w:r>
        <w:t xml:space="preserve">A review of seasonal energy storage for net-zero industrial heat: Thermal and Power-to-X storage including the novel concept of renewable metal energy carriers. </w:t>
      </w:r>
      <w:r>
        <w:rPr>
          <w:rStyle w:val="Emphasis"/>
        </w:rPr>
        <w:t>Energies</w:t>
      </w:r>
      <w:r>
        <w:t xml:space="preserve"> 18, 2204. https://doi.org/10.3390/en18092204</w:t>
      </w:r>
    </w:p>
    <w:p w14:paraId="5683201C" w14:textId="3445A27D" w:rsidR="00CB744C" w:rsidRPr="006A332B" w:rsidRDefault="00CB744C" w:rsidP="0031005F">
      <w:pPr>
        <w:pStyle w:val="SWCText"/>
        <w:rPr>
          <w:lang w:val="en-GB"/>
        </w:rPr>
      </w:pPr>
      <w:r w:rsidRPr="000B6D5C">
        <w:rPr>
          <w:lang w:val="en-GB"/>
        </w:rPr>
        <w:t>B</w:t>
      </w:r>
      <w:r w:rsidR="00BE1253">
        <w:rPr>
          <w:lang w:val="en-GB"/>
        </w:rPr>
        <w:t>ae</w:t>
      </w:r>
      <w:r w:rsidRPr="000B6D5C">
        <w:rPr>
          <w:lang w:val="en-GB"/>
        </w:rPr>
        <w:t xml:space="preserve">uerle, 2025. </w:t>
      </w:r>
      <w:r w:rsidRPr="00CB744C">
        <w:rPr>
          <w:lang w:val="en-GB"/>
        </w:rPr>
        <w:t>ReWAX – Smaller Heat Pump Di</w:t>
      </w:r>
      <w:r>
        <w:rPr>
          <w:lang w:val="en-GB"/>
        </w:rPr>
        <w:t xml:space="preserve">mensioning Using X-to-Energy for Peak Load Coverage. </w:t>
      </w:r>
      <w:r w:rsidR="00E44A52" w:rsidRPr="006A332B">
        <w:rPr>
          <w:lang w:val="en-GB"/>
        </w:rPr>
        <w:t>Factsheets of Renewable X-Carriers</w:t>
      </w:r>
      <w:r w:rsidR="006A332B" w:rsidRPr="006A332B">
        <w:rPr>
          <w:lang w:val="en-GB"/>
        </w:rPr>
        <w:t xml:space="preserve">, </w:t>
      </w:r>
      <w:hyperlink r:id="rId21" w:history="1">
        <w:r w:rsidR="006A332B" w:rsidRPr="006A332B">
          <w:rPr>
            <w:lang w:val="en-GB"/>
          </w:rPr>
          <w:t>www.ost.ch/spf/rewax</w:t>
        </w:r>
      </w:hyperlink>
      <w:r w:rsidR="006A332B">
        <w:rPr>
          <w:lang w:val="en-GB"/>
        </w:rPr>
        <w:t xml:space="preserve"> </w:t>
      </w:r>
    </w:p>
    <w:p w14:paraId="513133E7" w14:textId="77777777" w:rsidR="00050CCE" w:rsidRPr="000B6D5C" w:rsidRDefault="00050CCE" w:rsidP="0031005F">
      <w:pPr>
        <w:pStyle w:val="SWCText"/>
        <w:rPr>
          <w:i/>
        </w:rPr>
      </w:pPr>
      <w:r w:rsidRPr="006A332B">
        <w:rPr>
          <w:lang w:val="en-GB"/>
        </w:rPr>
        <w:t xml:space="preserve">Bosshard, I., et al., 2023. </w:t>
      </w:r>
      <w:proofErr w:type="spellStart"/>
      <w:r w:rsidRPr="00050CCE">
        <w:rPr>
          <w:lang w:val="de-CH"/>
        </w:rPr>
        <w:t>OptiPower</w:t>
      </w:r>
      <w:proofErr w:type="spellEnd"/>
      <w:r w:rsidRPr="00050CCE">
        <w:rPr>
          <w:lang w:val="de-CH"/>
        </w:rPr>
        <w:t xml:space="preserve"> – Optimierte Dimensionierung von Wärmepumpensystemen in Mehrfamilienhäusern. </w:t>
      </w:r>
      <w:r w:rsidRPr="000B6D5C">
        <w:t>Project final report</w:t>
      </w:r>
    </w:p>
    <w:p w14:paraId="67A11130" w14:textId="39735770" w:rsidR="00050CCE" w:rsidRDefault="00050CCE" w:rsidP="0031005F">
      <w:pPr>
        <w:pStyle w:val="SWCText"/>
      </w:pPr>
      <w:r w:rsidRPr="000B6D5C">
        <w:t xml:space="preserve">Connolly, D., </w:t>
      </w:r>
      <w:r w:rsidR="00211AC4" w:rsidRPr="000B6D5C">
        <w:t>et al</w:t>
      </w:r>
      <w:r w:rsidRPr="000B6D5C">
        <w:t xml:space="preserve">., 2014. </w:t>
      </w:r>
      <w:r w:rsidRPr="00050CCE">
        <w:t xml:space="preserve">Heat roadmap Europe: Combining district heating with heat savings to </w:t>
      </w:r>
      <w:proofErr w:type="spellStart"/>
      <w:r w:rsidRPr="00050CCE">
        <w:t>decarbonise</w:t>
      </w:r>
      <w:proofErr w:type="spellEnd"/>
      <w:r w:rsidRPr="00050CCE">
        <w:t xml:space="preserve"> the EU energy system. Energy Policy 65, 475–489.</w:t>
      </w:r>
    </w:p>
    <w:p w14:paraId="01673708" w14:textId="77777777" w:rsidR="00D05F6A" w:rsidRDefault="00D05F6A" w:rsidP="0031005F">
      <w:pPr>
        <w:pStyle w:val="SWCText"/>
      </w:pPr>
    </w:p>
    <w:p w14:paraId="53509C89" w14:textId="77777777" w:rsidR="00D05F6A" w:rsidRDefault="00D05F6A" w:rsidP="0031005F">
      <w:pPr>
        <w:pStyle w:val="SWCText"/>
      </w:pPr>
    </w:p>
    <w:p w14:paraId="755E395C" w14:textId="5F2AF846" w:rsidR="00713804" w:rsidRDefault="00713804" w:rsidP="0031005F">
      <w:pPr>
        <w:pStyle w:val="SWCText"/>
      </w:pPr>
      <w:r>
        <w:lastRenderedPageBreak/>
        <w:t xml:space="preserve">European Environment Agency (EEA), 2025. Greenhouse gas emissions from energy use in buildings in Europe. </w:t>
      </w:r>
      <w:hyperlink r:id="rId22" w:history="1">
        <w:r w:rsidRPr="00713804">
          <w:rPr>
            <w:lang w:val="en-GB"/>
          </w:rPr>
          <w:t>https://www.eea.europa.eu/en/analysis/indicators/greenhouse-gas-emissions-from-energy</w:t>
        </w:r>
      </w:hyperlink>
      <w:r w:rsidRPr="00713804">
        <w:rPr>
          <w:lang w:val="en-GB"/>
        </w:rPr>
        <w:t>, accessed</w:t>
      </w:r>
      <w:r>
        <w:t xml:space="preserve"> 8 September 2026.</w:t>
      </w:r>
    </w:p>
    <w:p w14:paraId="1FCB6B3B" w14:textId="4A101A5A" w:rsidR="00713804" w:rsidRDefault="00713804" w:rsidP="0031005F">
      <w:pPr>
        <w:pStyle w:val="SWCText"/>
        <w:rPr>
          <w:i/>
        </w:rPr>
      </w:pPr>
      <w:r>
        <w:t xml:space="preserve">Eurostat, 2026. Energy consumption in households. Statistics Explained. </w:t>
      </w:r>
      <w:hyperlink r:id="rId23" w:history="1">
        <w:r w:rsidRPr="00713804">
          <w:rPr>
            <w:lang w:val="en-GB"/>
          </w:rPr>
          <w:t>https://ec.europa.eu/eurostat/statistics-explained/index.php?title=Energy_consumption_in_households</w:t>
        </w:r>
      </w:hyperlink>
      <w:r w:rsidRPr="00713804">
        <w:rPr>
          <w:lang w:val="en-GB"/>
        </w:rPr>
        <w:t>, accessed 8 September 2026.</w:t>
      </w:r>
    </w:p>
    <w:p w14:paraId="24B15A85" w14:textId="47991BA4" w:rsidR="00DA38D8" w:rsidRDefault="00693B44" w:rsidP="0031005F">
      <w:pPr>
        <w:pStyle w:val="SWCText"/>
        <w:rPr>
          <w:lang w:val="en-GB"/>
        </w:rPr>
      </w:pPr>
      <w:r w:rsidRPr="000B6D5C">
        <w:rPr>
          <w:lang w:val="en-GB"/>
        </w:rPr>
        <w:t xml:space="preserve">Escher, S., </w:t>
      </w:r>
      <w:r w:rsidR="00211AC4" w:rsidRPr="000B6D5C">
        <w:rPr>
          <w:lang w:val="en-GB"/>
        </w:rPr>
        <w:t>et al</w:t>
      </w:r>
      <w:r w:rsidRPr="000B6D5C">
        <w:rPr>
          <w:lang w:val="en-GB"/>
        </w:rPr>
        <w:t xml:space="preserve">., 2025. </w:t>
      </w:r>
      <w:r w:rsidRPr="00DA38D8">
        <w:rPr>
          <w:lang w:val="en-GB"/>
        </w:rPr>
        <w:t xml:space="preserve">Final report on energy and material balances of aluminium energy storage cycles. </w:t>
      </w:r>
      <w:r w:rsidRPr="00693B44">
        <w:rPr>
          <w:lang w:val="en-GB"/>
        </w:rPr>
        <w:t>REVEAL Deliverable D2.4, Horizon Europe project REVEAL, Grant Agreement No. 101069492.</w:t>
      </w:r>
    </w:p>
    <w:p w14:paraId="7DDA17E0" w14:textId="517D5594" w:rsidR="00DA38D8" w:rsidRDefault="00DA38D8" w:rsidP="0031005F">
      <w:pPr>
        <w:pStyle w:val="SWCText"/>
      </w:pPr>
      <w:r w:rsidRPr="00211AC4">
        <w:rPr>
          <w:lang w:val="fr-CH"/>
        </w:rPr>
        <w:t>Haller, M.Y.,</w:t>
      </w:r>
      <w:r w:rsidR="00211AC4" w:rsidRPr="00211AC4">
        <w:rPr>
          <w:lang w:val="fr-CH"/>
        </w:rPr>
        <w:t xml:space="preserve"> et al</w:t>
      </w:r>
      <w:r w:rsidRPr="00211AC4">
        <w:rPr>
          <w:lang w:val="fr-CH"/>
        </w:rPr>
        <w:t xml:space="preserve">., 2025. </w:t>
      </w:r>
      <w:r w:rsidRPr="000B6D5C">
        <w:t xml:space="preserve">Aluminium </w:t>
      </w:r>
      <w:proofErr w:type="gramStart"/>
      <w:r w:rsidRPr="000B6D5C">
        <w:t>as</w:t>
      </w:r>
      <w:proofErr w:type="gramEnd"/>
      <w:r w:rsidRPr="000B6D5C">
        <w:t xml:space="preserve"> a means for chemically storing and transporting renewable energies. In: Proceedings of the ISES Solar World Congress 2025, Fortaleza, Brazil. International Solar Energy Society. </w:t>
      </w:r>
      <w:hyperlink r:id="rId24" w:history="1">
        <w:r w:rsidR="00211AC4" w:rsidRPr="005F07D2">
          <w:t>https://doi.org/10.18086/swc.2025.02.02</w:t>
        </w:r>
      </w:hyperlink>
      <w:r w:rsidR="00211AC4" w:rsidRPr="000B6D5C">
        <w:t xml:space="preserve"> </w:t>
      </w:r>
    </w:p>
    <w:p w14:paraId="3C024075" w14:textId="552BD7FC" w:rsidR="00AF50A1" w:rsidRPr="006A332B" w:rsidRDefault="00AF50A1" w:rsidP="006A332B">
      <w:pPr>
        <w:pStyle w:val="SWCText"/>
      </w:pPr>
      <w:r w:rsidRPr="006A332B">
        <w:rPr>
          <w:lang w:val="fr-CH"/>
        </w:rPr>
        <w:t>Haller, M.Y.,</w:t>
      </w:r>
      <w:r w:rsidR="006A332B" w:rsidRPr="006A332B">
        <w:rPr>
          <w:lang w:val="fr-CH"/>
        </w:rPr>
        <w:t xml:space="preserve"> et al.</w:t>
      </w:r>
      <w:r w:rsidRPr="006A332B">
        <w:rPr>
          <w:lang w:val="fr-CH"/>
        </w:rPr>
        <w:t xml:space="preserve">, 2021. </w:t>
      </w:r>
      <w:r w:rsidRPr="006A332B">
        <w:t>Combined heat and power production based on renewable aluminium–water reaction. Renewable Energy 174, 879–893. https://doi.org/10.1016/j.renene.2021.04.104</w:t>
      </w:r>
      <w:r w:rsidRPr="006A332B">
        <w:t xml:space="preserve"> </w:t>
      </w:r>
    </w:p>
    <w:p w14:paraId="3DD70EC9" w14:textId="5F4CC5B0" w:rsidR="008818FF" w:rsidRPr="000B6D5C" w:rsidRDefault="008818FF" w:rsidP="0031005F">
      <w:pPr>
        <w:pStyle w:val="SWCText"/>
      </w:pPr>
      <w:r w:rsidRPr="009A1431">
        <w:rPr>
          <w:lang w:val="en-GB"/>
        </w:rPr>
        <w:t xml:space="preserve">Haller, M.Y., et al., 2020. </w:t>
      </w:r>
      <w:r>
        <w:t xml:space="preserve">Seasonal energy storage in aluminium for 100 percent solar heat and electricity supply. Energy Conversion and Management: X 5, 100017. </w:t>
      </w:r>
      <w:hyperlink r:id="rId25" w:history="1">
        <w:r w:rsidRPr="008818FF">
          <w:t>https://doi.org/10.1016/j.ecmx.2019.100017</w:t>
        </w:r>
      </w:hyperlink>
    </w:p>
    <w:p w14:paraId="3BEEF9B5" w14:textId="4C2DEC21" w:rsidR="001968B5" w:rsidRDefault="00050CCE" w:rsidP="0031005F">
      <w:pPr>
        <w:pStyle w:val="SWCText"/>
        <w:rPr>
          <w:i/>
        </w:rPr>
      </w:pPr>
      <w:r w:rsidRPr="000B6D5C">
        <w:t xml:space="preserve">Parra, D., </w:t>
      </w:r>
      <w:r w:rsidR="00211AC4" w:rsidRPr="000B6D5C">
        <w:t>et al.,</w:t>
      </w:r>
      <w:r w:rsidRPr="000B6D5C">
        <w:t xml:space="preserve"> 2017. </w:t>
      </w:r>
      <w:r w:rsidRPr="00050CCE">
        <w:t xml:space="preserve">An integrated techno-economic and life cycle environmental assessment of </w:t>
      </w:r>
      <w:proofErr w:type="spellStart"/>
      <w:r w:rsidRPr="00050CCE">
        <w:t>power-to-gas</w:t>
      </w:r>
      <w:proofErr w:type="spellEnd"/>
      <w:r w:rsidRPr="00050CCE">
        <w:t xml:space="preserve"> systems. </w:t>
      </w:r>
      <w:r w:rsidRPr="000B6D5C">
        <w:t>The International Journal of Life Cycle Assessment 22, 217–232.</w:t>
      </w:r>
    </w:p>
    <w:p w14:paraId="61FAD372" w14:textId="242F2491" w:rsidR="007C0BC9" w:rsidRPr="00D23E21" w:rsidRDefault="00D23E21" w:rsidP="00D23E21">
      <w:pPr>
        <w:rPr>
          <w:color w:val="000000"/>
          <w:sz w:val="20"/>
          <w:szCs w:val="22"/>
          <w:lang w:val="en-GB"/>
        </w:rPr>
      </w:pPr>
      <w:r w:rsidRPr="00D23E21">
        <w:rPr>
          <w:color w:val="000000"/>
          <w:sz w:val="20"/>
          <w:szCs w:val="22"/>
          <w:lang w:val="en-GB"/>
        </w:rPr>
        <w:t xml:space="preserve">Van Erdeweghe, </w:t>
      </w:r>
      <w:r>
        <w:rPr>
          <w:color w:val="000000"/>
          <w:sz w:val="20"/>
          <w:szCs w:val="22"/>
          <w:lang w:val="en-GB"/>
        </w:rPr>
        <w:t>et al</w:t>
      </w:r>
      <w:r w:rsidRPr="00D23E21">
        <w:rPr>
          <w:color w:val="000000"/>
          <w:sz w:val="20"/>
          <w:szCs w:val="22"/>
          <w:lang w:val="en-GB"/>
        </w:rPr>
        <w:t xml:space="preserve">., 2019. Costing methods for combined heat-and-power plants </w:t>
      </w:r>
      <w:proofErr w:type="spellStart"/>
      <w:r w:rsidRPr="00D23E21">
        <w:rPr>
          <w:color w:val="000000"/>
          <w:sz w:val="20"/>
          <w:szCs w:val="22"/>
          <w:lang w:val="en-GB"/>
        </w:rPr>
        <w:t>fueled</w:t>
      </w:r>
      <w:proofErr w:type="spellEnd"/>
      <w:r w:rsidRPr="00D23E21">
        <w:rPr>
          <w:color w:val="000000"/>
          <w:sz w:val="20"/>
          <w:szCs w:val="22"/>
          <w:lang w:val="en-GB"/>
        </w:rPr>
        <w:t xml:space="preserve"> by zero-marginal cost energy sources. </w:t>
      </w:r>
      <w:r w:rsidRPr="00D23E21">
        <w:rPr>
          <w:i/>
          <w:iCs/>
          <w:color w:val="000000"/>
          <w:sz w:val="20"/>
          <w:szCs w:val="22"/>
          <w:lang w:val="en-GB"/>
        </w:rPr>
        <w:t>Energy Conver</w:t>
      </w:r>
      <w:r w:rsidR="00C132C1">
        <w:rPr>
          <w:i/>
          <w:iCs/>
          <w:color w:val="000000"/>
          <w:sz w:val="20"/>
          <w:szCs w:val="22"/>
          <w:lang w:val="en-GB"/>
        </w:rPr>
        <w:t>sion</w:t>
      </w:r>
      <w:r w:rsidRPr="00D23E21">
        <w:rPr>
          <w:i/>
          <w:iCs/>
          <w:color w:val="000000"/>
          <w:sz w:val="20"/>
          <w:szCs w:val="22"/>
          <w:lang w:val="en-GB"/>
        </w:rPr>
        <w:t xml:space="preserve"> and Management</w:t>
      </w:r>
      <w:r w:rsidRPr="00D23E21">
        <w:rPr>
          <w:color w:val="000000"/>
          <w:sz w:val="20"/>
          <w:szCs w:val="22"/>
          <w:lang w:val="en-GB"/>
        </w:rPr>
        <w:t xml:space="preserve"> 187, 122–132. https://doi.org/10.1016/j.enconman.2019.03.014</w:t>
      </w:r>
    </w:p>
    <w:p w14:paraId="1053A4A6" w14:textId="746F9362" w:rsidR="003F5B99" w:rsidRDefault="0057075C" w:rsidP="003F5B99">
      <w:pPr>
        <w:jc w:val="center"/>
        <w:rPr>
          <w:lang w:val="en-GB"/>
        </w:rPr>
      </w:pPr>
      <w:r w:rsidRPr="003F5B99">
        <w:rPr>
          <w:lang w:val="en-GB"/>
        </w:rPr>
        <w:br w:type="page"/>
      </w:r>
      <w:r w:rsidR="00942AED">
        <w:rPr>
          <w:lang w:val="en-GB"/>
        </w:rPr>
        <w:lastRenderedPageBreak/>
        <w:t xml:space="preserve">Appendix: </w:t>
      </w:r>
      <w:r w:rsidR="00A32025">
        <w:rPr>
          <w:lang w:val="en-GB"/>
        </w:rPr>
        <w:t>SIMULATION ASSUMPTIONS</w:t>
      </w:r>
    </w:p>
    <w:p w14:paraId="73E038DC" w14:textId="77777777" w:rsidR="003F5B99" w:rsidRDefault="003F5B99" w:rsidP="003F5B99">
      <w:pPr>
        <w:jc w:val="center"/>
        <w:rPr>
          <w:sz w:val="18"/>
          <w:lang w:val="en-GB"/>
        </w:rPr>
      </w:pPr>
    </w:p>
    <w:p w14:paraId="7BF257D7" w14:textId="77777777" w:rsidR="003F5B99" w:rsidRDefault="003F5B99" w:rsidP="003F5B99">
      <w:pPr>
        <w:rPr>
          <w:sz w:val="18"/>
          <w:lang w:val="en-GB"/>
        </w:rPr>
        <w:sectPr w:rsidR="003F5B99" w:rsidSect="00544D85">
          <w:footnotePr>
            <w:numRestart w:val="eachPage"/>
          </w:footnotePr>
          <w:pgSz w:w="11908" w:h="16838" w:code="9"/>
          <w:pgMar w:top="1417" w:right="1417" w:bottom="1134" w:left="1417" w:header="284" w:footer="284" w:gutter="0"/>
          <w:pgNumType w:start="1"/>
          <w:cols w:space="720"/>
          <w:noEndnote/>
          <w:docGrid w:linePitch="326"/>
        </w:sectPr>
      </w:pPr>
    </w:p>
    <w:p w14:paraId="5277708D" w14:textId="357005FD" w:rsidR="003F5B99" w:rsidRDefault="003F5B99" w:rsidP="003F5B99">
      <w:pPr>
        <w:spacing w:before="120" w:after="120"/>
        <w:jc w:val="center"/>
        <w:rPr>
          <w:sz w:val="20"/>
          <w:szCs w:val="20"/>
          <w:lang w:val="en-GB"/>
        </w:rPr>
      </w:pPr>
      <w:r w:rsidRPr="003F5B99">
        <w:rPr>
          <w:sz w:val="20"/>
          <w:szCs w:val="20"/>
          <w:lang w:val="en-GB"/>
        </w:rPr>
        <w:t xml:space="preserve">1. </w:t>
      </w:r>
      <w:r w:rsidR="00A32025">
        <w:rPr>
          <w:sz w:val="20"/>
          <w:szCs w:val="20"/>
          <w:lang w:val="en-GB"/>
        </w:rPr>
        <w:t>BUILDING MODEL</w:t>
      </w:r>
      <w:r w:rsidR="00297876">
        <w:rPr>
          <w:sz w:val="20"/>
          <w:szCs w:val="20"/>
          <w:lang w:val="en-GB"/>
        </w:rPr>
        <w:t xml:space="preserve"> AND SYSTEM CONFIGURATION</w:t>
      </w:r>
    </w:p>
    <w:p w14:paraId="7484FD0A" w14:textId="58163481" w:rsidR="00A32025" w:rsidRDefault="00297876" w:rsidP="00297876">
      <w:pPr>
        <w:pStyle w:val="SWCTableFigureCaption"/>
      </w:pPr>
      <w:r>
        <w:t>Tab. A.1: Principal building, simulation and system assumptions.</w:t>
      </w:r>
    </w:p>
    <w:tbl>
      <w:tblPr>
        <w:tblStyle w:val="TableGrid"/>
        <w:tblW w:w="4920" w:type="pct"/>
        <w:tblInd w:w="57" w:type="dxa"/>
        <w:tblLook w:val="04A0" w:firstRow="1" w:lastRow="0" w:firstColumn="1" w:lastColumn="0" w:noHBand="0" w:noVBand="1"/>
      </w:tblPr>
      <w:tblGrid>
        <w:gridCol w:w="1651"/>
        <w:gridCol w:w="1136"/>
        <w:gridCol w:w="1386"/>
      </w:tblGrid>
      <w:tr w:rsidR="00297876" w:rsidRPr="00297876" w14:paraId="02358219" w14:textId="77777777" w:rsidTr="00C364AB">
        <w:tc>
          <w:tcPr>
            <w:tcW w:w="1978" w:type="pct"/>
            <w:tcBorders>
              <w:top w:val="single" w:sz="4" w:space="0" w:color="auto"/>
              <w:left w:val="nil"/>
              <w:bottom w:val="single" w:sz="4" w:space="0" w:color="auto"/>
              <w:right w:val="nil"/>
            </w:tcBorders>
          </w:tcPr>
          <w:p w14:paraId="2DDA1D9E" w14:textId="77777777" w:rsidR="00297876" w:rsidRPr="00297876" w:rsidRDefault="00297876" w:rsidP="00297876">
            <w:pPr>
              <w:rPr>
                <w:sz w:val="18"/>
                <w:lang w:val="en-GB"/>
              </w:rPr>
            </w:pPr>
            <w:r w:rsidRPr="00297876">
              <w:rPr>
                <w:sz w:val="18"/>
                <w:lang w:val="en-GB"/>
              </w:rPr>
              <w:t>Quantity</w:t>
            </w:r>
          </w:p>
        </w:tc>
        <w:tc>
          <w:tcPr>
            <w:tcW w:w="1361" w:type="pct"/>
            <w:tcBorders>
              <w:top w:val="single" w:sz="4" w:space="0" w:color="auto"/>
              <w:left w:val="nil"/>
              <w:bottom w:val="single" w:sz="4" w:space="0" w:color="auto"/>
              <w:right w:val="nil"/>
            </w:tcBorders>
          </w:tcPr>
          <w:p w14:paraId="23AEEF1F" w14:textId="77777777" w:rsidR="00297876" w:rsidRPr="00297876" w:rsidRDefault="00297876" w:rsidP="00297876">
            <w:pPr>
              <w:rPr>
                <w:sz w:val="18"/>
                <w:lang w:val="en-GB"/>
              </w:rPr>
            </w:pPr>
            <w:r w:rsidRPr="00297876">
              <w:rPr>
                <w:sz w:val="18"/>
                <w:lang w:val="en-GB"/>
              </w:rPr>
              <w:t>Value</w:t>
            </w:r>
          </w:p>
        </w:tc>
        <w:tc>
          <w:tcPr>
            <w:tcW w:w="1661" w:type="pct"/>
            <w:tcBorders>
              <w:top w:val="single" w:sz="4" w:space="0" w:color="auto"/>
              <w:left w:val="nil"/>
              <w:bottom w:val="single" w:sz="4" w:space="0" w:color="auto"/>
              <w:right w:val="nil"/>
            </w:tcBorders>
          </w:tcPr>
          <w:p w14:paraId="09183EFF" w14:textId="77777777" w:rsidR="00297876" w:rsidRPr="00297876" w:rsidRDefault="00297876" w:rsidP="00297876">
            <w:pPr>
              <w:rPr>
                <w:sz w:val="18"/>
                <w:lang w:val="en-GB"/>
              </w:rPr>
            </w:pPr>
            <w:r w:rsidRPr="00297876">
              <w:rPr>
                <w:sz w:val="18"/>
                <w:lang w:val="en-GB"/>
              </w:rPr>
              <w:t>Unit/description</w:t>
            </w:r>
          </w:p>
        </w:tc>
      </w:tr>
      <w:tr w:rsidR="00297876" w:rsidRPr="00297876" w14:paraId="726CE23A" w14:textId="77777777" w:rsidTr="00C364AB">
        <w:tc>
          <w:tcPr>
            <w:tcW w:w="1978" w:type="pct"/>
            <w:tcBorders>
              <w:top w:val="single" w:sz="4" w:space="0" w:color="auto"/>
              <w:left w:val="nil"/>
              <w:bottom w:val="nil"/>
              <w:right w:val="nil"/>
            </w:tcBorders>
          </w:tcPr>
          <w:p w14:paraId="59CCBB2B" w14:textId="77777777" w:rsidR="00297876" w:rsidRPr="00297876" w:rsidRDefault="00297876" w:rsidP="00297876">
            <w:pPr>
              <w:rPr>
                <w:sz w:val="18"/>
                <w:lang w:val="en-GB"/>
              </w:rPr>
            </w:pPr>
            <w:r w:rsidRPr="00297876">
              <w:rPr>
                <w:sz w:val="18"/>
                <w:lang w:val="en-GB"/>
              </w:rPr>
              <w:t>Simulation time step</w:t>
            </w:r>
          </w:p>
        </w:tc>
        <w:tc>
          <w:tcPr>
            <w:tcW w:w="1361" w:type="pct"/>
            <w:tcBorders>
              <w:top w:val="single" w:sz="4" w:space="0" w:color="auto"/>
              <w:left w:val="nil"/>
              <w:bottom w:val="nil"/>
              <w:right w:val="nil"/>
            </w:tcBorders>
          </w:tcPr>
          <w:p w14:paraId="1E354268" w14:textId="77777777" w:rsidR="00297876" w:rsidRPr="00297876" w:rsidRDefault="00297876" w:rsidP="00297876">
            <w:pPr>
              <w:rPr>
                <w:sz w:val="18"/>
                <w:lang w:val="en-GB"/>
              </w:rPr>
            </w:pPr>
            <w:r w:rsidRPr="00297876">
              <w:rPr>
                <w:sz w:val="18"/>
                <w:lang w:val="en-GB"/>
              </w:rPr>
              <w:t>15</w:t>
            </w:r>
          </w:p>
        </w:tc>
        <w:tc>
          <w:tcPr>
            <w:tcW w:w="1661" w:type="pct"/>
            <w:tcBorders>
              <w:top w:val="single" w:sz="4" w:space="0" w:color="auto"/>
              <w:left w:val="nil"/>
              <w:bottom w:val="nil"/>
              <w:right w:val="nil"/>
            </w:tcBorders>
          </w:tcPr>
          <w:p w14:paraId="7C415BD5" w14:textId="77777777" w:rsidR="00297876" w:rsidRPr="00297876" w:rsidRDefault="00297876" w:rsidP="00297876">
            <w:pPr>
              <w:rPr>
                <w:sz w:val="18"/>
                <w:lang w:val="en-GB"/>
              </w:rPr>
            </w:pPr>
            <w:r w:rsidRPr="00297876">
              <w:rPr>
                <w:sz w:val="18"/>
                <w:lang w:val="en-GB"/>
              </w:rPr>
              <w:t>min</w:t>
            </w:r>
          </w:p>
        </w:tc>
      </w:tr>
      <w:tr w:rsidR="00297876" w:rsidRPr="00297876" w14:paraId="03EC74B8" w14:textId="77777777" w:rsidTr="00C364AB">
        <w:tc>
          <w:tcPr>
            <w:tcW w:w="1978" w:type="pct"/>
            <w:tcBorders>
              <w:top w:val="nil"/>
              <w:left w:val="nil"/>
              <w:bottom w:val="nil"/>
              <w:right w:val="nil"/>
            </w:tcBorders>
          </w:tcPr>
          <w:p w14:paraId="562FC1FB" w14:textId="77777777" w:rsidR="00297876" w:rsidRPr="00297876" w:rsidRDefault="00297876" w:rsidP="00297876">
            <w:pPr>
              <w:rPr>
                <w:sz w:val="18"/>
                <w:lang w:val="en-GB"/>
              </w:rPr>
            </w:pPr>
            <w:r w:rsidRPr="00297876">
              <w:rPr>
                <w:sz w:val="18"/>
                <w:lang w:val="en-GB"/>
              </w:rPr>
              <w:t>Heating limit</w:t>
            </w:r>
          </w:p>
        </w:tc>
        <w:tc>
          <w:tcPr>
            <w:tcW w:w="1361" w:type="pct"/>
            <w:tcBorders>
              <w:top w:val="nil"/>
              <w:left w:val="nil"/>
              <w:bottom w:val="nil"/>
              <w:right w:val="nil"/>
            </w:tcBorders>
          </w:tcPr>
          <w:p w14:paraId="01319E38" w14:textId="77777777" w:rsidR="00297876" w:rsidRPr="00297876" w:rsidRDefault="00297876" w:rsidP="00297876">
            <w:pPr>
              <w:rPr>
                <w:sz w:val="18"/>
                <w:lang w:val="en-GB"/>
              </w:rPr>
            </w:pPr>
            <w:r w:rsidRPr="00297876">
              <w:rPr>
                <w:sz w:val="18"/>
                <w:lang w:val="en-GB"/>
              </w:rPr>
              <w:t>16.5</w:t>
            </w:r>
          </w:p>
        </w:tc>
        <w:tc>
          <w:tcPr>
            <w:tcW w:w="1661" w:type="pct"/>
            <w:tcBorders>
              <w:top w:val="nil"/>
              <w:left w:val="nil"/>
              <w:bottom w:val="nil"/>
              <w:right w:val="nil"/>
            </w:tcBorders>
          </w:tcPr>
          <w:p w14:paraId="678F6A43" w14:textId="77777777" w:rsidR="00297876" w:rsidRPr="00297876" w:rsidRDefault="00297876" w:rsidP="00297876">
            <w:pPr>
              <w:rPr>
                <w:sz w:val="18"/>
                <w:lang w:val="en-GB"/>
              </w:rPr>
            </w:pPr>
            <w:r w:rsidRPr="00297876">
              <w:rPr>
                <w:sz w:val="18"/>
                <w:lang w:val="en-GB"/>
              </w:rPr>
              <w:t>°C</w:t>
            </w:r>
          </w:p>
        </w:tc>
      </w:tr>
      <w:tr w:rsidR="00297876" w:rsidRPr="00297876" w14:paraId="1CAF60DD" w14:textId="77777777" w:rsidTr="00C364AB">
        <w:tc>
          <w:tcPr>
            <w:tcW w:w="1978" w:type="pct"/>
            <w:tcBorders>
              <w:top w:val="nil"/>
              <w:left w:val="nil"/>
              <w:bottom w:val="nil"/>
              <w:right w:val="nil"/>
            </w:tcBorders>
          </w:tcPr>
          <w:p w14:paraId="214676C3" w14:textId="77777777" w:rsidR="00297876" w:rsidRPr="00297876" w:rsidRDefault="00297876" w:rsidP="00297876">
            <w:pPr>
              <w:rPr>
                <w:sz w:val="18"/>
                <w:lang w:val="en-GB"/>
              </w:rPr>
            </w:pPr>
            <w:r w:rsidRPr="00297876">
              <w:rPr>
                <w:sz w:val="18"/>
                <w:lang w:val="en-GB"/>
              </w:rPr>
              <w:t>Weather years</w:t>
            </w:r>
          </w:p>
        </w:tc>
        <w:tc>
          <w:tcPr>
            <w:tcW w:w="1361" w:type="pct"/>
            <w:tcBorders>
              <w:top w:val="nil"/>
              <w:left w:val="nil"/>
              <w:bottom w:val="nil"/>
              <w:right w:val="nil"/>
            </w:tcBorders>
          </w:tcPr>
          <w:p w14:paraId="2746C7FF" w14:textId="77777777" w:rsidR="00297876" w:rsidRPr="00297876" w:rsidRDefault="00297876" w:rsidP="00297876">
            <w:pPr>
              <w:rPr>
                <w:sz w:val="18"/>
                <w:lang w:val="en-GB"/>
              </w:rPr>
            </w:pPr>
            <w:r w:rsidRPr="00297876">
              <w:rPr>
                <w:sz w:val="18"/>
                <w:lang w:val="en-GB"/>
              </w:rPr>
              <w:t>2014–2024</w:t>
            </w:r>
          </w:p>
        </w:tc>
        <w:tc>
          <w:tcPr>
            <w:tcW w:w="1661" w:type="pct"/>
            <w:tcBorders>
              <w:top w:val="nil"/>
              <w:left w:val="nil"/>
              <w:bottom w:val="nil"/>
              <w:right w:val="nil"/>
            </w:tcBorders>
          </w:tcPr>
          <w:p w14:paraId="61733B1B" w14:textId="77777777" w:rsidR="00297876" w:rsidRPr="00297876" w:rsidRDefault="00297876" w:rsidP="00297876">
            <w:pPr>
              <w:rPr>
                <w:sz w:val="18"/>
                <w:lang w:val="en-GB"/>
              </w:rPr>
            </w:pPr>
            <w:r w:rsidRPr="00297876">
              <w:rPr>
                <w:sz w:val="18"/>
                <w:lang w:val="en-GB"/>
              </w:rPr>
              <w:t>Zurich</w:t>
            </w:r>
          </w:p>
        </w:tc>
      </w:tr>
      <w:tr w:rsidR="00297876" w:rsidRPr="00297876" w14:paraId="46B0555E" w14:textId="77777777" w:rsidTr="00C364AB">
        <w:tc>
          <w:tcPr>
            <w:tcW w:w="1978" w:type="pct"/>
            <w:tcBorders>
              <w:top w:val="nil"/>
              <w:left w:val="nil"/>
              <w:bottom w:val="nil"/>
              <w:right w:val="nil"/>
            </w:tcBorders>
          </w:tcPr>
          <w:p w14:paraId="0F23C0E6" w14:textId="77777777" w:rsidR="00297876" w:rsidRPr="00297876" w:rsidRDefault="00297876" w:rsidP="00297876">
            <w:pPr>
              <w:rPr>
                <w:sz w:val="18"/>
                <w:lang w:val="en-GB"/>
              </w:rPr>
            </w:pPr>
            <w:r w:rsidRPr="00297876">
              <w:rPr>
                <w:sz w:val="18"/>
                <w:lang w:val="en-GB"/>
              </w:rPr>
              <w:t>Initialisation period</w:t>
            </w:r>
          </w:p>
        </w:tc>
        <w:tc>
          <w:tcPr>
            <w:tcW w:w="1361" w:type="pct"/>
            <w:tcBorders>
              <w:top w:val="nil"/>
              <w:left w:val="nil"/>
              <w:bottom w:val="nil"/>
              <w:right w:val="nil"/>
            </w:tcBorders>
          </w:tcPr>
          <w:p w14:paraId="69ABFD63" w14:textId="77777777" w:rsidR="00297876" w:rsidRPr="00297876" w:rsidRDefault="00297876" w:rsidP="00297876">
            <w:pPr>
              <w:rPr>
                <w:sz w:val="18"/>
                <w:lang w:val="en-GB"/>
              </w:rPr>
            </w:pPr>
            <w:r w:rsidRPr="00297876">
              <w:rPr>
                <w:sz w:val="18"/>
                <w:lang w:val="en-GB"/>
              </w:rPr>
              <w:t>7</w:t>
            </w:r>
          </w:p>
        </w:tc>
        <w:tc>
          <w:tcPr>
            <w:tcW w:w="1661" w:type="pct"/>
            <w:tcBorders>
              <w:top w:val="nil"/>
              <w:left w:val="nil"/>
              <w:bottom w:val="nil"/>
              <w:right w:val="nil"/>
            </w:tcBorders>
          </w:tcPr>
          <w:p w14:paraId="0624A3E6" w14:textId="77777777" w:rsidR="00297876" w:rsidRPr="00297876" w:rsidRDefault="00297876" w:rsidP="00297876">
            <w:pPr>
              <w:rPr>
                <w:sz w:val="18"/>
                <w:lang w:val="en-GB"/>
              </w:rPr>
            </w:pPr>
            <w:r w:rsidRPr="00297876">
              <w:rPr>
                <w:sz w:val="18"/>
                <w:lang w:val="en-GB"/>
              </w:rPr>
              <w:t>days</w:t>
            </w:r>
          </w:p>
        </w:tc>
      </w:tr>
      <w:tr w:rsidR="00297876" w:rsidRPr="00297876" w14:paraId="729761DE" w14:textId="77777777" w:rsidTr="00C364AB">
        <w:tc>
          <w:tcPr>
            <w:tcW w:w="1978" w:type="pct"/>
            <w:tcBorders>
              <w:top w:val="nil"/>
              <w:left w:val="nil"/>
              <w:bottom w:val="nil"/>
              <w:right w:val="nil"/>
            </w:tcBorders>
          </w:tcPr>
          <w:p w14:paraId="75C7D46E" w14:textId="77777777" w:rsidR="00297876" w:rsidRPr="00297876" w:rsidRDefault="00297876" w:rsidP="00297876">
            <w:pPr>
              <w:rPr>
                <w:sz w:val="18"/>
                <w:lang w:val="en-GB"/>
              </w:rPr>
            </w:pPr>
            <w:r w:rsidRPr="00297876">
              <w:rPr>
                <w:sz w:val="18"/>
                <w:lang w:val="en-GB"/>
              </w:rPr>
              <w:t>Technical-feasibility limit</w:t>
            </w:r>
          </w:p>
        </w:tc>
        <w:tc>
          <w:tcPr>
            <w:tcW w:w="1361" w:type="pct"/>
            <w:tcBorders>
              <w:top w:val="nil"/>
              <w:left w:val="nil"/>
              <w:bottom w:val="nil"/>
              <w:right w:val="nil"/>
            </w:tcBorders>
          </w:tcPr>
          <w:p w14:paraId="0E2D85A3" w14:textId="77777777" w:rsidR="00297876" w:rsidRPr="00297876" w:rsidRDefault="00297876" w:rsidP="00297876">
            <w:pPr>
              <w:rPr>
                <w:sz w:val="18"/>
                <w:lang w:val="en-GB"/>
              </w:rPr>
            </w:pPr>
            <w:r w:rsidRPr="00297876">
              <w:rPr>
                <w:sz w:val="18"/>
                <w:lang w:val="en-GB"/>
              </w:rPr>
              <w:t>1</w:t>
            </w:r>
          </w:p>
        </w:tc>
        <w:tc>
          <w:tcPr>
            <w:tcW w:w="1661" w:type="pct"/>
            <w:tcBorders>
              <w:top w:val="nil"/>
              <w:left w:val="nil"/>
              <w:bottom w:val="nil"/>
              <w:right w:val="nil"/>
            </w:tcBorders>
          </w:tcPr>
          <w:p w14:paraId="036C737E" w14:textId="77777777" w:rsidR="00297876" w:rsidRPr="00297876" w:rsidRDefault="00297876" w:rsidP="00297876">
            <w:pPr>
              <w:rPr>
                <w:sz w:val="18"/>
                <w:lang w:val="en-GB"/>
              </w:rPr>
            </w:pPr>
            <w:r w:rsidRPr="00297876">
              <w:rPr>
                <w:sz w:val="18"/>
                <w:lang w:val="en-GB"/>
              </w:rPr>
              <w:t>kWhth/a unmet heat</w:t>
            </w:r>
          </w:p>
        </w:tc>
      </w:tr>
      <w:tr w:rsidR="00297876" w:rsidRPr="009A1431" w14:paraId="1B69E184" w14:textId="77777777" w:rsidTr="00C364AB">
        <w:tc>
          <w:tcPr>
            <w:tcW w:w="1978" w:type="pct"/>
            <w:tcBorders>
              <w:top w:val="nil"/>
              <w:left w:val="nil"/>
              <w:bottom w:val="nil"/>
              <w:right w:val="nil"/>
            </w:tcBorders>
          </w:tcPr>
          <w:p w14:paraId="34926B39" w14:textId="77777777" w:rsidR="00297876" w:rsidRPr="00297876" w:rsidRDefault="00297876" w:rsidP="00297876">
            <w:pPr>
              <w:rPr>
                <w:sz w:val="18"/>
                <w:lang w:val="en-GB"/>
              </w:rPr>
            </w:pPr>
            <w:r w:rsidRPr="00297876">
              <w:rPr>
                <w:sz w:val="18"/>
                <w:lang w:val="en-GB"/>
              </w:rPr>
              <w:t>HP performance</w:t>
            </w:r>
          </w:p>
        </w:tc>
        <w:tc>
          <w:tcPr>
            <w:tcW w:w="1361" w:type="pct"/>
            <w:tcBorders>
              <w:top w:val="nil"/>
              <w:left w:val="nil"/>
              <w:bottom w:val="nil"/>
              <w:right w:val="nil"/>
            </w:tcBorders>
          </w:tcPr>
          <w:p w14:paraId="702840FF" w14:textId="77777777" w:rsidR="00297876" w:rsidRPr="00297876" w:rsidRDefault="00297876" w:rsidP="00297876">
            <w:pPr>
              <w:rPr>
                <w:sz w:val="18"/>
                <w:lang w:val="en-GB"/>
              </w:rPr>
            </w:pPr>
            <w:r w:rsidRPr="00297876">
              <w:rPr>
                <w:sz w:val="18"/>
                <w:lang w:val="en-GB"/>
              </w:rPr>
              <w:t>temperature-dependent</w:t>
            </w:r>
          </w:p>
        </w:tc>
        <w:tc>
          <w:tcPr>
            <w:tcW w:w="1661" w:type="pct"/>
            <w:tcBorders>
              <w:top w:val="nil"/>
              <w:left w:val="nil"/>
              <w:bottom w:val="nil"/>
              <w:right w:val="nil"/>
            </w:tcBorders>
          </w:tcPr>
          <w:p w14:paraId="535267ED" w14:textId="77777777" w:rsidR="00297876" w:rsidRPr="00297876" w:rsidRDefault="00297876" w:rsidP="00297876">
            <w:pPr>
              <w:rPr>
                <w:sz w:val="18"/>
                <w:lang w:val="en-GB"/>
              </w:rPr>
            </w:pPr>
            <w:r w:rsidRPr="00297876">
              <w:rPr>
                <w:sz w:val="18"/>
                <w:lang w:val="en-GB"/>
              </w:rPr>
              <w:t>separate ASHP and GSHP models</w:t>
            </w:r>
          </w:p>
        </w:tc>
      </w:tr>
      <w:tr w:rsidR="00297876" w:rsidRPr="00297876" w14:paraId="259DDBAB" w14:textId="77777777" w:rsidTr="00C364AB">
        <w:tc>
          <w:tcPr>
            <w:tcW w:w="1978" w:type="pct"/>
            <w:tcBorders>
              <w:top w:val="nil"/>
              <w:left w:val="nil"/>
              <w:bottom w:val="nil"/>
              <w:right w:val="nil"/>
            </w:tcBorders>
          </w:tcPr>
          <w:p w14:paraId="47FD4671" w14:textId="77777777" w:rsidR="00297876" w:rsidRPr="00297876" w:rsidRDefault="00297876" w:rsidP="00297876">
            <w:pPr>
              <w:rPr>
                <w:sz w:val="18"/>
                <w:lang w:val="en-GB"/>
              </w:rPr>
            </w:pPr>
            <w:r w:rsidRPr="00297876">
              <w:rPr>
                <w:sz w:val="18"/>
                <w:lang w:val="en-GB"/>
              </w:rPr>
              <w:t>DHW grid-budget COP</w:t>
            </w:r>
          </w:p>
        </w:tc>
        <w:tc>
          <w:tcPr>
            <w:tcW w:w="1361" w:type="pct"/>
            <w:tcBorders>
              <w:top w:val="nil"/>
              <w:left w:val="nil"/>
              <w:bottom w:val="nil"/>
              <w:right w:val="nil"/>
            </w:tcBorders>
          </w:tcPr>
          <w:p w14:paraId="5A842D73" w14:textId="77777777" w:rsidR="00297876" w:rsidRPr="00297876" w:rsidRDefault="00297876" w:rsidP="00297876">
            <w:pPr>
              <w:rPr>
                <w:sz w:val="18"/>
                <w:lang w:val="en-GB"/>
              </w:rPr>
            </w:pPr>
            <w:r w:rsidRPr="00297876">
              <w:rPr>
                <w:sz w:val="18"/>
                <w:lang w:val="en-GB"/>
              </w:rPr>
              <w:t>2.0</w:t>
            </w:r>
          </w:p>
        </w:tc>
        <w:tc>
          <w:tcPr>
            <w:tcW w:w="1661" w:type="pct"/>
            <w:tcBorders>
              <w:top w:val="nil"/>
              <w:left w:val="nil"/>
              <w:bottom w:val="nil"/>
              <w:right w:val="nil"/>
            </w:tcBorders>
          </w:tcPr>
          <w:p w14:paraId="1BD06ACC" w14:textId="77777777" w:rsidR="00297876" w:rsidRPr="00297876" w:rsidRDefault="00297876" w:rsidP="00297876">
            <w:pPr>
              <w:rPr>
                <w:sz w:val="18"/>
                <w:lang w:val="en-GB"/>
              </w:rPr>
            </w:pPr>
            <w:r w:rsidRPr="00297876">
              <w:rPr>
                <w:sz w:val="18"/>
                <w:lang w:val="en-GB"/>
              </w:rPr>
              <w:t>–</w:t>
            </w:r>
          </w:p>
        </w:tc>
      </w:tr>
      <w:tr w:rsidR="00297876" w:rsidRPr="00297876" w14:paraId="0F93110E" w14:textId="77777777" w:rsidTr="00C364AB">
        <w:tc>
          <w:tcPr>
            <w:tcW w:w="1978" w:type="pct"/>
            <w:tcBorders>
              <w:top w:val="nil"/>
              <w:left w:val="nil"/>
              <w:bottom w:val="nil"/>
              <w:right w:val="nil"/>
            </w:tcBorders>
          </w:tcPr>
          <w:p w14:paraId="3400F481" w14:textId="77777777" w:rsidR="00297876" w:rsidRPr="00297876" w:rsidRDefault="00297876" w:rsidP="00297876">
            <w:pPr>
              <w:rPr>
                <w:sz w:val="18"/>
                <w:lang w:val="en-GB"/>
              </w:rPr>
            </w:pPr>
            <w:r w:rsidRPr="00297876">
              <w:rPr>
                <w:sz w:val="18"/>
                <w:lang w:val="en-GB"/>
              </w:rPr>
              <w:t>Battery SOC start/stop</w:t>
            </w:r>
          </w:p>
        </w:tc>
        <w:tc>
          <w:tcPr>
            <w:tcW w:w="1361" w:type="pct"/>
            <w:tcBorders>
              <w:top w:val="nil"/>
              <w:left w:val="nil"/>
              <w:bottom w:val="nil"/>
              <w:right w:val="nil"/>
            </w:tcBorders>
          </w:tcPr>
          <w:p w14:paraId="23B0DA59" w14:textId="77777777" w:rsidR="00297876" w:rsidRPr="00297876" w:rsidRDefault="00297876" w:rsidP="00297876">
            <w:pPr>
              <w:rPr>
                <w:sz w:val="18"/>
                <w:lang w:val="en-GB"/>
              </w:rPr>
            </w:pPr>
            <w:r w:rsidRPr="00297876">
              <w:rPr>
                <w:sz w:val="18"/>
                <w:lang w:val="en-GB"/>
              </w:rPr>
              <w:t>0.4/0.8</w:t>
            </w:r>
          </w:p>
        </w:tc>
        <w:tc>
          <w:tcPr>
            <w:tcW w:w="1661" w:type="pct"/>
            <w:tcBorders>
              <w:top w:val="nil"/>
              <w:left w:val="nil"/>
              <w:bottom w:val="nil"/>
              <w:right w:val="nil"/>
            </w:tcBorders>
          </w:tcPr>
          <w:p w14:paraId="52B547DF" w14:textId="77777777" w:rsidR="00297876" w:rsidRPr="00297876" w:rsidRDefault="00297876" w:rsidP="00297876">
            <w:pPr>
              <w:rPr>
                <w:sz w:val="18"/>
                <w:lang w:val="en-GB"/>
              </w:rPr>
            </w:pPr>
            <w:r w:rsidRPr="00297876">
              <w:rPr>
                <w:sz w:val="18"/>
                <w:lang w:val="en-GB"/>
              </w:rPr>
              <w:t>–</w:t>
            </w:r>
          </w:p>
        </w:tc>
      </w:tr>
      <w:tr w:rsidR="00297876" w:rsidRPr="00297876" w14:paraId="45126B94" w14:textId="77777777" w:rsidTr="00C364AB">
        <w:tc>
          <w:tcPr>
            <w:tcW w:w="1978" w:type="pct"/>
            <w:tcBorders>
              <w:top w:val="nil"/>
              <w:left w:val="nil"/>
              <w:bottom w:val="nil"/>
              <w:right w:val="nil"/>
            </w:tcBorders>
          </w:tcPr>
          <w:p w14:paraId="1801EDCD" w14:textId="77777777" w:rsidR="00297876" w:rsidRPr="00297876" w:rsidRDefault="00297876" w:rsidP="00297876">
            <w:pPr>
              <w:rPr>
                <w:sz w:val="18"/>
                <w:lang w:val="en-GB"/>
              </w:rPr>
            </w:pPr>
            <w:r w:rsidRPr="00297876">
              <w:rPr>
                <w:sz w:val="18"/>
                <w:lang w:val="en-GB"/>
              </w:rPr>
              <w:t>X-to-Energy operating period</w:t>
            </w:r>
          </w:p>
        </w:tc>
        <w:tc>
          <w:tcPr>
            <w:tcW w:w="1361" w:type="pct"/>
            <w:tcBorders>
              <w:top w:val="nil"/>
              <w:left w:val="nil"/>
              <w:bottom w:val="nil"/>
              <w:right w:val="nil"/>
            </w:tcBorders>
          </w:tcPr>
          <w:p w14:paraId="1D0C8F4A" w14:textId="77777777" w:rsidR="00297876" w:rsidRPr="00297876" w:rsidRDefault="00297876" w:rsidP="00297876">
            <w:pPr>
              <w:rPr>
                <w:sz w:val="18"/>
                <w:lang w:val="en-GB"/>
              </w:rPr>
            </w:pPr>
            <w:r w:rsidRPr="00297876">
              <w:rPr>
                <w:sz w:val="18"/>
                <w:lang w:val="en-GB"/>
              </w:rPr>
              <w:t>Oct.–Mar.</w:t>
            </w:r>
          </w:p>
        </w:tc>
        <w:tc>
          <w:tcPr>
            <w:tcW w:w="1661" w:type="pct"/>
            <w:tcBorders>
              <w:top w:val="nil"/>
              <w:left w:val="nil"/>
              <w:bottom w:val="nil"/>
              <w:right w:val="nil"/>
            </w:tcBorders>
          </w:tcPr>
          <w:p w14:paraId="05E1DE1B" w14:textId="77777777" w:rsidR="00297876" w:rsidRPr="00297876" w:rsidRDefault="00297876" w:rsidP="00297876">
            <w:pPr>
              <w:rPr>
                <w:sz w:val="18"/>
                <w:lang w:val="en-GB"/>
              </w:rPr>
            </w:pPr>
            <w:r w:rsidRPr="00297876">
              <w:rPr>
                <w:sz w:val="18"/>
                <w:lang w:val="en-GB"/>
              </w:rPr>
              <w:t>primary operating period</w:t>
            </w:r>
          </w:p>
        </w:tc>
      </w:tr>
    </w:tbl>
    <w:p w14:paraId="248F7167" w14:textId="77777777" w:rsidR="0027593A" w:rsidRDefault="0027593A" w:rsidP="0027593A">
      <w:pPr>
        <w:pStyle w:val="SWCText"/>
        <w:rPr>
          <w:sz w:val="18"/>
          <w:szCs w:val="18"/>
        </w:rPr>
      </w:pPr>
    </w:p>
    <w:p w14:paraId="4790D9E3" w14:textId="6F6C3C78" w:rsidR="0027593A" w:rsidRDefault="0027593A" w:rsidP="0027593A">
      <w:pPr>
        <w:pStyle w:val="SWCText"/>
        <w:rPr>
          <w:sz w:val="18"/>
          <w:szCs w:val="18"/>
        </w:rPr>
      </w:pPr>
      <w:r w:rsidRPr="0027593A">
        <w:rPr>
          <w:sz w:val="18"/>
          <w:szCs w:val="18"/>
        </w:rPr>
        <w:t>HP COP temperature-dependent outdoor-air and sink temperatures</w:t>
      </w:r>
      <w:r w:rsidRPr="0027593A">
        <w:rPr>
          <w:sz w:val="18"/>
          <w:szCs w:val="18"/>
        </w:rPr>
        <w:br/>
      </w:r>
    </w:p>
    <w:p w14:paraId="0E5D34E3" w14:textId="77777777" w:rsidR="0027593A" w:rsidRPr="0027593A" w:rsidRDefault="0027593A" w:rsidP="0027593A">
      <w:pPr>
        <w:pStyle w:val="SWCText"/>
        <w:rPr>
          <w:sz w:val="18"/>
          <w:szCs w:val="18"/>
          <w:lang w:val="en-GB"/>
        </w:rPr>
      </w:pPr>
    </w:p>
    <w:p w14:paraId="1996A922" w14:textId="446A92DC" w:rsidR="00620467" w:rsidRDefault="00620467" w:rsidP="00620467">
      <w:pPr>
        <w:spacing w:before="120" w:after="120"/>
        <w:jc w:val="center"/>
        <w:rPr>
          <w:sz w:val="20"/>
          <w:szCs w:val="20"/>
          <w:lang w:val="en-GB"/>
        </w:rPr>
      </w:pPr>
      <w:r w:rsidRPr="003F5B99">
        <w:rPr>
          <w:sz w:val="20"/>
          <w:szCs w:val="20"/>
          <w:lang w:val="en-GB"/>
        </w:rPr>
        <w:t xml:space="preserve">2. </w:t>
      </w:r>
      <w:r>
        <w:rPr>
          <w:sz w:val="20"/>
          <w:szCs w:val="20"/>
          <w:lang w:val="en-GB"/>
        </w:rPr>
        <w:t>ECONOMICS</w:t>
      </w:r>
    </w:p>
    <w:p w14:paraId="3B4B1E2A" w14:textId="61E14BFD" w:rsidR="00297876" w:rsidRPr="00620467" w:rsidRDefault="00620467" w:rsidP="00620467">
      <w:pPr>
        <w:pStyle w:val="SWCTableFigureCaption"/>
        <w:rPr>
          <w:i/>
          <w:sz w:val="20"/>
        </w:rPr>
      </w:pPr>
      <w:r>
        <w:t>Tab. A.2: General economic assumptions</w:t>
      </w:r>
    </w:p>
    <w:tbl>
      <w:tblPr>
        <w:tblStyle w:val="TableGrid"/>
        <w:tblW w:w="468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8"/>
        <w:gridCol w:w="1502"/>
        <w:gridCol w:w="1093"/>
      </w:tblGrid>
      <w:tr w:rsidR="00620467" w:rsidRPr="009A1431" w14:paraId="627F8CFB" w14:textId="77777777" w:rsidTr="00F91981">
        <w:tc>
          <w:tcPr>
            <w:tcW w:w="1734" w:type="pct"/>
            <w:tcBorders>
              <w:top w:val="single" w:sz="4" w:space="0" w:color="auto"/>
              <w:bottom w:val="single" w:sz="4" w:space="0" w:color="auto"/>
            </w:tcBorders>
          </w:tcPr>
          <w:p w14:paraId="07965CBD" w14:textId="18C6BB8F" w:rsidR="00620467" w:rsidRPr="00620467" w:rsidRDefault="00620467" w:rsidP="00620467">
            <w:pPr>
              <w:rPr>
                <w:sz w:val="18"/>
                <w:lang w:val="en-GB"/>
              </w:rPr>
            </w:pPr>
            <w:r w:rsidRPr="00620467">
              <w:rPr>
                <w:sz w:val="18"/>
                <w:lang w:val="en-GB"/>
              </w:rPr>
              <w:t>Component</w:t>
            </w:r>
          </w:p>
        </w:tc>
        <w:tc>
          <w:tcPr>
            <w:tcW w:w="1890" w:type="pct"/>
            <w:tcBorders>
              <w:top w:val="single" w:sz="4" w:space="0" w:color="auto"/>
              <w:bottom w:val="single" w:sz="4" w:space="0" w:color="auto"/>
            </w:tcBorders>
          </w:tcPr>
          <w:p w14:paraId="2E707522" w14:textId="4F8A4800" w:rsidR="00620467" w:rsidRPr="00620467" w:rsidRDefault="00620467" w:rsidP="00620467">
            <w:pPr>
              <w:rPr>
                <w:sz w:val="18"/>
                <w:lang w:val="en-GB"/>
              </w:rPr>
            </w:pPr>
            <w:r w:rsidRPr="00620467">
              <w:rPr>
                <w:sz w:val="18"/>
                <w:lang w:val="en-GB"/>
              </w:rPr>
              <w:t>Specific CAPEX</w:t>
            </w:r>
          </w:p>
        </w:tc>
        <w:tc>
          <w:tcPr>
            <w:tcW w:w="1376" w:type="pct"/>
            <w:tcBorders>
              <w:top w:val="single" w:sz="4" w:space="0" w:color="auto"/>
              <w:bottom w:val="single" w:sz="4" w:space="0" w:color="auto"/>
            </w:tcBorders>
          </w:tcPr>
          <w:p w14:paraId="2B4A7537" w14:textId="41AAA30C" w:rsidR="00620467" w:rsidRPr="00620467" w:rsidRDefault="00620467" w:rsidP="00620467">
            <w:pPr>
              <w:rPr>
                <w:sz w:val="18"/>
                <w:lang w:val="en-GB"/>
              </w:rPr>
            </w:pPr>
            <w:r w:rsidRPr="00620467">
              <w:rPr>
                <w:sz w:val="18"/>
                <w:lang w:val="en-GB"/>
              </w:rPr>
              <w:t>O&amp;M</w:t>
            </w:r>
            <w:r>
              <w:rPr>
                <w:sz w:val="18"/>
                <w:lang w:val="en-GB"/>
              </w:rPr>
              <w:t xml:space="preserve">, % of CAPEX/a; </w:t>
            </w:r>
            <w:r w:rsidRPr="00620467">
              <w:rPr>
                <w:sz w:val="18"/>
                <w:lang w:val="en-GB"/>
              </w:rPr>
              <w:t>lifetime</w:t>
            </w:r>
            <w:r>
              <w:rPr>
                <w:sz w:val="18"/>
                <w:lang w:val="en-GB"/>
              </w:rPr>
              <w:t>, a</w:t>
            </w:r>
          </w:p>
        </w:tc>
      </w:tr>
      <w:tr w:rsidR="00620467" w:rsidRPr="00620467" w14:paraId="7CF7A3FD" w14:textId="77777777" w:rsidTr="00F91981">
        <w:tc>
          <w:tcPr>
            <w:tcW w:w="1734" w:type="pct"/>
            <w:tcBorders>
              <w:top w:val="single" w:sz="4" w:space="0" w:color="auto"/>
            </w:tcBorders>
          </w:tcPr>
          <w:p w14:paraId="52505665" w14:textId="77777777" w:rsidR="00620467" w:rsidRPr="00620467" w:rsidRDefault="00620467" w:rsidP="00620467">
            <w:pPr>
              <w:rPr>
                <w:sz w:val="18"/>
                <w:lang w:val="en-GB"/>
              </w:rPr>
            </w:pPr>
            <w:r w:rsidRPr="00620467">
              <w:rPr>
                <w:sz w:val="18"/>
                <w:lang w:val="en-GB"/>
              </w:rPr>
              <w:t>PV system</w:t>
            </w:r>
          </w:p>
        </w:tc>
        <w:tc>
          <w:tcPr>
            <w:tcW w:w="1890" w:type="pct"/>
            <w:tcBorders>
              <w:top w:val="single" w:sz="4" w:space="0" w:color="auto"/>
            </w:tcBorders>
          </w:tcPr>
          <w:p w14:paraId="6F0F3908" w14:textId="3683A03E" w:rsidR="00620467" w:rsidRPr="00620467" w:rsidRDefault="00620467" w:rsidP="00620467">
            <w:pPr>
              <w:rPr>
                <w:sz w:val="18"/>
                <w:lang w:val="en-GB"/>
              </w:rPr>
            </w:pPr>
            <w:r w:rsidRPr="00620467">
              <w:rPr>
                <w:sz w:val="18"/>
                <w:lang w:val="en-GB"/>
              </w:rPr>
              <w:t>1400 CHF/</w:t>
            </w:r>
            <w:proofErr w:type="spellStart"/>
            <w:r w:rsidRPr="00620467">
              <w:rPr>
                <w:sz w:val="18"/>
                <w:lang w:val="en-GB"/>
              </w:rPr>
              <w:t>kWp</w:t>
            </w:r>
            <w:proofErr w:type="spellEnd"/>
          </w:p>
        </w:tc>
        <w:tc>
          <w:tcPr>
            <w:tcW w:w="1376" w:type="pct"/>
            <w:tcBorders>
              <w:top w:val="single" w:sz="4" w:space="0" w:color="auto"/>
            </w:tcBorders>
          </w:tcPr>
          <w:p w14:paraId="360BC7AA" w14:textId="792A45C8" w:rsidR="00620467" w:rsidRPr="00620467" w:rsidRDefault="00620467" w:rsidP="00620467">
            <w:pPr>
              <w:rPr>
                <w:sz w:val="18"/>
                <w:lang w:val="en-GB"/>
              </w:rPr>
            </w:pPr>
            <w:r w:rsidRPr="00620467">
              <w:rPr>
                <w:sz w:val="18"/>
                <w:lang w:val="en-GB"/>
              </w:rPr>
              <w:t>1%; 30</w:t>
            </w:r>
          </w:p>
        </w:tc>
      </w:tr>
      <w:tr w:rsidR="00620467" w:rsidRPr="00620467" w14:paraId="78B5BEF4" w14:textId="77777777" w:rsidTr="00F91981">
        <w:tc>
          <w:tcPr>
            <w:tcW w:w="1734" w:type="pct"/>
          </w:tcPr>
          <w:p w14:paraId="435B1BF1" w14:textId="64A9C9BD" w:rsidR="00620467" w:rsidRPr="00620467" w:rsidRDefault="00620467" w:rsidP="00620467">
            <w:pPr>
              <w:rPr>
                <w:sz w:val="18"/>
                <w:lang w:val="en-GB"/>
              </w:rPr>
            </w:pPr>
            <w:r w:rsidRPr="00620467">
              <w:rPr>
                <w:sz w:val="18"/>
                <w:lang w:val="en-GB"/>
              </w:rPr>
              <w:t>Stat</w:t>
            </w:r>
            <w:r>
              <w:rPr>
                <w:sz w:val="18"/>
                <w:lang w:val="en-GB"/>
              </w:rPr>
              <w:t>.</w:t>
            </w:r>
            <w:r w:rsidRPr="00620467">
              <w:rPr>
                <w:sz w:val="18"/>
                <w:lang w:val="en-GB"/>
              </w:rPr>
              <w:t xml:space="preserve"> battery</w:t>
            </w:r>
          </w:p>
        </w:tc>
        <w:tc>
          <w:tcPr>
            <w:tcW w:w="1890" w:type="pct"/>
          </w:tcPr>
          <w:p w14:paraId="194BD048" w14:textId="77777777" w:rsidR="00620467" w:rsidRPr="00620467" w:rsidRDefault="00620467" w:rsidP="00620467">
            <w:pPr>
              <w:rPr>
                <w:sz w:val="18"/>
                <w:lang w:val="en-GB"/>
              </w:rPr>
            </w:pPr>
            <w:r w:rsidRPr="00620467">
              <w:rPr>
                <w:sz w:val="18"/>
                <w:lang w:val="en-GB"/>
              </w:rPr>
              <w:t>800 CHF/kWh</w:t>
            </w:r>
          </w:p>
        </w:tc>
        <w:tc>
          <w:tcPr>
            <w:tcW w:w="1376" w:type="pct"/>
          </w:tcPr>
          <w:p w14:paraId="0C822AEF" w14:textId="5D2290BA" w:rsidR="00620467" w:rsidRPr="00620467" w:rsidRDefault="00620467" w:rsidP="00620467">
            <w:pPr>
              <w:rPr>
                <w:sz w:val="18"/>
                <w:lang w:val="en-GB"/>
              </w:rPr>
            </w:pPr>
            <w:r w:rsidRPr="00620467">
              <w:rPr>
                <w:sz w:val="18"/>
                <w:lang w:val="en-GB"/>
              </w:rPr>
              <w:t>1%; 15</w:t>
            </w:r>
          </w:p>
        </w:tc>
      </w:tr>
      <w:tr w:rsidR="00F62C73" w:rsidRPr="00620467" w14:paraId="6E149C45" w14:textId="77777777" w:rsidTr="00F91981">
        <w:tc>
          <w:tcPr>
            <w:tcW w:w="1734" w:type="pct"/>
          </w:tcPr>
          <w:p w14:paraId="6F6B9651" w14:textId="1C75B8B0" w:rsidR="00F62C73" w:rsidRPr="00620467" w:rsidRDefault="00F62C73" w:rsidP="00620467">
            <w:pPr>
              <w:rPr>
                <w:sz w:val="18"/>
                <w:lang w:val="en-GB"/>
              </w:rPr>
            </w:pPr>
            <w:r>
              <w:rPr>
                <w:sz w:val="18"/>
                <w:lang w:val="en-GB"/>
              </w:rPr>
              <w:t>AS</w:t>
            </w:r>
            <w:r w:rsidRPr="00620467">
              <w:rPr>
                <w:sz w:val="18"/>
                <w:lang w:val="en-GB"/>
              </w:rPr>
              <w:t xml:space="preserve">HP, </w:t>
            </w:r>
            <w:r>
              <w:rPr>
                <w:sz w:val="18"/>
                <w:lang w:val="en-GB"/>
              </w:rPr>
              <w:t>15</w:t>
            </w:r>
            <w:r w:rsidRPr="00620467">
              <w:rPr>
                <w:sz w:val="18"/>
                <w:lang w:val="en-GB"/>
              </w:rPr>
              <w:t xml:space="preserve"> kW</w:t>
            </w:r>
          </w:p>
        </w:tc>
        <w:tc>
          <w:tcPr>
            <w:tcW w:w="1890" w:type="pct"/>
          </w:tcPr>
          <w:p w14:paraId="0D728F0D" w14:textId="6D933CE6" w:rsidR="00F62C73" w:rsidRPr="00620467" w:rsidRDefault="00F62C73" w:rsidP="00620467">
            <w:pPr>
              <w:rPr>
                <w:sz w:val="18"/>
                <w:lang w:val="en-GB"/>
              </w:rPr>
            </w:pPr>
            <w:r w:rsidRPr="00620467">
              <w:rPr>
                <w:sz w:val="18"/>
                <w:lang w:val="en-GB"/>
              </w:rPr>
              <w:t>2200 CHF/kW</w:t>
            </w:r>
          </w:p>
        </w:tc>
        <w:tc>
          <w:tcPr>
            <w:tcW w:w="1376" w:type="pct"/>
            <w:vMerge w:val="restart"/>
          </w:tcPr>
          <w:p w14:paraId="05D620E7" w14:textId="4378F624" w:rsidR="00F62C73" w:rsidRPr="00620467" w:rsidRDefault="00F62C73" w:rsidP="00620467">
            <w:pPr>
              <w:rPr>
                <w:sz w:val="18"/>
                <w:lang w:val="en-GB"/>
              </w:rPr>
            </w:pPr>
          </w:p>
          <w:p w14:paraId="02B8F4B2" w14:textId="77777777" w:rsidR="00F62C73" w:rsidRPr="00620467" w:rsidRDefault="00F62C73" w:rsidP="00620467">
            <w:pPr>
              <w:rPr>
                <w:sz w:val="18"/>
                <w:lang w:val="en-GB"/>
              </w:rPr>
            </w:pPr>
            <w:r w:rsidRPr="00620467">
              <w:rPr>
                <w:sz w:val="18"/>
                <w:lang w:val="en-GB"/>
              </w:rPr>
              <w:t>2%; 20</w:t>
            </w:r>
          </w:p>
          <w:p w14:paraId="17312FCC" w14:textId="77777777" w:rsidR="00F62C73" w:rsidRDefault="00F62C73" w:rsidP="00620467">
            <w:pPr>
              <w:rPr>
                <w:sz w:val="18"/>
                <w:lang w:val="en-GB"/>
              </w:rPr>
            </w:pPr>
          </w:p>
          <w:p w14:paraId="7EE68F4E" w14:textId="4538A18D" w:rsidR="00837BD4" w:rsidRPr="00620467" w:rsidRDefault="00837BD4" w:rsidP="00620467">
            <w:pPr>
              <w:rPr>
                <w:sz w:val="18"/>
                <w:lang w:val="en-GB"/>
              </w:rPr>
            </w:pPr>
          </w:p>
        </w:tc>
      </w:tr>
      <w:tr w:rsidR="00F62C73" w:rsidRPr="00620467" w14:paraId="6527C803" w14:textId="77777777" w:rsidTr="00F91981">
        <w:tc>
          <w:tcPr>
            <w:tcW w:w="1734" w:type="pct"/>
          </w:tcPr>
          <w:p w14:paraId="27BBE380" w14:textId="397E7B8E" w:rsidR="00F62C73" w:rsidRPr="00620467" w:rsidRDefault="00F62C73" w:rsidP="00620467">
            <w:pPr>
              <w:rPr>
                <w:sz w:val="18"/>
                <w:lang w:val="en-GB"/>
              </w:rPr>
            </w:pPr>
            <w:r>
              <w:rPr>
                <w:sz w:val="18"/>
                <w:lang w:val="en-GB"/>
              </w:rPr>
              <w:t>AS</w:t>
            </w:r>
            <w:r w:rsidRPr="00620467">
              <w:rPr>
                <w:sz w:val="18"/>
                <w:lang w:val="en-GB"/>
              </w:rPr>
              <w:t xml:space="preserve">HP, </w:t>
            </w:r>
            <w:r>
              <w:rPr>
                <w:sz w:val="18"/>
                <w:lang w:val="en-GB"/>
              </w:rPr>
              <w:t>2</w:t>
            </w:r>
            <w:r w:rsidRPr="00620467">
              <w:rPr>
                <w:sz w:val="18"/>
                <w:lang w:val="en-GB"/>
              </w:rPr>
              <w:t>0 kW</w:t>
            </w:r>
          </w:p>
        </w:tc>
        <w:tc>
          <w:tcPr>
            <w:tcW w:w="1890" w:type="pct"/>
          </w:tcPr>
          <w:p w14:paraId="6E1376A5" w14:textId="186A2915" w:rsidR="00F62C73" w:rsidRPr="00620467" w:rsidRDefault="00F62C73" w:rsidP="00620467">
            <w:pPr>
              <w:rPr>
                <w:sz w:val="18"/>
                <w:lang w:val="en-GB"/>
              </w:rPr>
            </w:pPr>
            <w:r w:rsidRPr="00620467">
              <w:rPr>
                <w:sz w:val="18"/>
                <w:lang w:val="en-GB"/>
              </w:rPr>
              <w:t>1900 CHF/kW</w:t>
            </w:r>
          </w:p>
        </w:tc>
        <w:tc>
          <w:tcPr>
            <w:tcW w:w="1376" w:type="pct"/>
            <w:vMerge/>
          </w:tcPr>
          <w:p w14:paraId="7BBB8D47" w14:textId="4A38F32F" w:rsidR="00F62C73" w:rsidRPr="00620467" w:rsidRDefault="00F62C73" w:rsidP="00620467">
            <w:pPr>
              <w:rPr>
                <w:sz w:val="18"/>
                <w:lang w:val="en-GB"/>
              </w:rPr>
            </w:pPr>
          </w:p>
        </w:tc>
      </w:tr>
      <w:tr w:rsidR="00F62C73" w:rsidRPr="00620467" w14:paraId="618CC729" w14:textId="77777777" w:rsidTr="00F91981">
        <w:tc>
          <w:tcPr>
            <w:tcW w:w="1734" w:type="pct"/>
          </w:tcPr>
          <w:p w14:paraId="22D832A6" w14:textId="50AC4119" w:rsidR="00F62C73" w:rsidRPr="00620467" w:rsidRDefault="00F62C73" w:rsidP="00620467">
            <w:pPr>
              <w:rPr>
                <w:sz w:val="18"/>
                <w:lang w:val="en-GB"/>
              </w:rPr>
            </w:pPr>
            <w:r>
              <w:rPr>
                <w:sz w:val="18"/>
                <w:lang w:val="en-GB"/>
              </w:rPr>
              <w:t>ASHP, 25 kW</w:t>
            </w:r>
          </w:p>
        </w:tc>
        <w:tc>
          <w:tcPr>
            <w:tcW w:w="1890" w:type="pct"/>
          </w:tcPr>
          <w:p w14:paraId="5B1BC892" w14:textId="62563B39" w:rsidR="00F62C73" w:rsidRPr="00620467" w:rsidRDefault="00F62C73" w:rsidP="00620467">
            <w:pPr>
              <w:rPr>
                <w:sz w:val="18"/>
                <w:lang w:val="en-GB"/>
              </w:rPr>
            </w:pPr>
            <w:r>
              <w:rPr>
                <w:sz w:val="18"/>
                <w:lang w:val="en-GB"/>
              </w:rPr>
              <w:t>2050 CHF/kW</w:t>
            </w:r>
          </w:p>
        </w:tc>
        <w:tc>
          <w:tcPr>
            <w:tcW w:w="1376" w:type="pct"/>
            <w:vMerge/>
          </w:tcPr>
          <w:p w14:paraId="53EA60B4" w14:textId="72B0C626" w:rsidR="00F62C73" w:rsidRPr="00620467" w:rsidRDefault="00F62C73" w:rsidP="00620467">
            <w:pPr>
              <w:rPr>
                <w:sz w:val="18"/>
                <w:lang w:val="en-GB"/>
              </w:rPr>
            </w:pPr>
          </w:p>
        </w:tc>
      </w:tr>
      <w:tr w:rsidR="00F62C73" w:rsidRPr="00620467" w14:paraId="0A8B14D8" w14:textId="77777777" w:rsidTr="00F91981">
        <w:tc>
          <w:tcPr>
            <w:tcW w:w="1734" w:type="pct"/>
          </w:tcPr>
          <w:p w14:paraId="42311898" w14:textId="69E3A651" w:rsidR="00F62C73" w:rsidRPr="00620467" w:rsidRDefault="00F62C73" w:rsidP="00620467">
            <w:pPr>
              <w:rPr>
                <w:sz w:val="18"/>
                <w:lang w:val="en-GB"/>
              </w:rPr>
            </w:pPr>
            <w:r>
              <w:rPr>
                <w:sz w:val="18"/>
                <w:lang w:val="en-GB"/>
              </w:rPr>
              <w:t>AS</w:t>
            </w:r>
            <w:r w:rsidRPr="00620467">
              <w:rPr>
                <w:sz w:val="18"/>
                <w:lang w:val="en-GB"/>
              </w:rPr>
              <w:t>HP, 50 kW</w:t>
            </w:r>
          </w:p>
        </w:tc>
        <w:tc>
          <w:tcPr>
            <w:tcW w:w="1890" w:type="pct"/>
          </w:tcPr>
          <w:p w14:paraId="70896292" w14:textId="02C61640" w:rsidR="00F62C73" w:rsidRPr="00620467" w:rsidRDefault="00F62C73" w:rsidP="00620467">
            <w:pPr>
              <w:rPr>
                <w:sz w:val="18"/>
                <w:lang w:val="en-GB"/>
              </w:rPr>
            </w:pPr>
            <w:r w:rsidRPr="00620467">
              <w:rPr>
                <w:sz w:val="18"/>
                <w:lang w:val="en-GB"/>
              </w:rPr>
              <w:t>1600 CHF/kW</w:t>
            </w:r>
          </w:p>
        </w:tc>
        <w:tc>
          <w:tcPr>
            <w:tcW w:w="1376" w:type="pct"/>
            <w:vMerge/>
          </w:tcPr>
          <w:p w14:paraId="619775B2" w14:textId="44122407" w:rsidR="00F62C73" w:rsidRPr="00620467" w:rsidRDefault="00F62C73" w:rsidP="00620467">
            <w:pPr>
              <w:rPr>
                <w:sz w:val="18"/>
                <w:lang w:val="en-GB"/>
              </w:rPr>
            </w:pPr>
          </w:p>
        </w:tc>
      </w:tr>
      <w:tr w:rsidR="00F62C73" w:rsidRPr="00620467" w14:paraId="1AB5F402" w14:textId="77777777" w:rsidTr="00F91981">
        <w:tc>
          <w:tcPr>
            <w:tcW w:w="1734" w:type="pct"/>
          </w:tcPr>
          <w:p w14:paraId="0054DCEA" w14:textId="3B5CFA89" w:rsidR="00F62C73" w:rsidRDefault="00F62C73" w:rsidP="00620467">
            <w:pPr>
              <w:rPr>
                <w:sz w:val="18"/>
                <w:lang w:val="en-GB"/>
              </w:rPr>
            </w:pPr>
            <w:r>
              <w:rPr>
                <w:sz w:val="18"/>
                <w:lang w:val="en-GB"/>
              </w:rPr>
              <w:t>GSHP, 15 kW</w:t>
            </w:r>
          </w:p>
        </w:tc>
        <w:tc>
          <w:tcPr>
            <w:tcW w:w="1890" w:type="pct"/>
          </w:tcPr>
          <w:p w14:paraId="52ABA492" w14:textId="5E3F19D3" w:rsidR="00F62C73" w:rsidRPr="00620467" w:rsidRDefault="00F62C73" w:rsidP="00620467">
            <w:pPr>
              <w:rPr>
                <w:sz w:val="18"/>
                <w:lang w:val="en-GB"/>
              </w:rPr>
            </w:pPr>
            <w:r>
              <w:rPr>
                <w:sz w:val="18"/>
                <w:lang w:val="en-GB"/>
              </w:rPr>
              <w:t>4250 CHF/kW</w:t>
            </w:r>
          </w:p>
        </w:tc>
        <w:tc>
          <w:tcPr>
            <w:tcW w:w="1376" w:type="pct"/>
          </w:tcPr>
          <w:p w14:paraId="1DD54B49" w14:textId="77777777" w:rsidR="00F62C73" w:rsidRPr="00620467" w:rsidRDefault="00F62C73" w:rsidP="00620467">
            <w:pPr>
              <w:rPr>
                <w:sz w:val="18"/>
                <w:lang w:val="en-GB"/>
              </w:rPr>
            </w:pPr>
          </w:p>
        </w:tc>
      </w:tr>
      <w:tr w:rsidR="00F62C73" w:rsidRPr="00620467" w14:paraId="72C97975" w14:textId="77777777" w:rsidTr="00F91981">
        <w:tc>
          <w:tcPr>
            <w:tcW w:w="1734" w:type="pct"/>
          </w:tcPr>
          <w:p w14:paraId="481C7754" w14:textId="14464443" w:rsidR="00F62C73" w:rsidRDefault="00F62C73" w:rsidP="00620467">
            <w:pPr>
              <w:rPr>
                <w:sz w:val="18"/>
                <w:lang w:val="en-GB"/>
              </w:rPr>
            </w:pPr>
            <w:r>
              <w:rPr>
                <w:sz w:val="18"/>
                <w:lang w:val="en-GB"/>
              </w:rPr>
              <w:t>GSHP, 20 kW</w:t>
            </w:r>
          </w:p>
        </w:tc>
        <w:tc>
          <w:tcPr>
            <w:tcW w:w="1890" w:type="pct"/>
          </w:tcPr>
          <w:p w14:paraId="071ABF24" w14:textId="5E4313EB" w:rsidR="00F62C73" w:rsidRPr="00620467" w:rsidRDefault="00F62C73" w:rsidP="00620467">
            <w:pPr>
              <w:rPr>
                <w:sz w:val="18"/>
                <w:lang w:val="en-GB"/>
              </w:rPr>
            </w:pPr>
            <w:r>
              <w:rPr>
                <w:sz w:val="18"/>
                <w:lang w:val="en-GB"/>
              </w:rPr>
              <w:t>4100 CHF/kW</w:t>
            </w:r>
          </w:p>
        </w:tc>
        <w:tc>
          <w:tcPr>
            <w:tcW w:w="1376" w:type="pct"/>
          </w:tcPr>
          <w:p w14:paraId="28237197" w14:textId="6097E9CD" w:rsidR="00F62C73" w:rsidRPr="00620467" w:rsidRDefault="00837BD4" w:rsidP="00620467">
            <w:pPr>
              <w:rPr>
                <w:sz w:val="18"/>
                <w:lang w:val="en-GB"/>
              </w:rPr>
            </w:pPr>
            <w:r w:rsidRPr="00620467">
              <w:rPr>
                <w:sz w:val="18"/>
                <w:lang w:val="en-GB"/>
              </w:rPr>
              <w:t>2%; 20</w:t>
            </w:r>
          </w:p>
        </w:tc>
      </w:tr>
      <w:tr w:rsidR="00F62C73" w:rsidRPr="00620467" w14:paraId="5A712084" w14:textId="77777777" w:rsidTr="00F91981">
        <w:tc>
          <w:tcPr>
            <w:tcW w:w="1734" w:type="pct"/>
          </w:tcPr>
          <w:p w14:paraId="24DCD45C" w14:textId="116D0FD2" w:rsidR="00F62C73" w:rsidRDefault="00F62C73" w:rsidP="00620467">
            <w:pPr>
              <w:rPr>
                <w:sz w:val="18"/>
                <w:lang w:val="en-GB"/>
              </w:rPr>
            </w:pPr>
            <w:r>
              <w:rPr>
                <w:sz w:val="18"/>
                <w:lang w:val="en-GB"/>
              </w:rPr>
              <w:t>GSHP, 25 kW</w:t>
            </w:r>
          </w:p>
        </w:tc>
        <w:tc>
          <w:tcPr>
            <w:tcW w:w="1890" w:type="pct"/>
          </w:tcPr>
          <w:p w14:paraId="46CB979A" w14:textId="774A93AF" w:rsidR="00F62C73" w:rsidRPr="00620467" w:rsidRDefault="00F62C73" w:rsidP="00620467">
            <w:pPr>
              <w:rPr>
                <w:sz w:val="18"/>
                <w:lang w:val="en-GB"/>
              </w:rPr>
            </w:pPr>
            <w:r>
              <w:rPr>
                <w:sz w:val="18"/>
                <w:lang w:val="en-GB"/>
              </w:rPr>
              <w:t>3850 CHF/kW</w:t>
            </w:r>
          </w:p>
        </w:tc>
        <w:tc>
          <w:tcPr>
            <w:tcW w:w="1376" w:type="pct"/>
          </w:tcPr>
          <w:p w14:paraId="0B83CD8C" w14:textId="77777777" w:rsidR="00F62C73" w:rsidRPr="00620467" w:rsidRDefault="00F62C73" w:rsidP="00620467">
            <w:pPr>
              <w:rPr>
                <w:sz w:val="18"/>
                <w:lang w:val="en-GB"/>
              </w:rPr>
            </w:pPr>
          </w:p>
        </w:tc>
      </w:tr>
      <w:tr w:rsidR="00F62C73" w:rsidRPr="00620467" w14:paraId="7B30F59B" w14:textId="77777777" w:rsidTr="00F91981">
        <w:tc>
          <w:tcPr>
            <w:tcW w:w="1734" w:type="pct"/>
          </w:tcPr>
          <w:p w14:paraId="713B84C4" w14:textId="7D9BB845" w:rsidR="00F62C73" w:rsidRDefault="00F62C73" w:rsidP="00620467">
            <w:pPr>
              <w:rPr>
                <w:sz w:val="18"/>
                <w:lang w:val="en-GB"/>
              </w:rPr>
            </w:pPr>
            <w:r>
              <w:rPr>
                <w:sz w:val="18"/>
                <w:lang w:val="en-GB"/>
              </w:rPr>
              <w:t>GSHP, 50 kW</w:t>
            </w:r>
          </w:p>
        </w:tc>
        <w:tc>
          <w:tcPr>
            <w:tcW w:w="1890" w:type="pct"/>
          </w:tcPr>
          <w:p w14:paraId="136151FC" w14:textId="2C4A8C6F" w:rsidR="00F62C73" w:rsidRPr="00620467" w:rsidRDefault="00F62C73" w:rsidP="00620467">
            <w:pPr>
              <w:rPr>
                <w:sz w:val="18"/>
                <w:lang w:val="en-GB"/>
              </w:rPr>
            </w:pPr>
            <w:r>
              <w:rPr>
                <w:sz w:val="18"/>
                <w:lang w:val="en-GB"/>
              </w:rPr>
              <w:t>3300 CHF/kW</w:t>
            </w:r>
          </w:p>
        </w:tc>
        <w:tc>
          <w:tcPr>
            <w:tcW w:w="1376" w:type="pct"/>
          </w:tcPr>
          <w:p w14:paraId="1792F0EA" w14:textId="77777777" w:rsidR="00F62C73" w:rsidRPr="00620467" w:rsidRDefault="00F62C73" w:rsidP="00620467">
            <w:pPr>
              <w:rPr>
                <w:sz w:val="18"/>
                <w:lang w:val="en-GB"/>
              </w:rPr>
            </w:pPr>
          </w:p>
        </w:tc>
      </w:tr>
      <w:tr w:rsidR="00620467" w:rsidRPr="00620467" w14:paraId="105015B3" w14:textId="77777777" w:rsidTr="00F91981">
        <w:tc>
          <w:tcPr>
            <w:tcW w:w="1734" w:type="pct"/>
          </w:tcPr>
          <w:p w14:paraId="14AB5A85" w14:textId="77777777" w:rsidR="00620467" w:rsidRPr="00620467" w:rsidRDefault="00620467" w:rsidP="00620467">
            <w:pPr>
              <w:rPr>
                <w:sz w:val="18"/>
                <w:lang w:val="en-GB"/>
              </w:rPr>
            </w:pPr>
            <w:r w:rsidRPr="00620467">
              <w:rPr>
                <w:sz w:val="18"/>
                <w:lang w:val="en-GB"/>
              </w:rPr>
              <w:t>DHW TES</w:t>
            </w:r>
          </w:p>
        </w:tc>
        <w:tc>
          <w:tcPr>
            <w:tcW w:w="1890" w:type="pct"/>
          </w:tcPr>
          <w:p w14:paraId="0CBC4EB3" w14:textId="077D58FC" w:rsidR="00620467" w:rsidRPr="00620467" w:rsidRDefault="00063FF2" w:rsidP="00620467">
            <w:pPr>
              <w:rPr>
                <w:sz w:val="18"/>
                <w:lang w:val="en-GB"/>
              </w:rPr>
            </w:pPr>
            <w:r>
              <w:rPr>
                <w:sz w:val="18"/>
                <w:lang w:val="en-GB"/>
              </w:rPr>
              <w:t>2</w:t>
            </w:r>
            <w:r w:rsidR="00620467" w:rsidRPr="00620467">
              <w:rPr>
                <w:sz w:val="18"/>
                <w:lang w:val="en-GB"/>
              </w:rPr>
              <w:t>000 CHF/m³</w:t>
            </w:r>
          </w:p>
        </w:tc>
        <w:tc>
          <w:tcPr>
            <w:tcW w:w="1376" w:type="pct"/>
          </w:tcPr>
          <w:p w14:paraId="2F23ED37" w14:textId="49D7CD6E" w:rsidR="00620467" w:rsidRPr="00620467" w:rsidRDefault="00620467" w:rsidP="00620467">
            <w:pPr>
              <w:rPr>
                <w:sz w:val="18"/>
                <w:lang w:val="en-GB"/>
              </w:rPr>
            </w:pPr>
            <w:r w:rsidRPr="00620467">
              <w:rPr>
                <w:sz w:val="18"/>
                <w:lang w:val="en-GB"/>
              </w:rPr>
              <w:t>1%; 30</w:t>
            </w:r>
          </w:p>
        </w:tc>
      </w:tr>
      <w:tr w:rsidR="00620467" w:rsidRPr="00620467" w14:paraId="0942FC84" w14:textId="77777777" w:rsidTr="00F91981">
        <w:tc>
          <w:tcPr>
            <w:tcW w:w="1734" w:type="pct"/>
          </w:tcPr>
          <w:p w14:paraId="6B5D28C6" w14:textId="77777777" w:rsidR="00620467" w:rsidRPr="00620467" w:rsidRDefault="00620467" w:rsidP="00620467">
            <w:pPr>
              <w:rPr>
                <w:sz w:val="18"/>
                <w:lang w:val="en-GB"/>
              </w:rPr>
            </w:pPr>
            <w:r w:rsidRPr="00620467">
              <w:rPr>
                <w:sz w:val="18"/>
                <w:lang w:val="en-GB"/>
              </w:rPr>
              <w:t>X-to-Energy converter</w:t>
            </w:r>
          </w:p>
        </w:tc>
        <w:tc>
          <w:tcPr>
            <w:tcW w:w="1890" w:type="pct"/>
          </w:tcPr>
          <w:p w14:paraId="6FF22F56" w14:textId="77777777" w:rsidR="00620467" w:rsidRPr="00620467" w:rsidRDefault="00620467" w:rsidP="00620467">
            <w:pPr>
              <w:rPr>
                <w:sz w:val="18"/>
                <w:lang w:val="en-GB"/>
              </w:rPr>
            </w:pPr>
            <w:r w:rsidRPr="00620467">
              <w:rPr>
                <w:sz w:val="18"/>
                <w:lang w:val="en-GB"/>
              </w:rPr>
              <w:t>see Tab. A.3</w:t>
            </w:r>
          </w:p>
        </w:tc>
        <w:tc>
          <w:tcPr>
            <w:tcW w:w="1376" w:type="pct"/>
          </w:tcPr>
          <w:p w14:paraId="390ED660" w14:textId="3A167037" w:rsidR="00620467" w:rsidRPr="00620467" w:rsidRDefault="00620467" w:rsidP="00620467">
            <w:pPr>
              <w:rPr>
                <w:sz w:val="18"/>
                <w:lang w:val="en-GB"/>
              </w:rPr>
            </w:pPr>
            <w:r w:rsidRPr="00620467">
              <w:rPr>
                <w:sz w:val="18"/>
                <w:lang w:val="en-GB"/>
              </w:rPr>
              <w:t>3–5%</w:t>
            </w:r>
            <w:r>
              <w:rPr>
                <w:sz w:val="18"/>
                <w:lang w:val="en-GB"/>
              </w:rPr>
              <w:t xml:space="preserve">; </w:t>
            </w:r>
            <w:r w:rsidRPr="00620467">
              <w:rPr>
                <w:sz w:val="18"/>
                <w:lang w:val="en-GB"/>
              </w:rPr>
              <w:t>20</w:t>
            </w:r>
          </w:p>
        </w:tc>
      </w:tr>
      <w:tr w:rsidR="00620467" w:rsidRPr="00620467" w14:paraId="1C56CFF5" w14:textId="77777777" w:rsidTr="00F91981">
        <w:tc>
          <w:tcPr>
            <w:tcW w:w="1734" w:type="pct"/>
          </w:tcPr>
          <w:p w14:paraId="69DE0D0C" w14:textId="77777777" w:rsidR="00620467" w:rsidRPr="00620467" w:rsidRDefault="00620467" w:rsidP="00620467">
            <w:pPr>
              <w:rPr>
                <w:sz w:val="18"/>
                <w:lang w:val="en-GB"/>
              </w:rPr>
            </w:pPr>
            <w:r w:rsidRPr="00620467">
              <w:rPr>
                <w:sz w:val="18"/>
                <w:lang w:val="en-GB"/>
              </w:rPr>
              <w:t>X-carrier storage</w:t>
            </w:r>
          </w:p>
        </w:tc>
        <w:tc>
          <w:tcPr>
            <w:tcW w:w="1890" w:type="pct"/>
          </w:tcPr>
          <w:p w14:paraId="06A76EF0" w14:textId="77777777" w:rsidR="00620467" w:rsidRPr="00620467" w:rsidRDefault="00620467" w:rsidP="00620467">
            <w:pPr>
              <w:rPr>
                <w:sz w:val="18"/>
                <w:lang w:val="en-GB"/>
              </w:rPr>
            </w:pPr>
            <w:r w:rsidRPr="00620467">
              <w:rPr>
                <w:sz w:val="18"/>
                <w:lang w:val="en-GB"/>
              </w:rPr>
              <w:t>see Tab. A.3</w:t>
            </w:r>
          </w:p>
        </w:tc>
        <w:tc>
          <w:tcPr>
            <w:tcW w:w="1376" w:type="pct"/>
          </w:tcPr>
          <w:p w14:paraId="60579E0A" w14:textId="1A53D2D2" w:rsidR="00620467" w:rsidRPr="00620467" w:rsidRDefault="00620467" w:rsidP="00620467">
            <w:pPr>
              <w:rPr>
                <w:sz w:val="18"/>
                <w:lang w:val="en-GB"/>
              </w:rPr>
            </w:pPr>
            <w:r w:rsidRPr="00620467">
              <w:rPr>
                <w:sz w:val="18"/>
                <w:lang w:val="en-GB"/>
              </w:rPr>
              <w:t>1%; 20</w:t>
            </w:r>
          </w:p>
        </w:tc>
      </w:tr>
      <w:tr w:rsidR="00620467" w:rsidRPr="00620467" w14:paraId="600964A9" w14:textId="77777777" w:rsidTr="00F91981">
        <w:tc>
          <w:tcPr>
            <w:tcW w:w="1734" w:type="pct"/>
          </w:tcPr>
          <w:p w14:paraId="4974BA2D" w14:textId="77777777" w:rsidR="00620467" w:rsidRPr="00620467" w:rsidRDefault="00620467" w:rsidP="00620467">
            <w:pPr>
              <w:rPr>
                <w:sz w:val="18"/>
                <w:lang w:val="en-GB"/>
              </w:rPr>
            </w:pPr>
            <w:r w:rsidRPr="00620467">
              <w:rPr>
                <w:sz w:val="18"/>
                <w:lang w:val="en-GB"/>
              </w:rPr>
              <w:t>Discount rate</w:t>
            </w:r>
          </w:p>
        </w:tc>
        <w:tc>
          <w:tcPr>
            <w:tcW w:w="1890" w:type="pct"/>
          </w:tcPr>
          <w:p w14:paraId="1E1737D3" w14:textId="77777777" w:rsidR="00620467" w:rsidRPr="00620467" w:rsidRDefault="00620467" w:rsidP="00620467">
            <w:pPr>
              <w:rPr>
                <w:sz w:val="18"/>
                <w:lang w:val="en-GB"/>
              </w:rPr>
            </w:pPr>
            <w:r w:rsidRPr="00620467">
              <w:rPr>
                <w:sz w:val="18"/>
                <w:lang w:val="en-GB"/>
              </w:rPr>
              <w:t>3%</w:t>
            </w:r>
          </w:p>
        </w:tc>
        <w:tc>
          <w:tcPr>
            <w:tcW w:w="1376" w:type="pct"/>
          </w:tcPr>
          <w:p w14:paraId="7BC56D92" w14:textId="77777777" w:rsidR="00620467" w:rsidRPr="00620467" w:rsidRDefault="00620467" w:rsidP="00620467">
            <w:pPr>
              <w:rPr>
                <w:sz w:val="18"/>
                <w:lang w:val="en-GB"/>
              </w:rPr>
            </w:pPr>
            <w:r w:rsidRPr="00620467">
              <w:rPr>
                <w:sz w:val="18"/>
                <w:lang w:val="en-GB"/>
              </w:rPr>
              <w:t>–</w:t>
            </w:r>
          </w:p>
        </w:tc>
      </w:tr>
    </w:tbl>
    <w:p w14:paraId="04BBFBB1" w14:textId="77777777" w:rsidR="0027593A" w:rsidRDefault="0027593A" w:rsidP="00A74728">
      <w:pPr>
        <w:pStyle w:val="SWCText"/>
      </w:pPr>
    </w:p>
    <w:p w14:paraId="166E9AF4" w14:textId="3A664742" w:rsidR="00620467" w:rsidRPr="00245D8B" w:rsidRDefault="0027593A" w:rsidP="00A74728">
      <w:pPr>
        <w:pStyle w:val="SWCText"/>
        <w:rPr>
          <w:sz w:val="18"/>
          <w:szCs w:val="18"/>
        </w:rPr>
      </w:pPr>
      <w:r w:rsidRPr="00245D8B">
        <w:rPr>
          <w:sz w:val="18"/>
          <w:szCs w:val="18"/>
        </w:rPr>
        <w:t>Electricity tariffs time-resolved ≈0.30 CHF/kWh import; ≈0.07 CHF/kWh export</w:t>
      </w:r>
      <w:r w:rsidR="00A74728" w:rsidRPr="00245D8B">
        <w:rPr>
          <w:sz w:val="18"/>
          <w:szCs w:val="18"/>
        </w:rPr>
        <w:t>; not fixed tariff inputs.</w:t>
      </w:r>
    </w:p>
    <w:p w14:paraId="47A61291" w14:textId="77E226A9" w:rsidR="00CE306B" w:rsidRPr="00A74728" w:rsidRDefault="00CE306B" w:rsidP="00A74728">
      <w:pPr>
        <w:pStyle w:val="SWCText"/>
        <w:rPr>
          <w:i/>
          <w:sz w:val="18"/>
          <w:szCs w:val="18"/>
          <w:lang w:val="en-GB"/>
        </w:rPr>
      </w:pPr>
      <w:r>
        <w:rPr>
          <w:sz w:val="18"/>
          <w:szCs w:val="18"/>
        </w:rPr>
        <w:t xml:space="preserve">Additional tariff scenario + </w:t>
      </w:r>
      <w:r w:rsidR="00611B68">
        <w:rPr>
          <w:sz w:val="18"/>
          <w:szCs w:val="18"/>
        </w:rPr>
        <w:t>6</w:t>
      </w:r>
      <w:r>
        <w:rPr>
          <w:sz w:val="18"/>
          <w:szCs w:val="18"/>
        </w:rPr>
        <w:t xml:space="preserve"> </w:t>
      </w:r>
      <w:proofErr w:type="gramStart"/>
      <w:r>
        <w:rPr>
          <w:sz w:val="18"/>
          <w:szCs w:val="18"/>
        </w:rPr>
        <w:t>Rp./</w:t>
      </w:r>
      <w:proofErr w:type="gramEnd"/>
      <w:r>
        <w:rPr>
          <w:sz w:val="18"/>
          <w:szCs w:val="18"/>
        </w:rPr>
        <w:t xml:space="preserve">kWh in </w:t>
      </w:r>
      <w:r w:rsidR="00611B68">
        <w:rPr>
          <w:sz w:val="18"/>
          <w:szCs w:val="18"/>
        </w:rPr>
        <w:t>w</w:t>
      </w:r>
      <w:r>
        <w:rPr>
          <w:sz w:val="18"/>
          <w:szCs w:val="18"/>
        </w:rPr>
        <w:t xml:space="preserve">inter and - </w:t>
      </w:r>
      <w:r w:rsidR="00611B68">
        <w:rPr>
          <w:sz w:val="18"/>
          <w:szCs w:val="18"/>
        </w:rPr>
        <w:t>6</w:t>
      </w:r>
      <w:r>
        <w:rPr>
          <w:sz w:val="18"/>
          <w:szCs w:val="18"/>
        </w:rPr>
        <w:t xml:space="preserve"> </w:t>
      </w:r>
      <w:proofErr w:type="gramStart"/>
      <w:r>
        <w:rPr>
          <w:sz w:val="18"/>
          <w:szCs w:val="18"/>
        </w:rPr>
        <w:t>R</w:t>
      </w:r>
      <w:r w:rsidR="00611B68">
        <w:rPr>
          <w:sz w:val="18"/>
          <w:szCs w:val="18"/>
        </w:rPr>
        <w:t>p</w:t>
      </w:r>
      <w:r>
        <w:rPr>
          <w:sz w:val="18"/>
          <w:szCs w:val="18"/>
        </w:rPr>
        <w:t>./</w:t>
      </w:r>
      <w:proofErr w:type="gramEnd"/>
      <w:r>
        <w:rPr>
          <w:sz w:val="18"/>
          <w:szCs w:val="18"/>
        </w:rPr>
        <w:t xml:space="preserve">kWh in </w:t>
      </w:r>
      <w:r w:rsidR="00611B68">
        <w:rPr>
          <w:sz w:val="18"/>
          <w:szCs w:val="18"/>
        </w:rPr>
        <w:t>s</w:t>
      </w:r>
      <w:r>
        <w:rPr>
          <w:sz w:val="18"/>
          <w:szCs w:val="18"/>
        </w:rPr>
        <w:t>ummer</w:t>
      </w:r>
      <w:r w:rsidR="00611B68">
        <w:rPr>
          <w:sz w:val="18"/>
          <w:szCs w:val="18"/>
        </w:rPr>
        <w:t xml:space="preserve"> based on predicted future scenario</w:t>
      </w:r>
    </w:p>
    <w:p w14:paraId="48018981" w14:textId="1254931E" w:rsidR="00C364AB" w:rsidRPr="00245D8B" w:rsidRDefault="00245D8B" w:rsidP="00245D8B">
      <w:pPr>
        <w:pStyle w:val="SWCText"/>
        <w:rPr>
          <w:sz w:val="18"/>
          <w:szCs w:val="18"/>
        </w:rPr>
      </w:pPr>
      <w:r>
        <w:rPr>
          <w:sz w:val="18"/>
          <w:szCs w:val="18"/>
        </w:rPr>
        <w:t xml:space="preserve">Currency basis: CHF; indicative exchange rate: 1 CHF </w:t>
      </w:r>
      <w:r>
        <w:t xml:space="preserve">≈ 1.07 </w:t>
      </w:r>
      <w:r w:rsidR="006C19F8">
        <w:t>EUR</w:t>
      </w:r>
      <w:r>
        <w:t xml:space="preserve"> (28 Aug. 2026)</w:t>
      </w:r>
    </w:p>
    <w:p w14:paraId="70334DA2" w14:textId="77777777" w:rsidR="00C364AB" w:rsidRDefault="00C364AB" w:rsidP="00620467">
      <w:pPr>
        <w:pStyle w:val="SWCTableFigureCaption"/>
      </w:pPr>
    </w:p>
    <w:p w14:paraId="2F90798D" w14:textId="77777777" w:rsidR="00245D8B" w:rsidRDefault="00245D8B" w:rsidP="00620467">
      <w:pPr>
        <w:pStyle w:val="SWCTableFigureCaption"/>
      </w:pPr>
    </w:p>
    <w:p w14:paraId="101B0470" w14:textId="77777777" w:rsidR="00CE306B" w:rsidRDefault="00CE306B" w:rsidP="00620467">
      <w:pPr>
        <w:pStyle w:val="SWCTableFigureCaption"/>
      </w:pPr>
    </w:p>
    <w:p w14:paraId="561AA384" w14:textId="239D9727" w:rsidR="00620467" w:rsidRPr="00620467" w:rsidRDefault="00620467" w:rsidP="00620467">
      <w:pPr>
        <w:pStyle w:val="SWCTableFigureCaption"/>
        <w:rPr>
          <w:i/>
          <w:sz w:val="20"/>
        </w:rPr>
      </w:pPr>
      <w:r>
        <w:t xml:space="preserve">Tab. A.3: </w:t>
      </w:r>
      <w:r w:rsidR="0027593A">
        <w:t>Carrier-specific economic and storage assumptions. Values are given as low/average/high.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
        <w:gridCol w:w="1590"/>
        <w:gridCol w:w="1590"/>
      </w:tblGrid>
      <w:tr w:rsidR="008A64D4" w:rsidRPr="008A64D4" w14:paraId="056AE2C8" w14:textId="77777777" w:rsidTr="00A74728">
        <w:tc>
          <w:tcPr>
            <w:tcW w:w="1250" w:type="pct"/>
            <w:tcBorders>
              <w:top w:val="single" w:sz="4" w:space="0" w:color="auto"/>
              <w:bottom w:val="single" w:sz="4" w:space="0" w:color="auto"/>
            </w:tcBorders>
          </w:tcPr>
          <w:p w14:paraId="7960AEA0" w14:textId="293D18C7" w:rsidR="008A64D4" w:rsidRPr="008A64D4" w:rsidRDefault="00C132C1" w:rsidP="008A64D4">
            <w:pPr>
              <w:pStyle w:val="SWCText"/>
              <w:rPr>
                <w:sz w:val="18"/>
                <w:szCs w:val="18"/>
              </w:rPr>
            </w:pPr>
            <w:r>
              <w:rPr>
                <w:sz w:val="18"/>
                <w:szCs w:val="18"/>
              </w:rPr>
              <w:t>X-carrier</w:t>
            </w:r>
          </w:p>
        </w:tc>
        <w:tc>
          <w:tcPr>
            <w:tcW w:w="1875" w:type="pct"/>
            <w:tcBorders>
              <w:top w:val="single" w:sz="4" w:space="0" w:color="auto"/>
              <w:bottom w:val="single" w:sz="4" w:space="0" w:color="auto"/>
            </w:tcBorders>
          </w:tcPr>
          <w:p w14:paraId="0D18179B" w14:textId="77777777" w:rsidR="008A64D4" w:rsidRPr="008A64D4" w:rsidRDefault="008A64D4" w:rsidP="008A64D4">
            <w:pPr>
              <w:pStyle w:val="SWCText"/>
              <w:rPr>
                <w:sz w:val="18"/>
                <w:szCs w:val="18"/>
              </w:rPr>
            </w:pPr>
            <w:r w:rsidRPr="008A64D4">
              <w:rPr>
                <w:sz w:val="18"/>
                <w:szCs w:val="18"/>
              </w:rPr>
              <w:t>Carrier price and converter assumptions</w:t>
            </w:r>
          </w:p>
        </w:tc>
        <w:tc>
          <w:tcPr>
            <w:tcW w:w="1875" w:type="pct"/>
            <w:tcBorders>
              <w:top w:val="single" w:sz="4" w:space="0" w:color="auto"/>
              <w:bottom w:val="single" w:sz="4" w:space="0" w:color="auto"/>
            </w:tcBorders>
          </w:tcPr>
          <w:p w14:paraId="704E42F0" w14:textId="77777777" w:rsidR="008A64D4" w:rsidRPr="008A64D4" w:rsidRDefault="008A64D4" w:rsidP="008A64D4">
            <w:pPr>
              <w:pStyle w:val="SWCText"/>
              <w:rPr>
                <w:sz w:val="18"/>
                <w:szCs w:val="18"/>
              </w:rPr>
            </w:pPr>
            <w:r w:rsidRPr="008A64D4">
              <w:rPr>
                <w:sz w:val="18"/>
                <w:szCs w:val="18"/>
              </w:rPr>
              <w:t>Storage assumption</w:t>
            </w:r>
          </w:p>
        </w:tc>
      </w:tr>
      <w:tr w:rsidR="008A64D4" w:rsidRPr="00611B68" w14:paraId="45C45020" w14:textId="77777777" w:rsidTr="00A74728">
        <w:tc>
          <w:tcPr>
            <w:tcW w:w="1250" w:type="pct"/>
            <w:tcBorders>
              <w:top w:val="single" w:sz="4" w:space="0" w:color="auto"/>
            </w:tcBorders>
          </w:tcPr>
          <w:p w14:paraId="708AD437" w14:textId="77777777" w:rsidR="008A64D4" w:rsidRPr="008A64D4" w:rsidRDefault="008A64D4" w:rsidP="008A64D4">
            <w:pPr>
              <w:pStyle w:val="SWCText"/>
              <w:rPr>
                <w:sz w:val="18"/>
                <w:szCs w:val="18"/>
                <w:lang w:val="pt-PT"/>
              </w:rPr>
            </w:pPr>
            <w:r w:rsidRPr="008A64D4">
              <w:rPr>
                <w:sz w:val="18"/>
                <w:szCs w:val="18"/>
                <w:lang w:val="pt-PT"/>
              </w:rPr>
              <w:t>Aluminium</w:t>
            </w:r>
          </w:p>
        </w:tc>
        <w:tc>
          <w:tcPr>
            <w:tcW w:w="1875" w:type="pct"/>
            <w:tcBorders>
              <w:top w:val="single" w:sz="4" w:space="0" w:color="auto"/>
            </w:tcBorders>
          </w:tcPr>
          <w:p w14:paraId="18FC3FB6" w14:textId="43FB947E" w:rsidR="008A64D4" w:rsidRPr="008A64D4" w:rsidRDefault="008A64D4" w:rsidP="008A64D4">
            <w:pPr>
              <w:pStyle w:val="SWCText"/>
              <w:rPr>
                <w:sz w:val="18"/>
                <w:szCs w:val="18"/>
                <w:lang w:val="pt-PT"/>
              </w:rPr>
            </w:pPr>
            <w:r w:rsidRPr="008A64D4">
              <w:rPr>
                <w:sz w:val="18"/>
                <w:szCs w:val="18"/>
                <w:lang w:val="pt-PT"/>
              </w:rPr>
              <w:t>1.60/2.00/2.40 CHF/kg; 850/1,400/2,350 CHF/kW; O&amp;M</w:t>
            </w:r>
            <w:r w:rsidR="00611B68">
              <w:rPr>
                <w:sz w:val="18"/>
                <w:szCs w:val="18"/>
                <w:lang w:val="pt-PT"/>
              </w:rPr>
              <w:t> </w:t>
            </w:r>
            <w:r w:rsidRPr="008A64D4">
              <w:rPr>
                <w:sz w:val="18"/>
                <w:szCs w:val="18"/>
                <w:lang w:val="pt-PT"/>
              </w:rPr>
              <w:t>5%/a</w:t>
            </w:r>
          </w:p>
        </w:tc>
        <w:tc>
          <w:tcPr>
            <w:tcW w:w="1875" w:type="pct"/>
            <w:tcBorders>
              <w:top w:val="single" w:sz="4" w:space="0" w:color="auto"/>
            </w:tcBorders>
          </w:tcPr>
          <w:p w14:paraId="2024FB2A" w14:textId="45040BEE" w:rsidR="008A64D4" w:rsidRPr="008A64D4" w:rsidRDefault="00611B68" w:rsidP="00EA2BFC">
            <w:pPr>
              <w:pStyle w:val="SWCText"/>
              <w:jc w:val="left"/>
              <w:rPr>
                <w:sz w:val="18"/>
                <w:szCs w:val="18"/>
              </w:rPr>
            </w:pPr>
            <w:r w:rsidRPr="00611B68">
              <w:rPr>
                <w:sz w:val="18"/>
                <w:szCs w:val="18"/>
                <w:lang w:val="en-GB"/>
              </w:rPr>
              <w:t>2</w:t>
            </w:r>
            <w:r w:rsidR="008A64D4" w:rsidRPr="00611B68">
              <w:rPr>
                <w:sz w:val="18"/>
                <w:szCs w:val="18"/>
                <w:lang w:val="en-GB"/>
              </w:rPr>
              <w:t>,</w:t>
            </w:r>
            <w:r w:rsidRPr="00611B68">
              <w:rPr>
                <w:sz w:val="18"/>
                <w:szCs w:val="18"/>
                <w:lang w:val="en-GB"/>
              </w:rPr>
              <w:t>25</w:t>
            </w:r>
            <w:r w:rsidR="008A64D4" w:rsidRPr="00611B68">
              <w:rPr>
                <w:sz w:val="18"/>
                <w:szCs w:val="18"/>
                <w:lang w:val="en-GB"/>
              </w:rPr>
              <w:t xml:space="preserve">0 kg; approx. </w:t>
            </w:r>
            <w:r>
              <w:rPr>
                <w:sz w:val="18"/>
                <w:szCs w:val="18"/>
              </w:rPr>
              <w:t>1.3 + 2.6</w:t>
            </w:r>
            <w:r w:rsidR="008A64D4" w:rsidRPr="008A64D4">
              <w:rPr>
                <w:sz w:val="18"/>
                <w:szCs w:val="18"/>
              </w:rPr>
              <w:t xml:space="preserve"> m³;</w:t>
            </w:r>
            <w:r>
              <w:rPr>
                <w:sz w:val="18"/>
                <w:szCs w:val="18"/>
              </w:rPr>
              <w:t xml:space="preserve"> 3 CHF/kg</w:t>
            </w:r>
            <w:r w:rsidR="008A64D4" w:rsidRPr="008A64D4">
              <w:rPr>
                <w:sz w:val="18"/>
                <w:szCs w:val="18"/>
              </w:rPr>
              <w:t xml:space="preserve"> </w:t>
            </w:r>
          </w:p>
        </w:tc>
      </w:tr>
      <w:tr w:rsidR="008A64D4" w:rsidRPr="009A1431" w14:paraId="1BC66FA1" w14:textId="77777777" w:rsidTr="00A74728">
        <w:tc>
          <w:tcPr>
            <w:tcW w:w="1250" w:type="pct"/>
          </w:tcPr>
          <w:p w14:paraId="1742BB9C" w14:textId="77777777" w:rsidR="008A64D4" w:rsidRPr="008A64D4" w:rsidRDefault="008A64D4" w:rsidP="008A64D4">
            <w:pPr>
              <w:pStyle w:val="SWCText"/>
              <w:rPr>
                <w:sz w:val="18"/>
                <w:szCs w:val="18"/>
              </w:rPr>
            </w:pPr>
            <w:r w:rsidRPr="008A64D4">
              <w:rPr>
                <w:sz w:val="18"/>
                <w:szCs w:val="18"/>
              </w:rPr>
              <w:t>Hydrogen</w:t>
            </w:r>
          </w:p>
        </w:tc>
        <w:tc>
          <w:tcPr>
            <w:tcW w:w="1875" w:type="pct"/>
          </w:tcPr>
          <w:p w14:paraId="76241D4B" w14:textId="6291B112" w:rsidR="008A64D4" w:rsidRPr="008A64D4" w:rsidRDefault="008A64D4" w:rsidP="008A64D4">
            <w:pPr>
              <w:pStyle w:val="SWCText"/>
              <w:rPr>
                <w:sz w:val="18"/>
                <w:szCs w:val="18"/>
                <w:lang w:val="pt-PT"/>
              </w:rPr>
            </w:pPr>
            <w:r w:rsidRPr="008A64D4">
              <w:rPr>
                <w:sz w:val="18"/>
                <w:szCs w:val="18"/>
                <w:lang w:val="pt-PT"/>
              </w:rPr>
              <w:t>8/13/20 CHF/kg; 600/850/1100 CHF/kW; O&amp;M</w:t>
            </w:r>
            <w:r w:rsidR="00611B68">
              <w:rPr>
                <w:sz w:val="18"/>
                <w:szCs w:val="18"/>
                <w:lang w:val="pt-PT"/>
              </w:rPr>
              <w:t> </w:t>
            </w:r>
            <w:r w:rsidRPr="008A64D4">
              <w:rPr>
                <w:sz w:val="18"/>
                <w:szCs w:val="18"/>
                <w:lang w:val="pt-PT"/>
              </w:rPr>
              <w:t>5%/a</w:t>
            </w:r>
          </w:p>
        </w:tc>
        <w:tc>
          <w:tcPr>
            <w:tcW w:w="1875" w:type="pct"/>
          </w:tcPr>
          <w:p w14:paraId="6284CD57" w14:textId="3EF1355D" w:rsidR="008A64D4" w:rsidRPr="008A64D4" w:rsidRDefault="00611B68" w:rsidP="00EA2BFC">
            <w:pPr>
              <w:pStyle w:val="SWCText"/>
              <w:jc w:val="left"/>
              <w:rPr>
                <w:sz w:val="18"/>
                <w:szCs w:val="18"/>
              </w:rPr>
            </w:pPr>
            <w:r>
              <w:rPr>
                <w:sz w:val="18"/>
                <w:szCs w:val="18"/>
              </w:rPr>
              <w:t>75</w:t>
            </w:r>
            <w:r w:rsidR="008A64D4" w:rsidRPr="008A64D4">
              <w:rPr>
                <w:sz w:val="18"/>
                <w:szCs w:val="18"/>
              </w:rPr>
              <w:t>0 kg at 500</w:t>
            </w:r>
            <w:r>
              <w:rPr>
                <w:sz w:val="18"/>
                <w:szCs w:val="18"/>
              </w:rPr>
              <w:t> </w:t>
            </w:r>
            <w:proofErr w:type="gramStart"/>
            <w:r w:rsidR="008A64D4" w:rsidRPr="008A64D4">
              <w:rPr>
                <w:sz w:val="18"/>
                <w:szCs w:val="18"/>
              </w:rPr>
              <w:t>bar</w:t>
            </w:r>
            <w:proofErr w:type="gramEnd"/>
            <w:r w:rsidR="008A64D4" w:rsidRPr="008A64D4">
              <w:rPr>
                <w:sz w:val="18"/>
                <w:szCs w:val="18"/>
              </w:rPr>
              <w:t xml:space="preserve">; approx. </w:t>
            </w:r>
            <w:r>
              <w:rPr>
                <w:sz w:val="18"/>
                <w:szCs w:val="18"/>
              </w:rPr>
              <w:t>25</w:t>
            </w:r>
            <w:r w:rsidR="008A64D4" w:rsidRPr="008A64D4">
              <w:rPr>
                <w:sz w:val="18"/>
                <w:szCs w:val="18"/>
              </w:rPr>
              <w:t xml:space="preserve"> m³; 300</w:t>
            </w:r>
            <w:r>
              <w:rPr>
                <w:sz w:val="18"/>
                <w:szCs w:val="18"/>
              </w:rPr>
              <w:t> </w:t>
            </w:r>
            <w:r w:rsidR="008A64D4" w:rsidRPr="008A64D4">
              <w:rPr>
                <w:sz w:val="18"/>
                <w:szCs w:val="18"/>
              </w:rPr>
              <w:t>CHF/kg</w:t>
            </w:r>
          </w:p>
        </w:tc>
      </w:tr>
      <w:tr w:rsidR="008A64D4" w:rsidRPr="009A1431" w14:paraId="348F043B" w14:textId="77777777" w:rsidTr="00A74728">
        <w:tc>
          <w:tcPr>
            <w:tcW w:w="1250" w:type="pct"/>
          </w:tcPr>
          <w:p w14:paraId="26B531FB" w14:textId="77777777" w:rsidR="008A64D4" w:rsidRPr="008A64D4" w:rsidRDefault="008A64D4" w:rsidP="008A64D4">
            <w:pPr>
              <w:pStyle w:val="SWCText"/>
              <w:rPr>
                <w:sz w:val="18"/>
                <w:szCs w:val="18"/>
              </w:rPr>
            </w:pPr>
            <w:r w:rsidRPr="008A64D4">
              <w:rPr>
                <w:sz w:val="18"/>
                <w:szCs w:val="18"/>
              </w:rPr>
              <w:t>Methane</w:t>
            </w:r>
          </w:p>
        </w:tc>
        <w:tc>
          <w:tcPr>
            <w:tcW w:w="1875" w:type="pct"/>
          </w:tcPr>
          <w:p w14:paraId="104B3065" w14:textId="64900022" w:rsidR="008A64D4" w:rsidRPr="008A64D4" w:rsidRDefault="008A64D4" w:rsidP="008A64D4">
            <w:pPr>
              <w:pStyle w:val="SWCText"/>
              <w:rPr>
                <w:sz w:val="18"/>
                <w:szCs w:val="18"/>
                <w:lang w:val="pt-PT"/>
              </w:rPr>
            </w:pPr>
            <w:r w:rsidRPr="008A64D4">
              <w:rPr>
                <w:sz w:val="18"/>
                <w:szCs w:val="18"/>
                <w:lang w:val="pt-PT"/>
              </w:rPr>
              <w:t>3.00/4.40/5.50 CHF/kg; 750/1000/1250 CHF/kW; O&amp;M</w:t>
            </w:r>
            <w:r w:rsidR="00611B68">
              <w:rPr>
                <w:sz w:val="18"/>
                <w:szCs w:val="18"/>
                <w:lang w:val="pt-PT"/>
              </w:rPr>
              <w:t> </w:t>
            </w:r>
            <w:r w:rsidRPr="008A64D4">
              <w:rPr>
                <w:sz w:val="18"/>
                <w:szCs w:val="18"/>
                <w:lang w:val="pt-PT"/>
              </w:rPr>
              <w:t>3%/a</w:t>
            </w:r>
          </w:p>
        </w:tc>
        <w:tc>
          <w:tcPr>
            <w:tcW w:w="1875" w:type="pct"/>
          </w:tcPr>
          <w:p w14:paraId="2F8C4DBC" w14:textId="65993983" w:rsidR="008A64D4" w:rsidRPr="008A64D4" w:rsidRDefault="00837BD4" w:rsidP="00EA2BFC">
            <w:pPr>
              <w:pStyle w:val="SWCText"/>
              <w:jc w:val="left"/>
              <w:rPr>
                <w:sz w:val="18"/>
                <w:szCs w:val="18"/>
              </w:rPr>
            </w:pPr>
            <w:r>
              <w:rPr>
                <w:sz w:val="18"/>
                <w:szCs w:val="18"/>
              </w:rPr>
              <w:t>1750</w:t>
            </w:r>
            <w:r w:rsidR="008A64D4" w:rsidRPr="008A64D4">
              <w:rPr>
                <w:sz w:val="18"/>
                <w:szCs w:val="18"/>
              </w:rPr>
              <w:t xml:space="preserve"> kg at 200</w:t>
            </w:r>
            <w:r w:rsidR="00611B68">
              <w:rPr>
                <w:sz w:val="18"/>
                <w:szCs w:val="18"/>
              </w:rPr>
              <w:t> </w:t>
            </w:r>
            <w:proofErr w:type="gramStart"/>
            <w:r w:rsidR="008A64D4" w:rsidRPr="008A64D4">
              <w:rPr>
                <w:sz w:val="18"/>
                <w:szCs w:val="18"/>
              </w:rPr>
              <w:t>bar</w:t>
            </w:r>
            <w:proofErr w:type="gramEnd"/>
            <w:r w:rsidR="008A64D4" w:rsidRPr="008A64D4">
              <w:rPr>
                <w:sz w:val="18"/>
                <w:szCs w:val="18"/>
              </w:rPr>
              <w:t>; approx. 1</w:t>
            </w:r>
            <w:r w:rsidR="00611B68">
              <w:rPr>
                <w:sz w:val="18"/>
                <w:szCs w:val="18"/>
              </w:rPr>
              <w:t>0.3 </w:t>
            </w:r>
            <w:r w:rsidR="008A64D4" w:rsidRPr="008A64D4">
              <w:rPr>
                <w:sz w:val="18"/>
                <w:szCs w:val="18"/>
              </w:rPr>
              <w:t>m³; 25</w:t>
            </w:r>
            <w:r w:rsidR="00611B68">
              <w:rPr>
                <w:sz w:val="18"/>
                <w:szCs w:val="18"/>
              </w:rPr>
              <w:t> </w:t>
            </w:r>
            <w:r w:rsidR="008A64D4" w:rsidRPr="008A64D4">
              <w:rPr>
                <w:sz w:val="18"/>
                <w:szCs w:val="18"/>
              </w:rPr>
              <w:t>CHF/kg</w:t>
            </w:r>
          </w:p>
        </w:tc>
      </w:tr>
      <w:tr w:rsidR="008A64D4" w:rsidRPr="008A64D4" w14:paraId="1255C43D" w14:textId="77777777" w:rsidTr="00A74728">
        <w:tc>
          <w:tcPr>
            <w:tcW w:w="1250" w:type="pct"/>
          </w:tcPr>
          <w:p w14:paraId="6DA22A97" w14:textId="77777777" w:rsidR="008A64D4" w:rsidRPr="008A64D4" w:rsidRDefault="008A64D4" w:rsidP="008A64D4">
            <w:pPr>
              <w:pStyle w:val="SWCText"/>
              <w:rPr>
                <w:sz w:val="18"/>
                <w:szCs w:val="18"/>
              </w:rPr>
            </w:pPr>
            <w:r w:rsidRPr="008A64D4">
              <w:rPr>
                <w:sz w:val="18"/>
                <w:szCs w:val="18"/>
              </w:rPr>
              <w:t>Methanol</w:t>
            </w:r>
          </w:p>
        </w:tc>
        <w:tc>
          <w:tcPr>
            <w:tcW w:w="1875" w:type="pct"/>
          </w:tcPr>
          <w:p w14:paraId="0148D6EC" w14:textId="6345F5A3" w:rsidR="008A64D4" w:rsidRPr="008A64D4" w:rsidRDefault="008A64D4" w:rsidP="008A64D4">
            <w:pPr>
              <w:pStyle w:val="SWCText"/>
              <w:rPr>
                <w:sz w:val="18"/>
                <w:szCs w:val="18"/>
                <w:lang w:val="pt-PT"/>
              </w:rPr>
            </w:pPr>
            <w:r w:rsidRPr="008A64D4">
              <w:rPr>
                <w:sz w:val="18"/>
                <w:szCs w:val="18"/>
                <w:lang w:val="pt-PT"/>
              </w:rPr>
              <w:t>1.20/2.20/2.40 CHF/kg; 850/1100/1400 CHF/kW;</w:t>
            </w:r>
            <w:r w:rsidR="00611B68">
              <w:rPr>
                <w:sz w:val="18"/>
                <w:szCs w:val="18"/>
                <w:lang w:val="pt-PT"/>
              </w:rPr>
              <w:t xml:space="preserve"> </w:t>
            </w:r>
            <w:r w:rsidRPr="008A64D4">
              <w:rPr>
                <w:sz w:val="18"/>
                <w:szCs w:val="18"/>
                <w:lang w:val="pt-PT"/>
              </w:rPr>
              <w:t>O&amp;M</w:t>
            </w:r>
            <w:r w:rsidR="00611B68">
              <w:rPr>
                <w:sz w:val="18"/>
                <w:szCs w:val="18"/>
                <w:lang w:val="pt-PT"/>
              </w:rPr>
              <w:t> </w:t>
            </w:r>
            <w:r w:rsidRPr="008A64D4">
              <w:rPr>
                <w:sz w:val="18"/>
                <w:szCs w:val="18"/>
                <w:lang w:val="pt-PT"/>
              </w:rPr>
              <w:t>5%/a</w:t>
            </w:r>
          </w:p>
        </w:tc>
        <w:tc>
          <w:tcPr>
            <w:tcW w:w="1875" w:type="pct"/>
          </w:tcPr>
          <w:p w14:paraId="6269DD25" w14:textId="3B6F79A4" w:rsidR="008A64D4" w:rsidRPr="008A64D4" w:rsidRDefault="00611B68" w:rsidP="00EA2BFC">
            <w:pPr>
              <w:pStyle w:val="SWCText"/>
              <w:jc w:val="left"/>
              <w:rPr>
                <w:sz w:val="18"/>
                <w:szCs w:val="18"/>
              </w:rPr>
            </w:pPr>
            <w:r>
              <w:rPr>
                <w:sz w:val="18"/>
                <w:szCs w:val="18"/>
              </w:rPr>
              <w:t>42</w:t>
            </w:r>
            <w:r w:rsidR="008A64D4" w:rsidRPr="008A64D4">
              <w:rPr>
                <w:sz w:val="18"/>
                <w:szCs w:val="18"/>
              </w:rPr>
              <w:t xml:space="preserve">00 kg liquid; approx. </w:t>
            </w:r>
            <w:r>
              <w:rPr>
                <w:sz w:val="18"/>
                <w:szCs w:val="18"/>
              </w:rPr>
              <w:t>5.3</w:t>
            </w:r>
            <w:r w:rsidR="008A64D4" w:rsidRPr="008A64D4">
              <w:rPr>
                <w:sz w:val="18"/>
                <w:szCs w:val="18"/>
              </w:rPr>
              <w:t xml:space="preserve"> m³; 5</w:t>
            </w:r>
            <w:r>
              <w:rPr>
                <w:sz w:val="18"/>
                <w:szCs w:val="18"/>
              </w:rPr>
              <w:t> </w:t>
            </w:r>
            <w:r w:rsidR="008A64D4" w:rsidRPr="008A64D4">
              <w:rPr>
                <w:sz w:val="18"/>
                <w:szCs w:val="18"/>
              </w:rPr>
              <w:t>CHF/kg</w:t>
            </w:r>
          </w:p>
        </w:tc>
      </w:tr>
    </w:tbl>
    <w:p w14:paraId="2B1AA845" w14:textId="6077CB40" w:rsidR="003D3B61" w:rsidRDefault="003D3B61" w:rsidP="003D3B61">
      <w:pPr>
        <w:pStyle w:val="SWCText"/>
        <w:rPr>
          <w:sz w:val="18"/>
          <w:szCs w:val="18"/>
        </w:rPr>
      </w:pPr>
      <w:r w:rsidRPr="003D3B61">
        <w:rPr>
          <w:sz w:val="18"/>
          <w:szCs w:val="18"/>
        </w:rPr>
        <w:t>All converter and X-carrier storage systems are assigned an economic lifetime of 20 years. Storage O&amp;M amounts to 1% of CAPEX per year. Storage volumes represent the internal carrier volume and exclude vessels, auxiliary equipment and safety distances.</w:t>
      </w:r>
    </w:p>
    <w:p w14:paraId="59B8BACF" w14:textId="77777777" w:rsidR="003C7199" w:rsidRDefault="003C7199" w:rsidP="003D3B61">
      <w:pPr>
        <w:pStyle w:val="SWCText"/>
        <w:rPr>
          <w:sz w:val="18"/>
          <w:szCs w:val="18"/>
        </w:rPr>
      </w:pPr>
    </w:p>
    <w:p w14:paraId="149FC571" w14:textId="73ACC77C" w:rsidR="008A64D4" w:rsidRDefault="00A74728" w:rsidP="00A74728">
      <w:pPr>
        <w:pStyle w:val="SWCTableFigureCaption"/>
      </w:pPr>
      <w:r>
        <w:t>Tab. A.4: X-carrier higher heating values (HHV) and X-to-Energy conversion efficiencies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796"/>
        <w:gridCol w:w="1072"/>
        <w:gridCol w:w="1326"/>
      </w:tblGrid>
      <w:tr w:rsidR="003557FA" w:rsidRPr="00A74728" w14:paraId="2171F848" w14:textId="77777777" w:rsidTr="003557FA">
        <w:tc>
          <w:tcPr>
            <w:tcW w:w="1234" w:type="pct"/>
            <w:tcBorders>
              <w:top w:val="single" w:sz="4" w:space="0" w:color="auto"/>
              <w:bottom w:val="single" w:sz="4" w:space="0" w:color="auto"/>
            </w:tcBorders>
          </w:tcPr>
          <w:p w14:paraId="436564F5" w14:textId="2E4991E2" w:rsidR="003557FA" w:rsidRPr="003557FA" w:rsidRDefault="00C132C1" w:rsidP="00117E01">
            <w:pPr>
              <w:pStyle w:val="SWCText"/>
              <w:rPr>
                <w:color w:val="auto"/>
                <w:sz w:val="18"/>
                <w:szCs w:val="24"/>
                <w:lang w:val="en-GB"/>
              </w:rPr>
            </w:pPr>
            <w:r>
              <w:rPr>
                <w:color w:val="auto"/>
                <w:sz w:val="18"/>
                <w:szCs w:val="24"/>
                <w:lang w:val="en-GB"/>
              </w:rPr>
              <w:t>X-carrier</w:t>
            </w:r>
          </w:p>
        </w:tc>
        <w:tc>
          <w:tcPr>
            <w:tcW w:w="938" w:type="pct"/>
            <w:tcBorders>
              <w:top w:val="single" w:sz="4" w:space="0" w:color="auto"/>
              <w:bottom w:val="single" w:sz="4" w:space="0" w:color="auto"/>
            </w:tcBorders>
          </w:tcPr>
          <w:p w14:paraId="23DEE658" w14:textId="23E8F3C2" w:rsidR="003557FA" w:rsidRPr="003557FA" w:rsidRDefault="003557FA" w:rsidP="00117E01">
            <w:pPr>
              <w:pStyle w:val="SWCText"/>
              <w:rPr>
                <w:color w:val="auto"/>
                <w:sz w:val="18"/>
                <w:szCs w:val="24"/>
                <w:lang w:val="en-GB"/>
              </w:rPr>
            </w:pPr>
            <w:r w:rsidRPr="003557FA">
              <w:rPr>
                <w:color w:val="auto"/>
                <w:sz w:val="18"/>
                <w:szCs w:val="24"/>
                <w:lang w:val="en-GB"/>
              </w:rPr>
              <w:t>HHV, kWh/kg</w:t>
            </w:r>
          </w:p>
        </w:tc>
        <w:tc>
          <w:tcPr>
            <w:tcW w:w="1264" w:type="pct"/>
            <w:tcBorders>
              <w:top w:val="single" w:sz="4" w:space="0" w:color="auto"/>
              <w:bottom w:val="single" w:sz="4" w:space="0" w:color="auto"/>
            </w:tcBorders>
          </w:tcPr>
          <w:p w14:paraId="0DB194B9" w14:textId="00461CAB" w:rsidR="003557FA" w:rsidRPr="003557FA" w:rsidRDefault="003557FA" w:rsidP="00117E01">
            <w:pPr>
              <w:pStyle w:val="SWCText"/>
              <w:rPr>
                <w:color w:val="auto"/>
                <w:sz w:val="18"/>
                <w:szCs w:val="24"/>
                <w:lang w:val="en-GB"/>
              </w:rPr>
            </w:pPr>
            <w:r>
              <w:rPr>
                <w:color w:val="auto"/>
                <w:sz w:val="18"/>
                <w:szCs w:val="24"/>
                <w:lang w:val="en-GB"/>
              </w:rPr>
              <w:t>HHV, kWh/m</w:t>
            </w:r>
            <w:r w:rsidRPr="003557FA">
              <w:rPr>
                <w:color w:val="auto"/>
                <w:sz w:val="18"/>
                <w:szCs w:val="24"/>
                <w:vertAlign w:val="superscript"/>
                <w:lang w:val="en-GB"/>
              </w:rPr>
              <w:t>3</w:t>
            </w:r>
          </w:p>
        </w:tc>
        <w:tc>
          <w:tcPr>
            <w:tcW w:w="1563" w:type="pct"/>
            <w:tcBorders>
              <w:top w:val="single" w:sz="4" w:space="0" w:color="auto"/>
              <w:bottom w:val="single" w:sz="4" w:space="0" w:color="auto"/>
            </w:tcBorders>
          </w:tcPr>
          <w:p w14:paraId="3937818E" w14:textId="0A94E8BF" w:rsidR="003557FA" w:rsidRPr="003557FA" w:rsidRDefault="003557FA" w:rsidP="00117E01">
            <w:pPr>
              <w:pStyle w:val="SWCText"/>
              <w:rPr>
                <w:color w:val="auto"/>
                <w:sz w:val="18"/>
                <w:szCs w:val="24"/>
                <w:lang w:val="en-GB"/>
              </w:rPr>
            </w:pPr>
            <w:r w:rsidRPr="003557FA">
              <w:rPr>
                <w:color w:val="auto"/>
                <w:sz w:val="18"/>
                <w:szCs w:val="24"/>
                <w:lang w:val="en-GB"/>
              </w:rPr>
              <w:t>Heat/electricity efficiency, %</w:t>
            </w:r>
          </w:p>
        </w:tc>
      </w:tr>
      <w:tr w:rsidR="003557FA" w:rsidRPr="00A74728" w14:paraId="685DE46D" w14:textId="77777777" w:rsidTr="003557FA">
        <w:tc>
          <w:tcPr>
            <w:tcW w:w="1234" w:type="pct"/>
            <w:tcBorders>
              <w:top w:val="single" w:sz="4" w:space="0" w:color="auto"/>
            </w:tcBorders>
            <w:vAlign w:val="center"/>
          </w:tcPr>
          <w:p w14:paraId="2C4EB7E0" w14:textId="31709E4B" w:rsidR="003557FA" w:rsidRPr="003557FA" w:rsidRDefault="003557FA" w:rsidP="003557FA">
            <w:pPr>
              <w:pStyle w:val="SWCText"/>
              <w:jc w:val="left"/>
              <w:rPr>
                <w:color w:val="auto"/>
                <w:sz w:val="18"/>
                <w:szCs w:val="24"/>
                <w:lang w:val="en-GB"/>
              </w:rPr>
            </w:pPr>
            <w:r w:rsidRPr="003557FA">
              <w:rPr>
                <w:color w:val="auto"/>
                <w:sz w:val="18"/>
                <w:szCs w:val="24"/>
                <w:lang w:val="en-GB"/>
              </w:rPr>
              <w:t>Aluminium</w:t>
            </w:r>
            <w:r>
              <w:rPr>
                <w:color w:val="auto"/>
                <w:sz w:val="18"/>
                <w:szCs w:val="24"/>
                <w:lang w:val="en-GB"/>
              </w:rPr>
              <w:t xml:space="preserve"> granules</w:t>
            </w:r>
          </w:p>
        </w:tc>
        <w:tc>
          <w:tcPr>
            <w:tcW w:w="938" w:type="pct"/>
            <w:tcBorders>
              <w:top w:val="single" w:sz="4" w:space="0" w:color="auto"/>
            </w:tcBorders>
            <w:vAlign w:val="center"/>
          </w:tcPr>
          <w:p w14:paraId="62F0DE6B" w14:textId="5897D0A7" w:rsidR="003557FA" w:rsidRPr="003557FA" w:rsidRDefault="003557FA" w:rsidP="003557FA">
            <w:pPr>
              <w:pStyle w:val="SWCText"/>
              <w:jc w:val="left"/>
              <w:rPr>
                <w:color w:val="auto"/>
                <w:sz w:val="18"/>
                <w:szCs w:val="24"/>
                <w:lang w:val="en-GB"/>
              </w:rPr>
            </w:pPr>
            <w:r w:rsidRPr="003557FA">
              <w:rPr>
                <w:color w:val="auto"/>
                <w:sz w:val="18"/>
                <w:szCs w:val="24"/>
                <w:lang w:val="en-GB"/>
              </w:rPr>
              <w:t>8.7</w:t>
            </w:r>
          </w:p>
        </w:tc>
        <w:tc>
          <w:tcPr>
            <w:tcW w:w="1264" w:type="pct"/>
            <w:tcBorders>
              <w:top w:val="single" w:sz="4" w:space="0" w:color="auto"/>
            </w:tcBorders>
            <w:vAlign w:val="center"/>
          </w:tcPr>
          <w:p w14:paraId="3EF1625C" w14:textId="50DFBE6B" w:rsidR="003557FA" w:rsidRPr="003557FA" w:rsidRDefault="003557FA" w:rsidP="003557FA">
            <w:pPr>
              <w:pStyle w:val="SWCText"/>
              <w:jc w:val="left"/>
              <w:rPr>
                <w:color w:val="auto"/>
                <w:sz w:val="18"/>
                <w:szCs w:val="24"/>
                <w:lang w:val="en-GB"/>
              </w:rPr>
            </w:pPr>
            <w:r>
              <w:rPr>
                <w:color w:val="auto"/>
                <w:sz w:val="18"/>
                <w:szCs w:val="24"/>
                <w:lang w:val="en-GB"/>
              </w:rPr>
              <w:t>15</w:t>
            </w:r>
            <w:r w:rsidR="00611B68">
              <w:rPr>
                <w:color w:val="auto"/>
                <w:sz w:val="18"/>
                <w:szCs w:val="24"/>
                <w:lang w:val="en-GB"/>
              </w:rPr>
              <w:t xml:space="preserve"> </w:t>
            </w:r>
            <w:r>
              <w:rPr>
                <w:color w:val="auto"/>
                <w:sz w:val="18"/>
                <w:szCs w:val="24"/>
                <w:lang w:val="en-GB"/>
              </w:rPr>
              <w:t>000</w:t>
            </w:r>
          </w:p>
        </w:tc>
        <w:tc>
          <w:tcPr>
            <w:tcW w:w="1563" w:type="pct"/>
            <w:tcBorders>
              <w:top w:val="single" w:sz="4" w:space="0" w:color="auto"/>
            </w:tcBorders>
            <w:vAlign w:val="center"/>
          </w:tcPr>
          <w:p w14:paraId="4D91AB1A" w14:textId="70A32C8F" w:rsidR="003557FA" w:rsidRPr="003557FA" w:rsidRDefault="003557FA" w:rsidP="003557FA">
            <w:pPr>
              <w:pStyle w:val="SWCText"/>
              <w:jc w:val="left"/>
              <w:rPr>
                <w:color w:val="auto"/>
                <w:sz w:val="18"/>
                <w:szCs w:val="24"/>
                <w:lang w:val="en-GB"/>
              </w:rPr>
            </w:pPr>
            <w:r w:rsidRPr="003557FA">
              <w:rPr>
                <w:color w:val="auto"/>
                <w:sz w:val="18"/>
                <w:szCs w:val="24"/>
                <w:lang w:val="en-GB"/>
              </w:rPr>
              <w:t>75/25</w:t>
            </w:r>
          </w:p>
        </w:tc>
      </w:tr>
      <w:tr w:rsidR="003557FA" w:rsidRPr="00A74728" w14:paraId="7E8E036C" w14:textId="77777777" w:rsidTr="003557FA">
        <w:tc>
          <w:tcPr>
            <w:tcW w:w="1234" w:type="pct"/>
          </w:tcPr>
          <w:p w14:paraId="75111D95" w14:textId="77777777" w:rsidR="003557FA" w:rsidRPr="003557FA" w:rsidRDefault="003557FA" w:rsidP="00117E01">
            <w:pPr>
              <w:pStyle w:val="SWCText"/>
              <w:rPr>
                <w:color w:val="auto"/>
                <w:sz w:val="18"/>
                <w:szCs w:val="24"/>
                <w:lang w:val="en-GB"/>
              </w:rPr>
            </w:pPr>
            <w:r w:rsidRPr="003557FA">
              <w:rPr>
                <w:color w:val="auto"/>
                <w:sz w:val="18"/>
                <w:szCs w:val="24"/>
                <w:lang w:val="en-GB"/>
              </w:rPr>
              <w:t>Hydrogen</w:t>
            </w:r>
          </w:p>
        </w:tc>
        <w:tc>
          <w:tcPr>
            <w:tcW w:w="938" w:type="pct"/>
          </w:tcPr>
          <w:p w14:paraId="2CA8E43A" w14:textId="42BBCACE" w:rsidR="003557FA" w:rsidRPr="003557FA" w:rsidRDefault="003557FA" w:rsidP="00117E01">
            <w:pPr>
              <w:pStyle w:val="SWCText"/>
              <w:rPr>
                <w:color w:val="auto"/>
                <w:sz w:val="18"/>
                <w:szCs w:val="24"/>
                <w:lang w:val="en-GB"/>
              </w:rPr>
            </w:pPr>
            <w:r w:rsidRPr="003557FA">
              <w:rPr>
                <w:color w:val="auto"/>
                <w:sz w:val="18"/>
                <w:szCs w:val="24"/>
                <w:lang w:val="en-GB"/>
              </w:rPr>
              <w:t>39.4</w:t>
            </w:r>
          </w:p>
        </w:tc>
        <w:tc>
          <w:tcPr>
            <w:tcW w:w="1264" w:type="pct"/>
          </w:tcPr>
          <w:p w14:paraId="26408BBD" w14:textId="038795FA" w:rsidR="003557FA" w:rsidRPr="003557FA" w:rsidRDefault="00611B68" w:rsidP="00117E01">
            <w:pPr>
              <w:pStyle w:val="SWCText"/>
              <w:rPr>
                <w:color w:val="auto"/>
                <w:sz w:val="18"/>
                <w:szCs w:val="24"/>
                <w:lang w:val="en-GB"/>
              </w:rPr>
            </w:pPr>
            <w:r>
              <w:rPr>
                <w:color w:val="auto"/>
                <w:sz w:val="18"/>
                <w:szCs w:val="24"/>
                <w:lang w:val="en-GB"/>
              </w:rPr>
              <w:t>1180</w:t>
            </w:r>
          </w:p>
        </w:tc>
        <w:tc>
          <w:tcPr>
            <w:tcW w:w="1563" w:type="pct"/>
          </w:tcPr>
          <w:p w14:paraId="66484BBA" w14:textId="4D57395D" w:rsidR="003557FA" w:rsidRPr="003557FA" w:rsidRDefault="003557FA" w:rsidP="00117E01">
            <w:pPr>
              <w:pStyle w:val="SWCText"/>
              <w:rPr>
                <w:color w:val="auto"/>
                <w:sz w:val="18"/>
                <w:szCs w:val="24"/>
                <w:lang w:val="en-GB"/>
              </w:rPr>
            </w:pPr>
            <w:r w:rsidRPr="003557FA">
              <w:rPr>
                <w:color w:val="auto"/>
                <w:sz w:val="18"/>
                <w:szCs w:val="24"/>
                <w:lang w:val="en-GB"/>
              </w:rPr>
              <w:t>50/50</w:t>
            </w:r>
          </w:p>
        </w:tc>
      </w:tr>
      <w:tr w:rsidR="003557FA" w:rsidRPr="00A74728" w14:paraId="6770708D" w14:textId="77777777" w:rsidTr="003557FA">
        <w:tc>
          <w:tcPr>
            <w:tcW w:w="1234" w:type="pct"/>
          </w:tcPr>
          <w:p w14:paraId="292632CF" w14:textId="77777777" w:rsidR="003557FA" w:rsidRPr="003557FA" w:rsidRDefault="003557FA" w:rsidP="00117E01">
            <w:pPr>
              <w:pStyle w:val="SWCText"/>
              <w:rPr>
                <w:color w:val="auto"/>
                <w:sz w:val="18"/>
                <w:szCs w:val="24"/>
                <w:lang w:val="en-GB"/>
              </w:rPr>
            </w:pPr>
            <w:r w:rsidRPr="003557FA">
              <w:rPr>
                <w:color w:val="auto"/>
                <w:sz w:val="18"/>
                <w:szCs w:val="24"/>
                <w:lang w:val="en-GB"/>
              </w:rPr>
              <w:t>Methane</w:t>
            </w:r>
          </w:p>
        </w:tc>
        <w:tc>
          <w:tcPr>
            <w:tcW w:w="938" w:type="pct"/>
          </w:tcPr>
          <w:p w14:paraId="3977EA52" w14:textId="30338A0E" w:rsidR="003557FA" w:rsidRPr="003557FA" w:rsidRDefault="003557FA" w:rsidP="00117E01">
            <w:pPr>
              <w:pStyle w:val="SWCText"/>
              <w:rPr>
                <w:color w:val="auto"/>
                <w:sz w:val="18"/>
                <w:szCs w:val="24"/>
                <w:lang w:val="en-GB"/>
              </w:rPr>
            </w:pPr>
            <w:r w:rsidRPr="003557FA">
              <w:rPr>
                <w:color w:val="auto"/>
                <w:sz w:val="18"/>
                <w:szCs w:val="24"/>
                <w:lang w:val="en-GB"/>
              </w:rPr>
              <w:t>15.4</w:t>
            </w:r>
          </w:p>
        </w:tc>
        <w:tc>
          <w:tcPr>
            <w:tcW w:w="1264" w:type="pct"/>
          </w:tcPr>
          <w:p w14:paraId="77767B5D" w14:textId="43F81029" w:rsidR="003557FA" w:rsidRPr="003557FA" w:rsidRDefault="00611B68" w:rsidP="00117E01">
            <w:pPr>
              <w:pStyle w:val="SWCText"/>
              <w:rPr>
                <w:color w:val="auto"/>
                <w:sz w:val="18"/>
                <w:szCs w:val="24"/>
                <w:lang w:val="en-GB"/>
              </w:rPr>
            </w:pPr>
            <w:r>
              <w:rPr>
                <w:color w:val="auto"/>
                <w:sz w:val="18"/>
                <w:szCs w:val="24"/>
                <w:lang w:val="en-GB"/>
              </w:rPr>
              <w:t>2620</w:t>
            </w:r>
          </w:p>
        </w:tc>
        <w:tc>
          <w:tcPr>
            <w:tcW w:w="1563" w:type="pct"/>
          </w:tcPr>
          <w:p w14:paraId="48650B54" w14:textId="153D9B2B" w:rsidR="003557FA" w:rsidRPr="003557FA" w:rsidRDefault="003557FA" w:rsidP="00117E01">
            <w:pPr>
              <w:pStyle w:val="SWCText"/>
              <w:rPr>
                <w:color w:val="auto"/>
                <w:sz w:val="18"/>
                <w:szCs w:val="24"/>
                <w:lang w:val="en-GB"/>
              </w:rPr>
            </w:pPr>
            <w:r w:rsidRPr="003557FA">
              <w:rPr>
                <w:color w:val="auto"/>
                <w:sz w:val="18"/>
                <w:szCs w:val="24"/>
                <w:lang w:val="en-GB"/>
              </w:rPr>
              <w:t>55/35</w:t>
            </w:r>
          </w:p>
        </w:tc>
      </w:tr>
      <w:tr w:rsidR="003557FA" w:rsidRPr="00A74728" w14:paraId="5ADA4AE5" w14:textId="77777777" w:rsidTr="003557FA">
        <w:tc>
          <w:tcPr>
            <w:tcW w:w="1234" w:type="pct"/>
          </w:tcPr>
          <w:p w14:paraId="5F9AC5A9" w14:textId="77777777" w:rsidR="003557FA" w:rsidRPr="003557FA" w:rsidRDefault="003557FA" w:rsidP="00117E01">
            <w:pPr>
              <w:pStyle w:val="SWCText"/>
              <w:rPr>
                <w:color w:val="auto"/>
                <w:sz w:val="18"/>
                <w:szCs w:val="24"/>
                <w:lang w:val="en-GB"/>
              </w:rPr>
            </w:pPr>
            <w:r w:rsidRPr="003557FA">
              <w:rPr>
                <w:color w:val="auto"/>
                <w:sz w:val="18"/>
                <w:szCs w:val="24"/>
                <w:lang w:val="en-GB"/>
              </w:rPr>
              <w:t>Methanol</w:t>
            </w:r>
          </w:p>
        </w:tc>
        <w:tc>
          <w:tcPr>
            <w:tcW w:w="938" w:type="pct"/>
          </w:tcPr>
          <w:p w14:paraId="4F9DC893" w14:textId="1C04DBF7" w:rsidR="003557FA" w:rsidRPr="003557FA" w:rsidRDefault="003557FA" w:rsidP="00117E01">
            <w:pPr>
              <w:pStyle w:val="SWCText"/>
              <w:rPr>
                <w:color w:val="auto"/>
                <w:sz w:val="18"/>
                <w:szCs w:val="24"/>
                <w:lang w:val="en-GB"/>
              </w:rPr>
            </w:pPr>
            <w:r w:rsidRPr="003557FA">
              <w:rPr>
                <w:color w:val="auto"/>
                <w:sz w:val="18"/>
                <w:szCs w:val="24"/>
                <w:lang w:val="en-GB"/>
              </w:rPr>
              <w:t>6.28</w:t>
            </w:r>
          </w:p>
        </w:tc>
        <w:tc>
          <w:tcPr>
            <w:tcW w:w="1264" w:type="pct"/>
          </w:tcPr>
          <w:p w14:paraId="79E148F8" w14:textId="5695EE31" w:rsidR="003557FA" w:rsidRPr="003557FA" w:rsidRDefault="00611B68" w:rsidP="00117E01">
            <w:pPr>
              <w:pStyle w:val="SWCText"/>
              <w:rPr>
                <w:color w:val="auto"/>
                <w:sz w:val="18"/>
                <w:szCs w:val="24"/>
                <w:lang w:val="en-GB"/>
              </w:rPr>
            </w:pPr>
            <w:r>
              <w:rPr>
                <w:color w:val="auto"/>
                <w:sz w:val="18"/>
                <w:szCs w:val="24"/>
                <w:lang w:val="en-GB"/>
              </w:rPr>
              <w:t>4980</w:t>
            </w:r>
          </w:p>
        </w:tc>
        <w:tc>
          <w:tcPr>
            <w:tcW w:w="1563" w:type="pct"/>
          </w:tcPr>
          <w:p w14:paraId="7324839E" w14:textId="17678836" w:rsidR="003557FA" w:rsidRPr="003557FA" w:rsidRDefault="003557FA" w:rsidP="00117E01">
            <w:pPr>
              <w:pStyle w:val="SWCText"/>
              <w:rPr>
                <w:color w:val="auto"/>
                <w:sz w:val="18"/>
                <w:szCs w:val="24"/>
                <w:lang w:val="en-GB"/>
              </w:rPr>
            </w:pPr>
            <w:r w:rsidRPr="003557FA">
              <w:rPr>
                <w:color w:val="auto"/>
                <w:sz w:val="18"/>
                <w:szCs w:val="24"/>
                <w:lang w:val="en-GB"/>
              </w:rPr>
              <w:t>55/35</w:t>
            </w:r>
          </w:p>
        </w:tc>
      </w:tr>
    </w:tbl>
    <w:p w14:paraId="36AA6136" w14:textId="77777777" w:rsidR="00A74728" w:rsidRDefault="00A74728" w:rsidP="008A64D4">
      <w:pPr>
        <w:rPr>
          <w:sz w:val="20"/>
          <w:szCs w:val="20"/>
          <w:lang w:val="en-GB"/>
        </w:rPr>
      </w:pPr>
    </w:p>
    <w:p w14:paraId="43453CAE" w14:textId="6A2C0AE2" w:rsidR="008A64D4" w:rsidRPr="003F5B99" w:rsidRDefault="008A64D4" w:rsidP="008A64D4">
      <w:pPr>
        <w:rPr>
          <w:sz w:val="20"/>
          <w:szCs w:val="20"/>
          <w:lang w:val="en-GB"/>
        </w:rPr>
        <w:sectPr w:rsidR="008A64D4" w:rsidRPr="003F5B99" w:rsidSect="00CB7EE8">
          <w:footnotePr>
            <w:numRestart w:val="eachPage"/>
          </w:footnotePr>
          <w:type w:val="continuous"/>
          <w:pgSz w:w="11908" w:h="16838"/>
          <w:pgMar w:top="1701" w:right="1440" w:bottom="1440" w:left="1701" w:header="284" w:footer="284" w:gutter="0"/>
          <w:pgNumType w:start="1"/>
          <w:cols w:num="2" w:space="284"/>
          <w:noEndnote/>
        </w:sectPr>
      </w:pPr>
      <w:r>
        <w:rPr>
          <w:sz w:val="20"/>
          <w:szCs w:val="20"/>
          <w:lang w:val="en-GB"/>
        </w:rPr>
        <w:br w:type="page"/>
      </w:r>
    </w:p>
    <w:p w14:paraId="263188FC" w14:textId="5A2CD3FE" w:rsidR="008F54F8" w:rsidRPr="00297876" w:rsidRDefault="008F54F8" w:rsidP="0031005F">
      <w:pPr>
        <w:ind w:right="-587"/>
        <w:rPr>
          <w:lang w:val="en-GB"/>
        </w:rPr>
      </w:pPr>
    </w:p>
    <w:sectPr w:rsidR="008F54F8" w:rsidRPr="00297876" w:rsidSect="00550776">
      <w:footnotePr>
        <w:numRestart w:val="eachPage"/>
      </w:footnotePr>
      <w:pgSz w:w="11908" w:h="16838" w:code="9"/>
      <w:pgMar w:top="902" w:right="1228" w:bottom="1079" w:left="1701" w:header="284" w:footer="284" w:gutter="0"/>
      <w:cols w:num="2"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854B" w14:textId="77777777" w:rsidR="007F6680" w:rsidRDefault="007F6680">
      <w:r>
        <w:separator/>
      </w:r>
    </w:p>
  </w:endnote>
  <w:endnote w:type="continuationSeparator" w:id="0">
    <w:p w14:paraId="74DD26D7" w14:textId="77777777" w:rsidR="007F6680" w:rsidRDefault="007F6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CDBC5" w14:textId="77777777" w:rsidR="007F6680" w:rsidRDefault="007F6680">
      <w:r>
        <w:separator/>
      </w:r>
    </w:p>
  </w:footnote>
  <w:footnote w:type="continuationSeparator" w:id="0">
    <w:p w14:paraId="593C1976" w14:textId="77777777" w:rsidR="007F6680" w:rsidRDefault="007F6680">
      <w:r>
        <w:continuationSeparator/>
      </w:r>
    </w:p>
  </w:footnote>
  <w:footnote w:id="1">
    <w:p w14:paraId="41C22E1B" w14:textId="77777777" w:rsidR="00211AC4" w:rsidRPr="00DA38D8" w:rsidRDefault="00211AC4" w:rsidP="00211AC4">
      <w:pPr>
        <w:pStyle w:val="FootnoteText"/>
        <w:rPr>
          <w:lang w:val="en-GB"/>
        </w:rPr>
      </w:pPr>
      <w:r>
        <w:rPr>
          <w:rStyle w:val="FootnoteReference"/>
        </w:rPr>
        <w:footnoteRef/>
      </w:r>
      <w:r w:rsidRPr="00DA38D8">
        <w:rPr>
          <w:lang w:val="en-GB"/>
        </w:rPr>
        <w:t xml:space="preserve"> </w:t>
      </w:r>
      <w:hyperlink r:id="rId1" w:tgtFrame="_new" w:history="1">
        <w:r w:rsidRPr="00DA38D8">
          <w:rPr>
            <w:rStyle w:val="Hyperlink"/>
            <w:lang w:val="en-GB"/>
          </w:rPr>
          <w:t>www.ost.ch/spf/rewax</w:t>
        </w:r>
      </w:hyperlink>
      <w:r w:rsidRPr="00DA38D8">
        <w:rPr>
          <w:lang w:val="en-GB"/>
        </w:rPr>
        <w:t xml:space="preserve">, accessed </w:t>
      </w:r>
      <w:r>
        <w:rPr>
          <w:lang w:val="en-GB"/>
        </w:rPr>
        <w:t>25.08.2026</w:t>
      </w:r>
    </w:p>
  </w:footnote>
  <w:footnote w:id="2">
    <w:p w14:paraId="6596C684" w14:textId="001A0F5F" w:rsidR="00DA38D8" w:rsidRPr="00DA38D8" w:rsidRDefault="00DA38D8">
      <w:pPr>
        <w:pStyle w:val="FootnoteText"/>
        <w:rPr>
          <w:lang w:val="en-GB"/>
        </w:rPr>
      </w:pPr>
      <w:r>
        <w:rPr>
          <w:rStyle w:val="FootnoteReference"/>
        </w:rPr>
        <w:footnoteRef/>
      </w:r>
      <w:r w:rsidRPr="00DA38D8">
        <w:rPr>
          <w:lang w:val="en-GB"/>
        </w:rPr>
        <w:t xml:space="preserve"> </w:t>
      </w:r>
      <w:hyperlink r:id="rId2" w:history="1">
        <w:r w:rsidRPr="00DA38D8">
          <w:rPr>
            <w:rStyle w:val="Hyperlink"/>
            <w:lang w:val="en-GB"/>
          </w:rPr>
          <w:t>https://www.reveal-storage.eu/</w:t>
        </w:r>
      </w:hyperlink>
      <w:r w:rsidRPr="00DA38D8">
        <w:rPr>
          <w:lang w:val="en-GB"/>
        </w:rPr>
        <w:t>, access</w:t>
      </w:r>
      <w:r>
        <w:rPr>
          <w:lang w:val="en-GB"/>
        </w:rPr>
        <w:t>ed 25.08.2026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F567476"/>
    <w:multiLevelType w:val="hybridMultilevel"/>
    <w:tmpl w:val="2B0E144C"/>
    <w:lvl w:ilvl="0" w:tplc="08090001">
      <w:start w:val="1"/>
      <w:numFmt w:val="bullet"/>
      <w:lvlText w:val=""/>
      <w:lvlJc w:val="left"/>
      <w:pPr>
        <w:ind w:left="2014" w:hanging="360"/>
      </w:pPr>
      <w:rPr>
        <w:rFonts w:ascii="Symbol" w:hAnsi="Symbol" w:hint="default"/>
      </w:rPr>
    </w:lvl>
    <w:lvl w:ilvl="1" w:tplc="08090003" w:tentative="1">
      <w:start w:val="1"/>
      <w:numFmt w:val="bullet"/>
      <w:lvlText w:val="o"/>
      <w:lvlJc w:val="left"/>
      <w:pPr>
        <w:ind w:left="2734" w:hanging="360"/>
      </w:pPr>
      <w:rPr>
        <w:rFonts w:ascii="Courier New" w:hAnsi="Courier New" w:cs="Courier New" w:hint="default"/>
      </w:rPr>
    </w:lvl>
    <w:lvl w:ilvl="2" w:tplc="08090005" w:tentative="1">
      <w:start w:val="1"/>
      <w:numFmt w:val="bullet"/>
      <w:lvlText w:val=""/>
      <w:lvlJc w:val="left"/>
      <w:pPr>
        <w:ind w:left="3454" w:hanging="360"/>
      </w:pPr>
      <w:rPr>
        <w:rFonts w:ascii="Wingdings" w:hAnsi="Wingdings" w:hint="default"/>
      </w:rPr>
    </w:lvl>
    <w:lvl w:ilvl="3" w:tplc="08090001" w:tentative="1">
      <w:start w:val="1"/>
      <w:numFmt w:val="bullet"/>
      <w:lvlText w:val=""/>
      <w:lvlJc w:val="left"/>
      <w:pPr>
        <w:ind w:left="4174" w:hanging="360"/>
      </w:pPr>
      <w:rPr>
        <w:rFonts w:ascii="Symbol" w:hAnsi="Symbol" w:hint="default"/>
      </w:rPr>
    </w:lvl>
    <w:lvl w:ilvl="4" w:tplc="08090003" w:tentative="1">
      <w:start w:val="1"/>
      <w:numFmt w:val="bullet"/>
      <w:lvlText w:val="o"/>
      <w:lvlJc w:val="left"/>
      <w:pPr>
        <w:ind w:left="4894" w:hanging="360"/>
      </w:pPr>
      <w:rPr>
        <w:rFonts w:ascii="Courier New" w:hAnsi="Courier New" w:cs="Courier New" w:hint="default"/>
      </w:rPr>
    </w:lvl>
    <w:lvl w:ilvl="5" w:tplc="08090005" w:tentative="1">
      <w:start w:val="1"/>
      <w:numFmt w:val="bullet"/>
      <w:lvlText w:val=""/>
      <w:lvlJc w:val="left"/>
      <w:pPr>
        <w:ind w:left="5614" w:hanging="360"/>
      </w:pPr>
      <w:rPr>
        <w:rFonts w:ascii="Wingdings" w:hAnsi="Wingdings" w:hint="default"/>
      </w:rPr>
    </w:lvl>
    <w:lvl w:ilvl="6" w:tplc="08090001" w:tentative="1">
      <w:start w:val="1"/>
      <w:numFmt w:val="bullet"/>
      <w:lvlText w:val=""/>
      <w:lvlJc w:val="left"/>
      <w:pPr>
        <w:ind w:left="6334" w:hanging="360"/>
      </w:pPr>
      <w:rPr>
        <w:rFonts w:ascii="Symbol" w:hAnsi="Symbol" w:hint="default"/>
      </w:rPr>
    </w:lvl>
    <w:lvl w:ilvl="7" w:tplc="08090003" w:tentative="1">
      <w:start w:val="1"/>
      <w:numFmt w:val="bullet"/>
      <w:lvlText w:val="o"/>
      <w:lvlJc w:val="left"/>
      <w:pPr>
        <w:ind w:left="7054" w:hanging="360"/>
      </w:pPr>
      <w:rPr>
        <w:rFonts w:ascii="Courier New" w:hAnsi="Courier New" w:cs="Courier New" w:hint="default"/>
      </w:rPr>
    </w:lvl>
    <w:lvl w:ilvl="8" w:tplc="08090005" w:tentative="1">
      <w:start w:val="1"/>
      <w:numFmt w:val="bullet"/>
      <w:lvlText w:val=""/>
      <w:lvlJc w:val="left"/>
      <w:pPr>
        <w:ind w:left="7774" w:hanging="360"/>
      </w:pPr>
      <w:rPr>
        <w:rFonts w:ascii="Wingdings" w:hAnsi="Wingdings"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multilevel"/>
    <w:tmpl w:val="1270C700"/>
    <w:lvl w:ilvl="0">
      <w:start w:val="1"/>
      <w:numFmt w:val="decimal"/>
      <w:pStyle w:val="SWCHeading1"/>
      <w:lvlText w:val="%1."/>
      <w:lvlJc w:val="left"/>
      <w:pPr>
        <w:tabs>
          <w:tab w:val="num" w:pos="720"/>
        </w:tabs>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5"/>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4"/>
  </w:num>
  <w:num w:numId="17" w16cid:durableId="569772207">
    <w:abstractNumId w:val="17"/>
  </w:num>
  <w:num w:numId="18" w16cid:durableId="1080835087">
    <w:abstractNumId w:val="21"/>
  </w:num>
  <w:num w:numId="19" w16cid:durableId="1514802717">
    <w:abstractNumId w:val="9"/>
  </w:num>
  <w:num w:numId="20" w16cid:durableId="1328480391">
    <w:abstractNumId w:val="8"/>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1606883353">
    <w:abstractNumId w:val="12"/>
  </w:num>
  <w:num w:numId="26" w16cid:durableId="1097946574">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clickAndTypeStyle w:val="SWCText"/>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0NjUyMDS1MDE3szBT0lEKTi0uzszPAykwrwUAkyusuSwAAAA="/>
  </w:docVars>
  <w:rsids>
    <w:rsidRoot w:val="00B2716E"/>
    <w:rsid w:val="00005037"/>
    <w:rsid w:val="000067DB"/>
    <w:rsid w:val="00010262"/>
    <w:rsid w:val="0001510A"/>
    <w:rsid w:val="000226B4"/>
    <w:rsid w:val="0002379F"/>
    <w:rsid w:val="00031F13"/>
    <w:rsid w:val="00037E8A"/>
    <w:rsid w:val="00040379"/>
    <w:rsid w:val="0004235D"/>
    <w:rsid w:val="00045A60"/>
    <w:rsid w:val="00045C8F"/>
    <w:rsid w:val="0005003E"/>
    <w:rsid w:val="00050CCE"/>
    <w:rsid w:val="000533E4"/>
    <w:rsid w:val="000534F5"/>
    <w:rsid w:val="00053E02"/>
    <w:rsid w:val="00055DB9"/>
    <w:rsid w:val="00057B5E"/>
    <w:rsid w:val="00063FF2"/>
    <w:rsid w:val="00066B26"/>
    <w:rsid w:val="00066F41"/>
    <w:rsid w:val="00066F72"/>
    <w:rsid w:val="000678AC"/>
    <w:rsid w:val="000712A1"/>
    <w:rsid w:val="00074DBF"/>
    <w:rsid w:val="00076B95"/>
    <w:rsid w:val="00077673"/>
    <w:rsid w:val="00080B89"/>
    <w:rsid w:val="00081EAA"/>
    <w:rsid w:val="00085F06"/>
    <w:rsid w:val="00092ED5"/>
    <w:rsid w:val="000930AC"/>
    <w:rsid w:val="000A0ADB"/>
    <w:rsid w:val="000A1CC8"/>
    <w:rsid w:val="000A30A5"/>
    <w:rsid w:val="000A36B5"/>
    <w:rsid w:val="000A52A1"/>
    <w:rsid w:val="000A72AF"/>
    <w:rsid w:val="000B04BE"/>
    <w:rsid w:val="000B09B5"/>
    <w:rsid w:val="000B1F4D"/>
    <w:rsid w:val="000B6D5C"/>
    <w:rsid w:val="000C1F5F"/>
    <w:rsid w:val="000C2344"/>
    <w:rsid w:val="000D64B9"/>
    <w:rsid w:val="000D6E1A"/>
    <w:rsid w:val="000E1855"/>
    <w:rsid w:val="000E6CBA"/>
    <w:rsid w:val="000F739B"/>
    <w:rsid w:val="0010501A"/>
    <w:rsid w:val="001152EE"/>
    <w:rsid w:val="00115D3B"/>
    <w:rsid w:val="0011645C"/>
    <w:rsid w:val="001301DE"/>
    <w:rsid w:val="0013222F"/>
    <w:rsid w:val="0013484E"/>
    <w:rsid w:val="00136177"/>
    <w:rsid w:val="0015090D"/>
    <w:rsid w:val="00150B42"/>
    <w:rsid w:val="001558A2"/>
    <w:rsid w:val="00155FB8"/>
    <w:rsid w:val="00156CE1"/>
    <w:rsid w:val="00157CE5"/>
    <w:rsid w:val="0016402B"/>
    <w:rsid w:val="001647D2"/>
    <w:rsid w:val="00166C42"/>
    <w:rsid w:val="00176EF6"/>
    <w:rsid w:val="001904A7"/>
    <w:rsid w:val="0019232E"/>
    <w:rsid w:val="00194E9A"/>
    <w:rsid w:val="00194EF8"/>
    <w:rsid w:val="001968B5"/>
    <w:rsid w:val="001969B9"/>
    <w:rsid w:val="001A117A"/>
    <w:rsid w:val="001A70BD"/>
    <w:rsid w:val="001A775B"/>
    <w:rsid w:val="001A7F40"/>
    <w:rsid w:val="001B13D6"/>
    <w:rsid w:val="001B6BCF"/>
    <w:rsid w:val="001B7B01"/>
    <w:rsid w:val="001C3A3D"/>
    <w:rsid w:val="001C5A99"/>
    <w:rsid w:val="001C63A2"/>
    <w:rsid w:val="001D0384"/>
    <w:rsid w:val="001D4912"/>
    <w:rsid w:val="001E2B93"/>
    <w:rsid w:val="001E306C"/>
    <w:rsid w:val="001E7020"/>
    <w:rsid w:val="001F1AAA"/>
    <w:rsid w:val="001F2881"/>
    <w:rsid w:val="00205626"/>
    <w:rsid w:val="00206116"/>
    <w:rsid w:val="00211AC4"/>
    <w:rsid w:val="00212628"/>
    <w:rsid w:val="00214EC3"/>
    <w:rsid w:val="00220518"/>
    <w:rsid w:val="0022299B"/>
    <w:rsid w:val="00225724"/>
    <w:rsid w:val="002331FE"/>
    <w:rsid w:val="002424E8"/>
    <w:rsid w:val="00243214"/>
    <w:rsid w:val="00245D8B"/>
    <w:rsid w:val="002470B2"/>
    <w:rsid w:val="00247A55"/>
    <w:rsid w:val="002624DD"/>
    <w:rsid w:val="002647A0"/>
    <w:rsid w:val="00266E47"/>
    <w:rsid w:val="00270E75"/>
    <w:rsid w:val="0027288C"/>
    <w:rsid w:val="00273341"/>
    <w:rsid w:val="00273371"/>
    <w:rsid w:val="0027593A"/>
    <w:rsid w:val="00281D0B"/>
    <w:rsid w:val="00283697"/>
    <w:rsid w:val="00290691"/>
    <w:rsid w:val="002972D1"/>
    <w:rsid w:val="00297876"/>
    <w:rsid w:val="002A04A9"/>
    <w:rsid w:val="002A39BB"/>
    <w:rsid w:val="002B417A"/>
    <w:rsid w:val="002B59B2"/>
    <w:rsid w:val="002C089D"/>
    <w:rsid w:val="002C101B"/>
    <w:rsid w:val="002C68AD"/>
    <w:rsid w:val="002D322C"/>
    <w:rsid w:val="002D4864"/>
    <w:rsid w:val="002D588C"/>
    <w:rsid w:val="002E5D62"/>
    <w:rsid w:val="002F1386"/>
    <w:rsid w:val="002F1D87"/>
    <w:rsid w:val="002F6B87"/>
    <w:rsid w:val="00303345"/>
    <w:rsid w:val="003037FC"/>
    <w:rsid w:val="00305BF3"/>
    <w:rsid w:val="0031005F"/>
    <w:rsid w:val="0031054F"/>
    <w:rsid w:val="0031685E"/>
    <w:rsid w:val="003238E5"/>
    <w:rsid w:val="00334624"/>
    <w:rsid w:val="003357AC"/>
    <w:rsid w:val="00345574"/>
    <w:rsid w:val="00352E78"/>
    <w:rsid w:val="003557FA"/>
    <w:rsid w:val="0035638A"/>
    <w:rsid w:val="003605B9"/>
    <w:rsid w:val="00362122"/>
    <w:rsid w:val="003645AD"/>
    <w:rsid w:val="00364A52"/>
    <w:rsid w:val="00366F00"/>
    <w:rsid w:val="00373F97"/>
    <w:rsid w:val="0037406D"/>
    <w:rsid w:val="00374216"/>
    <w:rsid w:val="0038545D"/>
    <w:rsid w:val="003869E8"/>
    <w:rsid w:val="00391288"/>
    <w:rsid w:val="00393777"/>
    <w:rsid w:val="00395E5A"/>
    <w:rsid w:val="00395F5E"/>
    <w:rsid w:val="0039742D"/>
    <w:rsid w:val="003A3A38"/>
    <w:rsid w:val="003A7DB9"/>
    <w:rsid w:val="003B0BBE"/>
    <w:rsid w:val="003B2055"/>
    <w:rsid w:val="003B3FC9"/>
    <w:rsid w:val="003C0806"/>
    <w:rsid w:val="003C18DE"/>
    <w:rsid w:val="003C1B31"/>
    <w:rsid w:val="003C2B1A"/>
    <w:rsid w:val="003C39C6"/>
    <w:rsid w:val="003C5B9E"/>
    <w:rsid w:val="003C7199"/>
    <w:rsid w:val="003C7E95"/>
    <w:rsid w:val="003D0C22"/>
    <w:rsid w:val="003D3B61"/>
    <w:rsid w:val="003D6941"/>
    <w:rsid w:val="003E03B7"/>
    <w:rsid w:val="003E1E1C"/>
    <w:rsid w:val="003E261D"/>
    <w:rsid w:val="003E3CDD"/>
    <w:rsid w:val="003E46CA"/>
    <w:rsid w:val="003F0403"/>
    <w:rsid w:val="003F29E0"/>
    <w:rsid w:val="003F33E7"/>
    <w:rsid w:val="003F5B99"/>
    <w:rsid w:val="004019FD"/>
    <w:rsid w:val="00403E6A"/>
    <w:rsid w:val="004053B5"/>
    <w:rsid w:val="0040615A"/>
    <w:rsid w:val="00407DBC"/>
    <w:rsid w:val="00411E29"/>
    <w:rsid w:val="004127FA"/>
    <w:rsid w:val="0042033E"/>
    <w:rsid w:val="00434DEC"/>
    <w:rsid w:val="004357AD"/>
    <w:rsid w:val="00453296"/>
    <w:rsid w:val="00462350"/>
    <w:rsid w:val="00467DFD"/>
    <w:rsid w:val="00473544"/>
    <w:rsid w:val="00476879"/>
    <w:rsid w:val="00490F10"/>
    <w:rsid w:val="00493C81"/>
    <w:rsid w:val="00494006"/>
    <w:rsid w:val="004A14C9"/>
    <w:rsid w:val="004A3506"/>
    <w:rsid w:val="004B0CD4"/>
    <w:rsid w:val="004B5697"/>
    <w:rsid w:val="004C39AD"/>
    <w:rsid w:val="004C3D24"/>
    <w:rsid w:val="004C4EE9"/>
    <w:rsid w:val="004D42EE"/>
    <w:rsid w:val="004E46AF"/>
    <w:rsid w:val="004E5D79"/>
    <w:rsid w:val="004F4904"/>
    <w:rsid w:val="004F5FF9"/>
    <w:rsid w:val="00500640"/>
    <w:rsid w:val="00500D7D"/>
    <w:rsid w:val="00501EF9"/>
    <w:rsid w:val="005067AC"/>
    <w:rsid w:val="00513809"/>
    <w:rsid w:val="00514890"/>
    <w:rsid w:val="0051584D"/>
    <w:rsid w:val="00521A24"/>
    <w:rsid w:val="00525A84"/>
    <w:rsid w:val="0053048D"/>
    <w:rsid w:val="00532138"/>
    <w:rsid w:val="0053532A"/>
    <w:rsid w:val="005404F1"/>
    <w:rsid w:val="00544D85"/>
    <w:rsid w:val="005467DA"/>
    <w:rsid w:val="00550776"/>
    <w:rsid w:val="00556004"/>
    <w:rsid w:val="005641FB"/>
    <w:rsid w:val="00566460"/>
    <w:rsid w:val="0057075C"/>
    <w:rsid w:val="005721F8"/>
    <w:rsid w:val="00572C70"/>
    <w:rsid w:val="005836C7"/>
    <w:rsid w:val="00587B8A"/>
    <w:rsid w:val="00596D7F"/>
    <w:rsid w:val="005B3E86"/>
    <w:rsid w:val="005B6F55"/>
    <w:rsid w:val="005D1066"/>
    <w:rsid w:val="005D5CF6"/>
    <w:rsid w:val="005D5E07"/>
    <w:rsid w:val="005E04EA"/>
    <w:rsid w:val="005E0D7D"/>
    <w:rsid w:val="005E7208"/>
    <w:rsid w:val="005F07D2"/>
    <w:rsid w:val="005F0B0B"/>
    <w:rsid w:val="005F106F"/>
    <w:rsid w:val="00606C29"/>
    <w:rsid w:val="00607C4E"/>
    <w:rsid w:val="00610E15"/>
    <w:rsid w:val="00611B68"/>
    <w:rsid w:val="00613AF9"/>
    <w:rsid w:val="0061732F"/>
    <w:rsid w:val="00620467"/>
    <w:rsid w:val="0062257E"/>
    <w:rsid w:val="00625BC2"/>
    <w:rsid w:val="00627E34"/>
    <w:rsid w:val="006309AA"/>
    <w:rsid w:val="00633473"/>
    <w:rsid w:val="0063447B"/>
    <w:rsid w:val="006379BD"/>
    <w:rsid w:val="0064403B"/>
    <w:rsid w:val="006500EC"/>
    <w:rsid w:val="006509C5"/>
    <w:rsid w:val="00652071"/>
    <w:rsid w:val="00652D7E"/>
    <w:rsid w:val="00653551"/>
    <w:rsid w:val="0065490D"/>
    <w:rsid w:val="0065563B"/>
    <w:rsid w:val="00660D87"/>
    <w:rsid w:val="00665471"/>
    <w:rsid w:val="0066640E"/>
    <w:rsid w:val="00670FB5"/>
    <w:rsid w:val="006722C6"/>
    <w:rsid w:val="00692D7F"/>
    <w:rsid w:val="00693B44"/>
    <w:rsid w:val="006A0AE2"/>
    <w:rsid w:val="006A2F10"/>
    <w:rsid w:val="006A332B"/>
    <w:rsid w:val="006A77D0"/>
    <w:rsid w:val="006B3D49"/>
    <w:rsid w:val="006B4C9F"/>
    <w:rsid w:val="006C19F8"/>
    <w:rsid w:val="006C756C"/>
    <w:rsid w:val="006D19E1"/>
    <w:rsid w:val="006D1F7E"/>
    <w:rsid w:val="006D4A96"/>
    <w:rsid w:val="006D6083"/>
    <w:rsid w:val="006F3259"/>
    <w:rsid w:val="006F3B71"/>
    <w:rsid w:val="006F5B85"/>
    <w:rsid w:val="00702AE0"/>
    <w:rsid w:val="007078BD"/>
    <w:rsid w:val="00707F4B"/>
    <w:rsid w:val="00713804"/>
    <w:rsid w:val="007174DA"/>
    <w:rsid w:val="007200C4"/>
    <w:rsid w:val="00722B51"/>
    <w:rsid w:val="00725ED2"/>
    <w:rsid w:val="0073193F"/>
    <w:rsid w:val="007400DF"/>
    <w:rsid w:val="007535ED"/>
    <w:rsid w:val="0075406E"/>
    <w:rsid w:val="00754D44"/>
    <w:rsid w:val="00756702"/>
    <w:rsid w:val="00762EA3"/>
    <w:rsid w:val="00770651"/>
    <w:rsid w:val="007763CB"/>
    <w:rsid w:val="007804A7"/>
    <w:rsid w:val="00781269"/>
    <w:rsid w:val="007908F6"/>
    <w:rsid w:val="007954D9"/>
    <w:rsid w:val="007A0159"/>
    <w:rsid w:val="007A37E3"/>
    <w:rsid w:val="007A7952"/>
    <w:rsid w:val="007B0BDB"/>
    <w:rsid w:val="007B2113"/>
    <w:rsid w:val="007B33DF"/>
    <w:rsid w:val="007C0BC9"/>
    <w:rsid w:val="007C1632"/>
    <w:rsid w:val="007C36EF"/>
    <w:rsid w:val="007C47D1"/>
    <w:rsid w:val="007C6BDE"/>
    <w:rsid w:val="007D0678"/>
    <w:rsid w:val="007D1C2C"/>
    <w:rsid w:val="007E20A5"/>
    <w:rsid w:val="007E7634"/>
    <w:rsid w:val="007F3CFE"/>
    <w:rsid w:val="007F6680"/>
    <w:rsid w:val="00800E25"/>
    <w:rsid w:val="00801634"/>
    <w:rsid w:val="00804C6E"/>
    <w:rsid w:val="0080537B"/>
    <w:rsid w:val="008219CF"/>
    <w:rsid w:val="008314FC"/>
    <w:rsid w:val="00834062"/>
    <w:rsid w:val="00837104"/>
    <w:rsid w:val="00837BD4"/>
    <w:rsid w:val="00840E8F"/>
    <w:rsid w:val="0084100F"/>
    <w:rsid w:val="00844F36"/>
    <w:rsid w:val="00845AE3"/>
    <w:rsid w:val="00862FDF"/>
    <w:rsid w:val="00864C8F"/>
    <w:rsid w:val="0087241B"/>
    <w:rsid w:val="008753F3"/>
    <w:rsid w:val="008818FF"/>
    <w:rsid w:val="00882AB9"/>
    <w:rsid w:val="008869C2"/>
    <w:rsid w:val="00893500"/>
    <w:rsid w:val="008A0437"/>
    <w:rsid w:val="008A47FD"/>
    <w:rsid w:val="008A64D4"/>
    <w:rsid w:val="008B618F"/>
    <w:rsid w:val="008C0435"/>
    <w:rsid w:val="008C12A9"/>
    <w:rsid w:val="008D2C16"/>
    <w:rsid w:val="008D43FD"/>
    <w:rsid w:val="008D44C5"/>
    <w:rsid w:val="008D7E85"/>
    <w:rsid w:val="008E19FF"/>
    <w:rsid w:val="008E30F8"/>
    <w:rsid w:val="008E53FF"/>
    <w:rsid w:val="008F249D"/>
    <w:rsid w:val="008F3A31"/>
    <w:rsid w:val="008F54F8"/>
    <w:rsid w:val="009011AA"/>
    <w:rsid w:val="009015EF"/>
    <w:rsid w:val="00904774"/>
    <w:rsid w:val="00906CC3"/>
    <w:rsid w:val="00912719"/>
    <w:rsid w:val="0091591C"/>
    <w:rsid w:val="00917D56"/>
    <w:rsid w:val="00927620"/>
    <w:rsid w:val="00931C9D"/>
    <w:rsid w:val="00933A00"/>
    <w:rsid w:val="00933BFD"/>
    <w:rsid w:val="00941691"/>
    <w:rsid w:val="00942AED"/>
    <w:rsid w:val="00944E25"/>
    <w:rsid w:val="009462E9"/>
    <w:rsid w:val="00951419"/>
    <w:rsid w:val="00952FC4"/>
    <w:rsid w:val="00953F15"/>
    <w:rsid w:val="00953F1F"/>
    <w:rsid w:val="009642AB"/>
    <w:rsid w:val="00975E68"/>
    <w:rsid w:val="00976A7F"/>
    <w:rsid w:val="00982BCB"/>
    <w:rsid w:val="009901CE"/>
    <w:rsid w:val="00993F03"/>
    <w:rsid w:val="0099435F"/>
    <w:rsid w:val="00996BC5"/>
    <w:rsid w:val="009A1431"/>
    <w:rsid w:val="009A6D34"/>
    <w:rsid w:val="009B072C"/>
    <w:rsid w:val="009B4816"/>
    <w:rsid w:val="009C1BA8"/>
    <w:rsid w:val="009C2D0D"/>
    <w:rsid w:val="009C3492"/>
    <w:rsid w:val="009C49C6"/>
    <w:rsid w:val="009C5AA4"/>
    <w:rsid w:val="009D02D4"/>
    <w:rsid w:val="009D60E3"/>
    <w:rsid w:val="009E0D67"/>
    <w:rsid w:val="009E4985"/>
    <w:rsid w:val="009E6BC9"/>
    <w:rsid w:val="009F1348"/>
    <w:rsid w:val="009F16C5"/>
    <w:rsid w:val="009F18C8"/>
    <w:rsid w:val="009F2828"/>
    <w:rsid w:val="009F3E11"/>
    <w:rsid w:val="009F6AF8"/>
    <w:rsid w:val="009F6E78"/>
    <w:rsid w:val="009F7A4B"/>
    <w:rsid w:val="009F7C7E"/>
    <w:rsid w:val="00A01148"/>
    <w:rsid w:val="00A11FC8"/>
    <w:rsid w:val="00A27642"/>
    <w:rsid w:val="00A31DC5"/>
    <w:rsid w:val="00A32025"/>
    <w:rsid w:val="00A343F1"/>
    <w:rsid w:val="00A40C81"/>
    <w:rsid w:val="00A436CD"/>
    <w:rsid w:val="00A5180B"/>
    <w:rsid w:val="00A54FAB"/>
    <w:rsid w:val="00A55E36"/>
    <w:rsid w:val="00A6457C"/>
    <w:rsid w:val="00A74728"/>
    <w:rsid w:val="00A76F7D"/>
    <w:rsid w:val="00A7725C"/>
    <w:rsid w:val="00A80385"/>
    <w:rsid w:val="00A8223C"/>
    <w:rsid w:val="00A8757B"/>
    <w:rsid w:val="00A92044"/>
    <w:rsid w:val="00A9727D"/>
    <w:rsid w:val="00AA16B9"/>
    <w:rsid w:val="00AA47DC"/>
    <w:rsid w:val="00AB624E"/>
    <w:rsid w:val="00AC2C09"/>
    <w:rsid w:val="00AC6B6F"/>
    <w:rsid w:val="00AD66C3"/>
    <w:rsid w:val="00AE11FC"/>
    <w:rsid w:val="00AE4761"/>
    <w:rsid w:val="00AE6354"/>
    <w:rsid w:val="00AF15AF"/>
    <w:rsid w:val="00AF50A1"/>
    <w:rsid w:val="00AF6EB4"/>
    <w:rsid w:val="00B00A11"/>
    <w:rsid w:val="00B01141"/>
    <w:rsid w:val="00B02E33"/>
    <w:rsid w:val="00B04CF2"/>
    <w:rsid w:val="00B12803"/>
    <w:rsid w:val="00B214A1"/>
    <w:rsid w:val="00B22D5C"/>
    <w:rsid w:val="00B263F0"/>
    <w:rsid w:val="00B2716E"/>
    <w:rsid w:val="00B31661"/>
    <w:rsid w:val="00B32703"/>
    <w:rsid w:val="00B4042B"/>
    <w:rsid w:val="00B47522"/>
    <w:rsid w:val="00B5097B"/>
    <w:rsid w:val="00B54313"/>
    <w:rsid w:val="00B60B5F"/>
    <w:rsid w:val="00B6496F"/>
    <w:rsid w:val="00B74A75"/>
    <w:rsid w:val="00B8064D"/>
    <w:rsid w:val="00B80F06"/>
    <w:rsid w:val="00B827C6"/>
    <w:rsid w:val="00B8312B"/>
    <w:rsid w:val="00B84CEB"/>
    <w:rsid w:val="00B86327"/>
    <w:rsid w:val="00B93F09"/>
    <w:rsid w:val="00BA09AD"/>
    <w:rsid w:val="00BA23FC"/>
    <w:rsid w:val="00BB1390"/>
    <w:rsid w:val="00BC5149"/>
    <w:rsid w:val="00BC738E"/>
    <w:rsid w:val="00BD0576"/>
    <w:rsid w:val="00BE1253"/>
    <w:rsid w:val="00BE50D0"/>
    <w:rsid w:val="00BE56A5"/>
    <w:rsid w:val="00BF16FE"/>
    <w:rsid w:val="00C012F5"/>
    <w:rsid w:val="00C0449B"/>
    <w:rsid w:val="00C068BC"/>
    <w:rsid w:val="00C132C1"/>
    <w:rsid w:val="00C17081"/>
    <w:rsid w:val="00C20A85"/>
    <w:rsid w:val="00C27561"/>
    <w:rsid w:val="00C27FD4"/>
    <w:rsid w:val="00C3324F"/>
    <w:rsid w:val="00C33C2A"/>
    <w:rsid w:val="00C364AB"/>
    <w:rsid w:val="00C365E2"/>
    <w:rsid w:val="00C44EFB"/>
    <w:rsid w:val="00C5397C"/>
    <w:rsid w:val="00C54F33"/>
    <w:rsid w:val="00C55264"/>
    <w:rsid w:val="00C62036"/>
    <w:rsid w:val="00C641D7"/>
    <w:rsid w:val="00C6695C"/>
    <w:rsid w:val="00C73717"/>
    <w:rsid w:val="00C77865"/>
    <w:rsid w:val="00C90E4B"/>
    <w:rsid w:val="00C97946"/>
    <w:rsid w:val="00CA2A90"/>
    <w:rsid w:val="00CA4F91"/>
    <w:rsid w:val="00CA74F1"/>
    <w:rsid w:val="00CA7ABB"/>
    <w:rsid w:val="00CB365E"/>
    <w:rsid w:val="00CB3B19"/>
    <w:rsid w:val="00CB57E5"/>
    <w:rsid w:val="00CB744C"/>
    <w:rsid w:val="00CB7EE8"/>
    <w:rsid w:val="00CC0BDA"/>
    <w:rsid w:val="00CC3B0C"/>
    <w:rsid w:val="00CC445A"/>
    <w:rsid w:val="00CD4EFC"/>
    <w:rsid w:val="00CE306B"/>
    <w:rsid w:val="00CE432C"/>
    <w:rsid w:val="00CE6DBB"/>
    <w:rsid w:val="00CF2C9A"/>
    <w:rsid w:val="00D0520C"/>
    <w:rsid w:val="00D05F6A"/>
    <w:rsid w:val="00D14555"/>
    <w:rsid w:val="00D17DCC"/>
    <w:rsid w:val="00D23713"/>
    <w:rsid w:val="00D23E21"/>
    <w:rsid w:val="00D262AD"/>
    <w:rsid w:val="00D31359"/>
    <w:rsid w:val="00D32EF0"/>
    <w:rsid w:val="00D34665"/>
    <w:rsid w:val="00D35E52"/>
    <w:rsid w:val="00D36FA6"/>
    <w:rsid w:val="00D41E9A"/>
    <w:rsid w:val="00D53F31"/>
    <w:rsid w:val="00D5584D"/>
    <w:rsid w:val="00D62269"/>
    <w:rsid w:val="00D62EDC"/>
    <w:rsid w:val="00D63D44"/>
    <w:rsid w:val="00D807ED"/>
    <w:rsid w:val="00D976DC"/>
    <w:rsid w:val="00DA244B"/>
    <w:rsid w:val="00DA38D8"/>
    <w:rsid w:val="00DA7F88"/>
    <w:rsid w:val="00DB52E7"/>
    <w:rsid w:val="00DC0318"/>
    <w:rsid w:val="00DC6584"/>
    <w:rsid w:val="00DD1D5F"/>
    <w:rsid w:val="00DD2F4E"/>
    <w:rsid w:val="00DE0269"/>
    <w:rsid w:val="00DE1AA1"/>
    <w:rsid w:val="00DF1595"/>
    <w:rsid w:val="00E012C5"/>
    <w:rsid w:val="00E023A9"/>
    <w:rsid w:val="00E030C3"/>
    <w:rsid w:val="00E07D1B"/>
    <w:rsid w:val="00E1006D"/>
    <w:rsid w:val="00E218E2"/>
    <w:rsid w:val="00E23FEE"/>
    <w:rsid w:val="00E2690B"/>
    <w:rsid w:val="00E44A52"/>
    <w:rsid w:val="00E53F82"/>
    <w:rsid w:val="00E548A7"/>
    <w:rsid w:val="00E57E49"/>
    <w:rsid w:val="00E61C50"/>
    <w:rsid w:val="00E65D4A"/>
    <w:rsid w:val="00E7237D"/>
    <w:rsid w:val="00E84222"/>
    <w:rsid w:val="00E87876"/>
    <w:rsid w:val="00E917F8"/>
    <w:rsid w:val="00E9249A"/>
    <w:rsid w:val="00E9337F"/>
    <w:rsid w:val="00EA2BFC"/>
    <w:rsid w:val="00EA34C6"/>
    <w:rsid w:val="00EA50D7"/>
    <w:rsid w:val="00EA56BF"/>
    <w:rsid w:val="00EB18AE"/>
    <w:rsid w:val="00EB766E"/>
    <w:rsid w:val="00EB79A5"/>
    <w:rsid w:val="00EC3533"/>
    <w:rsid w:val="00ED1BAD"/>
    <w:rsid w:val="00ED7123"/>
    <w:rsid w:val="00EE40FA"/>
    <w:rsid w:val="00EF2F33"/>
    <w:rsid w:val="00EF596C"/>
    <w:rsid w:val="00F0298C"/>
    <w:rsid w:val="00F07750"/>
    <w:rsid w:val="00F10047"/>
    <w:rsid w:val="00F30A77"/>
    <w:rsid w:val="00F37943"/>
    <w:rsid w:val="00F4393F"/>
    <w:rsid w:val="00F46A3A"/>
    <w:rsid w:val="00F5375D"/>
    <w:rsid w:val="00F5454E"/>
    <w:rsid w:val="00F62C73"/>
    <w:rsid w:val="00F715C3"/>
    <w:rsid w:val="00F718BD"/>
    <w:rsid w:val="00F77F3D"/>
    <w:rsid w:val="00F80507"/>
    <w:rsid w:val="00F83CD3"/>
    <w:rsid w:val="00F85F61"/>
    <w:rsid w:val="00F91981"/>
    <w:rsid w:val="00F95487"/>
    <w:rsid w:val="00F957AC"/>
    <w:rsid w:val="00F95DEF"/>
    <w:rsid w:val="00FA1553"/>
    <w:rsid w:val="00FA4DF8"/>
    <w:rsid w:val="00FB2FBE"/>
    <w:rsid w:val="00FB45FB"/>
    <w:rsid w:val="00FC09A1"/>
    <w:rsid w:val="00FC1374"/>
    <w:rsid w:val="00FC1781"/>
    <w:rsid w:val="00FC244F"/>
    <w:rsid w:val="00FD421D"/>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6D1F7E"/>
    <w:rPr>
      <w:color w:val="605E5C"/>
      <w:shd w:val="clear" w:color="auto" w:fill="E1DFDD"/>
    </w:rPr>
  </w:style>
  <w:style w:type="paragraph" w:styleId="NormalWeb">
    <w:name w:val="Normal (Web)"/>
    <w:basedOn w:val="Normal"/>
    <w:uiPriority w:val="99"/>
    <w:semiHidden/>
    <w:unhideWhenUsed/>
    <w:rsid w:val="00CA74F1"/>
    <w:pPr>
      <w:spacing w:before="100" w:beforeAutospacing="1" w:after="100" w:afterAutospacing="1"/>
    </w:pPr>
    <w:rPr>
      <w:lang w:val="en-GB" w:eastAsia="en-GB"/>
    </w:rPr>
  </w:style>
  <w:style w:type="character" w:styleId="Emphasis">
    <w:name w:val="Emphasis"/>
    <w:basedOn w:val="DefaultParagraphFont"/>
    <w:uiPriority w:val="20"/>
    <w:qFormat/>
    <w:rsid w:val="00693B44"/>
    <w:rPr>
      <w:i/>
      <w:iCs/>
    </w:rPr>
  </w:style>
  <w:style w:type="character" w:styleId="FollowedHyperlink">
    <w:name w:val="FollowedHyperlink"/>
    <w:basedOn w:val="DefaultParagraphFont"/>
    <w:uiPriority w:val="99"/>
    <w:semiHidden/>
    <w:unhideWhenUsed/>
    <w:rsid w:val="00211AC4"/>
    <w:rPr>
      <w:color w:val="800080" w:themeColor="followedHyperlink"/>
      <w:u w:val="single"/>
    </w:rPr>
  </w:style>
  <w:style w:type="paragraph" w:styleId="Caption">
    <w:name w:val="caption"/>
    <w:basedOn w:val="Normal"/>
    <w:next w:val="Normal"/>
    <w:uiPriority w:val="35"/>
    <w:unhideWhenUsed/>
    <w:qFormat/>
    <w:rsid w:val="00C62036"/>
    <w:pPr>
      <w:spacing w:after="200"/>
    </w:pPr>
    <w:rPr>
      <w:i/>
      <w:iCs/>
      <w:color w:val="1F497D" w:themeColor="text2"/>
      <w:sz w:val="18"/>
      <w:szCs w:val="18"/>
    </w:rPr>
  </w:style>
  <w:style w:type="paragraph" w:customStyle="1" w:styleId="isselectedend">
    <w:name w:val="isselectedend"/>
    <w:basedOn w:val="Normal"/>
    <w:rsid w:val="007F3CFE"/>
    <w:pPr>
      <w:spacing w:before="100" w:beforeAutospacing="1" w:after="100" w:afterAutospacing="1"/>
    </w:pPr>
    <w:rPr>
      <w:lang w:val="en-GB" w:eastAsia="en-GB"/>
    </w:rPr>
  </w:style>
  <w:style w:type="character" w:customStyle="1" w:styleId="mord">
    <w:name w:val="mord"/>
    <w:basedOn w:val="DefaultParagraphFont"/>
    <w:rsid w:val="008C12A9"/>
  </w:style>
  <w:style w:type="character" w:customStyle="1" w:styleId="mpunct">
    <w:name w:val="mpunct"/>
    <w:basedOn w:val="DefaultParagraphFont"/>
    <w:rsid w:val="008C12A9"/>
  </w:style>
  <w:style w:type="character" w:customStyle="1" w:styleId="vlist-s">
    <w:name w:val="vlist-s"/>
    <w:basedOn w:val="DefaultParagraphFont"/>
    <w:rsid w:val="008C12A9"/>
  </w:style>
  <w:style w:type="character" w:customStyle="1" w:styleId="mrel">
    <w:name w:val="mrel"/>
    <w:basedOn w:val="DefaultParagraphFont"/>
    <w:rsid w:val="008C12A9"/>
  </w:style>
  <w:style w:type="character" w:customStyle="1" w:styleId="mop">
    <w:name w:val="mop"/>
    <w:basedOn w:val="DefaultParagraphFont"/>
    <w:rsid w:val="008C12A9"/>
  </w:style>
  <w:style w:type="character" w:customStyle="1" w:styleId="mbin">
    <w:name w:val="mbin"/>
    <w:basedOn w:val="DefaultParagraphFont"/>
    <w:rsid w:val="008C12A9"/>
  </w:style>
  <w:style w:type="character" w:customStyle="1" w:styleId="text-token-text-primary">
    <w:name w:val="text-token-text-primary"/>
    <w:basedOn w:val="DefaultParagraphFont"/>
    <w:rsid w:val="008C0435"/>
  </w:style>
  <w:style w:type="paragraph" w:styleId="ListParagraph">
    <w:name w:val="List Paragraph"/>
    <w:basedOn w:val="Normal"/>
    <w:uiPriority w:val="34"/>
    <w:rsid w:val="00A320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vonne.baeuerle@ost.ch" TargetMode="External"/><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ost.ch/spf/rewax" TargetMode="Externa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image" Target="media/image7.svg"/><Relationship Id="rId25" Type="http://schemas.openxmlformats.org/officeDocument/2006/relationships/hyperlink" Target="https://doi.org/10.1016/j.ecmx.2019.100017"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oi.org/10.1016/j.ijhydene.2025.03.1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i.org/10.18086/swc.2025.02.02" TargetMode="External"/><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hyperlink" Target="https://ec.europa.eu/eurostat/statistics-explained/index.php?title=Energy_consumption_in_households" TargetMode="External"/><Relationship Id="rId10" Type="http://schemas.openxmlformats.org/officeDocument/2006/relationships/hyperlink" Target="mailto:michel.haller@ost.ch" TargetMode="External"/><Relationship Id="rId19" Type="http://schemas.openxmlformats.org/officeDocument/2006/relationships/image" Target="media/image9.svg"/><Relationship Id="rId4" Type="http://schemas.openxmlformats.org/officeDocument/2006/relationships/settings" Target="settings.xml"/><Relationship Id="rId9" Type="http://schemas.openxmlformats.org/officeDocument/2006/relationships/hyperlink" Target="mailto:kriztina.kelevitz@ost.ch" TargetMode="External"/><Relationship Id="rId14" Type="http://schemas.openxmlformats.org/officeDocument/2006/relationships/image" Target="media/image4.png"/><Relationship Id="rId22" Type="http://schemas.openxmlformats.org/officeDocument/2006/relationships/hyperlink" Target="https://www.eea.europa.eu/en/analysis/indicators/greenhouse-gas-emissions-from-energ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reveal-storage.eu/" TargetMode="External"/><Relationship Id="rId1" Type="http://schemas.openxmlformats.org/officeDocument/2006/relationships/hyperlink" Target="https://www.ost.ch/spf/rewa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B6B72E-3280-4CFB-BC98-E668CB46109D}">
  <we:reference id="WA200001361" version="2.129.3.0" store="Omex" storeType="OMEX"/>
  <we:alternateReferences>
    <we:reference id="WA200001361" version="2.129.3.0" store="WA200001361" storeType="OMEX"/>
  </we:alternateReferences>
  <we:properties>
    <we:property name="paperpal-document-id" value="&quot;a963738e-43ee-4598-8593-ec14c4fff98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6465</Words>
  <Characters>36854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Yvonne Bäuerle</cp:lastModifiedBy>
  <cp:revision>5</cp:revision>
  <cp:lastPrinted>2023-02-22T18:40:00Z</cp:lastPrinted>
  <dcterms:created xsi:type="dcterms:W3CDTF">2026-09-15T15:03:00Z</dcterms:created>
  <dcterms:modified xsi:type="dcterms:W3CDTF">2026-09-15T15:48:00Z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5c6c5eb9-9f80-4a15-92ca-de597fe2be3a</vt:lpwstr>
  </property>
</Properties>
</file>