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6FC622" w14:textId="5D2E42A6" w:rsidR="00DB52E7" w:rsidRPr="009F3902" w:rsidRDefault="004053B5" w:rsidP="00B32703">
      <w:pPr>
        <w:pStyle w:val="SWCTitle"/>
        <w:rPr>
          <w:sz w:val="28"/>
          <w:szCs w:val="28"/>
        </w:rPr>
      </w:pPr>
      <w:r w:rsidRPr="009F3902">
        <w:rPr>
          <w:sz w:val="28"/>
          <w:szCs w:val="28"/>
        </w:rPr>
        <w:t>EuroSun</w:t>
      </w:r>
      <w:r w:rsidR="00FC1781" w:rsidRPr="009F3902">
        <w:rPr>
          <w:sz w:val="28"/>
          <w:szCs w:val="28"/>
        </w:rPr>
        <w:t>202</w:t>
      </w:r>
      <w:r w:rsidR="00FA4DF8" w:rsidRPr="009F3902">
        <w:rPr>
          <w:sz w:val="28"/>
          <w:szCs w:val="28"/>
        </w:rPr>
        <w:t>6</w:t>
      </w:r>
    </w:p>
    <w:p w14:paraId="7142D0DC" w14:textId="26CA8A98" w:rsidR="00D32EF0" w:rsidRPr="009F3902" w:rsidRDefault="007E205A" w:rsidP="00B32703">
      <w:pPr>
        <w:pStyle w:val="SWCTitle"/>
        <w:rPr>
          <w:sz w:val="28"/>
          <w:szCs w:val="28"/>
        </w:rPr>
      </w:pPr>
      <w:r w:rsidRPr="009F3902">
        <w:rPr>
          <w:sz w:val="28"/>
          <w:szCs w:val="28"/>
        </w:rPr>
        <w:t xml:space="preserve">BEYOND THE FOCAL LINE: RE-DESIGNING PARABOLIC TROUGHS FOR RECEIVER </w:t>
      </w:r>
      <w:r w:rsidR="00522FD2" w:rsidRPr="009F3902">
        <w:rPr>
          <w:sz w:val="28"/>
          <w:szCs w:val="28"/>
        </w:rPr>
        <w:t>LONGEVITY</w:t>
      </w:r>
    </w:p>
    <w:p w14:paraId="4B3249DD" w14:textId="404712F0" w:rsidR="0C3545CD" w:rsidRPr="009F3902" w:rsidRDefault="0C3545CD" w:rsidP="0C3545CD">
      <w:pPr>
        <w:pStyle w:val="SWCTitle"/>
        <w:spacing w:before="0" w:after="0"/>
        <w:jc w:val="left"/>
        <w:rPr>
          <w:rFonts w:ascii="Times New Roman" w:hAnsi="Times New Roman"/>
          <w:b w:val="0"/>
          <w:sz w:val="20"/>
          <w:szCs w:val="20"/>
        </w:rPr>
      </w:pPr>
    </w:p>
    <w:p w14:paraId="5850DC36" w14:textId="3C1E3FEF" w:rsidR="006B3D49" w:rsidRPr="009F3902" w:rsidRDefault="00246F31" w:rsidP="00E917F8">
      <w:pPr>
        <w:pStyle w:val="SWCTitle"/>
        <w:spacing w:before="0" w:after="0"/>
        <w:jc w:val="left"/>
        <w:rPr>
          <w:rFonts w:ascii="Times New Roman" w:hAnsi="Times New Roman"/>
          <w:b w:val="0"/>
          <w:sz w:val="20"/>
          <w:szCs w:val="20"/>
        </w:rPr>
      </w:pPr>
      <w:r w:rsidRPr="009F3902">
        <w:rPr>
          <w:rFonts w:ascii="Times New Roman" w:hAnsi="Times New Roman"/>
          <w:b w:val="0"/>
          <w:sz w:val="20"/>
          <w:szCs w:val="20"/>
        </w:rPr>
        <w:t>Sainath A. Waghmare</w:t>
      </w:r>
      <w:r w:rsidR="0C3545CD" w:rsidRPr="009F3902">
        <w:rPr>
          <w:rFonts w:ascii="Times New Roman" w:hAnsi="Times New Roman"/>
          <w:b w:val="0"/>
          <w:sz w:val="20"/>
          <w:szCs w:val="20"/>
          <w:vertAlign w:val="superscript"/>
        </w:rPr>
        <w:t>1</w:t>
      </w:r>
      <w:r w:rsidR="0C3545CD" w:rsidRPr="009F3902">
        <w:rPr>
          <w:rFonts w:ascii="Times New Roman" w:hAnsi="Times New Roman"/>
          <w:b w:val="0"/>
          <w:sz w:val="20"/>
          <w:szCs w:val="20"/>
        </w:rPr>
        <w:t xml:space="preserve"> (corresponding author), </w:t>
      </w:r>
      <w:r w:rsidR="00335FFE" w:rsidRPr="009F3902">
        <w:rPr>
          <w:rFonts w:ascii="Times New Roman" w:hAnsi="Times New Roman"/>
          <w:b w:val="0"/>
          <w:sz w:val="20"/>
          <w:szCs w:val="20"/>
        </w:rPr>
        <w:t>Gabriel Cardona</w:t>
      </w:r>
      <w:r w:rsidR="0C3545CD" w:rsidRPr="009F3902">
        <w:rPr>
          <w:rFonts w:ascii="Times New Roman" w:hAnsi="Times New Roman"/>
          <w:b w:val="0"/>
          <w:sz w:val="20"/>
          <w:szCs w:val="20"/>
          <w:vertAlign w:val="superscript"/>
        </w:rPr>
        <w:t>2</w:t>
      </w:r>
      <w:r w:rsidR="0C3545CD" w:rsidRPr="009F3902">
        <w:rPr>
          <w:rFonts w:ascii="Times New Roman" w:hAnsi="Times New Roman"/>
          <w:b w:val="0"/>
          <w:sz w:val="20"/>
          <w:szCs w:val="20"/>
        </w:rPr>
        <w:t xml:space="preserve">, </w:t>
      </w:r>
      <w:r w:rsidR="00335FFE" w:rsidRPr="009F3902">
        <w:rPr>
          <w:rFonts w:ascii="Times New Roman" w:hAnsi="Times New Roman"/>
          <w:b w:val="0"/>
          <w:sz w:val="20"/>
          <w:szCs w:val="20"/>
        </w:rPr>
        <w:t>Ramón Pujol-Nadal</w:t>
      </w:r>
      <w:r w:rsidR="00DC47F5" w:rsidRPr="009F3902">
        <w:rPr>
          <w:rFonts w:ascii="Times New Roman" w:hAnsi="Times New Roman"/>
          <w:b w:val="0"/>
          <w:sz w:val="20"/>
          <w:szCs w:val="20"/>
          <w:vertAlign w:val="superscript"/>
        </w:rPr>
        <w:t>1</w:t>
      </w:r>
    </w:p>
    <w:p w14:paraId="311CE447" w14:textId="014D9D4A" w:rsidR="006B3D49" w:rsidRPr="009F3902" w:rsidRDefault="00DC47F5" w:rsidP="00E917F8">
      <w:pPr>
        <w:pStyle w:val="SWCTitle"/>
        <w:spacing w:before="0" w:after="0"/>
        <w:jc w:val="left"/>
        <w:rPr>
          <w:rFonts w:ascii="Times New Roman" w:hAnsi="Times New Roman"/>
          <w:b w:val="0"/>
          <w:sz w:val="20"/>
          <w:szCs w:val="22"/>
        </w:rPr>
      </w:pPr>
      <w:r w:rsidRPr="009F3902">
        <w:rPr>
          <w:rFonts w:ascii="Times New Roman" w:hAnsi="Times New Roman"/>
          <w:b w:val="0"/>
          <w:sz w:val="20"/>
          <w:szCs w:val="22"/>
          <w:vertAlign w:val="superscript"/>
        </w:rPr>
        <w:t>1</w:t>
      </w:r>
      <w:r w:rsidR="00B45BE6" w:rsidRPr="009F3902">
        <w:rPr>
          <w:rFonts w:ascii="Times New Roman" w:hAnsi="Times New Roman"/>
          <w:b w:val="0"/>
          <w:sz w:val="20"/>
          <w:szCs w:val="22"/>
        </w:rPr>
        <w:t>Departament d'Enginyeria Industrial i Construcció, Universitat de les Illes Balears</w:t>
      </w:r>
      <w:r w:rsidR="00F31B34" w:rsidRPr="009F3902">
        <w:rPr>
          <w:rFonts w:ascii="Times New Roman" w:hAnsi="Times New Roman"/>
          <w:b w:val="0"/>
          <w:sz w:val="20"/>
          <w:szCs w:val="22"/>
        </w:rPr>
        <w:t>, Palma, 07122, Spain</w:t>
      </w:r>
    </w:p>
    <w:p w14:paraId="3EA300CF" w14:textId="686958E2" w:rsidR="00DC47F5" w:rsidRPr="009F3902" w:rsidRDefault="00DC47F5" w:rsidP="00E917F8">
      <w:pPr>
        <w:pStyle w:val="SWCTitle"/>
        <w:spacing w:before="0" w:after="0"/>
        <w:jc w:val="left"/>
        <w:rPr>
          <w:rFonts w:ascii="Times New Roman" w:hAnsi="Times New Roman"/>
          <w:b w:val="0"/>
          <w:sz w:val="20"/>
          <w:szCs w:val="22"/>
        </w:rPr>
      </w:pPr>
      <w:r w:rsidRPr="009F3902">
        <w:rPr>
          <w:rFonts w:ascii="Times New Roman" w:hAnsi="Times New Roman"/>
          <w:b w:val="0"/>
          <w:sz w:val="20"/>
          <w:szCs w:val="22"/>
          <w:vertAlign w:val="superscript"/>
        </w:rPr>
        <w:t>2</w:t>
      </w:r>
      <w:r w:rsidRPr="009F3902">
        <w:rPr>
          <w:rFonts w:ascii="Times New Roman" w:hAnsi="Times New Roman"/>
          <w:b w:val="0"/>
          <w:sz w:val="20"/>
          <w:szCs w:val="22"/>
        </w:rPr>
        <w:t>Departament de Ciències Matemàtiques i Informàtica, Universitat de les Illes Balears</w:t>
      </w:r>
      <w:r w:rsidR="00F31B34" w:rsidRPr="009F3902">
        <w:rPr>
          <w:rFonts w:ascii="Times New Roman" w:hAnsi="Times New Roman"/>
          <w:b w:val="0"/>
          <w:sz w:val="20"/>
          <w:szCs w:val="22"/>
        </w:rPr>
        <w:t>, Palma, 07122, Spain</w:t>
      </w:r>
    </w:p>
    <w:p w14:paraId="18FA38F1" w14:textId="7FA91149" w:rsidR="006B3D49" w:rsidRPr="009F3902" w:rsidRDefault="003A4DCC" w:rsidP="00E917F8">
      <w:pPr>
        <w:pStyle w:val="SWCTitle"/>
        <w:spacing w:before="0" w:after="0"/>
        <w:jc w:val="left"/>
        <w:rPr>
          <w:rFonts w:ascii="Times New Roman" w:hAnsi="Times New Roman"/>
          <w:b w:val="0"/>
          <w:sz w:val="20"/>
          <w:szCs w:val="22"/>
        </w:rPr>
      </w:pPr>
      <w:r w:rsidRPr="009F3902">
        <w:rPr>
          <w:rFonts w:ascii="Times New Roman" w:hAnsi="Times New Roman"/>
          <w:b w:val="0"/>
          <w:sz w:val="20"/>
          <w:szCs w:val="22"/>
        </w:rPr>
        <w:t xml:space="preserve">sainath-arjun.waghmare@uib.es, gabriel.cardona@uib.es, </w:t>
      </w:r>
      <w:r w:rsidR="00746EE0" w:rsidRPr="009F3902">
        <w:rPr>
          <w:rFonts w:ascii="Times New Roman" w:hAnsi="Times New Roman"/>
          <w:b w:val="0"/>
          <w:sz w:val="20"/>
          <w:szCs w:val="22"/>
        </w:rPr>
        <w:t xml:space="preserve">ramon.pujol@uib.es </w:t>
      </w:r>
    </w:p>
    <w:p w14:paraId="3A7DF4B5" w14:textId="6F51DBA9" w:rsidR="001A775B" w:rsidRPr="009F3902" w:rsidRDefault="0C3545CD" w:rsidP="0C3545CD">
      <w:pPr>
        <w:pStyle w:val="SWCSummary"/>
        <w:pBdr>
          <w:bottom w:val="single" w:sz="6" w:space="1" w:color="auto"/>
        </w:pBdr>
      </w:pPr>
      <w:r w:rsidRPr="009F3902">
        <w:t>Summary</w:t>
      </w:r>
    </w:p>
    <w:p w14:paraId="2D9BF0A8" w14:textId="19D0445B" w:rsidR="0031685E" w:rsidRPr="009F3902" w:rsidRDefault="00270414" w:rsidP="001A775B">
      <w:pPr>
        <w:pStyle w:val="SWCText"/>
        <w:pBdr>
          <w:bottom w:val="single" w:sz="6" w:space="1" w:color="auto"/>
        </w:pBdr>
      </w:pPr>
      <w:r w:rsidRPr="00270414">
        <w:t xml:space="preserve">This research aims to improve receiver-tube reliability in the LS-III Parabolic Trough Collector (PTC) through a primary-mirror design that splits the common focal line into two laterally displaced foci, combined with a corresponding shift of the receiver toward the reflector. A Monte Carlo Ray Tracing (MCRT)-based Optical Design Optimization (ODO) statistically evaluates 328 geometries across nine incidence angles (2952 cases) for optical efficiency, flux uniformity, and peak flux metrics. </w:t>
      </w:r>
      <w:r w:rsidR="00277D94" w:rsidRPr="00277D94">
        <w:t xml:space="preserve">At its core, this study shows that focal splitting trades a minor drop in perfect-alignment performance for major gains in the field. Under real-world tracking errors, replacing a single focus with two aim points </w:t>
      </w:r>
      <w:r w:rsidR="00B30B1B">
        <w:t>reduce</w:t>
      </w:r>
      <w:r w:rsidR="00277D94" w:rsidRPr="00277D94">
        <w:t>s peak flux by 20–45% and re</w:t>
      </w:r>
      <w:r w:rsidR="00B30B1B">
        <w:t>stores</w:t>
      </w:r>
      <w:r w:rsidR="00277D94" w:rsidRPr="00277D94">
        <w:t xml:space="preserve"> thermal efficiency.</w:t>
      </w:r>
      <w:r w:rsidR="00277D94">
        <w:t xml:space="preserve"> </w:t>
      </w:r>
      <w:r w:rsidRPr="00270414">
        <w:t>Combining a reduced receiver height with a moderate focal split identifies a single geometry that outperforms the conventional single-focus design under both ideal and realistic tracking conditions. The only trade-off is a bounded loss in optical efficiency, accepted in exchange for improved flux uniformity and, by extension, anticipated gains in receiver life. The design is expected to reduce the thermal cycling implicated in receiver degradation, offering a retrofit-compatible route to longer receiver life and lower maintenance costs</w:t>
      </w:r>
      <w:r w:rsidR="009F22C8">
        <w:t>.</w:t>
      </w:r>
    </w:p>
    <w:p w14:paraId="5AB3A3E7" w14:textId="66C9FB22" w:rsidR="00DB52E7" w:rsidRPr="009F3902" w:rsidRDefault="004714CA" w:rsidP="001A775B">
      <w:pPr>
        <w:pStyle w:val="SWCText"/>
        <w:pBdr>
          <w:bottom w:val="single" w:sz="6" w:space="1" w:color="auto"/>
        </w:pBdr>
        <w:rPr>
          <w:i/>
          <w:iCs/>
        </w:rPr>
      </w:pPr>
      <w:r w:rsidRPr="009F3902">
        <w:rPr>
          <w:i/>
          <w:iCs/>
        </w:rPr>
        <w:t>Keywords: Flux distribution, MCRT, Optical design optimization, parabolic trough collector, receiver tube.</w:t>
      </w:r>
    </w:p>
    <w:p w14:paraId="01458796" w14:textId="2E9660A7" w:rsidR="00FA4DF8" w:rsidRPr="009F3902" w:rsidRDefault="002C089D" w:rsidP="001A775B">
      <w:pPr>
        <w:pStyle w:val="SWCText"/>
        <w:pBdr>
          <w:bottom w:val="single" w:sz="6" w:space="1" w:color="auto"/>
        </w:pBdr>
        <w:rPr>
          <w:i/>
          <w:iCs/>
        </w:rPr>
      </w:pPr>
      <w:r w:rsidRPr="009F3902">
        <w:rPr>
          <w:i/>
          <w:iCs/>
        </w:rPr>
        <w:t>Field of application for the findings:</w:t>
      </w:r>
      <w:r w:rsidR="00DB7C79" w:rsidRPr="009F3902">
        <w:rPr>
          <w:i/>
          <w:iCs/>
        </w:rPr>
        <w:t xml:space="preserve"> Concentrating Solar Power (CSP) and Solar Thermal Power Plants</w:t>
      </w:r>
    </w:p>
    <w:p w14:paraId="185A319D" w14:textId="3697A5F1" w:rsidR="002C089D" w:rsidRPr="009F3902" w:rsidRDefault="00CC3B0C" w:rsidP="001A775B">
      <w:pPr>
        <w:pStyle w:val="SWCText"/>
        <w:pBdr>
          <w:bottom w:val="single" w:sz="6" w:space="1" w:color="auto"/>
        </w:pBdr>
        <w:rPr>
          <w:i/>
          <w:iCs/>
        </w:rPr>
      </w:pPr>
      <w:r w:rsidRPr="009F3902">
        <w:rPr>
          <w:i/>
          <w:iCs/>
        </w:rPr>
        <w:t>Addressed audience:</w:t>
      </w:r>
      <w:r w:rsidR="00DF2A54" w:rsidRPr="009F3902">
        <w:rPr>
          <w:i/>
          <w:iCs/>
        </w:rPr>
        <w:t xml:space="preserve"> Solar engineers, researchers, and plant operators interested in component reliability.</w:t>
      </w:r>
    </w:p>
    <w:p w14:paraId="10441087" w14:textId="77777777" w:rsidR="005F3C42" w:rsidRPr="009F3902" w:rsidRDefault="005F3C42" w:rsidP="005F3C42">
      <w:pPr>
        <w:pStyle w:val="SWCHeading1"/>
        <w:ind w:left="720" w:hanging="360"/>
      </w:pPr>
      <w:r w:rsidRPr="009F3902">
        <w:t>Introduction</w:t>
      </w:r>
    </w:p>
    <w:p w14:paraId="56FFB298" w14:textId="189C25B3" w:rsidR="00142941" w:rsidRDefault="00391663" w:rsidP="00142941">
      <w:pPr>
        <w:pStyle w:val="SWCText"/>
      </w:pPr>
      <w:r w:rsidRPr="00391663">
        <w:t>Parabolic trough collectors (PTCs) remain the most widely deployed line-focus technology in concentrating solar power (CSP), owing to their manufacturing maturity and compatibility with thermal storage. Their principal optical limitation, however, is intrinsic to the single-focus geometry itself. Because the reflected ray bundle converges onto a narrow band along the lower half of the receiver, the resulting flux distribution is highly non-uniform around the tube circumference, and this non-uniformity has been identified as a persistent threat to receiver reliability</w:t>
      </w:r>
      <w:r w:rsidR="00AC065E">
        <w:t xml:space="preserve"> </w:t>
      </w:r>
      <w:r w:rsidR="00AC065E">
        <w:rPr>
          <w:szCs w:val="20"/>
        </w:rPr>
        <w:t>(</w:t>
      </w:r>
      <w:r w:rsidR="00015D1A" w:rsidRPr="002D643B">
        <w:rPr>
          <w:szCs w:val="20"/>
        </w:rPr>
        <w:t>Wang</w:t>
      </w:r>
      <w:r w:rsidR="009C2644">
        <w:rPr>
          <w:szCs w:val="20"/>
        </w:rPr>
        <w:t xml:space="preserve"> et</w:t>
      </w:r>
      <w:r w:rsidR="00015D1A">
        <w:rPr>
          <w:szCs w:val="20"/>
        </w:rPr>
        <w:t xml:space="preserve"> al., 2015; </w:t>
      </w:r>
      <w:r w:rsidR="00FC6B00" w:rsidRPr="005D21E0">
        <w:rPr>
          <w:szCs w:val="20"/>
        </w:rPr>
        <w:t>Shimada</w:t>
      </w:r>
      <w:r w:rsidR="00FC6B00">
        <w:rPr>
          <w:szCs w:val="20"/>
        </w:rPr>
        <w:t xml:space="preserve"> et al., 2025</w:t>
      </w:r>
      <w:r w:rsidR="00AC065E">
        <w:rPr>
          <w:szCs w:val="20"/>
        </w:rPr>
        <w:t>)</w:t>
      </w:r>
      <w:r w:rsidRPr="00391663">
        <w:t>.</w:t>
      </w:r>
    </w:p>
    <w:p w14:paraId="5CE64E9E" w14:textId="268D6E6E" w:rsidR="00AA51DE" w:rsidRDefault="00036621" w:rsidP="00142941">
      <w:pPr>
        <w:pStyle w:val="SWCText"/>
      </w:pPr>
      <w:r w:rsidRPr="00036621">
        <w:t>Circumferential flux non-uniformity translates directly into circumferential temperature non-uniformity, since the tube wall at the irradiated face absorbs substantially more heat than the shaded face. The differential thermal expansion this produces induce</w:t>
      </w:r>
      <w:r w:rsidR="00283ABE">
        <w:t>d</w:t>
      </w:r>
      <w:r w:rsidRPr="00036621">
        <w:t xml:space="preserve"> bending stress in the receiver, concentrated at the glass-to-metal transition where the ductile absorber tube and the more brittle glass envelope are joined</w:t>
      </w:r>
      <w:r w:rsidR="00522F29">
        <w:t xml:space="preserve"> </w:t>
      </w:r>
      <w:r w:rsidR="006F5A3E">
        <w:t>(</w:t>
      </w:r>
      <w:r w:rsidR="007030E1">
        <w:t>Wu et al., 2014</w:t>
      </w:r>
      <w:r w:rsidR="002E0C3D">
        <w:t>a</w:t>
      </w:r>
      <w:r w:rsidR="007030E1">
        <w:t xml:space="preserve">; </w:t>
      </w:r>
      <w:r w:rsidR="00522F29">
        <w:t xml:space="preserve">Natraj </w:t>
      </w:r>
      <w:r w:rsidR="006F5A3E">
        <w:t>&amp;</w:t>
      </w:r>
      <w:r w:rsidR="00522F29">
        <w:t xml:space="preserve"> Reddy, </w:t>
      </w:r>
      <w:r w:rsidR="006F5A3E">
        <w:t>2023)</w:t>
      </w:r>
      <w:r w:rsidRPr="00036621">
        <w:t xml:space="preserve">. Repeated thermal cycling at this junction is understood to promote fatigue and progressive seal degradation, and field data report receiver failure rates on the order of a few percent annually, with receiver-related issues ranked among the more significant contributors to solar-field maintenance risk </w:t>
      </w:r>
      <w:r w:rsidR="001D7D08">
        <w:t>(</w:t>
      </w:r>
      <w:r w:rsidR="002E0C3D">
        <w:t>Wu et al., 2014</w:t>
      </w:r>
      <w:r w:rsidR="00FE5E10">
        <w:t>b</w:t>
      </w:r>
      <w:r w:rsidR="00D85A58">
        <w:t>;</w:t>
      </w:r>
      <w:r w:rsidR="002E0C3D">
        <w:t xml:space="preserve"> </w:t>
      </w:r>
      <w:r w:rsidR="001D7D08" w:rsidRPr="000B2BBC">
        <w:rPr>
          <w:szCs w:val="20"/>
        </w:rPr>
        <w:t>Mehos</w:t>
      </w:r>
      <w:r w:rsidR="001D7D08">
        <w:rPr>
          <w:szCs w:val="20"/>
        </w:rPr>
        <w:t xml:space="preserve"> et al.,</w:t>
      </w:r>
      <w:r w:rsidR="00355FE0">
        <w:rPr>
          <w:szCs w:val="20"/>
        </w:rPr>
        <w:t xml:space="preserve"> </w:t>
      </w:r>
      <w:r w:rsidR="001D7D08">
        <w:rPr>
          <w:szCs w:val="20"/>
        </w:rPr>
        <w:t>2020</w:t>
      </w:r>
      <w:r w:rsidR="001D7D08">
        <w:t>)</w:t>
      </w:r>
      <w:r w:rsidRPr="00036621">
        <w:t>. The economic consequence follows directly, since receivers are a comparatively costly recurring component, and any mechanism that reduces this circumferential gradient without materially compromising optical performance is therefore of practical interest</w:t>
      </w:r>
      <w:r w:rsidR="000258C6">
        <w:t xml:space="preserve"> (</w:t>
      </w:r>
      <w:r w:rsidR="000258C6" w:rsidRPr="00C67BAC">
        <w:rPr>
          <w:szCs w:val="20"/>
        </w:rPr>
        <w:t>Stettenheim</w:t>
      </w:r>
      <w:r w:rsidR="000258C6">
        <w:rPr>
          <w:szCs w:val="20"/>
        </w:rPr>
        <w:t xml:space="preserve"> et al., 2013</w:t>
      </w:r>
      <w:r w:rsidR="000258C6">
        <w:t>)</w:t>
      </w:r>
      <w:r w:rsidRPr="00036621">
        <w:t>.</w:t>
      </w:r>
    </w:p>
    <w:p w14:paraId="6EA1384E" w14:textId="2E57EAE2" w:rsidR="00036621" w:rsidRDefault="00036621" w:rsidP="00142941">
      <w:pPr>
        <w:pStyle w:val="SWCText"/>
      </w:pPr>
      <w:r w:rsidRPr="00036621">
        <w:t>Two broad mitigation strategies have been examined previously. Shifting the receiver away from the geometric focus reduces flux concentration</w:t>
      </w:r>
      <w:r w:rsidR="00396169">
        <w:t xml:space="preserve"> by utilizing </w:t>
      </w:r>
      <w:r w:rsidR="00770A86">
        <w:t>exposed receiver surface area (Waghmare &amp; Gulhane, 2016)</w:t>
      </w:r>
      <w:r w:rsidR="00CE7DA6">
        <w:t>. However, it does</w:t>
      </w:r>
      <w:r w:rsidRPr="00036621">
        <w:t xml:space="preserve"> so at the cost of </w:t>
      </w:r>
      <w:r w:rsidR="00CE7DA6">
        <w:t xml:space="preserve">the </w:t>
      </w:r>
      <w:r w:rsidRPr="00036621">
        <w:t xml:space="preserve">intercept factor, since a growing fraction of the reflected bundle passes </w:t>
      </w:r>
      <w:r w:rsidRPr="00036621">
        <w:lastRenderedPageBreak/>
        <w:t xml:space="preserve">outside the receiver's cross-section as the shift increases </w:t>
      </w:r>
      <w:r w:rsidR="00780C82">
        <w:t>(</w:t>
      </w:r>
      <w:r w:rsidR="00780C82" w:rsidRPr="002569A9">
        <w:rPr>
          <w:szCs w:val="20"/>
        </w:rPr>
        <w:t>Agagna</w:t>
      </w:r>
      <w:r w:rsidR="00780C82">
        <w:rPr>
          <w:szCs w:val="20"/>
        </w:rPr>
        <w:t xml:space="preserve"> et al., 2022</w:t>
      </w:r>
      <w:r w:rsidR="00780C82">
        <w:t>)</w:t>
      </w:r>
      <w:r w:rsidRPr="00036621">
        <w:t>. Secondary reflectors positioned near the receiver redistribute a portion of the incident flux but introduce an additional optical surface, with associated alignment sensitivity, soiling exposure</w:t>
      </w:r>
      <w:r w:rsidR="008C6C28">
        <w:t xml:space="preserve"> </w:t>
      </w:r>
      <w:r w:rsidR="00F94DF1">
        <w:t>(</w:t>
      </w:r>
      <w:r w:rsidR="0085577C" w:rsidRPr="0085577C">
        <w:t>Heimsath</w:t>
      </w:r>
      <w:r w:rsidR="00F94DF1">
        <w:rPr>
          <w:szCs w:val="20"/>
        </w:rPr>
        <w:t xml:space="preserve"> et al., 2020</w:t>
      </w:r>
      <w:r w:rsidR="00F94DF1">
        <w:t>)</w:t>
      </w:r>
      <w:r w:rsidRPr="00036621">
        <w:t xml:space="preserve">, and a documented tendency to attenuate rays arriving at low angles </w:t>
      </w:r>
      <w:r w:rsidR="00E55E26">
        <w:t>(</w:t>
      </w:r>
      <w:r w:rsidR="008715E0" w:rsidRPr="00001870">
        <w:rPr>
          <w:szCs w:val="20"/>
        </w:rPr>
        <w:t>Sallaberry</w:t>
      </w:r>
      <w:r w:rsidR="008715E0">
        <w:rPr>
          <w:szCs w:val="20"/>
        </w:rPr>
        <w:t xml:space="preserve"> et al., 201</w:t>
      </w:r>
      <w:r w:rsidR="00D53FC4">
        <w:rPr>
          <w:szCs w:val="20"/>
        </w:rPr>
        <w:t>8</w:t>
      </w:r>
      <w:r w:rsidR="008715E0">
        <w:rPr>
          <w:szCs w:val="20"/>
        </w:rPr>
        <w:t xml:space="preserve">; </w:t>
      </w:r>
      <w:r w:rsidR="00E55E26" w:rsidRPr="007E44DD">
        <w:rPr>
          <w:szCs w:val="20"/>
        </w:rPr>
        <w:t>Shyam</w:t>
      </w:r>
      <w:r w:rsidR="00E55E26">
        <w:rPr>
          <w:szCs w:val="20"/>
        </w:rPr>
        <w:t xml:space="preserve"> et al., 2024</w:t>
      </w:r>
      <w:r w:rsidR="00E55E26">
        <w:t>)</w:t>
      </w:r>
      <w:r w:rsidRPr="00036621">
        <w:t xml:space="preserve">. Neither strategy has seen widespread adoption at utility scale, suggesting that the balance between added complexity and demonstrated benefit has not, to date, </w:t>
      </w:r>
      <w:r w:rsidR="00EC6ADB">
        <w:t>favored</w:t>
      </w:r>
      <w:r w:rsidRPr="00036621">
        <w:t xml:space="preserve"> either approach.</w:t>
      </w:r>
    </w:p>
    <w:p w14:paraId="4759B754" w14:textId="5437915A" w:rsidR="002D29CD" w:rsidRDefault="002D29CD" w:rsidP="00142941">
      <w:pPr>
        <w:pStyle w:val="SWCText"/>
      </w:pPr>
      <w:r w:rsidRPr="002D29CD">
        <w:t>This study examines a modification to the primary mirror itself rather than to the receiver or a secondary optic. The parabolic aperture is divided into two symmetric segments whose focal points are laterally displaced from the collector axis, splitting the single focal line into two spatially separated lines. This is combined with a corresponding vertical shift of the receiver toward the reflector. Together, these two changes are intended to distribute concentrated flux across a wider arc of the receiver circumference, reducing the peak-to-average flux ratio that drives the thermal gradient described above.</w:t>
      </w:r>
    </w:p>
    <w:p w14:paraId="471B26BE" w14:textId="192713E0" w:rsidR="001612D0" w:rsidRPr="009F3902" w:rsidRDefault="001612D0" w:rsidP="00142941">
      <w:pPr>
        <w:pStyle w:val="SWCText"/>
      </w:pPr>
      <w:r w:rsidRPr="001612D0">
        <w:t>The resulting design space, defined jointly by receiver height, focal offset, and incidence angle, is evaluated through a two-stage Monte Carlo ray-tracing (MCRT) optical design optimization. The first stage screens the full parametric set on optical efficiency; the second resolves the circumferential flux distribution for the efficiency-competitive subset</w:t>
      </w:r>
      <w:r w:rsidR="00AF09CC">
        <w:t>.</w:t>
      </w:r>
      <w:r w:rsidRPr="001612D0">
        <w:t xml:space="preserve"> </w:t>
      </w:r>
      <w:r w:rsidR="00A94E63">
        <w:t>Following the second stage,</w:t>
      </w:r>
      <w:r w:rsidRPr="001612D0">
        <w:t xml:space="preserve"> flux uniformity and peak-flux metrics are derived and used to rank candidate geometries under both normal-incidence and off-tracking conditions. To the author's knowledge, no established method exists to convert a given flux profile directly into a quantified receiver lifetime, and this study does not attempt to supply one. Instead, based on the uniformity and peak-flux improvements reported here, and consistent with the thermal-cycling mechanism outlined above, we anticipate that this geometry may extend receiver service life, a projection left for future thermomechanical validation. The results show that a modest change in the mounting geometry of the primary mirrors can meaningfully lower peak flux and improve flux uniformity, offering a practical path toward longer receiver lifetime and reduced operating cost in commercial CSP plants.</w:t>
      </w:r>
    </w:p>
    <w:p w14:paraId="43E23E1C" w14:textId="77777777" w:rsidR="005F3C42" w:rsidRPr="009F3902" w:rsidRDefault="005F3C42" w:rsidP="005F3C42">
      <w:pPr>
        <w:pStyle w:val="SWCHeading1"/>
        <w:ind w:left="720" w:hanging="360"/>
      </w:pPr>
      <w:r w:rsidRPr="009F3902">
        <w:t>PTC Geometry and Materials</w:t>
      </w:r>
    </w:p>
    <w:p w14:paraId="59758F50" w14:textId="77777777" w:rsidR="005F3C42" w:rsidRPr="009F3902" w:rsidRDefault="005F3C42" w:rsidP="005F3C42">
      <w:pPr>
        <w:pStyle w:val="SWCHeading11"/>
        <w:rPr>
          <w:lang w:val="en-US"/>
        </w:rPr>
      </w:pPr>
      <w:r w:rsidRPr="009F3902">
        <w:rPr>
          <w:lang w:val="en-US"/>
        </w:rPr>
        <w:t>2.1. Geometric details</w:t>
      </w:r>
    </w:p>
    <w:p w14:paraId="4A65BE96" w14:textId="4AFC425F" w:rsidR="00D555D0" w:rsidRPr="009F3902" w:rsidRDefault="00D555D0" w:rsidP="00083B08">
      <w:pPr>
        <w:pStyle w:val="SWCText"/>
        <w:rPr>
          <w:szCs w:val="20"/>
        </w:rPr>
      </w:pPr>
      <w:r w:rsidRPr="009F3902">
        <w:rPr>
          <w:szCs w:val="20"/>
        </w:rPr>
        <w:t xml:space="preserve">Fig. 1 contrasts the baseline LS-III parabolic trough collector geometry </w:t>
      </w:r>
      <w:r w:rsidR="00C63BDA" w:rsidRPr="009F3902">
        <w:rPr>
          <w:szCs w:val="20"/>
        </w:rPr>
        <w:t>(</w:t>
      </w:r>
      <w:r w:rsidRPr="009F3902">
        <w:rPr>
          <w:szCs w:val="20"/>
        </w:rPr>
        <w:t>Zou et al., 2019</w:t>
      </w:r>
      <w:r w:rsidR="00C63BDA" w:rsidRPr="009F3902">
        <w:rPr>
          <w:szCs w:val="20"/>
        </w:rPr>
        <w:t>)</w:t>
      </w:r>
      <w:r w:rsidRPr="009F3902">
        <w:rPr>
          <w:szCs w:val="20"/>
        </w:rPr>
        <w:t xml:space="preserve"> (Fig. 1a) with the modified split-focus, shifted-receiver configuration studied here (Fig. 1b). Both configurations share a fixed clear aperture width,</w:t>
      </w:r>
      <w:r w:rsidRPr="009F3902">
        <w:rPr>
          <w:i/>
          <w:iCs/>
          <w:szCs w:val="20"/>
        </w:rPr>
        <w:t xml:space="preserve"> W</w:t>
      </w:r>
      <w:r w:rsidRPr="009F3902">
        <w:rPr>
          <w:szCs w:val="20"/>
        </w:rPr>
        <w:t xml:space="preserve"> = 5760 mm, and a receiver tube of diameter </w:t>
      </w:r>
      <w:r w:rsidRPr="009F3902">
        <w:rPr>
          <w:i/>
          <w:iCs/>
          <w:szCs w:val="20"/>
        </w:rPr>
        <w:t>D</w:t>
      </w:r>
      <w:r w:rsidRPr="009F3902">
        <w:rPr>
          <w:i/>
          <w:iCs/>
          <w:szCs w:val="20"/>
          <w:vertAlign w:val="subscript"/>
        </w:rPr>
        <w:t>R</w:t>
      </w:r>
      <w:r w:rsidRPr="009F3902">
        <w:rPr>
          <w:szCs w:val="20"/>
        </w:rPr>
        <w:t xml:space="preserve"> = 70 mm enclosed in an evacuated glass envelope of inner diameter </w:t>
      </w:r>
      <w:r w:rsidRPr="009F3902">
        <w:rPr>
          <w:i/>
          <w:iCs/>
          <w:szCs w:val="20"/>
        </w:rPr>
        <w:t>D</w:t>
      </w:r>
      <w:r w:rsidRPr="009F3902">
        <w:rPr>
          <w:i/>
          <w:iCs/>
          <w:szCs w:val="20"/>
          <w:vertAlign w:val="subscript"/>
        </w:rPr>
        <w:t>i</w:t>
      </w:r>
      <w:r w:rsidRPr="009F3902">
        <w:rPr>
          <w:szCs w:val="20"/>
        </w:rPr>
        <w:t xml:space="preserve"> = 108 mm and outer diameter </w:t>
      </w:r>
      <w:r w:rsidRPr="009F3902">
        <w:rPr>
          <w:i/>
          <w:iCs/>
          <w:szCs w:val="20"/>
        </w:rPr>
        <w:t>D</w:t>
      </w:r>
      <w:r w:rsidRPr="009F3902">
        <w:rPr>
          <w:i/>
          <w:iCs/>
          <w:szCs w:val="20"/>
          <w:vertAlign w:val="subscript"/>
        </w:rPr>
        <w:t>o</w:t>
      </w:r>
      <w:r w:rsidRPr="009F3902">
        <w:rPr>
          <w:szCs w:val="20"/>
        </w:rPr>
        <w:t xml:space="preserve"> = 115 mm. In the baseline design, the reflector is a single continuous parabolic profile with its focus, </w:t>
      </w:r>
      <w:r w:rsidRPr="009F3902">
        <w:rPr>
          <w:i/>
          <w:iCs/>
          <w:szCs w:val="20"/>
        </w:rPr>
        <w:t>F</w:t>
      </w:r>
      <w:r w:rsidRPr="009F3902">
        <w:rPr>
          <w:szCs w:val="20"/>
        </w:rPr>
        <w:t xml:space="preserve">, coincident with the receiver </w:t>
      </w:r>
      <w:r w:rsidR="00744AA4" w:rsidRPr="009F3902">
        <w:rPr>
          <w:szCs w:val="20"/>
        </w:rPr>
        <w:t>centerline</w:t>
      </w:r>
      <w:r w:rsidRPr="009F3902">
        <w:rPr>
          <w:szCs w:val="20"/>
        </w:rPr>
        <w:t xml:space="preserve"> at the nominal height </w:t>
      </w:r>
      <w:r w:rsidRPr="009F3902">
        <w:rPr>
          <w:i/>
          <w:iCs/>
          <w:szCs w:val="20"/>
        </w:rPr>
        <w:t>H</w:t>
      </w:r>
      <w:r w:rsidRPr="009F3902">
        <w:rPr>
          <w:i/>
          <w:iCs/>
          <w:szCs w:val="20"/>
          <w:vertAlign w:val="subscript"/>
        </w:rPr>
        <w:t>R</w:t>
      </w:r>
      <w:r w:rsidRPr="009F3902">
        <w:rPr>
          <w:szCs w:val="20"/>
        </w:rPr>
        <w:t xml:space="preserve"> = 1740 mm above the reflector vertex.</w:t>
      </w:r>
    </w:p>
    <w:p w14:paraId="47A1AF09" w14:textId="3EFF3ED8" w:rsidR="00480C06" w:rsidRPr="009F3902" w:rsidRDefault="00D555D0" w:rsidP="004B2EED">
      <w:pPr>
        <w:spacing w:after="120" w:line="276" w:lineRule="auto"/>
        <w:rPr>
          <w:sz w:val="20"/>
          <w:szCs w:val="20"/>
        </w:rPr>
      </w:pPr>
      <w:r w:rsidRPr="009F3902">
        <w:rPr>
          <w:sz w:val="20"/>
          <w:szCs w:val="20"/>
        </w:rPr>
        <w:t xml:space="preserve">The modified design divides the aperture into two symmetric parabolic segments (Reflector 1 and Reflector 2 in Fig. 1b), each retaining the same aperture width and rim-angle envelope as the corresponding half of the baseline profile, but with their focal points </w:t>
      </w:r>
      <w:r w:rsidRPr="009F3902">
        <w:rPr>
          <w:i/>
          <w:iCs/>
          <w:sz w:val="20"/>
          <w:szCs w:val="20"/>
        </w:rPr>
        <w:t>F</w:t>
      </w:r>
      <w:r w:rsidR="001046B2" w:rsidRPr="009F3902">
        <w:rPr>
          <w:i/>
          <w:iCs/>
          <w:sz w:val="20"/>
          <w:szCs w:val="20"/>
          <w:vertAlign w:val="subscript"/>
        </w:rPr>
        <w:t>1</w:t>
      </w:r>
      <w:r w:rsidRPr="009F3902">
        <w:rPr>
          <w:sz w:val="20"/>
          <w:szCs w:val="20"/>
        </w:rPr>
        <w:t xml:space="preserve"> and </w:t>
      </w:r>
      <w:r w:rsidRPr="009F3902">
        <w:rPr>
          <w:i/>
          <w:iCs/>
          <w:sz w:val="20"/>
          <w:szCs w:val="20"/>
        </w:rPr>
        <w:t>F</w:t>
      </w:r>
      <w:r w:rsidR="001046B2" w:rsidRPr="009F3902">
        <w:rPr>
          <w:i/>
          <w:iCs/>
          <w:sz w:val="20"/>
          <w:szCs w:val="20"/>
          <w:vertAlign w:val="subscript"/>
        </w:rPr>
        <w:t>2</w:t>
      </w:r>
      <w:r w:rsidRPr="009F3902">
        <w:rPr>
          <w:sz w:val="20"/>
          <w:szCs w:val="20"/>
        </w:rPr>
        <w:t xml:space="preserve"> laterally displaced from the collector's vertical axis by a horizontal offset </w:t>
      </w:r>
      <w:r w:rsidR="001E256D" w:rsidRPr="001E256D">
        <w:rPr>
          <w:i/>
          <w:iCs/>
          <w:sz w:val="20"/>
          <w:szCs w:val="20"/>
        </w:rPr>
        <w:t>dx</w:t>
      </w:r>
      <w:r w:rsidRPr="009F3902">
        <w:rPr>
          <w:sz w:val="20"/>
          <w:szCs w:val="20"/>
        </w:rPr>
        <w:t>. The receiver</w:t>
      </w:r>
      <w:r w:rsidR="000056B7" w:rsidRPr="009F3902">
        <w:rPr>
          <w:sz w:val="20"/>
          <w:szCs w:val="20"/>
        </w:rPr>
        <w:t xml:space="preserve">, </w:t>
      </w:r>
      <w:r w:rsidRPr="009F3902">
        <w:rPr>
          <w:sz w:val="20"/>
          <w:szCs w:val="20"/>
        </w:rPr>
        <w:t xml:space="preserve">an unmodified circular absorber tube, retained at the same </w:t>
      </w:r>
      <w:r w:rsidRPr="009F3902">
        <w:rPr>
          <w:i/>
          <w:iCs/>
          <w:sz w:val="20"/>
          <w:szCs w:val="20"/>
        </w:rPr>
        <w:t>D</w:t>
      </w:r>
      <w:r w:rsidRPr="009F3902">
        <w:rPr>
          <w:i/>
          <w:iCs/>
          <w:sz w:val="20"/>
          <w:szCs w:val="20"/>
          <w:vertAlign w:val="subscript"/>
        </w:rPr>
        <w:t>R</w:t>
      </w:r>
      <w:r w:rsidRPr="009F3902">
        <w:rPr>
          <w:sz w:val="20"/>
          <w:szCs w:val="20"/>
        </w:rPr>
        <w:t xml:space="preserve">, </w:t>
      </w:r>
      <w:r w:rsidRPr="009F3902">
        <w:rPr>
          <w:i/>
          <w:iCs/>
          <w:sz w:val="20"/>
          <w:szCs w:val="20"/>
        </w:rPr>
        <w:t>D</w:t>
      </w:r>
      <w:r w:rsidRPr="009F3902">
        <w:rPr>
          <w:i/>
          <w:iCs/>
          <w:sz w:val="20"/>
          <w:szCs w:val="20"/>
          <w:vertAlign w:val="subscript"/>
        </w:rPr>
        <w:t>i</w:t>
      </w:r>
      <w:r w:rsidRPr="009F3902">
        <w:rPr>
          <w:sz w:val="20"/>
          <w:szCs w:val="20"/>
        </w:rPr>
        <w:t xml:space="preserve">, and </w:t>
      </w:r>
      <w:r w:rsidRPr="009F3902">
        <w:rPr>
          <w:i/>
          <w:iCs/>
          <w:sz w:val="20"/>
          <w:szCs w:val="20"/>
        </w:rPr>
        <w:t>D</w:t>
      </w:r>
      <w:r w:rsidRPr="009F3902">
        <w:rPr>
          <w:i/>
          <w:iCs/>
          <w:sz w:val="20"/>
          <w:szCs w:val="20"/>
          <w:vertAlign w:val="subscript"/>
        </w:rPr>
        <w:t>o</w:t>
      </w:r>
      <w:r w:rsidRPr="009F3902">
        <w:rPr>
          <w:sz w:val="20"/>
          <w:szCs w:val="20"/>
        </w:rPr>
        <w:t xml:space="preserve"> as the baseline</w:t>
      </w:r>
      <w:r w:rsidR="000056B7" w:rsidRPr="009F3902">
        <w:rPr>
          <w:sz w:val="20"/>
          <w:szCs w:val="20"/>
        </w:rPr>
        <w:t>,</w:t>
      </w:r>
      <w:r w:rsidRPr="009F3902">
        <w:rPr>
          <w:sz w:val="20"/>
          <w:szCs w:val="20"/>
        </w:rPr>
        <w:t xml:space="preserve"> is repositioned at height </w:t>
      </w:r>
      <w:r w:rsidRPr="009F3902">
        <w:rPr>
          <w:i/>
          <w:iCs/>
          <w:sz w:val="20"/>
          <w:szCs w:val="20"/>
        </w:rPr>
        <w:t>H</w:t>
      </w:r>
      <w:r w:rsidRPr="009F3902">
        <w:rPr>
          <w:i/>
          <w:iCs/>
          <w:sz w:val="20"/>
          <w:szCs w:val="20"/>
          <w:vertAlign w:val="subscript"/>
        </w:rPr>
        <w:t>R</w:t>
      </w:r>
      <w:r w:rsidRPr="009F3902">
        <w:rPr>
          <w:sz w:val="20"/>
          <w:szCs w:val="20"/>
        </w:rPr>
        <w:t xml:space="preserve"> below the geometric focus, straddling the midpoint between </w:t>
      </w:r>
      <w:r w:rsidR="00042112" w:rsidRPr="009F3902">
        <w:rPr>
          <w:i/>
          <w:iCs/>
          <w:sz w:val="20"/>
          <w:szCs w:val="20"/>
        </w:rPr>
        <w:t>F</w:t>
      </w:r>
      <w:r w:rsidR="00042112" w:rsidRPr="009F3902">
        <w:rPr>
          <w:i/>
          <w:iCs/>
          <w:sz w:val="20"/>
          <w:szCs w:val="20"/>
          <w:vertAlign w:val="subscript"/>
        </w:rPr>
        <w:t>1</w:t>
      </w:r>
      <w:r w:rsidR="00042112" w:rsidRPr="009F3902">
        <w:rPr>
          <w:sz w:val="20"/>
          <w:szCs w:val="20"/>
        </w:rPr>
        <w:t xml:space="preserve"> and </w:t>
      </w:r>
      <w:r w:rsidR="00042112" w:rsidRPr="009F3902">
        <w:rPr>
          <w:i/>
          <w:iCs/>
          <w:sz w:val="20"/>
          <w:szCs w:val="20"/>
        </w:rPr>
        <w:t>F</w:t>
      </w:r>
      <w:r w:rsidR="00042112" w:rsidRPr="009F3902">
        <w:rPr>
          <w:i/>
          <w:iCs/>
          <w:sz w:val="20"/>
          <w:szCs w:val="20"/>
          <w:vertAlign w:val="subscript"/>
        </w:rPr>
        <w:t>2</w:t>
      </w:r>
      <w:r w:rsidR="00042112" w:rsidRPr="009F3902">
        <w:rPr>
          <w:sz w:val="20"/>
          <w:szCs w:val="20"/>
        </w:rPr>
        <w:t xml:space="preserve">. </w:t>
      </w:r>
    </w:p>
    <w:p w14:paraId="5D46842A" w14:textId="77777777" w:rsidR="005F3C42" w:rsidRPr="009F3902" w:rsidRDefault="005F3C42" w:rsidP="005F3C42">
      <w:pPr>
        <w:pStyle w:val="SWCText"/>
        <w:jc w:val="center"/>
      </w:pPr>
      <w:r w:rsidRPr="009F3902">
        <w:rPr>
          <w:noProof/>
        </w:rPr>
        <w:drawing>
          <wp:inline distT="0" distB="0" distL="0" distR="0" wp14:anchorId="4FDF37DB" wp14:editId="14F82A61">
            <wp:extent cx="3925161" cy="1944000"/>
            <wp:effectExtent l="0" t="0" r="0" b="0"/>
            <wp:docPr id="168435846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25161" cy="1944000"/>
                    </a:xfrm>
                    <a:prstGeom prst="rect">
                      <a:avLst/>
                    </a:prstGeom>
                    <a:noFill/>
                    <a:ln>
                      <a:noFill/>
                    </a:ln>
                  </pic:spPr>
                </pic:pic>
              </a:graphicData>
            </a:graphic>
          </wp:inline>
        </w:drawing>
      </w:r>
    </w:p>
    <w:p w14:paraId="7549265B" w14:textId="77777777" w:rsidR="005F3C42" w:rsidRPr="009F3902" w:rsidRDefault="005F3C42" w:rsidP="005F3C42">
      <w:pPr>
        <w:pStyle w:val="SWCText"/>
        <w:jc w:val="center"/>
        <w:rPr>
          <w:b/>
          <w:sz w:val="16"/>
          <w:szCs w:val="20"/>
        </w:rPr>
      </w:pPr>
      <w:r w:rsidRPr="009F3902">
        <w:rPr>
          <w:b/>
          <w:sz w:val="16"/>
          <w:szCs w:val="20"/>
        </w:rPr>
        <w:t>Fig. 1: Geometry of PTC: (a) base LS-III design, (b) concept of horizontal split-focus with receiver vertical-shift</w:t>
      </w:r>
    </w:p>
    <w:p w14:paraId="12516EDE" w14:textId="77777777" w:rsidR="005F3C42" w:rsidRPr="009F3902" w:rsidRDefault="005F3C42" w:rsidP="005F3C42">
      <w:pPr>
        <w:pStyle w:val="SWCHeading11"/>
        <w:rPr>
          <w:lang w:val="en-US"/>
        </w:rPr>
      </w:pPr>
      <w:r w:rsidRPr="009F3902">
        <w:rPr>
          <w:lang w:val="en-US"/>
        </w:rPr>
        <w:lastRenderedPageBreak/>
        <w:t>2.2. Optical materials</w:t>
      </w:r>
    </w:p>
    <w:p w14:paraId="3877BCA7" w14:textId="1BCD9ACD" w:rsidR="00060578" w:rsidRPr="009F3902" w:rsidRDefault="00060578" w:rsidP="005F3C42">
      <w:pPr>
        <w:pStyle w:val="SWCText"/>
      </w:pPr>
      <w:r w:rsidRPr="009F3902">
        <w:rPr>
          <w:szCs w:val="20"/>
        </w:rPr>
        <w:t>Tab</w:t>
      </w:r>
      <w:r w:rsidR="000B35FC">
        <w:rPr>
          <w:szCs w:val="20"/>
        </w:rPr>
        <w:t>.</w:t>
      </w:r>
      <w:r w:rsidRPr="009F3902">
        <w:rPr>
          <w:szCs w:val="20"/>
        </w:rPr>
        <w:t xml:space="preserve"> 1 lists the wavelength-dependent optical properties assigned to each optical surface, representative of materials used in next-generation solar collectors </w:t>
      </w:r>
      <w:r w:rsidR="00BF1B6E">
        <w:rPr>
          <w:szCs w:val="20"/>
        </w:rPr>
        <w:t>(</w:t>
      </w:r>
      <w:r w:rsidRPr="009F3902">
        <w:rPr>
          <w:szCs w:val="20"/>
        </w:rPr>
        <w:t>Leal et al., 2024</w:t>
      </w:r>
      <w:r w:rsidR="00BF1B6E">
        <w:rPr>
          <w:szCs w:val="20"/>
        </w:rPr>
        <w:t>)</w:t>
      </w:r>
      <w:r w:rsidRPr="009F3902">
        <w:rPr>
          <w:szCs w:val="20"/>
        </w:rPr>
        <w:t xml:space="preserve">. The reflector (both segments in the modified design) is </w:t>
      </w:r>
      <w:r w:rsidR="009F3902">
        <w:rPr>
          <w:szCs w:val="20"/>
        </w:rPr>
        <w:t>modeled</w:t>
      </w:r>
      <w:r w:rsidRPr="009F3902">
        <w:rPr>
          <w:szCs w:val="20"/>
        </w:rPr>
        <w:t xml:space="preserve"> as 4 mm water-white glass with a silver reflective layer, </w:t>
      </w:r>
      <w:r w:rsidR="009F3902">
        <w:rPr>
          <w:szCs w:val="20"/>
        </w:rPr>
        <w:t>including scattering error from specular reflectance</w:t>
      </w:r>
      <w:r w:rsidRPr="009F3902">
        <w:rPr>
          <w:szCs w:val="20"/>
        </w:rPr>
        <w:t xml:space="preserve">. The absorber is </w:t>
      </w:r>
      <w:r w:rsidR="009F3902">
        <w:rPr>
          <w:szCs w:val="20"/>
        </w:rPr>
        <w:t>modeled</w:t>
      </w:r>
      <w:r w:rsidRPr="009F3902">
        <w:rPr>
          <w:szCs w:val="20"/>
        </w:rPr>
        <w:t xml:space="preserve"> as a </w:t>
      </w:r>
      <w:r w:rsidRPr="003E58D3">
        <w:rPr>
          <w:i/>
          <w:iCs/>
          <w:szCs w:val="20"/>
        </w:rPr>
        <w:t>TiAlN–TiAlON–Si₃N₄</w:t>
      </w:r>
      <w:r w:rsidRPr="009F3902">
        <w:rPr>
          <w:szCs w:val="20"/>
        </w:rPr>
        <w:t xml:space="preserve"> thin-film selective coating on a metallic substrate. The glass envelope is </w:t>
      </w:r>
      <w:r w:rsidR="009F3902">
        <w:rPr>
          <w:szCs w:val="20"/>
        </w:rPr>
        <w:t>modeled</w:t>
      </w:r>
      <w:r w:rsidRPr="009F3902">
        <w:rPr>
          <w:szCs w:val="20"/>
        </w:rPr>
        <w:t xml:space="preserve"> as </w:t>
      </w:r>
      <w:r w:rsidR="003D49AE">
        <w:rPr>
          <w:szCs w:val="20"/>
        </w:rPr>
        <w:t>3.5-mm-thick</w:t>
      </w:r>
      <w:r w:rsidRPr="009F3902">
        <w:rPr>
          <w:szCs w:val="20"/>
        </w:rPr>
        <w:t xml:space="preserve"> </w:t>
      </w:r>
      <w:r w:rsidRPr="003D49AE">
        <w:rPr>
          <w:i/>
          <w:iCs/>
          <w:szCs w:val="20"/>
        </w:rPr>
        <w:t>SiO₂</w:t>
      </w:r>
      <w:r w:rsidRPr="009F3902">
        <w:rPr>
          <w:szCs w:val="20"/>
        </w:rPr>
        <w:t xml:space="preserve"> tubing with an </w:t>
      </w:r>
      <w:r w:rsidRPr="003E58D3">
        <w:rPr>
          <w:i/>
          <w:iCs/>
          <w:szCs w:val="20"/>
        </w:rPr>
        <w:t>MgF₂</w:t>
      </w:r>
      <w:r w:rsidRPr="009F3902">
        <w:rPr>
          <w:szCs w:val="20"/>
        </w:rPr>
        <w:t xml:space="preserve"> anti-reflective coating applied to both the inner and outer surfaces. These wavelength-dependent properties </w:t>
      </w:r>
      <w:r w:rsidR="008D06F8">
        <w:rPr>
          <w:szCs w:val="20"/>
        </w:rPr>
        <w:t>yield realistic,</w:t>
      </w:r>
      <w:r w:rsidR="000202AF">
        <w:rPr>
          <w:szCs w:val="20"/>
        </w:rPr>
        <w:t xml:space="preserve"> higher</w:t>
      </w:r>
      <w:r w:rsidRPr="009F3902">
        <w:rPr>
          <w:szCs w:val="20"/>
        </w:rPr>
        <w:t xml:space="preserve"> normal-incidence optical efficiency</w:t>
      </w:r>
      <w:r w:rsidR="000202AF">
        <w:rPr>
          <w:szCs w:val="20"/>
        </w:rPr>
        <w:t xml:space="preserve">. </w:t>
      </w:r>
    </w:p>
    <w:p w14:paraId="5F9794D9" w14:textId="77777777" w:rsidR="005F3C42" w:rsidRPr="009F3902" w:rsidRDefault="005F3C42" w:rsidP="005F3C42">
      <w:pPr>
        <w:pStyle w:val="SWCTableFigureCaption"/>
      </w:pPr>
      <w:r w:rsidRPr="009F3902">
        <w:t>Tab. 1: Wavelength-dependent optical materials used for simulation, Leal et al. (2024)</w:t>
      </w:r>
    </w:p>
    <w:tbl>
      <w:tblPr>
        <w:tblStyle w:val="TableGrid"/>
        <w:tblW w:w="0" w:type="auto"/>
        <w:jc w:val="center"/>
        <w:tblLook w:val="01E0" w:firstRow="1" w:lastRow="1" w:firstColumn="1" w:lastColumn="1" w:noHBand="0" w:noVBand="0"/>
      </w:tblPr>
      <w:tblGrid>
        <w:gridCol w:w="2122"/>
        <w:gridCol w:w="1984"/>
        <w:gridCol w:w="4651"/>
      </w:tblGrid>
      <w:tr w:rsidR="005F3C42" w:rsidRPr="009F3902" w14:paraId="436AC5C1" w14:textId="77777777" w:rsidTr="00361A45">
        <w:trPr>
          <w:jc w:val="center"/>
        </w:trPr>
        <w:tc>
          <w:tcPr>
            <w:tcW w:w="2122" w:type="dxa"/>
          </w:tcPr>
          <w:p w14:paraId="55362D4F" w14:textId="77777777" w:rsidR="005F3C42" w:rsidRPr="009F3902" w:rsidRDefault="005F3C42" w:rsidP="00361A45">
            <w:pPr>
              <w:pStyle w:val="SWCTableHeader"/>
              <w:rPr>
                <w:lang w:val="en-US"/>
              </w:rPr>
            </w:pPr>
            <w:r w:rsidRPr="009F3902">
              <w:rPr>
                <w:lang w:val="en-US"/>
              </w:rPr>
              <w:t>Part</w:t>
            </w:r>
          </w:p>
        </w:tc>
        <w:tc>
          <w:tcPr>
            <w:tcW w:w="1984" w:type="dxa"/>
          </w:tcPr>
          <w:p w14:paraId="1A751FCB" w14:textId="77777777" w:rsidR="005F3C42" w:rsidRPr="009F3902" w:rsidRDefault="005F3C42" w:rsidP="00361A45">
            <w:pPr>
              <w:pStyle w:val="SWCTableHeader"/>
              <w:rPr>
                <w:lang w:val="en-US"/>
              </w:rPr>
            </w:pPr>
            <w:r w:rsidRPr="009F3902">
              <w:rPr>
                <w:lang w:val="en-US"/>
              </w:rPr>
              <w:t>Material name</w:t>
            </w:r>
          </w:p>
        </w:tc>
        <w:tc>
          <w:tcPr>
            <w:tcW w:w="4651" w:type="dxa"/>
          </w:tcPr>
          <w:p w14:paraId="1A517E66" w14:textId="77777777" w:rsidR="005F3C42" w:rsidRPr="009F3902" w:rsidRDefault="005F3C42" w:rsidP="00361A45">
            <w:pPr>
              <w:pStyle w:val="SWCTableHeader"/>
              <w:rPr>
                <w:lang w:val="en-US"/>
              </w:rPr>
            </w:pPr>
            <w:r w:rsidRPr="009F3902">
              <w:rPr>
                <w:lang w:val="en-US"/>
              </w:rPr>
              <w:t>Description</w:t>
            </w:r>
          </w:p>
        </w:tc>
      </w:tr>
      <w:tr w:rsidR="005F3C42" w:rsidRPr="009F3902" w14:paraId="10C60499" w14:textId="77777777" w:rsidTr="00361A45">
        <w:trPr>
          <w:jc w:val="center"/>
        </w:trPr>
        <w:tc>
          <w:tcPr>
            <w:tcW w:w="2122" w:type="dxa"/>
          </w:tcPr>
          <w:p w14:paraId="72314784" w14:textId="77777777" w:rsidR="005F3C42" w:rsidRPr="009F3902" w:rsidRDefault="005F3C42" w:rsidP="00361A45">
            <w:pPr>
              <w:pStyle w:val="SWCTableText"/>
              <w:rPr>
                <w:lang w:val="en-US"/>
              </w:rPr>
            </w:pPr>
            <w:r w:rsidRPr="009F3902">
              <w:rPr>
                <w:lang w:val="en-US"/>
              </w:rPr>
              <w:t>Reflector (collector)</w:t>
            </w:r>
          </w:p>
        </w:tc>
        <w:tc>
          <w:tcPr>
            <w:tcW w:w="1984" w:type="dxa"/>
          </w:tcPr>
          <w:p w14:paraId="67917AF4" w14:textId="77777777" w:rsidR="005F3C42" w:rsidRPr="009F3902" w:rsidRDefault="005F3C42" w:rsidP="00361A45">
            <w:pPr>
              <w:pStyle w:val="SWCTableText"/>
              <w:rPr>
                <w:lang w:val="en-US"/>
              </w:rPr>
            </w:pPr>
            <w:r w:rsidRPr="009F3902">
              <w:rPr>
                <w:lang w:val="en-US"/>
              </w:rPr>
              <w:t>Silver-Glass (</w:t>
            </w:r>
            <w:r w:rsidRPr="003D49AE">
              <w:rPr>
                <w:i/>
                <w:iCs/>
                <w:lang w:val="en-US"/>
              </w:rPr>
              <w:t>Ag</w:t>
            </w:r>
            <w:r w:rsidRPr="009F3902">
              <w:rPr>
                <w:lang w:val="en-US"/>
              </w:rPr>
              <w:t>)</w:t>
            </w:r>
          </w:p>
        </w:tc>
        <w:tc>
          <w:tcPr>
            <w:tcW w:w="4651" w:type="dxa"/>
          </w:tcPr>
          <w:p w14:paraId="5326C0F9" w14:textId="77777777" w:rsidR="005F3C42" w:rsidRPr="009F3902" w:rsidRDefault="005F3C42" w:rsidP="00361A45">
            <w:pPr>
              <w:pStyle w:val="SWCTableText"/>
              <w:rPr>
                <w:lang w:val="en-US"/>
              </w:rPr>
            </w:pPr>
            <w:r w:rsidRPr="009F3902">
              <w:rPr>
                <w:lang w:val="en-US"/>
              </w:rPr>
              <w:t>4 mm water-white glass with silver layer (scattering error due to the specular reflectance is considered)</w:t>
            </w:r>
          </w:p>
        </w:tc>
      </w:tr>
      <w:tr w:rsidR="005F3C42" w:rsidRPr="009F3902" w14:paraId="19347544" w14:textId="77777777" w:rsidTr="00361A45">
        <w:trPr>
          <w:jc w:val="center"/>
        </w:trPr>
        <w:tc>
          <w:tcPr>
            <w:tcW w:w="2122" w:type="dxa"/>
          </w:tcPr>
          <w:p w14:paraId="17AB29E4" w14:textId="77777777" w:rsidR="005F3C42" w:rsidRPr="009F3902" w:rsidRDefault="005F3C42" w:rsidP="00361A45">
            <w:pPr>
              <w:pStyle w:val="SWCTableText"/>
              <w:rPr>
                <w:lang w:val="en-US"/>
              </w:rPr>
            </w:pPr>
            <w:r w:rsidRPr="009F3902">
              <w:rPr>
                <w:lang w:val="en-US"/>
              </w:rPr>
              <w:t>Absorber (receiver)</w:t>
            </w:r>
          </w:p>
        </w:tc>
        <w:tc>
          <w:tcPr>
            <w:tcW w:w="1984" w:type="dxa"/>
          </w:tcPr>
          <w:p w14:paraId="1C72CE2C" w14:textId="77777777" w:rsidR="005F3C42" w:rsidRPr="003D49AE" w:rsidRDefault="005F3C42" w:rsidP="00361A45">
            <w:pPr>
              <w:pStyle w:val="SWCTableText"/>
              <w:rPr>
                <w:i/>
                <w:iCs/>
                <w:lang w:val="en-US"/>
              </w:rPr>
            </w:pPr>
            <w:r w:rsidRPr="003D49AE">
              <w:rPr>
                <w:i/>
                <w:iCs/>
                <w:lang w:val="en-US"/>
              </w:rPr>
              <w:t>TiAlN-TiAlON-Si</w:t>
            </w:r>
            <w:r w:rsidRPr="003D49AE">
              <w:rPr>
                <w:i/>
                <w:iCs/>
                <w:vertAlign w:val="subscript"/>
                <w:lang w:val="en-US"/>
              </w:rPr>
              <w:t>3</w:t>
            </w:r>
            <w:r w:rsidRPr="003D49AE">
              <w:rPr>
                <w:i/>
                <w:iCs/>
                <w:lang w:val="en-US"/>
              </w:rPr>
              <w:t>N</w:t>
            </w:r>
            <w:r w:rsidRPr="003D49AE">
              <w:rPr>
                <w:i/>
                <w:iCs/>
                <w:vertAlign w:val="subscript"/>
                <w:lang w:val="en-US"/>
              </w:rPr>
              <w:t>4</w:t>
            </w:r>
          </w:p>
        </w:tc>
        <w:tc>
          <w:tcPr>
            <w:tcW w:w="4651" w:type="dxa"/>
          </w:tcPr>
          <w:p w14:paraId="7B5C2641" w14:textId="639FE039" w:rsidR="005F3C42" w:rsidRPr="009F3902" w:rsidRDefault="005F3C42" w:rsidP="00361A45">
            <w:pPr>
              <w:pStyle w:val="SWCTableText"/>
              <w:rPr>
                <w:lang w:val="en-US"/>
              </w:rPr>
            </w:pPr>
            <w:r w:rsidRPr="009F3902">
              <w:rPr>
                <w:lang w:val="en-US"/>
              </w:rPr>
              <w:t>Thin</w:t>
            </w:r>
            <w:r w:rsidR="00646B4F">
              <w:rPr>
                <w:lang w:val="en-US"/>
              </w:rPr>
              <w:t>-</w:t>
            </w:r>
            <w:r w:rsidRPr="009F3902">
              <w:rPr>
                <w:lang w:val="en-US"/>
              </w:rPr>
              <w:t>film on metallic absorber</w:t>
            </w:r>
          </w:p>
        </w:tc>
      </w:tr>
      <w:tr w:rsidR="005F3C42" w:rsidRPr="009F3902" w14:paraId="0E96F1AB" w14:textId="77777777" w:rsidTr="00361A45">
        <w:trPr>
          <w:jc w:val="center"/>
        </w:trPr>
        <w:tc>
          <w:tcPr>
            <w:tcW w:w="2122" w:type="dxa"/>
          </w:tcPr>
          <w:p w14:paraId="0C8369AE" w14:textId="77777777" w:rsidR="005F3C42" w:rsidRPr="009F3902" w:rsidRDefault="005F3C42" w:rsidP="00361A45">
            <w:pPr>
              <w:pStyle w:val="SWCTableText"/>
              <w:rPr>
                <w:lang w:val="en-US"/>
              </w:rPr>
            </w:pPr>
            <w:r w:rsidRPr="009F3902">
              <w:rPr>
                <w:lang w:val="en-US"/>
              </w:rPr>
              <w:t>Glass tube</w:t>
            </w:r>
          </w:p>
        </w:tc>
        <w:tc>
          <w:tcPr>
            <w:tcW w:w="1984" w:type="dxa"/>
          </w:tcPr>
          <w:p w14:paraId="2879DFA0" w14:textId="77777777" w:rsidR="005F3C42" w:rsidRPr="003D49AE" w:rsidRDefault="005F3C42" w:rsidP="00361A45">
            <w:pPr>
              <w:pStyle w:val="SWCTableText"/>
              <w:rPr>
                <w:i/>
                <w:iCs/>
                <w:lang w:val="en-US"/>
              </w:rPr>
            </w:pPr>
            <w:r w:rsidRPr="003D49AE">
              <w:rPr>
                <w:i/>
                <w:iCs/>
                <w:lang w:val="en-US"/>
              </w:rPr>
              <w:t>SiO</w:t>
            </w:r>
            <w:r w:rsidRPr="003D49AE">
              <w:rPr>
                <w:i/>
                <w:iCs/>
                <w:vertAlign w:val="subscript"/>
                <w:lang w:val="en-US"/>
              </w:rPr>
              <w:t>2</w:t>
            </w:r>
          </w:p>
        </w:tc>
        <w:tc>
          <w:tcPr>
            <w:tcW w:w="4651" w:type="dxa"/>
          </w:tcPr>
          <w:p w14:paraId="6684C56E" w14:textId="77777777" w:rsidR="005F3C42" w:rsidRPr="009F3902" w:rsidRDefault="005F3C42" w:rsidP="00361A45">
            <w:pPr>
              <w:pStyle w:val="SWCTableText"/>
              <w:rPr>
                <w:lang w:val="en-US"/>
              </w:rPr>
            </w:pPr>
            <w:r w:rsidRPr="009F3902">
              <w:rPr>
                <w:lang w:val="en-US"/>
              </w:rPr>
              <w:t>3.5 mm thick glass tube</w:t>
            </w:r>
          </w:p>
        </w:tc>
      </w:tr>
      <w:tr w:rsidR="005F3C42" w:rsidRPr="009F3902" w14:paraId="799D3390" w14:textId="77777777" w:rsidTr="00361A45">
        <w:trPr>
          <w:jc w:val="center"/>
        </w:trPr>
        <w:tc>
          <w:tcPr>
            <w:tcW w:w="2122" w:type="dxa"/>
          </w:tcPr>
          <w:p w14:paraId="4FC1E564" w14:textId="77777777" w:rsidR="005F3C42" w:rsidRPr="009F3902" w:rsidRDefault="005F3C42" w:rsidP="00361A45">
            <w:pPr>
              <w:pStyle w:val="SWCTableText"/>
              <w:rPr>
                <w:lang w:val="en-US"/>
              </w:rPr>
            </w:pPr>
            <w:r w:rsidRPr="009F3902">
              <w:rPr>
                <w:lang w:val="en-US"/>
              </w:rPr>
              <w:t>Anti-reflective coating</w:t>
            </w:r>
          </w:p>
        </w:tc>
        <w:tc>
          <w:tcPr>
            <w:tcW w:w="1984" w:type="dxa"/>
          </w:tcPr>
          <w:p w14:paraId="5C8A16FA" w14:textId="77777777" w:rsidR="005F3C42" w:rsidRPr="003D49AE" w:rsidRDefault="005F3C42" w:rsidP="00361A45">
            <w:pPr>
              <w:pStyle w:val="SWCTableText"/>
              <w:rPr>
                <w:i/>
                <w:iCs/>
                <w:lang w:val="en-US"/>
              </w:rPr>
            </w:pPr>
            <w:r w:rsidRPr="003D49AE">
              <w:rPr>
                <w:i/>
                <w:iCs/>
                <w:lang w:val="en-US"/>
              </w:rPr>
              <w:t>MgF</w:t>
            </w:r>
            <w:r w:rsidRPr="003D49AE">
              <w:rPr>
                <w:i/>
                <w:iCs/>
                <w:vertAlign w:val="subscript"/>
                <w:lang w:val="en-US"/>
              </w:rPr>
              <w:t>2</w:t>
            </w:r>
          </w:p>
        </w:tc>
        <w:tc>
          <w:tcPr>
            <w:tcW w:w="4651" w:type="dxa"/>
          </w:tcPr>
          <w:p w14:paraId="38A05302" w14:textId="77777777" w:rsidR="005F3C42" w:rsidRPr="009F3902" w:rsidRDefault="005F3C42" w:rsidP="00361A45">
            <w:pPr>
              <w:pStyle w:val="SWCTableText"/>
              <w:rPr>
                <w:lang w:val="en-US"/>
              </w:rPr>
            </w:pPr>
            <w:r w:rsidRPr="009F3902">
              <w:rPr>
                <w:lang w:val="en-US"/>
              </w:rPr>
              <w:t>Thin film on inner and outer surfaces of glass tube</w:t>
            </w:r>
          </w:p>
        </w:tc>
      </w:tr>
    </w:tbl>
    <w:p w14:paraId="1ED0123A" w14:textId="77777777" w:rsidR="005F3C42" w:rsidRPr="009F3902" w:rsidRDefault="005F3C42" w:rsidP="005F3C42">
      <w:pPr>
        <w:pStyle w:val="SWCHeading11"/>
        <w:spacing w:before="0" w:after="100"/>
        <w:rPr>
          <w:i w:val="0"/>
          <w:iCs/>
          <w:lang w:val="en-US"/>
        </w:rPr>
      </w:pPr>
    </w:p>
    <w:p w14:paraId="2F57F8BD" w14:textId="77777777" w:rsidR="005F3C42" w:rsidRPr="009F3902" w:rsidRDefault="005F3C42" w:rsidP="005F3C42">
      <w:pPr>
        <w:pStyle w:val="SWCHeading1"/>
        <w:ind w:left="720" w:hanging="360"/>
      </w:pPr>
      <w:r w:rsidRPr="009F3902">
        <w:t>Methodology</w:t>
      </w:r>
    </w:p>
    <w:p w14:paraId="2F819312" w14:textId="3AF4030D" w:rsidR="00DA7E7A" w:rsidRDefault="0073373B" w:rsidP="005F3C42">
      <w:pPr>
        <w:pStyle w:val="SWCText"/>
      </w:pPr>
      <w:r w:rsidRPr="0073373B">
        <w:t>This section describes the ray-tracing formulation, the two-stage MCRT-ODO parametric workflow, and the statistical metrics used to evaluate flux quality and rank candidate geometries</w:t>
      </w:r>
      <w:r>
        <w:t>.</w:t>
      </w:r>
      <w:r w:rsidR="005F3C42" w:rsidRPr="009F3902">
        <w:t xml:space="preserve">  </w:t>
      </w:r>
    </w:p>
    <w:p w14:paraId="18F3D988" w14:textId="48F8EAF8" w:rsidR="00DA7E7A" w:rsidRPr="009F3902" w:rsidRDefault="00723A07" w:rsidP="00DA7E7A">
      <w:pPr>
        <w:pStyle w:val="SWCHeading11"/>
        <w:rPr>
          <w:lang w:val="en-US"/>
        </w:rPr>
      </w:pPr>
      <w:r>
        <w:rPr>
          <w:lang w:val="en-US"/>
        </w:rPr>
        <w:t>3</w:t>
      </w:r>
      <w:r w:rsidR="00DA7E7A" w:rsidRPr="009F3902">
        <w:rPr>
          <w:lang w:val="en-US"/>
        </w:rPr>
        <w:t xml:space="preserve">.1. </w:t>
      </w:r>
      <w:r w:rsidR="00C63D3D">
        <w:rPr>
          <w:lang w:val="en-US"/>
        </w:rPr>
        <w:t>Ray tracing</w:t>
      </w:r>
    </w:p>
    <w:p w14:paraId="630B5C54" w14:textId="0670CDDB" w:rsidR="005B11FA" w:rsidRDefault="00D565BE" w:rsidP="000772B5">
      <w:pPr>
        <w:spacing w:line="259" w:lineRule="auto"/>
        <w:jc w:val="both"/>
        <w:rPr>
          <w:sz w:val="20"/>
          <w:szCs w:val="20"/>
        </w:rPr>
      </w:pPr>
      <w:r w:rsidRPr="00D64432">
        <w:rPr>
          <w:sz w:val="20"/>
          <w:szCs w:val="20"/>
        </w:rPr>
        <w:t xml:space="preserve">Optical simulation is </w:t>
      </w:r>
      <w:r>
        <w:rPr>
          <w:sz w:val="20"/>
          <w:szCs w:val="20"/>
        </w:rPr>
        <w:t>performed using OTSunApp</w:t>
      </w:r>
      <w:r w:rsidRPr="00D64432">
        <w:rPr>
          <w:sz w:val="20"/>
          <w:szCs w:val="20"/>
        </w:rPr>
        <w:t xml:space="preserve"> </w:t>
      </w:r>
      <w:r w:rsidR="00C71B3F">
        <w:rPr>
          <w:sz w:val="20"/>
          <w:szCs w:val="20"/>
        </w:rPr>
        <w:t>(</w:t>
      </w:r>
      <w:r w:rsidR="00C71B3F" w:rsidRPr="00D64432">
        <w:rPr>
          <w:sz w:val="20"/>
          <w:szCs w:val="20"/>
        </w:rPr>
        <w:t>Cardona et al., 2020</w:t>
      </w:r>
      <w:r w:rsidR="00C71B3F">
        <w:rPr>
          <w:sz w:val="20"/>
          <w:szCs w:val="20"/>
        </w:rPr>
        <w:t>),</w:t>
      </w:r>
      <w:r w:rsidRPr="00D64432">
        <w:rPr>
          <w:sz w:val="20"/>
          <w:szCs w:val="20"/>
        </w:rPr>
        <w:t xml:space="preserve"> an open-source Python library for Monte Carlo ray tracing</w:t>
      </w:r>
      <w:r w:rsidR="00C71B3F">
        <w:rPr>
          <w:sz w:val="20"/>
          <w:szCs w:val="20"/>
        </w:rPr>
        <w:t xml:space="preserve">. </w:t>
      </w:r>
      <w:r w:rsidRPr="00D64432">
        <w:rPr>
          <w:sz w:val="20"/>
          <w:szCs w:val="20"/>
        </w:rPr>
        <w:t xml:space="preserve">Spectral weighting of the incident beam uses the ASTM G173-03 </w:t>
      </w:r>
      <w:r w:rsidR="00645EF3">
        <w:rPr>
          <w:sz w:val="20"/>
          <w:szCs w:val="20"/>
        </w:rPr>
        <w:t>(</w:t>
      </w:r>
      <w:r w:rsidR="00645EF3" w:rsidRPr="00645EF3">
        <w:rPr>
          <w:sz w:val="20"/>
          <w:szCs w:val="20"/>
          <w:lang w:val="en-IN"/>
        </w:rPr>
        <w:t xml:space="preserve">ASTM </w:t>
      </w:r>
      <w:r w:rsidR="00645EF3">
        <w:rPr>
          <w:sz w:val="20"/>
          <w:szCs w:val="20"/>
          <w:lang w:val="en-IN"/>
        </w:rPr>
        <w:t>International, 2003</w:t>
      </w:r>
      <w:r w:rsidR="00645EF3">
        <w:rPr>
          <w:sz w:val="20"/>
          <w:szCs w:val="20"/>
        </w:rPr>
        <w:t>)</w:t>
      </w:r>
      <w:r w:rsidR="00BC14A9">
        <w:rPr>
          <w:sz w:val="20"/>
          <w:szCs w:val="20"/>
        </w:rPr>
        <w:t xml:space="preserve"> </w:t>
      </w:r>
      <w:r w:rsidRPr="00D64432">
        <w:rPr>
          <w:sz w:val="20"/>
          <w:szCs w:val="20"/>
        </w:rPr>
        <w:t xml:space="preserve">direct-normal reference spectrum, allowing the simulation to resolve wavelength-dependent optical </w:t>
      </w:r>
      <w:r>
        <w:rPr>
          <w:sz w:val="20"/>
          <w:szCs w:val="20"/>
        </w:rPr>
        <w:t>behavior</w:t>
      </w:r>
      <w:r w:rsidRPr="00D64432">
        <w:rPr>
          <w:sz w:val="20"/>
          <w:szCs w:val="20"/>
        </w:rPr>
        <w:t xml:space="preserve"> rather than treating incident radiation as monochromatic.</w:t>
      </w:r>
      <w:r>
        <w:rPr>
          <w:sz w:val="20"/>
          <w:szCs w:val="20"/>
        </w:rPr>
        <w:t xml:space="preserve"> </w:t>
      </w:r>
      <w:r w:rsidR="005B11FA" w:rsidRPr="00D64432">
        <w:rPr>
          <w:sz w:val="20"/>
          <w:szCs w:val="20"/>
        </w:rPr>
        <w:t xml:space="preserve">OTSun's spectral mode treats incident irradiance as wavelength-dependent, so the energy carried by an individual ray must be derived from the source spectrum rather than assumed uniform. Writing the ASTM G173-03 spectral irradiance as </w:t>
      </w:r>
      <w:r w:rsidR="005B11FA" w:rsidRPr="00BF2369">
        <w:rPr>
          <w:i/>
          <w:iCs/>
          <w:sz w:val="20"/>
          <w:szCs w:val="20"/>
        </w:rPr>
        <w:t>f₀</w:t>
      </w:r>
      <w:r w:rsidR="005B11FA" w:rsidRPr="00D64432">
        <w:rPr>
          <w:sz w:val="20"/>
          <w:szCs w:val="20"/>
        </w:rPr>
        <w:t xml:space="preserve">(λ) (W/m²/nm), the direct normal irradiance </w:t>
      </w:r>
      <w:r w:rsidR="006C06B5">
        <w:rPr>
          <w:sz w:val="20"/>
          <w:szCs w:val="20"/>
        </w:rPr>
        <w:t xml:space="preserve">(DNI) </w:t>
      </w:r>
      <w:r w:rsidR="005B11FA" w:rsidRPr="00D64432">
        <w:rPr>
          <w:sz w:val="20"/>
          <w:szCs w:val="20"/>
        </w:rPr>
        <w:t>is its integral over the simulated spectral range: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7"/>
      </w:tblGrid>
      <w:tr w:rsidR="00C460F7" w14:paraId="49053B28" w14:textId="77777777" w:rsidTr="006A0778">
        <w:tc>
          <w:tcPr>
            <w:tcW w:w="8217" w:type="dxa"/>
          </w:tcPr>
          <w:p w14:paraId="7D19BFA4" w14:textId="6FC94859" w:rsidR="00C460F7" w:rsidRDefault="00C460F7" w:rsidP="000E6DB4">
            <w:pPr>
              <w:spacing w:line="259" w:lineRule="auto"/>
              <w:jc w:val="both"/>
              <w:rPr>
                <w:sz w:val="20"/>
                <w:szCs w:val="20"/>
              </w:rPr>
            </w:pPr>
            <m:oMathPara>
              <m:oMath>
                <m:r>
                  <w:rPr>
                    <w:rFonts w:ascii="Cambria Math" w:hAnsi="Cambria Math"/>
                    <w:sz w:val="20"/>
                    <w:szCs w:val="20"/>
                  </w:rPr>
                  <m:t>DNI=</m:t>
                </m:r>
                <m:nary>
                  <m:naryPr>
                    <m:limLoc m:val="subSup"/>
                    <m:ctrlPr>
                      <w:rPr>
                        <w:rFonts w:ascii="Cambria Math" w:hAnsi="Cambria Math"/>
                        <w:i/>
                        <w:sz w:val="20"/>
                        <w:szCs w:val="20"/>
                      </w:rPr>
                    </m:ctrlPr>
                  </m:naryPr>
                  <m:sub>
                    <m:r>
                      <w:rPr>
                        <w:rFonts w:ascii="Cambria Math" w:hAnsi="Cambria Math"/>
                        <w:sz w:val="20"/>
                        <w:szCs w:val="20"/>
                      </w:rPr>
                      <m:t>280</m:t>
                    </m:r>
                  </m:sub>
                  <m:sup>
                    <m:r>
                      <w:rPr>
                        <w:rFonts w:ascii="Cambria Math" w:hAnsi="Cambria Math"/>
                        <w:sz w:val="20"/>
                        <w:szCs w:val="20"/>
                      </w:rPr>
                      <m:t>3990</m:t>
                    </m:r>
                  </m:sup>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o</m:t>
                        </m:r>
                      </m:sub>
                    </m:sSub>
                    <m:d>
                      <m:dPr>
                        <m:ctrlPr>
                          <w:rPr>
                            <w:rFonts w:ascii="Cambria Math" w:hAnsi="Cambria Math"/>
                            <w:i/>
                            <w:sz w:val="20"/>
                            <w:szCs w:val="20"/>
                          </w:rPr>
                        </m:ctrlPr>
                      </m:dPr>
                      <m:e>
                        <m:r>
                          <w:rPr>
                            <w:rFonts w:ascii="Cambria Math" w:hAnsi="Cambria Math"/>
                            <w:sz w:val="20"/>
                            <w:szCs w:val="20"/>
                          </w:rPr>
                          <m:t>λ</m:t>
                        </m:r>
                      </m:e>
                    </m:d>
                    <m:r>
                      <w:rPr>
                        <w:rFonts w:ascii="Cambria Math" w:hAnsi="Cambria Math"/>
                        <w:sz w:val="20"/>
                        <w:szCs w:val="20"/>
                      </w:rPr>
                      <m:t>dλ</m:t>
                    </m:r>
                  </m:e>
                </m:nary>
              </m:oMath>
            </m:oMathPara>
          </w:p>
        </w:tc>
        <w:tc>
          <w:tcPr>
            <w:tcW w:w="847" w:type="dxa"/>
          </w:tcPr>
          <w:p w14:paraId="5FD9FE7F" w14:textId="4FCAD758" w:rsidR="00C460F7" w:rsidRDefault="00C460F7" w:rsidP="000E6DB4">
            <w:pPr>
              <w:spacing w:before="120" w:after="160" w:line="259" w:lineRule="auto"/>
              <w:jc w:val="right"/>
              <w:rPr>
                <w:sz w:val="20"/>
                <w:szCs w:val="20"/>
              </w:rPr>
            </w:pPr>
            <w:r>
              <w:rPr>
                <w:sz w:val="20"/>
                <w:szCs w:val="20"/>
              </w:rPr>
              <w:t xml:space="preserve">(eq. </w:t>
            </w:r>
            <w:r w:rsidR="005F5A2D">
              <w:rPr>
                <w:sz w:val="20"/>
                <w:szCs w:val="20"/>
              </w:rPr>
              <w:t>1</w:t>
            </w:r>
            <w:r>
              <w:rPr>
                <w:sz w:val="20"/>
                <w:szCs w:val="20"/>
              </w:rPr>
              <w:t>)</w:t>
            </w:r>
          </w:p>
        </w:tc>
      </w:tr>
    </w:tbl>
    <w:p w14:paraId="36559BBA" w14:textId="41D87936" w:rsidR="00DD247A" w:rsidRDefault="00DD247A" w:rsidP="00C75825">
      <w:pPr>
        <w:spacing w:after="160" w:line="259" w:lineRule="auto"/>
        <w:jc w:val="both"/>
        <w:rPr>
          <w:sz w:val="20"/>
          <w:szCs w:val="20"/>
        </w:rPr>
      </w:pPr>
      <w:r w:rsidRPr="00D64432">
        <w:rPr>
          <w:sz w:val="20"/>
          <w:szCs w:val="20"/>
        </w:rPr>
        <w:t>Rays are launched in discrete wavelength bins; for a bin spanning [λᵢ, λₒ], the energy contained in that band is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7"/>
      </w:tblGrid>
      <w:tr w:rsidR="001014AB" w14:paraId="59ECD34C" w14:textId="77777777" w:rsidTr="00C117AD">
        <w:tc>
          <w:tcPr>
            <w:tcW w:w="8217" w:type="dxa"/>
          </w:tcPr>
          <w:p w14:paraId="49DBB2C9" w14:textId="01CED951" w:rsidR="001014AB" w:rsidRDefault="00A547A3" w:rsidP="007270E3">
            <w:pPr>
              <w:spacing w:line="259" w:lineRule="auto"/>
              <w:jc w:val="both"/>
              <w:rPr>
                <w:sz w:val="20"/>
                <w:szCs w:val="20"/>
              </w:rPr>
            </w:pPr>
            <m:oMathPara>
              <m:oMath>
                <m:sSub>
                  <m:sSubPr>
                    <m:ctrlPr>
                      <w:rPr>
                        <w:rFonts w:ascii="Cambria Math" w:hAnsi="Cambria Math"/>
                        <w:i/>
                        <w:sz w:val="20"/>
                        <w:szCs w:val="20"/>
                      </w:rPr>
                    </m:ctrlPr>
                  </m:sSubPr>
                  <m:e>
                    <m:r>
                      <w:rPr>
                        <w:rFonts w:ascii="Cambria Math" w:hAnsi="Cambria Math"/>
                        <w:sz w:val="20"/>
                        <w:szCs w:val="20"/>
                      </w:rPr>
                      <m:t>ε</m:t>
                    </m:r>
                  </m:e>
                  <m:sub>
                    <m:r>
                      <w:rPr>
                        <w:rFonts w:ascii="Cambria Math" w:hAnsi="Cambria Math"/>
                        <w:sz w:val="20"/>
                        <w:szCs w:val="20"/>
                      </w:rPr>
                      <m:t>o</m:t>
                    </m:r>
                  </m:sub>
                </m:sSub>
                <m:r>
                  <w:rPr>
                    <w:rFonts w:ascii="Cambria Math" w:hAnsi="Cambria Math"/>
                    <w:sz w:val="20"/>
                    <w:szCs w:val="20"/>
                  </w:rPr>
                  <m:t>=</m:t>
                </m:r>
                <m:nary>
                  <m:naryPr>
                    <m:limLoc m:val="subSup"/>
                    <m:ctrlPr>
                      <w:rPr>
                        <w:rFonts w:ascii="Cambria Math" w:hAnsi="Cambria Math"/>
                        <w:i/>
                        <w:sz w:val="20"/>
                        <w:szCs w:val="20"/>
                      </w:rPr>
                    </m:ctrlPr>
                  </m:naryPr>
                  <m:sub>
                    <m:sSub>
                      <m:sSubPr>
                        <m:ctrlPr>
                          <w:rPr>
                            <w:rFonts w:ascii="Cambria Math" w:hAnsi="Cambria Math"/>
                            <w:i/>
                            <w:sz w:val="20"/>
                            <w:szCs w:val="20"/>
                          </w:rPr>
                        </m:ctrlPr>
                      </m:sSubPr>
                      <m:e>
                        <m:r>
                          <w:rPr>
                            <w:rFonts w:ascii="Cambria Math" w:hAnsi="Cambria Math"/>
                            <w:sz w:val="20"/>
                            <w:szCs w:val="20"/>
                          </w:rPr>
                          <m:t>λ</m:t>
                        </m:r>
                      </m:e>
                      <m:sub>
                        <m:r>
                          <w:rPr>
                            <w:rFonts w:ascii="Cambria Math" w:hAnsi="Cambria Math"/>
                            <w:sz w:val="20"/>
                            <w:szCs w:val="20"/>
                          </w:rPr>
                          <m:t>i</m:t>
                        </m:r>
                      </m:sub>
                    </m:sSub>
                  </m:sub>
                  <m:sup>
                    <m:sSub>
                      <m:sSubPr>
                        <m:ctrlPr>
                          <w:rPr>
                            <w:rFonts w:ascii="Cambria Math" w:hAnsi="Cambria Math"/>
                            <w:i/>
                            <w:sz w:val="20"/>
                            <w:szCs w:val="20"/>
                          </w:rPr>
                        </m:ctrlPr>
                      </m:sSubPr>
                      <m:e>
                        <m:r>
                          <w:rPr>
                            <w:rFonts w:ascii="Cambria Math" w:hAnsi="Cambria Math"/>
                            <w:sz w:val="20"/>
                            <w:szCs w:val="20"/>
                          </w:rPr>
                          <m:t>λ</m:t>
                        </m:r>
                      </m:e>
                      <m:sub>
                        <m:r>
                          <w:rPr>
                            <w:rFonts w:ascii="Cambria Math" w:hAnsi="Cambria Math"/>
                            <w:sz w:val="20"/>
                            <w:szCs w:val="20"/>
                          </w:rPr>
                          <m:t>o</m:t>
                        </m:r>
                      </m:sub>
                    </m:sSub>
                  </m:sup>
                  <m:e>
                    <m:sSub>
                      <m:sSubPr>
                        <m:ctrlPr>
                          <w:rPr>
                            <w:rFonts w:ascii="Cambria Math" w:hAnsi="Cambria Math"/>
                            <w:i/>
                            <w:sz w:val="20"/>
                            <w:szCs w:val="20"/>
                          </w:rPr>
                        </m:ctrlPr>
                      </m:sSubPr>
                      <m:e>
                        <m:r>
                          <w:rPr>
                            <w:rFonts w:ascii="Cambria Math" w:hAnsi="Cambria Math"/>
                            <w:sz w:val="20"/>
                            <w:szCs w:val="20"/>
                          </w:rPr>
                          <m:t>f</m:t>
                        </m:r>
                      </m:e>
                      <m:sub>
                        <m:r>
                          <w:rPr>
                            <w:rFonts w:ascii="Cambria Math" w:hAnsi="Cambria Math"/>
                            <w:sz w:val="20"/>
                            <w:szCs w:val="20"/>
                          </w:rPr>
                          <m:t>o</m:t>
                        </m:r>
                      </m:sub>
                    </m:sSub>
                    <m:d>
                      <m:dPr>
                        <m:ctrlPr>
                          <w:rPr>
                            <w:rFonts w:ascii="Cambria Math" w:hAnsi="Cambria Math"/>
                            <w:i/>
                            <w:sz w:val="20"/>
                            <w:szCs w:val="20"/>
                          </w:rPr>
                        </m:ctrlPr>
                      </m:dPr>
                      <m:e>
                        <m:r>
                          <w:rPr>
                            <w:rFonts w:ascii="Cambria Math" w:hAnsi="Cambria Math"/>
                            <w:sz w:val="20"/>
                            <w:szCs w:val="20"/>
                          </w:rPr>
                          <m:t>λ</m:t>
                        </m:r>
                      </m:e>
                    </m:d>
                    <m:r>
                      <w:rPr>
                        <w:rFonts w:ascii="Cambria Math" w:hAnsi="Cambria Math"/>
                        <w:sz w:val="20"/>
                        <w:szCs w:val="20"/>
                      </w:rPr>
                      <m:t>dλ</m:t>
                    </m:r>
                  </m:e>
                </m:nary>
              </m:oMath>
            </m:oMathPara>
          </w:p>
        </w:tc>
        <w:tc>
          <w:tcPr>
            <w:tcW w:w="847" w:type="dxa"/>
          </w:tcPr>
          <w:p w14:paraId="0C66AC4E" w14:textId="240E52A5" w:rsidR="001014AB" w:rsidRDefault="00F448DD" w:rsidP="00A307FD">
            <w:pPr>
              <w:spacing w:before="120" w:line="259" w:lineRule="auto"/>
              <w:jc w:val="right"/>
              <w:rPr>
                <w:sz w:val="20"/>
                <w:szCs w:val="20"/>
              </w:rPr>
            </w:pPr>
            <w:r>
              <w:rPr>
                <w:sz w:val="20"/>
                <w:szCs w:val="20"/>
              </w:rPr>
              <w:t>(</w:t>
            </w:r>
            <w:r w:rsidR="007270E3">
              <w:rPr>
                <w:sz w:val="20"/>
                <w:szCs w:val="20"/>
              </w:rPr>
              <w:t xml:space="preserve">eq. </w:t>
            </w:r>
            <w:r w:rsidR="005F5A2D">
              <w:rPr>
                <w:sz w:val="20"/>
                <w:szCs w:val="20"/>
              </w:rPr>
              <w:t>2</w:t>
            </w:r>
            <w:r w:rsidR="007270E3">
              <w:rPr>
                <w:sz w:val="20"/>
                <w:szCs w:val="20"/>
              </w:rPr>
              <w:t>)</w:t>
            </w:r>
          </w:p>
        </w:tc>
      </w:tr>
    </w:tbl>
    <w:p w14:paraId="5AE1C0A0" w14:textId="485A0DF9" w:rsidR="00DD247A" w:rsidRDefault="00130C25" w:rsidP="00C75825">
      <w:pPr>
        <w:spacing w:after="160" w:line="259" w:lineRule="auto"/>
        <w:jc w:val="both"/>
        <w:rPr>
          <w:sz w:val="20"/>
          <w:szCs w:val="20"/>
        </w:rPr>
      </w:pPr>
      <w:r>
        <w:rPr>
          <w:sz w:val="20"/>
          <w:szCs w:val="20"/>
        </w:rPr>
        <w:t>Furthermore,</w:t>
      </w:r>
      <w:r w:rsidR="00DD247A" w:rsidRPr="00D64432">
        <w:rPr>
          <w:sz w:val="20"/>
          <w:szCs w:val="20"/>
        </w:rPr>
        <w:t xml:space="preserve"> this band energy is divided evenly among the rays launched for it: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7"/>
      </w:tblGrid>
      <w:tr w:rsidR="00C91446" w14:paraId="71781C65" w14:textId="77777777" w:rsidTr="00C117AD">
        <w:tc>
          <w:tcPr>
            <w:tcW w:w="8217" w:type="dxa"/>
          </w:tcPr>
          <w:p w14:paraId="3B0F9A94" w14:textId="0E63963D" w:rsidR="00C91446" w:rsidRDefault="00A547A3" w:rsidP="000E6DB4">
            <w:pPr>
              <w:spacing w:line="259" w:lineRule="auto"/>
              <w:jc w:val="both"/>
              <w:rPr>
                <w:sz w:val="20"/>
                <w:szCs w:val="20"/>
              </w:rPr>
            </w:pPr>
            <m:oMathPara>
              <m:oMath>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ray, λ</m:t>
                    </m:r>
                  </m:sub>
                </m:sSub>
                <m:r>
                  <w:rPr>
                    <w:rFonts w:ascii="Cambria Math" w:hAnsi="Cambria Math"/>
                    <w:sz w:val="20"/>
                    <w:szCs w:val="20"/>
                  </w:rPr>
                  <m:t>=</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ε</m:t>
                        </m:r>
                      </m:e>
                      <m:sub>
                        <m:r>
                          <w:rPr>
                            <w:rFonts w:ascii="Cambria Math" w:hAnsi="Cambria Math"/>
                            <w:sz w:val="20"/>
                            <w:szCs w:val="20"/>
                          </w:rPr>
                          <m:t>o</m:t>
                        </m:r>
                      </m:sub>
                    </m:sSub>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so</m:t>
                        </m:r>
                      </m:sub>
                    </m:sSub>
                  </m:num>
                  <m:den>
                    <m:sSub>
                      <m:sSubPr>
                        <m:ctrlPr>
                          <w:rPr>
                            <w:rFonts w:ascii="Cambria Math" w:hAnsi="Cambria Math"/>
                            <w:i/>
                            <w:sz w:val="20"/>
                            <w:szCs w:val="20"/>
                          </w:rPr>
                        </m:ctrlPr>
                      </m:sSubPr>
                      <m:e>
                        <m:r>
                          <w:rPr>
                            <w:rFonts w:ascii="Cambria Math" w:hAnsi="Cambria Math"/>
                            <w:sz w:val="20"/>
                            <w:szCs w:val="20"/>
                          </w:rPr>
                          <m:t>N</m:t>
                        </m:r>
                      </m:e>
                      <m:sub>
                        <m:r>
                          <w:rPr>
                            <w:rFonts w:ascii="Cambria Math" w:hAnsi="Cambria Math"/>
                            <w:sz w:val="20"/>
                            <w:szCs w:val="20"/>
                          </w:rPr>
                          <m:t>λ</m:t>
                        </m:r>
                      </m:sub>
                    </m:sSub>
                  </m:den>
                </m:f>
              </m:oMath>
            </m:oMathPara>
          </w:p>
        </w:tc>
        <w:tc>
          <w:tcPr>
            <w:tcW w:w="847" w:type="dxa"/>
          </w:tcPr>
          <w:p w14:paraId="60A9E9B8" w14:textId="166C6CE2" w:rsidR="00C91446" w:rsidRDefault="00C91446" w:rsidP="00A307FD">
            <w:pPr>
              <w:spacing w:before="120" w:after="160" w:line="259" w:lineRule="auto"/>
              <w:jc w:val="right"/>
              <w:rPr>
                <w:sz w:val="20"/>
                <w:szCs w:val="20"/>
              </w:rPr>
            </w:pPr>
            <w:r>
              <w:rPr>
                <w:sz w:val="20"/>
                <w:szCs w:val="20"/>
              </w:rPr>
              <w:t xml:space="preserve">(eq. </w:t>
            </w:r>
            <w:r w:rsidR="005F5A2D">
              <w:rPr>
                <w:sz w:val="20"/>
                <w:szCs w:val="20"/>
              </w:rPr>
              <w:t>3</w:t>
            </w:r>
            <w:r>
              <w:rPr>
                <w:sz w:val="20"/>
                <w:szCs w:val="20"/>
              </w:rPr>
              <w:t>)</w:t>
            </w:r>
          </w:p>
        </w:tc>
      </w:tr>
    </w:tbl>
    <w:p w14:paraId="1A976C9F" w14:textId="36087166" w:rsidR="00AB3A3D" w:rsidRPr="00D64432" w:rsidRDefault="00AB3A3D" w:rsidP="00870FF0">
      <w:pPr>
        <w:spacing w:after="160" w:line="259" w:lineRule="auto"/>
        <w:jc w:val="both"/>
        <w:rPr>
          <w:sz w:val="20"/>
          <w:szCs w:val="20"/>
        </w:rPr>
      </w:pPr>
      <w:r w:rsidRPr="00D64432">
        <w:rPr>
          <w:sz w:val="20"/>
          <w:szCs w:val="20"/>
        </w:rPr>
        <w:t xml:space="preserve">with </w:t>
      </w:r>
      <w:r w:rsidR="00170901" w:rsidRPr="00170901">
        <w:rPr>
          <w:i/>
          <w:iCs/>
          <w:sz w:val="20"/>
          <w:szCs w:val="20"/>
        </w:rPr>
        <w:t>A</w:t>
      </w:r>
      <w:r w:rsidR="00170901" w:rsidRPr="00170901">
        <w:rPr>
          <w:i/>
          <w:iCs/>
          <w:sz w:val="20"/>
          <w:szCs w:val="20"/>
          <w:vertAlign w:val="subscript"/>
        </w:rPr>
        <w:t>so</w:t>
      </w:r>
      <w:r w:rsidRPr="00D64432">
        <w:rPr>
          <w:sz w:val="20"/>
          <w:szCs w:val="20"/>
        </w:rPr>
        <w:t xml:space="preserve"> the source-plane area and </w:t>
      </w:r>
      <w:r w:rsidRPr="00170901">
        <w:rPr>
          <w:i/>
          <w:iCs/>
          <w:sz w:val="20"/>
          <w:szCs w:val="20"/>
        </w:rPr>
        <w:t>N</w:t>
      </w:r>
      <w:r w:rsidR="00110C6B" w:rsidRPr="00170901">
        <w:rPr>
          <w:sz w:val="20"/>
          <w:szCs w:val="20"/>
          <w:vertAlign w:val="subscript"/>
        </w:rPr>
        <w:t>λ</w:t>
      </w:r>
      <w:r w:rsidRPr="00D64432">
        <w:rPr>
          <w:sz w:val="20"/>
          <w:szCs w:val="20"/>
        </w:rPr>
        <w:t xml:space="preserve"> the ray count assigned to that wavelength bin. Every ray begins with unit energy and is attenuated as it interacts with each surface it strikes</w:t>
      </w:r>
      <w:r w:rsidR="00B31CAF">
        <w:rPr>
          <w:sz w:val="20"/>
          <w:szCs w:val="20"/>
        </w:rPr>
        <w:t>,</w:t>
      </w:r>
      <w:r w:rsidRPr="00D64432">
        <w:rPr>
          <w:sz w:val="20"/>
          <w:szCs w:val="20"/>
        </w:rPr>
        <w:t xml:space="preserve"> mirror reflectance, envelope transmission, absorber-coating absorptance</w:t>
      </w:r>
      <w:r w:rsidR="00B31CAF">
        <w:rPr>
          <w:sz w:val="20"/>
          <w:szCs w:val="20"/>
        </w:rPr>
        <w:t xml:space="preserve">, </w:t>
      </w:r>
      <w:r w:rsidRPr="00D64432">
        <w:rPr>
          <w:sz w:val="20"/>
          <w:szCs w:val="20"/>
        </w:rPr>
        <w:t xml:space="preserve">so that only a fraction of its original energy, </w:t>
      </w:r>
      <w:r w:rsidRPr="00B31CAF">
        <w:rPr>
          <w:i/>
          <w:iCs/>
          <w:sz w:val="20"/>
          <w:szCs w:val="20"/>
        </w:rPr>
        <w:t>E</w:t>
      </w:r>
      <w:r w:rsidRPr="00B31CAF">
        <w:rPr>
          <w:i/>
          <w:iCs/>
          <w:sz w:val="20"/>
          <w:szCs w:val="20"/>
          <w:vertAlign w:val="subscript"/>
        </w:rPr>
        <w:t>OTSun,</w:t>
      </w:r>
      <w:r w:rsidR="00B31CAF">
        <w:rPr>
          <w:i/>
          <w:iCs/>
          <w:sz w:val="20"/>
          <w:szCs w:val="20"/>
          <w:vertAlign w:val="subscript"/>
        </w:rPr>
        <w:t>j</w:t>
      </w:r>
      <w:r w:rsidRPr="00D64432">
        <w:rPr>
          <w:sz w:val="20"/>
          <w:szCs w:val="20"/>
        </w:rPr>
        <w:t xml:space="preserve"> </w:t>
      </w:r>
      <w:r w:rsidRPr="00D64432">
        <w:rPr>
          <w:rFonts w:ascii="Cambria Math" w:hAnsi="Cambria Math" w:cs="Cambria Math"/>
          <w:sz w:val="20"/>
          <w:szCs w:val="20"/>
        </w:rPr>
        <w:t>∈</w:t>
      </w:r>
      <w:r w:rsidRPr="00D64432">
        <w:rPr>
          <w:sz w:val="20"/>
          <w:szCs w:val="20"/>
        </w:rPr>
        <w:t xml:space="preserve"> [0, 1], survives to the point of final absorption.</w:t>
      </w:r>
    </w:p>
    <w:p w14:paraId="3E2EDE36" w14:textId="77777777" w:rsidR="00AB3A3D" w:rsidRDefault="00AB3A3D" w:rsidP="00C75825">
      <w:pPr>
        <w:spacing w:line="259" w:lineRule="auto"/>
        <w:jc w:val="both"/>
        <w:rPr>
          <w:sz w:val="20"/>
          <w:szCs w:val="20"/>
        </w:rPr>
      </w:pPr>
      <w:r w:rsidRPr="00D64432">
        <w:rPr>
          <w:sz w:val="20"/>
          <w:szCs w:val="20"/>
        </w:rPr>
        <w:t>Summing surviving ray energies over a small patch of the receiver surface gives the local flux at circumferential position φ:</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7"/>
      </w:tblGrid>
      <w:tr w:rsidR="00BB6521" w14:paraId="1F3C346F" w14:textId="77777777" w:rsidTr="009526AA">
        <w:tc>
          <w:tcPr>
            <w:tcW w:w="8217" w:type="dxa"/>
          </w:tcPr>
          <w:p w14:paraId="43188DA8" w14:textId="772136DE" w:rsidR="00BB6521" w:rsidRDefault="00B15CC7" w:rsidP="000E6DB4">
            <w:pPr>
              <w:spacing w:line="259" w:lineRule="auto"/>
              <w:jc w:val="both"/>
              <w:rPr>
                <w:sz w:val="20"/>
                <w:szCs w:val="20"/>
              </w:rPr>
            </w:pPr>
            <m:oMathPara>
              <m:oMath>
                <m:r>
                  <w:rPr>
                    <w:rFonts w:ascii="Cambria Math" w:hAnsi="Cambria Math"/>
                    <w:sz w:val="20"/>
                    <w:szCs w:val="20"/>
                  </w:rPr>
                  <m:t>q(φ)=</m:t>
                </m:r>
                <m:f>
                  <m:fPr>
                    <m:ctrlPr>
                      <w:rPr>
                        <w:rFonts w:ascii="Cambria Math" w:hAnsi="Cambria Math"/>
                        <w:i/>
                        <w:sz w:val="20"/>
                        <w:szCs w:val="20"/>
                      </w:rPr>
                    </m:ctrlPr>
                  </m:fPr>
                  <m:num>
                    <m:r>
                      <w:rPr>
                        <w:rFonts w:ascii="Cambria Math" w:hAnsi="Cambria Math"/>
                        <w:sz w:val="20"/>
                        <w:szCs w:val="20"/>
                      </w:rPr>
                      <m:t>1</m:t>
                    </m:r>
                  </m:num>
                  <m:den>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r</m:t>
                        </m:r>
                      </m:sub>
                    </m:sSub>
                  </m:den>
                </m:f>
                <m:nary>
                  <m:naryPr>
                    <m:chr m:val="∑"/>
                    <m:limLoc m:val="undOvr"/>
                    <m:supHide m:val="1"/>
                    <m:ctrlPr>
                      <w:rPr>
                        <w:rFonts w:ascii="Cambria Math" w:hAnsi="Cambria Math"/>
                        <w:i/>
                        <w:sz w:val="20"/>
                        <w:szCs w:val="20"/>
                      </w:rPr>
                    </m:ctrlPr>
                  </m:naryPr>
                  <m:sub>
                    <m:r>
                      <w:rPr>
                        <w:rFonts w:ascii="Cambria Math" w:hAnsi="Cambria Math"/>
                        <w:sz w:val="20"/>
                        <w:szCs w:val="20"/>
                      </w:rPr>
                      <m:t>j∈</m:t>
                    </m:r>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r</m:t>
                        </m:r>
                      </m:sub>
                    </m:sSub>
                  </m:sub>
                  <m:sup/>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ray, λ</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OTSun,j</m:t>
                        </m:r>
                      </m:sub>
                    </m:sSub>
                  </m:e>
                </m:nary>
              </m:oMath>
            </m:oMathPara>
          </w:p>
        </w:tc>
        <w:tc>
          <w:tcPr>
            <w:tcW w:w="847" w:type="dxa"/>
          </w:tcPr>
          <w:p w14:paraId="1FFF4664" w14:textId="1E3CE647" w:rsidR="00BB6521" w:rsidRDefault="00BB6521" w:rsidP="00A307FD">
            <w:pPr>
              <w:spacing w:before="120" w:after="160" w:line="259" w:lineRule="auto"/>
              <w:jc w:val="right"/>
              <w:rPr>
                <w:sz w:val="20"/>
                <w:szCs w:val="20"/>
              </w:rPr>
            </w:pPr>
            <w:r>
              <w:rPr>
                <w:sz w:val="20"/>
                <w:szCs w:val="20"/>
              </w:rPr>
              <w:t xml:space="preserve">(eq. </w:t>
            </w:r>
            <w:r w:rsidR="005F5A2D">
              <w:rPr>
                <w:sz w:val="20"/>
                <w:szCs w:val="20"/>
              </w:rPr>
              <w:t>4</w:t>
            </w:r>
            <w:r>
              <w:rPr>
                <w:sz w:val="20"/>
                <w:szCs w:val="20"/>
              </w:rPr>
              <w:t>)</w:t>
            </w:r>
          </w:p>
        </w:tc>
      </w:tr>
    </w:tbl>
    <w:p w14:paraId="1D37C969" w14:textId="7366D3CD" w:rsidR="00AB3A3D" w:rsidRDefault="00AB3A3D" w:rsidP="00A56926">
      <w:pPr>
        <w:spacing w:after="160" w:line="259" w:lineRule="auto"/>
        <w:jc w:val="both"/>
        <w:rPr>
          <w:sz w:val="20"/>
          <w:szCs w:val="20"/>
        </w:rPr>
      </w:pPr>
      <w:r w:rsidRPr="00D64432">
        <w:rPr>
          <w:sz w:val="20"/>
          <w:szCs w:val="20"/>
        </w:rPr>
        <w:t xml:space="preserve">where </w:t>
      </w:r>
      <w:r w:rsidR="002A7320" w:rsidRPr="002A7320">
        <w:rPr>
          <w:i/>
          <w:iCs/>
          <w:sz w:val="20"/>
          <w:szCs w:val="20"/>
        </w:rPr>
        <w:t>A</w:t>
      </w:r>
      <w:r w:rsidR="002A7320" w:rsidRPr="002A7320">
        <w:rPr>
          <w:i/>
          <w:iCs/>
          <w:sz w:val="20"/>
          <w:szCs w:val="20"/>
          <w:vertAlign w:val="subscript"/>
        </w:rPr>
        <w:t>r</w:t>
      </w:r>
      <w:r w:rsidR="002A7320">
        <w:rPr>
          <w:sz w:val="20"/>
          <w:szCs w:val="20"/>
        </w:rPr>
        <w:t xml:space="preserve"> </w:t>
      </w:r>
      <w:r w:rsidRPr="00D64432">
        <w:rPr>
          <w:sz w:val="20"/>
          <w:szCs w:val="20"/>
        </w:rPr>
        <w:t xml:space="preserve">is the area of that receiver patch and the sum runs over every ray absorbed within it. Normalizing by the incident DNI gives the local concentration ratio used throughout the flux-distribution analysis (Section 4.2, </w:t>
      </w:r>
      <w:r w:rsidR="0002134D">
        <w:rPr>
          <w:sz w:val="20"/>
          <w:szCs w:val="20"/>
        </w:rPr>
        <w:t>Fig. 4</w:t>
      </w:r>
      <w:r w:rsidRPr="00D64432">
        <w:rPr>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7"/>
      </w:tblGrid>
      <w:tr w:rsidR="00640BC7" w14:paraId="35720559" w14:textId="77777777" w:rsidTr="00A963AB">
        <w:tc>
          <w:tcPr>
            <w:tcW w:w="8217" w:type="dxa"/>
          </w:tcPr>
          <w:p w14:paraId="7E8E0F3F" w14:textId="1BAD61F8" w:rsidR="00640BC7" w:rsidRDefault="00640BC7" w:rsidP="000E6DB4">
            <w:pPr>
              <w:spacing w:line="259" w:lineRule="auto"/>
              <w:jc w:val="both"/>
              <w:rPr>
                <w:sz w:val="20"/>
                <w:szCs w:val="20"/>
              </w:rPr>
            </w:pPr>
            <m:oMathPara>
              <m:oMath>
                <m:r>
                  <w:rPr>
                    <w:rFonts w:ascii="Cambria Math" w:hAnsi="Cambria Math"/>
                    <w:sz w:val="20"/>
                    <w:szCs w:val="20"/>
                  </w:rPr>
                  <w:lastRenderedPageBreak/>
                  <m:t>LCR (φ)=</m:t>
                </m:r>
                <m:f>
                  <m:fPr>
                    <m:ctrlPr>
                      <w:rPr>
                        <w:rFonts w:ascii="Cambria Math" w:hAnsi="Cambria Math"/>
                        <w:i/>
                        <w:sz w:val="20"/>
                        <w:szCs w:val="20"/>
                      </w:rPr>
                    </m:ctrlPr>
                  </m:fPr>
                  <m:num>
                    <m:r>
                      <w:rPr>
                        <w:rFonts w:ascii="Cambria Math" w:hAnsi="Cambria Math"/>
                        <w:sz w:val="20"/>
                        <w:szCs w:val="20"/>
                      </w:rPr>
                      <m:t>q(φ)</m:t>
                    </m:r>
                  </m:num>
                  <m:den>
                    <m:r>
                      <w:rPr>
                        <w:rFonts w:ascii="Cambria Math" w:hAnsi="Cambria Math"/>
                        <w:sz w:val="20"/>
                        <w:szCs w:val="20"/>
                      </w:rPr>
                      <m:t>DNI</m:t>
                    </m:r>
                  </m:den>
                </m:f>
              </m:oMath>
            </m:oMathPara>
          </w:p>
        </w:tc>
        <w:tc>
          <w:tcPr>
            <w:tcW w:w="847" w:type="dxa"/>
          </w:tcPr>
          <w:p w14:paraId="2AEBDC5F" w14:textId="39E059CC" w:rsidR="00640BC7" w:rsidRDefault="00640BC7" w:rsidP="000E6DB4">
            <w:pPr>
              <w:spacing w:before="120" w:after="160" w:line="259" w:lineRule="auto"/>
              <w:jc w:val="right"/>
              <w:rPr>
                <w:sz w:val="20"/>
                <w:szCs w:val="20"/>
              </w:rPr>
            </w:pPr>
            <w:r>
              <w:rPr>
                <w:sz w:val="20"/>
                <w:szCs w:val="20"/>
              </w:rPr>
              <w:t xml:space="preserve">(eq. </w:t>
            </w:r>
            <w:r w:rsidR="005F5A2D">
              <w:rPr>
                <w:sz w:val="20"/>
                <w:szCs w:val="20"/>
              </w:rPr>
              <w:t>5</w:t>
            </w:r>
            <w:r>
              <w:rPr>
                <w:sz w:val="20"/>
                <w:szCs w:val="20"/>
              </w:rPr>
              <w:t>)</w:t>
            </w:r>
          </w:p>
        </w:tc>
      </w:tr>
    </w:tbl>
    <w:p w14:paraId="455E1B56" w14:textId="7DDA2E7C" w:rsidR="00AB3A3D" w:rsidRDefault="00AB3A3D" w:rsidP="00A56926">
      <w:pPr>
        <w:spacing w:after="160" w:line="259" w:lineRule="auto"/>
        <w:jc w:val="both"/>
        <w:rPr>
          <w:sz w:val="20"/>
          <w:szCs w:val="20"/>
        </w:rPr>
      </w:pPr>
      <w:r w:rsidRPr="00D64432">
        <w:rPr>
          <w:sz w:val="20"/>
          <w:szCs w:val="20"/>
        </w:rPr>
        <w:t>Aggregating absorbed ray energy over the entire receiver, rather than a single patch, and normalizing by the total power incident on the aperture</w:t>
      </w:r>
      <w:r w:rsidR="00A963AB">
        <w:rPr>
          <w:sz w:val="20"/>
          <w:szCs w:val="20"/>
        </w:rPr>
        <w:t>,</w:t>
      </w:r>
      <w:r w:rsidRPr="00D64432">
        <w:rPr>
          <w:sz w:val="20"/>
          <w:szCs w:val="20"/>
        </w:rPr>
        <w:t xml:space="preserve"> gives the overall optical efficiency reported in Section 4.1:</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7"/>
      </w:tblGrid>
      <w:tr w:rsidR="005F5A2D" w14:paraId="16180B40" w14:textId="77777777" w:rsidTr="00A963AB">
        <w:tc>
          <w:tcPr>
            <w:tcW w:w="8217" w:type="dxa"/>
          </w:tcPr>
          <w:p w14:paraId="6EE1AC0A" w14:textId="78AF76CC" w:rsidR="005F5A2D" w:rsidRDefault="00A547A3" w:rsidP="000E6DB4">
            <w:pPr>
              <w:spacing w:line="259" w:lineRule="auto"/>
              <w:jc w:val="both"/>
              <w:rPr>
                <w:sz w:val="20"/>
                <w:szCs w:val="20"/>
              </w:rPr>
            </w:pPr>
            <m:oMathPara>
              <m:oMath>
                <m:sSub>
                  <m:sSubPr>
                    <m:ctrlPr>
                      <w:rPr>
                        <w:rFonts w:ascii="Cambria Math" w:hAnsi="Cambria Math"/>
                        <w:i/>
                        <w:sz w:val="20"/>
                        <w:szCs w:val="20"/>
                      </w:rPr>
                    </m:ctrlPr>
                  </m:sSubPr>
                  <m:e>
                    <m:r>
                      <w:rPr>
                        <w:rFonts w:ascii="Cambria Math" w:hAnsi="Cambria Math"/>
                        <w:sz w:val="20"/>
                        <w:szCs w:val="20"/>
                      </w:rPr>
                      <m:t>η</m:t>
                    </m:r>
                  </m:e>
                  <m:sub>
                    <m:r>
                      <w:rPr>
                        <w:rFonts w:ascii="Cambria Math" w:hAnsi="Cambria Math"/>
                        <w:sz w:val="20"/>
                        <w:szCs w:val="20"/>
                      </w:rPr>
                      <m:t>o</m:t>
                    </m:r>
                  </m:sub>
                </m:sSub>
                <m:r>
                  <w:rPr>
                    <w:rFonts w:ascii="Cambria Math" w:hAnsi="Cambria Math"/>
                    <w:sz w:val="20"/>
                    <w:szCs w:val="20"/>
                  </w:rPr>
                  <m:t>=</m:t>
                </m:r>
                <m:f>
                  <m:fPr>
                    <m:ctrlPr>
                      <w:rPr>
                        <w:rFonts w:ascii="Cambria Math" w:hAnsi="Cambria Math"/>
                        <w:i/>
                        <w:sz w:val="20"/>
                        <w:szCs w:val="20"/>
                      </w:rPr>
                    </m:ctrlPr>
                  </m:fPr>
                  <m:num>
                    <m:nary>
                      <m:naryPr>
                        <m:chr m:val="∑"/>
                        <m:limLoc m:val="subSup"/>
                        <m:supHide m:val="1"/>
                        <m:ctrlPr>
                          <w:rPr>
                            <w:rFonts w:ascii="Cambria Math" w:hAnsi="Cambria Math"/>
                            <w:i/>
                            <w:sz w:val="20"/>
                            <w:szCs w:val="20"/>
                          </w:rPr>
                        </m:ctrlPr>
                      </m:naryPr>
                      <m:sub>
                        <m:r>
                          <w:rPr>
                            <w:rFonts w:ascii="Cambria Math" w:hAnsi="Cambria Math"/>
                            <w:sz w:val="20"/>
                            <w:szCs w:val="20"/>
                          </w:rPr>
                          <m:t>λ</m:t>
                        </m:r>
                      </m:sub>
                      <m:sup/>
                      <m:e>
                        <m:nary>
                          <m:naryPr>
                            <m:chr m:val="∑"/>
                            <m:limLoc m:val="subSup"/>
                            <m:supHide m:val="1"/>
                            <m:ctrlPr>
                              <w:rPr>
                                <w:rFonts w:ascii="Cambria Math" w:hAnsi="Cambria Math"/>
                                <w:i/>
                                <w:sz w:val="20"/>
                                <w:szCs w:val="20"/>
                              </w:rPr>
                            </m:ctrlPr>
                          </m:naryPr>
                          <m:sub>
                            <m:r>
                              <w:rPr>
                                <w:rFonts w:ascii="Cambria Math" w:hAnsi="Cambria Math"/>
                                <w:sz w:val="20"/>
                                <w:szCs w:val="20"/>
                              </w:rPr>
                              <m:t>j</m:t>
                            </m:r>
                          </m:sub>
                          <m:sup/>
                          <m:e>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ray, λ</m:t>
                                </m:r>
                              </m:sub>
                            </m:sSub>
                            <m:r>
                              <w:rPr>
                                <w:rFonts w:ascii="Cambria Math" w:hAnsi="Cambria Math"/>
                                <w:sz w:val="20"/>
                                <w:szCs w:val="20"/>
                              </w:rPr>
                              <m:t>∙</m:t>
                            </m:r>
                            <m:sSub>
                              <m:sSubPr>
                                <m:ctrlPr>
                                  <w:rPr>
                                    <w:rFonts w:ascii="Cambria Math" w:hAnsi="Cambria Math"/>
                                    <w:i/>
                                    <w:sz w:val="20"/>
                                    <w:szCs w:val="20"/>
                                  </w:rPr>
                                </m:ctrlPr>
                              </m:sSubPr>
                              <m:e>
                                <m:r>
                                  <w:rPr>
                                    <w:rFonts w:ascii="Cambria Math" w:hAnsi="Cambria Math"/>
                                    <w:sz w:val="20"/>
                                    <w:szCs w:val="20"/>
                                  </w:rPr>
                                  <m:t>E</m:t>
                                </m:r>
                              </m:e>
                              <m:sub>
                                <m:r>
                                  <w:rPr>
                                    <w:rFonts w:ascii="Cambria Math" w:hAnsi="Cambria Math"/>
                                    <w:sz w:val="20"/>
                                    <w:szCs w:val="20"/>
                                  </w:rPr>
                                  <m:t>OTSun,j</m:t>
                                </m:r>
                              </m:sub>
                            </m:sSub>
                          </m:e>
                        </m:nary>
                      </m:e>
                    </m:nary>
                  </m:num>
                  <m:den>
                    <m:r>
                      <w:rPr>
                        <w:rFonts w:ascii="Cambria Math" w:hAnsi="Cambria Math"/>
                        <w:sz w:val="20"/>
                        <w:szCs w:val="20"/>
                      </w:rPr>
                      <m:t>DNI∙</m:t>
                    </m:r>
                    <m:sSub>
                      <m:sSubPr>
                        <m:ctrlPr>
                          <w:rPr>
                            <w:rFonts w:ascii="Cambria Math" w:hAnsi="Cambria Math"/>
                            <w:i/>
                            <w:sz w:val="20"/>
                            <w:szCs w:val="20"/>
                          </w:rPr>
                        </m:ctrlPr>
                      </m:sSubPr>
                      <m:e>
                        <m:r>
                          <w:rPr>
                            <w:rFonts w:ascii="Cambria Math" w:hAnsi="Cambria Math"/>
                            <w:sz w:val="20"/>
                            <w:szCs w:val="20"/>
                          </w:rPr>
                          <m:t>A</m:t>
                        </m:r>
                      </m:e>
                      <m:sub>
                        <m:r>
                          <w:rPr>
                            <w:rFonts w:ascii="Cambria Math" w:hAnsi="Cambria Math"/>
                            <w:sz w:val="20"/>
                            <w:szCs w:val="20"/>
                          </w:rPr>
                          <m:t>so</m:t>
                        </m:r>
                      </m:sub>
                    </m:sSub>
                  </m:den>
                </m:f>
              </m:oMath>
            </m:oMathPara>
          </w:p>
        </w:tc>
        <w:tc>
          <w:tcPr>
            <w:tcW w:w="847" w:type="dxa"/>
          </w:tcPr>
          <w:p w14:paraId="62920008" w14:textId="10204C07" w:rsidR="005F5A2D" w:rsidRDefault="005F5A2D" w:rsidP="000E6DB4">
            <w:pPr>
              <w:spacing w:before="120" w:after="160" w:line="259" w:lineRule="auto"/>
              <w:jc w:val="right"/>
              <w:rPr>
                <w:sz w:val="20"/>
                <w:szCs w:val="20"/>
              </w:rPr>
            </w:pPr>
            <w:r>
              <w:rPr>
                <w:sz w:val="20"/>
                <w:szCs w:val="20"/>
              </w:rPr>
              <w:t>(eq. 6)</w:t>
            </w:r>
          </w:p>
        </w:tc>
      </w:tr>
    </w:tbl>
    <w:p w14:paraId="5004ADA1" w14:textId="7E264A76" w:rsidR="003C3A24" w:rsidRPr="009F3902" w:rsidRDefault="003C3A24" w:rsidP="003C3A24">
      <w:pPr>
        <w:pStyle w:val="SWCHeading11"/>
        <w:rPr>
          <w:lang w:val="en-US"/>
        </w:rPr>
      </w:pPr>
      <w:r>
        <w:rPr>
          <w:lang w:val="en-US"/>
        </w:rPr>
        <w:t>3</w:t>
      </w:r>
      <w:r w:rsidRPr="009F3902">
        <w:rPr>
          <w:lang w:val="en-US"/>
        </w:rPr>
        <w:t>.</w:t>
      </w:r>
      <w:r>
        <w:rPr>
          <w:lang w:val="en-US"/>
        </w:rPr>
        <w:t>2</w:t>
      </w:r>
      <w:r w:rsidRPr="009F3902">
        <w:rPr>
          <w:lang w:val="en-US"/>
        </w:rPr>
        <w:t xml:space="preserve">. </w:t>
      </w:r>
      <w:r w:rsidR="00C97ED1" w:rsidRPr="00C97ED1">
        <w:rPr>
          <w:lang w:val="en-US"/>
        </w:rPr>
        <w:t>MCRT-ODO Workflow</w:t>
      </w:r>
    </w:p>
    <w:p w14:paraId="681E358C" w14:textId="10432112" w:rsidR="00E10DB7" w:rsidRDefault="00C558A4" w:rsidP="00870FF0">
      <w:pPr>
        <w:spacing w:after="160" w:line="259" w:lineRule="auto"/>
        <w:jc w:val="both"/>
        <w:rPr>
          <w:sz w:val="20"/>
          <w:szCs w:val="20"/>
        </w:rPr>
      </w:pPr>
      <w:r w:rsidRPr="00C558A4">
        <w:rPr>
          <w:sz w:val="20"/>
          <w:szCs w:val="20"/>
        </w:rPr>
        <w:t xml:space="preserve">The optical design space defined by </w:t>
      </w:r>
      <w:r w:rsidR="0086378E" w:rsidRPr="000E7A80">
        <w:rPr>
          <w:i/>
          <w:iCs/>
          <w:sz w:val="20"/>
          <w:szCs w:val="20"/>
        </w:rPr>
        <w:t>H</w:t>
      </w:r>
      <w:r w:rsidR="0086378E" w:rsidRPr="000E7A80">
        <w:rPr>
          <w:i/>
          <w:iCs/>
          <w:sz w:val="20"/>
          <w:szCs w:val="20"/>
          <w:vertAlign w:val="subscript"/>
        </w:rPr>
        <w:t>R</w:t>
      </w:r>
      <w:r w:rsidRPr="00C558A4">
        <w:rPr>
          <w:sz w:val="20"/>
          <w:szCs w:val="20"/>
        </w:rPr>
        <w:t xml:space="preserve"> and </w:t>
      </w:r>
      <w:r w:rsidR="001E256D" w:rsidRPr="001E256D">
        <w:rPr>
          <w:i/>
          <w:iCs/>
          <w:sz w:val="20"/>
          <w:szCs w:val="20"/>
        </w:rPr>
        <w:t>dx</w:t>
      </w:r>
      <w:r w:rsidRPr="00C558A4">
        <w:rPr>
          <w:sz w:val="20"/>
          <w:szCs w:val="20"/>
        </w:rPr>
        <w:t xml:space="preserve"> is explored using a two-stage Monte Carlo ray-tracing–based optical design optimization (MCRT-ODO) procedure, illustrated schematically in </w:t>
      </w:r>
      <w:r w:rsidR="0002134D">
        <w:rPr>
          <w:sz w:val="20"/>
          <w:szCs w:val="20"/>
        </w:rPr>
        <w:t xml:space="preserve">Fig. </w:t>
      </w:r>
      <w:r w:rsidR="00872C62">
        <w:rPr>
          <w:sz w:val="20"/>
          <w:szCs w:val="20"/>
        </w:rPr>
        <w:t>2</w:t>
      </w:r>
      <w:r w:rsidRPr="00B73F37">
        <w:rPr>
          <w:sz w:val="20"/>
          <w:szCs w:val="20"/>
        </w:rPr>
        <w:t>.</w:t>
      </w:r>
      <w:r w:rsidRPr="00C558A4">
        <w:rPr>
          <w:sz w:val="20"/>
          <w:szCs w:val="20"/>
        </w:rPr>
        <w:t xml:space="preserve"> Stage 1 uses OTSunApp's Total analysis module to compute the aperture-integrated optical efficiency, </w:t>
      </w:r>
      <w:r w:rsidRPr="007F26F0">
        <w:rPr>
          <w:i/>
          <w:iCs/>
          <w:sz w:val="20"/>
          <w:szCs w:val="20"/>
        </w:rPr>
        <w:t>η₀</w:t>
      </w:r>
      <w:r w:rsidRPr="00C558A4">
        <w:rPr>
          <w:sz w:val="20"/>
          <w:szCs w:val="20"/>
        </w:rPr>
        <w:t xml:space="preserve"> (eq. 6), for every candidate geometry across the full incidence-angle range. Stage 2 uses the Spectral analysis module to resolve the full circumferential flux distribution on the receiver, </w:t>
      </w:r>
      <w:r w:rsidR="003B104B">
        <w:rPr>
          <w:sz w:val="20"/>
          <w:szCs w:val="20"/>
        </w:rPr>
        <w:t xml:space="preserve">which is substantially more computationally </w:t>
      </w:r>
      <w:r w:rsidR="00430062">
        <w:rPr>
          <w:sz w:val="20"/>
          <w:szCs w:val="20"/>
        </w:rPr>
        <w:t>challenging</w:t>
      </w:r>
      <w:r w:rsidR="003B104B">
        <w:rPr>
          <w:sz w:val="20"/>
          <w:szCs w:val="20"/>
        </w:rPr>
        <w:t xml:space="preserve"> </w:t>
      </w:r>
      <w:r w:rsidRPr="00C558A4">
        <w:rPr>
          <w:sz w:val="20"/>
          <w:szCs w:val="20"/>
        </w:rPr>
        <w:t xml:space="preserve">per case than Stage 1. Running Stage 2 across the entire parameter space would be computationally </w:t>
      </w:r>
      <w:r w:rsidR="00A147CC" w:rsidRPr="00C558A4">
        <w:rPr>
          <w:sz w:val="20"/>
          <w:szCs w:val="20"/>
        </w:rPr>
        <w:t>excessive</w:t>
      </w:r>
      <w:r w:rsidRPr="00C558A4">
        <w:rPr>
          <w:sz w:val="20"/>
          <w:szCs w:val="20"/>
        </w:rPr>
        <w:t>, so Stage 1 is used first to identify, at each incidence angle, the geometries whose efficiency falls within 5% of that angle's peak value. Only this qualifying subset proceeds to Stage 2.</w:t>
      </w:r>
    </w:p>
    <w:p w14:paraId="16157C16" w14:textId="1D41E8E8" w:rsidR="009C2FB7" w:rsidRPr="009C2FB7" w:rsidRDefault="009C2FB7" w:rsidP="009C2FB7">
      <w:pPr>
        <w:spacing w:after="160" w:line="259" w:lineRule="auto"/>
        <w:jc w:val="both"/>
        <w:rPr>
          <w:sz w:val="20"/>
          <w:szCs w:val="20"/>
          <w:lang w:val="en-IN"/>
        </w:rPr>
      </w:pPr>
      <w:r w:rsidRPr="009C2FB7">
        <w:rPr>
          <w:noProof/>
          <w:sz w:val="20"/>
          <w:szCs w:val="20"/>
          <w:lang w:val="en-IN"/>
        </w:rPr>
        <w:drawing>
          <wp:inline distT="0" distB="0" distL="0" distR="0" wp14:anchorId="50638C98" wp14:editId="5BBA8309">
            <wp:extent cx="5761990" cy="1870075"/>
            <wp:effectExtent l="0" t="0" r="0" b="0"/>
            <wp:docPr id="1052212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1990" cy="1870075"/>
                    </a:xfrm>
                    <a:prstGeom prst="rect">
                      <a:avLst/>
                    </a:prstGeom>
                    <a:noFill/>
                    <a:ln>
                      <a:noFill/>
                    </a:ln>
                  </pic:spPr>
                </pic:pic>
              </a:graphicData>
            </a:graphic>
          </wp:inline>
        </w:drawing>
      </w:r>
    </w:p>
    <w:p w14:paraId="7BC95623" w14:textId="7BD3F10E" w:rsidR="001A264F" w:rsidRDefault="0002134D" w:rsidP="001A264F">
      <w:pPr>
        <w:pStyle w:val="SWCTableFigureCaption"/>
        <w:rPr>
          <w:i/>
          <w:iCs/>
          <w:vertAlign w:val="subscript"/>
        </w:rPr>
      </w:pPr>
      <w:r>
        <w:t xml:space="preserve">Fig. </w:t>
      </w:r>
      <w:r w:rsidR="00872C62">
        <w:t>2</w:t>
      </w:r>
      <w:r w:rsidR="001A264F" w:rsidRPr="009F3902">
        <w:t xml:space="preserve">: </w:t>
      </w:r>
      <w:r w:rsidR="00FC29AE">
        <w:t>W</w:t>
      </w:r>
      <w:r w:rsidR="00EE048F">
        <w:t xml:space="preserve">orkflow of </w:t>
      </w:r>
      <w:r w:rsidR="00FC29AE">
        <w:t xml:space="preserve">the </w:t>
      </w:r>
      <w:r w:rsidR="004E7083">
        <w:t xml:space="preserve">two-stage MCRT-ODO </w:t>
      </w:r>
      <w:r w:rsidR="00FC29AE">
        <w:t xml:space="preserve">adopted in </w:t>
      </w:r>
      <w:r w:rsidR="00EE048F">
        <w:t>the study</w:t>
      </w:r>
    </w:p>
    <w:p w14:paraId="30140CB0" w14:textId="65AC06AF" w:rsidR="002E6B88" w:rsidRDefault="002E6B88" w:rsidP="00870FF0">
      <w:pPr>
        <w:spacing w:after="160" w:line="259" w:lineRule="auto"/>
        <w:jc w:val="both"/>
        <w:rPr>
          <w:sz w:val="20"/>
          <w:szCs w:val="20"/>
        </w:rPr>
      </w:pPr>
      <w:r w:rsidRPr="002E6B88">
        <w:rPr>
          <w:sz w:val="20"/>
          <w:szCs w:val="20"/>
        </w:rPr>
        <w:t xml:space="preserve">This staged filter is </w:t>
      </w:r>
      <w:r w:rsidR="00416F4C">
        <w:rPr>
          <w:sz w:val="20"/>
          <w:szCs w:val="20"/>
        </w:rPr>
        <w:t>important</w:t>
      </w:r>
      <w:r w:rsidRPr="002E6B88">
        <w:rPr>
          <w:sz w:val="20"/>
          <w:szCs w:val="20"/>
        </w:rPr>
        <w:t xml:space="preserve"> </w:t>
      </w:r>
      <w:r w:rsidR="00785952">
        <w:rPr>
          <w:sz w:val="20"/>
          <w:szCs w:val="20"/>
        </w:rPr>
        <w:t xml:space="preserve">for making the joint reliability analysis meaningful rather than merely </w:t>
      </w:r>
      <w:r w:rsidRPr="002E6B88">
        <w:rPr>
          <w:sz w:val="20"/>
          <w:szCs w:val="20"/>
        </w:rPr>
        <w:t xml:space="preserve">affordable. Restricting Stage 2 to efficiency-competitive candidates ensures that the uniformity and peak-flux comparisons in Section 4 are made among geometries a plant would </w:t>
      </w:r>
      <w:r w:rsidR="003B104B" w:rsidRPr="002E6B88">
        <w:rPr>
          <w:sz w:val="20"/>
          <w:szCs w:val="20"/>
        </w:rPr>
        <w:t>consider</w:t>
      </w:r>
      <w:r w:rsidRPr="002E6B88">
        <w:rPr>
          <w:sz w:val="20"/>
          <w:szCs w:val="20"/>
        </w:rPr>
        <w:t xml:space="preserve"> adopting, rather than against efficiency-poor cases that would be rejected on efficiency grounds regardless of their flux quality. The 5% qualification threshold is applied independently at each incidence angle, so a geometry can qualify at one angle without qualifying at another, which is itself part of what the angle-dependent results in Section 4.1 capture. Stage 2 results are reported at a normal-incidence angle and a representative off-tracking angle, since evaluating flux quality only under idealized, error-free tracking would not reveal whether a candidate's uniformity benefit survives the tracking conditions a field </w:t>
      </w:r>
      <w:r w:rsidR="003B104B" w:rsidRPr="002E6B88">
        <w:rPr>
          <w:sz w:val="20"/>
          <w:szCs w:val="20"/>
        </w:rPr>
        <w:t>operates</w:t>
      </w:r>
      <w:r w:rsidRPr="002E6B88">
        <w:rPr>
          <w:sz w:val="20"/>
          <w:szCs w:val="20"/>
        </w:rPr>
        <w:t xml:space="preserve"> under.</w:t>
      </w:r>
    </w:p>
    <w:p w14:paraId="4EB9AF1A" w14:textId="63BACFCC" w:rsidR="00087A76" w:rsidRDefault="00087A76" w:rsidP="00870FF0">
      <w:pPr>
        <w:spacing w:after="160" w:line="259" w:lineRule="auto"/>
        <w:jc w:val="both"/>
        <w:rPr>
          <w:sz w:val="20"/>
          <w:szCs w:val="20"/>
        </w:rPr>
      </w:pPr>
      <w:r w:rsidRPr="00087A76">
        <w:rPr>
          <w:sz w:val="20"/>
          <w:szCs w:val="20"/>
        </w:rPr>
        <w:t>Flux-quality metrics are computed from the Stage-2 circumferential LCR(</w:t>
      </w:r>
      <w:r w:rsidRPr="007F26F0">
        <w:rPr>
          <w:i/>
          <w:iCs/>
          <w:sz w:val="20"/>
          <w:szCs w:val="20"/>
        </w:rPr>
        <w:t>φ</w:t>
      </w:r>
      <w:r w:rsidRPr="00087A76">
        <w:rPr>
          <w:sz w:val="20"/>
          <w:szCs w:val="20"/>
        </w:rPr>
        <w:t>) profile for each qualifying case.</w:t>
      </w:r>
      <w:r w:rsidR="005F53FF">
        <w:rPr>
          <w:sz w:val="20"/>
          <w:szCs w:val="20"/>
        </w:rPr>
        <w:t xml:space="preserve"> </w:t>
      </w:r>
      <w:r w:rsidR="005F53FF" w:rsidRPr="00082809">
        <w:rPr>
          <w:sz w:val="20"/>
          <w:szCs w:val="20"/>
          <w:lang w:val="en-IN"/>
        </w:rPr>
        <w:t xml:space="preserve">The coefficient of variation is </w:t>
      </w:r>
      <w:r w:rsidR="0055049C">
        <w:rPr>
          <w:sz w:val="20"/>
          <w:szCs w:val="20"/>
          <w:lang w:val="en-IN"/>
        </w:rPr>
        <w:t xml:space="preserve">defined with </w:t>
      </w:r>
      <w:r w:rsidR="001E5475">
        <w:rPr>
          <w:sz w:val="20"/>
          <w:szCs w:val="20"/>
          <w:lang w:val="en-IN"/>
        </w:rPr>
        <w:t xml:space="preserve">the </w:t>
      </w:r>
      <w:r w:rsidR="0055049C">
        <w:rPr>
          <w:sz w:val="20"/>
          <w:szCs w:val="20"/>
          <w:lang w:val="en-IN"/>
        </w:rPr>
        <w:t>me</w:t>
      </w:r>
      <w:r w:rsidRPr="00087A76">
        <w:rPr>
          <w:sz w:val="20"/>
          <w:szCs w:val="20"/>
        </w:rPr>
        <w:t xml:space="preserve">an and standard deviation of LCR </w:t>
      </w:r>
      <w:r w:rsidR="0055049C">
        <w:rPr>
          <w:sz w:val="20"/>
          <w:szCs w:val="20"/>
        </w:rPr>
        <w:t>values</w:t>
      </w:r>
      <w:r w:rsidR="00C75B68">
        <w:rPr>
          <w:sz w:val="20"/>
          <w:szCs w:val="20"/>
        </w:rPr>
        <w:t>, given by</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7"/>
      </w:tblGrid>
      <w:tr w:rsidR="00C75B68" w14:paraId="70201AB8" w14:textId="77777777" w:rsidTr="008E3536">
        <w:tc>
          <w:tcPr>
            <w:tcW w:w="8217" w:type="dxa"/>
          </w:tcPr>
          <w:p w14:paraId="4AF581EA" w14:textId="619E761A" w:rsidR="00C75B68" w:rsidRDefault="002166A3" w:rsidP="004D51B0">
            <w:pPr>
              <w:spacing w:line="259" w:lineRule="auto"/>
              <w:jc w:val="both"/>
              <w:rPr>
                <w:sz w:val="20"/>
                <w:szCs w:val="20"/>
              </w:rPr>
            </w:pPr>
            <m:oMathPara>
              <m:oMath>
                <m:r>
                  <w:rPr>
                    <w:rFonts w:ascii="Cambria Math" w:hAnsi="Cambria Math"/>
                    <w:sz w:val="20"/>
                    <w:szCs w:val="20"/>
                  </w:rPr>
                  <m:t>CV=</m:t>
                </m:r>
                <m:f>
                  <m:fPr>
                    <m:ctrlPr>
                      <w:rPr>
                        <w:rFonts w:ascii="Cambria Math" w:hAnsi="Cambria Math"/>
                        <w:i/>
                        <w:sz w:val="20"/>
                        <w:szCs w:val="20"/>
                      </w:rPr>
                    </m:ctrlPr>
                  </m:fPr>
                  <m:num>
                    <m:sSub>
                      <m:sSubPr>
                        <m:ctrlPr>
                          <w:rPr>
                            <w:rFonts w:ascii="Cambria Math" w:hAnsi="Cambria Math"/>
                            <w:i/>
                            <w:sz w:val="20"/>
                            <w:szCs w:val="20"/>
                          </w:rPr>
                        </m:ctrlPr>
                      </m:sSubPr>
                      <m:e>
                        <m:r>
                          <w:rPr>
                            <w:rFonts w:ascii="Cambria Math" w:hAnsi="Cambria Math"/>
                            <w:sz w:val="20"/>
                            <w:szCs w:val="20"/>
                          </w:rPr>
                          <m:t>σ</m:t>
                        </m:r>
                      </m:e>
                      <m:sub>
                        <m:r>
                          <w:rPr>
                            <w:rFonts w:ascii="Cambria Math" w:hAnsi="Cambria Math"/>
                            <w:sz w:val="20"/>
                            <w:szCs w:val="20"/>
                          </w:rPr>
                          <m:t>LCR</m:t>
                        </m:r>
                      </m:sub>
                    </m:sSub>
                  </m:num>
                  <m:den>
                    <m:sSub>
                      <m:sSubPr>
                        <m:ctrlPr>
                          <w:rPr>
                            <w:rFonts w:ascii="Cambria Math" w:hAnsi="Cambria Math"/>
                            <w:i/>
                            <w:sz w:val="20"/>
                            <w:szCs w:val="20"/>
                          </w:rPr>
                        </m:ctrlPr>
                      </m:sSubPr>
                      <m:e>
                        <m:r>
                          <w:rPr>
                            <w:rFonts w:ascii="Cambria Math" w:hAnsi="Cambria Math"/>
                            <w:sz w:val="20"/>
                            <w:szCs w:val="20"/>
                          </w:rPr>
                          <m:t>μ</m:t>
                        </m:r>
                      </m:e>
                      <m:sub>
                        <m:r>
                          <w:rPr>
                            <w:rFonts w:ascii="Cambria Math" w:hAnsi="Cambria Math"/>
                            <w:sz w:val="20"/>
                            <w:szCs w:val="20"/>
                          </w:rPr>
                          <m:t>LCR</m:t>
                        </m:r>
                      </m:sub>
                    </m:sSub>
                  </m:den>
                </m:f>
              </m:oMath>
            </m:oMathPara>
          </w:p>
        </w:tc>
        <w:tc>
          <w:tcPr>
            <w:tcW w:w="847" w:type="dxa"/>
          </w:tcPr>
          <w:p w14:paraId="4785B93C" w14:textId="19397948" w:rsidR="00C75B68" w:rsidRDefault="00C75B68" w:rsidP="004D51B0">
            <w:pPr>
              <w:spacing w:before="120" w:after="160" w:line="259" w:lineRule="auto"/>
              <w:jc w:val="right"/>
              <w:rPr>
                <w:sz w:val="20"/>
                <w:szCs w:val="20"/>
              </w:rPr>
            </w:pPr>
            <w:r>
              <w:rPr>
                <w:sz w:val="20"/>
                <w:szCs w:val="20"/>
              </w:rPr>
              <w:t xml:space="preserve">(eq. </w:t>
            </w:r>
            <w:r w:rsidR="002166A3">
              <w:rPr>
                <w:sz w:val="20"/>
                <w:szCs w:val="20"/>
              </w:rPr>
              <w:t>7</w:t>
            </w:r>
            <w:r>
              <w:rPr>
                <w:sz w:val="20"/>
                <w:szCs w:val="20"/>
              </w:rPr>
              <w:t>)</w:t>
            </w:r>
          </w:p>
        </w:tc>
      </w:tr>
    </w:tbl>
    <w:p w14:paraId="5CEE30F1" w14:textId="47C00C28" w:rsidR="005F3C42" w:rsidRDefault="0058468B" w:rsidP="00ED0617">
      <w:pPr>
        <w:spacing w:line="259" w:lineRule="auto"/>
        <w:rPr>
          <w:sz w:val="20"/>
          <w:szCs w:val="20"/>
        </w:rPr>
      </w:pPr>
      <w:r>
        <w:rPr>
          <w:sz w:val="20"/>
          <w:szCs w:val="20"/>
        </w:rPr>
        <w:t>T</w:t>
      </w:r>
      <w:r w:rsidR="004B68B8" w:rsidRPr="004B68B8">
        <w:rPr>
          <w:sz w:val="20"/>
          <w:szCs w:val="20"/>
        </w:rPr>
        <w:t xml:space="preserve">he uniformity index, </w:t>
      </w:r>
      <w:r w:rsidR="004B68B8" w:rsidRPr="001E5475">
        <w:rPr>
          <w:i/>
          <w:iCs/>
          <w:sz w:val="20"/>
          <w:szCs w:val="20"/>
        </w:rPr>
        <w:t>U</w:t>
      </w:r>
      <w:r w:rsidR="004B68B8" w:rsidRPr="001E5475">
        <w:rPr>
          <w:i/>
          <w:iCs/>
          <w:sz w:val="20"/>
          <w:szCs w:val="20"/>
          <w:vertAlign w:val="subscript"/>
        </w:rPr>
        <w:t>LCR</w:t>
      </w:r>
      <w:r w:rsidR="004B68B8" w:rsidRPr="004B68B8">
        <w:rPr>
          <w:sz w:val="20"/>
          <w:szCs w:val="20"/>
        </w:rPr>
        <w:t>, is defined as</w:t>
      </w:r>
      <w:r w:rsidR="007D6958">
        <w:rPr>
          <w:sz w:val="20"/>
          <w:szCs w:val="20"/>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7"/>
      </w:tblGrid>
      <w:tr w:rsidR="007D6958" w:rsidRPr="007D6958" w14:paraId="05F0E3E9" w14:textId="77777777" w:rsidTr="008E3536">
        <w:tc>
          <w:tcPr>
            <w:tcW w:w="8217" w:type="dxa"/>
          </w:tcPr>
          <w:p w14:paraId="538D2538" w14:textId="76862F0C" w:rsidR="007D6958" w:rsidRPr="00ED0617" w:rsidRDefault="00A547A3" w:rsidP="004D51B0">
            <w:pPr>
              <w:spacing w:line="259" w:lineRule="auto"/>
              <w:jc w:val="both"/>
              <w:rPr>
                <w:sz w:val="20"/>
                <w:szCs w:val="20"/>
              </w:rPr>
            </w:pPr>
            <m:oMathPara>
              <m:oMath>
                <m:sSub>
                  <m:sSubPr>
                    <m:ctrlPr>
                      <w:rPr>
                        <w:rFonts w:ascii="Cambria Math" w:hAnsi="Cambria Math"/>
                        <w:i/>
                        <w:sz w:val="20"/>
                        <w:szCs w:val="20"/>
                      </w:rPr>
                    </m:ctrlPr>
                  </m:sSubPr>
                  <m:e>
                    <m:r>
                      <w:rPr>
                        <w:rFonts w:ascii="Cambria Math" w:hAnsi="Cambria Math"/>
                        <w:sz w:val="20"/>
                        <w:szCs w:val="20"/>
                      </w:rPr>
                      <m:t>U</m:t>
                    </m:r>
                  </m:e>
                  <m:sub>
                    <m:r>
                      <w:rPr>
                        <w:rFonts w:ascii="Cambria Math" w:hAnsi="Cambria Math"/>
                        <w:sz w:val="20"/>
                        <w:szCs w:val="20"/>
                      </w:rPr>
                      <m:t>LCR</m:t>
                    </m:r>
                  </m:sub>
                </m:sSub>
                <m:r>
                  <w:rPr>
                    <w:rFonts w:ascii="Cambria Math" w:hAnsi="Cambria Math"/>
                    <w:sz w:val="20"/>
                    <w:szCs w:val="20"/>
                  </w:rPr>
                  <m:t>=</m:t>
                </m:r>
                <m:f>
                  <m:fPr>
                    <m:ctrlPr>
                      <w:rPr>
                        <w:rFonts w:ascii="Cambria Math" w:hAnsi="Cambria Math"/>
                        <w:i/>
                        <w:sz w:val="20"/>
                        <w:szCs w:val="20"/>
                      </w:rPr>
                    </m:ctrlPr>
                  </m:fPr>
                  <m:num>
                    <m:r>
                      <w:rPr>
                        <w:rFonts w:ascii="Cambria Math" w:hAnsi="Cambria Math"/>
                        <w:sz w:val="20"/>
                        <w:szCs w:val="20"/>
                      </w:rPr>
                      <m:t>1</m:t>
                    </m:r>
                  </m:num>
                  <m:den>
                    <m:r>
                      <w:rPr>
                        <w:rFonts w:ascii="Cambria Math" w:hAnsi="Cambria Math"/>
                        <w:sz w:val="20"/>
                        <w:szCs w:val="20"/>
                      </w:rPr>
                      <m:t>1+CV</m:t>
                    </m:r>
                  </m:den>
                </m:f>
              </m:oMath>
            </m:oMathPara>
          </w:p>
        </w:tc>
        <w:tc>
          <w:tcPr>
            <w:tcW w:w="847" w:type="dxa"/>
          </w:tcPr>
          <w:p w14:paraId="68D9C895" w14:textId="5F82127A" w:rsidR="007D6958" w:rsidRPr="007D6958" w:rsidRDefault="007D6958" w:rsidP="004D51B0">
            <w:pPr>
              <w:spacing w:before="120" w:after="160" w:line="259" w:lineRule="auto"/>
              <w:jc w:val="right"/>
              <w:rPr>
                <w:sz w:val="20"/>
                <w:szCs w:val="20"/>
              </w:rPr>
            </w:pPr>
            <w:r w:rsidRPr="007D6958">
              <w:rPr>
                <w:sz w:val="20"/>
                <w:szCs w:val="20"/>
              </w:rPr>
              <w:t xml:space="preserve">(eq. </w:t>
            </w:r>
            <w:r w:rsidR="00ED0617">
              <w:rPr>
                <w:sz w:val="20"/>
                <w:szCs w:val="20"/>
              </w:rPr>
              <w:t>8</w:t>
            </w:r>
            <w:r w:rsidRPr="007D6958">
              <w:rPr>
                <w:sz w:val="20"/>
                <w:szCs w:val="20"/>
              </w:rPr>
              <w:t>)</w:t>
            </w:r>
          </w:p>
        </w:tc>
      </w:tr>
    </w:tbl>
    <w:p w14:paraId="58A874BC" w14:textId="3E478C06" w:rsidR="002A3BDF" w:rsidRDefault="002A3BDF" w:rsidP="004C3143">
      <w:pPr>
        <w:spacing w:before="120" w:line="259" w:lineRule="auto"/>
        <w:rPr>
          <w:sz w:val="20"/>
          <w:szCs w:val="20"/>
        </w:rPr>
      </w:pPr>
      <w:r w:rsidRPr="00EA1AAA">
        <w:rPr>
          <w:sz w:val="20"/>
          <w:szCs w:val="20"/>
        </w:rPr>
        <w:t xml:space="preserve">so that </w:t>
      </w:r>
      <w:r w:rsidRPr="001E5475">
        <w:rPr>
          <w:i/>
          <w:iCs/>
          <w:sz w:val="20"/>
          <w:szCs w:val="20"/>
        </w:rPr>
        <w:t>U</w:t>
      </w:r>
      <w:r w:rsidRPr="001E5475">
        <w:rPr>
          <w:i/>
          <w:iCs/>
          <w:sz w:val="20"/>
          <w:szCs w:val="20"/>
          <w:vertAlign w:val="subscript"/>
        </w:rPr>
        <w:t>LCR</w:t>
      </w:r>
      <w:r w:rsidRPr="00EA1AAA">
        <w:rPr>
          <w:sz w:val="20"/>
          <w:szCs w:val="20"/>
        </w:rPr>
        <w:t xml:space="preserve"> increases monotonically as the flux distribution becomes more uniform (CV → 0 gives </w:t>
      </w:r>
      <w:r w:rsidR="001E5475" w:rsidRPr="001E5475">
        <w:rPr>
          <w:i/>
          <w:iCs/>
          <w:sz w:val="20"/>
          <w:szCs w:val="20"/>
        </w:rPr>
        <w:t>U</w:t>
      </w:r>
      <w:r w:rsidR="001E5475" w:rsidRPr="001E5475">
        <w:rPr>
          <w:i/>
          <w:iCs/>
          <w:sz w:val="20"/>
          <w:szCs w:val="20"/>
          <w:vertAlign w:val="subscript"/>
        </w:rPr>
        <w:t>LCR</w:t>
      </w:r>
      <w:r w:rsidR="001E5475">
        <w:rPr>
          <w:i/>
          <w:iCs/>
          <w:sz w:val="20"/>
          <w:szCs w:val="20"/>
          <w:vertAlign w:val="subscript"/>
        </w:rPr>
        <w:t xml:space="preserve"> </w:t>
      </w:r>
      <w:r w:rsidRPr="00EA1AAA">
        <w:rPr>
          <w:sz w:val="20"/>
          <w:szCs w:val="20"/>
        </w:rPr>
        <w:t>→ 1). The flux uniformity increase, Δ</w:t>
      </w:r>
      <w:r w:rsidR="001E5475" w:rsidRPr="001E5475">
        <w:rPr>
          <w:i/>
          <w:iCs/>
          <w:sz w:val="20"/>
          <w:szCs w:val="20"/>
        </w:rPr>
        <w:t>U</w:t>
      </w:r>
      <w:r w:rsidR="001E5475" w:rsidRPr="001E5475">
        <w:rPr>
          <w:i/>
          <w:iCs/>
          <w:sz w:val="20"/>
          <w:szCs w:val="20"/>
          <w:vertAlign w:val="subscript"/>
        </w:rPr>
        <w:t>LCR</w:t>
      </w:r>
      <w:r w:rsidRPr="00EA1AAA">
        <w:rPr>
          <w:sz w:val="20"/>
          <w:szCs w:val="20"/>
        </w:rPr>
        <w:t xml:space="preserve">, expresses the percentage change in </w:t>
      </w:r>
      <w:r w:rsidR="004A1EED" w:rsidRPr="001E5475">
        <w:rPr>
          <w:i/>
          <w:iCs/>
          <w:sz w:val="20"/>
          <w:szCs w:val="20"/>
        </w:rPr>
        <w:t>U</w:t>
      </w:r>
      <w:r w:rsidR="004A1EED" w:rsidRPr="001E5475">
        <w:rPr>
          <w:i/>
          <w:iCs/>
          <w:sz w:val="20"/>
          <w:szCs w:val="20"/>
          <w:vertAlign w:val="subscript"/>
        </w:rPr>
        <w:t>LCR</w:t>
      </w:r>
      <w:r w:rsidRPr="00EA1AAA">
        <w:rPr>
          <w:sz w:val="20"/>
          <w:szCs w:val="20"/>
        </w:rPr>
        <w:t xml:space="preserve"> for a given case relative to a fixed baseline case: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7"/>
      </w:tblGrid>
      <w:tr w:rsidR="00ED0617" w:rsidRPr="007D6958" w14:paraId="099954AF" w14:textId="77777777" w:rsidTr="008E3536">
        <w:tc>
          <w:tcPr>
            <w:tcW w:w="8217" w:type="dxa"/>
          </w:tcPr>
          <w:p w14:paraId="7066E91B" w14:textId="58C52B15" w:rsidR="00ED0617" w:rsidRPr="008B48DC" w:rsidRDefault="00A547A3" w:rsidP="004D51B0">
            <w:pPr>
              <w:spacing w:line="259" w:lineRule="auto"/>
              <w:jc w:val="both"/>
              <w:rPr>
                <w:sz w:val="20"/>
                <w:szCs w:val="20"/>
              </w:rPr>
            </w:pPr>
            <m:oMathPara>
              <m:oMath>
                <m:sSub>
                  <m:sSubPr>
                    <m:ctrlPr>
                      <w:rPr>
                        <w:rFonts w:ascii="Cambria Math" w:hAnsi="Cambria Math"/>
                        <w:sz w:val="20"/>
                        <w:szCs w:val="20"/>
                      </w:rPr>
                    </m:ctrlPr>
                  </m:sSubPr>
                  <m:e>
                    <m:r>
                      <w:rPr>
                        <w:rFonts w:ascii="Cambria Math" w:hAnsi="Cambria Math"/>
                        <w:sz w:val="20"/>
                        <w:szCs w:val="20"/>
                      </w:rPr>
                      <m:t>∆U</m:t>
                    </m:r>
                  </m:e>
                  <m:sub>
                    <m:r>
                      <m:rPr>
                        <m:nor/>
                      </m:rPr>
                      <w:rPr>
                        <w:rFonts w:ascii="Cambria Math" w:hAnsi="Cambria Math"/>
                        <w:sz w:val="20"/>
                        <w:szCs w:val="20"/>
                      </w:rPr>
                      <m:t>LCR</m:t>
                    </m:r>
                  </m:sub>
                </m:sSub>
                <m:r>
                  <w:rPr>
                    <w:rFonts w:ascii="Cambria Math" w:hAnsi="Cambria Math"/>
                    <w:sz w:val="20"/>
                    <w:szCs w:val="20"/>
                  </w:rPr>
                  <m:t>=</m:t>
                </m:r>
                <m:d>
                  <m:dPr>
                    <m:ctrlPr>
                      <w:rPr>
                        <w:rFonts w:ascii="Cambria Math" w:hAnsi="Cambria Math"/>
                        <w:sz w:val="20"/>
                        <w:szCs w:val="20"/>
                      </w:rPr>
                    </m:ctrlPr>
                  </m:dPr>
                  <m:e>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U</m:t>
                            </m:r>
                          </m:e>
                          <m:sub>
                            <m:r>
                              <m:rPr>
                                <m:nor/>
                              </m:rPr>
                              <w:rPr>
                                <w:rFonts w:ascii="Cambria Math" w:hAnsi="Cambria Math"/>
                                <w:sz w:val="20"/>
                                <w:szCs w:val="20"/>
                              </w:rPr>
                              <m:t>LCR, new</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U</m:t>
                            </m:r>
                          </m:e>
                          <m:sub>
                            <m:r>
                              <m:rPr>
                                <m:nor/>
                              </m:rPr>
                              <w:rPr>
                                <w:rFonts w:ascii="Cambria Math" w:hAnsi="Cambria Math"/>
                                <w:sz w:val="20"/>
                                <w:szCs w:val="20"/>
                              </w:rPr>
                              <m:t>LCR, baseline</m:t>
                            </m:r>
                          </m:sub>
                        </m:sSub>
                      </m:num>
                      <m:den>
                        <m:sSub>
                          <m:sSubPr>
                            <m:ctrlPr>
                              <w:rPr>
                                <w:rFonts w:ascii="Cambria Math" w:hAnsi="Cambria Math"/>
                                <w:sz w:val="20"/>
                                <w:szCs w:val="20"/>
                              </w:rPr>
                            </m:ctrlPr>
                          </m:sSubPr>
                          <m:e>
                            <m:r>
                              <w:rPr>
                                <w:rFonts w:ascii="Cambria Math" w:hAnsi="Cambria Math"/>
                                <w:sz w:val="20"/>
                                <w:szCs w:val="20"/>
                              </w:rPr>
                              <m:t>U</m:t>
                            </m:r>
                          </m:e>
                          <m:sub>
                            <m:r>
                              <m:rPr>
                                <m:nor/>
                              </m:rPr>
                              <w:rPr>
                                <w:rFonts w:ascii="Cambria Math" w:hAnsi="Cambria Math"/>
                                <w:sz w:val="20"/>
                                <w:szCs w:val="20"/>
                              </w:rPr>
                              <m:t>LCR, baseline</m:t>
                            </m:r>
                          </m:sub>
                        </m:sSub>
                      </m:den>
                    </m:f>
                  </m:e>
                </m:d>
                <m:r>
                  <w:rPr>
                    <w:rFonts w:ascii="Cambria Math" w:hAnsi="Cambria Math"/>
                    <w:sz w:val="20"/>
                    <w:szCs w:val="20"/>
                  </w:rPr>
                  <m:t>×100</m:t>
                </m:r>
              </m:oMath>
            </m:oMathPara>
          </w:p>
        </w:tc>
        <w:tc>
          <w:tcPr>
            <w:tcW w:w="847" w:type="dxa"/>
          </w:tcPr>
          <w:p w14:paraId="3709AF5D" w14:textId="0C3D7C93" w:rsidR="00ED0617" w:rsidRPr="007D6958" w:rsidRDefault="00ED0617" w:rsidP="004D51B0">
            <w:pPr>
              <w:spacing w:before="120" w:after="160" w:line="259" w:lineRule="auto"/>
              <w:jc w:val="right"/>
              <w:rPr>
                <w:sz w:val="20"/>
                <w:szCs w:val="20"/>
              </w:rPr>
            </w:pPr>
            <w:r w:rsidRPr="007D6958">
              <w:rPr>
                <w:sz w:val="20"/>
                <w:szCs w:val="20"/>
              </w:rPr>
              <w:t xml:space="preserve">(eq. </w:t>
            </w:r>
            <w:r w:rsidR="00FE3ACA">
              <w:rPr>
                <w:sz w:val="20"/>
                <w:szCs w:val="20"/>
              </w:rPr>
              <w:t>9</w:t>
            </w:r>
            <w:r w:rsidRPr="007D6958">
              <w:rPr>
                <w:sz w:val="20"/>
                <w:szCs w:val="20"/>
              </w:rPr>
              <w:t>)</w:t>
            </w:r>
          </w:p>
        </w:tc>
      </w:tr>
    </w:tbl>
    <w:p w14:paraId="33AAE6F5" w14:textId="38C47318" w:rsidR="0098754B" w:rsidRDefault="00785952" w:rsidP="00DB6E47">
      <w:pPr>
        <w:spacing w:before="120" w:after="120" w:line="259" w:lineRule="auto"/>
        <w:rPr>
          <w:sz w:val="20"/>
          <w:szCs w:val="20"/>
        </w:rPr>
      </w:pPr>
      <w:r>
        <w:rPr>
          <w:sz w:val="20"/>
          <w:szCs w:val="20"/>
        </w:rPr>
        <w:t>Moreover,</w:t>
      </w:r>
      <w:r w:rsidR="0098754B" w:rsidRPr="00EA1AAA">
        <w:rPr>
          <w:sz w:val="20"/>
          <w:szCs w:val="20"/>
        </w:rPr>
        <w:t xml:space="preserve"> the peak flux reduction, Δ</w:t>
      </w:r>
      <w:r w:rsidR="0098754B" w:rsidRPr="001E1049">
        <w:rPr>
          <w:i/>
          <w:iCs/>
          <w:sz w:val="20"/>
          <w:szCs w:val="20"/>
        </w:rPr>
        <w:t>R</w:t>
      </w:r>
      <w:r w:rsidR="0098754B" w:rsidRPr="001E1049">
        <w:rPr>
          <w:i/>
          <w:iCs/>
          <w:sz w:val="20"/>
          <w:szCs w:val="20"/>
          <w:vertAlign w:val="subscript"/>
        </w:rPr>
        <w:t>peak</w:t>
      </w:r>
      <w:r w:rsidR="0098754B" w:rsidRPr="00EA1AAA">
        <w:rPr>
          <w:sz w:val="20"/>
          <w:szCs w:val="20"/>
        </w:rPr>
        <w:t>, expresses the percentage change in the peak (maximum) LCR value around the receiver circumference relative to the same baseline: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7"/>
      </w:tblGrid>
      <w:tr w:rsidR="00454881" w:rsidRPr="007D6958" w14:paraId="7A3E4F18" w14:textId="77777777" w:rsidTr="008E3536">
        <w:tc>
          <w:tcPr>
            <w:tcW w:w="8217" w:type="dxa"/>
          </w:tcPr>
          <w:p w14:paraId="001ABF25" w14:textId="37265F6A" w:rsidR="00454881" w:rsidRPr="00C82808" w:rsidRDefault="00A547A3" w:rsidP="004D51B0">
            <w:pPr>
              <w:spacing w:line="259" w:lineRule="auto"/>
              <w:jc w:val="both"/>
              <w:rPr>
                <w:sz w:val="20"/>
                <w:szCs w:val="20"/>
              </w:rPr>
            </w:pPr>
            <m:oMathPara>
              <m:oMath>
                <m:sSub>
                  <m:sSubPr>
                    <m:ctrlPr>
                      <w:rPr>
                        <w:rFonts w:ascii="Cambria Math" w:hAnsi="Cambria Math"/>
                        <w:sz w:val="20"/>
                        <w:szCs w:val="20"/>
                      </w:rPr>
                    </m:ctrlPr>
                  </m:sSubPr>
                  <m:e>
                    <m:r>
                      <w:rPr>
                        <w:rFonts w:ascii="Cambria Math" w:hAnsi="Cambria Math"/>
                        <w:sz w:val="20"/>
                        <w:szCs w:val="20"/>
                      </w:rPr>
                      <m:t>∆R</m:t>
                    </m:r>
                  </m:e>
                  <m:sub>
                    <m:r>
                      <m:rPr>
                        <m:nor/>
                      </m:rPr>
                      <w:rPr>
                        <w:rFonts w:ascii="Cambria Math" w:hAnsi="Cambria Math"/>
                        <w:sz w:val="20"/>
                        <w:szCs w:val="20"/>
                      </w:rPr>
                      <m:t>peak</m:t>
                    </m:r>
                  </m:sub>
                </m:sSub>
                <m:r>
                  <w:rPr>
                    <w:rFonts w:ascii="Cambria Math" w:hAnsi="Cambria Math"/>
                    <w:sz w:val="20"/>
                    <w:szCs w:val="20"/>
                  </w:rPr>
                  <m:t>=</m:t>
                </m:r>
                <m:d>
                  <m:dPr>
                    <m:ctrlPr>
                      <w:rPr>
                        <w:rFonts w:ascii="Cambria Math" w:hAnsi="Cambria Math"/>
                        <w:sz w:val="20"/>
                        <w:szCs w:val="20"/>
                      </w:rPr>
                    </m:ctrlPr>
                  </m:dPr>
                  <m:e>
                    <m:f>
                      <m:fPr>
                        <m:ctrlPr>
                          <w:rPr>
                            <w:rFonts w:ascii="Cambria Math" w:hAnsi="Cambria Math"/>
                            <w:sz w:val="20"/>
                            <w:szCs w:val="20"/>
                          </w:rPr>
                        </m:ctrlPr>
                      </m:fPr>
                      <m:num>
                        <m:sSub>
                          <m:sSubPr>
                            <m:ctrlPr>
                              <w:rPr>
                                <w:rFonts w:ascii="Cambria Math" w:hAnsi="Cambria Math"/>
                                <w:sz w:val="20"/>
                                <w:szCs w:val="20"/>
                              </w:rPr>
                            </m:ctrlPr>
                          </m:sSubPr>
                          <m:e>
                            <m:r>
                              <w:rPr>
                                <w:rFonts w:ascii="Cambria Math" w:hAnsi="Cambria Math"/>
                                <w:sz w:val="20"/>
                                <w:szCs w:val="20"/>
                              </w:rPr>
                              <m:t>LCR</m:t>
                            </m:r>
                          </m:e>
                          <m:sub>
                            <m:r>
                              <m:rPr>
                                <m:nor/>
                              </m:rPr>
                              <w:rPr>
                                <w:rFonts w:ascii="Cambria Math" w:hAnsi="Cambria Math"/>
                                <w:sz w:val="20"/>
                                <w:szCs w:val="20"/>
                              </w:rPr>
                              <m:t>peak, baseline</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LCR</m:t>
                            </m:r>
                          </m:e>
                          <m:sub>
                            <m:r>
                              <m:rPr>
                                <m:nor/>
                              </m:rPr>
                              <w:rPr>
                                <w:rFonts w:ascii="Cambria Math" w:hAnsi="Cambria Math"/>
                                <w:sz w:val="20"/>
                                <w:szCs w:val="20"/>
                              </w:rPr>
                              <m:t>peak, new</m:t>
                            </m:r>
                          </m:sub>
                        </m:sSub>
                      </m:num>
                      <m:den>
                        <m:sSub>
                          <m:sSubPr>
                            <m:ctrlPr>
                              <w:rPr>
                                <w:rFonts w:ascii="Cambria Math" w:hAnsi="Cambria Math"/>
                                <w:sz w:val="20"/>
                                <w:szCs w:val="20"/>
                              </w:rPr>
                            </m:ctrlPr>
                          </m:sSubPr>
                          <m:e>
                            <m:r>
                              <w:rPr>
                                <w:rFonts w:ascii="Cambria Math" w:hAnsi="Cambria Math"/>
                                <w:sz w:val="20"/>
                                <w:szCs w:val="20"/>
                              </w:rPr>
                              <m:t>LCR</m:t>
                            </m:r>
                          </m:e>
                          <m:sub>
                            <m:r>
                              <m:rPr>
                                <m:nor/>
                              </m:rPr>
                              <w:rPr>
                                <w:rFonts w:ascii="Cambria Math" w:hAnsi="Cambria Math"/>
                                <w:sz w:val="20"/>
                                <w:szCs w:val="20"/>
                              </w:rPr>
                              <m:t>peak, baseline</m:t>
                            </m:r>
                          </m:sub>
                        </m:sSub>
                      </m:den>
                    </m:f>
                  </m:e>
                </m:d>
                <m:r>
                  <w:rPr>
                    <w:rFonts w:ascii="Cambria Math" w:hAnsi="Cambria Math"/>
                    <w:sz w:val="20"/>
                    <w:szCs w:val="20"/>
                  </w:rPr>
                  <m:t>×100</m:t>
                </m:r>
              </m:oMath>
            </m:oMathPara>
          </w:p>
        </w:tc>
        <w:tc>
          <w:tcPr>
            <w:tcW w:w="847" w:type="dxa"/>
          </w:tcPr>
          <w:p w14:paraId="1D239CAD" w14:textId="426ABF46" w:rsidR="00454881" w:rsidRPr="007D6958" w:rsidRDefault="00454881" w:rsidP="004D51B0">
            <w:pPr>
              <w:spacing w:before="120" w:after="160" w:line="259" w:lineRule="auto"/>
              <w:jc w:val="right"/>
              <w:rPr>
                <w:sz w:val="20"/>
                <w:szCs w:val="20"/>
              </w:rPr>
            </w:pPr>
            <w:r w:rsidRPr="007D6958">
              <w:rPr>
                <w:sz w:val="20"/>
                <w:szCs w:val="20"/>
              </w:rPr>
              <w:t xml:space="preserve">(eq. </w:t>
            </w:r>
            <w:r w:rsidR="0031001A">
              <w:rPr>
                <w:sz w:val="20"/>
                <w:szCs w:val="20"/>
              </w:rPr>
              <w:t>10</w:t>
            </w:r>
            <w:r w:rsidRPr="007D6958">
              <w:rPr>
                <w:sz w:val="20"/>
                <w:szCs w:val="20"/>
              </w:rPr>
              <w:t>)</w:t>
            </w:r>
          </w:p>
        </w:tc>
      </w:tr>
    </w:tbl>
    <w:p w14:paraId="6C2E1B0F" w14:textId="32EBE0F5" w:rsidR="00CF5978" w:rsidRPr="00EA1AAA" w:rsidRDefault="00CF5978" w:rsidP="0031001A">
      <w:pPr>
        <w:spacing w:before="120" w:after="160" w:line="259" w:lineRule="auto"/>
        <w:jc w:val="both"/>
        <w:rPr>
          <w:sz w:val="20"/>
          <w:szCs w:val="20"/>
        </w:rPr>
      </w:pPr>
      <w:r w:rsidRPr="00EA1AAA">
        <w:rPr>
          <w:sz w:val="20"/>
          <w:szCs w:val="20"/>
        </w:rPr>
        <w:t xml:space="preserve">For both eq. </w:t>
      </w:r>
      <w:r w:rsidR="00FB7440">
        <w:rPr>
          <w:sz w:val="20"/>
          <w:szCs w:val="20"/>
        </w:rPr>
        <w:t>9</w:t>
      </w:r>
      <w:r w:rsidRPr="00EA1AAA">
        <w:rPr>
          <w:sz w:val="20"/>
          <w:szCs w:val="20"/>
        </w:rPr>
        <w:t xml:space="preserve"> and eq. </w:t>
      </w:r>
      <w:r w:rsidR="00FB7440">
        <w:rPr>
          <w:sz w:val="20"/>
          <w:szCs w:val="20"/>
        </w:rPr>
        <w:t>10</w:t>
      </w:r>
      <w:r w:rsidRPr="00EA1AAA">
        <w:rPr>
          <w:sz w:val="20"/>
          <w:szCs w:val="20"/>
        </w:rPr>
        <w:t>, the baseline case is the unmodified LS-III geometry (</w:t>
      </w:r>
      <w:r w:rsidRPr="00ED34BC">
        <w:rPr>
          <w:i/>
          <w:iCs/>
          <w:sz w:val="20"/>
          <w:szCs w:val="20"/>
        </w:rPr>
        <w:t>H</w:t>
      </w:r>
      <w:r w:rsidRPr="00ED34BC">
        <w:rPr>
          <w:i/>
          <w:iCs/>
          <w:sz w:val="20"/>
          <w:szCs w:val="20"/>
          <w:vertAlign w:val="subscript"/>
        </w:rPr>
        <w:t>R</w:t>
      </w:r>
      <w:r w:rsidRPr="00EA1AAA">
        <w:rPr>
          <w:sz w:val="20"/>
          <w:szCs w:val="20"/>
        </w:rPr>
        <w:t xml:space="preserve"> = 1740 mm, </w:t>
      </w:r>
      <w:r w:rsidR="001E256D" w:rsidRPr="001E256D">
        <w:rPr>
          <w:i/>
          <w:iCs/>
          <w:sz w:val="20"/>
          <w:szCs w:val="20"/>
        </w:rPr>
        <w:t>dx</w:t>
      </w:r>
      <w:r w:rsidRPr="00EA1AAA">
        <w:rPr>
          <w:sz w:val="20"/>
          <w:szCs w:val="20"/>
        </w:rPr>
        <w:t xml:space="preserve"> = 0 mm) evaluated at the same incidence angle </w:t>
      </w:r>
      <w:r w:rsidR="009570AE" w:rsidRPr="009570AE">
        <w:rPr>
          <w:i/>
          <w:iCs/>
          <w:sz w:val="20"/>
          <w:szCs w:val="20"/>
        </w:rPr>
        <w:t>θ</w:t>
      </w:r>
      <w:r w:rsidRPr="00EA1AAA">
        <w:rPr>
          <w:sz w:val="20"/>
          <w:szCs w:val="20"/>
        </w:rPr>
        <w:t xml:space="preserve"> as the case being scored</w:t>
      </w:r>
      <w:r w:rsidR="00FB7440">
        <w:rPr>
          <w:sz w:val="20"/>
          <w:szCs w:val="20"/>
        </w:rPr>
        <w:t>,</w:t>
      </w:r>
      <w:r w:rsidRPr="00EA1AAA">
        <w:rPr>
          <w:sz w:val="20"/>
          <w:szCs w:val="20"/>
        </w:rPr>
        <w:t xml:space="preserve"> i.e., a separate baseline is used for each </w:t>
      </w:r>
      <w:r w:rsidR="009570AE" w:rsidRPr="009570AE">
        <w:rPr>
          <w:i/>
          <w:iCs/>
          <w:sz w:val="20"/>
          <w:szCs w:val="20"/>
        </w:rPr>
        <w:t>θ</w:t>
      </w:r>
      <w:r w:rsidRPr="00EA1AAA">
        <w:rPr>
          <w:sz w:val="20"/>
          <w:szCs w:val="20"/>
        </w:rPr>
        <w:t xml:space="preserve">, rather than a single baseline across all angles. This convention means </w:t>
      </w:r>
      <w:r w:rsidR="000912F6" w:rsidRPr="00EA1AAA">
        <w:rPr>
          <w:sz w:val="20"/>
          <w:szCs w:val="20"/>
        </w:rPr>
        <w:t>Δ</w:t>
      </w:r>
      <w:r w:rsidR="000912F6" w:rsidRPr="001E5475">
        <w:rPr>
          <w:i/>
          <w:iCs/>
          <w:sz w:val="20"/>
          <w:szCs w:val="20"/>
        </w:rPr>
        <w:t>U</w:t>
      </w:r>
      <w:r w:rsidR="000912F6" w:rsidRPr="001E5475">
        <w:rPr>
          <w:i/>
          <w:iCs/>
          <w:sz w:val="20"/>
          <w:szCs w:val="20"/>
          <w:vertAlign w:val="subscript"/>
        </w:rPr>
        <w:t>LCR</w:t>
      </w:r>
      <w:r w:rsidR="00ED34BC">
        <w:rPr>
          <w:sz w:val="20"/>
          <w:szCs w:val="20"/>
        </w:rPr>
        <w:t xml:space="preserve"> </w:t>
      </w:r>
      <w:r w:rsidRPr="00EA1AAA">
        <w:rPr>
          <w:sz w:val="20"/>
          <w:szCs w:val="20"/>
        </w:rPr>
        <w:t>and</w:t>
      </w:r>
      <w:r w:rsidR="00ED34BC" w:rsidRPr="00EA1AAA">
        <w:rPr>
          <w:sz w:val="20"/>
          <w:szCs w:val="20"/>
        </w:rPr>
        <w:t xml:space="preserve"> Δ</w:t>
      </w:r>
      <w:r w:rsidR="00ED34BC" w:rsidRPr="001E1049">
        <w:rPr>
          <w:i/>
          <w:iCs/>
          <w:sz w:val="20"/>
          <w:szCs w:val="20"/>
        </w:rPr>
        <w:t>R</w:t>
      </w:r>
      <w:r w:rsidR="00ED34BC" w:rsidRPr="001E1049">
        <w:rPr>
          <w:i/>
          <w:iCs/>
          <w:sz w:val="20"/>
          <w:szCs w:val="20"/>
          <w:vertAlign w:val="subscript"/>
        </w:rPr>
        <w:t>peak</w:t>
      </w:r>
      <w:r w:rsidR="00EB2749">
        <w:rPr>
          <w:sz w:val="20"/>
          <w:szCs w:val="20"/>
        </w:rPr>
        <w:t xml:space="preserve">, </w:t>
      </w:r>
      <w:r w:rsidRPr="00EA1AAA">
        <w:rPr>
          <w:sz w:val="20"/>
          <w:szCs w:val="20"/>
        </w:rPr>
        <w:t xml:space="preserve">and hence </w:t>
      </w:r>
      <w:r w:rsidRPr="00ED34BC">
        <w:rPr>
          <w:i/>
          <w:iCs/>
          <w:sz w:val="20"/>
          <w:szCs w:val="20"/>
        </w:rPr>
        <w:t>S</w:t>
      </w:r>
      <w:r w:rsidRPr="00EA1AAA">
        <w:rPr>
          <w:sz w:val="20"/>
          <w:szCs w:val="20"/>
        </w:rPr>
        <w:t>, measure improvement or degradation relative to what the unmodified single-focus design achieves at that specific incidence angle, not relative to its normal-incidence performance.</w:t>
      </w:r>
    </w:p>
    <w:p w14:paraId="3FD10A02" w14:textId="77777777" w:rsidR="00CF5978" w:rsidRDefault="00CF5978" w:rsidP="00CF5978">
      <w:pPr>
        <w:spacing w:after="160" w:line="259" w:lineRule="auto"/>
        <w:rPr>
          <w:sz w:val="20"/>
          <w:szCs w:val="20"/>
        </w:rPr>
      </w:pPr>
      <w:r w:rsidRPr="00EA1AAA">
        <w:rPr>
          <w:sz w:val="20"/>
          <w:szCs w:val="20"/>
        </w:rPr>
        <w:t>Finally, the two metrics are combined into a single weighted composite score,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217"/>
        <w:gridCol w:w="847"/>
      </w:tblGrid>
      <w:tr w:rsidR="002942BB" w14:paraId="17FC772E" w14:textId="77777777" w:rsidTr="00925FA0">
        <w:tc>
          <w:tcPr>
            <w:tcW w:w="8217" w:type="dxa"/>
          </w:tcPr>
          <w:p w14:paraId="41BB77DD" w14:textId="0FECE294" w:rsidR="002942BB" w:rsidRPr="00925FA0" w:rsidRDefault="00925FA0" w:rsidP="004D51B0">
            <w:pPr>
              <w:spacing w:line="259" w:lineRule="auto"/>
              <w:jc w:val="both"/>
              <w:rPr>
                <w:sz w:val="20"/>
                <w:szCs w:val="20"/>
              </w:rPr>
            </w:pPr>
            <m:oMathPara>
              <m:oMath>
                <m:r>
                  <w:rPr>
                    <w:rFonts w:ascii="Cambria Math" w:hAnsi="Cambria Math"/>
                    <w:sz w:val="20"/>
                    <w:szCs w:val="20"/>
                  </w:rPr>
                  <m:t>S=</m:t>
                </m:r>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1</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∆U</m:t>
                    </m:r>
                  </m:e>
                  <m:sub>
                    <m:r>
                      <m:rPr>
                        <m:nor/>
                      </m:rPr>
                      <w:rPr>
                        <w:rFonts w:ascii="Cambria Math" w:hAnsi="Cambria Math"/>
                        <w:sz w:val="20"/>
                        <w:szCs w:val="20"/>
                      </w:rPr>
                      <m:t>LCR</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w</m:t>
                    </m:r>
                  </m:e>
                  <m:sub>
                    <m:r>
                      <w:rPr>
                        <w:rFonts w:ascii="Cambria Math" w:hAnsi="Cambria Math"/>
                        <w:sz w:val="20"/>
                        <w:szCs w:val="20"/>
                      </w:rPr>
                      <m:t>2</m:t>
                    </m:r>
                  </m:sub>
                </m:sSub>
                <m:r>
                  <w:rPr>
                    <w:rFonts w:ascii="Cambria Math" w:hAnsi="Cambria Math"/>
                    <w:sz w:val="20"/>
                    <w:szCs w:val="20"/>
                  </w:rPr>
                  <m:t>⋅</m:t>
                </m:r>
                <m:sSub>
                  <m:sSubPr>
                    <m:ctrlPr>
                      <w:rPr>
                        <w:rFonts w:ascii="Cambria Math" w:hAnsi="Cambria Math"/>
                        <w:sz w:val="20"/>
                        <w:szCs w:val="20"/>
                      </w:rPr>
                    </m:ctrlPr>
                  </m:sSubPr>
                  <m:e>
                    <m:r>
                      <w:rPr>
                        <w:rFonts w:ascii="Cambria Math" w:hAnsi="Cambria Math"/>
                        <w:sz w:val="20"/>
                        <w:szCs w:val="20"/>
                      </w:rPr>
                      <m:t>∆R</m:t>
                    </m:r>
                  </m:e>
                  <m:sub>
                    <m:r>
                      <m:rPr>
                        <m:nor/>
                      </m:rPr>
                      <w:rPr>
                        <w:rFonts w:ascii="Cambria Math" w:hAnsi="Cambria Math"/>
                        <w:sz w:val="20"/>
                        <w:szCs w:val="20"/>
                      </w:rPr>
                      <m:t>peak</m:t>
                    </m:r>
                  </m:sub>
                </m:sSub>
              </m:oMath>
            </m:oMathPara>
          </w:p>
        </w:tc>
        <w:tc>
          <w:tcPr>
            <w:tcW w:w="847" w:type="dxa"/>
          </w:tcPr>
          <w:p w14:paraId="4FF2282F" w14:textId="704AF0D7" w:rsidR="002942BB" w:rsidRDefault="002942BB" w:rsidP="00925FA0">
            <w:pPr>
              <w:spacing w:line="259" w:lineRule="auto"/>
              <w:jc w:val="right"/>
              <w:rPr>
                <w:sz w:val="20"/>
                <w:szCs w:val="20"/>
              </w:rPr>
            </w:pPr>
            <w:r>
              <w:rPr>
                <w:sz w:val="20"/>
                <w:szCs w:val="20"/>
              </w:rPr>
              <w:t xml:space="preserve">(eq. </w:t>
            </w:r>
            <w:r w:rsidR="00925FA0">
              <w:rPr>
                <w:sz w:val="20"/>
                <w:szCs w:val="20"/>
              </w:rPr>
              <w:t>11</w:t>
            </w:r>
            <w:r>
              <w:rPr>
                <w:sz w:val="20"/>
                <w:szCs w:val="20"/>
              </w:rPr>
              <w:t>)</w:t>
            </w:r>
          </w:p>
        </w:tc>
      </w:tr>
    </w:tbl>
    <w:p w14:paraId="45AF2B16" w14:textId="2B671069" w:rsidR="00D630D7" w:rsidRPr="00EA1AAA" w:rsidRDefault="00D630D7" w:rsidP="00925FA0">
      <w:pPr>
        <w:spacing w:before="120" w:after="160" w:line="259" w:lineRule="auto"/>
        <w:jc w:val="both"/>
        <w:rPr>
          <w:sz w:val="20"/>
          <w:szCs w:val="20"/>
        </w:rPr>
      </w:pPr>
      <w:r w:rsidRPr="00EA1AAA">
        <w:rPr>
          <w:sz w:val="20"/>
          <w:szCs w:val="20"/>
        </w:rPr>
        <w:t xml:space="preserve">with weights </w:t>
      </w:r>
      <w:r w:rsidRPr="00B520DA">
        <w:rPr>
          <w:i/>
          <w:iCs/>
          <w:sz w:val="20"/>
          <w:szCs w:val="20"/>
        </w:rPr>
        <w:t>w</w:t>
      </w:r>
      <w:r w:rsidR="00B520DA" w:rsidRPr="00B520DA">
        <w:rPr>
          <w:i/>
          <w:iCs/>
          <w:sz w:val="20"/>
          <w:szCs w:val="20"/>
          <w:vertAlign w:val="subscript"/>
        </w:rPr>
        <w:t>1</w:t>
      </w:r>
      <w:r w:rsidRPr="00EA1AAA">
        <w:rPr>
          <w:sz w:val="20"/>
          <w:szCs w:val="20"/>
        </w:rPr>
        <w:t xml:space="preserve"> = 0.7 and </w:t>
      </w:r>
      <w:r w:rsidRPr="00B520DA">
        <w:rPr>
          <w:i/>
          <w:iCs/>
          <w:sz w:val="20"/>
          <w:szCs w:val="20"/>
        </w:rPr>
        <w:t>w</w:t>
      </w:r>
      <w:r w:rsidR="00B520DA" w:rsidRPr="00B520DA">
        <w:rPr>
          <w:i/>
          <w:iCs/>
          <w:sz w:val="20"/>
          <w:szCs w:val="20"/>
          <w:vertAlign w:val="subscript"/>
        </w:rPr>
        <w:t>2</w:t>
      </w:r>
      <w:r w:rsidRPr="00EA1AAA">
        <w:rPr>
          <w:sz w:val="20"/>
          <w:szCs w:val="20"/>
        </w:rPr>
        <w:t xml:space="preserve"> = 0.3, giving flux uniformity precedence over peak-flux reduction as the primary reliability-relevant criterion, consistent with the receiver-degradation motivation in Section 1 (non-uniform circumferential temperature distribution, rather than peak flux alone, is the more direct driver of the thermal-cycling stress implicated in coating and glass-envelope degradation). </w:t>
      </w:r>
      <w:r w:rsidRPr="00401EEF">
        <w:rPr>
          <w:i/>
          <w:iCs/>
          <w:sz w:val="20"/>
          <w:szCs w:val="20"/>
        </w:rPr>
        <w:t>S</w:t>
      </w:r>
      <w:r w:rsidRPr="00EA1AAA">
        <w:rPr>
          <w:sz w:val="20"/>
          <w:szCs w:val="20"/>
        </w:rPr>
        <w:t xml:space="preserve"> is used throughout Section 4.3 to rank candidate (</w:t>
      </w:r>
      <w:r w:rsidR="0086378E" w:rsidRPr="000E7A80">
        <w:rPr>
          <w:i/>
          <w:iCs/>
          <w:sz w:val="20"/>
          <w:szCs w:val="20"/>
        </w:rPr>
        <w:t>H</w:t>
      </w:r>
      <w:r w:rsidR="0086378E" w:rsidRPr="000E7A80">
        <w:rPr>
          <w:i/>
          <w:iCs/>
          <w:sz w:val="20"/>
          <w:szCs w:val="20"/>
          <w:vertAlign w:val="subscript"/>
        </w:rPr>
        <w:t>R</w:t>
      </w:r>
      <w:r w:rsidRPr="00EA1AAA">
        <w:rPr>
          <w:sz w:val="20"/>
          <w:szCs w:val="20"/>
        </w:rPr>
        <w:t xml:space="preserve">, </w:t>
      </w:r>
      <w:r w:rsidR="001E256D" w:rsidRPr="001E256D">
        <w:rPr>
          <w:i/>
          <w:iCs/>
          <w:sz w:val="20"/>
          <w:szCs w:val="20"/>
        </w:rPr>
        <w:t>dx</w:t>
      </w:r>
      <w:r w:rsidRPr="00EA1AAA">
        <w:rPr>
          <w:sz w:val="20"/>
          <w:szCs w:val="20"/>
        </w:rPr>
        <w:t xml:space="preserve">) combinations at each incidence </w:t>
      </w:r>
      <w:r w:rsidR="00033B50" w:rsidRPr="00EA1AAA">
        <w:rPr>
          <w:sz w:val="20"/>
          <w:szCs w:val="20"/>
        </w:rPr>
        <w:t>angle and</w:t>
      </w:r>
      <w:r w:rsidRPr="00EA1AAA">
        <w:rPr>
          <w:sz w:val="20"/>
          <w:szCs w:val="20"/>
        </w:rPr>
        <w:t xml:space="preserve"> is reported as a signed quantity</w:t>
      </w:r>
      <w:r w:rsidR="00033B50">
        <w:rPr>
          <w:sz w:val="20"/>
          <w:szCs w:val="20"/>
        </w:rPr>
        <w:t>;</w:t>
      </w:r>
      <w:r w:rsidRPr="00EA1AAA">
        <w:rPr>
          <w:sz w:val="20"/>
          <w:szCs w:val="20"/>
        </w:rPr>
        <w:t xml:space="preserve"> positive values indicate net improvement over the unmodified baseline at that angle; negative values indicate net degradation.</w:t>
      </w:r>
    </w:p>
    <w:p w14:paraId="3EBB3DE2" w14:textId="3089C9CB" w:rsidR="005F3C42" w:rsidRPr="009F3902" w:rsidRDefault="005F3C42" w:rsidP="005F3C42">
      <w:pPr>
        <w:pStyle w:val="SWCHeading1"/>
        <w:ind w:left="720" w:hanging="360"/>
      </w:pPr>
      <w:r w:rsidRPr="009F3902">
        <w:t xml:space="preserve">Results and </w:t>
      </w:r>
      <w:r w:rsidR="00F1773C">
        <w:t>Discussion</w:t>
      </w:r>
    </w:p>
    <w:p w14:paraId="3041D45B" w14:textId="46D55A24" w:rsidR="005F3C42" w:rsidRDefault="00F76402" w:rsidP="00870FF0">
      <w:pPr>
        <w:spacing w:after="160" w:line="259" w:lineRule="auto"/>
        <w:jc w:val="both"/>
      </w:pPr>
      <w:r w:rsidRPr="00F76402">
        <w:rPr>
          <w:sz w:val="20"/>
          <w:szCs w:val="20"/>
        </w:rPr>
        <w:t>The 328 geometric combinations defined in Tab</w:t>
      </w:r>
      <w:r w:rsidR="003D387A">
        <w:rPr>
          <w:sz w:val="20"/>
          <w:szCs w:val="20"/>
        </w:rPr>
        <w:t>.</w:t>
      </w:r>
      <w:r w:rsidRPr="00F76402">
        <w:rPr>
          <w:sz w:val="20"/>
          <w:szCs w:val="20"/>
        </w:rPr>
        <w:t xml:space="preserve"> 2 were constructed in FreeCAD following the modified split-focus configuration (Section 2.1) and evaluated in OTSunApp using the two-stage MCRT-ODO procedure described in Section 3.2. All simulations use a circumsolar ratio (CSR) of 0.05 with the Buie sunshape model</w:t>
      </w:r>
      <w:r w:rsidR="00675CEE">
        <w:rPr>
          <w:sz w:val="20"/>
          <w:szCs w:val="20"/>
        </w:rPr>
        <w:t xml:space="preserve"> (Buie</w:t>
      </w:r>
      <w:r w:rsidR="00286AB4">
        <w:rPr>
          <w:sz w:val="20"/>
          <w:szCs w:val="20"/>
        </w:rPr>
        <w:t xml:space="preserve"> et al., 2003)</w:t>
      </w:r>
      <w:r w:rsidRPr="00F76402">
        <w:rPr>
          <w:sz w:val="20"/>
          <w:szCs w:val="20"/>
        </w:rPr>
        <w:t xml:space="preserve">, and each geometry was evaluated at nine incidence angles, </w:t>
      </w:r>
      <w:r w:rsidR="009570AE" w:rsidRPr="009570AE">
        <w:rPr>
          <w:i/>
          <w:iCs/>
          <w:sz w:val="20"/>
          <w:szCs w:val="20"/>
        </w:rPr>
        <w:t>θ</w:t>
      </w:r>
      <w:r w:rsidRPr="00F76402">
        <w:rPr>
          <w:sz w:val="20"/>
          <w:szCs w:val="20"/>
        </w:rPr>
        <w:t xml:space="preserve"> = 0° to 2° in steps of 0.25°, giving 328 × 9 = 2952 total optical cases. This section follows the paper's core objectives in sequence</w:t>
      </w:r>
      <w:r w:rsidR="00992503">
        <w:rPr>
          <w:sz w:val="20"/>
          <w:szCs w:val="20"/>
        </w:rPr>
        <w:t>.</w:t>
      </w:r>
      <w:r w:rsidRPr="00F76402">
        <w:rPr>
          <w:sz w:val="20"/>
          <w:szCs w:val="20"/>
        </w:rPr>
        <w:t xml:space="preserve"> Section 4.1 establishes how efficiency depends on </w:t>
      </w:r>
      <w:r w:rsidRPr="002F17C3">
        <w:rPr>
          <w:i/>
          <w:iCs/>
          <w:sz w:val="20"/>
          <w:szCs w:val="20"/>
        </w:rPr>
        <w:t>H</w:t>
      </w:r>
      <w:r w:rsidR="002F17C3" w:rsidRPr="002F17C3">
        <w:rPr>
          <w:i/>
          <w:iCs/>
          <w:sz w:val="20"/>
          <w:szCs w:val="20"/>
          <w:vertAlign w:val="subscript"/>
        </w:rPr>
        <w:t>R</w:t>
      </w:r>
      <w:r w:rsidRPr="00F76402">
        <w:rPr>
          <w:sz w:val="20"/>
          <w:szCs w:val="20"/>
        </w:rPr>
        <w:t xml:space="preserve">, </w:t>
      </w:r>
      <w:r w:rsidR="001E256D" w:rsidRPr="001E256D">
        <w:rPr>
          <w:i/>
          <w:iCs/>
          <w:sz w:val="20"/>
          <w:szCs w:val="20"/>
        </w:rPr>
        <w:t>dx</w:t>
      </w:r>
      <w:r w:rsidRPr="00F76402">
        <w:rPr>
          <w:sz w:val="20"/>
          <w:szCs w:val="20"/>
        </w:rPr>
        <w:t xml:space="preserve">, and </w:t>
      </w:r>
      <w:r w:rsidR="009570AE" w:rsidRPr="009570AE">
        <w:rPr>
          <w:i/>
          <w:iCs/>
          <w:sz w:val="20"/>
          <w:szCs w:val="20"/>
        </w:rPr>
        <w:t>θ</w:t>
      </w:r>
      <w:r w:rsidRPr="00F76402">
        <w:rPr>
          <w:sz w:val="20"/>
          <w:szCs w:val="20"/>
        </w:rPr>
        <w:t>, and defines two operating zones</w:t>
      </w:r>
      <w:r w:rsidR="002F17C3">
        <w:rPr>
          <w:sz w:val="20"/>
          <w:szCs w:val="20"/>
        </w:rPr>
        <w:t>,</w:t>
      </w:r>
      <w:r w:rsidRPr="00F76402">
        <w:rPr>
          <w:sz w:val="20"/>
          <w:szCs w:val="20"/>
        </w:rPr>
        <w:t xml:space="preserve"> precision-tracked and </w:t>
      </w:r>
      <w:r>
        <w:rPr>
          <w:sz w:val="20"/>
          <w:szCs w:val="20"/>
        </w:rPr>
        <w:t>tolerance-favoring</w:t>
      </w:r>
      <w:r w:rsidR="002F17C3">
        <w:rPr>
          <w:sz w:val="20"/>
          <w:szCs w:val="20"/>
        </w:rPr>
        <w:t>,</w:t>
      </w:r>
      <w:r w:rsidRPr="00F76402">
        <w:rPr>
          <w:sz w:val="20"/>
          <w:szCs w:val="20"/>
        </w:rPr>
        <w:t xml:space="preserve"> that anchor the rest of the analysis. Section 4.2 examines the circumferential flux distribution directly, since avoiding localized flux concentration, not efficiency, is this design's primary target. Section 4.3 quantifies uniformity and peak-flux </w:t>
      </w:r>
      <w:r>
        <w:rPr>
          <w:sz w:val="20"/>
          <w:szCs w:val="20"/>
        </w:rPr>
        <w:t>behavior</w:t>
      </w:r>
      <w:r w:rsidRPr="00F76402">
        <w:rPr>
          <w:sz w:val="20"/>
          <w:szCs w:val="20"/>
        </w:rPr>
        <w:t xml:space="preserve"> through a single weighted score. Section 4.4 draws these together around receiver longevity, </w:t>
      </w:r>
      <w:r w:rsidR="00052800" w:rsidRPr="00052800">
        <w:rPr>
          <w:sz w:val="20"/>
          <w:szCs w:val="20"/>
        </w:rPr>
        <w:t>the paper's central motivation</w:t>
      </w:r>
      <w:r w:rsidRPr="00F76402">
        <w:rPr>
          <w:sz w:val="20"/>
          <w:szCs w:val="20"/>
        </w:rPr>
        <w:t xml:space="preserve">, and positions </w:t>
      </w:r>
      <w:r w:rsidR="001E256D" w:rsidRPr="001E256D">
        <w:rPr>
          <w:i/>
          <w:iCs/>
          <w:sz w:val="20"/>
          <w:szCs w:val="20"/>
        </w:rPr>
        <w:t>dx</w:t>
      </w:r>
      <w:r w:rsidRPr="00F76402">
        <w:rPr>
          <w:sz w:val="20"/>
          <w:szCs w:val="20"/>
        </w:rPr>
        <w:t xml:space="preserve"> as the specific contribution responsible for it.</w:t>
      </w:r>
    </w:p>
    <w:p w14:paraId="5960B631" w14:textId="77777777" w:rsidR="005D2CED" w:rsidRPr="009F3902" w:rsidRDefault="005D2CED" w:rsidP="005D2CED">
      <w:pPr>
        <w:pStyle w:val="SWCTableFigureCaption"/>
      </w:pPr>
      <w:r w:rsidRPr="009F3902">
        <w:t xml:space="preserve">Tab. 2: Variable parameters, range, and step for FreeCAD geometry construction. </w:t>
      </w:r>
    </w:p>
    <w:tbl>
      <w:tblPr>
        <w:tblStyle w:val="TableGrid"/>
        <w:tblW w:w="0" w:type="auto"/>
        <w:jc w:val="center"/>
        <w:tblLook w:val="01E0" w:firstRow="1" w:lastRow="1" w:firstColumn="1" w:lastColumn="1" w:noHBand="0" w:noVBand="0"/>
      </w:tblPr>
      <w:tblGrid>
        <w:gridCol w:w="2547"/>
        <w:gridCol w:w="2126"/>
        <w:gridCol w:w="3119"/>
        <w:gridCol w:w="965"/>
      </w:tblGrid>
      <w:tr w:rsidR="005D2CED" w:rsidRPr="009F3902" w14:paraId="07A78DA6" w14:textId="77777777" w:rsidTr="000E6DB4">
        <w:trPr>
          <w:jc w:val="center"/>
        </w:trPr>
        <w:tc>
          <w:tcPr>
            <w:tcW w:w="2547" w:type="dxa"/>
          </w:tcPr>
          <w:p w14:paraId="6E3A64C4" w14:textId="77777777" w:rsidR="005D2CED" w:rsidRPr="009F3902" w:rsidRDefault="005D2CED" w:rsidP="000E6DB4">
            <w:pPr>
              <w:pStyle w:val="SWCTableHeader"/>
              <w:rPr>
                <w:lang w:val="en-US"/>
              </w:rPr>
            </w:pPr>
            <w:r w:rsidRPr="009F3902">
              <w:rPr>
                <w:lang w:val="en-US"/>
              </w:rPr>
              <w:t>Parameters</w:t>
            </w:r>
          </w:p>
        </w:tc>
        <w:tc>
          <w:tcPr>
            <w:tcW w:w="2126" w:type="dxa"/>
          </w:tcPr>
          <w:p w14:paraId="5138B3C8" w14:textId="77777777" w:rsidR="005D2CED" w:rsidRPr="009F3902" w:rsidRDefault="005D2CED" w:rsidP="000E6DB4">
            <w:pPr>
              <w:pStyle w:val="SWCTableHeader"/>
              <w:rPr>
                <w:lang w:val="en-US"/>
              </w:rPr>
            </w:pPr>
            <w:r w:rsidRPr="009F3902">
              <w:rPr>
                <w:lang w:val="en-US"/>
              </w:rPr>
              <w:t>Base values of LS-III</w:t>
            </w:r>
          </w:p>
        </w:tc>
        <w:tc>
          <w:tcPr>
            <w:tcW w:w="3119" w:type="dxa"/>
          </w:tcPr>
          <w:p w14:paraId="0755CDCF" w14:textId="77777777" w:rsidR="005D2CED" w:rsidRPr="009F3902" w:rsidRDefault="005D2CED" w:rsidP="000E6DB4">
            <w:pPr>
              <w:pStyle w:val="SWCTableHeader"/>
              <w:rPr>
                <w:lang w:val="en-US"/>
              </w:rPr>
            </w:pPr>
            <w:r w:rsidRPr="009F3902">
              <w:rPr>
                <w:lang w:val="en-US"/>
              </w:rPr>
              <w:t>Range for modification (from-to)</w:t>
            </w:r>
          </w:p>
        </w:tc>
        <w:tc>
          <w:tcPr>
            <w:tcW w:w="965" w:type="dxa"/>
          </w:tcPr>
          <w:p w14:paraId="01C542FD" w14:textId="77777777" w:rsidR="005D2CED" w:rsidRPr="009F3902" w:rsidRDefault="005D2CED" w:rsidP="000E6DB4">
            <w:pPr>
              <w:pStyle w:val="SWCTableHeader"/>
              <w:rPr>
                <w:lang w:val="en-US"/>
              </w:rPr>
            </w:pPr>
            <w:r w:rsidRPr="009F3902">
              <w:rPr>
                <w:lang w:val="en-US"/>
              </w:rPr>
              <w:t>Step</w:t>
            </w:r>
          </w:p>
        </w:tc>
      </w:tr>
      <w:tr w:rsidR="005D2CED" w:rsidRPr="009F3902" w14:paraId="45CEF235" w14:textId="77777777" w:rsidTr="000E6DB4">
        <w:trPr>
          <w:jc w:val="center"/>
        </w:trPr>
        <w:tc>
          <w:tcPr>
            <w:tcW w:w="2547" w:type="dxa"/>
          </w:tcPr>
          <w:p w14:paraId="41F1D374" w14:textId="77777777" w:rsidR="005D2CED" w:rsidRPr="009F3902" w:rsidRDefault="005D2CED" w:rsidP="000E6DB4">
            <w:pPr>
              <w:pStyle w:val="SWCTableText"/>
              <w:rPr>
                <w:lang w:val="en-US"/>
              </w:rPr>
            </w:pPr>
            <w:r w:rsidRPr="009F3902">
              <w:rPr>
                <w:lang w:val="en-US"/>
              </w:rPr>
              <w:t>Receiver Height (</w:t>
            </w:r>
            <w:r w:rsidRPr="009F3902">
              <w:rPr>
                <w:i/>
                <w:iCs/>
                <w:lang w:val="en-US"/>
              </w:rPr>
              <w:t>H</w:t>
            </w:r>
            <w:r w:rsidRPr="009F3902">
              <w:rPr>
                <w:i/>
                <w:iCs/>
                <w:vertAlign w:val="subscript"/>
                <w:lang w:val="en-US"/>
              </w:rPr>
              <w:t>R</w:t>
            </w:r>
            <w:r w:rsidRPr="009F3902">
              <w:rPr>
                <w:lang w:val="en-US"/>
              </w:rPr>
              <w:t>)</w:t>
            </w:r>
          </w:p>
        </w:tc>
        <w:tc>
          <w:tcPr>
            <w:tcW w:w="2126" w:type="dxa"/>
          </w:tcPr>
          <w:p w14:paraId="7549D1CF" w14:textId="77777777" w:rsidR="005D2CED" w:rsidRPr="009F3902" w:rsidRDefault="005D2CED" w:rsidP="000E6DB4">
            <w:pPr>
              <w:pStyle w:val="SWCTableText"/>
              <w:rPr>
                <w:lang w:val="en-US"/>
              </w:rPr>
            </w:pPr>
            <w:r w:rsidRPr="009F3902">
              <w:rPr>
                <w:lang w:val="en-US"/>
              </w:rPr>
              <w:t>1740 mm</w:t>
            </w:r>
          </w:p>
        </w:tc>
        <w:tc>
          <w:tcPr>
            <w:tcW w:w="3119" w:type="dxa"/>
          </w:tcPr>
          <w:p w14:paraId="2C02EA76" w14:textId="77777777" w:rsidR="005D2CED" w:rsidRPr="009F3902" w:rsidRDefault="005D2CED" w:rsidP="000E6DB4">
            <w:pPr>
              <w:pStyle w:val="SWCTableText"/>
              <w:rPr>
                <w:lang w:val="en-US"/>
              </w:rPr>
            </w:pPr>
            <w:r w:rsidRPr="009F3902">
              <w:rPr>
                <w:lang w:val="en-US"/>
              </w:rPr>
              <w:t>1600 to 1800 mm</w:t>
            </w:r>
          </w:p>
        </w:tc>
        <w:tc>
          <w:tcPr>
            <w:tcW w:w="965" w:type="dxa"/>
          </w:tcPr>
          <w:p w14:paraId="06E978E1" w14:textId="77777777" w:rsidR="005D2CED" w:rsidRPr="009F3902" w:rsidRDefault="005D2CED" w:rsidP="000E6DB4">
            <w:pPr>
              <w:pStyle w:val="SWCTableText"/>
              <w:rPr>
                <w:lang w:val="en-US"/>
              </w:rPr>
            </w:pPr>
            <w:r w:rsidRPr="009F3902">
              <w:rPr>
                <w:lang w:val="en-US"/>
              </w:rPr>
              <w:t>5 mm</w:t>
            </w:r>
          </w:p>
        </w:tc>
      </w:tr>
      <w:tr w:rsidR="005D2CED" w:rsidRPr="009F3902" w14:paraId="7812FF28" w14:textId="77777777" w:rsidTr="000E6DB4">
        <w:trPr>
          <w:jc w:val="center"/>
        </w:trPr>
        <w:tc>
          <w:tcPr>
            <w:tcW w:w="2547" w:type="dxa"/>
          </w:tcPr>
          <w:p w14:paraId="2F2EA403" w14:textId="4D0966C0" w:rsidR="005D2CED" w:rsidRPr="009F3902" w:rsidRDefault="005D2CED" w:rsidP="000E6DB4">
            <w:pPr>
              <w:pStyle w:val="SWCTableText"/>
              <w:rPr>
                <w:lang w:val="en-US"/>
              </w:rPr>
            </w:pPr>
            <w:r w:rsidRPr="009F3902">
              <w:rPr>
                <w:lang w:val="en-US"/>
              </w:rPr>
              <w:t>Focal shift distance (</w:t>
            </w:r>
            <w:r w:rsidR="001E256D" w:rsidRPr="001E256D">
              <w:rPr>
                <w:i/>
                <w:iCs/>
                <w:lang w:val="en-US"/>
              </w:rPr>
              <w:t>dx</w:t>
            </w:r>
            <w:r w:rsidRPr="009F3902">
              <w:rPr>
                <w:lang w:val="en-US"/>
              </w:rPr>
              <w:t>)</w:t>
            </w:r>
          </w:p>
        </w:tc>
        <w:tc>
          <w:tcPr>
            <w:tcW w:w="2126" w:type="dxa"/>
          </w:tcPr>
          <w:p w14:paraId="2B56C8E1" w14:textId="77777777" w:rsidR="005D2CED" w:rsidRPr="009F3902" w:rsidRDefault="005D2CED" w:rsidP="000E6DB4">
            <w:pPr>
              <w:pStyle w:val="SWCTableText"/>
              <w:rPr>
                <w:lang w:val="en-US"/>
              </w:rPr>
            </w:pPr>
            <w:r w:rsidRPr="009F3902">
              <w:rPr>
                <w:lang w:val="en-US"/>
              </w:rPr>
              <w:t>0 mm</w:t>
            </w:r>
          </w:p>
        </w:tc>
        <w:tc>
          <w:tcPr>
            <w:tcW w:w="3119" w:type="dxa"/>
          </w:tcPr>
          <w:p w14:paraId="3B6525A6" w14:textId="77777777" w:rsidR="005D2CED" w:rsidRPr="009F3902" w:rsidRDefault="005D2CED" w:rsidP="000E6DB4">
            <w:pPr>
              <w:pStyle w:val="SWCTableText"/>
              <w:rPr>
                <w:lang w:val="en-US"/>
              </w:rPr>
            </w:pPr>
            <w:r w:rsidRPr="009F3902">
              <w:rPr>
                <w:lang w:val="en-US"/>
              </w:rPr>
              <w:t>0 to 35 mm</w:t>
            </w:r>
          </w:p>
        </w:tc>
        <w:tc>
          <w:tcPr>
            <w:tcW w:w="965" w:type="dxa"/>
          </w:tcPr>
          <w:p w14:paraId="326216D7" w14:textId="77777777" w:rsidR="005D2CED" w:rsidRPr="009F3902" w:rsidRDefault="005D2CED" w:rsidP="000E6DB4">
            <w:pPr>
              <w:pStyle w:val="SWCTableText"/>
              <w:rPr>
                <w:lang w:val="en-US"/>
              </w:rPr>
            </w:pPr>
            <w:r w:rsidRPr="009F3902">
              <w:rPr>
                <w:lang w:val="en-US"/>
              </w:rPr>
              <w:t>5 mm</w:t>
            </w:r>
          </w:p>
        </w:tc>
      </w:tr>
    </w:tbl>
    <w:p w14:paraId="767AA033" w14:textId="77777777" w:rsidR="005D2CED" w:rsidRDefault="005D2CED" w:rsidP="00870FF0">
      <w:pPr>
        <w:spacing w:after="160" w:line="259" w:lineRule="auto"/>
        <w:jc w:val="both"/>
      </w:pPr>
    </w:p>
    <w:p w14:paraId="6C5F2EE2" w14:textId="47675BE9" w:rsidR="00713BC7" w:rsidRPr="009F3902" w:rsidRDefault="00486121" w:rsidP="00713BC7">
      <w:pPr>
        <w:pStyle w:val="SWCHeading11"/>
        <w:rPr>
          <w:lang w:val="en-US"/>
        </w:rPr>
      </w:pPr>
      <w:r>
        <w:rPr>
          <w:lang w:val="en-US"/>
        </w:rPr>
        <w:t>4</w:t>
      </w:r>
      <w:r w:rsidR="00713BC7" w:rsidRPr="009F3902">
        <w:rPr>
          <w:lang w:val="en-US"/>
        </w:rPr>
        <w:t>.</w:t>
      </w:r>
      <w:r>
        <w:rPr>
          <w:lang w:val="en-US"/>
        </w:rPr>
        <w:t>1</w:t>
      </w:r>
      <w:r w:rsidR="00713BC7" w:rsidRPr="009F3902">
        <w:rPr>
          <w:lang w:val="en-US"/>
        </w:rPr>
        <w:t xml:space="preserve">. </w:t>
      </w:r>
      <w:r w:rsidR="008D70BF" w:rsidRPr="008D70BF">
        <w:rPr>
          <w:lang w:val="en-US"/>
        </w:rPr>
        <w:t>Sensitivity of Optical Efficiency to</w:t>
      </w:r>
      <w:r w:rsidR="008F4978" w:rsidRPr="008F4978">
        <w:rPr>
          <w:lang w:val="en-US"/>
        </w:rPr>
        <w:t xml:space="preserve"> </w:t>
      </w:r>
      <w:r w:rsidR="00125EB5" w:rsidRPr="00125EB5">
        <w:rPr>
          <w:szCs w:val="20"/>
        </w:rPr>
        <w:t>H</w:t>
      </w:r>
      <w:r w:rsidR="00125EB5" w:rsidRPr="00125EB5">
        <w:rPr>
          <w:szCs w:val="20"/>
          <w:vertAlign w:val="subscript"/>
        </w:rPr>
        <w:t>R</w:t>
      </w:r>
      <w:r w:rsidR="00125EB5" w:rsidRPr="00125EB5">
        <w:rPr>
          <w:szCs w:val="20"/>
        </w:rPr>
        <w:t xml:space="preserve">, </w:t>
      </w:r>
      <w:r w:rsidR="001E256D" w:rsidRPr="001E256D">
        <w:rPr>
          <w:iCs/>
          <w:szCs w:val="20"/>
        </w:rPr>
        <w:t>dx</w:t>
      </w:r>
      <w:r w:rsidR="00125EB5" w:rsidRPr="00125EB5">
        <w:rPr>
          <w:szCs w:val="20"/>
        </w:rPr>
        <w:t xml:space="preserve">, and </w:t>
      </w:r>
      <w:r w:rsidR="009570AE" w:rsidRPr="009570AE">
        <w:rPr>
          <w:iCs/>
          <w:szCs w:val="20"/>
        </w:rPr>
        <w:t>θ</w:t>
      </w:r>
    </w:p>
    <w:p w14:paraId="0ED85EE7" w14:textId="15F90599" w:rsidR="00522689" w:rsidRPr="00764EB6" w:rsidRDefault="0002134D" w:rsidP="00065E55">
      <w:pPr>
        <w:spacing w:after="160" w:line="259" w:lineRule="auto"/>
        <w:jc w:val="both"/>
        <w:rPr>
          <w:sz w:val="20"/>
          <w:szCs w:val="20"/>
        </w:rPr>
      </w:pPr>
      <w:r>
        <w:rPr>
          <w:sz w:val="20"/>
          <w:szCs w:val="20"/>
        </w:rPr>
        <w:t>Fig. 3</w:t>
      </w:r>
      <w:r w:rsidR="00AD40B7">
        <w:rPr>
          <w:sz w:val="20"/>
          <w:szCs w:val="20"/>
        </w:rPr>
        <w:t xml:space="preserve"> shows the effe</w:t>
      </w:r>
      <w:r w:rsidR="00C02BCA">
        <w:rPr>
          <w:sz w:val="20"/>
          <w:szCs w:val="20"/>
        </w:rPr>
        <w:t xml:space="preserve">ct of </w:t>
      </w:r>
      <w:r w:rsidR="00C02BCA" w:rsidRPr="002F17C3">
        <w:rPr>
          <w:i/>
          <w:iCs/>
          <w:sz w:val="20"/>
          <w:szCs w:val="20"/>
        </w:rPr>
        <w:t>H</w:t>
      </w:r>
      <w:r w:rsidR="00C02BCA" w:rsidRPr="002F17C3">
        <w:rPr>
          <w:i/>
          <w:iCs/>
          <w:sz w:val="20"/>
          <w:szCs w:val="20"/>
          <w:vertAlign w:val="subscript"/>
        </w:rPr>
        <w:t>R</w:t>
      </w:r>
      <w:r w:rsidR="00C02BCA" w:rsidRPr="00F76402">
        <w:rPr>
          <w:sz w:val="20"/>
          <w:szCs w:val="20"/>
        </w:rPr>
        <w:t xml:space="preserve">, </w:t>
      </w:r>
      <w:r w:rsidR="001E256D" w:rsidRPr="001E256D">
        <w:rPr>
          <w:i/>
          <w:iCs/>
          <w:sz w:val="20"/>
          <w:szCs w:val="20"/>
        </w:rPr>
        <w:t>dx</w:t>
      </w:r>
      <w:r w:rsidR="00C02BCA" w:rsidRPr="00F76402">
        <w:rPr>
          <w:sz w:val="20"/>
          <w:szCs w:val="20"/>
        </w:rPr>
        <w:t xml:space="preserve">, and </w:t>
      </w:r>
      <w:r w:rsidR="009570AE" w:rsidRPr="009570AE">
        <w:rPr>
          <w:i/>
          <w:iCs/>
          <w:sz w:val="20"/>
          <w:szCs w:val="20"/>
        </w:rPr>
        <w:t>θ</w:t>
      </w:r>
      <w:r w:rsidR="00C02BCA">
        <w:rPr>
          <w:i/>
          <w:iCs/>
          <w:sz w:val="20"/>
          <w:szCs w:val="20"/>
        </w:rPr>
        <w:t xml:space="preserve"> </w:t>
      </w:r>
      <w:r w:rsidR="00C02BCA">
        <w:rPr>
          <w:sz w:val="20"/>
          <w:szCs w:val="20"/>
        </w:rPr>
        <w:t xml:space="preserve">on optical efficiency. </w:t>
      </w:r>
      <w:r w:rsidR="00522689" w:rsidRPr="00764EB6">
        <w:rPr>
          <w:sz w:val="20"/>
          <w:szCs w:val="20"/>
        </w:rPr>
        <w:t>At normal incidence, the unmodified baseline (</w:t>
      </w:r>
      <w:r w:rsidR="001146A1" w:rsidRPr="002F17C3">
        <w:rPr>
          <w:i/>
          <w:iCs/>
          <w:sz w:val="20"/>
          <w:szCs w:val="20"/>
        </w:rPr>
        <w:t>H</w:t>
      </w:r>
      <w:r w:rsidR="001146A1" w:rsidRPr="002F17C3">
        <w:rPr>
          <w:i/>
          <w:iCs/>
          <w:sz w:val="20"/>
          <w:szCs w:val="20"/>
          <w:vertAlign w:val="subscript"/>
        </w:rPr>
        <w:t>R</w:t>
      </w:r>
      <w:r w:rsidR="001146A1">
        <w:rPr>
          <w:i/>
          <w:iCs/>
          <w:sz w:val="20"/>
          <w:szCs w:val="20"/>
          <w:vertAlign w:val="subscript"/>
        </w:rPr>
        <w:t xml:space="preserve"> </w:t>
      </w:r>
      <w:r w:rsidR="00522689" w:rsidRPr="00764EB6">
        <w:rPr>
          <w:sz w:val="20"/>
          <w:szCs w:val="20"/>
        </w:rPr>
        <w:t xml:space="preserve">= 1740 mm, </w:t>
      </w:r>
      <w:r w:rsidR="001E256D" w:rsidRPr="001E256D">
        <w:rPr>
          <w:i/>
          <w:iCs/>
          <w:sz w:val="20"/>
          <w:szCs w:val="20"/>
        </w:rPr>
        <w:t>dx</w:t>
      </w:r>
      <w:r w:rsidR="00522689" w:rsidRPr="00764EB6">
        <w:rPr>
          <w:sz w:val="20"/>
          <w:szCs w:val="20"/>
        </w:rPr>
        <w:t xml:space="preserve"> = 0) reaches </w:t>
      </w:r>
      <w:r w:rsidR="00522689" w:rsidRPr="00932C00">
        <w:rPr>
          <w:i/>
          <w:iCs/>
          <w:sz w:val="20"/>
          <w:szCs w:val="20"/>
        </w:rPr>
        <w:t>η</w:t>
      </w:r>
      <w:r w:rsidR="001D1000">
        <w:rPr>
          <w:i/>
          <w:iCs/>
          <w:sz w:val="20"/>
          <w:szCs w:val="20"/>
          <w:vertAlign w:val="subscript"/>
        </w:rPr>
        <w:t>o</w:t>
      </w:r>
      <w:r w:rsidR="00522689" w:rsidRPr="00764EB6">
        <w:rPr>
          <w:sz w:val="20"/>
          <w:szCs w:val="20"/>
        </w:rPr>
        <w:t xml:space="preserve"> = 85.3%, falling to 67.4% at </w:t>
      </w:r>
      <w:r w:rsidR="001E256D" w:rsidRPr="001E256D">
        <w:rPr>
          <w:i/>
          <w:iCs/>
          <w:sz w:val="20"/>
          <w:szCs w:val="20"/>
        </w:rPr>
        <w:t>dx</w:t>
      </w:r>
      <w:r w:rsidR="00522689" w:rsidRPr="00764EB6">
        <w:rPr>
          <w:sz w:val="20"/>
          <w:szCs w:val="20"/>
        </w:rPr>
        <w:t xml:space="preserve"> = 35 mm</w:t>
      </w:r>
      <w:r w:rsidR="00C02BCA">
        <w:rPr>
          <w:sz w:val="20"/>
          <w:szCs w:val="20"/>
        </w:rPr>
        <w:t xml:space="preserve"> (</w:t>
      </w:r>
      <w:r>
        <w:rPr>
          <w:sz w:val="20"/>
          <w:szCs w:val="20"/>
        </w:rPr>
        <w:t>Fig. 3</w:t>
      </w:r>
      <w:r w:rsidR="00C02BCA">
        <w:rPr>
          <w:sz w:val="20"/>
          <w:szCs w:val="20"/>
        </w:rPr>
        <w:t>a)</w:t>
      </w:r>
      <w:r w:rsidR="009E26C8">
        <w:rPr>
          <w:sz w:val="20"/>
          <w:szCs w:val="20"/>
        </w:rPr>
        <w:t xml:space="preserve">, </w:t>
      </w:r>
      <w:r w:rsidR="00522689" w:rsidRPr="00764EB6">
        <w:rPr>
          <w:sz w:val="20"/>
          <w:szCs w:val="20"/>
        </w:rPr>
        <w:t xml:space="preserve">an 18-point efficiency cost from the focal split alone at </w:t>
      </w:r>
      <w:r w:rsidR="009570AE" w:rsidRPr="009570AE">
        <w:rPr>
          <w:i/>
          <w:iCs/>
          <w:sz w:val="20"/>
          <w:szCs w:val="20"/>
        </w:rPr>
        <w:t>θ</w:t>
      </w:r>
      <w:r w:rsidR="00522689" w:rsidRPr="00764EB6">
        <w:rPr>
          <w:sz w:val="20"/>
          <w:szCs w:val="20"/>
        </w:rPr>
        <w:t xml:space="preserve"> = 0°, since a growing fraction of reflected rays fall outside the receiver before any tracking error is introduced. This cost, however, is angle-dependent: split-focus geometries increasingly outperform the unmodified baseline as </w:t>
      </w:r>
      <w:r w:rsidR="009570AE" w:rsidRPr="009570AE">
        <w:rPr>
          <w:i/>
          <w:iCs/>
          <w:sz w:val="20"/>
          <w:szCs w:val="20"/>
        </w:rPr>
        <w:t>θ</w:t>
      </w:r>
      <w:r w:rsidR="00522689" w:rsidRPr="00764EB6">
        <w:rPr>
          <w:sz w:val="20"/>
          <w:szCs w:val="20"/>
        </w:rPr>
        <w:t xml:space="preserve"> grows, with the crossover occurring earlier (</w:t>
      </w:r>
      <w:r w:rsidR="009570AE" w:rsidRPr="009570AE">
        <w:rPr>
          <w:i/>
          <w:iCs/>
          <w:sz w:val="20"/>
          <w:szCs w:val="20"/>
        </w:rPr>
        <w:t>θ</w:t>
      </w:r>
      <w:r w:rsidR="00522689" w:rsidRPr="00764EB6">
        <w:rPr>
          <w:sz w:val="20"/>
          <w:szCs w:val="20"/>
        </w:rPr>
        <w:t xml:space="preserve"> ≈ 0.75–1.0°) for larger shifts and later (</w:t>
      </w:r>
      <w:r w:rsidR="009570AE" w:rsidRPr="009570AE">
        <w:rPr>
          <w:i/>
          <w:iCs/>
          <w:sz w:val="20"/>
          <w:szCs w:val="20"/>
        </w:rPr>
        <w:t>θ</w:t>
      </w:r>
      <w:r w:rsidR="00522689" w:rsidRPr="00764EB6">
        <w:rPr>
          <w:sz w:val="20"/>
          <w:szCs w:val="20"/>
        </w:rPr>
        <w:t xml:space="preserve"> ≈ 1.0</w:t>
      </w:r>
      <w:r w:rsidR="001146A1">
        <w:rPr>
          <w:sz w:val="20"/>
          <w:szCs w:val="20"/>
        </w:rPr>
        <w:t xml:space="preserve"> </w:t>
      </w:r>
      <w:r w:rsidR="00522689" w:rsidRPr="00764EB6">
        <w:rPr>
          <w:sz w:val="20"/>
          <w:szCs w:val="20"/>
        </w:rPr>
        <w:t>–</w:t>
      </w:r>
      <w:r w:rsidR="001146A1">
        <w:rPr>
          <w:sz w:val="20"/>
          <w:szCs w:val="20"/>
        </w:rPr>
        <w:t xml:space="preserve"> </w:t>
      </w:r>
      <w:r w:rsidR="00522689" w:rsidRPr="00764EB6">
        <w:rPr>
          <w:sz w:val="20"/>
          <w:szCs w:val="20"/>
        </w:rPr>
        <w:t xml:space="preserve">1.25°) for smaller ones. By </w:t>
      </w:r>
      <w:r w:rsidR="009570AE" w:rsidRPr="009570AE">
        <w:rPr>
          <w:i/>
          <w:iCs/>
          <w:sz w:val="20"/>
          <w:szCs w:val="20"/>
        </w:rPr>
        <w:t>θ</w:t>
      </w:r>
      <w:r w:rsidR="00522689" w:rsidRPr="00764EB6">
        <w:rPr>
          <w:sz w:val="20"/>
          <w:szCs w:val="20"/>
        </w:rPr>
        <w:t xml:space="preserve"> = 1.25°, every </w:t>
      </w:r>
      <w:r w:rsidR="001E256D" w:rsidRPr="001E256D">
        <w:rPr>
          <w:i/>
          <w:iCs/>
          <w:sz w:val="20"/>
          <w:szCs w:val="20"/>
        </w:rPr>
        <w:t>dx</w:t>
      </w:r>
      <w:r w:rsidR="00522689" w:rsidRPr="00764EB6">
        <w:rPr>
          <w:sz w:val="20"/>
          <w:szCs w:val="20"/>
        </w:rPr>
        <w:t xml:space="preserve"> &gt; 0 case exceeds the </w:t>
      </w:r>
      <w:r w:rsidR="001E256D" w:rsidRPr="001E256D">
        <w:rPr>
          <w:i/>
          <w:iCs/>
          <w:sz w:val="20"/>
          <w:szCs w:val="20"/>
        </w:rPr>
        <w:t>dx</w:t>
      </w:r>
      <w:r w:rsidR="00522689" w:rsidRPr="00764EB6">
        <w:rPr>
          <w:sz w:val="20"/>
          <w:szCs w:val="20"/>
        </w:rPr>
        <w:t xml:space="preserve"> = 0 baseline. This occurs because tracking error displaces a single-focus ray bundle as one unit, causing efficiency to collapse sharply</w:t>
      </w:r>
      <w:r w:rsidR="001E6998">
        <w:rPr>
          <w:sz w:val="20"/>
          <w:szCs w:val="20"/>
        </w:rPr>
        <w:t>. In contrast, the</w:t>
      </w:r>
      <w:r w:rsidR="00522689" w:rsidRPr="00764EB6">
        <w:rPr>
          <w:sz w:val="20"/>
          <w:szCs w:val="20"/>
        </w:rPr>
        <w:t xml:space="preserve"> split-focus geometry's two </w:t>
      </w:r>
      <w:r w:rsidR="00C72031">
        <w:rPr>
          <w:sz w:val="20"/>
          <w:szCs w:val="20"/>
        </w:rPr>
        <w:t>off-center</w:t>
      </w:r>
      <w:r w:rsidR="00522689" w:rsidRPr="00764EB6">
        <w:rPr>
          <w:sz w:val="20"/>
          <w:szCs w:val="20"/>
        </w:rPr>
        <w:t xml:space="preserve"> foci partly compensate for each other as </w:t>
      </w:r>
      <w:r w:rsidR="009570AE" w:rsidRPr="009570AE">
        <w:rPr>
          <w:i/>
          <w:iCs/>
          <w:sz w:val="20"/>
          <w:szCs w:val="20"/>
        </w:rPr>
        <w:t>θ</w:t>
      </w:r>
      <w:r w:rsidR="00522689" w:rsidRPr="00764EB6">
        <w:rPr>
          <w:sz w:val="20"/>
          <w:szCs w:val="20"/>
        </w:rPr>
        <w:t xml:space="preserve"> increases.</w:t>
      </w:r>
    </w:p>
    <w:p w14:paraId="1DBD6D0E" w14:textId="1D006B6A" w:rsidR="00522689" w:rsidRPr="00764EB6" w:rsidRDefault="00FB71EC" w:rsidP="00BA5EE8">
      <w:pPr>
        <w:spacing w:after="160" w:line="259" w:lineRule="auto"/>
        <w:jc w:val="both"/>
        <w:rPr>
          <w:sz w:val="20"/>
          <w:szCs w:val="20"/>
        </w:rPr>
      </w:pPr>
      <w:r>
        <w:rPr>
          <w:sz w:val="20"/>
          <w:szCs w:val="20"/>
        </w:rPr>
        <w:t>In Fig</w:t>
      </w:r>
      <w:r w:rsidR="00BB3A8E">
        <w:rPr>
          <w:sz w:val="20"/>
          <w:szCs w:val="20"/>
        </w:rPr>
        <w:t>. 3b, t</w:t>
      </w:r>
      <w:r w:rsidR="00522689" w:rsidRPr="00764EB6">
        <w:rPr>
          <w:sz w:val="20"/>
          <w:szCs w:val="20"/>
        </w:rPr>
        <w:t xml:space="preserve">he receiver height that maximizes </w:t>
      </w:r>
      <w:r w:rsidR="009570AE" w:rsidRPr="009570AE">
        <w:rPr>
          <w:i/>
          <w:iCs/>
          <w:sz w:val="20"/>
          <w:szCs w:val="20"/>
        </w:rPr>
        <w:t>θ</w:t>
      </w:r>
      <w:r w:rsidR="00522689" w:rsidRPr="00764EB6">
        <w:rPr>
          <w:sz w:val="20"/>
          <w:szCs w:val="20"/>
        </w:rPr>
        <w:t xml:space="preserve"> = 0° efficiency also shifts with </w:t>
      </w:r>
      <w:r w:rsidR="001E256D" w:rsidRPr="001E256D">
        <w:rPr>
          <w:i/>
          <w:iCs/>
          <w:sz w:val="20"/>
          <w:szCs w:val="20"/>
        </w:rPr>
        <w:t>dx</w:t>
      </w:r>
      <w:r w:rsidR="00522689" w:rsidRPr="00764EB6">
        <w:rPr>
          <w:sz w:val="20"/>
          <w:szCs w:val="20"/>
        </w:rPr>
        <w:t xml:space="preserve">, from </w:t>
      </w:r>
      <w:r w:rsidR="001146A1" w:rsidRPr="002F17C3">
        <w:rPr>
          <w:i/>
          <w:iCs/>
          <w:sz w:val="20"/>
          <w:szCs w:val="20"/>
        </w:rPr>
        <w:t>H</w:t>
      </w:r>
      <w:r w:rsidR="001146A1" w:rsidRPr="002F17C3">
        <w:rPr>
          <w:i/>
          <w:iCs/>
          <w:sz w:val="20"/>
          <w:szCs w:val="20"/>
          <w:vertAlign w:val="subscript"/>
        </w:rPr>
        <w:t>R</w:t>
      </w:r>
      <w:r w:rsidR="00522689" w:rsidRPr="00764EB6">
        <w:rPr>
          <w:sz w:val="20"/>
          <w:szCs w:val="20"/>
        </w:rPr>
        <w:t xml:space="preserve"> = 1740 mm (</w:t>
      </w:r>
      <w:r w:rsidR="001E256D" w:rsidRPr="001E256D">
        <w:rPr>
          <w:i/>
          <w:iCs/>
          <w:sz w:val="20"/>
          <w:szCs w:val="20"/>
        </w:rPr>
        <w:t>dx</w:t>
      </w:r>
      <w:r w:rsidR="00522689" w:rsidRPr="00764EB6">
        <w:rPr>
          <w:sz w:val="20"/>
          <w:szCs w:val="20"/>
        </w:rPr>
        <w:t xml:space="preserve"> = 0) down to </w:t>
      </w:r>
      <w:r w:rsidR="000E7A80" w:rsidRPr="000E7A80">
        <w:rPr>
          <w:i/>
          <w:iCs/>
          <w:sz w:val="20"/>
          <w:szCs w:val="20"/>
        </w:rPr>
        <w:t>H</w:t>
      </w:r>
      <w:r w:rsidR="000E7A80" w:rsidRPr="000E7A80">
        <w:rPr>
          <w:i/>
          <w:iCs/>
          <w:sz w:val="20"/>
          <w:szCs w:val="20"/>
          <w:vertAlign w:val="subscript"/>
        </w:rPr>
        <w:t>R</w:t>
      </w:r>
      <w:r w:rsidR="00522689" w:rsidRPr="00764EB6">
        <w:rPr>
          <w:sz w:val="20"/>
          <w:szCs w:val="20"/>
        </w:rPr>
        <w:t xml:space="preserve"> ≈ 1710 mm (</w:t>
      </w:r>
      <w:r w:rsidR="001E256D" w:rsidRPr="001E256D">
        <w:rPr>
          <w:i/>
          <w:iCs/>
          <w:sz w:val="20"/>
          <w:szCs w:val="20"/>
        </w:rPr>
        <w:t>dx</w:t>
      </w:r>
      <w:r w:rsidR="00522689" w:rsidRPr="00764EB6">
        <w:rPr>
          <w:sz w:val="20"/>
          <w:szCs w:val="20"/>
        </w:rPr>
        <w:t xml:space="preserve"> = 35), reflecting the two foci converging progressively closer to the mirror. This motivates the three representative heights carried into Sections 4.2–4.3 (1740, 1725, 1705 mm), which trace this trend rather than sampling arbitrarily.</w:t>
      </w:r>
    </w:p>
    <w:p w14:paraId="07399978" w14:textId="68013331" w:rsidR="005F3C42" w:rsidRPr="00522689" w:rsidRDefault="00522689" w:rsidP="00BA5EE8">
      <w:pPr>
        <w:spacing w:after="160" w:line="259" w:lineRule="auto"/>
        <w:jc w:val="both"/>
        <w:rPr>
          <w:sz w:val="20"/>
          <w:szCs w:val="20"/>
        </w:rPr>
      </w:pPr>
      <w:r w:rsidRPr="00764EB6">
        <w:rPr>
          <w:sz w:val="20"/>
          <w:szCs w:val="20"/>
        </w:rPr>
        <w:t xml:space="preserve">Two operating zones emerge from the full </w:t>
      </w:r>
      <w:r w:rsidRPr="000E7A80">
        <w:rPr>
          <w:i/>
          <w:iCs/>
          <w:sz w:val="20"/>
          <w:szCs w:val="20"/>
        </w:rPr>
        <w:t>H</w:t>
      </w:r>
      <w:r w:rsidRPr="000E7A80">
        <w:rPr>
          <w:i/>
          <w:iCs/>
          <w:sz w:val="20"/>
          <w:szCs w:val="20"/>
          <w:vertAlign w:val="subscript"/>
        </w:rPr>
        <w:t>R</w:t>
      </w:r>
      <w:r w:rsidR="000E7A80">
        <w:rPr>
          <w:i/>
          <w:iCs/>
          <w:sz w:val="20"/>
          <w:szCs w:val="20"/>
          <w:vertAlign w:val="subscript"/>
        </w:rPr>
        <w:t xml:space="preserve"> </w:t>
      </w:r>
      <w:r w:rsidRPr="00764EB6">
        <w:rPr>
          <w:sz w:val="20"/>
          <w:szCs w:val="20"/>
        </w:rPr>
        <w:t>–</w:t>
      </w:r>
      <w:r w:rsidR="000E7A80">
        <w:rPr>
          <w:sz w:val="20"/>
          <w:szCs w:val="20"/>
        </w:rPr>
        <w:t xml:space="preserve"> </w:t>
      </w:r>
      <w:r w:rsidR="009570AE" w:rsidRPr="009570AE">
        <w:rPr>
          <w:i/>
          <w:iCs/>
          <w:sz w:val="20"/>
          <w:szCs w:val="20"/>
        </w:rPr>
        <w:t>θ</w:t>
      </w:r>
      <w:r w:rsidRPr="00764EB6">
        <w:rPr>
          <w:sz w:val="20"/>
          <w:szCs w:val="20"/>
        </w:rPr>
        <w:t xml:space="preserve"> sweep</w:t>
      </w:r>
      <w:r w:rsidR="00EE665A">
        <w:rPr>
          <w:sz w:val="20"/>
          <w:szCs w:val="20"/>
        </w:rPr>
        <w:t xml:space="preserve"> (</w:t>
      </w:r>
      <w:r w:rsidR="0002134D">
        <w:rPr>
          <w:sz w:val="20"/>
          <w:szCs w:val="20"/>
        </w:rPr>
        <w:t>Fig. 3</w:t>
      </w:r>
      <w:r w:rsidR="00F165A9">
        <w:rPr>
          <w:sz w:val="20"/>
          <w:szCs w:val="20"/>
        </w:rPr>
        <w:t>b</w:t>
      </w:r>
      <w:r w:rsidR="00EE665A">
        <w:rPr>
          <w:sz w:val="20"/>
          <w:szCs w:val="20"/>
        </w:rPr>
        <w:t>)</w:t>
      </w:r>
      <w:r w:rsidRPr="00764EB6">
        <w:rPr>
          <w:sz w:val="20"/>
          <w:szCs w:val="20"/>
        </w:rPr>
        <w:t xml:space="preserve">. A </w:t>
      </w:r>
      <w:r w:rsidRPr="00006110">
        <w:rPr>
          <w:i/>
          <w:iCs/>
          <w:sz w:val="20"/>
          <w:szCs w:val="20"/>
        </w:rPr>
        <w:t>High-Precision Zone</w:t>
      </w:r>
      <w:r w:rsidRPr="00764EB6">
        <w:rPr>
          <w:sz w:val="20"/>
          <w:szCs w:val="20"/>
        </w:rPr>
        <w:t xml:space="preserve"> (</w:t>
      </w:r>
      <w:r w:rsidR="000E7A80" w:rsidRPr="000E7A80">
        <w:rPr>
          <w:i/>
          <w:iCs/>
          <w:sz w:val="20"/>
          <w:szCs w:val="20"/>
        </w:rPr>
        <w:t>H</w:t>
      </w:r>
      <w:r w:rsidR="000E7A80" w:rsidRPr="000E7A80">
        <w:rPr>
          <w:i/>
          <w:iCs/>
          <w:sz w:val="20"/>
          <w:szCs w:val="20"/>
          <w:vertAlign w:val="subscript"/>
        </w:rPr>
        <w:t>R</w:t>
      </w:r>
      <w:r w:rsidR="000E7A80">
        <w:rPr>
          <w:i/>
          <w:iCs/>
          <w:sz w:val="20"/>
          <w:szCs w:val="20"/>
          <w:vertAlign w:val="subscript"/>
        </w:rPr>
        <w:t xml:space="preserve"> </w:t>
      </w:r>
      <w:r w:rsidRPr="00764EB6">
        <w:rPr>
          <w:sz w:val="20"/>
          <w:szCs w:val="20"/>
        </w:rPr>
        <w:t xml:space="preserve">= 1725–1740 mm) remains within 5% of peak efficiency simultaneously across </w:t>
      </w:r>
      <w:r w:rsidR="009570AE" w:rsidRPr="009570AE">
        <w:rPr>
          <w:i/>
          <w:iCs/>
          <w:sz w:val="20"/>
          <w:szCs w:val="20"/>
        </w:rPr>
        <w:t>θ</w:t>
      </w:r>
      <w:r w:rsidRPr="00764EB6">
        <w:rPr>
          <w:sz w:val="20"/>
          <w:szCs w:val="20"/>
        </w:rPr>
        <w:t xml:space="preserve"> = 0–0.75°, </w:t>
      </w:r>
      <w:r w:rsidR="005B023F">
        <w:rPr>
          <w:sz w:val="20"/>
          <w:szCs w:val="20"/>
        </w:rPr>
        <w:t>favors</w:t>
      </w:r>
      <w:r w:rsidRPr="00764EB6">
        <w:rPr>
          <w:sz w:val="20"/>
          <w:szCs w:val="20"/>
        </w:rPr>
        <w:t xml:space="preserve"> </w:t>
      </w:r>
      <w:r w:rsidR="001E256D" w:rsidRPr="001E256D">
        <w:rPr>
          <w:i/>
          <w:iCs/>
          <w:sz w:val="20"/>
          <w:szCs w:val="20"/>
        </w:rPr>
        <w:t>dx</w:t>
      </w:r>
      <w:r w:rsidRPr="00764EB6">
        <w:rPr>
          <w:sz w:val="20"/>
          <w:szCs w:val="20"/>
        </w:rPr>
        <w:t xml:space="preserve"> </w:t>
      </w:r>
      <w:r w:rsidR="00CD5206">
        <w:rPr>
          <w:sz w:val="20"/>
          <w:szCs w:val="20"/>
        </w:rPr>
        <w:t>up to 2</w:t>
      </w:r>
      <w:r w:rsidR="005917E0">
        <w:rPr>
          <w:sz w:val="20"/>
          <w:szCs w:val="20"/>
        </w:rPr>
        <w:t>0</w:t>
      </w:r>
      <w:r w:rsidR="00CD5206">
        <w:rPr>
          <w:sz w:val="20"/>
          <w:szCs w:val="20"/>
        </w:rPr>
        <w:t xml:space="preserve"> mm,</w:t>
      </w:r>
      <w:r w:rsidRPr="00764EB6">
        <w:rPr>
          <w:sz w:val="20"/>
          <w:szCs w:val="20"/>
        </w:rPr>
        <w:t xml:space="preserve"> </w:t>
      </w:r>
      <w:r w:rsidR="00CD5206">
        <w:rPr>
          <w:sz w:val="20"/>
          <w:szCs w:val="20"/>
        </w:rPr>
        <w:t>however,</w:t>
      </w:r>
      <w:r w:rsidRPr="00764EB6">
        <w:rPr>
          <w:sz w:val="20"/>
          <w:szCs w:val="20"/>
        </w:rPr>
        <w:t xml:space="preserve"> requires tracking accuracy better than ~0.75°. A </w:t>
      </w:r>
      <w:r w:rsidRPr="00006110">
        <w:rPr>
          <w:i/>
          <w:iCs/>
          <w:sz w:val="20"/>
          <w:szCs w:val="20"/>
        </w:rPr>
        <w:t>High-Tolerance Zone</w:t>
      </w:r>
      <w:r w:rsidRPr="00764EB6">
        <w:rPr>
          <w:sz w:val="20"/>
          <w:szCs w:val="20"/>
        </w:rPr>
        <w:t xml:space="preserve"> exists for </w:t>
      </w:r>
      <w:r w:rsidR="009570AE" w:rsidRPr="009570AE">
        <w:rPr>
          <w:i/>
          <w:iCs/>
          <w:sz w:val="20"/>
          <w:szCs w:val="20"/>
        </w:rPr>
        <w:t>θ</w:t>
      </w:r>
      <w:r w:rsidRPr="00764EB6">
        <w:rPr>
          <w:sz w:val="20"/>
          <w:szCs w:val="20"/>
        </w:rPr>
        <w:t xml:space="preserve"> ≥ 1.0°</w:t>
      </w:r>
      <w:r w:rsidR="00C94132">
        <w:rPr>
          <w:sz w:val="20"/>
          <w:szCs w:val="20"/>
        </w:rPr>
        <w:t>, but it is not a fixed band;</w:t>
      </w:r>
      <w:r w:rsidRPr="00764EB6">
        <w:rPr>
          <w:sz w:val="20"/>
          <w:szCs w:val="20"/>
        </w:rPr>
        <w:t xml:space="preserve"> it drifts </w:t>
      </w:r>
      <w:r w:rsidRPr="00764EB6">
        <w:rPr>
          <w:sz w:val="20"/>
          <w:szCs w:val="20"/>
        </w:rPr>
        <w:lastRenderedPageBreak/>
        <w:t xml:space="preserve">from </w:t>
      </w:r>
      <w:r w:rsidR="000E7A80" w:rsidRPr="000E7A80">
        <w:rPr>
          <w:i/>
          <w:iCs/>
          <w:sz w:val="20"/>
          <w:szCs w:val="20"/>
        </w:rPr>
        <w:t>H</w:t>
      </w:r>
      <w:r w:rsidR="000E7A80" w:rsidRPr="000E7A80">
        <w:rPr>
          <w:i/>
          <w:iCs/>
          <w:sz w:val="20"/>
          <w:szCs w:val="20"/>
          <w:vertAlign w:val="subscript"/>
        </w:rPr>
        <w:t>R</w:t>
      </w:r>
      <w:r w:rsidRPr="00764EB6">
        <w:rPr>
          <w:sz w:val="20"/>
          <w:szCs w:val="20"/>
        </w:rPr>
        <w:t xml:space="preserve"> ≈ 1660–1715 mm at </w:t>
      </w:r>
      <w:r w:rsidR="009570AE" w:rsidRPr="009570AE">
        <w:rPr>
          <w:i/>
          <w:iCs/>
          <w:sz w:val="20"/>
          <w:szCs w:val="20"/>
        </w:rPr>
        <w:t>θ</w:t>
      </w:r>
      <w:r w:rsidRPr="00764EB6">
        <w:rPr>
          <w:sz w:val="20"/>
          <w:szCs w:val="20"/>
        </w:rPr>
        <w:t xml:space="preserve"> = 1.0° down to 1620–1650 mm at </w:t>
      </w:r>
      <w:r w:rsidR="009570AE" w:rsidRPr="009570AE">
        <w:rPr>
          <w:i/>
          <w:iCs/>
          <w:sz w:val="20"/>
          <w:szCs w:val="20"/>
        </w:rPr>
        <w:t>θ</w:t>
      </w:r>
      <w:r w:rsidRPr="00764EB6">
        <w:rPr>
          <w:sz w:val="20"/>
          <w:szCs w:val="20"/>
        </w:rPr>
        <w:t xml:space="preserve"> = 2.0°, so no single geometry stays optimal across the full tolerance range. The choice between these zones is a choice between two tracking-accuracy assumptions, not a single global optimum.</w:t>
      </w:r>
      <w:r w:rsidR="008A1C29">
        <w:rPr>
          <w:sz w:val="20"/>
          <w:szCs w:val="20"/>
        </w:rPr>
        <w:t xml:space="preserve"> Still, </w:t>
      </w:r>
      <w:r w:rsidR="009F0D49">
        <w:rPr>
          <w:sz w:val="20"/>
          <w:szCs w:val="20"/>
        </w:rPr>
        <w:t xml:space="preserve">higher </w:t>
      </w:r>
      <w:r w:rsidR="009F0D49" w:rsidRPr="00E60070">
        <w:rPr>
          <w:i/>
          <w:iCs/>
          <w:sz w:val="20"/>
          <w:szCs w:val="20"/>
        </w:rPr>
        <w:t>dx</w:t>
      </w:r>
      <w:r w:rsidR="009F0D49">
        <w:rPr>
          <w:sz w:val="20"/>
          <w:szCs w:val="20"/>
        </w:rPr>
        <w:t xml:space="preserve"> </w:t>
      </w:r>
      <w:r w:rsidR="00E60070">
        <w:rPr>
          <w:sz w:val="20"/>
          <w:szCs w:val="20"/>
        </w:rPr>
        <w:t>(</w:t>
      </w:r>
      <w:r w:rsidR="00DE7194">
        <w:rPr>
          <w:sz w:val="20"/>
          <w:szCs w:val="20"/>
        </w:rPr>
        <w:t>2</w:t>
      </w:r>
      <w:r w:rsidR="006D60D9">
        <w:rPr>
          <w:sz w:val="20"/>
          <w:szCs w:val="20"/>
        </w:rPr>
        <w:t>5</w:t>
      </w:r>
      <w:r w:rsidR="00DE7194">
        <w:rPr>
          <w:sz w:val="20"/>
          <w:szCs w:val="20"/>
        </w:rPr>
        <w:t>-35</w:t>
      </w:r>
      <w:r w:rsidR="00CA2717">
        <w:rPr>
          <w:sz w:val="20"/>
          <w:szCs w:val="20"/>
        </w:rPr>
        <w:t xml:space="preserve"> mm</w:t>
      </w:r>
      <w:r w:rsidR="00DE7194">
        <w:rPr>
          <w:sz w:val="20"/>
          <w:szCs w:val="20"/>
        </w:rPr>
        <w:t xml:space="preserve">) </w:t>
      </w:r>
      <w:r w:rsidR="009F0D49">
        <w:rPr>
          <w:sz w:val="20"/>
          <w:szCs w:val="20"/>
        </w:rPr>
        <w:t xml:space="preserve">shows better performance than </w:t>
      </w:r>
      <w:r w:rsidR="00BC2615">
        <w:rPr>
          <w:sz w:val="20"/>
          <w:szCs w:val="20"/>
        </w:rPr>
        <w:t xml:space="preserve">the </w:t>
      </w:r>
      <w:r w:rsidR="009F0D49">
        <w:rPr>
          <w:sz w:val="20"/>
          <w:szCs w:val="20"/>
        </w:rPr>
        <w:t>base</w:t>
      </w:r>
      <w:r w:rsidR="009E7CF0">
        <w:rPr>
          <w:sz w:val="20"/>
          <w:szCs w:val="20"/>
        </w:rPr>
        <w:t>line</w:t>
      </w:r>
      <w:r w:rsidR="009F0D49">
        <w:rPr>
          <w:sz w:val="20"/>
          <w:szCs w:val="20"/>
        </w:rPr>
        <w:t xml:space="preserve"> LS-III </w:t>
      </w:r>
      <w:r w:rsidR="009E7CF0">
        <w:rPr>
          <w:sz w:val="20"/>
          <w:szCs w:val="20"/>
        </w:rPr>
        <w:t xml:space="preserve">case </w:t>
      </w:r>
      <w:r w:rsidR="009F0D49">
        <w:rPr>
          <w:sz w:val="20"/>
          <w:szCs w:val="20"/>
        </w:rPr>
        <w:t xml:space="preserve">at every </w:t>
      </w:r>
      <w:r w:rsidR="009E7CF0" w:rsidRPr="009570AE">
        <w:rPr>
          <w:i/>
          <w:iCs/>
          <w:sz w:val="20"/>
          <w:szCs w:val="20"/>
        </w:rPr>
        <w:t>θ</w:t>
      </w:r>
      <w:r w:rsidR="009E7CF0" w:rsidRPr="00764EB6">
        <w:rPr>
          <w:sz w:val="20"/>
          <w:szCs w:val="20"/>
        </w:rPr>
        <w:t xml:space="preserve"> ≥ 1.0°</w:t>
      </w:r>
      <w:r w:rsidR="00E60070">
        <w:rPr>
          <w:sz w:val="20"/>
          <w:szCs w:val="20"/>
        </w:rPr>
        <w:t xml:space="preserve">. </w:t>
      </w:r>
    </w:p>
    <w:p w14:paraId="47C1463E" w14:textId="77777777" w:rsidR="005F3C42" w:rsidRPr="009F3902" w:rsidRDefault="005F3C42" w:rsidP="005F3C42">
      <w:pPr>
        <w:pStyle w:val="SWCText"/>
        <w:jc w:val="center"/>
      </w:pPr>
      <w:r w:rsidRPr="009F3902">
        <w:rPr>
          <w:noProof/>
        </w:rPr>
        <w:drawing>
          <wp:inline distT="0" distB="0" distL="0" distR="0" wp14:anchorId="4C79AE28" wp14:editId="3FE36EA2">
            <wp:extent cx="5470249" cy="2844000"/>
            <wp:effectExtent l="0" t="0" r="0" b="0"/>
            <wp:docPr id="331329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470249" cy="2844000"/>
                    </a:xfrm>
                    <a:prstGeom prst="rect">
                      <a:avLst/>
                    </a:prstGeom>
                    <a:noFill/>
                    <a:ln>
                      <a:noFill/>
                    </a:ln>
                  </pic:spPr>
                </pic:pic>
              </a:graphicData>
            </a:graphic>
          </wp:inline>
        </w:drawing>
      </w:r>
    </w:p>
    <w:p w14:paraId="5CB09476" w14:textId="2811BBFF" w:rsidR="005F3C42" w:rsidRDefault="0002134D" w:rsidP="005F3C42">
      <w:pPr>
        <w:pStyle w:val="SWCTableFigureCaption"/>
        <w:rPr>
          <w:i/>
          <w:iCs/>
          <w:vertAlign w:val="subscript"/>
        </w:rPr>
      </w:pPr>
      <w:r>
        <w:t>Fig. 3</w:t>
      </w:r>
      <w:r w:rsidR="005F3C42" w:rsidRPr="009F3902">
        <w:t xml:space="preserve">: Effect of split-focus geometry of optical efficiency with varying incidence angle: (a) </w:t>
      </w:r>
      <w:r w:rsidR="005F3C42" w:rsidRPr="009F3902">
        <w:rPr>
          <w:i/>
          <w:iCs/>
        </w:rPr>
        <w:t>H</w:t>
      </w:r>
      <w:r w:rsidR="005F3C42" w:rsidRPr="009F3902">
        <w:rPr>
          <w:i/>
          <w:iCs/>
          <w:vertAlign w:val="subscript"/>
        </w:rPr>
        <w:t>R</w:t>
      </w:r>
      <w:r w:rsidR="005F3C42" w:rsidRPr="009F3902">
        <w:t xml:space="preserve"> =focus, (b) variable </w:t>
      </w:r>
      <w:r w:rsidR="005F3C42" w:rsidRPr="009F3902">
        <w:rPr>
          <w:i/>
          <w:iCs/>
        </w:rPr>
        <w:t>H</w:t>
      </w:r>
      <w:r w:rsidR="005F3C42" w:rsidRPr="009F3902">
        <w:rPr>
          <w:i/>
          <w:iCs/>
          <w:vertAlign w:val="subscript"/>
        </w:rPr>
        <w:t>R</w:t>
      </w:r>
    </w:p>
    <w:p w14:paraId="43E84897" w14:textId="065C9180" w:rsidR="00C56D16" w:rsidRPr="009F3902" w:rsidRDefault="00C56D16" w:rsidP="00C56D16">
      <w:pPr>
        <w:pStyle w:val="SWCHeading11"/>
        <w:rPr>
          <w:lang w:val="en-US"/>
        </w:rPr>
      </w:pPr>
      <w:r>
        <w:rPr>
          <w:lang w:val="en-US"/>
        </w:rPr>
        <w:t>4</w:t>
      </w:r>
      <w:r w:rsidRPr="009F3902">
        <w:rPr>
          <w:lang w:val="en-US"/>
        </w:rPr>
        <w:t>.</w:t>
      </w:r>
      <w:r w:rsidR="002812B6">
        <w:rPr>
          <w:lang w:val="en-US"/>
        </w:rPr>
        <w:t>2</w:t>
      </w:r>
      <w:r w:rsidRPr="009F3902">
        <w:rPr>
          <w:lang w:val="en-US"/>
        </w:rPr>
        <w:t xml:space="preserve">. </w:t>
      </w:r>
      <w:r w:rsidR="0078622A">
        <w:rPr>
          <w:lang w:val="en-US"/>
        </w:rPr>
        <w:t>Effect</w:t>
      </w:r>
      <w:r w:rsidR="00507DE1" w:rsidRPr="00507DE1">
        <w:rPr>
          <w:lang w:val="en-US"/>
        </w:rPr>
        <w:t xml:space="preserve"> </w:t>
      </w:r>
      <w:r w:rsidR="0078622A">
        <w:rPr>
          <w:lang w:val="en-US"/>
        </w:rPr>
        <w:t>o</w:t>
      </w:r>
      <w:r w:rsidR="00507DE1" w:rsidRPr="00507DE1">
        <w:rPr>
          <w:lang w:val="en-US"/>
        </w:rPr>
        <w:t>n Circumferential Flux Distribution</w:t>
      </w:r>
    </w:p>
    <w:p w14:paraId="77597CAD" w14:textId="51F1A3A4" w:rsidR="00731CDA" w:rsidRPr="00731CDA" w:rsidRDefault="00C637A0" w:rsidP="009E261C">
      <w:pPr>
        <w:spacing w:after="160" w:line="259" w:lineRule="auto"/>
        <w:jc w:val="both"/>
        <w:rPr>
          <w:sz w:val="20"/>
          <w:szCs w:val="20"/>
          <w:lang w:val="en-IN"/>
        </w:rPr>
      </w:pPr>
      <w:r w:rsidRPr="00C637A0">
        <w:rPr>
          <w:sz w:val="20"/>
          <w:szCs w:val="20"/>
        </w:rPr>
        <w:t>The</w:t>
      </w:r>
      <w:r w:rsidR="00731CDA" w:rsidRPr="00731CDA">
        <w:rPr>
          <w:sz w:val="20"/>
          <w:szCs w:val="20"/>
          <w:lang w:val="en-IN"/>
        </w:rPr>
        <w:t xml:space="preserve"> split-focus design aims to homogenize the circumferential flux distribution and suppress localized hotspots. Fig. </w:t>
      </w:r>
      <w:r w:rsidR="00D9113F">
        <w:rPr>
          <w:sz w:val="20"/>
          <w:szCs w:val="20"/>
          <w:lang w:val="en-IN"/>
        </w:rPr>
        <w:t>4</w:t>
      </w:r>
      <w:r w:rsidR="00731CDA" w:rsidRPr="00731CDA">
        <w:rPr>
          <w:sz w:val="20"/>
          <w:szCs w:val="20"/>
          <w:lang w:val="en-IN"/>
        </w:rPr>
        <w:t xml:space="preserve"> shows the circumferential LCR profile at normal incidence for the three representative receiver heights.</w:t>
      </w:r>
    </w:p>
    <w:p w14:paraId="156A38D9" w14:textId="0EC6C4FA" w:rsidR="00731CDA" w:rsidRPr="009E261C" w:rsidRDefault="00731CDA" w:rsidP="00C637A0">
      <w:pPr>
        <w:spacing w:after="160" w:line="259" w:lineRule="auto"/>
        <w:jc w:val="both"/>
        <w:rPr>
          <w:sz w:val="20"/>
          <w:szCs w:val="20"/>
          <w:lang w:val="en-IN"/>
        </w:rPr>
      </w:pPr>
      <w:r w:rsidRPr="00731CDA">
        <w:rPr>
          <w:sz w:val="20"/>
          <w:szCs w:val="20"/>
          <w:lang w:val="en-IN"/>
        </w:rPr>
        <w:t>At the nominal focus (</w:t>
      </w:r>
      <w:r w:rsidRPr="006855C7">
        <w:rPr>
          <w:i/>
          <w:iCs/>
          <w:sz w:val="20"/>
          <w:szCs w:val="20"/>
          <w:lang w:val="en-IN"/>
        </w:rPr>
        <w:t>H</w:t>
      </w:r>
      <w:r w:rsidR="006855C7" w:rsidRPr="006855C7">
        <w:rPr>
          <w:i/>
          <w:iCs/>
          <w:sz w:val="20"/>
          <w:szCs w:val="20"/>
          <w:vertAlign w:val="subscript"/>
          <w:lang w:val="en-IN"/>
        </w:rPr>
        <w:t>R</w:t>
      </w:r>
      <w:r w:rsidRPr="00731CDA">
        <w:rPr>
          <w:sz w:val="20"/>
          <w:szCs w:val="20"/>
          <w:lang w:val="en-IN"/>
        </w:rPr>
        <w:t xml:space="preserve"> = 1740 mm), the conventional case is compact and moderately peaked, and a lateral shift does not resolve into two separate hotspots at small dx, since the two focal images </w:t>
      </w:r>
      <w:r w:rsidR="00D9113F">
        <w:rPr>
          <w:sz w:val="20"/>
          <w:szCs w:val="20"/>
          <w:lang w:val="en-IN"/>
        </w:rPr>
        <w:t xml:space="preserve">are close enough to overlap and reinforce each other </w:t>
      </w:r>
      <w:r w:rsidRPr="00731CDA">
        <w:rPr>
          <w:sz w:val="20"/>
          <w:szCs w:val="20"/>
          <w:lang w:val="en-IN"/>
        </w:rPr>
        <w:t>rather than separate, sharpening the peak instead of flattening it. The moderately lowered height (</w:t>
      </w:r>
      <w:r w:rsidR="006855C7" w:rsidRPr="006855C7">
        <w:rPr>
          <w:i/>
          <w:iCs/>
          <w:sz w:val="20"/>
          <w:szCs w:val="20"/>
          <w:lang w:val="en-IN"/>
        </w:rPr>
        <w:t>H</w:t>
      </w:r>
      <w:r w:rsidR="006855C7" w:rsidRPr="006855C7">
        <w:rPr>
          <w:i/>
          <w:iCs/>
          <w:sz w:val="20"/>
          <w:szCs w:val="20"/>
          <w:vertAlign w:val="subscript"/>
          <w:lang w:val="en-IN"/>
        </w:rPr>
        <w:t>R</w:t>
      </w:r>
      <w:r w:rsidRPr="00731CDA">
        <w:rPr>
          <w:sz w:val="20"/>
          <w:szCs w:val="20"/>
          <w:lang w:val="en-IN"/>
        </w:rPr>
        <w:t xml:space="preserve"> = 1725 mm) tells a more instructive story. With no lateral shift, defocus alone leaves an asymmetric, front-loaded profile, strongly peaked at the shoulders near ±80–90° but markedly deficient at the tube's lowest point, an imbalance vertical defocus by itself does not correct. A small lateral shift closes this gap directly, lifting the deficient bottom toward the shoulder level and, over this narrow window, holding peak flux essentially flat or marginally improved. Pushed further, the same mechanism overcorrects, and the two focal images separate enough to reconcentrate flux into a sharp central peak, driving both peak flux and dispersion back up. At the lowest height tested (</w:t>
      </w:r>
      <w:r w:rsidR="006855C7" w:rsidRPr="006855C7">
        <w:rPr>
          <w:i/>
          <w:iCs/>
          <w:sz w:val="20"/>
          <w:szCs w:val="20"/>
          <w:lang w:val="en-IN"/>
        </w:rPr>
        <w:t>H</w:t>
      </w:r>
      <w:r w:rsidR="006855C7" w:rsidRPr="006855C7">
        <w:rPr>
          <w:i/>
          <w:iCs/>
          <w:sz w:val="20"/>
          <w:szCs w:val="20"/>
          <w:vertAlign w:val="subscript"/>
          <w:lang w:val="en-IN"/>
        </w:rPr>
        <w:t>R</w:t>
      </w:r>
      <w:r w:rsidRPr="00731CDA">
        <w:rPr>
          <w:sz w:val="20"/>
          <w:szCs w:val="20"/>
          <w:lang w:val="en-IN"/>
        </w:rPr>
        <w:t xml:space="preserve"> = 1705 mm), vertical defocus alone already produces a shallow, well-balanced saddle between the bottom and the shoulders, so this deficiency does not appear</w:t>
      </w:r>
      <w:r w:rsidR="00D9113F">
        <w:rPr>
          <w:sz w:val="20"/>
          <w:szCs w:val="20"/>
          <w:lang w:val="en-IN"/>
        </w:rPr>
        <w:t>,</w:t>
      </w:r>
      <w:r w:rsidRPr="00731CDA">
        <w:rPr>
          <w:sz w:val="20"/>
          <w:szCs w:val="20"/>
          <w:lang w:val="en-IN"/>
        </w:rPr>
        <w:t xml:space="preserve"> and the same moderate-shift correction is unnecessary. Taken together, these three heights show that receiver height and focal split are not independent levers even at normal incidence. Height alone can leave a real asymmetry uncorrected, a bounded lateral shift can resolve it, and only an excessive shift works against uniformity.</w:t>
      </w:r>
    </w:p>
    <w:p w14:paraId="3E3DB2A7" w14:textId="77777777" w:rsidR="003D4A88" w:rsidRPr="003D4A88" w:rsidRDefault="003D4A88" w:rsidP="003D4A88">
      <w:pPr>
        <w:pStyle w:val="SWCText"/>
        <w:jc w:val="center"/>
        <w:rPr>
          <w:lang w:val="en-IN"/>
        </w:rPr>
      </w:pPr>
      <w:r w:rsidRPr="003D4A88">
        <w:rPr>
          <w:noProof/>
          <w:lang w:val="en-IN"/>
        </w:rPr>
        <w:drawing>
          <wp:inline distT="0" distB="0" distL="0" distR="0" wp14:anchorId="646BE2E8" wp14:editId="1D60094D">
            <wp:extent cx="5761990" cy="1992630"/>
            <wp:effectExtent l="0" t="0" r="0" b="7620"/>
            <wp:docPr id="30590811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1990" cy="1992630"/>
                    </a:xfrm>
                    <a:prstGeom prst="rect">
                      <a:avLst/>
                    </a:prstGeom>
                    <a:noFill/>
                    <a:ln>
                      <a:noFill/>
                    </a:ln>
                  </pic:spPr>
                </pic:pic>
              </a:graphicData>
            </a:graphic>
          </wp:inline>
        </w:drawing>
      </w:r>
    </w:p>
    <w:p w14:paraId="4E59C1C8" w14:textId="008E70EF" w:rsidR="003D4A88" w:rsidRDefault="0002134D" w:rsidP="003D4A88">
      <w:pPr>
        <w:pStyle w:val="SWCTableFigureCaption"/>
      </w:pPr>
      <w:r>
        <w:t>Fig. 4</w:t>
      </w:r>
      <w:r w:rsidR="003D4A88" w:rsidRPr="009F3902">
        <w:t xml:space="preserve">: Flux distribution profile on the receiver circumference at </w:t>
      </w:r>
      <w:r w:rsidR="009570AE" w:rsidRPr="009570AE">
        <w:rPr>
          <w:i/>
          <w:iCs/>
        </w:rPr>
        <w:t>θ</w:t>
      </w:r>
      <w:r w:rsidR="003D4A88" w:rsidRPr="009F3902">
        <w:rPr>
          <w:i/>
          <w:iCs/>
        </w:rPr>
        <w:t xml:space="preserve"> </w:t>
      </w:r>
      <w:r w:rsidR="003D4A88" w:rsidRPr="009F3902">
        <w:t>= 0°</w:t>
      </w:r>
      <w:r w:rsidR="006D3287">
        <w:t xml:space="preserve"> </w:t>
      </w:r>
      <w:r w:rsidR="00FC41AE">
        <w:t>for</w:t>
      </w:r>
      <w:r w:rsidR="003D4A88" w:rsidRPr="009F3902">
        <w:t xml:space="preserve"> (a) </w:t>
      </w:r>
      <w:r w:rsidR="003D4A88" w:rsidRPr="009F3902">
        <w:rPr>
          <w:i/>
          <w:iCs/>
        </w:rPr>
        <w:t>H</w:t>
      </w:r>
      <w:r w:rsidR="003D4A88" w:rsidRPr="009F3902">
        <w:rPr>
          <w:i/>
          <w:iCs/>
          <w:vertAlign w:val="subscript"/>
        </w:rPr>
        <w:t>R</w:t>
      </w:r>
      <w:r w:rsidR="003D4A88" w:rsidRPr="009F3902">
        <w:t xml:space="preserve"> = 1740, (b) </w:t>
      </w:r>
      <w:r w:rsidR="003D4A88" w:rsidRPr="009F3902">
        <w:rPr>
          <w:i/>
          <w:iCs/>
        </w:rPr>
        <w:t>H</w:t>
      </w:r>
      <w:r w:rsidR="003D4A88" w:rsidRPr="009F3902">
        <w:rPr>
          <w:i/>
          <w:iCs/>
          <w:vertAlign w:val="subscript"/>
        </w:rPr>
        <w:t>R</w:t>
      </w:r>
      <w:r w:rsidR="003D4A88" w:rsidRPr="009F3902">
        <w:t xml:space="preserve"> = 17</w:t>
      </w:r>
      <w:r w:rsidR="0015509F">
        <w:t>2</w:t>
      </w:r>
      <w:r w:rsidR="003D4A88" w:rsidRPr="009F3902">
        <w:t xml:space="preserve">5, (c) </w:t>
      </w:r>
      <w:r w:rsidR="001861B8" w:rsidRPr="009F3902">
        <w:rPr>
          <w:i/>
          <w:iCs/>
        </w:rPr>
        <w:t>H</w:t>
      </w:r>
      <w:r w:rsidR="001861B8" w:rsidRPr="009F3902">
        <w:rPr>
          <w:i/>
          <w:iCs/>
          <w:vertAlign w:val="subscript"/>
        </w:rPr>
        <w:t>R</w:t>
      </w:r>
      <w:r w:rsidR="001861B8" w:rsidRPr="009F3902">
        <w:t xml:space="preserve"> = 17</w:t>
      </w:r>
      <w:r w:rsidR="001861B8">
        <w:t>05</w:t>
      </w:r>
    </w:p>
    <w:p w14:paraId="2CCADDFF" w14:textId="11622333" w:rsidR="00D830E9" w:rsidRPr="00D830E9" w:rsidRDefault="00D830E9" w:rsidP="00D830E9">
      <w:pPr>
        <w:spacing w:after="160" w:line="259" w:lineRule="auto"/>
        <w:jc w:val="both"/>
        <w:rPr>
          <w:sz w:val="20"/>
          <w:szCs w:val="20"/>
          <w:lang w:val="en-IN"/>
        </w:rPr>
      </w:pPr>
      <w:r w:rsidRPr="00D830E9">
        <w:rPr>
          <w:sz w:val="20"/>
          <w:szCs w:val="20"/>
          <w:lang w:val="en-IN"/>
        </w:rPr>
        <w:lastRenderedPageBreak/>
        <w:t xml:space="preserve">Tracking error is unavoidable in operating CSP fields, and Fig. </w:t>
      </w:r>
      <w:r w:rsidR="00FC345E">
        <w:rPr>
          <w:sz w:val="20"/>
          <w:szCs w:val="20"/>
          <w:lang w:val="en-IN"/>
        </w:rPr>
        <w:t>5</w:t>
      </w:r>
      <w:r w:rsidRPr="00D830E9">
        <w:rPr>
          <w:sz w:val="20"/>
          <w:szCs w:val="20"/>
          <w:lang w:val="en-IN"/>
        </w:rPr>
        <w:t xml:space="preserve"> shows how the same three geometries respond to a representative 0.75° off-axis condition. In the conventional baseline, tilting the incident beam breaks circumferential symmetry outright. The reflected bundle drifts as a single unit, and at </w:t>
      </w:r>
      <w:r w:rsidR="006855C7" w:rsidRPr="006855C7">
        <w:rPr>
          <w:i/>
          <w:iCs/>
          <w:sz w:val="20"/>
          <w:szCs w:val="20"/>
          <w:lang w:val="en-IN"/>
        </w:rPr>
        <w:t>H</w:t>
      </w:r>
      <w:r w:rsidR="006855C7" w:rsidRPr="006855C7">
        <w:rPr>
          <w:i/>
          <w:iCs/>
          <w:sz w:val="20"/>
          <w:szCs w:val="20"/>
          <w:vertAlign w:val="subscript"/>
          <w:lang w:val="en-IN"/>
        </w:rPr>
        <w:t>R</w:t>
      </w:r>
      <w:r w:rsidRPr="00D830E9">
        <w:rPr>
          <w:sz w:val="20"/>
          <w:szCs w:val="20"/>
          <w:lang w:val="en-IN"/>
        </w:rPr>
        <w:t xml:space="preserve"> = 1705 mm the broad shoulders seen at normal incidence collapse into one asymmetric peak, nearly doubling peak flux and roughly doubling flux non-uniformity relative to perfect tracking.</w:t>
      </w:r>
    </w:p>
    <w:p w14:paraId="2B6176E8" w14:textId="15489D55" w:rsidR="007D7547" w:rsidRPr="00764EB6" w:rsidRDefault="00D830E9" w:rsidP="00A51946">
      <w:pPr>
        <w:spacing w:after="160" w:line="259" w:lineRule="auto"/>
        <w:jc w:val="both"/>
        <w:rPr>
          <w:sz w:val="20"/>
          <w:szCs w:val="20"/>
        </w:rPr>
      </w:pPr>
      <w:r w:rsidRPr="00D830E9">
        <w:rPr>
          <w:sz w:val="20"/>
          <w:szCs w:val="20"/>
          <w:lang w:val="en-IN"/>
        </w:rPr>
        <w:t xml:space="preserve">A lateral focal split </w:t>
      </w:r>
      <w:r w:rsidR="006F70B7">
        <w:rPr>
          <w:sz w:val="20"/>
          <w:szCs w:val="20"/>
          <w:lang w:val="en-IN"/>
        </w:rPr>
        <w:t>directly counteracts this</w:t>
      </w:r>
      <w:r w:rsidRPr="00D830E9">
        <w:rPr>
          <w:sz w:val="20"/>
          <w:szCs w:val="20"/>
          <w:lang w:val="en-IN"/>
        </w:rPr>
        <w:t xml:space="preserve">. Because the ray bundle now has two aim points rather than one, part of what a single-focus receiver would lose to the tilt is recaptured through the second focus, spreading the drifted beam back across a wider arc instead of concentrating it on one side. At </w:t>
      </w:r>
      <w:r w:rsidR="006855C7" w:rsidRPr="006855C7">
        <w:rPr>
          <w:i/>
          <w:iCs/>
          <w:sz w:val="20"/>
          <w:szCs w:val="20"/>
          <w:lang w:val="en-IN"/>
        </w:rPr>
        <w:t>H</w:t>
      </w:r>
      <w:r w:rsidR="006855C7" w:rsidRPr="006855C7">
        <w:rPr>
          <w:i/>
          <w:iCs/>
          <w:sz w:val="20"/>
          <w:szCs w:val="20"/>
          <w:vertAlign w:val="subscript"/>
          <w:lang w:val="en-IN"/>
        </w:rPr>
        <w:t>R</w:t>
      </w:r>
      <w:r w:rsidRPr="00D830E9">
        <w:rPr>
          <w:sz w:val="20"/>
          <w:szCs w:val="20"/>
          <w:lang w:val="en-IN"/>
        </w:rPr>
        <w:t xml:space="preserve"> = 1705 and 1725 mm, widening </w:t>
      </w:r>
      <w:r w:rsidR="001E6998">
        <w:rPr>
          <w:sz w:val="20"/>
          <w:szCs w:val="20"/>
          <w:lang w:val="en-IN"/>
        </w:rPr>
        <w:t xml:space="preserve">the dx to 25–30 mm lowers the </w:t>
      </w:r>
      <w:r w:rsidRPr="00D830E9">
        <w:rPr>
          <w:sz w:val="20"/>
          <w:szCs w:val="20"/>
          <w:lang w:val="en-IN"/>
        </w:rPr>
        <w:t>peak flux by 24–31% relative to the untilted-focus case at the same height, with flux uniformity recovering substantially over the same range. This is the design's central function under realistic operating conditions</w:t>
      </w:r>
      <w:r w:rsidR="003F1895">
        <w:rPr>
          <w:sz w:val="20"/>
          <w:szCs w:val="20"/>
          <w:lang w:val="en-IN"/>
        </w:rPr>
        <w:t>,</w:t>
      </w:r>
      <w:r w:rsidR="006F70B7">
        <w:rPr>
          <w:sz w:val="20"/>
          <w:szCs w:val="20"/>
          <w:lang w:val="en-IN"/>
        </w:rPr>
        <w:t xml:space="preserve"> not a general-purpose uniformity improvement, but a specific safeguard against the flux collapse </w:t>
      </w:r>
      <w:r w:rsidR="005A3C24">
        <w:rPr>
          <w:sz w:val="20"/>
          <w:szCs w:val="20"/>
          <w:lang w:val="en-IN"/>
        </w:rPr>
        <w:t>that a single-focus receiver suffers the moment tracking is imperfect, which is expected to limit the asymmetric thermal loading associated with</w:t>
      </w:r>
      <w:r w:rsidR="00916071" w:rsidRPr="00916071">
        <w:rPr>
          <w:sz w:val="20"/>
          <w:szCs w:val="20"/>
          <w:lang w:val="en-IN"/>
        </w:rPr>
        <w:t xml:space="preserve"> bowing and seal fatigue.</w:t>
      </w:r>
    </w:p>
    <w:p w14:paraId="40E59DEC" w14:textId="1C499E89" w:rsidR="00C56D16" w:rsidRPr="009F3902" w:rsidRDefault="00C56D16" w:rsidP="00C56D16">
      <w:pPr>
        <w:pStyle w:val="SWCTableFigureCaption"/>
      </w:pPr>
    </w:p>
    <w:p w14:paraId="490A2525" w14:textId="2C3FED48" w:rsidR="00A16EE7" w:rsidRPr="00A16EE7" w:rsidRDefault="00A16EE7" w:rsidP="00A16EE7">
      <w:pPr>
        <w:pStyle w:val="SWCText"/>
        <w:jc w:val="center"/>
        <w:rPr>
          <w:lang w:val="en-IN"/>
        </w:rPr>
      </w:pPr>
      <w:r w:rsidRPr="00A16EE7">
        <w:rPr>
          <w:noProof/>
          <w:lang w:val="en-IN"/>
        </w:rPr>
        <w:drawing>
          <wp:inline distT="0" distB="0" distL="0" distR="0" wp14:anchorId="242C0D62" wp14:editId="7FD5AFAB">
            <wp:extent cx="5761990" cy="1992630"/>
            <wp:effectExtent l="0" t="0" r="0" b="7620"/>
            <wp:docPr id="195164662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1990" cy="1992630"/>
                    </a:xfrm>
                    <a:prstGeom prst="rect">
                      <a:avLst/>
                    </a:prstGeom>
                    <a:noFill/>
                    <a:ln>
                      <a:noFill/>
                    </a:ln>
                  </pic:spPr>
                </pic:pic>
              </a:graphicData>
            </a:graphic>
          </wp:inline>
        </w:drawing>
      </w:r>
    </w:p>
    <w:p w14:paraId="0C9CB5D6" w14:textId="3A96945E" w:rsidR="005F3C42" w:rsidRDefault="0002134D" w:rsidP="005F3C42">
      <w:pPr>
        <w:pStyle w:val="SWCTableFigureCaption"/>
      </w:pPr>
      <w:r>
        <w:t>Fig. 5</w:t>
      </w:r>
      <w:r w:rsidR="005F3C42" w:rsidRPr="009F3902">
        <w:t xml:space="preserve">: Flux </w:t>
      </w:r>
      <w:r w:rsidR="00482705" w:rsidRPr="009F3902">
        <w:t xml:space="preserve">distribution profile on the receiver circumference at </w:t>
      </w:r>
      <w:r w:rsidR="00482705" w:rsidRPr="009570AE">
        <w:rPr>
          <w:i/>
          <w:iCs/>
        </w:rPr>
        <w:t>θ</w:t>
      </w:r>
      <w:r w:rsidR="00482705" w:rsidRPr="009F3902">
        <w:rPr>
          <w:i/>
          <w:iCs/>
        </w:rPr>
        <w:t xml:space="preserve"> </w:t>
      </w:r>
      <w:r w:rsidR="00482705" w:rsidRPr="009F3902">
        <w:t>= 0</w:t>
      </w:r>
      <w:r w:rsidR="00482705">
        <w:t>.75</w:t>
      </w:r>
      <w:r w:rsidR="00482705" w:rsidRPr="009F3902">
        <w:t>°</w:t>
      </w:r>
      <w:r w:rsidR="00482705">
        <w:t xml:space="preserve"> </w:t>
      </w:r>
      <w:r w:rsidR="00FC41AE">
        <w:t>for</w:t>
      </w:r>
      <w:r w:rsidR="00482705" w:rsidRPr="009F3902">
        <w:t xml:space="preserve"> (a) </w:t>
      </w:r>
      <w:r w:rsidR="00482705" w:rsidRPr="009F3902">
        <w:rPr>
          <w:i/>
          <w:iCs/>
        </w:rPr>
        <w:t>H</w:t>
      </w:r>
      <w:r w:rsidR="00482705" w:rsidRPr="009F3902">
        <w:rPr>
          <w:i/>
          <w:iCs/>
          <w:vertAlign w:val="subscript"/>
        </w:rPr>
        <w:t>R</w:t>
      </w:r>
      <w:r w:rsidR="00482705" w:rsidRPr="009F3902">
        <w:t xml:space="preserve"> = 1740, (b) </w:t>
      </w:r>
      <w:r w:rsidR="00482705" w:rsidRPr="009F3902">
        <w:rPr>
          <w:i/>
          <w:iCs/>
        </w:rPr>
        <w:t>H</w:t>
      </w:r>
      <w:r w:rsidR="00482705" w:rsidRPr="009F3902">
        <w:rPr>
          <w:i/>
          <w:iCs/>
          <w:vertAlign w:val="subscript"/>
        </w:rPr>
        <w:t>R</w:t>
      </w:r>
      <w:r w:rsidR="00482705" w:rsidRPr="009F3902">
        <w:t xml:space="preserve"> = 17</w:t>
      </w:r>
      <w:r w:rsidR="00482705">
        <w:t>2</w:t>
      </w:r>
      <w:r w:rsidR="00482705" w:rsidRPr="009F3902">
        <w:t xml:space="preserve">5, (c) </w:t>
      </w:r>
      <w:r w:rsidR="00482705" w:rsidRPr="009F3902">
        <w:rPr>
          <w:i/>
          <w:iCs/>
        </w:rPr>
        <w:t>H</w:t>
      </w:r>
      <w:r w:rsidR="00482705" w:rsidRPr="009F3902">
        <w:rPr>
          <w:i/>
          <w:iCs/>
          <w:vertAlign w:val="subscript"/>
        </w:rPr>
        <w:t>R</w:t>
      </w:r>
      <w:r w:rsidR="00482705" w:rsidRPr="009F3902">
        <w:t xml:space="preserve"> = 17</w:t>
      </w:r>
      <w:r w:rsidR="00482705">
        <w:t>05</w:t>
      </w:r>
    </w:p>
    <w:p w14:paraId="3A7624DA" w14:textId="780A762E" w:rsidR="00A51946" w:rsidRPr="009F3902" w:rsidRDefault="00A51946" w:rsidP="00A51946">
      <w:pPr>
        <w:pStyle w:val="SWCHeading11"/>
        <w:rPr>
          <w:lang w:val="en-US"/>
        </w:rPr>
      </w:pPr>
      <w:r>
        <w:rPr>
          <w:lang w:val="en-US"/>
        </w:rPr>
        <w:t>4</w:t>
      </w:r>
      <w:r w:rsidRPr="009F3902">
        <w:rPr>
          <w:lang w:val="en-US"/>
        </w:rPr>
        <w:t>.</w:t>
      </w:r>
      <w:r w:rsidR="00A61A8B">
        <w:rPr>
          <w:lang w:val="en-US"/>
        </w:rPr>
        <w:t>3</w:t>
      </w:r>
      <w:r w:rsidRPr="009F3902">
        <w:rPr>
          <w:lang w:val="en-US"/>
        </w:rPr>
        <w:t xml:space="preserve">. </w:t>
      </w:r>
      <w:r w:rsidR="00A61A8B" w:rsidRPr="00A61A8B">
        <w:rPr>
          <w:lang w:val="en-US"/>
        </w:rPr>
        <w:t>Weighted Score Analysis</w:t>
      </w:r>
    </w:p>
    <w:p w14:paraId="7AB02890" w14:textId="57748012" w:rsidR="00D04D1A" w:rsidRPr="00D04D1A" w:rsidRDefault="00116D24" w:rsidP="00D04D1A">
      <w:pPr>
        <w:spacing w:after="160" w:line="259" w:lineRule="auto"/>
        <w:jc w:val="both"/>
        <w:rPr>
          <w:sz w:val="20"/>
          <w:szCs w:val="20"/>
          <w:lang w:val="en-IN"/>
        </w:rPr>
      </w:pPr>
      <w:r>
        <w:rPr>
          <w:sz w:val="20"/>
          <w:szCs w:val="20"/>
        </w:rPr>
        <w:t>Fig. 6</w:t>
      </w:r>
      <w:r w:rsidR="00D04D1A" w:rsidRPr="00D04D1A">
        <w:rPr>
          <w:sz w:val="20"/>
          <w:szCs w:val="20"/>
          <w:lang w:val="en-IN"/>
        </w:rPr>
        <w:t xml:space="preserve"> reports the composite score </w:t>
      </w:r>
      <w:r w:rsidR="00D04D1A" w:rsidRPr="00D179A0">
        <w:rPr>
          <w:i/>
          <w:iCs/>
          <w:sz w:val="20"/>
          <w:szCs w:val="20"/>
          <w:lang w:val="en-IN"/>
        </w:rPr>
        <w:t>S</w:t>
      </w:r>
      <w:r w:rsidR="00D04D1A" w:rsidRPr="00D04D1A">
        <w:rPr>
          <w:sz w:val="20"/>
          <w:szCs w:val="20"/>
          <w:lang w:val="en-IN"/>
        </w:rPr>
        <w:t xml:space="preserve"> (eq. 1</w:t>
      </w:r>
      <w:r>
        <w:rPr>
          <w:sz w:val="20"/>
          <w:szCs w:val="20"/>
          <w:lang w:val="en-IN"/>
        </w:rPr>
        <w:t>1</w:t>
      </w:r>
      <w:r w:rsidR="00D04D1A" w:rsidRPr="00D04D1A">
        <w:rPr>
          <w:sz w:val="20"/>
          <w:szCs w:val="20"/>
          <w:lang w:val="en-IN"/>
        </w:rPr>
        <w:t xml:space="preserve">) for every combination of receiver height and focal shift, at normal incidence and under a representative 0.75° tracking error, with </w:t>
      </w:r>
      <w:r w:rsidR="007C2994">
        <w:rPr>
          <w:sz w:val="20"/>
          <w:szCs w:val="20"/>
          <w:lang w:val="en-IN"/>
        </w:rPr>
        <w:t>color</w:t>
      </w:r>
      <w:r w:rsidR="00D04D1A" w:rsidRPr="00D04D1A">
        <w:rPr>
          <w:sz w:val="20"/>
          <w:szCs w:val="20"/>
          <w:lang w:val="en-IN"/>
        </w:rPr>
        <w:t xml:space="preserve"> indicating relative performance on a shared scale. The pattern </w:t>
      </w:r>
      <w:r w:rsidR="00D179A0">
        <w:rPr>
          <w:sz w:val="20"/>
          <w:szCs w:val="20"/>
          <w:lang w:val="en-IN"/>
        </w:rPr>
        <w:t xml:space="preserve">revealed by </w:t>
      </w:r>
      <w:r w:rsidR="00ED3DD4">
        <w:rPr>
          <w:sz w:val="20"/>
          <w:szCs w:val="20"/>
          <w:lang w:val="en-IN"/>
        </w:rPr>
        <w:t>Fig.</w:t>
      </w:r>
      <w:r w:rsidR="0085203A">
        <w:rPr>
          <w:sz w:val="20"/>
          <w:szCs w:val="20"/>
          <w:lang w:val="en-IN"/>
        </w:rPr>
        <w:t xml:space="preserve"> 6</w:t>
      </w:r>
      <w:r w:rsidR="00D179A0">
        <w:rPr>
          <w:sz w:val="20"/>
          <w:szCs w:val="20"/>
          <w:lang w:val="en-IN"/>
        </w:rPr>
        <w:t xml:space="preserve"> is that receiver height and focal shift are not substitutes</w:t>
      </w:r>
      <w:r w:rsidR="007C2994">
        <w:rPr>
          <w:sz w:val="20"/>
          <w:szCs w:val="20"/>
          <w:lang w:val="en-IN"/>
        </w:rPr>
        <w:t>;</w:t>
      </w:r>
      <w:r w:rsidR="00D04D1A" w:rsidRPr="00D04D1A">
        <w:rPr>
          <w:sz w:val="20"/>
          <w:szCs w:val="20"/>
          <w:lang w:val="en-IN"/>
        </w:rPr>
        <w:t xml:space="preserve"> they are complementary, and a design that combines a lowered receiver with a moderate focal shift outperforms the traditional single-focus geometry under both ideal and realistic tracking conditions.</w:t>
      </w:r>
    </w:p>
    <w:p w14:paraId="53112402" w14:textId="40C7A316" w:rsidR="00D04D1A" w:rsidRPr="00D04D1A" w:rsidRDefault="00D04D1A" w:rsidP="00D04D1A">
      <w:pPr>
        <w:spacing w:after="160" w:line="259" w:lineRule="auto"/>
        <w:jc w:val="both"/>
        <w:rPr>
          <w:sz w:val="20"/>
          <w:szCs w:val="20"/>
          <w:lang w:val="en-IN"/>
        </w:rPr>
      </w:pPr>
      <w:r w:rsidRPr="00D04D1A">
        <w:rPr>
          <w:sz w:val="20"/>
          <w:szCs w:val="20"/>
          <w:lang w:val="en-IN"/>
        </w:rPr>
        <w:t xml:space="preserve">Reducing receiver height alone accounts for most of the gain achievable at normal incidence, reaching </w:t>
      </w:r>
      <w:r w:rsidRPr="00D179A0">
        <w:rPr>
          <w:i/>
          <w:iCs/>
          <w:sz w:val="20"/>
          <w:szCs w:val="20"/>
          <w:lang w:val="en-IN"/>
        </w:rPr>
        <w:t>S</w:t>
      </w:r>
      <w:r w:rsidRPr="00D04D1A">
        <w:rPr>
          <w:sz w:val="20"/>
          <w:szCs w:val="20"/>
          <w:lang w:val="en-IN"/>
        </w:rPr>
        <w:t xml:space="preserve"> = 35.7 at </w:t>
      </w:r>
      <w:r w:rsidRPr="00D179A0">
        <w:rPr>
          <w:i/>
          <w:iCs/>
          <w:sz w:val="20"/>
          <w:szCs w:val="20"/>
          <w:lang w:val="en-IN"/>
        </w:rPr>
        <w:t>H</w:t>
      </w:r>
      <w:r w:rsidR="00D179A0" w:rsidRPr="00D179A0">
        <w:rPr>
          <w:i/>
          <w:iCs/>
          <w:sz w:val="20"/>
          <w:szCs w:val="20"/>
          <w:vertAlign w:val="subscript"/>
          <w:lang w:val="en-IN"/>
        </w:rPr>
        <w:t>R</w:t>
      </w:r>
      <w:r w:rsidRPr="00D04D1A">
        <w:rPr>
          <w:sz w:val="20"/>
          <w:szCs w:val="20"/>
          <w:lang w:val="en-IN"/>
        </w:rPr>
        <w:t xml:space="preserve"> = 1705 mm with no lateral shift. </w:t>
      </w:r>
      <w:r w:rsidR="001E6998">
        <w:rPr>
          <w:sz w:val="20"/>
          <w:szCs w:val="20"/>
          <w:lang w:val="en-IN"/>
        </w:rPr>
        <w:t>However,</w:t>
      </w:r>
      <w:r w:rsidRPr="00D04D1A">
        <w:rPr>
          <w:sz w:val="20"/>
          <w:szCs w:val="20"/>
          <w:lang w:val="en-IN"/>
        </w:rPr>
        <w:t xml:space="preserve"> this height alone is not </w:t>
      </w:r>
      <w:r w:rsidR="006465F3">
        <w:rPr>
          <w:sz w:val="20"/>
          <w:szCs w:val="20"/>
          <w:lang w:val="en-IN"/>
        </w:rPr>
        <w:t xml:space="preserve">sufficient once tracking error is introduced; in that case, the same geometry yields </w:t>
      </w:r>
      <w:r w:rsidR="006465F3" w:rsidRPr="00562921">
        <w:rPr>
          <w:i/>
          <w:iCs/>
          <w:sz w:val="20"/>
          <w:szCs w:val="20"/>
          <w:lang w:val="en-IN"/>
        </w:rPr>
        <w:t>S</w:t>
      </w:r>
      <w:r w:rsidR="006465F3">
        <w:rPr>
          <w:sz w:val="20"/>
          <w:szCs w:val="20"/>
          <w:lang w:val="en-IN"/>
        </w:rPr>
        <w:t xml:space="preserve"> = −0.7, which is </w:t>
      </w:r>
      <w:r w:rsidRPr="00D04D1A">
        <w:rPr>
          <w:sz w:val="20"/>
          <w:szCs w:val="20"/>
          <w:lang w:val="en-IN"/>
        </w:rPr>
        <w:t xml:space="preserve">barely distinguishable from the traditional design. Adding a moderate focal shift, </w:t>
      </w:r>
      <w:r w:rsidRPr="00D179A0">
        <w:rPr>
          <w:i/>
          <w:iCs/>
          <w:sz w:val="20"/>
          <w:szCs w:val="20"/>
          <w:lang w:val="en-IN"/>
        </w:rPr>
        <w:t>dx</w:t>
      </w:r>
      <w:r w:rsidRPr="00D04D1A">
        <w:rPr>
          <w:sz w:val="20"/>
          <w:szCs w:val="20"/>
          <w:lang w:val="en-IN"/>
        </w:rPr>
        <w:t xml:space="preserve"> = 25 to 30 mm, at this same reduced height keeps the normal-incidence score strongly positive at </w:t>
      </w:r>
      <w:r w:rsidRPr="00D179A0">
        <w:rPr>
          <w:i/>
          <w:iCs/>
          <w:sz w:val="20"/>
          <w:szCs w:val="20"/>
          <w:lang w:val="en-IN"/>
        </w:rPr>
        <w:t>S</w:t>
      </w:r>
      <w:r w:rsidRPr="00D04D1A">
        <w:rPr>
          <w:sz w:val="20"/>
          <w:szCs w:val="20"/>
          <w:lang w:val="en-IN"/>
        </w:rPr>
        <w:t xml:space="preserve"> ≈ 23 while raising the off-tracking score to </w:t>
      </w:r>
      <w:r w:rsidRPr="00D179A0">
        <w:rPr>
          <w:i/>
          <w:iCs/>
          <w:sz w:val="20"/>
          <w:szCs w:val="20"/>
          <w:lang w:val="en-IN"/>
        </w:rPr>
        <w:t>S</w:t>
      </w:r>
      <w:r w:rsidRPr="00D04D1A">
        <w:rPr>
          <w:sz w:val="20"/>
          <w:szCs w:val="20"/>
          <w:lang w:val="en-IN"/>
        </w:rPr>
        <w:t xml:space="preserve"> ≈ 11.</w:t>
      </w:r>
      <w:r w:rsidR="00CD09F3">
        <w:rPr>
          <w:sz w:val="20"/>
          <w:szCs w:val="20"/>
          <w:lang w:val="en-IN"/>
        </w:rPr>
        <w:t>6</w:t>
      </w:r>
      <w:r w:rsidRPr="00D04D1A">
        <w:rPr>
          <w:sz w:val="20"/>
          <w:szCs w:val="20"/>
          <w:lang w:val="en-IN"/>
        </w:rPr>
        <w:t xml:space="preserve"> to 11.8, its best value anywhere in the table. This single geometry, </w:t>
      </w:r>
      <w:r w:rsidRPr="00D179A0">
        <w:rPr>
          <w:i/>
          <w:iCs/>
          <w:sz w:val="20"/>
          <w:szCs w:val="20"/>
          <w:lang w:val="en-IN"/>
        </w:rPr>
        <w:t>H</w:t>
      </w:r>
      <w:r w:rsidRPr="00D179A0">
        <w:rPr>
          <w:i/>
          <w:iCs/>
          <w:sz w:val="20"/>
          <w:szCs w:val="20"/>
          <w:vertAlign w:val="subscript"/>
          <w:lang w:val="en-IN"/>
        </w:rPr>
        <w:t>R</w:t>
      </w:r>
      <w:r w:rsidRPr="00D04D1A">
        <w:rPr>
          <w:sz w:val="20"/>
          <w:szCs w:val="20"/>
          <w:lang w:val="en-IN"/>
        </w:rPr>
        <w:t xml:space="preserve"> = 1705 mm with dx around 25 to 30 mm, is therefore a robust improvement over the conventional PTC regardless of tracking accuracy, rather than a compromise that wins only under one condition.</w:t>
      </w:r>
    </w:p>
    <w:p w14:paraId="539F38C4" w14:textId="09B42DE1" w:rsidR="00D04D1A" w:rsidRPr="00D04D1A" w:rsidRDefault="00D04D1A" w:rsidP="00D04D1A">
      <w:pPr>
        <w:spacing w:after="160" w:line="259" w:lineRule="auto"/>
        <w:jc w:val="both"/>
        <w:rPr>
          <w:sz w:val="20"/>
          <w:szCs w:val="20"/>
          <w:lang w:val="en-IN"/>
        </w:rPr>
      </w:pPr>
      <w:r w:rsidRPr="00D04D1A">
        <w:rPr>
          <w:sz w:val="20"/>
          <w:szCs w:val="20"/>
          <w:lang w:val="en-IN"/>
        </w:rPr>
        <w:t xml:space="preserve">The only cost is a bounded reduction in optical efficiency (Section 4.1), traded for a substantially more uniform flux distribution and a lower peak concentration. Because circumferential thermal cycling is the mechanism understood to drive receiver bending and seal fatigue, a higher, more consistently positive </w:t>
      </w:r>
      <w:r w:rsidRPr="00562921">
        <w:rPr>
          <w:i/>
          <w:iCs/>
          <w:sz w:val="20"/>
          <w:szCs w:val="20"/>
          <w:lang w:val="en-IN"/>
        </w:rPr>
        <w:t>S</w:t>
      </w:r>
      <w:r w:rsidRPr="00D04D1A">
        <w:rPr>
          <w:sz w:val="20"/>
          <w:szCs w:val="20"/>
          <w:lang w:val="en-IN"/>
        </w:rPr>
        <w:t xml:space="preserve"> across both tracking conditions represents a design with a better chance of extended operational life, and this is the balance a plant </w:t>
      </w:r>
      <w:r w:rsidR="005D7AAD">
        <w:rPr>
          <w:sz w:val="20"/>
          <w:szCs w:val="20"/>
          <w:lang w:val="en-IN"/>
        </w:rPr>
        <w:t>can</w:t>
      </w:r>
      <w:r w:rsidRPr="00D04D1A">
        <w:rPr>
          <w:sz w:val="20"/>
          <w:szCs w:val="20"/>
          <w:lang w:val="en-IN"/>
        </w:rPr>
        <w:t xml:space="preserve"> weigh when selecting between energy yield and receiver longevity.</w:t>
      </w:r>
    </w:p>
    <w:p w14:paraId="7F2FFF95" w14:textId="77777777" w:rsidR="00D04D1A" w:rsidRDefault="00D04D1A" w:rsidP="00EF4B04">
      <w:pPr>
        <w:spacing w:after="160" w:line="259" w:lineRule="auto"/>
        <w:jc w:val="both"/>
        <w:rPr>
          <w:sz w:val="20"/>
          <w:szCs w:val="20"/>
        </w:rPr>
      </w:pPr>
    </w:p>
    <w:p w14:paraId="2F0D8277" w14:textId="3903ABA3" w:rsidR="000B3E10" w:rsidRDefault="00814E84" w:rsidP="000B3E10">
      <w:pPr>
        <w:spacing w:after="160" w:line="259" w:lineRule="auto"/>
        <w:jc w:val="center"/>
        <w:rPr>
          <w:sz w:val="20"/>
          <w:szCs w:val="20"/>
          <w:lang w:val="en-IN"/>
        </w:rPr>
      </w:pPr>
      <w:r>
        <w:rPr>
          <w:noProof/>
          <w:sz w:val="20"/>
          <w:szCs w:val="20"/>
          <w:lang w:val="en-IN"/>
        </w:rPr>
        <w:lastRenderedPageBreak/>
        <w:drawing>
          <wp:inline distT="0" distB="0" distL="0" distR="0" wp14:anchorId="7095B5AE" wp14:editId="334FC168">
            <wp:extent cx="3752850" cy="1390135"/>
            <wp:effectExtent l="0" t="0" r="0" b="635"/>
            <wp:docPr id="1612058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b="5466"/>
                    <a:stretch>
                      <a:fillRect/>
                    </a:stretch>
                  </pic:blipFill>
                  <pic:spPr bwMode="auto">
                    <a:xfrm>
                      <a:off x="0" y="0"/>
                      <a:ext cx="3820801" cy="1415305"/>
                    </a:xfrm>
                    <a:prstGeom prst="rect">
                      <a:avLst/>
                    </a:prstGeom>
                    <a:noFill/>
                    <a:ln>
                      <a:noFill/>
                    </a:ln>
                    <a:extLst>
                      <a:ext uri="{53640926-AAD7-44D8-BBD7-CCE9431645EC}">
                        <a14:shadowObscured xmlns:a14="http://schemas.microsoft.com/office/drawing/2010/main"/>
                      </a:ext>
                    </a:extLst>
                  </pic:spPr>
                </pic:pic>
              </a:graphicData>
            </a:graphic>
          </wp:inline>
        </w:drawing>
      </w:r>
    </w:p>
    <w:p w14:paraId="178DAF70" w14:textId="68E9C305" w:rsidR="000B3E10" w:rsidRDefault="0002134D" w:rsidP="000B3E10">
      <w:pPr>
        <w:pStyle w:val="SWCTableFigureCaption"/>
      </w:pPr>
      <w:r>
        <w:t>Fig. 6</w:t>
      </w:r>
      <w:r w:rsidR="000B3E10" w:rsidRPr="009F3902">
        <w:t xml:space="preserve">: </w:t>
      </w:r>
      <w:r w:rsidR="00743F29" w:rsidRPr="00743F29">
        <w:t>Weighted scor</w:t>
      </w:r>
      <w:r w:rsidR="00743F29">
        <w:t>e</w:t>
      </w:r>
      <w:r w:rsidR="006D43B5">
        <w:t xml:space="preserve">, </w:t>
      </w:r>
      <w:r w:rsidR="006D43B5" w:rsidRPr="00743F29">
        <w:rPr>
          <w:i/>
          <w:iCs/>
        </w:rPr>
        <w:t>S</w:t>
      </w:r>
      <w:r w:rsidR="006465F3">
        <w:rPr>
          <w:i/>
          <w:iCs/>
        </w:rPr>
        <w:t>,</w:t>
      </w:r>
      <w:r w:rsidR="006D43B5">
        <w:t xml:space="preserve"> for adopted configurations </w:t>
      </w:r>
      <w:r w:rsidR="009342F3">
        <w:t xml:space="preserve">at </w:t>
      </w:r>
      <w:r w:rsidR="009570AE" w:rsidRPr="009570AE">
        <w:rPr>
          <w:i/>
          <w:iCs/>
        </w:rPr>
        <w:t>θ</w:t>
      </w:r>
      <w:r w:rsidR="000B3E10" w:rsidRPr="009F3902">
        <w:rPr>
          <w:i/>
          <w:iCs/>
        </w:rPr>
        <w:t xml:space="preserve"> </w:t>
      </w:r>
      <w:r w:rsidR="000B3E10" w:rsidRPr="009F3902">
        <w:t xml:space="preserve">= 0° </w:t>
      </w:r>
      <w:r w:rsidR="009342F3">
        <w:t xml:space="preserve">and </w:t>
      </w:r>
      <w:r w:rsidR="009342F3" w:rsidRPr="009570AE">
        <w:rPr>
          <w:i/>
          <w:iCs/>
        </w:rPr>
        <w:t>θ</w:t>
      </w:r>
      <w:r w:rsidR="009342F3" w:rsidRPr="009F3902">
        <w:rPr>
          <w:i/>
          <w:iCs/>
        </w:rPr>
        <w:t xml:space="preserve"> </w:t>
      </w:r>
      <w:r w:rsidR="009342F3" w:rsidRPr="009F3902">
        <w:t>= 0</w:t>
      </w:r>
      <w:r w:rsidR="009342F3">
        <w:t>.75</w:t>
      </w:r>
      <w:r w:rsidR="009342F3" w:rsidRPr="009F3902">
        <w:t>°</w:t>
      </w:r>
      <w:r w:rsidR="000B3E10" w:rsidRPr="009F3902">
        <w:t xml:space="preserve"> </w:t>
      </w:r>
    </w:p>
    <w:p w14:paraId="78151E5D" w14:textId="7B5D2A48" w:rsidR="00A9616A" w:rsidRPr="009F3902" w:rsidRDefault="00A9616A" w:rsidP="00A9616A">
      <w:pPr>
        <w:pStyle w:val="SWCHeading11"/>
        <w:rPr>
          <w:lang w:val="en-US"/>
        </w:rPr>
      </w:pPr>
      <w:r>
        <w:rPr>
          <w:lang w:val="en-US"/>
        </w:rPr>
        <w:t>4</w:t>
      </w:r>
      <w:r w:rsidRPr="009F3902">
        <w:rPr>
          <w:lang w:val="en-US"/>
        </w:rPr>
        <w:t>.</w:t>
      </w:r>
      <w:r>
        <w:rPr>
          <w:lang w:val="en-US"/>
        </w:rPr>
        <w:t>4</w:t>
      </w:r>
      <w:r w:rsidRPr="009F3902">
        <w:rPr>
          <w:lang w:val="en-US"/>
        </w:rPr>
        <w:t xml:space="preserve">. </w:t>
      </w:r>
      <w:r w:rsidR="00A16978" w:rsidRPr="00A16978">
        <w:rPr>
          <w:lang w:val="en-US"/>
        </w:rPr>
        <w:t>Receiver Longevity via dx as the Novel Design Contribution</w:t>
      </w:r>
    </w:p>
    <w:p w14:paraId="42CB0864" w14:textId="53E60708" w:rsidR="00412909" w:rsidRPr="00764EB6" w:rsidRDefault="00C43A0B" w:rsidP="00412909">
      <w:pPr>
        <w:spacing w:after="160" w:line="259" w:lineRule="auto"/>
        <w:jc w:val="both"/>
        <w:rPr>
          <w:sz w:val="20"/>
          <w:szCs w:val="20"/>
        </w:rPr>
      </w:pPr>
      <w:r w:rsidRPr="00C43A0B">
        <w:rPr>
          <w:sz w:val="20"/>
          <w:szCs w:val="20"/>
        </w:rPr>
        <w:t xml:space="preserve">Receiver defocus is well established in </w:t>
      </w:r>
      <w:r w:rsidR="00577C42">
        <w:rPr>
          <w:sz w:val="20"/>
          <w:szCs w:val="20"/>
        </w:rPr>
        <w:t xml:space="preserve">the </w:t>
      </w:r>
      <w:r w:rsidR="00577C42" w:rsidRPr="00C43A0B">
        <w:rPr>
          <w:sz w:val="20"/>
          <w:szCs w:val="20"/>
        </w:rPr>
        <w:t>literature</w:t>
      </w:r>
      <w:r w:rsidRPr="00C43A0B">
        <w:rPr>
          <w:sz w:val="20"/>
          <w:szCs w:val="20"/>
        </w:rPr>
        <w:t>. Prior studies combining ray tracing with thermal-stress analysis report the same efficiency-for-uniformity trade-off found in Sections 4.1–4.3, and link non-uniform flux directly to receiver fracture, confirming flux uniformity as a meaningful reliability metric. This study builds on that foundation, and its real contribution is the lateral focal split.</w:t>
      </w:r>
      <w:r>
        <w:rPr>
          <w:sz w:val="20"/>
          <w:szCs w:val="20"/>
        </w:rPr>
        <w:t xml:space="preserve"> </w:t>
      </w:r>
      <w:r w:rsidR="00EE6498" w:rsidRPr="00EE6498">
        <w:rPr>
          <w:sz w:val="20"/>
          <w:szCs w:val="20"/>
        </w:rPr>
        <w:t xml:space="preserve">Its defining advantage is one that a single receiver-height adjustment alone cannot provide. By splitting the primary mirror into two laterally displaced focal points, the design gives the reflected ray bundle two aim points instead of one, recovering rays that a single-focus receiver </w:t>
      </w:r>
      <w:r w:rsidR="001E3CE7">
        <w:rPr>
          <w:sz w:val="20"/>
          <w:szCs w:val="20"/>
        </w:rPr>
        <w:t>would otherwise lose</w:t>
      </w:r>
      <w:r w:rsidR="00EE6498" w:rsidRPr="00EE6498">
        <w:rPr>
          <w:sz w:val="20"/>
          <w:szCs w:val="20"/>
        </w:rPr>
        <w:t xml:space="preserve"> outright once tracking error appears. Because the modification is limited to the primary mirror, it requires no </w:t>
      </w:r>
      <w:r w:rsidR="003E3D10">
        <w:rPr>
          <w:sz w:val="20"/>
          <w:szCs w:val="20"/>
        </w:rPr>
        <w:t>redesign of the secondary optical surface or receiver</w:t>
      </w:r>
      <w:r w:rsidR="001E3CE7">
        <w:rPr>
          <w:sz w:val="20"/>
          <w:szCs w:val="20"/>
        </w:rPr>
        <w:t xml:space="preserve">, thereby </w:t>
      </w:r>
      <w:r w:rsidR="00EE6498" w:rsidRPr="00EE6498">
        <w:rPr>
          <w:sz w:val="20"/>
          <w:szCs w:val="20"/>
        </w:rPr>
        <w:t>avoiding the alignment, soiling, and low-angle ray-blocking costs associated with secondary-reflector approaches.</w:t>
      </w:r>
    </w:p>
    <w:p w14:paraId="1E70452F" w14:textId="6A42359D" w:rsidR="00950431" w:rsidRPr="00950431" w:rsidRDefault="00B57625" w:rsidP="008043B4">
      <w:pPr>
        <w:spacing w:after="160" w:line="259" w:lineRule="auto"/>
        <w:jc w:val="both"/>
        <w:rPr>
          <w:sz w:val="20"/>
          <w:szCs w:val="20"/>
        </w:rPr>
      </w:pPr>
      <w:r w:rsidRPr="00B57625">
        <w:rPr>
          <w:sz w:val="20"/>
          <w:szCs w:val="20"/>
        </w:rPr>
        <w:t>This is why the combined geometry identified in Section 4.3, a lowered receiver paired with a moderate focal split, outperforms the traditional design under both ideal and realistic tracking</w:t>
      </w:r>
      <w:r w:rsidR="00860E27">
        <w:rPr>
          <w:sz w:val="20"/>
          <w:szCs w:val="20"/>
        </w:rPr>
        <w:t xml:space="preserve"> conditions, rather than only under </w:t>
      </w:r>
      <w:r w:rsidRPr="00B57625">
        <w:rPr>
          <w:sz w:val="20"/>
          <w:szCs w:val="20"/>
        </w:rPr>
        <w:t xml:space="preserve">one. Its efficiency and flux-quality cost </w:t>
      </w:r>
      <w:r w:rsidR="003E3D10">
        <w:rPr>
          <w:sz w:val="20"/>
          <w:szCs w:val="20"/>
        </w:rPr>
        <w:t xml:space="preserve">are paid under a continuously perfect-tracking condition, which real fields rarely sustain, while its benefit, a lower peak flux and a more uniform distribution, </w:t>
      </w:r>
      <w:r w:rsidR="00A35920">
        <w:rPr>
          <w:sz w:val="20"/>
          <w:szCs w:val="20"/>
        </w:rPr>
        <w:t>accrue</w:t>
      </w:r>
      <w:r w:rsidR="003E3D10">
        <w:rPr>
          <w:sz w:val="20"/>
          <w:szCs w:val="20"/>
        </w:rPr>
        <w:t xml:space="preserve"> under the imperfect-tracking condition that </w:t>
      </w:r>
      <w:r w:rsidRPr="00B57625">
        <w:rPr>
          <w:sz w:val="20"/>
          <w:szCs w:val="20"/>
        </w:rPr>
        <w:t>a field spends most of its operating life in. The practical outcome is a single design direction, a reduced receiver height combined with a moderate focal split, with the trade-off against optical efficiency the only cost a designer needs to weigh.</w:t>
      </w:r>
    </w:p>
    <w:p w14:paraId="2AB5FA47" w14:textId="5EA863F1" w:rsidR="00F83E9A" w:rsidRDefault="00F83E9A" w:rsidP="005F3C42">
      <w:pPr>
        <w:pStyle w:val="SWCHeading1"/>
        <w:ind w:left="720" w:hanging="360"/>
      </w:pPr>
      <w:r>
        <w:t>Conclusion</w:t>
      </w:r>
    </w:p>
    <w:p w14:paraId="484BB60B" w14:textId="366D6174" w:rsidR="00BB06D0" w:rsidRPr="00BB06D0" w:rsidRDefault="00BB06D0" w:rsidP="00BB06D0">
      <w:pPr>
        <w:spacing w:after="160" w:line="259" w:lineRule="auto"/>
        <w:jc w:val="both"/>
        <w:rPr>
          <w:sz w:val="20"/>
          <w:szCs w:val="20"/>
          <w:lang w:val="en-IN"/>
        </w:rPr>
      </w:pPr>
      <w:r w:rsidRPr="00BB06D0">
        <w:rPr>
          <w:sz w:val="20"/>
          <w:szCs w:val="20"/>
          <w:lang w:val="en-IN"/>
        </w:rPr>
        <w:t>This study evaluated a split-focus, shifted-receiver modification to the LS-III parabolic trough collector using a two-stage MCRT-ODO campaign spanning 2952 optical cases. A reduced receiver height combined with a moderate lateral focal split outperforms the conventional single-focus geometry under both ideal and realistic tracking conditions, at the cost of a bounded reduction in optical efficiency. Because circumferential thermal cycling, rather than average flux level, is understood to drive receiver bending and seal fatigue, this efficiency-for-uniformity trade-off is expected to improve the receiver's chances of a longer operational life.</w:t>
      </w:r>
    </w:p>
    <w:p w14:paraId="1B938C87" w14:textId="77777777" w:rsidR="00BB06D0" w:rsidRPr="00BB06D0" w:rsidRDefault="00BB06D0" w:rsidP="00BB06D0">
      <w:pPr>
        <w:spacing w:after="160" w:line="259" w:lineRule="auto"/>
        <w:jc w:val="both"/>
        <w:rPr>
          <w:sz w:val="20"/>
          <w:szCs w:val="20"/>
          <w:lang w:val="en-IN"/>
        </w:rPr>
      </w:pPr>
      <w:r w:rsidRPr="00BB06D0">
        <w:rPr>
          <w:sz w:val="20"/>
          <w:szCs w:val="20"/>
          <w:lang w:val="en-IN"/>
        </w:rPr>
        <w:t>This benefit to receiver lifetime remains plausible rather than proven, since flux non-uniformity is a documented contributor to seal fatigue but not yet a directly quantified predictor of service life. Confirming this link requires coupling these optical results with a thermomechanical fatigue model, quantifying the associated maintenance-cost savings, and validating the design through prototype testing. These steps are left for future work.</w:t>
      </w:r>
    </w:p>
    <w:p w14:paraId="0E1F9F0B" w14:textId="62B15C57" w:rsidR="004371B7" w:rsidRPr="00A330A1" w:rsidRDefault="00A330A1" w:rsidP="00C26070">
      <w:pPr>
        <w:spacing w:before="360" w:after="120" w:line="280" w:lineRule="exact"/>
        <w:jc w:val="center"/>
        <w:rPr>
          <w:rFonts w:ascii="Arial" w:hAnsi="Arial"/>
          <w:b/>
          <w:color w:val="000000"/>
          <w:sz w:val="20"/>
        </w:rPr>
      </w:pPr>
      <w:r w:rsidRPr="00A330A1">
        <w:rPr>
          <w:rFonts w:ascii="Arial" w:hAnsi="Arial"/>
          <w:b/>
          <w:color w:val="000000"/>
          <w:sz w:val="20"/>
        </w:rPr>
        <w:t>C</w:t>
      </w:r>
      <w:r w:rsidR="004371B7" w:rsidRPr="00D5127D">
        <w:rPr>
          <w:rFonts w:ascii="Arial" w:hAnsi="Arial"/>
          <w:b/>
          <w:color w:val="000000"/>
          <w:sz w:val="20"/>
        </w:rPr>
        <w:t>RediT authorship contribution statement</w:t>
      </w:r>
    </w:p>
    <w:p w14:paraId="7B1C94A1" w14:textId="1AD1380D" w:rsidR="004371B7" w:rsidRDefault="004371B7" w:rsidP="004371B7">
      <w:pPr>
        <w:spacing w:after="160" w:line="259" w:lineRule="auto"/>
        <w:jc w:val="both"/>
        <w:rPr>
          <w:sz w:val="20"/>
          <w:szCs w:val="20"/>
        </w:rPr>
      </w:pPr>
      <w:r w:rsidRPr="00814F06">
        <w:rPr>
          <w:b/>
          <w:bCs/>
          <w:sz w:val="20"/>
          <w:szCs w:val="20"/>
        </w:rPr>
        <w:t>Sainath A. Waghmare</w:t>
      </w:r>
      <w:r w:rsidRPr="004371B7">
        <w:rPr>
          <w:sz w:val="20"/>
          <w:szCs w:val="20"/>
        </w:rPr>
        <w:t xml:space="preserve">: Conceptualization, Methodology, Investigation, Formal analysis, Validation, Data curation, Writing - original draft, Writing - review and editing. </w:t>
      </w:r>
      <w:r w:rsidRPr="00FF5185">
        <w:rPr>
          <w:b/>
          <w:bCs/>
          <w:sz w:val="20"/>
          <w:szCs w:val="20"/>
        </w:rPr>
        <w:t>Gabriel Cardona</w:t>
      </w:r>
      <w:r w:rsidRPr="004371B7">
        <w:rPr>
          <w:sz w:val="20"/>
          <w:szCs w:val="20"/>
        </w:rPr>
        <w:t xml:space="preserve">: Software, Investigation, Formal analysis, Writing - review and editing. </w:t>
      </w:r>
      <w:r w:rsidRPr="005E3E39">
        <w:rPr>
          <w:b/>
          <w:bCs/>
          <w:sz w:val="20"/>
          <w:szCs w:val="20"/>
        </w:rPr>
        <w:t>Ramón Pujol-Nadal</w:t>
      </w:r>
      <w:r w:rsidRPr="004371B7">
        <w:rPr>
          <w:sz w:val="20"/>
          <w:szCs w:val="20"/>
        </w:rPr>
        <w:t>: Supervision, Resources, Project administration, Funding acquisition, Writing - review and editing.</w:t>
      </w:r>
    </w:p>
    <w:p w14:paraId="1D0801E9" w14:textId="66318359" w:rsidR="00566832" w:rsidRPr="00566832" w:rsidRDefault="00566832" w:rsidP="00C26070">
      <w:pPr>
        <w:spacing w:before="360" w:after="120" w:line="280" w:lineRule="exact"/>
        <w:jc w:val="center"/>
        <w:rPr>
          <w:sz w:val="20"/>
          <w:szCs w:val="20"/>
        </w:rPr>
      </w:pPr>
      <w:r w:rsidRPr="00D5127D">
        <w:rPr>
          <w:rFonts w:ascii="Arial" w:hAnsi="Arial"/>
          <w:b/>
          <w:color w:val="000000"/>
          <w:sz w:val="20"/>
        </w:rPr>
        <w:t>Funding</w:t>
      </w:r>
    </w:p>
    <w:p w14:paraId="01AC30DC" w14:textId="60AB7DE4" w:rsidR="00566832" w:rsidRPr="00566832" w:rsidRDefault="00566832" w:rsidP="00566832">
      <w:pPr>
        <w:spacing w:after="160" w:line="259" w:lineRule="auto"/>
        <w:jc w:val="both"/>
        <w:rPr>
          <w:sz w:val="20"/>
          <w:szCs w:val="20"/>
        </w:rPr>
      </w:pPr>
      <w:r w:rsidRPr="00566832">
        <w:rPr>
          <w:sz w:val="20"/>
          <w:szCs w:val="20"/>
        </w:rPr>
        <w:t xml:space="preserve">This work is part of the project PID2024-160780OB-I00 funded by MICIU/AEI/10.13039/501100011033 and by the European Union through the European Regional Development Fund (ERDF/FEDER). Reference contract PD-016-2023, within the framework of grants to incorporate research personnel into the science system of the Balearic </w:t>
      </w:r>
      <w:r w:rsidRPr="00566832">
        <w:rPr>
          <w:sz w:val="20"/>
          <w:szCs w:val="20"/>
        </w:rPr>
        <w:lastRenderedPageBreak/>
        <w:t xml:space="preserve">Islands (postdoc contracts 2023), financed by the Government of the Balearic Islands (CAIB) and the European Social Fund Plus (ESF+).  </w:t>
      </w:r>
    </w:p>
    <w:p w14:paraId="45DB0764" w14:textId="3F671541" w:rsidR="00566832" w:rsidRPr="00D5127D" w:rsidRDefault="00566832" w:rsidP="00C26070">
      <w:pPr>
        <w:spacing w:before="360" w:after="120" w:line="280" w:lineRule="exact"/>
        <w:jc w:val="center"/>
        <w:rPr>
          <w:rFonts w:ascii="Arial" w:hAnsi="Arial"/>
          <w:b/>
          <w:color w:val="000000"/>
          <w:sz w:val="20"/>
        </w:rPr>
      </w:pPr>
      <w:r w:rsidRPr="00D5127D">
        <w:rPr>
          <w:rFonts w:ascii="Arial" w:hAnsi="Arial"/>
          <w:b/>
          <w:color w:val="000000"/>
          <w:sz w:val="20"/>
        </w:rPr>
        <w:t xml:space="preserve">Declaration of </w:t>
      </w:r>
      <w:r w:rsidR="007C7D74" w:rsidRPr="00D5127D">
        <w:rPr>
          <w:rFonts w:ascii="Arial" w:hAnsi="Arial"/>
          <w:b/>
          <w:color w:val="000000"/>
          <w:sz w:val="20"/>
        </w:rPr>
        <w:t>Competing Interest</w:t>
      </w:r>
    </w:p>
    <w:p w14:paraId="5DC10427" w14:textId="20D02FDF" w:rsidR="00566832" w:rsidRDefault="00566832" w:rsidP="00566832">
      <w:pPr>
        <w:spacing w:after="160" w:line="259" w:lineRule="auto"/>
        <w:jc w:val="both"/>
        <w:rPr>
          <w:sz w:val="20"/>
          <w:szCs w:val="20"/>
        </w:rPr>
      </w:pPr>
      <w:r w:rsidRPr="00566832">
        <w:rPr>
          <w:sz w:val="20"/>
          <w:szCs w:val="20"/>
        </w:rPr>
        <w:t>The authors declare that they have no known competing financial interests or personal relationships that could have appeared to influence the work reported in this paper.</w:t>
      </w:r>
    </w:p>
    <w:p w14:paraId="362A4019" w14:textId="7C813E18" w:rsidR="00F85A99" w:rsidRPr="00D5127D" w:rsidRDefault="00F85A99" w:rsidP="00F85A99">
      <w:pPr>
        <w:spacing w:before="360" w:after="120" w:line="280" w:lineRule="exact"/>
        <w:jc w:val="center"/>
        <w:rPr>
          <w:rFonts w:ascii="Arial" w:hAnsi="Arial"/>
          <w:b/>
          <w:color w:val="000000"/>
          <w:sz w:val="20"/>
        </w:rPr>
      </w:pPr>
      <w:r w:rsidRPr="00D5127D">
        <w:rPr>
          <w:rFonts w:ascii="Arial" w:hAnsi="Arial"/>
          <w:b/>
          <w:color w:val="000000"/>
          <w:sz w:val="20"/>
        </w:rPr>
        <w:t>D</w:t>
      </w:r>
      <w:r>
        <w:rPr>
          <w:rFonts w:ascii="Arial" w:hAnsi="Arial"/>
          <w:b/>
          <w:color w:val="000000"/>
          <w:sz w:val="20"/>
        </w:rPr>
        <w:t>ata Availability</w:t>
      </w:r>
    </w:p>
    <w:p w14:paraId="099BB98E" w14:textId="39383946" w:rsidR="00F85A99" w:rsidRPr="00566832" w:rsidRDefault="006E752B" w:rsidP="00566832">
      <w:pPr>
        <w:spacing w:after="160" w:line="259" w:lineRule="auto"/>
        <w:jc w:val="both"/>
        <w:rPr>
          <w:sz w:val="20"/>
          <w:szCs w:val="20"/>
        </w:rPr>
      </w:pPr>
      <w:r w:rsidRPr="006E752B">
        <w:rPr>
          <w:sz w:val="20"/>
          <w:szCs w:val="20"/>
        </w:rPr>
        <w:t>The data that support the findings of this study are available from the corresponding author upon request</w:t>
      </w:r>
      <w:r w:rsidR="006465F3">
        <w:rPr>
          <w:sz w:val="20"/>
          <w:szCs w:val="20"/>
        </w:rPr>
        <w:t>.</w:t>
      </w:r>
    </w:p>
    <w:p w14:paraId="50C946D3" w14:textId="68DA652A" w:rsidR="00566832" w:rsidRPr="00566832" w:rsidRDefault="00566832" w:rsidP="00B600B3">
      <w:pPr>
        <w:spacing w:before="360" w:after="120" w:line="280" w:lineRule="exact"/>
        <w:jc w:val="center"/>
        <w:rPr>
          <w:sz w:val="20"/>
          <w:szCs w:val="20"/>
        </w:rPr>
      </w:pPr>
      <w:r w:rsidRPr="00D5127D">
        <w:rPr>
          <w:rFonts w:ascii="Arial" w:hAnsi="Arial"/>
          <w:b/>
          <w:color w:val="000000"/>
          <w:sz w:val="20"/>
        </w:rPr>
        <w:t>Declaration of AI-assisted technologies in the writing process</w:t>
      </w:r>
    </w:p>
    <w:p w14:paraId="408EA77E" w14:textId="79DCDC05" w:rsidR="00F83E9A" w:rsidRPr="00376862" w:rsidRDefault="00566832" w:rsidP="00B600B3">
      <w:pPr>
        <w:spacing w:after="160" w:line="259" w:lineRule="auto"/>
        <w:jc w:val="both"/>
        <w:rPr>
          <w:sz w:val="20"/>
          <w:szCs w:val="20"/>
        </w:rPr>
      </w:pPr>
      <w:r w:rsidRPr="00566832">
        <w:rPr>
          <w:sz w:val="20"/>
          <w:szCs w:val="20"/>
        </w:rPr>
        <w:t xml:space="preserve">As non-native English speakers, the authors used Grammarly and </w:t>
      </w:r>
      <w:r w:rsidR="00BA3EEC" w:rsidRPr="00ED51B0">
        <w:rPr>
          <w:sz w:val="20"/>
          <w:szCs w:val="20"/>
        </w:rPr>
        <w:t>Anthropic</w:t>
      </w:r>
      <w:r w:rsidR="00BA3EEC" w:rsidRPr="00566832">
        <w:rPr>
          <w:sz w:val="20"/>
          <w:szCs w:val="20"/>
        </w:rPr>
        <w:t xml:space="preserve">'s </w:t>
      </w:r>
      <w:r w:rsidR="00BA3EEC">
        <w:rPr>
          <w:sz w:val="20"/>
          <w:szCs w:val="20"/>
        </w:rPr>
        <w:t>Claude</w:t>
      </w:r>
      <w:r w:rsidR="00BA3EEC" w:rsidRPr="00566832">
        <w:rPr>
          <w:sz w:val="20"/>
          <w:szCs w:val="20"/>
        </w:rPr>
        <w:t xml:space="preserve"> </w:t>
      </w:r>
      <w:r w:rsidRPr="00566832">
        <w:rPr>
          <w:sz w:val="20"/>
          <w:szCs w:val="20"/>
        </w:rPr>
        <w:t xml:space="preserve">to correct grammatical errors and improve sentence structure for clarity </w:t>
      </w:r>
      <w:r w:rsidR="00A330A1">
        <w:rPr>
          <w:sz w:val="20"/>
          <w:szCs w:val="20"/>
        </w:rPr>
        <w:t>while preparing</w:t>
      </w:r>
      <w:r w:rsidRPr="00566832">
        <w:rPr>
          <w:sz w:val="20"/>
          <w:szCs w:val="20"/>
        </w:rPr>
        <w:t xml:space="preserve"> this manuscript. </w:t>
      </w:r>
    </w:p>
    <w:p w14:paraId="72F8852B" w14:textId="51BF15D9" w:rsidR="005F3C42" w:rsidRPr="009F3902" w:rsidRDefault="005F3C42" w:rsidP="004371B7">
      <w:pPr>
        <w:pStyle w:val="SWCHeading1"/>
        <w:numPr>
          <w:ilvl w:val="0"/>
          <w:numId w:val="0"/>
        </w:numPr>
        <w:ind w:left="360"/>
      </w:pPr>
      <w:r w:rsidRPr="009F3902">
        <w:t>References</w:t>
      </w:r>
    </w:p>
    <w:p w14:paraId="2B997031" w14:textId="6A1EF6E5" w:rsidR="00C02E66" w:rsidRPr="005C4612" w:rsidRDefault="00C02E66" w:rsidP="00875F54">
      <w:pPr>
        <w:pStyle w:val="NormalWeb"/>
        <w:spacing w:before="0" w:beforeAutospacing="0" w:after="160" w:afterAutospacing="0" w:line="259" w:lineRule="auto"/>
        <w:jc w:val="both"/>
        <w:rPr>
          <w:sz w:val="20"/>
          <w:szCs w:val="20"/>
          <w:lang w:val="en-US"/>
        </w:rPr>
      </w:pPr>
      <w:r w:rsidRPr="005C4612">
        <w:rPr>
          <w:sz w:val="20"/>
          <w:szCs w:val="20"/>
          <w:lang w:val="en-US"/>
        </w:rPr>
        <w:t>Agagna, B., Behar, O.</w:t>
      </w:r>
      <w:r w:rsidR="00C602DC">
        <w:rPr>
          <w:sz w:val="20"/>
          <w:szCs w:val="20"/>
          <w:lang w:val="en-US"/>
        </w:rPr>
        <w:t>,</w:t>
      </w:r>
      <w:r w:rsidRPr="005C4612">
        <w:rPr>
          <w:sz w:val="20"/>
          <w:szCs w:val="20"/>
          <w:lang w:val="en-US"/>
        </w:rPr>
        <w:t xml:space="preserve"> Smaili, A., 2022. Performance analysis of parabolic trough solar collector under varying optical errors. Energy Sources, Part A: Recovery, Utilization, and Environmental Effects</w:t>
      </w:r>
      <w:r w:rsidR="00D94988">
        <w:rPr>
          <w:sz w:val="20"/>
          <w:szCs w:val="20"/>
          <w:lang w:val="en-US"/>
        </w:rPr>
        <w:t>.</w:t>
      </w:r>
      <w:r w:rsidRPr="005C4612">
        <w:rPr>
          <w:sz w:val="20"/>
          <w:szCs w:val="20"/>
          <w:lang w:val="en-US"/>
        </w:rPr>
        <w:t xml:space="preserve"> 44(1), 1189-1207. Doi: 10.1080/15567036.2022.2052385</w:t>
      </w:r>
    </w:p>
    <w:p w14:paraId="194E96D9" w14:textId="3D24558C" w:rsidR="00932992" w:rsidRPr="005C4612" w:rsidRDefault="00932992" w:rsidP="00875F54">
      <w:pPr>
        <w:pStyle w:val="NormalWeb"/>
        <w:spacing w:before="0" w:beforeAutospacing="0" w:after="160" w:afterAutospacing="0" w:line="259" w:lineRule="auto"/>
        <w:jc w:val="both"/>
        <w:rPr>
          <w:sz w:val="20"/>
          <w:szCs w:val="20"/>
          <w:lang w:val="en-US"/>
        </w:rPr>
      </w:pPr>
      <w:r w:rsidRPr="005C4612">
        <w:rPr>
          <w:sz w:val="20"/>
          <w:szCs w:val="20"/>
        </w:rPr>
        <w:t xml:space="preserve">ASTM International, </w:t>
      </w:r>
      <w:r w:rsidR="00921CBC" w:rsidRPr="005C4612">
        <w:rPr>
          <w:sz w:val="20"/>
          <w:szCs w:val="20"/>
        </w:rPr>
        <w:t xml:space="preserve">2003. </w:t>
      </w:r>
      <w:r w:rsidRPr="005C4612">
        <w:rPr>
          <w:sz w:val="20"/>
          <w:szCs w:val="20"/>
        </w:rPr>
        <w:t>Standard tables for reference solar spectral irradiances: Direct normal and hemispherical on 37° tilted surface (</w:t>
      </w:r>
      <w:r w:rsidR="00032948">
        <w:rPr>
          <w:sz w:val="20"/>
          <w:szCs w:val="20"/>
        </w:rPr>
        <w:t>ASTM G173-03</w:t>
      </w:r>
      <w:r w:rsidRPr="005C4612">
        <w:rPr>
          <w:sz w:val="20"/>
          <w:szCs w:val="20"/>
        </w:rPr>
        <w:t xml:space="preserve">). </w:t>
      </w:r>
      <w:r w:rsidR="002C3BAC">
        <w:rPr>
          <w:sz w:val="20"/>
          <w:szCs w:val="20"/>
          <w:lang w:val="en-US"/>
        </w:rPr>
        <w:t>url:</w:t>
      </w:r>
      <w:r w:rsidRPr="005C4612">
        <w:rPr>
          <w:sz w:val="20"/>
          <w:szCs w:val="20"/>
          <w:lang w:val="en-US"/>
        </w:rPr>
        <w:t xml:space="preserve"> </w:t>
      </w:r>
      <w:r w:rsidRPr="00753DBF">
        <w:rPr>
          <w:sz w:val="20"/>
          <w:szCs w:val="20"/>
          <w:lang w:val="en-US"/>
        </w:rPr>
        <w:t>https://store.astm.org/g0173-03.html</w:t>
      </w:r>
    </w:p>
    <w:p w14:paraId="7F72B40C" w14:textId="50C56C70" w:rsidR="00286AB4" w:rsidRPr="005C4612" w:rsidRDefault="00286AB4" w:rsidP="00875F54">
      <w:pPr>
        <w:pStyle w:val="NormalWeb"/>
        <w:spacing w:before="0" w:beforeAutospacing="0" w:after="160" w:afterAutospacing="0" w:line="259" w:lineRule="auto"/>
        <w:jc w:val="both"/>
        <w:rPr>
          <w:sz w:val="20"/>
          <w:szCs w:val="20"/>
          <w:lang w:val="en-US"/>
        </w:rPr>
      </w:pPr>
      <w:r w:rsidRPr="005C4612">
        <w:rPr>
          <w:sz w:val="20"/>
          <w:szCs w:val="20"/>
          <w:lang w:val="en-US"/>
        </w:rPr>
        <w:t>Buie, D., Monger, A.G.</w:t>
      </w:r>
      <w:r w:rsidR="00C602DC">
        <w:rPr>
          <w:sz w:val="20"/>
          <w:szCs w:val="20"/>
          <w:lang w:val="en-US"/>
        </w:rPr>
        <w:t>,</w:t>
      </w:r>
      <w:r w:rsidRPr="005C4612">
        <w:rPr>
          <w:sz w:val="20"/>
          <w:szCs w:val="20"/>
          <w:lang w:val="en-US"/>
        </w:rPr>
        <w:t xml:space="preserve"> Dey, C.J., 2003. Sunshape distributions for terrestrial solar simulations. Solar energy</w:t>
      </w:r>
      <w:r w:rsidR="000A1CB3">
        <w:rPr>
          <w:sz w:val="20"/>
          <w:szCs w:val="20"/>
          <w:lang w:val="en-US"/>
        </w:rPr>
        <w:t>.</w:t>
      </w:r>
      <w:r w:rsidRPr="005C4612">
        <w:rPr>
          <w:sz w:val="20"/>
          <w:szCs w:val="20"/>
          <w:lang w:val="en-US"/>
        </w:rPr>
        <w:t xml:space="preserve"> 74(2), 113-122. doi: </w:t>
      </w:r>
      <w:r w:rsidR="003C120B" w:rsidRPr="005C4612">
        <w:rPr>
          <w:sz w:val="20"/>
          <w:szCs w:val="20"/>
          <w:lang w:val="en-US"/>
        </w:rPr>
        <w:t>10.1016/S0038-092X(03)00125-7</w:t>
      </w:r>
    </w:p>
    <w:p w14:paraId="5FCEFCAD" w14:textId="1B897AC9" w:rsidR="002D643B" w:rsidRPr="005C4612" w:rsidRDefault="00F17498" w:rsidP="00875F54">
      <w:pPr>
        <w:pStyle w:val="NormalWeb"/>
        <w:spacing w:before="0" w:beforeAutospacing="0" w:after="160" w:afterAutospacing="0" w:line="259" w:lineRule="auto"/>
        <w:jc w:val="both"/>
        <w:rPr>
          <w:sz w:val="20"/>
          <w:szCs w:val="20"/>
          <w:lang w:val="en-US"/>
        </w:rPr>
      </w:pPr>
      <w:r w:rsidRPr="005C4612">
        <w:rPr>
          <w:sz w:val="20"/>
          <w:szCs w:val="20"/>
          <w:lang w:val="en-US"/>
        </w:rPr>
        <w:t>Cardona, G.</w:t>
      </w:r>
      <w:r w:rsidR="00C602DC">
        <w:rPr>
          <w:sz w:val="20"/>
          <w:szCs w:val="20"/>
          <w:lang w:val="en-US"/>
        </w:rPr>
        <w:t>,</w:t>
      </w:r>
      <w:r w:rsidRPr="005C4612">
        <w:rPr>
          <w:sz w:val="20"/>
          <w:szCs w:val="20"/>
          <w:lang w:val="en-US"/>
        </w:rPr>
        <w:t xml:space="preserve"> Pujol-Nadal, R., 2020. OTSun, a </w:t>
      </w:r>
      <w:r w:rsidR="00032948">
        <w:rPr>
          <w:sz w:val="20"/>
          <w:szCs w:val="20"/>
          <w:lang w:val="en-US"/>
        </w:rPr>
        <w:t>Python</w:t>
      </w:r>
      <w:r w:rsidRPr="005C4612">
        <w:rPr>
          <w:sz w:val="20"/>
          <w:szCs w:val="20"/>
          <w:lang w:val="en-US"/>
        </w:rPr>
        <w:t xml:space="preserve"> package for the optical analysis of solar-thermal collectors and photovoltaic cells with arbitrary geometry. Plos one</w:t>
      </w:r>
      <w:r w:rsidR="000A1CB3">
        <w:rPr>
          <w:sz w:val="20"/>
          <w:szCs w:val="20"/>
          <w:lang w:val="en-US"/>
        </w:rPr>
        <w:t>.</w:t>
      </w:r>
      <w:r w:rsidRPr="005C4612">
        <w:rPr>
          <w:sz w:val="20"/>
          <w:szCs w:val="20"/>
          <w:lang w:val="en-US"/>
        </w:rPr>
        <w:t xml:space="preserve"> 15(10), 0240735. doi: </w:t>
      </w:r>
      <w:r w:rsidR="004E2202" w:rsidRPr="005C4612">
        <w:rPr>
          <w:sz w:val="20"/>
          <w:szCs w:val="20"/>
          <w:lang w:val="en-US"/>
        </w:rPr>
        <w:t>10.1371/journal.pone.0240735</w:t>
      </w:r>
    </w:p>
    <w:p w14:paraId="1772B78B" w14:textId="425599B8" w:rsidR="00C02E66" w:rsidRPr="005C4612" w:rsidRDefault="00C02E66" w:rsidP="00875F54">
      <w:pPr>
        <w:pStyle w:val="NormalWeb"/>
        <w:spacing w:before="0" w:beforeAutospacing="0" w:after="160" w:afterAutospacing="0" w:line="259" w:lineRule="auto"/>
        <w:jc w:val="both"/>
        <w:rPr>
          <w:sz w:val="20"/>
          <w:szCs w:val="20"/>
          <w:lang w:val="en-US"/>
        </w:rPr>
      </w:pPr>
      <w:r w:rsidRPr="005C4612">
        <w:rPr>
          <w:sz w:val="20"/>
          <w:szCs w:val="20"/>
          <w:lang w:val="en-US"/>
        </w:rPr>
        <w:t>Heimsath, A., Sutardhio, C., Schöttl, P.</w:t>
      </w:r>
      <w:r w:rsidR="00C602DC">
        <w:rPr>
          <w:sz w:val="20"/>
          <w:szCs w:val="20"/>
          <w:lang w:val="en-US"/>
        </w:rPr>
        <w:t>,</w:t>
      </w:r>
      <w:r w:rsidRPr="005C4612">
        <w:rPr>
          <w:sz w:val="20"/>
          <w:szCs w:val="20"/>
          <w:lang w:val="en-US"/>
        </w:rPr>
        <w:t xml:space="preserve"> Nitz, P., 2020. Soiling of solar mirrors-impact of incidence angles on CSP plant performance. In AIP Conference Proceedings (Vol. 2303, No. 1, p. 210003). AIP Publishing LLC. doi: 10.1063/5.0029067</w:t>
      </w:r>
    </w:p>
    <w:p w14:paraId="4319A5D4" w14:textId="14AFD0FD" w:rsidR="005F3C42" w:rsidRPr="005C4612" w:rsidRDefault="005F3C42" w:rsidP="00875F54">
      <w:pPr>
        <w:pStyle w:val="NormalWeb"/>
        <w:spacing w:before="0" w:beforeAutospacing="0" w:after="160" w:afterAutospacing="0" w:line="259" w:lineRule="auto"/>
        <w:jc w:val="both"/>
        <w:rPr>
          <w:sz w:val="20"/>
          <w:szCs w:val="20"/>
          <w:lang w:val="en-US"/>
        </w:rPr>
      </w:pPr>
      <w:r w:rsidRPr="005C4612">
        <w:rPr>
          <w:sz w:val="20"/>
          <w:szCs w:val="20"/>
          <w:lang w:val="en-US"/>
        </w:rPr>
        <w:t>Leal, M., Pujol-Nadal, R., Domingo Álvarez, J., del Mar Castilla, M., Torres, J. L., Cardona, G., Pérez, M., 2024. Optical performance analysis of a hybrid parabolic trough collector with photovoltaic slats. Applied Optics</w:t>
      </w:r>
      <w:r w:rsidR="00381F04">
        <w:rPr>
          <w:sz w:val="20"/>
          <w:szCs w:val="20"/>
          <w:lang w:val="en-US"/>
        </w:rPr>
        <w:t>.</w:t>
      </w:r>
      <w:r w:rsidRPr="005C4612">
        <w:rPr>
          <w:sz w:val="20"/>
          <w:szCs w:val="20"/>
          <w:lang w:val="en-US"/>
        </w:rPr>
        <w:t xml:space="preserve"> 63(34), 8878-8889.</w:t>
      </w:r>
      <w:r w:rsidR="00597855">
        <w:rPr>
          <w:sz w:val="20"/>
          <w:szCs w:val="20"/>
          <w:lang w:val="en-US"/>
        </w:rPr>
        <w:t xml:space="preserve"> </w:t>
      </w:r>
      <w:r w:rsidR="001F05C4">
        <w:rPr>
          <w:sz w:val="20"/>
          <w:szCs w:val="20"/>
          <w:lang w:val="en-US"/>
        </w:rPr>
        <w:t xml:space="preserve">doi: </w:t>
      </w:r>
      <w:r w:rsidR="001F05C4" w:rsidRPr="001F05C4">
        <w:rPr>
          <w:sz w:val="20"/>
          <w:szCs w:val="20"/>
          <w:lang w:val="en-US"/>
        </w:rPr>
        <w:t>10.1364/AO.537784</w:t>
      </w:r>
    </w:p>
    <w:p w14:paraId="14FB4C4E" w14:textId="3B562BA6" w:rsidR="000B2BBC" w:rsidRPr="005C4612" w:rsidRDefault="000B2BBC" w:rsidP="00875F54">
      <w:pPr>
        <w:pStyle w:val="NormalWeb"/>
        <w:spacing w:before="0" w:beforeAutospacing="0" w:after="160" w:afterAutospacing="0" w:line="259" w:lineRule="auto"/>
        <w:jc w:val="both"/>
      </w:pPr>
      <w:r w:rsidRPr="005C4612">
        <w:rPr>
          <w:sz w:val="20"/>
          <w:szCs w:val="20"/>
          <w:lang w:val="en-US"/>
        </w:rPr>
        <w:t>Mehos, M., Price, H., Cable, R., Kearney, D., Kelly, B., Kolb, G.</w:t>
      </w:r>
      <w:r w:rsidR="009A12AA" w:rsidRPr="005C4612">
        <w:rPr>
          <w:sz w:val="20"/>
          <w:szCs w:val="20"/>
          <w:lang w:val="en-US"/>
        </w:rPr>
        <w:t>,</w:t>
      </w:r>
      <w:r w:rsidRPr="005C4612">
        <w:rPr>
          <w:sz w:val="20"/>
          <w:szCs w:val="20"/>
          <w:lang w:val="en-US"/>
        </w:rPr>
        <w:t xml:space="preserve"> Morse, F., 2020. Concentrating solar power best practices study (No. NREL/TP--5500-75763). National Renewable Energy Laboratory (NREL), Golden, CO (United States); Solar Dynamics, LLC, Denver, CO (United States).</w:t>
      </w:r>
      <w:r w:rsidR="009A12AA" w:rsidRPr="005C4612">
        <w:rPr>
          <w:sz w:val="20"/>
          <w:szCs w:val="20"/>
          <w:lang w:val="en-US"/>
        </w:rPr>
        <w:t xml:space="preserve"> </w:t>
      </w:r>
      <w:r w:rsidR="002C3BAC">
        <w:rPr>
          <w:sz w:val="20"/>
          <w:szCs w:val="20"/>
          <w:lang w:val="en-US"/>
        </w:rPr>
        <w:t>url</w:t>
      </w:r>
      <w:r w:rsidR="009A12AA" w:rsidRPr="005C4612">
        <w:rPr>
          <w:sz w:val="20"/>
          <w:szCs w:val="20"/>
          <w:lang w:val="en-US"/>
        </w:rPr>
        <w:t>:</w:t>
      </w:r>
      <w:r w:rsidR="00D04822" w:rsidRPr="005C4612">
        <w:rPr>
          <w:sz w:val="20"/>
          <w:szCs w:val="20"/>
          <w:lang w:val="en-US"/>
        </w:rPr>
        <w:t xml:space="preserve"> </w:t>
      </w:r>
      <w:r w:rsidR="00566832" w:rsidRPr="00597855">
        <w:rPr>
          <w:sz w:val="20"/>
          <w:szCs w:val="20"/>
          <w:lang w:val="en-US"/>
        </w:rPr>
        <w:t>http://en.cnste.org/uploads/soft/200703/1_1416292091.pdf</w:t>
      </w:r>
    </w:p>
    <w:p w14:paraId="0A60DDE1" w14:textId="45271DB8" w:rsidR="00C02E66" w:rsidRPr="005C4612" w:rsidRDefault="00C02E66" w:rsidP="00875F54">
      <w:pPr>
        <w:pStyle w:val="NormalWeb"/>
        <w:spacing w:before="0" w:beforeAutospacing="0" w:after="160" w:afterAutospacing="0" w:line="259" w:lineRule="auto"/>
        <w:jc w:val="both"/>
        <w:rPr>
          <w:sz w:val="20"/>
          <w:szCs w:val="20"/>
          <w:lang w:val="en-US"/>
        </w:rPr>
      </w:pPr>
      <w:r w:rsidRPr="005C4612">
        <w:rPr>
          <w:sz w:val="20"/>
          <w:szCs w:val="20"/>
          <w:lang w:val="en-US"/>
        </w:rPr>
        <w:t>Natraj, Reddy, K.S., 2023. Investigations of thermo-structural instability on the performance of solar parabolic trough collectors. Renewable Energy</w:t>
      </w:r>
      <w:r w:rsidR="00C5738B">
        <w:rPr>
          <w:sz w:val="20"/>
          <w:szCs w:val="20"/>
          <w:lang w:val="en-US"/>
        </w:rPr>
        <w:t>.</w:t>
      </w:r>
      <w:r w:rsidRPr="005C4612">
        <w:rPr>
          <w:sz w:val="20"/>
          <w:szCs w:val="20"/>
          <w:lang w:val="en-US"/>
        </w:rPr>
        <w:t xml:space="preserve"> 202, 381-393. doi: 10.1016/j.renene.2022.11.068</w:t>
      </w:r>
    </w:p>
    <w:p w14:paraId="37F2377F" w14:textId="788C92BC" w:rsidR="00001870" w:rsidRPr="005C4612" w:rsidRDefault="00001870" w:rsidP="00875F54">
      <w:pPr>
        <w:pStyle w:val="NormalWeb"/>
        <w:spacing w:before="0" w:beforeAutospacing="0" w:after="160" w:afterAutospacing="0" w:line="259" w:lineRule="auto"/>
        <w:jc w:val="both"/>
        <w:rPr>
          <w:sz w:val="20"/>
          <w:szCs w:val="20"/>
          <w:lang w:val="en-US"/>
        </w:rPr>
      </w:pPr>
      <w:r w:rsidRPr="005C4612">
        <w:rPr>
          <w:sz w:val="20"/>
          <w:szCs w:val="20"/>
          <w:lang w:val="en-US"/>
        </w:rPr>
        <w:t>Sallaberry, F., Tian, Z., Jauregi, O.G., Furbo, S., Perers, B., Zourellis, A.</w:t>
      </w:r>
      <w:r w:rsidR="00FD4702">
        <w:rPr>
          <w:sz w:val="20"/>
          <w:szCs w:val="20"/>
          <w:lang w:val="en-US"/>
        </w:rPr>
        <w:t>,</w:t>
      </w:r>
      <w:r w:rsidRPr="005C4612">
        <w:rPr>
          <w:sz w:val="20"/>
          <w:szCs w:val="20"/>
          <w:lang w:val="en-US"/>
        </w:rPr>
        <w:t xml:space="preserve"> Rothmann, J.H., 2018. Evaluation of the tracking accuracy of parabolic-trough collectors in a solar plant for district heating. In AIP Conference Proceedings (Vol. 2033, No. 1, p. 030015). AIP Publishing LLC. doi:</w:t>
      </w:r>
      <w:r w:rsidR="00F8115C" w:rsidRPr="005C4612">
        <w:rPr>
          <w:sz w:val="20"/>
          <w:szCs w:val="20"/>
          <w:lang w:val="en-US"/>
        </w:rPr>
        <w:t xml:space="preserve"> 10.1063/1.5067031</w:t>
      </w:r>
    </w:p>
    <w:p w14:paraId="4EA2FAFE" w14:textId="03417FFB" w:rsidR="00D456A0" w:rsidRPr="005C4612" w:rsidRDefault="00776BCB" w:rsidP="00875F54">
      <w:pPr>
        <w:pStyle w:val="NormalWeb"/>
        <w:spacing w:before="0" w:beforeAutospacing="0" w:after="160" w:afterAutospacing="0" w:line="259" w:lineRule="auto"/>
        <w:jc w:val="both"/>
        <w:rPr>
          <w:sz w:val="20"/>
          <w:szCs w:val="20"/>
          <w:lang w:val="en-US"/>
        </w:rPr>
      </w:pPr>
      <w:r w:rsidRPr="005C4612">
        <w:rPr>
          <w:sz w:val="20"/>
          <w:szCs w:val="20"/>
          <w:lang w:val="en-US"/>
        </w:rPr>
        <w:t>Shimada, D., Iwamoto, T., Maruhashi, A., Kitagawa, K., Shimizu, R., Ijitsu, A., Ueta, M., Yoshida, J., Inoue, S., Minamizawa, Y.</w:t>
      </w:r>
      <w:r w:rsidR="00247328">
        <w:rPr>
          <w:sz w:val="20"/>
          <w:szCs w:val="20"/>
          <w:lang w:val="en-US"/>
        </w:rPr>
        <w:t>,</w:t>
      </w:r>
      <w:r w:rsidRPr="005C4612">
        <w:rPr>
          <w:sz w:val="20"/>
          <w:szCs w:val="20"/>
          <w:lang w:val="en-US"/>
        </w:rPr>
        <w:t xml:space="preserve"> Tamamura, T., 2025. Experimental and numerical investigation of receiver tube fracture of parabolic trough solar thermal collectors. Renewable Energy</w:t>
      </w:r>
      <w:r w:rsidR="00C5738B">
        <w:rPr>
          <w:sz w:val="20"/>
          <w:szCs w:val="20"/>
          <w:lang w:val="en-US"/>
        </w:rPr>
        <w:t>.</w:t>
      </w:r>
      <w:r w:rsidRPr="005C4612">
        <w:rPr>
          <w:sz w:val="20"/>
          <w:szCs w:val="20"/>
          <w:lang w:val="en-US"/>
        </w:rPr>
        <w:t xml:space="preserve"> </w:t>
      </w:r>
      <w:r w:rsidR="00E744D1">
        <w:rPr>
          <w:sz w:val="20"/>
          <w:szCs w:val="20"/>
          <w:lang w:val="en-US"/>
        </w:rPr>
        <w:t xml:space="preserve">259, </w:t>
      </w:r>
      <w:r w:rsidRPr="005C4612">
        <w:rPr>
          <w:sz w:val="20"/>
          <w:szCs w:val="20"/>
          <w:lang w:val="en-US"/>
        </w:rPr>
        <w:t>125022.</w:t>
      </w:r>
      <w:r w:rsidR="005D21E0" w:rsidRPr="005C4612">
        <w:rPr>
          <w:sz w:val="20"/>
          <w:szCs w:val="20"/>
          <w:lang w:val="en-US"/>
        </w:rPr>
        <w:t xml:space="preserve"> doi: </w:t>
      </w:r>
      <w:r w:rsidR="00B95028" w:rsidRPr="005C4612">
        <w:rPr>
          <w:sz w:val="20"/>
          <w:szCs w:val="20"/>
          <w:lang w:val="en-US"/>
        </w:rPr>
        <w:t>10.1016/j.renene.2025.125022</w:t>
      </w:r>
    </w:p>
    <w:p w14:paraId="7E48166D" w14:textId="158E3C6A" w:rsidR="00C02E66" w:rsidRPr="005C4612" w:rsidRDefault="00C02E66" w:rsidP="00875F54">
      <w:pPr>
        <w:pStyle w:val="NormalWeb"/>
        <w:spacing w:before="0" w:beforeAutospacing="0" w:after="160" w:afterAutospacing="0" w:line="259" w:lineRule="auto"/>
        <w:jc w:val="both"/>
        <w:rPr>
          <w:sz w:val="20"/>
          <w:szCs w:val="20"/>
          <w:lang w:val="en-US"/>
        </w:rPr>
      </w:pPr>
      <w:r w:rsidRPr="005C4612">
        <w:rPr>
          <w:sz w:val="20"/>
          <w:szCs w:val="20"/>
          <w:lang w:val="en-US"/>
        </w:rPr>
        <w:t>Shyam, A., Ahmed, K.R.A., Christopher, S.S.</w:t>
      </w:r>
      <w:r w:rsidR="00FD4702">
        <w:rPr>
          <w:sz w:val="20"/>
          <w:szCs w:val="20"/>
          <w:lang w:val="en-US"/>
        </w:rPr>
        <w:t>,</w:t>
      </w:r>
      <w:r w:rsidRPr="005C4612">
        <w:rPr>
          <w:sz w:val="20"/>
          <w:szCs w:val="20"/>
          <w:lang w:val="en-US"/>
        </w:rPr>
        <w:t xml:space="preserve"> Iniyan, S., 2024. Thermal performance enhancement in a solar parabolic trough collector with optimized secondary optics. Clean Technologies and Environmental Policy</w:t>
      </w:r>
      <w:r w:rsidR="00191106">
        <w:rPr>
          <w:sz w:val="20"/>
          <w:szCs w:val="20"/>
          <w:lang w:val="en-US"/>
        </w:rPr>
        <w:t>.</w:t>
      </w:r>
      <w:r w:rsidRPr="005C4612">
        <w:rPr>
          <w:sz w:val="20"/>
          <w:szCs w:val="20"/>
          <w:lang w:val="en-US"/>
        </w:rPr>
        <w:t xml:space="preserve"> 26(3), 771-784. doi: 10.1007/s10098-023-02649-2</w:t>
      </w:r>
    </w:p>
    <w:p w14:paraId="5FE2CFF2" w14:textId="726DB9DB" w:rsidR="00C67BAC" w:rsidRDefault="00C67BAC" w:rsidP="00875F54">
      <w:pPr>
        <w:pStyle w:val="NormalWeb"/>
        <w:spacing w:before="0" w:beforeAutospacing="0" w:after="160" w:afterAutospacing="0" w:line="259" w:lineRule="auto"/>
        <w:jc w:val="both"/>
        <w:rPr>
          <w:sz w:val="20"/>
          <w:szCs w:val="20"/>
          <w:lang w:val="en-US"/>
        </w:rPr>
      </w:pPr>
      <w:r w:rsidRPr="005C4612">
        <w:rPr>
          <w:sz w:val="20"/>
          <w:szCs w:val="20"/>
          <w:lang w:val="en-US"/>
        </w:rPr>
        <w:lastRenderedPageBreak/>
        <w:t>Stettenheim, J., McBride, T., Brambles, O., Magari, P., Davis, B., Iveson, M., Chen, W., Kaszeta, R., Kattamis, N.</w:t>
      </w:r>
      <w:r w:rsidR="00FD4702">
        <w:rPr>
          <w:sz w:val="20"/>
          <w:szCs w:val="20"/>
          <w:lang w:val="en-US"/>
        </w:rPr>
        <w:t xml:space="preserve">, </w:t>
      </w:r>
      <w:r w:rsidRPr="005C4612">
        <w:rPr>
          <w:sz w:val="20"/>
          <w:szCs w:val="20"/>
          <w:lang w:val="en-US"/>
        </w:rPr>
        <w:t xml:space="preserve">Cheng, C., 2013. Advanced Low-Cost Receivers for Parabolic Troughs. CONCENTRATING SOLAR POWER PROGRAM REVIEW 2013, p.21. </w:t>
      </w:r>
      <w:r w:rsidR="00871D69" w:rsidRPr="005C4612">
        <w:rPr>
          <w:sz w:val="20"/>
          <w:szCs w:val="20"/>
          <w:lang w:val="en-US"/>
        </w:rPr>
        <w:t>url</w:t>
      </w:r>
      <w:r w:rsidRPr="005C4612">
        <w:rPr>
          <w:sz w:val="20"/>
          <w:szCs w:val="20"/>
          <w:lang w:val="en-US"/>
        </w:rPr>
        <w:t xml:space="preserve">: </w:t>
      </w:r>
      <w:r w:rsidR="008345C5" w:rsidRPr="008345C5">
        <w:rPr>
          <w:sz w:val="20"/>
          <w:szCs w:val="20"/>
          <w:lang w:val="en-US"/>
        </w:rPr>
        <w:t>https://docs.nlr.gov/docs/fy13osti/58484.pdf#page=26</w:t>
      </w:r>
    </w:p>
    <w:p w14:paraId="1D5E6CD8" w14:textId="5D0686A0" w:rsidR="008345C5" w:rsidRPr="005C4612" w:rsidRDefault="008345C5" w:rsidP="00875F54">
      <w:pPr>
        <w:pStyle w:val="NormalWeb"/>
        <w:spacing w:before="0" w:beforeAutospacing="0" w:after="160" w:afterAutospacing="0" w:line="259" w:lineRule="auto"/>
        <w:jc w:val="both"/>
        <w:rPr>
          <w:sz w:val="20"/>
          <w:szCs w:val="20"/>
          <w:lang w:val="en-US"/>
        </w:rPr>
      </w:pPr>
      <w:r w:rsidRPr="008345C5">
        <w:rPr>
          <w:sz w:val="20"/>
          <w:szCs w:val="20"/>
          <w:lang w:val="en-US"/>
        </w:rPr>
        <w:t>Waghmare, S.A.</w:t>
      </w:r>
      <w:r w:rsidR="000E2DD0">
        <w:rPr>
          <w:sz w:val="20"/>
          <w:szCs w:val="20"/>
          <w:lang w:val="en-US"/>
        </w:rPr>
        <w:t>,</w:t>
      </w:r>
      <w:r w:rsidRPr="008345C5">
        <w:rPr>
          <w:sz w:val="20"/>
          <w:szCs w:val="20"/>
          <w:lang w:val="en-US"/>
        </w:rPr>
        <w:t xml:space="preserve"> Gulhane, N.P., 2016. Design and ray tracing of a compound parabolic collector with tubular receiver.</w:t>
      </w:r>
      <w:r w:rsidRPr="000E2DD0">
        <w:rPr>
          <w:sz w:val="20"/>
          <w:szCs w:val="20"/>
          <w:lang w:val="en-US"/>
        </w:rPr>
        <w:t xml:space="preserve"> Solar Energy</w:t>
      </w:r>
      <w:r w:rsidR="000E2DD0" w:rsidRPr="000E2DD0">
        <w:rPr>
          <w:sz w:val="20"/>
          <w:szCs w:val="20"/>
          <w:lang w:val="en-US"/>
        </w:rPr>
        <w:t>.</w:t>
      </w:r>
      <w:r w:rsidRPr="008345C5">
        <w:rPr>
          <w:sz w:val="20"/>
          <w:szCs w:val="20"/>
          <w:lang w:val="en-US"/>
        </w:rPr>
        <w:t xml:space="preserve"> </w:t>
      </w:r>
      <w:r w:rsidRPr="008345C5">
        <w:rPr>
          <w:i/>
          <w:iCs/>
          <w:sz w:val="20"/>
          <w:szCs w:val="20"/>
          <w:lang w:val="en-US"/>
        </w:rPr>
        <w:t>137</w:t>
      </w:r>
      <w:r w:rsidRPr="008345C5">
        <w:rPr>
          <w:sz w:val="20"/>
          <w:szCs w:val="20"/>
          <w:lang w:val="en-US"/>
        </w:rPr>
        <w:t>, 165-172.</w:t>
      </w:r>
      <w:r w:rsidR="00441FA4">
        <w:rPr>
          <w:sz w:val="20"/>
          <w:szCs w:val="20"/>
          <w:lang w:val="en-US"/>
        </w:rPr>
        <w:t xml:space="preserve"> doi: </w:t>
      </w:r>
      <w:r w:rsidR="00C13028" w:rsidRPr="00C13028">
        <w:rPr>
          <w:sz w:val="20"/>
          <w:szCs w:val="20"/>
          <w:lang w:val="en-US"/>
        </w:rPr>
        <w:t>10.1016/j.solener.2016.08.009</w:t>
      </w:r>
    </w:p>
    <w:p w14:paraId="35828C27" w14:textId="55D184D0" w:rsidR="00C02E66" w:rsidRDefault="00C02E66" w:rsidP="00875F54">
      <w:pPr>
        <w:pStyle w:val="NormalWeb"/>
        <w:spacing w:before="0" w:beforeAutospacing="0" w:after="160" w:afterAutospacing="0" w:line="259" w:lineRule="auto"/>
        <w:jc w:val="both"/>
        <w:rPr>
          <w:sz w:val="20"/>
          <w:szCs w:val="20"/>
          <w:lang w:val="en-US"/>
        </w:rPr>
      </w:pPr>
      <w:r w:rsidRPr="005C4612">
        <w:rPr>
          <w:sz w:val="20"/>
          <w:szCs w:val="20"/>
          <w:lang w:val="en-US"/>
        </w:rPr>
        <w:t>Wang, Y., Liu, Q., Lei, J.</w:t>
      </w:r>
      <w:r w:rsidR="00FD4702">
        <w:rPr>
          <w:sz w:val="20"/>
          <w:szCs w:val="20"/>
          <w:lang w:val="en-US"/>
        </w:rPr>
        <w:t>,</w:t>
      </w:r>
      <w:r w:rsidRPr="005C4612">
        <w:rPr>
          <w:sz w:val="20"/>
          <w:szCs w:val="20"/>
          <w:lang w:val="en-US"/>
        </w:rPr>
        <w:t xml:space="preserve"> Jin, H., 2015. Performance analysis of a parabolic trough solar collector with non-uniform solar flux conditions. International Journal of Heat and Mass Transfer</w:t>
      </w:r>
      <w:r w:rsidR="00191106">
        <w:rPr>
          <w:sz w:val="20"/>
          <w:szCs w:val="20"/>
          <w:lang w:val="en-US"/>
        </w:rPr>
        <w:t>.</w:t>
      </w:r>
      <w:r w:rsidRPr="005C4612">
        <w:rPr>
          <w:sz w:val="20"/>
          <w:szCs w:val="20"/>
          <w:lang w:val="en-US"/>
        </w:rPr>
        <w:t xml:space="preserve"> 82, 236-249. doi: 10.1016/j.ijheatmasstransfer.2014.11.055</w:t>
      </w:r>
    </w:p>
    <w:p w14:paraId="2491C95F" w14:textId="47D2B3F1" w:rsidR="005254A1" w:rsidRPr="005C4612" w:rsidRDefault="005254A1" w:rsidP="00875F54">
      <w:pPr>
        <w:pStyle w:val="NormalWeb"/>
        <w:spacing w:before="0" w:beforeAutospacing="0" w:after="160" w:afterAutospacing="0" w:line="259" w:lineRule="auto"/>
        <w:jc w:val="both"/>
        <w:rPr>
          <w:sz w:val="20"/>
          <w:szCs w:val="20"/>
          <w:lang w:val="en-US"/>
        </w:rPr>
      </w:pPr>
      <w:r w:rsidRPr="005C4612">
        <w:rPr>
          <w:sz w:val="20"/>
          <w:szCs w:val="20"/>
          <w:lang w:val="en-US"/>
        </w:rPr>
        <w:t>Wu, Z., Lei, D., Yuan, G., Shao, J., Zhang, Y., Wang, Z., 2014</w:t>
      </w:r>
      <w:r>
        <w:rPr>
          <w:sz w:val="20"/>
          <w:szCs w:val="20"/>
          <w:lang w:val="en-US"/>
        </w:rPr>
        <w:t>a</w:t>
      </w:r>
      <w:r w:rsidRPr="005C4612">
        <w:rPr>
          <w:sz w:val="20"/>
          <w:szCs w:val="20"/>
          <w:lang w:val="en-US"/>
        </w:rPr>
        <w:t>. Structural reliability analysis of parabolic trough receivers. Applied energy</w:t>
      </w:r>
      <w:r>
        <w:rPr>
          <w:sz w:val="20"/>
          <w:szCs w:val="20"/>
          <w:lang w:val="en-US"/>
        </w:rPr>
        <w:t>.</w:t>
      </w:r>
      <w:r w:rsidRPr="005C4612">
        <w:rPr>
          <w:sz w:val="20"/>
          <w:szCs w:val="20"/>
          <w:lang w:val="en-US"/>
        </w:rPr>
        <w:t xml:space="preserve"> 123, 232-241. doi: 10.1016/j.apenergy.2014.02.068</w:t>
      </w:r>
    </w:p>
    <w:p w14:paraId="5DFEFB75" w14:textId="314FDF80" w:rsidR="00C02E66" w:rsidRPr="005C4612" w:rsidRDefault="00C02E66" w:rsidP="00875F54">
      <w:pPr>
        <w:pStyle w:val="NormalWeb"/>
        <w:spacing w:before="0" w:beforeAutospacing="0" w:after="160" w:afterAutospacing="0" w:line="259" w:lineRule="auto"/>
        <w:jc w:val="both"/>
        <w:rPr>
          <w:sz w:val="20"/>
          <w:szCs w:val="20"/>
          <w:lang w:val="en-US"/>
        </w:rPr>
      </w:pPr>
      <w:r w:rsidRPr="005C4612">
        <w:rPr>
          <w:sz w:val="20"/>
          <w:szCs w:val="20"/>
          <w:lang w:val="en-US"/>
        </w:rPr>
        <w:t>Wu, Z., Li, S., Yuan, G., Lei, D., Wang, Z., 2014</w:t>
      </w:r>
      <w:r w:rsidR="005254A1">
        <w:rPr>
          <w:sz w:val="20"/>
          <w:szCs w:val="20"/>
          <w:lang w:val="en-US"/>
        </w:rPr>
        <w:t>b</w:t>
      </w:r>
      <w:r w:rsidRPr="005C4612">
        <w:rPr>
          <w:sz w:val="20"/>
          <w:szCs w:val="20"/>
          <w:lang w:val="en-US"/>
        </w:rPr>
        <w:t>. Three-dimensional numerical study of heat transfer characteristics of parabolic trough receiver. Applied energy</w:t>
      </w:r>
      <w:r w:rsidR="00191106">
        <w:rPr>
          <w:sz w:val="20"/>
          <w:szCs w:val="20"/>
          <w:lang w:val="en-US"/>
        </w:rPr>
        <w:t>.</w:t>
      </w:r>
      <w:r w:rsidRPr="005C4612">
        <w:rPr>
          <w:sz w:val="20"/>
          <w:szCs w:val="20"/>
          <w:lang w:val="en-US"/>
        </w:rPr>
        <w:t xml:space="preserve"> 113, 902-911. doi:10.1016/j.apenergy.2013.07.050</w:t>
      </w:r>
    </w:p>
    <w:p w14:paraId="62DC0613" w14:textId="7F9229DA" w:rsidR="00C02E66" w:rsidRPr="005C4612" w:rsidRDefault="00C02E66" w:rsidP="00875F54">
      <w:pPr>
        <w:pStyle w:val="NormalWeb"/>
        <w:spacing w:before="0" w:beforeAutospacing="0" w:after="160" w:afterAutospacing="0" w:line="259" w:lineRule="auto"/>
        <w:jc w:val="both"/>
        <w:rPr>
          <w:sz w:val="20"/>
          <w:szCs w:val="20"/>
          <w:lang w:val="en-US"/>
        </w:rPr>
      </w:pPr>
      <w:r w:rsidRPr="005C4612">
        <w:rPr>
          <w:sz w:val="20"/>
          <w:szCs w:val="20"/>
          <w:lang w:val="en-US"/>
        </w:rPr>
        <w:t>Zou, B., Jiang, Y., Yao, Y., Yang, H., 2019. Optical performance of parabolic trough solar collectors under condition of multiple optical factors. Applied Thermal Engineering</w:t>
      </w:r>
      <w:r w:rsidR="00191106">
        <w:rPr>
          <w:sz w:val="20"/>
          <w:szCs w:val="20"/>
          <w:lang w:val="en-US"/>
        </w:rPr>
        <w:t>.</w:t>
      </w:r>
      <w:r w:rsidRPr="005C4612">
        <w:rPr>
          <w:sz w:val="20"/>
          <w:szCs w:val="20"/>
          <w:lang w:val="en-US"/>
        </w:rPr>
        <w:t xml:space="preserve"> 160, 114070.</w:t>
      </w:r>
      <w:r w:rsidR="001C2D8C">
        <w:rPr>
          <w:sz w:val="20"/>
          <w:szCs w:val="20"/>
          <w:lang w:val="en-US"/>
        </w:rPr>
        <w:t xml:space="preserve"> doi:</w:t>
      </w:r>
      <w:r w:rsidR="00113E67">
        <w:rPr>
          <w:sz w:val="20"/>
          <w:szCs w:val="20"/>
          <w:lang w:val="en-US"/>
        </w:rPr>
        <w:t xml:space="preserve"> </w:t>
      </w:r>
      <w:r w:rsidR="00113E67" w:rsidRPr="00113E67">
        <w:rPr>
          <w:sz w:val="20"/>
          <w:szCs w:val="20"/>
          <w:lang w:val="en-US"/>
        </w:rPr>
        <w:t>10.1016/j.applthermaleng.2019.114070</w:t>
      </w:r>
    </w:p>
    <w:p w14:paraId="578D4D51" w14:textId="77777777" w:rsidR="00C02E66" w:rsidRDefault="00C02E66" w:rsidP="00C02E66">
      <w:pPr>
        <w:pStyle w:val="NormalWeb"/>
        <w:spacing w:before="0" w:beforeAutospacing="0" w:after="120" w:afterAutospacing="0" w:line="276" w:lineRule="auto"/>
        <w:jc w:val="both"/>
        <w:rPr>
          <w:sz w:val="20"/>
          <w:szCs w:val="20"/>
          <w:lang w:val="en-US"/>
        </w:rPr>
      </w:pPr>
    </w:p>
    <w:p w14:paraId="1B71F688" w14:textId="355BD51E" w:rsidR="00837104" w:rsidRPr="009F3902" w:rsidRDefault="00837104" w:rsidP="007C36AC">
      <w:pPr>
        <w:pStyle w:val="SWCText"/>
      </w:pPr>
    </w:p>
    <w:p w14:paraId="7E0B799F" w14:textId="77777777" w:rsidR="00A92044" w:rsidRPr="009F3902" w:rsidRDefault="00A92044" w:rsidP="002D4864">
      <w:pPr>
        <w:pStyle w:val="SWCText"/>
        <w:jc w:val="center"/>
      </w:pPr>
    </w:p>
    <w:p w14:paraId="263188FC" w14:textId="28E4A36C" w:rsidR="008F54F8" w:rsidRDefault="008F54F8" w:rsidP="007C19FE">
      <w:pPr>
        <w:pStyle w:val="SWCText"/>
      </w:pPr>
    </w:p>
    <w:sectPr w:rsidR="008F54F8" w:rsidSect="007C19FE">
      <w:footnotePr>
        <w:numRestart w:val="eachPage"/>
      </w:footnotePr>
      <w:pgSz w:w="11908" w:h="16838" w:code="9"/>
      <w:pgMar w:top="1417" w:right="1417" w:bottom="1134" w:left="1417" w:header="284"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6D65D4" w14:textId="77777777" w:rsidR="00A547A3" w:rsidRPr="009F3902" w:rsidRDefault="00A547A3">
      <w:r w:rsidRPr="009F3902">
        <w:separator/>
      </w:r>
    </w:p>
  </w:endnote>
  <w:endnote w:type="continuationSeparator" w:id="0">
    <w:p w14:paraId="134BD3DA" w14:textId="77777777" w:rsidR="00A547A3" w:rsidRPr="009F3902" w:rsidRDefault="00A547A3">
      <w:r w:rsidRPr="009F390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3CDB0E" w14:textId="77777777" w:rsidR="00A547A3" w:rsidRPr="009F3902" w:rsidRDefault="00A547A3">
      <w:r w:rsidRPr="009F3902">
        <w:separator/>
      </w:r>
    </w:p>
  </w:footnote>
  <w:footnote w:type="continuationSeparator" w:id="0">
    <w:p w14:paraId="5522AC3B" w14:textId="77777777" w:rsidR="00A547A3" w:rsidRPr="009F3902" w:rsidRDefault="00A547A3">
      <w:r w:rsidRPr="009F390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7"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1"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7"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640279AF"/>
    <w:multiLevelType w:val="hybridMultilevel"/>
    <w:tmpl w:val="6AEA0D5A"/>
    <w:lvl w:ilvl="0" w:tplc="84FAF57A">
      <w:start w:val="1"/>
      <w:numFmt w:val="decimal"/>
      <w:pStyle w:val="SWCHeading1"/>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9"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0"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1"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5"/>
  </w:num>
  <w:num w:numId="2" w16cid:durableId="824710626">
    <w:abstractNumId w:val="11"/>
  </w:num>
  <w:num w:numId="3" w16cid:durableId="1779980318">
    <w:abstractNumId w:val="10"/>
  </w:num>
  <w:num w:numId="4" w16cid:durableId="691154539">
    <w:abstractNumId w:val="22"/>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6"/>
  </w:num>
  <w:num w:numId="11" w16cid:durableId="95492358">
    <w:abstractNumId w:val="18"/>
  </w:num>
  <w:num w:numId="12" w16cid:durableId="355472642">
    <w:abstractNumId w:val="14"/>
  </w:num>
  <w:num w:numId="13" w16cid:durableId="311523580">
    <w:abstractNumId w:val="6"/>
    <w:lvlOverride w:ilvl="0">
      <w:startOverride w:val="1"/>
    </w:lvlOverride>
  </w:num>
  <w:num w:numId="14" w16cid:durableId="1496726486">
    <w:abstractNumId w:val="17"/>
  </w:num>
  <w:num w:numId="15" w16cid:durableId="1806385346">
    <w:abstractNumId w:val="7"/>
  </w:num>
  <w:num w:numId="16" w16cid:durableId="1758162859">
    <w:abstractNumId w:val="13"/>
  </w:num>
  <w:num w:numId="17" w16cid:durableId="569772207">
    <w:abstractNumId w:val="16"/>
  </w:num>
  <w:num w:numId="18" w16cid:durableId="1080835087">
    <w:abstractNumId w:val="20"/>
  </w:num>
  <w:num w:numId="19" w16cid:durableId="1514802717">
    <w:abstractNumId w:val="9"/>
  </w:num>
  <w:num w:numId="20" w16cid:durableId="1328480391">
    <w:abstractNumId w:val="8"/>
  </w:num>
  <w:num w:numId="21" w16cid:durableId="1166094805">
    <w:abstractNumId w:val="12"/>
  </w:num>
  <w:num w:numId="22" w16cid:durableId="679743871">
    <w:abstractNumId w:val="19"/>
  </w:num>
  <w:num w:numId="23" w16cid:durableId="612976666">
    <w:abstractNumId w:val="15"/>
  </w:num>
  <w:num w:numId="24" w16cid:durableId="782998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9"/>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0E36"/>
    <w:rsid w:val="00001870"/>
    <w:rsid w:val="00005037"/>
    <w:rsid w:val="000056B7"/>
    <w:rsid w:val="00006110"/>
    <w:rsid w:val="000067DB"/>
    <w:rsid w:val="00010262"/>
    <w:rsid w:val="0001139E"/>
    <w:rsid w:val="00015D1A"/>
    <w:rsid w:val="000202AF"/>
    <w:rsid w:val="0002134D"/>
    <w:rsid w:val="0002379F"/>
    <w:rsid w:val="000258C6"/>
    <w:rsid w:val="0002797D"/>
    <w:rsid w:val="00031F13"/>
    <w:rsid w:val="00032948"/>
    <w:rsid w:val="00033B50"/>
    <w:rsid w:val="000364F2"/>
    <w:rsid w:val="00036621"/>
    <w:rsid w:val="00042112"/>
    <w:rsid w:val="0004235D"/>
    <w:rsid w:val="00046E86"/>
    <w:rsid w:val="0005003E"/>
    <w:rsid w:val="00052800"/>
    <w:rsid w:val="00052B6A"/>
    <w:rsid w:val="000533E4"/>
    <w:rsid w:val="000534F5"/>
    <w:rsid w:val="00053E02"/>
    <w:rsid w:val="00055DB9"/>
    <w:rsid w:val="00057B5E"/>
    <w:rsid w:val="00060578"/>
    <w:rsid w:val="00065E55"/>
    <w:rsid w:val="00066B26"/>
    <w:rsid w:val="00066F72"/>
    <w:rsid w:val="000678AC"/>
    <w:rsid w:val="000712A1"/>
    <w:rsid w:val="00072228"/>
    <w:rsid w:val="00074DBF"/>
    <w:rsid w:val="00075977"/>
    <w:rsid w:val="000772B5"/>
    <w:rsid w:val="00082809"/>
    <w:rsid w:val="00083B08"/>
    <w:rsid w:val="0008700B"/>
    <w:rsid w:val="00087A76"/>
    <w:rsid w:val="000912F6"/>
    <w:rsid w:val="00092ED5"/>
    <w:rsid w:val="000A0ADB"/>
    <w:rsid w:val="000A1CB3"/>
    <w:rsid w:val="000A1CC8"/>
    <w:rsid w:val="000A280A"/>
    <w:rsid w:val="000A30A5"/>
    <w:rsid w:val="000A36B5"/>
    <w:rsid w:val="000A4137"/>
    <w:rsid w:val="000A52A1"/>
    <w:rsid w:val="000B04BE"/>
    <w:rsid w:val="000B09B5"/>
    <w:rsid w:val="000B1F4D"/>
    <w:rsid w:val="000B2BBC"/>
    <w:rsid w:val="000B35FC"/>
    <w:rsid w:val="000B3E10"/>
    <w:rsid w:val="000C2344"/>
    <w:rsid w:val="000D4568"/>
    <w:rsid w:val="000D4C4E"/>
    <w:rsid w:val="000D64B9"/>
    <w:rsid w:val="000D6E1A"/>
    <w:rsid w:val="000D7ADE"/>
    <w:rsid w:val="000E1855"/>
    <w:rsid w:val="000E19B3"/>
    <w:rsid w:val="000E2DD0"/>
    <w:rsid w:val="000E6C15"/>
    <w:rsid w:val="000E6CBA"/>
    <w:rsid w:val="000E7A80"/>
    <w:rsid w:val="000F30DB"/>
    <w:rsid w:val="000F739B"/>
    <w:rsid w:val="001014AB"/>
    <w:rsid w:val="001031EE"/>
    <w:rsid w:val="001046B2"/>
    <w:rsid w:val="0010501A"/>
    <w:rsid w:val="00106AFE"/>
    <w:rsid w:val="00110C6B"/>
    <w:rsid w:val="00113E67"/>
    <w:rsid w:val="0011452F"/>
    <w:rsid w:val="001146A1"/>
    <w:rsid w:val="00115D3B"/>
    <w:rsid w:val="00116D24"/>
    <w:rsid w:val="00120B36"/>
    <w:rsid w:val="00125EB5"/>
    <w:rsid w:val="00130C25"/>
    <w:rsid w:val="00136177"/>
    <w:rsid w:val="00140482"/>
    <w:rsid w:val="00142941"/>
    <w:rsid w:val="00143618"/>
    <w:rsid w:val="0015090D"/>
    <w:rsid w:val="00150B42"/>
    <w:rsid w:val="00153F0A"/>
    <w:rsid w:val="0015509F"/>
    <w:rsid w:val="00155FB8"/>
    <w:rsid w:val="00157CE5"/>
    <w:rsid w:val="001612D0"/>
    <w:rsid w:val="001647D2"/>
    <w:rsid w:val="00166C42"/>
    <w:rsid w:val="00167E14"/>
    <w:rsid w:val="00170901"/>
    <w:rsid w:val="0017130A"/>
    <w:rsid w:val="00171919"/>
    <w:rsid w:val="00175BE1"/>
    <w:rsid w:val="00176EF6"/>
    <w:rsid w:val="001861B8"/>
    <w:rsid w:val="00186890"/>
    <w:rsid w:val="001904A7"/>
    <w:rsid w:val="00191106"/>
    <w:rsid w:val="0019232E"/>
    <w:rsid w:val="00194E9A"/>
    <w:rsid w:val="001968B5"/>
    <w:rsid w:val="001969B9"/>
    <w:rsid w:val="001A117A"/>
    <w:rsid w:val="001A264F"/>
    <w:rsid w:val="001A775B"/>
    <w:rsid w:val="001A7F40"/>
    <w:rsid w:val="001B13D6"/>
    <w:rsid w:val="001B6BCF"/>
    <w:rsid w:val="001B7B01"/>
    <w:rsid w:val="001C2D8C"/>
    <w:rsid w:val="001C3A3D"/>
    <w:rsid w:val="001C3C45"/>
    <w:rsid w:val="001C63A2"/>
    <w:rsid w:val="001D0384"/>
    <w:rsid w:val="001D1000"/>
    <w:rsid w:val="001D4912"/>
    <w:rsid w:val="001D6925"/>
    <w:rsid w:val="001D755C"/>
    <w:rsid w:val="001D7D08"/>
    <w:rsid w:val="001E0D60"/>
    <w:rsid w:val="001E1049"/>
    <w:rsid w:val="001E256D"/>
    <w:rsid w:val="001E2B93"/>
    <w:rsid w:val="001E3CE7"/>
    <w:rsid w:val="001E5475"/>
    <w:rsid w:val="001E6998"/>
    <w:rsid w:val="001F05C4"/>
    <w:rsid w:val="001F1AAA"/>
    <w:rsid w:val="001F2881"/>
    <w:rsid w:val="001F445F"/>
    <w:rsid w:val="00205626"/>
    <w:rsid w:val="00206116"/>
    <w:rsid w:val="00212628"/>
    <w:rsid w:val="002166A3"/>
    <w:rsid w:val="0022299B"/>
    <w:rsid w:val="00225724"/>
    <w:rsid w:val="002331FE"/>
    <w:rsid w:val="0023766F"/>
    <w:rsid w:val="00243214"/>
    <w:rsid w:val="00246F31"/>
    <w:rsid w:val="002470B2"/>
    <w:rsid w:val="00247328"/>
    <w:rsid w:val="002550BC"/>
    <w:rsid w:val="002569A9"/>
    <w:rsid w:val="00257B3A"/>
    <w:rsid w:val="002614CC"/>
    <w:rsid w:val="002647A0"/>
    <w:rsid w:val="00266E47"/>
    <w:rsid w:val="00270414"/>
    <w:rsid w:val="00270E75"/>
    <w:rsid w:val="0027288C"/>
    <w:rsid w:val="00273341"/>
    <w:rsid w:val="00277D94"/>
    <w:rsid w:val="002812B6"/>
    <w:rsid w:val="00281D0B"/>
    <w:rsid w:val="00283857"/>
    <w:rsid w:val="00283ABE"/>
    <w:rsid w:val="002855D2"/>
    <w:rsid w:val="00286AB4"/>
    <w:rsid w:val="002942BB"/>
    <w:rsid w:val="002972D1"/>
    <w:rsid w:val="002A04A9"/>
    <w:rsid w:val="002A270C"/>
    <w:rsid w:val="002A2F0B"/>
    <w:rsid w:val="002A39BB"/>
    <w:rsid w:val="002A3BDF"/>
    <w:rsid w:val="002A7320"/>
    <w:rsid w:val="002B417A"/>
    <w:rsid w:val="002B59E3"/>
    <w:rsid w:val="002C089D"/>
    <w:rsid w:val="002C101B"/>
    <w:rsid w:val="002C2320"/>
    <w:rsid w:val="002C3BAC"/>
    <w:rsid w:val="002C68AD"/>
    <w:rsid w:val="002D220C"/>
    <w:rsid w:val="002D29CD"/>
    <w:rsid w:val="002D322C"/>
    <w:rsid w:val="002D4864"/>
    <w:rsid w:val="002D5D6F"/>
    <w:rsid w:val="002D643B"/>
    <w:rsid w:val="002D6EC1"/>
    <w:rsid w:val="002E0C3D"/>
    <w:rsid w:val="002E2BBB"/>
    <w:rsid w:val="002E5D62"/>
    <w:rsid w:val="002E6B88"/>
    <w:rsid w:val="002F1386"/>
    <w:rsid w:val="002F17C3"/>
    <w:rsid w:val="002F1D87"/>
    <w:rsid w:val="002F44C5"/>
    <w:rsid w:val="002F6B87"/>
    <w:rsid w:val="00303345"/>
    <w:rsid w:val="00305AF2"/>
    <w:rsid w:val="0031001A"/>
    <w:rsid w:val="003112C8"/>
    <w:rsid w:val="0031685E"/>
    <w:rsid w:val="00320E21"/>
    <w:rsid w:val="0032261F"/>
    <w:rsid w:val="00323242"/>
    <w:rsid w:val="00331686"/>
    <w:rsid w:val="003357AC"/>
    <w:rsid w:val="00335FFE"/>
    <w:rsid w:val="00347301"/>
    <w:rsid w:val="00355FE0"/>
    <w:rsid w:val="0035638A"/>
    <w:rsid w:val="003605B9"/>
    <w:rsid w:val="00362122"/>
    <w:rsid w:val="00364A52"/>
    <w:rsid w:val="003655CA"/>
    <w:rsid w:val="00371984"/>
    <w:rsid w:val="00373F97"/>
    <w:rsid w:val="0037406D"/>
    <w:rsid w:val="00374216"/>
    <w:rsid w:val="00376862"/>
    <w:rsid w:val="00381F04"/>
    <w:rsid w:val="0038545D"/>
    <w:rsid w:val="003869E8"/>
    <w:rsid w:val="003876B0"/>
    <w:rsid w:val="00391288"/>
    <w:rsid w:val="00391663"/>
    <w:rsid w:val="00393777"/>
    <w:rsid w:val="00395E5A"/>
    <w:rsid w:val="00396169"/>
    <w:rsid w:val="0039742D"/>
    <w:rsid w:val="003A27F2"/>
    <w:rsid w:val="003A3A38"/>
    <w:rsid w:val="003A4DCC"/>
    <w:rsid w:val="003A7DB9"/>
    <w:rsid w:val="003B104B"/>
    <w:rsid w:val="003B2055"/>
    <w:rsid w:val="003C0806"/>
    <w:rsid w:val="003C120B"/>
    <w:rsid w:val="003C125A"/>
    <w:rsid w:val="003C18DE"/>
    <w:rsid w:val="003C1B31"/>
    <w:rsid w:val="003C2B1A"/>
    <w:rsid w:val="003C39C6"/>
    <w:rsid w:val="003C3A24"/>
    <w:rsid w:val="003C7E95"/>
    <w:rsid w:val="003D0C22"/>
    <w:rsid w:val="003D387A"/>
    <w:rsid w:val="003D49AE"/>
    <w:rsid w:val="003D4A88"/>
    <w:rsid w:val="003D6941"/>
    <w:rsid w:val="003E1E1C"/>
    <w:rsid w:val="003E2F42"/>
    <w:rsid w:val="003E3D10"/>
    <w:rsid w:val="003E58D3"/>
    <w:rsid w:val="003F0403"/>
    <w:rsid w:val="003F1895"/>
    <w:rsid w:val="003F5B99"/>
    <w:rsid w:val="004019FD"/>
    <w:rsid w:val="00401EEF"/>
    <w:rsid w:val="00403E6A"/>
    <w:rsid w:val="00404185"/>
    <w:rsid w:val="004053B5"/>
    <w:rsid w:val="0040615A"/>
    <w:rsid w:val="00411E29"/>
    <w:rsid w:val="00412909"/>
    <w:rsid w:val="00416F4C"/>
    <w:rsid w:val="0042033E"/>
    <w:rsid w:val="004228D9"/>
    <w:rsid w:val="00430062"/>
    <w:rsid w:val="00432851"/>
    <w:rsid w:val="004357AD"/>
    <w:rsid w:val="004371B7"/>
    <w:rsid w:val="0044199C"/>
    <w:rsid w:val="00441FA4"/>
    <w:rsid w:val="00453296"/>
    <w:rsid w:val="00454881"/>
    <w:rsid w:val="0046253F"/>
    <w:rsid w:val="00467DFD"/>
    <w:rsid w:val="004714CA"/>
    <w:rsid w:val="00476879"/>
    <w:rsid w:val="00480C06"/>
    <w:rsid w:val="00482705"/>
    <w:rsid w:val="0048345C"/>
    <w:rsid w:val="00486121"/>
    <w:rsid w:val="00490F10"/>
    <w:rsid w:val="00493C81"/>
    <w:rsid w:val="00494006"/>
    <w:rsid w:val="00494A83"/>
    <w:rsid w:val="004A14C9"/>
    <w:rsid w:val="004A1EED"/>
    <w:rsid w:val="004A21E7"/>
    <w:rsid w:val="004A2F70"/>
    <w:rsid w:val="004A3506"/>
    <w:rsid w:val="004A625E"/>
    <w:rsid w:val="004B05D8"/>
    <w:rsid w:val="004B0CD4"/>
    <w:rsid w:val="004B1FB0"/>
    <w:rsid w:val="004B2EED"/>
    <w:rsid w:val="004B68B8"/>
    <w:rsid w:val="004C19CA"/>
    <w:rsid w:val="004C3143"/>
    <w:rsid w:val="004C39AD"/>
    <w:rsid w:val="004C4EE9"/>
    <w:rsid w:val="004C70A8"/>
    <w:rsid w:val="004D0C62"/>
    <w:rsid w:val="004D3405"/>
    <w:rsid w:val="004D443F"/>
    <w:rsid w:val="004D60C9"/>
    <w:rsid w:val="004E2202"/>
    <w:rsid w:val="004E3465"/>
    <w:rsid w:val="004E34FE"/>
    <w:rsid w:val="004E5D79"/>
    <w:rsid w:val="004E7083"/>
    <w:rsid w:val="004F0CF3"/>
    <w:rsid w:val="004F4904"/>
    <w:rsid w:val="004F5FF9"/>
    <w:rsid w:val="00500640"/>
    <w:rsid w:val="00500D7D"/>
    <w:rsid w:val="005067AC"/>
    <w:rsid w:val="00507DE1"/>
    <w:rsid w:val="00514890"/>
    <w:rsid w:val="0051584D"/>
    <w:rsid w:val="00521A24"/>
    <w:rsid w:val="00522689"/>
    <w:rsid w:val="00522F29"/>
    <w:rsid w:val="00522FD2"/>
    <w:rsid w:val="005254A1"/>
    <w:rsid w:val="0053048D"/>
    <w:rsid w:val="00532138"/>
    <w:rsid w:val="0053532A"/>
    <w:rsid w:val="00537615"/>
    <w:rsid w:val="005404F1"/>
    <w:rsid w:val="005419F3"/>
    <w:rsid w:val="00541E9F"/>
    <w:rsid w:val="00541FB2"/>
    <w:rsid w:val="00544923"/>
    <w:rsid w:val="00544D85"/>
    <w:rsid w:val="0055049C"/>
    <w:rsid w:val="00550776"/>
    <w:rsid w:val="00556004"/>
    <w:rsid w:val="00562921"/>
    <w:rsid w:val="00566460"/>
    <w:rsid w:val="00566832"/>
    <w:rsid w:val="0057075C"/>
    <w:rsid w:val="00571AFF"/>
    <w:rsid w:val="005721F8"/>
    <w:rsid w:val="00577C42"/>
    <w:rsid w:val="005836C7"/>
    <w:rsid w:val="0058468B"/>
    <w:rsid w:val="00586EF8"/>
    <w:rsid w:val="00587B8A"/>
    <w:rsid w:val="005917E0"/>
    <w:rsid w:val="0059649B"/>
    <w:rsid w:val="00597855"/>
    <w:rsid w:val="005A1514"/>
    <w:rsid w:val="005A3C24"/>
    <w:rsid w:val="005B023F"/>
    <w:rsid w:val="005B11FA"/>
    <w:rsid w:val="005B3E86"/>
    <w:rsid w:val="005B6F55"/>
    <w:rsid w:val="005C4612"/>
    <w:rsid w:val="005D1066"/>
    <w:rsid w:val="005D21E0"/>
    <w:rsid w:val="005D2CED"/>
    <w:rsid w:val="005D579A"/>
    <w:rsid w:val="005D5CF6"/>
    <w:rsid w:val="005D77BA"/>
    <w:rsid w:val="005D7AAD"/>
    <w:rsid w:val="005E04EA"/>
    <w:rsid w:val="005E0D7D"/>
    <w:rsid w:val="005E3E39"/>
    <w:rsid w:val="005E45A0"/>
    <w:rsid w:val="005E7208"/>
    <w:rsid w:val="005F106F"/>
    <w:rsid w:val="005F2F9B"/>
    <w:rsid w:val="005F3C42"/>
    <w:rsid w:val="005F4954"/>
    <w:rsid w:val="005F53FF"/>
    <w:rsid w:val="005F5458"/>
    <w:rsid w:val="005F5A2D"/>
    <w:rsid w:val="005F61E2"/>
    <w:rsid w:val="00604955"/>
    <w:rsid w:val="00607C4E"/>
    <w:rsid w:val="00613AF9"/>
    <w:rsid w:val="006142F0"/>
    <w:rsid w:val="00615E21"/>
    <w:rsid w:val="0061732F"/>
    <w:rsid w:val="0062257E"/>
    <w:rsid w:val="00625BC2"/>
    <w:rsid w:val="00627E34"/>
    <w:rsid w:val="006309AA"/>
    <w:rsid w:val="006312BE"/>
    <w:rsid w:val="00633473"/>
    <w:rsid w:val="006379BD"/>
    <w:rsid w:val="00640BC7"/>
    <w:rsid w:val="00641EA2"/>
    <w:rsid w:val="0064403B"/>
    <w:rsid w:val="00645EF3"/>
    <w:rsid w:val="006465F3"/>
    <w:rsid w:val="00646B4F"/>
    <w:rsid w:val="006500EC"/>
    <w:rsid w:val="00652071"/>
    <w:rsid w:val="006527F6"/>
    <w:rsid w:val="00652D7E"/>
    <w:rsid w:val="00653551"/>
    <w:rsid w:val="0065563B"/>
    <w:rsid w:val="0065593A"/>
    <w:rsid w:val="006564AF"/>
    <w:rsid w:val="00665471"/>
    <w:rsid w:val="00671ACC"/>
    <w:rsid w:val="006722C6"/>
    <w:rsid w:val="0067564C"/>
    <w:rsid w:val="00675CEE"/>
    <w:rsid w:val="00677E88"/>
    <w:rsid w:val="00683DA8"/>
    <w:rsid w:val="006855C7"/>
    <w:rsid w:val="00690ED2"/>
    <w:rsid w:val="00692D7F"/>
    <w:rsid w:val="00697307"/>
    <w:rsid w:val="006A0778"/>
    <w:rsid w:val="006A07EC"/>
    <w:rsid w:val="006A0AE2"/>
    <w:rsid w:val="006A2F10"/>
    <w:rsid w:val="006A77D0"/>
    <w:rsid w:val="006B11E8"/>
    <w:rsid w:val="006B3D49"/>
    <w:rsid w:val="006B4C9F"/>
    <w:rsid w:val="006C06B5"/>
    <w:rsid w:val="006C2398"/>
    <w:rsid w:val="006C67EA"/>
    <w:rsid w:val="006C756C"/>
    <w:rsid w:val="006D19E1"/>
    <w:rsid w:val="006D3287"/>
    <w:rsid w:val="006D43B5"/>
    <w:rsid w:val="006D4A96"/>
    <w:rsid w:val="006D60D9"/>
    <w:rsid w:val="006E752B"/>
    <w:rsid w:val="006F3259"/>
    <w:rsid w:val="006F45BB"/>
    <w:rsid w:val="006F5A3E"/>
    <w:rsid w:val="006F5B85"/>
    <w:rsid w:val="006F70B7"/>
    <w:rsid w:val="006F7D15"/>
    <w:rsid w:val="00702AE0"/>
    <w:rsid w:val="007030E1"/>
    <w:rsid w:val="00705C79"/>
    <w:rsid w:val="00713BC7"/>
    <w:rsid w:val="007174DA"/>
    <w:rsid w:val="00722B51"/>
    <w:rsid w:val="00723A07"/>
    <w:rsid w:val="00725ED2"/>
    <w:rsid w:val="007270E3"/>
    <w:rsid w:val="00731CDA"/>
    <w:rsid w:val="0073373B"/>
    <w:rsid w:val="00736AD7"/>
    <w:rsid w:val="007400DF"/>
    <w:rsid w:val="00743F29"/>
    <w:rsid w:val="00744AA4"/>
    <w:rsid w:val="00746EE0"/>
    <w:rsid w:val="007510CE"/>
    <w:rsid w:val="007535ED"/>
    <w:rsid w:val="00753DBF"/>
    <w:rsid w:val="0075406E"/>
    <w:rsid w:val="00756702"/>
    <w:rsid w:val="00760FAD"/>
    <w:rsid w:val="00762EA3"/>
    <w:rsid w:val="00763C8F"/>
    <w:rsid w:val="007658A9"/>
    <w:rsid w:val="00770A86"/>
    <w:rsid w:val="007763CB"/>
    <w:rsid w:val="00776BCB"/>
    <w:rsid w:val="007804A7"/>
    <w:rsid w:val="00780C82"/>
    <w:rsid w:val="00785952"/>
    <w:rsid w:val="0078622A"/>
    <w:rsid w:val="007908F6"/>
    <w:rsid w:val="00793101"/>
    <w:rsid w:val="007954D9"/>
    <w:rsid w:val="007A5161"/>
    <w:rsid w:val="007A7952"/>
    <w:rsid w:val="007B0A81"/>
    <w:rsid w:val="007B0BDB"/>
    <w:rsid w:val="007B33DF"/>
    <w:rsid w:val="007C1632"/>
    <w:rsid w:val="007C19FE"/>
    <w:rsid w:val="007C2994"/>
    <w:rsid w:val="007C36AC"/>
    <w:rsid w:val="007C36EF"/>
    <w:rsid w:val="007C6BDE"/>
    <w:rsid w:val="007C7D74"/>
    <w:rsid w:val="007D0678"/>
    <w:rsid w:val="007D1C2C"/>
    <w:rsid w:val="007D6958"/>
    <w:rsid w:val="007D7547"/>
    <w:rsid w:val="007E205A"/>
    <w:rsid w:val="007E3D91"/>
    <w:rsid w:val="007E44DD"/>
    <w:rsid w:val="007E7634"/>
    <w:rsid w:val="007F26F0"/>
    <w:rsid w:val="00800E25"/>
    <w:rsid w:val="00801634"/>
    <w:rsid w:val="008043B4"/>
    <w:rsid w:val="00804427"/>
    <w:rsid w:val="0080537B"/>
    <w:rsid w:val="00812E9D"/>
    <w:rsid w:val="00814E84"/>
    <w:rsid w:val="00814F06"/>
    <w:rsid w:val="0081517E"/>
    <w:rsid w:val="008219CF"/>
    <w:rsid w:val="008314FC"/>
    <w:rsid w:val="00834062"/>
    <w:rsid w:val="008345C5"/>
    <w:rsid w:val="00837104"/>
    <w:rsid w:val="00840E8F"/>
    <w:rsid w:val="0084100F"/>
    <w:rsid w:val="00841057"/>
    <w:rsid w:val="00844F36"/>
    <w:rsid w:val="00845AE3"/>
    <w:rsid w:val="0085203A"/>
    <w:rsid w:val="00853940"/>
    <w:rsid w:val="0085577C"/>
    <w:rsid w:val="00855A2C"/>
    <w:rsid w:val="00860E27"/>
    <w:rsid w:val="0086378E"/>
    <w:rsid w:val="00870FF0"/>
    <w:rsid w:val="008715E0"/>
    <w:rsid w:val="00871A9A"/>
    <w:rsid w:val="00871D69"/>
    <w:rsid w:val="0087241B"/>
    <w:rsid w:val="00872C62"/>
    <w:rsid w:val="00875F54"/>
    <w:rsid w:val="00883C62"/>
    <w:rsid w:val="00884CB7"/>
    <w:rsid w:val="00893500"/>
    <w:rsid w:val="008A1C29"/>
    <w:rsid w:val="008B375A"/>
    <w:rsid w:val="008B48DC"/>
    <w:rsid w:val="008B618F"/>
    <w:rsid w:val="008C6C28"/>
    <w:rsid w:val="008D06F8"/>
    <w:rsid w:val="008D44C5"/>
    <w:rsid w:val="008D70BF"/>
    <w:rsid w:val="008D7E85"/>
    <w:rsid w:val="008E19FF"/>
    <w:rsid w:val="008E1A24"/>
    <w:rsid w:val="008E3536"/>
    <w:rsid w:val="008E5122"/>
    <w:rsid w:val="008E53FF"/>
    <w:rsid w:val="008E6E3E"/>
    <w:rsid w:val="008F249D"/>
    <w:rsid w:val="008F4978"/>
    <w:rsid w:val="008F54F8"/>
    <w:rsid w:val="008F62EC"/>
    <w:rsid w:val="009011AA"/>
    <w:rsid w:val="009015EF"/>
    <w:rsid w:val="00906CC3"/>
    <w:rsid w:val="00916071"/>
    <w:rsid w:val="009178F2"/>
    <w:rsid w:val="00917D56"/>
    <w:rsid w:val="00921CBC"/>
    <w:rsid w:val="00925FA0"/>
    <w:rsid w:val="0093195D"/>
    <w:rsid w:val="00931C9D"/>
    <w:rsid w:val="00932992"/>
    <w:rsid w:val="00932C00"/>
    <w:rsid w:val="00933A00"/>
    <w:rsid w:val="00933BFD"/>
    <w:rsid w:val="009342F3"/>
    <w:rsid w:val="00941691"/>
    <w:rsid w:val="00942AED"/>
    <w:rsid w:val="00944E25"/>
    <w:rsid w:val="00950431"/>
    <w:rsid w:val="0095079F"/>
    <w:rsid w:val="009526AA"/>
    <w:rsid w:val="00953F15"/>
    <w:rsid w:val="009570AE"/>
    <w:rsid w:val="00960F2D"/>
    <w:rsid w:val="009642AB"/>
    <w:rsid w:val="00966AA2"/>
    <w:rsid w:val="00967010"/>
    <w:rsid w:val="00972D31"/>
    <w:rsid w:val="00976A7F"/>
    <w:rsid w:val="00982BCB"/>
    <w:rsid w:val="0098754B"/>
    <w:rsid w:val="00992503"/>
    <w:rsid w:val="00993F03"/>
    <w:rsid w:val="0099435F"/>
    <w:rsid w:val="00996BC5"/>
    <w:rsid w:val="009A12AA"/>
    <w:rsid w:val="009A36FB"/>
    <w:rsid w:val="009A584F"/>
    <w:rsid w:val="009A5AB4"/>
    <w:rsid w:val="009A6D34"/>
    <w:rsid w:val="009A6E07"/>
    <w:rsid w:val="009B3A7F"/>
    <w:rsid w:val="009B4816"/>
    <w:rsid w:val="009C1BA8"/>
    <w:rsid w:val="009C2644"/>
    <w:rsid w:val="009C2D0D"/>
    <w:rsid w:val="009C2FB7"/>
    <w:rsid w:val="009C3492"/>
    <w:rsid w:val="009C49C6"/>
    <w:rsid w:val="009C5AA4"/>
    <w:rsid w:val="009D02D4"/>
    <w:rsid w:val="009D60E3"/>
    <w:rsid w:val="009E04F4"/>
    <w:rsid w:val="009E0D67"/>
    <w:rsid w:val="009E261C"/>
    <w:rsid w:val="009E26C8"/>
    <w:rsid w:val="009E4985"/>
    <w:rsid w:val="009E7CF0"/>
    <w:rsid w:val="009F0D49"/>
    <w:rsid w:val="009F16C5"/>
    <w:rsid w:val="009F22C8"/>
    <w:rsid w:val="009F3902"/>
    <w:rsid w:val="009F3E11"/>
    <w:rsid w:val="009F6AF8"/>
    <w:rsid w:val="009F6E78"/>
    <w:rsid w:val="009F7A4B"/>
    <w:rsid w:val="009F7C7E"/>
    <w:rsid w:val="00A01148"/>
    <w:rsid w:val="00A055CB"/>
    <w:rsid w:val="00A078CF"/>
    <w:rsid w:val="00A1005A"/>
    <w:rsid w:val="00A147CC"/>
    <w:rsid w:val="00A14929"/>
    <w:rsid w:val="00A16978"/>
    <w:rsid w:val="00A16EE7"/>
    <w:rsid w:val="00A307FD"/>
    <w:rsid w:val="00A31DC5"/>
    <w:rsid w:val="00A330A1"/>
    <w:rsid w:val="00A35920"/>
    <w:rsid w:val="00A369E7"/>
    <w:rsid w:val="00A40C81"/>
    <w:rsid w:val="00A41ED2"/>
    <w:rsid w:val="00A436CD"/>
    <w:rsid w:val="00A5180B"/>
    <w:rsid w:val="00A51946"/>
    <w:rsid w:val="00A525D1"/>
    <w:rsid w:val="00A547A3"/>
    <w:rsid w:val="00A55E36"/>
    <w:rsid w:val="00A56391"/>
    <w:rsid w:val="00A56926"/>
    <w:rsid w:val="00A61A8B"/>
    <w:rsid w:val="00A6457C"/>
    <w:rsid w:val="00A70BDC"/>
    <w:rsid w:val="00A81D18"/>
    <w:rsid w:val="00A8223C"/>
    <w:rsid w:val="00A8757B"/>
    <w:rsid w:val="00A90259"/>
    <w:rsid w:val="00A92044"/>
    <w:rsid w:val="00A92C63"/>
    <w:rsid w:val="00A9342C"/>
    <w:rsid w:val="00A94E63"/>
    <w:rsid w:val="00A957AF"/>
    <w:rsid w:val="00A9616A"/>
    <w:rsid w:val="00A963AB"/>
    <w:rsid w:val="00A9727D"/>
    <w:rsid w:val="00AA16B9"/>
    <w:rsid w:val="00AA2333"/>
    <w:rsid w:val="00AA47DC"/>
    <w:rsid w:val="00AA51DE"/>
    <w:rsid w:val="00AA7C54"/>
    <w:rsid w:val="00AB0BF6"/>
    <w:rsid w:val="00AB2C55"/>
    <w:rsid w:val="00AB3A3D"/>
    <w:rsid w:val="00AB4D0D"/>
    <w:rsid w:val="00AB624E"/>
    <w:rsid w:val="00AC065E"/>
    <w:rsid w:val="00AC215A"/>
    <w:rsid w:val="00AC2C09"/>
    <w:rsid w:val="00AC6B6F"/>
    <w:rsid w:val="00AD40B7"/>
    <w:rsid w:val="00AD6D5E"/>
    <w:rsid w:val="00AE11FC"/>
    <w:rsid w:val="00AE6354"/>
    <w:rsid w:val="00AF09CC"/>
    <w:rsid w:val="00AF15AF"/>
    <w:rsid w:val="00AF3CFE"/>
    <w:rsid w:val="00AF423C"/>
    <w:rsid w:val="00AF5147"/>
    <w:rsid w:val="00AF6EB4"/>
    <w:rsid w:val="00B01141"/>
    <w:rsid w:val="00B02E33"/>
    <w:rsid w:val="00B04CF2"/>
    <w:rsid w:val="00B1474C"/>
    <w:rsid w:val="00B15CC7"/>
    <w:rsid w:val="00B214A1"/>
    <w:rsid w:val="00B22D5C"/>
    <w:rsid w:val="00B237A6"/>
    <w:rsid w:val="00B2408D"/>
    <w:rsid w:val="00B263F0"/>
    <w:rsid w:val="00B2716E"/>
    <w:rsid w:val="00B277EE"/>
    <w:rsid w:val="00B30B1B"/>
    <w:rsid w:val="00B31661"/>
    <w:rsid w:val="00B31CAF"/>
    <w:rsid w:val="00B32703"/>
    <w:rsid w:val="00B45BE6"/>
    <w:rsid w:val="00B47522"/>
    <w:rsid w:val="00B5097B"/>
    <w:rsid w:val="00B520DA"/>
    <w:rsid w:val="00B54313"/>
    <w:rsid w:val="00B57625"/>
    <w:rsid w:val="00B600B3"/>
    <w:rsid w:val="00B60B5F"/>
    <w:rsid w:val="00B6496F"/>
    <w:rsid w:val="00B66C3F"/>
    <w:rsid w:val="00B73F37"/>
    <w:rsid w:val="00B8064D"/>
    <w:rsid w:val="00B80F06"/>
    <w:rsid w:val="00B827C6"/>
    <w:rsid w:val="00B84CEB"/>
    <w:rsid w:val="00B86327"/>
    <w:rsid w:val="00B93F09"/>
    <w:rsid w:val="00B94D32"/>
    <w:rsid w:val="00B95028"/>
    <w:rsid w:val="00BA2134"/>
    <w:rsid w:val="00BA23FC"/>
    <w:rsid w:val="00BA3EEC"/>
    <w:rsid w:val="00BA5EE8"/>
    <w:rsid w:val="00BA7EA3"/>
    <w:rsid w:val="00BB06D0"/>
    <w:rsid w:val="00BB1390"/>
    <w:rsid w:val="00BB3A8E"/>
    <w:rsid w:val="00BB6521"/>
    <w:rsid w:val="00BB66E0"/>
    <w:rsid w:val="00BB69B2"/>
    <w:rsid w:val="00BC14A9"/>
    <w:rsid w:val="00BC2615"/>
    <w:rsid w:val="00BC6E1F"/>
    <w:rsid w:val="00BC738E"/>
    <w:rsid w:val="00BD0576"/>
    <w:rsid w:val="00BE50D0"/>
    <w:rsid w:val="00BE6A4C"/>
    <w:rsid w:val="00BF16FE"/>
    <w:rsid w:val="00BF1B6E"/>
    <w:rsid w:val="00BF2144"/>
    <w:rsid w:val="00BF2369"/>
    <w:rsid w:val="00C012F5"/>
    <w:rsid w:val="00C02BCA"/>
    <w:rsid w:val="00C02E66"/>
    <w:rsid w:val="00C04A7F"/>
    <w:rsid w:val="00C068BC"/>
    <w:rsid w:val="00C07348"/>
    <w:rsid w:val="00C117AD"/>
    <w:rsid w:val="00C13028"/>
    <w:rsid w:val="00C157DE"/>
    <w:rsid w:val="00C17081"/>
    <w:rsid w:val="00C20A85"/>
    <w:rsid w:val="00C23701"/>
    <w:rsid w:val="00C26070"/>
    <w:rsid w:val="00C27FD4"/>
    <w:rsid w:val="00C365E2"/>
    <w:rsid w:val="00C36C44"/>
    <w:rsid w:val="00C43A0B"/>
    <w:rsid w:val="00C44EFB"/>
    <w:rsid w:val="00C460F7"/>
    <w:rsid w:val="00C46910"/>
    <w:rsid w:val="00C46BF6"/>
    <w:rsid w:val="00C55264"/>
    <w:rsid w:val="00C558A4"/>
    <w:rsid w:val="00C56D16"/>
    <w:rsid w:val="00C5738B"/>
    <w:rsid w:val="00C602DC"/>
    <w:rsid w:val="00C637A0"/>
    <w:rsid w:val="00C63BDA"/>
    <w:rsid w:val="00C63D3D"/>
    <w:rsid w:val="00C6695C"/>
    <w:rsid w:val="00C67BAC"/>
    <w:rsid w:val="00C71B3F"/>
    <w:rsid w:val="00C72031"/>
    <w:rsid w:val="00C75825"/>
    <w:rsid w:val="00C75B68"/>
    <w:rsid w:val="00C82808"/>
    <w:rsid w:val="00C858FD"/>
    <w:rsid w:val="00C91446"/>
    <w:rsid w:val="00C94132"/>
    <w:rsid w:val="00C9541A"/>
    <w:rsid w:val="00C96417"/>
    <w:rsid w:val="00C97946"/>
    <w:rsid w:val="00C97ED1"/>
    <w:rsid w:val="00CA2717"/>
    <w:rsid w:val="00CA4F91"/>
    <w:rsid w:val="00CA5AC6"/>
    <w:rsid w:val="00CA7ABB"/>
    <w:rsid w:val="00CB57E5"/>
    <w:rsid w:val="00CB7EE8"/>
    <w:rsid w:val="00CC0BDA"/>
    <w:rsid w:val="00CC3B0C"/>
    <w:rsid w:val="00CC445A"/>
    <w:rsid w:val="00CC6726"/>
    <w:rsid w:val="00CD09F3"/>
    <w:rsid w:val="00CD17EB"/>
    <w:rsid w:val="00CD4EFC"/>
    <w:rsid w:val="00CD5206"/>
    <w:rsid w:val="00CE25B3"/>
    <w:rsid w:val="00CE432C"/>
    <w:rsid w:val="00CE6DBB"/>
    <w:rsid w:val="00CE73B8"/>
    <w:rsid w:val="00CE7DA6"/>
    <w:rsid w:val="00CF0093"/>
    <w:rsid w:val="00CF02B4"/>
    <w:rsid w:val="00CF5978"/>
    <w:rsid w:val="00CF65C0"/>
    <w:rsid w:val="00D04822"/>
    <w:rsid w:val="00D04D1A"/>
    <w:rsid w:val="00D0520C"/>
    <w:rsid w:val="00D14555"/>
    <w:rsid w:val="00D179A0"/>
    <w:rsid w:val="00D17DCC"/>
    <w:rsid w:val="00D20E58"/>
    <w:rsid w:val="00D21CCB"/>
    <w:rsid w:val="00D31359"/>
    <w:rsid w:val="00D32EF0"/>
    <w:rsid w:val="00D330BF"/>
    <w:rsid w:val="00D33F44"/>
    <w:rsid w:val="00D34665"/>
    <w:rsid w:val="00D35E52"/>
    <w:rsid w:val="00D36FA6"/>
    <w:rsid w:val="00D41E9A"/>
    <w:rsid w:val="00D4477E"/>
    <w:rsid w:val="00D456A0"/>
    <w:rsid w:val="00D5127D"/>
    <w:rsid w:val="00D53F31"/>
    <w:rsid w:val="00D53FC4"/>
    <w:rsid w:val="00D555D0"/>
    <w:rsid w:val="00D5584D"/>
    <w:rsid w:val="00D565BE"/>
    <w:rsid w:val="00D60005"/>
    <w:rsid w:val="00D62269"/>
    <w:rsid w:val="00D62EDC"/>
    <w:rsid w:val="00D630D7"/>
    <w:rsid w:val="00D63D44"/>
    <w:rsid w:val="00D81DCE"/>
    <w:rsid w:val="00D830E9"/>
    <w:rsid w:val="00D85521"/>
    <w:rsid w:val="00D85A58"/>
    <w:rsid w:val="00D9113F"/>
    <w:rsid w:val="00D933FD"/>
    <w:rsid w:val="00D94828"/>
    <w:rsid w:val="00D94988"/>
    <w:rsid w:val="00D976DC"/>
    <w:rsid w:val="00DA097E"/>
    <w:rsid w:val="00DA1052"/>
    <w:rsid w:val="00DA1497"/>
    <w:rsid w:val="00DA244B"/>
    <w:rsid w:val="00DA5666"/>
    <w:rsid w:val="00DA62DB"/>
    <w:rsid w:val="00DA7E7A"/>
    <w:rsid w:val="00DA7F88"/>
    <w:rsid w:val="00DB021E"/>
    <w:rsid w:val="00DB52E7"/>
    <w:rsid w:val="00DB6E47"/>
    <w:rsid w:val="00DB7C79"/>
    <w:rsid w:val="00DC0318"/>
    <w:rsid w:val="00DC04A1"/>
    <w:rsid w:val="00DC2E38"/>
    <w:rsid w:val="00DC47F5"/>
    <w:rsid w:val="00DC513F"/>
    <w:rsid w:val="00DD1D5F"/>
    <w:rsid w:val="00DD247A"/>
    <w:rsid w:val="00DE0269"/>
    <w:rsid w:val="00DE0407"/>
    <w:rsid w:val="00DE2388"/>
    <w:rsid w:val="00DE7194"/>
    <w:rsid w:val="00DF0904"/>
    <w:rsid w:val="00DF1467"/>
    <w:rsid w:val="00DF2A54"/>
    <w:rsid w:val="00E012C5"/>
    <w:rsid w:val="00E023A9"/>
    <w:rsid w:val="00E0420A"/>
    <w:rsid w:val="00E04969"/>
    <w:rsid w:val="00E04DA6"/>
    <w:rsid w:val="00E07D1B"/>
    <w:rsid w:val="00E1006D"/>
    <w:rsid w:val="00E10DB7"/>
    <w:rsid w:val="00E12390"/>
    <w:rsid w:val="00E14122"/>
    <w:rsid w:val="00E218E2"/>
    <w:rsid w:val="00E23FEE"/>
    <w:rsid w:val="00E2419E"/>
    <w:rsid w:val="00E24843"/>
    <w:rsid w:val="00E37F32"/>
    <w:rsid w:val="00E53F82"/>
    <w:rsid w:val="00E548A7"/>
    <w:rsid w:val="00E55E26"/>
    <w:rsid w:val="00E57E49"/>
    <w:rsid w:val="00E60040"/>
    <w:rsid w:val="00E60070"/>
    <w:rsid w:val="00E60A78"/>
    <w:rsid w:val="00E61C50"/>
    <w:rsid w:val="00E65D4A"/>
    <w:rsid w:val="00E70660"/>
    <w:rsid w:val="00E7237D"/>
    <w:rsid w:val="00E744D1"/>
    <w:rsid w:val="00E75645"/>
    <w:rsid w:val="00E8571A"/>
    <w:rsid w:val="00E917F8"/>
    <w:rsid w:val="00E9249A"/>
    <w:rsid w:val="00E950E1"/>
    <w:rsid w:val="00EA34C6"/>
    <w:rsid w:val="00EA50D7"/>
    <w:rsid w:val="00EA56BF"/>
    <w:rsid w:val="00EB2749"/>
    <w:rsid w:val="00EB3F61"/>
    <w:rsid w:val="00EC32F5"/>
    <w:rsid w:val="00EC3533"/>
    <w:rsid w:val="00EC6ADB"/>
    <w:rsid w:val="00ED0617"/>
    <w:rsid w:val="00ED068C"/>
    <w:rsid w:val="00ED34BC"/>
    <w:rsid w:val="00ED3DD4"/>
    <w:rsid w:val="00ED7123"/>
    <w:rsid w:val="00EE048F"/>
    <w:rsid w:val="00EE40FA"/>
    <w:rsid w:val="00EE4FE4"/>
    <w:rsid w:val="00EE6498"/>
    <w:rsid w:val="00EE665A"/>
    <w:rsid w:val="00EF1DF7"/>
    <w:rsid w:val="00EF2F33"/>
    <w:rsid w:val="00EF3AC6"/>
    <w:rsid w:val="00EF4B04"/>
    <w:rsid w:val="00EF596C"/>
    <w:rsid w:val="00F0298C"/>
    <w:rsid w:val="00F07750"/>
    <w:rsid w:val="00F10047"/>
    <w:rsid w:val="00F11A49"/>
    <w:rsid w:val="00F14BC5"/>
    <w:rsid w:val="00F14FF7"/>
    <w:rsid w:val="00F165A9"/>
    <w:rsid w:val="00F17498"/>
    <w:rsid w:val="00F1773C"/>
    <w:rsid w:val="00F30A77"/>
    <w:rsid w:val="00F31B34"/>
    <w:rsid w:val="00F4393F"/>
    <w:rsid w:val="00F448DD"/>
    <w:rsid w:val="00F46A3A"/>
    <w:rsid w:val="00F52337"/>
    <w:rsid w:val="00F5375D"/>
    <w:rsid w:val="00F53E68"/>
    <w:rsid w:val="00F5454E"/>
    <w:rsid w:val="00F64EC4"/>
    <w:rsid w:val="00F715C3"/>
    <w:rsid w:val="00F718BD"/>
    <w:rsid w:val="00F76402"/>
    <w:rsid w:val="00F77F3D"/>
    <w:rsid w:val="00F80507"/>
    <w:rsid w:val="00F8115C"/>
    <w:rsid w:val="00F83CD3"/>
    <w:rsid w:val="00F83E9A"/>
    <w:rsid w:val="00F85A99"/>
    <w:rsid w:val="00F85F61"/>
    <w:rsid w:val="00F94DF1"/>
    <w:rsid w:val="00F95487"/>
    <w:rsid w:val="00F95DEF"/>
    <w:rsid w:val="00F97358"/>
    <w:rsid w:val="00FA1553"/>
    <w:rsid w:val="00FA3528"/>
    <w:rsid w:val="00FA4DF8"/>
    <w:rsid w:val="00FB45FB"/>
    <w:rsid w:val="00FB71EC"/>
    <w:rsid w:val="00FB7440"/>
    <w:rsid w:val="00FC09A1"/>
    <w:rsid w:val="00FC0FBB"/>
    <w:rsid w:val="00FC1374"/>
    <w:rsid w:val="00FC1781"/>
    <w:rsid w:val="00FC244F"/>
    <w:rsid w:val="00FC29AE"/>
    <w:rsid w:val="00FC345E"/>
    <w:rsid w:val="00FC41AE"/>
    <w:rsid w:val="00FC6B00"/>
    <w:rsid w:val="00FD1D41"/>
    <w:rsid w:val="00FD4702"/>
    <w:rsid w:val="00FD79DA"/>
    <w:rsid w:val="00FE0195"/>
    <w:rsid w:val="00FE2ADC"/>
    <w:rsid w:val="00FE3ACA"/>
    <w:rsid w:val="00FE5997"/>
    <w:rsid w:val="00FE5E10"/>
    <w:rsid w:val="00FE7BDB"/>
    <w:rsid w:val="00FF0950"/>
    <w:rsid w:val="00FF5185"/>
    <w:rsid w:val="00FF5484"/>
    <w:rsid w:val="00FF6BDD"/>
    <w:rsid w:val="0C3545CD"/>
    <w:rsid w:val="0C79E7B2"/>
    <w:rsid w:val="138FE9CB"/>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en-US"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character" w:styleId="UnresolvedMention">
    <w:name w:val="Unresolved Mention"/>
    <w:basedOn w:val="DefaultParagraphFont"/>
    <w:uiPriority w:val="99"/>
    <w:semiHidden/>
    <w:unhideWhenUsed/>
    <w:rsid w:val="003A4DCC"/>
    <w:rPr>
      <w:color w:val="605E5C"/>
      <w:shd w:val="clear" w:color="auto" w:fill="E1DFDD"/>
    </w:rPr>
  </w:style>
  <w:style w:type="paragraph" w:styleId="NormalWeb">
    <w:name w:val="Normal (Web)"/>
    <w:basedOn w:val="Normal"/>
    <w:uiPriority w:val="99"/>
    <w:unhideWhenUsed/>
    <w:rsid w:val="005F3C42"/>
    <w:pPr>
      <w:spacing w:before="100" w:beforeAutospacing="1" w:after="100" w:afterAutospacing="1"/>
    </w:pPr>
    <w:rPr>
      <w:lang w:val="en-IN" w:eastAsia="en-IN"/>
    </w:rPr>
  </w:style>
  <w:style w:type="paragraph" w:styleId="ListParagraph">
    <w:name w:val="List Paragraph"/>
    <w:basedOn w:val="Normal"/>
    <w:uiPriority w:val="34"/>
    <w:rsid w:val="00705C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2032</TotalTime>
  <Pages>10</Pages>
  <Words>4928</Words>
  <Characters>28090</Characters>
  <Application>Microsoft Office Word</Application>
  <DocSecurity>0</DocSecurity>
  <Lines>234</Lines>
  <Paragraphs>65</Paragraphs>
  <ScaleCrop>false</ScaleCrop>
  <HeadingPairs>
    <vt:vector size="2" baseType="variant">
      <vt:variant>
        <vt:lpstr>Title</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32953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Sainath Arjun Waghmare</cp:lastModifiedBy>
  <cp:revision>604</cp:revision>
  <cp:lastPrinted>2023-02-22T18:40:00Z</cp:lastPrinted>
  <dcterms:created xsi:type="dcterms:W3CDTF">2026-05-19T21:06:00Z</dcterms:created>
  <dcterms:modified xsi:type="dcterms:W3CDTF">2026-08-19T13:13:00Z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GrammarlyDocumentId">
    <vt:lpwstr>af9dc51c-3235-41ec-9a42-cf669f2ff271</vt:lpwstr>
  </property>
</Properties>
</file>