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FC622" w14:textId="2244B01D" w:rsidR="00DB52E7" w:rsidRPr="00AD611D" w:rsidRDefault="004053B5" w:rsidP="00B32703">
      <w:pPr>
        <w:pStyle w:val="SWCTitle"/>
        <w:rPr>
          <w:sz w:val="28"/>
          <w:szCs w:val="28"/>
          <w:lang w:val="en-GB"/>
        </w:rPr>
      </w:pPr>
      <w:r w:rsidRPr="00AD611D">
        <w:rPr>
          <w:sz w:val="28"/>
          <w:szCs w:val="28"/>
          <w:lang w:val="en-GB"/>
        </w:rPr>
        <w:t>EuroSun</w:t>
      </w:r>
      <w:r w:rsidR="00FC1781" w:rsidRPr="00AD611D">
        <w:rPr>
          <w:sz w:val="28"/>
          <w:szCs w:val="28"/>
          <w:lang w:val="en-GB"/>
        </w:rPr>
        <w:t>202</w:t>
      </w:r>
      <w:r w:rsidR="00FA4DF8" w:rsidRPr="00AD611D">
        <w:rPr>
          <w:sz w:val="28"/>
          <w:szCs w:val="28"/>
          <w:lang w:val="en-GB"/>
        </w:rPr>
        <w:t>6</w:t>
      </w:r>
    </w:p>
    <w:p w14:paraId="5910B6D4" w14:textId="58FE3EA1" w:rsidR="0035638A" w:rsidRPr="00AD611D" w:rsidRDefault="003F1EB1" w:rsidP="00B32703">
      <w:pPr>
        <w:pStyle w:val="SWCTitle"/>
        <w:rPr>
          <w:sz w:val="28"/>
          <w:szCs w:val="28"/>
          <w:lang w:val="en-GB"/>
        </w:rPr>
      </w:pPr>
      <w:r w:rsidRPr="00AD611D">
        <w:rPr>
          <w:sz w:val="28"/>
          <w:szCs w:val="28"/>
          <w:lang w:val="en-GB"/>
        </w:rPr>
        <w:br/>
      </w:r>
      <w:r w:rsidR="005F2724" w:rsidRPr="00AD611D">
        <w:rPr>
          <w:sz w:val="28"/>
          <w:szCs w:val="28"/>
          <w:lang w:val="en-GB"/>
        </w:rPr>
        <w:t>MODEL BASED ANALYSIS OF MONITORING DATA FOR PERFORMANCE OPTIMIZATION IN LARGE M</w:t>
      </w:r>
      <w:r w:rsidR="000B3B89" w:rsidRPr="00AD611D">
        <w:rPr>
          <w:sz w:val="28"/>
          <w:szCs w:val="28"/>
          <w:lang w:val="en-GB"/>
        </w:rPr>
        <w:t>ULTI APARTMENT BUILDING</w:t>
      </w:r>
      <w:r w:rsidR="000649EC" w:rsidRPr="00AD611D">
        <w:rPr>
          <w:sz w:val="28"/>
          <w:szCs w:val="28"/>
          <w:lang w:val="en-GB"/>
        </w:rPr>
        <w:t>S</w:t>
      </w:r>
    </w:p>
    <w:p w14:paraId="7A9E6293" w14:textId="23195AF8" w:rsidR="00645535" w:rsidRPr="00AD611D" w:rsidRDefault="00645535" w:rsidP="00645535">
      <w:pPr>
        <w:pStyle w:val="SWCTitle"/>
        <w:spacing w:before="0" w:after="0"/>
        <w:jc w:val="left"/>
        <w:rPr>
          <w:rFonts w:ascii="Times New Roman" w:hAnsi="Times New Roman"/>
          <w:b w:val="0"/>
          <w:sz w:val="20"/>
          <w:szCs w:val="20"/>
          <w:lang w:val="en-GB"/>
        </w:rPr>
      </w:pPr>
      <w:r w:rsidRPr="00AD611D">
        <w:rPr>
          <w:rFonts w:ascii="Times New Roman" w:hAnsi="Times New Roman"/>
          <w:b w:val="0"/>
          <w:sz w:val="20"/>
          <w:szCs w:val="20"/>
          <w:lang w:val="en-GB"/>
        </w:rPr>
        <w:t>Samuel Breuss</w:t>
      </w:r>
      <w:r w:rsidRPr="009D3E5D">
        <w:rPr>
          <w:rFonts w:ascii="Times New Roman" w:hAnsi="Times New Roman"/>
          <w:b w:val="0"/>
          <w:sz w:val="20"/>
          <w:szCs w:val="20"/>
          <w:vertAlign w:val="superscript"/>
          <w:lang w:val="en-GB"/>
        </w:rPr>
        <w:t>1</w:t>
      </w:r>
      <w:r w:rsidRPr="00AD611D">
        <w:rPr>
          <w:rFonts w:ascii="Times New Roman" w:hAnsi="Times New Roman"/>
          <w:b w:val="0"/>
          <w:sz w:val="20"/>
          <w:szCs w:val="20"/>
          <w:lang w:val="en-GB"/>
        </w:rPr>
        <w:t xml:space="preserve"> (corresponding author)</w:t>
      </w:r>
      <w:r w:rsidR="003311A3">
        <w:rPr>
          <w:rFonts w:ascii="Times New Roman" w:hAnsi="Times New Roman"/>
          <w:b w:val="0"/>
          <w:sz w:val="20"/>
          <w:szCs w:val="20"/>
          <w:lang w:val="en-GB"/>
        </w:rPr>
        <w:t xml:space="preserve">, </w:t>
      </w:r>
      <w:r w:rsidR="003311A3" w:rsidRPr="00AD611D">
        <w:rPr>
          <w:rFonts w:ascii="Times New Roman" w:hAnsi="Times New Roman"/>
          <w:b w:val="0"/>
          <w:sz w:val="20"/>
          <w:szCs w:val="20"/>
          <w:lang w:val="en-GB"/>
        </w:rPr>
        <w:t>Elisa Venturi</w:t>
      </w:r>
      <w:r w:rsidR="003311A3" w:rsidRPr="009D3E5D">
        <w:rPr>
          <w:rFonts w:ascii="Times New Roman" w:hAnsi="Times New Roman"/>
          <w:b w:val="0"/>
          <w:sz w:val="20"/>
          <w:szCs w:val="20"/>
          <w:vertAlign w:val="superscript"/>
          <w:lang w:val="en-GB"/>
        </w:rPr>
        <w:t>1</w:t>
      </w:r>
      <w:r w:rsidRPr="00AD611D">
        <w:rPr>
          <w:rFonts w:ascii="Times New Roman" w:hAnsi="Times New Roman"/>
          <w:b w:val="0"/>
          <w:sz w:val="20"/>
          <w:szCs w:val="20"/>
          <w:lang w:val="en-GB"/>
        </w:rPr>
        <w:t xml:space="preserve">, </w:t>
      </w:r>
      <w:r w:rsidR="00D3603D">
        <w:rPr>
          <w:rFonts w:ascii="Times New Roman" w:hAnsi="Times New Roman"/>
          <w:b w:val="0"/>
          <w:sz w:val="20"/>
          <w:szCs w:val="20"/>
          <w:lang w:val="en-GB"/>
        </w:rPr>
        <w:t>William Monteleone</w:t>
      </w:r>
      <w:r w:rsidR="00D3603D" w:rsidRPr="009D3E5D">
        <w:rPr>
          <w:rFonts w:ascii="Times New Roman" w:hAnsi="Times New Roman"/>
          <w:b w:val="0"/>
          <w:sz w:val="20"/>
          <w:szCs w:val="20"/>
          <w:vertAlign w:val="superscript"/>
          <w:lang w:val="en-GB"/>
        </w:rPr>
        <w:t>1</w:t>
      </w:r>
      <w:r w:rsidR="003311A3" w:rsidRPr="00AD611D">
        <w:rPr>
          <w:rFonts w:ascii="Times New Roman" w:hAnsi="Times New Roman"/>
          <w:b w:val="0"/>
          <w:sz w:val="20"/>
          <w:szCs w:val="20"/>
          <w:lang w:val="en-GB"/>
        </w:rPr>
        <w:t>, Fabian Ochs</w:t>
      </w:r>
      <w:r w:rsidR="003311A3" w:rsidRPr="009D3E5D">
        <w:rPr>
          <w:rFonts w:ascii="Times New Roman" w:hAnsi="Times New Roman"/>
          <w:b w:val="0"/>
          <w:sz w:val="20"/>
          <w:szCs w:val="20"/>
          <w:vertAlign w:val="superscript"/>
          <w:lang w:val="en-GB"/>
        </w:rPr>
        <w:t>1</w:t>
      </w:r>
    </w:p>
    <w:p w14:paraId="31C21CA6" w14:textId="77777777" w:rsidR="009D3E5D" w:rsidRPr="006319D1" w:rsidRDefault="009D3E5D" w:rsidP="009D3E5D">
      <w:pPr>
        <w:pStyle w:val="SWCTitle"/>
        <w:spacing w:before="0" w:after="0"/>
        <w:jc w:val="left"/>
        <w:rPr>
          <w:rFonts w:ascii="Times New Roman" w:hAnsi="Times New Roman"/>
          <w:b w:val="0"/>
          <w:sz w:val="20"/>
          <w:szCs w:val="22"/>
          <w:lang w:val="en-GB"/>
        </w:rPr>
      </w:pPr>
      <w:r w:rsidRPr="006319D1">
        <w:rPr>
          <w:rFonts w:ascii="Times New Roman" w:hAnsi="Times New Roman"/>
          <w:b w:val="0"/>
          <w:sz w:val="20"/>
          <w:szCs w:val="20"/>
          <w:vertAlign w:val="superscript"/>
          <w:lang w:val="en-GB"/>
        </w:rPr>
        <w:t xml:space="preserve">1 </w:t>
      </w:r>
      <w:r w:rsidRPr="00BE030D">
        <w:rPr>
          <w:rFonts w:ascii="Times New Roman" w:hAnsi="Times New Roman"/>
          <w:b w:val="0"/>
          <w:sz w:val="20"/>
          <w:szCs w:val="22"/>
          <w:lang w:val="en-GB"/>
        </w:rPr>
        <w:t xml:space="preserve">Unit of Energy Efficient Building, University of Innsbruck, </w:t>
      </w:r>
      <w:proofErr w:type="spellStart"/>
      <w:r w:rsidRPr="00BE030D">
        <w:rPr>
          <w:rFonts w:ascii="Times New Roman" w:hAnsi="Times New Roman"/>
          <w:b w:val="0"/>
          <w:sz w:val="20"/>
          <w:szCs w:val="22"/>
          <w:lang w:val="en-GB"/>
        </w:rPr>
        <w:t>Technikerstraße</w:t>
      </w:r>
      <w:proofErr w:type="spellEnd"/>
      <w:r w:rsidRPr="00BE030D">
        <w:rPr>
          <w:rFonts w:ascii="Times New Roman" w:hAnsi="Times New Roman"/>
          <w:b w:val="0"/>
          <w:sz w:val="20"/>
          <w:szCs w:val="22"/>
          <w:lang w:val="en-GB"/>
        </w:rPr>
        <w:t xml:space="preserve"> 13, A-6020, Innsbruck, Austria</w:t>
      </w:r>
    </w:p>
    <w:p w14:paraId="7A8BA0D9" w14:textId="24CDF4FC" w:rsidR="00645535" w:rsidRPr="00D3603D" w:rsidRDefault="00645535" w:rsidP="00645535">
      <w:pPr>
        <w:pStyle w:val="SWCTitle"/>
        <w:spacing w:before="0" w:after="0"/>
        <w:jc w:val="left"/>
        <w:rPr>
          <w:rFonts w:ascii="Times New Roman" w:hAnsi="Times New Roman"/>
          <w:b w:val="0"/>
          <w:sz w:val="18"/>
          <w:szCs w:val="20"/>
          <w:lang w:val="en-GB"/>
        </w:rPr>
      </w:pPr>
      <w:r w:rsidRPr="00D75798">
        <w:rPr>
          <w:rFonts w:ascii="Times New Roman" w:hAnsi="Times New Roman"/>
          <w:b w:val="0"/>
          <w:sz w:val="20"/>
          <w:szCs w:val="22"/>
          <w:lang w:val="en-GB"/>
        </w:rPr>
        <w:t>samuel.breuss@uibk.ac.at</w:t>
      </w:r>
    </w:p>
    <w:p w14:paraId="3A7DF4B5" w14:textId="77777777" w:rsidR="001A775B" w:rsidRPr="00AD611D" w:rsidRDefault="001A775B" w:rsidP="001A775B">
      <w:pPr>
        <w:pStyle w:val="SWCSummary"/>
        <w:rPr>
          <w:lang w:val="en-GB"/>
        </w:rPr>
      </w:pPr>
      <w:bookmarkStart w:id="0" w:name="_Hlk223084134"/>
      <w:r w:rsidRPr="00AD611D">
        <w:rPr>
          <w:lang w:val="en-GB"/>
        </w:rPr>
        <w:t>Summary</w:t>
      </w:r>
    </w:p>
    <w:p w14:paraId="2EF0B929" w14:textId="59E7D8D8" w:rsidR="00FE610A" w:rsidRPr="00A84402" w:rsidRDefault="00BC4BC0" w:rsidP="001A775B">
      <w:pPr>
        <w:pStyle w:val="SWCText"/>
        <w:pBdr>
          <w:bottom w:val="single" w:sz="6" w:space="1" w:color="auto"/>
        </w:pBdr>
      </w:pPr>
      <w:r w:rsidRPr="00AD611D">
        <w:rPr>
          <w:lang w:val="en-GB"/>
        </w:rPr>
        <w:t xml:space="preserve">In a </w:t>
      </w:r>
      <w:r w:rsidR="00254AFC">
        <w:rPr>
          <w:lang w:val="en-GB"/>
        </w:rPr>
        <w:t xml:space="preserve">block of four </w:t>
      </w:r>
      <w:r w:rsidRPr="00AD611D">
        <w:rPr>
          <w:lang w:val="en-GB"/>
        </w:rPr>
        <w:t>large multi-apartment building</w:t>
      </w:r>
      <w:r w:rsidR="00254AFC">
        <w:rPr>
          <w:lang w:val="en-GB"/>
        </w:rPr>
        <w:t>s</w:t>
      </w:r>
      <w:r w:rsidRPr="00AD611D">
        <w:rPr>
          <w:lang w:val="en-GB"/>
        </w:rPr>
        <w:t xml:space="preserve"> (MAB)</w:t>
      </w:r>
      <w:r w:rsidR="00254AFC">
        <w:rPr>
          <w:lang w:val="en-GB"/>
        </w:rPr>
        <w:t xml:space="preserve"> with </w:t>
      </w:r>
      <w:r w:rsidRPr="00AD611D">
        <w:rPr>
          <w:lang w:val="en-GB"/>
        </w:rPr>
        <w:t xml:space="preserve">307 apartments, a high-resolution monitoring system was implemented </w:t>
      </w:r>
      <w:r w:rsidR="00254AFC">
        <w:rPr>
          <w:lang w:val="en-GB"/>
        </w:rPr>
        <w:t>consisting of</w:t>
      </w:r>
      <w:r w:rsidRPr="00AD611D">
        <w:rPr>
          <w:lang w:val="en-GB"/>
        </w:rPr>
        <w:t xml:space="preserve"> heat meters in the technical room, distribution network, and apartment-level </w:t>
      </w:r>
      <w:proofErr w:type="gramStart"/>
      <w:r w:rsidRPr="00AD611D">
        <w:rPr>
          <w:lang w:val="en-GB"/>
        </w:rPr>
        <w:t>fresh water</w:t>
      </w:r>
      <w:proofErr w:type="gramEnd"/>
      <w:r w:rsidRPr="00AD611D">
        <w:rPr>
          <w:lang w:val="en-GB"/>
        </w:rPr>
        <w:t xml:space="preserve"> stations (FWS). Monitored losses proved to be higher than pre-design expectations. </w:t>
      </w:r>
      <w:r w:rsidR="00A84402" w:rsidRPr="00A84402">
        <w:rPr>
          <w:lang w:val="en-GB"/>
        </w:rPr>
        <w:t>The main driver was drifting FWS bypass setpoints, visible as increasing return temperature and flow. Adjusting one remaining station lowered the investigated riser return temperature by 8.3 K</w:t>
      </w:r>
      <w:r w:rsidR="00851A83" w:rsidRPr="00A84402">
        <w:rPr>
          <w:lang w:val="en-GB"/>
        </w:rPr>
        <w:t xml:space="preserve">. A </w:t>
      </w:r>
      <w:r w:rsidR="004A15ED" w:rsidRPr="00A84402">
        <w:rPr>
          <w:lang w:val="en-GB"/>
        </w:rPr>
        <w:t>constrained grey-box</w:t>
      </w:r>
      <w:r w:rsidR="00851A83" w:rsidRPr="00A84402">
        <w:rPr>
          <w:lang w:val="en-GB"/>
        </w:rPr>
        <w:t xml:space="preserve"> model was developed and calibrated with the monitoring data to merge measured and expected performance, enabling attribution of losses to distribution pipes inside and outside the thermal envelope and FWS standby while</w:t>
      </w:r>
      <w:r w:rsidR="00851A83" w:rsidRPr="00AD611D">
        <w:rPr>
          <w:lang w:val="en-GB"/>
        </w:rPr>
        <w:t xml:space="preserve"> quantifying the impact of elevated return temperatures. </w:t>
      </w:r>
      <w:bookmarkEnd w:id="0"/>
      <w:r w:rsidR="00A73C0A">
        <w:t>Hypothetical</w:t>
      </w:r>
      <w:r w:rsidR="00A73C0A" w:rsidRPr="00A84402">
        <w:t xml:space="preserve"> </w:t>
      </w:r>
      <w:r w:rsidR="00A84402" w:rsidRPr="00A84402">
        <w:t xml:space="preserve">scenarios indicate </w:t>
      </w:r>
      <w:r w:rsidR="00A84402">
        <w:t>23</w:t>
      </w:r>
      <w:r w:rsidR="00A84402" w:rsidRPr="00A84402">
        <w:t>–</w:t>
      </w:r>
      <w:r w:rsidR="00A84402">
        <w:t>30</w:t>
      </w:r>
      <w:r w:rsidR="00A84402" w:rsidRPr="00A84402">
        <w:t xml:space="preserve"> % annual loss reduction for a correctly commissioned 30 °C bypass return at 5</w:t>
      </w:r>
      <w:r w:rsidR="00A84402">
        <w:t>4</w:t>
      </w:r>
      <w:r w:rsidR="00A84402" w:rsidRPr="00A84402">
        <w:t xml:space="preserve"> °C flow, while 55–58</w:t>
      </w:r>
      <w:r w:rsidR="00A84402">
        <w:t> </w:t>
      </w:r>
      <w:r w:rsidR="00A84402" w:rsidRPr="00A84402">
        <w:t>% of losses occur outside the thermal envelope. The results support monitoring-based fault detection and planning guidance for DHW systems in large MAB</w:t>
      </w:r>
    </w:p>
    <w:p w14:paraId="5AB3A3E7" w14:textId="176D9F35" w:rsidR="00DB52E7" w:rsidRPr="00AD611D" w:rsidRDefault="00DB52E7" w:rsidP="001A775B">
      <w:pPr>
        <w:pStyle w:val="SWCText"/>
        <w:pBdr>
          <w:bottom w:val="single" w:sz="6" w:space="1" w:color="auto"/>
        </w:pBdr>
        <w:rPr>
          <w:i/>
          <w:iCs/>
          <w:lang w:val="en-GB"/>
        </w:rPr>
      </w:pPr>
      <w:r w:rsidRPr="00AD611D">
        <w:rPr>
          <w:i/>
          <w:iCs/>
          <w:lang w:val="en-GB"/>
        </w:rPr>
        <w:t xml:space="preserve">Keywords: </w:t>
      </w:r>
      <w:r w:rsidR="008134CF" w:rsidRPr="00AD611D">
        <w:rPr>
          <w:i/>
          <w:iCs/>
          <w:lang w:val="en-GB"/>
        </w:rPr>
        <w:t>HVAC, Monitoring, D</w:t>
      </w:r>
      <w:r w:rsidR="000B3B89" w:rsidRPr="00AD611D">
        <w:rPr>
          <w:i/>
          <w:iCs/>
          <w:lang w:val="en-GB"/>
        </w:rPr>
        <w:t>omestic Hot Water</w:t>
      </w:r>
      <w:r w:rsidR="008134CF" w:rsidRPr="00AD611D">
        <w:rPr>
          <w:i/>
          <w:iCs/>
          <w:lang w:val="en-GB"/>
        </w:rPr>
        <w:t>, M</w:t>
      </w:r>
      <w:r w:rsidR="000B3B89" w:rsidRPr="00AD611D">
        <w:rPr>
          <w:i/>
          <w:iCs/>
          <w:lang w:val="en-GB"/>
        </w:rPr>
        <w:t xml:space="preserve">ulti Apartment </w:t>
      </w:r>
      <w:r w:rsidR="00FE610A" w:rsidRPr="00AD611D">
        <w:rPr>
          <w:i/>
          <w:iCs/>
          <w:lang w:val="en-GB"/>
        </w:rPr>
        <w:t>Building,</w:t>
      </w:r>
      <w:r w:rsidR="008134CF" w:rsidRPr="00AD611D">
        <w:rPr>
          <w:i/>
          <w:iCs/>
          <w:lang w:val="en-GB"/>
        </w:rPr>
        <w:t xml:space="preserve"> H</w:t>
      </w:r>
      <w:r w:rsidR="000B3B89" w:rsidRPr="00AD611D">
        <w:rPr>
          <w:i/>
          <w:iCs/>
          <w:lang w:val="en-GB"/>
        </w:rPr>
        <w:t xml:space="preserve">eat </w:t>
      </w:r>
      <w:r w:rsidR="008134CF" w:rsidRPr="00AD611D">
        <w:rPr>
          <w:i/>
          <w:iCs/>
          <w:lang w:val="en-GB"/>
        </w:rPr>
        <w:t>P</w:t>
      </w:r>
      <w:r w:rsidR="000B3B89" w:rsidRPr="00AD611D">
        <w:rPr>
          <w:i/>
          <w:iCs/>
          <w:lang w:val="en-GB"/>
        </w:rPr>
        <w:t>ump</w:t>
      </w:r>
      <w:r w:rsidR="008134CF" w:rsidRPr="00AD611D">
        <w:rPr>
          <w:i/>
          <w:iCs/>
          <w:lang w:val="en-GB"/>
        </w:rPr>
        <w:t>, District Heating</w:t>
      </w:r>
    </w:p>
    <w:p w14:paraId="01458796" w14:textId="11754D72" w:rsidR="00FA4DF8" w:rsidRPr="00AD611D" w:rsidRDefault="002C089D" w:rsidP="001A775B">
      <w:pPr>
        <w:pStyle w:val="SWCText"/>
        <w:pBdr>
          <w:bottom w:val="single" w:sz="6" w:space="1" w:color="auto"/>
        </w:pBdr>
        <w:rPr>
          <w:i/>
          <w:iCs/>
          <w:lang w:val="en-GB"/>
        </w:rPr>
      </w:pPr>
      <w:r w:rsidRPr="00AD611D">
        <w:rPr>
          <w:i/>
          <w:iCs/>
          <w:lang w:val="en-GB"/>
        </w:rPr>
        <w:t>Field of application for the findings:</w:t>
      </w:r>
      <w:r w:rsidR="00B50E55" w:rsidRPr="00AD611D">
        <w:rPr>
          <w:i/>
          <w:iCs/>
          <w:lang w:val="en-GB"/>
        </w:rPr>
        <w:t xml:space="preserve"> </w:t>
      </w:r>
      <w:r w:rsidR="00D73DC8" w:rsidRPr="00AD611D">
        <w:rPr>
          <w:i/>
          <w:iCs/>
          <w:lang w:val="en-GB"/>
        </w:rPr>
        <w:t xml:space="preserve">Monitoring, Fault Detection and Diagnosis  </w:t>
      </w:r>
      <w:r w:rsidR="00B50E55" w:rsidRPr="00AD611D">
        <w:rPr>
          <w:i/>
          <w:iCs/>
          <w:lang w:val="en-GB"/>
        </w:rPr>
        <w:t xml:space="preserve"> </w:t>
      </w:r>
    </w:p>
    <w:p w14:paraId="185A319D" w14:textId="44A26302" w:rsidR="002C089D" w:rsidRPr="00AD611D" w:rsidRDefault="00CC3B0C" w:rsidP="001A775B">
      <w:pPr>
        <w:pStyle w:val="SWCText"/>
        <w:pBdr>
          <w:bottom w:val="single" w:sz="6" w:space="1" w:color="auto"/>
        </w:pBdr>
        <w:rPr>
          <w:lang w:val="en-GB"/>
        </w:rPr>
      </w:pPr>
      <w:r w:rsidRPr="00AD611D">
        <w:rPr>
          <w:i/>
          <w:iCs/>
          <w:lang w:val="en-GB"/>
        </w:rPr>
        <w:t>Addressed audience:</w:t>
      </w:r>
      <w:r w:rsidR="00B50E55" w:rsidRPr="00AD611D">
        <w:rPr>
          <w:i/>
          <w:iCs/>
          <w:lang w:val="en-GB"/>
        </w:rPr>
        <w:t xml:space="preserve"> Scientists, Planners</w:t>
      </w:r>
    </w:p>
    <w:p w14:paraId="51CD8377" w14:textId="0C9F8BF1" w:rsidR="00D32EF0" w:rsidRPr="00AD611D" w:rsidRDefault="00D32EF0" w:rsidP="004C4EE9">
      <w:pPr>
        <w:pStyle w:val="SWCHeading1"/>
        <w:rPr>
          <w:lang w:val="en-GB"/>
        </w:rPr>
      </w:pPr>
      <w:r w:rsidRPr="00AD611D">
        <w:rPr>
          <w:lang w:val="en-GB"/>
        </w:rPr>
        <w:t>Introduction</w:t>
      </w:r>
      <w:r w:rsidR="009E0D67" w:rsidRPr="00AD611D">
        <w:rPr>
          <w:lang w:val="en-GB"/>
        </w:rPr>
        <w:t xml:space="preserve"> </w:t>
      </w:r>
    </w:p>
    <w:p w14:paraId="4A040C49" w14:textId="4C985BE8" w:rsidR="00BF5957" w:rsidRPr="00AD611D" w:rsidRDefault="008765E5" w:rsidP="00662890">
      <w:pPr>
        <w:pStyle w:val="EuroSunText"/>
        <w:rPr>
          <w:lang w:val="en-GB"/>
        </w:rPr>
      </w:pPr>
      <w:bookmarkStart w:id="1" w:name="_Hlk207278148"/>
      <w:r w:rsidRPr="00AD611D">
        <w:rPr>
          <w:lang w:val="en-GB"/>
        </w:rPr>
        <w:t xml:space="preserve">In the context of highly energy-efficient buildings, such as passive houses, distribution losses are of particular significance. In these buildings, they serve as a substantial uncontrolled heat source </w:t>
      </w:r>
      <w:sdt>
        <w:sdtPr>
          <w:rPr>
            <w:lang w:val="en-GB"/>
          </w:rPr>
          <w:tag w:val="MENDELEY_CITATION_v3_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"/>
          <w:id w:val="598529062"/>
          <w:placeholder>
            <w:docPart w:val="DefaultPlaceholder_-1854013440"/>
          </w:placeholder>
        </w:sdtPr>
        <w:sdtContent>
          <w:r w:rsidR="00A15CA0" w:rsidRPr="00A15CA0">
            <w:rPr>
              <w:lang w:val="en-GB"/>
            </w:rPr>
            <w:t>(Hamburg et al., 2021)</w:t>
          </w:r>
        </w:sdtContent>
      </w:sdt>
      <w:r w:rsidR="00DC070D" w:rsidRPr="00AD611D">
        <w:rPr>
          <w:lang w:val="en-GB"/>
        </w:rPr>
        <w:t>.</w:t>
      </w:r>
      <w:r w:rsidRPr="00AD611D">
        <w:rPr>
          <w:lang w:val="en-GB"/>
        </w:rPr>
        <w:t xml:space="preserve"> </w:t>
      </w:r>
      <w:r w:rsidR="000B3B89" w:rsidRPr="00AD611D">
        <w:rPr>
          <w:lang w:val="en-GB"/>
        </w:rPr>
        <w:t>During the summer months d</w:t>
      </w:r>
      <w:r w:rsidR="003B35E5" w:rsidRPr="00AD611D">
        <w:rPr>
          <w:lang w:val="en-GB"/>
        </w:rPr>
        <w:t xml:space="preserve">istribution losses from domestic hot water (DHW) </w:t>
      </w:r>
      <w:r w:rsidRPr="00AD611D">
        <w:rPr>
          <w:lang w:val="en-GB"/>
        </w:rPr>
        <w:t>can lead to overheating or an increased cooling demand. In conventional DHW systems with circulation pipes, it is necessary to maintain temperatures in the flow and return pipes above 55</w:t>
      </w:r>
      <w:r w:rsidR="00A561F8" w:rsidRPr="00AD611D">
        <w:rPr>
          <w:lang w:val="en-GB"/>
        </w:rPr>
        <w:t> °C</w:t>
      </w:r>
      <w:r w:rsidRPr="00AD611D">
        <w:rPr>
          <w:lang w:val="en-GB"/>
        </w:rPr>
        <w:t xml:space="preserve"> </w:t>
      </w:r>
      <w:r w:rsidR="008134CF" w:rsidRPr="00AD611D">
        <w:rPr>
          <w:lang w:val="en-GB"/>
        </w:rPr>
        <w:t>to</w:t>
      </w:r>
      <w:r w:rsidRPr="00AD611D">
        <w:rPr>
          <w:lang w:val="en-GB"/>
        </w:rPr>
        <w:t xml:space="preserve"> meet hygienic requirements, particularly with regard to the prevention of legionella (</w:t>
      </w:r>
      <w:r w:rsidR="0093563D" w:rsidRPr="00AD611D">
        <w:rPr>
          <w:lang w:val="en-GB"/>
        </w:rPr>
        <w:t xml:space="preserve">e.g. </w:t>
      </w:r>
      <w:r w:rsidRPr="00AD611D">
        <w:rPr>
          <w:lang w:val="en-GB"/>
        </w:rPr>
        <w:t xml:space="preserve">in accordance with ÖNORM B 2531:2024-10). </w:t>
      </w:r>
      <w:r w:rsidR="00662890" w:rsidRPr="00AD611D">
        <w:rPr>
          <w:lang w:val="en-GB"/>
        </w:rPr>
        <w:t xml:space="preserve">With the increasing integration of heat pumps (HP) for low-temperature supply, reducing system temperatures becomes essential </w:t>
      </w:r>
      <w:sdt>
        <w:sdtPr>
          <w:rPr>
            <w:lang w:val="en-GB"/>
          </w:rPr>
          <w:tag w:val="MENDELEY_CITATION_v3_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"/>
          <w:id w:val="-724451896"/>
          <w:placeholder>
            <w:docPart w:val="4DD8A72AE9914837AA6F165D1E188E28"/>
          </w:placeholder>
        </w:sdtPr>
        <w:sdtContent>
          <w:r w:rsidR="00A15CA0" w:rsidRPr="00A15CA0">
            <w:rPr>
              <w:lang w:val="en-GB"/>
            </w:rPr>
            <w:t>(Kropp et al., 2025)</w:t>
          </w:r>
        </w:sdtContent>
      </w:sdt>
      <w:r w:rsidR="00662890" w:rsidRPr="00AD611D">
        <w:rPr>
          <w:lang w:val="en-GB"/>
        </w:rPr>
        <w:t xml:space="preserve">. </w:t>
      </w:r>
      <w:r w:rsidRPr="00AD611D">
        <w:rPr>
          <w:lang w:val="en-GB"/>
        </w:rPr>
        <w:t>Decentral DHW preparation via fresh</w:t>
      </w:r>
      <w:r w:rsidR="00703836" w:rsidRPr="00AD611D">
        <w:rPr>
          <w:lang w:val="en-GB"/>
        </w:rPr>
        <w:t xml:space="preserve"> </w:t>
      </w:r>
      <w:r w:rsidRPr="00AD611D">
        <w:rPr>
          <w:lang w:val="en-GB"/>
        </w:rPr>
        <w:t>water stations</w:t>
      </w:r>
      <w:r w:rsidR="00A42C63" w:rsidRPr="00AD611D">
        <w:rPr>
          <w:lang w:val="en-GB"/>
        </w:rPr>
        <w:t xml:space="preserve"> (FWS)</w:t>
      </w:r>
      <w:r w:rsidRPr="00AD611D">
        <w:rPr>
          <w:lang w:val="en-GB"/>
        </w:rPr>
        <w:t xml:space="preserve"> </w:t>
      </w:r>
      <w:r w:rsidR="003B35E5" w:rsidRPr="00AD611D">
        <w:rPr>
          <w:lang w:val="en-GB"/>
        </w:rPr>
        <w:t xml:space="preserve">allows </w:t>
      </w:r>
      <w:r w:rsidRPr="00AD611D">
        <w:rPr>
          <w:lang w:val="en-GB"/>
        </w:rPr>
        <w:t>lower</w:t>
      </w:r>
      <w:r w:rsidR="0093563D" w:rsidRPr="00AD611D">
        <w:rPr>
          <w:lang w:val="en-GB"/>
        </w:rPr>
        <w:t xml:space="preserve"> </w:t>
      </w:r>
      <w:r w:rsidR="00257DB9" w:rsidRPr="00AD611D">
        <w:rPr>
          <w:lang w:val="en-GB"/>
        </w:rPr>
        <w:t>supply temperatures</w:t>
      </w:r>
      <w:r w:rsidRPr="00AD611D">
        <w:rPr>
          <w:lang w:val="en-GB"/>
        </w:rPr>
        <w:t xml:space="preserve">, provided the </w:t>
      </w:r>
      <w:r w:rsidR="0093563D" w:rsidRPr="00AD611D">
        <w:rPr>
          <w:lang w:val="en-GB"/>
        </w:rPr>
        <w:t>apartment-</w:t>
      </w:r>
      <w:r w:rsidRPr="00AD611D">
        <w:rPr>
          <w:lang w:val="en-GB"/>
        </w:rPr>
        <w:t xml:space="preserve">wise distribution volume is </w:t>
      </w:r>
      <w:r w:rsidR="0093563D" w:rsidRPr="00AD611D">
        <w:rPr>
          <w:lang w:val="en-GB"/>
        </w:rPr>
        <w:t>below three</w:t>
      </w:r>
      <w:r w:rsidRPr="00AD611D">
        <w:rPr>
          <w:lang w:val="en-GB"/>
        </w:rPr>
        <w:t xml:space="preserve"> </w:t>
      </w:r>
      <w:r w:rsidR="00F857FD" w:rsidRPr="00AD611D">
        <w:rPr>
          <w:lang w:val="en-GB"/>
        </w:rPr>
        <w:t>litres</w:t>
      </w:r>
      <w:r w:rsidRPr="00AD611D">
        <w:rPr>
          <w:lang w:val="en-GB"/>
        </w:rPr>
        <w:t>.</w:t>
      </w:r>
      <w:r w:rsidR="008134CF" w:rsidRPr="00AD611D">
        <w:rPr>
          <w:lang w:val="en-GB"/>
        </w:rPr>
        <w:t xml:space="preserve"> </w:t>
      </w:r>
      <w:r w:rsidR="00F654DD" w:rsidRPr="00AD611D">
        <w:rPr>
          <w:lang w:val="en-GB"/>
        </w:rPr>
        <w:t xml:space="preserve">These systems often have a thermal bypass function, </w:t>
      </w:r>
      <w:r w:rsidR="0093563D" w:rsidRPr="00AD611D">
        <w:rPr>
          <w:lang w:val="en-GB"/>
        </w:rPr>
        <w:t>i.e.,</w:t>
      </w:r>
      <w:r w:rsidR="00F654DD" w:rsidRPr="00AD611D">
        <w:rPr>
          <w:lang w:val="en-GB"/>
        </w:rPr>
        <w:t xml:space="preserve"> </w:t>
      </w:r>
      <w:r w:rsidR="0093563D" w:rsidRPr="00AD611D">
        <w:rPr>
          <w:lang w:val="en-GB"/>
        </w:rPr>
        <w:t xml:space="preserve">a </w:t>
      </w:r>
      <w:r w:rsidR="00F654DD" w:rsidRPr="00AD611D">
        <w:rPr>
          <w:lang w:val="en-GB"/>
        </w:rPr>
        <w:t xml:space="preserve">thermostatic valve </w:t>
      </w:r>
      <w:r w:rsidR="0093563D" w:rsidRPr="00AD611D">
        <w:rPr>
          <w:lang w:val="en-GB"/>
        </w:rPr>
        <w:t>controlling</w:t>
      </w:r>
      <w:r w:rsidR="00F654DD" w:rsidRPr="00AD611D">
        <w:rPr>
          <w:lang w:val="en-GB"/>
        </w:rPr>
        <w:t xml:space="preserve"> a predefined standby temperature to be set for quick </w:t>
      </w:r>
      <w:r w:rsidR="0093563D" w:rsidRPr="00AD611D">
        <w:rPr>
          <w:lang w:val="en-GB"/>
        </w:rPr>
        <w:t>heating-</w:t>
      </w:r>
      <w:r w:rsidR="00F654DD" w:rsidRPr="00AD611D">
        <w:rPr>
          <w:lang w:val="en-GB"/>
        </w:rPr>
        <w:t xml:space="preserve">up times. </w:t>
      </w:r>
      <w:r w:rsidR="00C32949" w:rsidRPr="00AD611D">
        <w:rPr>
          <w:lang w:val="en-GB"/>
        </w:rPr>
        <w:t>However, the energetic benefit of FWS depends strongly on the correct operation of the thermal bypass, since the bypass setpoint determines the standby return temperature and the circulation flow required to compensate distribution losses</w:t>
      </w:r>
      <w:r w:rsidR="00F654DD" w:rsidRPr="00AD611D">
        <w:rPr>
          <w:lang w:val="en-GB"/>
        </w:rPr>
        <w:t>.</w:t>
      </w:r>
      <w:r w:rsidRPr="00AD611D">
        <w:rPr>
          <w:lang w:val="en-GB"/>
        </w:rPr>
        <w:t xml:space="preserve"> </w:t>
      </w:r>
      <w:r w:rsidR="00662890" w:rsidRPr="00AD611D">
        <w:rPr>
          <w:lang w:val="en-GB"/>
        </w:rPr>
        <w:t xml:space="preserve">At a central measurement point, drifting or incorrectly commissioned bypass valves may appear only as a gradual increase in return temperature and circulation flow, while the responsible </w:t>
      </w:r>
      <w:r w:rsidR="00D66CBC">
        <w:rPr>
          <w:lang w:val="en-GB"/>
        </w:rPr>
        <w:t>FWS</w:t>
      </w:r>
      <w:r w:rsidR="00662890" w:rsidRPr="00AD611D">
        <w:rPr>
          <w:lang w:val="en-GB"/>
        </w:rPr>
        <w:t xml:space="preserve"> cannot be localised without more detailed metering.</w:t>
      </w:r>
      <w:r w:rsidR="00BF5957" w:rsidRPr="00AD611D">
        <w:rPr>
          <w:lang w:val="en-GB"/>
        </w:rPr>
        <w:t xml:space="preserve"> The problem is not only that DHW distribution losses occur, but that they can increase unnoticed due to bypass drift and are difficult to localise with central metering alone. </w:t>
      </w:r>
      <w:r w:rsidRPr="00AD611D">
        <w:rPr>
          <w:lang w:val="en-GB"/>
        </w:rPr>
        <w:t>Energy metering for DHW allows costs to be allocated accurately to individual users and reveals distribution and storage losses that often go unnoticed with central-only metering.</w:t>
      </w:r>
      <w:r w:rsidR="00662890" w:rsidRPr="00AD611D">
        <w:rPr>
          <w:lang w:val="en-GB"/>
        </w:rPr>
        <w:t xml:space="preserve"> </w:t>
      </w:r>
      <w:r w:rsidRPr="00AD611D">
        <w:rPr>
          <w:lang w:val="en-GB"/>
        </w:rPr>
        <w:t>As these losses cannot be observed without user-level data, the implementation of energy metering is generally recommended to support transparent operations and promote energy-efficient DHW preparation</w:t>
      </w:r>
      <w:r w:rsidR="001F64BB" w:rsidRPr="00AD611D">
        <w:rPr>
          <w:lang w:val="en-GB"/>
        </w:rPr>
        <w:t xml:space="preserve"> </w:t>
      </w:r>
      <w:sdt>
        <w:sdtPr>
          <w:rPr>
            <w:lang w:val="en-GB"/>
          </w:rPr>
          <w:tag w:val="MENDELEY_CITATION_v3_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"/>
          <w:id w:val="-1860962954"/>
          <w:placeholder>
            <w:docPart w:val="DefaultPlaceholder_-1854013440"/>
          </w:placeholder>
        </w:sdtPr>
        <w:sdtContent>
          <w:r w:rsidR="00A15CA0" w:rsidRPr="00A15CA0">
            <w:rPr>
              <w:lang w:val="en-GB"/>
            </w:rPr>
            <w:t>(</w:t>
          </w:r>
          <w:proofErr w:type="spellStart"/>
          <w:r w:rsidR="00A15CA0" w:rsidRPr="00A15CA0">
            <w:rPr>
              <w:lang w:val="en-GB"/>
            </w:rPr>
            <w:t>Pomianowski</w:t>
          </w:r>
          <w:proofErr w:type="spellEnd"/>
          <w:r w:rsidR="00A15CA0" w:rsidRPr="00A15CA0">
            <w:rPr>
              <w:lang w:val="en-GB"/>
            </w:rPr>
            <w:t xml:space="preserve"> et al., 2020),</w:t>
          </w:r>
        </w:sdtContent>
      </w:sdt>
      <w:r w:rsidR="0093563D" w:rsidRPr="00AD611D">
        <w:rPr>
          <w:lang w:val="en-GB"/>
        </w:rPr>
        <w:t xml:space="preserve"> but currently limited to few research projects</w:t>
      </w:r>
      <w:r w:rsidR="001F64BB" w:rsidRPr="00AD611D">
        <w:rPr>
          <w:lang w:val="en-GB"/>
        </w:rPr>
        <w:t>.</w:t>
      </w:r>
      <w:r w:rsidR="00662890" w:rsidRPr="00AD611D">
        <w:rPr>
          <w:lang w:val="en-GB"/>
        </w:rPr>
        <w:t xml:space="preserve"> A remaining challenge is therefore not only to </w:t>
      </w:r>
      <w:r w:rsidR="00662890" w:rsidRPr="00AD611D">
        <w:rPr>
          <w:lang w:val="en-GB"/>
        </w:rPr>
        <w:lastRenderedPageBreak/>
        <w:t xml:space="preserve">measure total DHW distribution losses, but to attribute them to physically meaningful loss paths and to quantify how operational deviations, such as elevated bypass return temperatures, affect the overall performance. </w:t>
      </w:r>
    </w:p>
    <w:p w14:paraId="5842AD4B" w14:textId="0B6DDD35" w:rsidR="006B16AA" w:rsidRPr="00AD611D" w:rsidRDefault="00662890" w:rsidP="00662890">
      <w:pPr>
        <w:pStyle w:val="EuroSunText"/>
        <w:rPr>
          <w:lang w:val="en-GB"/>
        </w:rPr>
      </w:pPr>
      <w:r w:rsidRPr="00AD611D">
        <w:rPr>
          <w:lang w:val="en-GB"/>
        </w:rPr>
        <w:t xml:space="preserve">This paper analyses long-term monitoring data from the DHW distribution system of a </w:t>
      </w:r>
      <w:r w:rsidR="00717517">
        <w:rPr>
          <w:lang w:val="en-GB"/>
        </w:rPr>
        <w:t xml:space="preserve">block of </w:t>
      </w:r>
      <w:r w:rsidRPr="00AD611D">
        <w:rPr>
          <w:lang w:val="en-GB"/>
        </w:rPr>
        <w:t xml:space="preserve">large </w:t>
      </w:r>
      <w:r w:rsidR="00BF5957" w:rsidRPr="00AD611D">
        <w:rPr>
          <w:lang w:val="en-GB"/>
        </w:rPr>
        <w:t>MAB</w:t>
      </w:r>
      <w:r w:rsidR="00717517">
        <w:rPr>
          <w:lang w:val="en-GB"/>
        </w:rPr>
        <w:t>s</w:t>
      </w:r>
      <w:r w:rsidRPr="00AD611D">
        <w:rPr>
          <w:lang w:val="en-GB"/>
        </w:rPr>
        <w:t xml:space="preserve"> and develops a constrained grey-box model for one well-instrumented riser group. The objective is to quantify measured distribution losses, attribute them to loss paths inside and outside the thermal envelope, and assess the impact of elevated bypass return temperatures on annual losses.</w:t>
      </w:r>
    </w:p>
    <w:p w14:paraId="378F0C31" w14:textId="0CACBB69" w:rsidR="00D32EF0" w:rsidRPr="00AD611D" w:rsidRDefault="00C96C78" w:rsidP="00490F10">
      <w:pPr>
        <w:pStyle w:val="SWCHeading1"/>
        <w:rPr>
          <w:lang w:val="en-GB"/>
        </w:rPr>
      </w:pPr>
      <w:bookmarkStart w:id="2" w:name="_Hlk223008602"/>
      <w:bookmarkStart w:id="3" w:name="_Hlk223084067"/>
      <w:bookmarkEnd w:id="1"/>
      <w:r w:rsidRPr="00AD611D">
        <w:rPr>
          <w:lang w:val="en-GB"/>
        </w:rPr>
        <w:t>Case Study</w:t>
      </w:r>
    </w:p>
    <w:p w14:paraId="44A7D6A0" w14:textId="0BCE5320" w:rsidR="00FE7573" w:rsidRPr="00AD611D" w:rsidRDefault="005F2724" w:rsidP="000C0273">
      <w:pPr>
        <w:pStyle w:val="SWCText"/>
        <w:rPr>
          <w:lang w:val="en-GB"/>
        </w:rPr>
      </w:pPr>
      <w:r w:rsidRPr="00AD611D">
        <w:rPr>
          <w:lang w:val="en-GB"/>
        </w:rPr>
        <w:t>A</w:t>
      </w:r>
      <w:r w:rsidR="000C0273" w:rsidRPr="00AD611D">
        <w:rPr>
          <w:lang w:val="en-GB"/>
        </w:rPr>
        <w:t xml:space="preserve"> </w:t>
      </w:r>
      <w:r w:rsidR="00717517">
        <w:rPr>
          <w:lang w:val="en-GB"/>
        </w:rPr>
        <w:t>comprehensive</w:t>
      </w:r>
      <w:r w:rsidR="000C0273" w:rsidRPr="00AD611D">
        <w:rPr>
          <w:lang w:val="en-GB"/>
        </w:rPr>
        <w:t xml:space="preserve"> monitoring system was installed </w:t>
      </w:r>
      <w:r w:rsidRPr="00AD611D">
        <w:rPr>
          <w:lang w:val="en-GB"/>
        </w:rPr>
        <w:t>in a</w:t>
      </w:r>
      <w:r w:rsidR="00717517">
        <w:rPr>
          <w:lang w:val="en-GB"/>
        </w:rPr>
        <w:t xml:space="preserve"> block of four</w:t>
      </w:r>
      <w:r w:rsidRPr="00AD611D">
        <w:rPr>
          <w:lang w:val="en-GB"/>
        </w:rPr>
        <w:t xml:space="preserve"> large MAB</w:t>
      </w:r>
      <w:r w:rsidR="00717517">
        <w:rPr>
          <w:lang w:val="en-GB"/>
        </w:rPr>
        <w:t xml:space="preserve">s </w:t>
      </w:r>
      <w:r w:rsidR="00114126" w:rsidRPr="00AD611D">
        <w:rPr>
          <w:lang w:val="en-GB"/>
        </w:rPr>
        <w:t>(</w:t>
      </w:r>
      <w:r w:rsidR="00717517">
        <w:rPr>
          <w:lang w:val="en-GB"/>
        </w:rPr>
        <w:t xml:space="preserve">buildings </w:t>
      </w:r>
      <w:r w:rsidRPr="00AD611D">
        <w:rPr>
          <w:lang w:val="en-GB"/>
        </w:rPr>
        <w:t>A, B, C and D</w:t>
      </w:r>
      <w:r w:rsidR="0093563D" w:rsidRPr="00AD611D">
        <w:rPr>
          <w:lang w:val="en-GB"/>
        </w:rPr>
        <w:t xml:space="preserve">, see </w:t>
      </w:r>
      <w:r w:rsidR="0093563D" w:rsidRPr="00AD611D">
        <w:rPr>
          <w:highlight w:val="yellow"/>
          <w:lang w:val="en-GB"/>
        </w:rPr>
        <w:fldChar w:fldCharType="begin"/>
      </w:r>
      <w:r w:rsidR="0093563D" w:rsidRPr="00AD611D">
        <w:rPr>
          <w:lang w:val="en-GB"/>
        </w:rPr>
        <w:instrText xml:space="preserve"> REF _Ref223343080 \h </w:instrText>
      </w:r>
      <w:r w:rsidR="0093563D" w:rsidRPr="00AD611D">
        <w:rPr>
          <w:highlight w:val="yellow"/>
          <w:lang w:val="en-GB"/>
        </w:rPr>
      </w:r>
      <w:r w:rsidR="0093563D" w:rsidRPr="00AD611D">
        <w:rPr>
          <w:highlight w:val="yellow"/>
          <w:lang w:val="en-GB"/>
        </w:rPr>
        <w:fldChar w:fldCharType="separate"/>
      </w:r>
      <w:r w:rsidR="000805D6" w:rsidRPr="00AD611D">
        <w:rPr>
          <w:lang w:val="en-GB"/>
        </w:rPr>
        <w:t xml:space="preserve">Fig. </w:t>
      </w:r>
      <w:r w:rsidR="000805D6">
        <w:rPr>
          <w:noProof/>
          <w:lang w:val="en-GB"/>
        </w:rPr>
        <w:t>1</w:t>
      </w:r>
      <w:r w:rsidR="0093563D" w:rsidRPr="00AD611D">
        <w:rPr>
          <w:highlight w:val="yellow"/>
          <w:lang w:val="en-GB"/>
        </w:rPr>
        <w:fldChar w:fldCharType="end"/>
      </w:r>
      <w:r w:rsidR="00114126" w:rsidRPr="00AD611D">
        <w:rPr>
          <w:lang w:val="en-GB"/>
        </w:rPr>
        <w:t>)</w:t>
      </w:r>
      <w:r w:rsidRPr="00AD611D">
        <w:rPr>
          <w:lang w:val="en-GB"/>
        </w:rPr>
        <w:t xml:space="preserve"> </w:t>
      </w:r>
      <w:r w:rsidR="000C0273" w:rsidRPr="00AD611D">
        <w:rPr>
          <w:lang w:val="en-GB"/>
        </w:rPr>
        <w:t xml:space="preserve">to </w:t>
      </w:r>
      <w:r w:rsidR="0093563D" w:rsidRPr="00AD611D">
        <w:rPr>
          <w:lang w:val="en-GB"/>
        </w:rPr>
        <w:t xml:space="preserve">record </w:t>
      </w:r>
      <w:r w:rsidR="000C0273" w:rsidRPr="00AD611D">
        <w:rPr>
          <w:lang w:val="en-GB"/>
        </w:rPr>
        <w:t xml:space="preserve">both space heating (SH) and </w:t>
      </w:r>
      <w:r w:rsidR="002D687F">
        <w:rPr>
          <w:lang w:val="en-GB"/>
        </w:rPr>
        <w:t>DHW</w:t>
      </w:r>
      <w:r w:rsidR="000C0273" w:rsidRPr="00AD611D">
        <w:rPr>
          <w:lang w:val="en-GB"/>
        </w:rPr>
        <w:t xml:space="preserve"> demand as well as the supplied energy. </w:t>
      </w:r>
      <w:r w:rsidR="0063754B" w:rsidRPr="00AD611D">
        <w:rPr>
          <w:lang w:val="en-GB"/>
        </w:rPr>
        <w:t>The buildings are characterized by their highly efficient thermal envelopes</w:t>
      </w:r>
      <w:r w:rsidR="0093563D" w:rsidRPr="00AD611D">
        <w:rPr>
          <w:lang w:val="en-GB"/>
        </w:rPr>
        <w:t xml:space="preserve">:  two </w:t>
      </w:r>
      <w:r w:rsidR="0063754B" w:rsidRPr="00AD611D">
        <w:rPr>
          <w:lang w:val="en-GB"/>
        </w:rPr>
        <w:t xml:space="preserve">of the buildings have been certified </w:t>
      </w:r>
      <w:r w:rsidR="0093563D" w:rsidRPr="00AD611D">
        <w:rPr>
          <w:lang w:val="en-GB"/>
        </w:rPr>
        <w:t>acc</w:t>
      </w:r>
      <w:r w:rsidR="002D687F">
        <w:rPr>
          <w:lang w:val="en-GB"/>
        </w:rPr>
        <w:t>ording</w:t>
      </w:r>
      <w:r w:rsidR="002D687F" w:rsidRPr="00AD611D">
        <w:rPr>
          <w:lang w:val="en-GB"/>
        </w:rPr>
        <w:t xml:space="preserve"> </w:t>
      </w:r>
      <w:r w:rsidR="0093563D" w:rsidRPr="00AD611D">
        <w:rPr>
          <w:lang w:val="en-GB"/>
        </w:rPr>
        <w:t>to</w:t>
      </w:r>
      <w:r w:rsidR="0063754B" w:rsidRPr="00AD611D">
        <w:rPr>
          <w:lang w:val="en-GB"/>
        </w:rPr>
        <w:t xml:space="preserve"> </w:t>
      </w:r>
      <w:r w:rsidR="0093563D" w:rsidRPr="00AD611D">
        <w:rPr>
          <w:lang w:val="en-GB"/>
        </w:rPr>
        <w:t>the Passive House</w:t>
      </w:r>
      <w:r w:rsidR="002D687F">
        <w:rPr>
          <w:lang w:val="en-GB"/>
        </w:rPr>
        <w:t xml:space="preserve"> (PH)</w:t>
      </w:r>
      <w:r w:rsidR="0093563D" w:rsidRPr="00AD611D">
        <w:rPr>
          <w:lang w:val="en-GB"/>
        </w:rPr>
        <w:t xml:space="preserve"> </w:t>
      </w:r>
      <w:r w:rsidR="0063754B" w:rsidRPr="00AD611D">
        <w:rPr>
          <w:lang w:val="en-GB"/>
        </w:rPr>
        <w:t>standard</w:t>
      </w:r>
      <w:r w:rsidR="0093563D" w:rsidRPr="00AD611D">
        <w:rPr>
          <w:lang w:val="en-GB"/>
        </w:rPr>
        <w:t xml:space="preserve">, the other two have components in PH quality </w:t>
      </w:r>
      <w:sdt>
        <w:sdtPr>
          <w:rPr>
            <w:lang w:val="en-GB"/>
          </w:rPr>
          <w:tag w:val="MENDELEY_CITATION_v3_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"/>
          <w:id w:val="1831094411"/>
          <w:placeholder>
            <w:docPart w:val="DefaultPlaceholder_-1854013440"/>
          </w:placeholder>
        </w:sdtPr>
        <w:sdtContent>
          <w:r w:rsidR="00A15CA0" w:rsidRPr="00A15CA0">
            <w:rPr>
              <w:lang w:val="en-GB"/>
            </w:rPr>
            <w:t>(Ochs et al., 2025)</w:t>
          </w:r>
        </w:sdtContent>
      </w:sdt>
      <w:r w:rsidR="0063754B" w:rsidRPr="00AD611D">
        <w:rPr>
          <w:lang w:val="en-GB"/>
        </w:rPr>
        <w:t>.</w:t>
      </w:r>
      <w:r w:rsidR="001B1890" w:rsidRPr="00AD611D">
        <w:rPr>
          <w:lang w:val="en-GB"/>
        </w:rPr>
        <w:t xml:space="preserve"> </w:t>
      </w:r>
      <w:r w:rsidR="0093563D" w:rsidRPr="00AD611D">
        <w:rPr>
          <w:lang w:val="en-GB"/>
        </w:rPr>
        <w:t>I</w:t>
      </w:r>
      <w:r w:rsidR="001B1890" w:rsidRPr="00AD611D">
        <w:rPr>
          <w:lang w:val="en-GB"/>
        </w:rPr>
        <w:t>n this contribution</w:t>
      </w:r>
      <w:r w:rsidR="0093563D" w:rsidRPr="00AD611D">
        <w:rPr>
          <w:lang w:val="en-GB"/>
        </w:rPr>
        <w:t xml:space="preserve"> we focus on the DHW distribution</w:t>
      </w:r>
      <w:r w:rsidR="001B1890" w:rsidRPr="00AD611D">
        <w:rPr>
          <w:lang w:val="en-GB"/>
        </w:rPr>
        <w:t xml:space="preserve">. </w:t>
      </w:r>
      <w:r w:rsidRPr="00AD611D">
        <w:rPr>
          <w:lang w:val="en-GB"/>
        </w:rPr>
        <w:t xml:space="preserve"> </w:t>
      </w:r>
      <w:r w:rsidR="00114126" w:rsidRPr="00AD611D">
        <w:rPr>
          <w:lang w:val="en-GB"/>
        </w:rPr>
        <w:t xml:space="preserve">DHW is </w:t>
      </w:r>
      <w:r w:rsidR="00560BA8" w:rsidRPr="00AD611D">
        <w:rPr>
          <w:lang w:val="en-GB"/>
        </w:rPr>
        <w:t xml:space="preserve">supplied </w:t>
      </w:r>
      <w:r w:rsidR="00114126" w:rsidRPr="00AD611D">
        <w:rPr>
          <w:lang w:val="en-GB"/>
        </w:rPr>
        <w:t>by the city</w:t>
      </w:r>
      <w:r w:rsidR="00DC7785" w:rsidRPr="00AD611D">
        <w:rPr>
          <w:lang w:val="en-GB"/>
        </w:rPr>
        <w:t xml:space="preserve"> </w:t>
      </w:r>
      <w:r w:rsidR="00F45997" w:rsidRPr="00AD611D">
        <w:rPr>
          <w:lang w:val="en-GB"/>
        </w:rPr>
        <w:t>district</w:t>
      </w:r>
      <w:r w:rsidR="00114126" w:rsidRPr="00AD611D">
        <w:rPr>
          <w:lang w:val="en-GB"/>
        </w:rPr>
        <w:t xml:space="preserve"> </w:t>
      </w:r>
      <w:r w:rsidR="00F45997" w:rsidRPr="00AD611D">
        <w:rPr>
          <w:lang w:val="en-GB"/>
        </w:rPr>
        <w:t>heat</w:t>
      </w:r>
      <w:r w:rsidR="00114126" w:rsidRPr="00AD611D">
        <w:rPr>
          <w:lang w:val="en-GB"/>
        </w:rPr>
        <w:t>ing</w:t>
      </w:r>
      <w:r w:rsidR="00560BA8" w:rsidRPr="00AD611D">
        <w:rPr>
          <w:lang w:val="en-GB"/>
        </w:rPr>
        <w:t xml:space="preserve"> network through heat exchangers and storages located in the </w:t>
      </w:r>
      <w:r w:rsidR="001309A2" w:rsidRPr="00AD611D">
        <w:rPr>
          <w:lang w:val="en-GB"/>
        </w:rPr>
        <w:t xml:space="preserve">central </w:t>
      </w:r>
      <w:r w:rsidR="00F45997" w:rsidRPr="00AD611D">
        <w:rPr>
          <w:lang w:val="en-GB"/>
        </w:rPr>
        <w:t>technical room</w:t>
      </w:r>
      <w:r w:rsidR="00560BA8" w:rsidRPr="00AD611D">
        <w:rPr>
          <w:lang w:val="en-GB"/>
        </w:rPr>
        <w:t xml:space="preserve">. From there, heat is distributed to </w:t>
      </w:r>
      <w:r w:rsidR="00DC7785" w:rsidRPr="00AD611D">
        <w:rPr>
          <w:lang w:val="en-GB"/>
        </w:rPr>
        <w:t xml:space="preserve">the </w:t>
      </w:r>
      <w:r w:rsidR="00560BA8" w:rsidRPr="00AD611D">
        <w:rPr>
          <w:lang w:val="en-GB"/>
        </w:rPr>
        <w:t xml:space="preserve">buildings, where </w:t>
      </w:r>
      <w:r w:rsidR="0093563D" w:rsidRPr="00AD611D">
        <w:rPr>
          <w:lang w:val="en-GB"/>
        </w:rPr>
        <w:t>apartment-</w:t>
      </w:r>
      <w:r w:rsidR="00F45997" w:rsidRPr="00AD611D">
        <w:rPr>
          <w:lang w:val="en-GB"/>
        </w:rPr>
        <w:t xml:space="preserve">wise FWS </w:t>
      </w:r>
      <w:r w:rsidR="00560BA8" w:rsidRPr="00AD611D">
        <w:rPr>
          <w:lang w:val="en-GB"/>
        </w:rPr>
        <w:t xml:space="preserve">prepare </w:t>
      </w:r>
      <w:r w:rsidR="00F45997" w:rsidRPr="00AD611D">
        <w:rPr>
          <w:lang w:val="en-GB"/>
        </w:rPr>
        <w:t xml:space="preserve">DHW on demand. </w:t>
      </w:r>
    </w:p>
    <w:p w14:paraId="16AE4BB1" w14:textId="330290B7" w:rsidR="00FE7573" w:rsidRPr="00AD611D" w:rsidRDefault="00FE7573" w:rsidP="000C0273">
      <w:pPr>
        <w:pStyle w:val="SWCText"/>
        <w:rPr>
          <w:lang w:val="en-GB"/>
        </w:rPr>
      </w:pPr>
      <w:r w:rsidRPr="00AD611D">
        <w:rPr>
          <w:lang w:val="en-GB"/>
        </w:rPr>
        <w:t xml:space="preserve">The distribution </w:t>
      </w:r>
      <w:r w:rsidR="00C66B70" w:rsidRPr="00AD611D">
        <w:rPr>
          <w:lang w:val="en-GB"/>
        </w:rPr>
        <w:t>pipes</w:t>
      </w:r>
      <w:r w:rsidRPr="00AD611D">
        <w:rPr>
          <w:lang w:val="en-GB"/>
        </w:rPr>
        <w:t xml:space="preserve"> </w:t>
      </w:r>
      <w:r w:rsidR="002D687F">
        <w:rPr>
          <w:lang w:val="en-GB"/>
        </w:rPr>
        <w:t>pass</w:t>
      </w:r>
      <w:r w:rsidR="002D687F" w:rsidRPr="00AD611D">
        <w:rPr>
          <w:lang w:val="en-GB"/>
        </w:rPr>
        <w:t xml:space="preserve"> </w:t>
      </w:r>
      <w:r w:rsidRPr="00AD611D">
        <w:rPr>
          <w:lang w:val="en-GB"/>
        </w:rPr>
        <w:t xml:space="preserve">through three thermally distinct zones, a distinction that is decisive for the attribution of losses. Leaving the technical room, the main distribution </w:t>
      </w:r>
      <w:r w:rsidR="001309A2" w:rsidRPr="00AD611D">
        <w:rPr>
          <w:lang w:val="en-GB"/>
        </w:rPr>
        <w:t>pipes</w:t>
      </w:r>
      <w:r w:rsidRPr="00AD611D">
        <w:rPr>
          <w:lang w:val="en-GB"/>
        </w:rPr>
        <w:t xml:space="preserve"> first run through the basement of Building C, where the first three riser shafts (C1–C3) branch off. It then enters a bicycle storage room on the ground floor of Building C. This room is enclosed by concrete walls, but its openings are unglazed grilles, so it is naturally </w:t>
      </w:r>
      <w:r w:rsidR="00F857FD" w:rsidRPr="00AD611D">
        <w:rPr>
          <w:lang w:val="en-GB"/>
        </w:rPr>
        <w:t>ventilated,</w:t>
      </w:r>
      <w:r w:rsidRPr="00AD611D">
        <w:rPr>
          <w:lang w:val="en-GB"/>
        </w:rPr>
        <w:t xml:space="preserve"> and its air temperature follows ambient conditions closely. A dedicated sensor recorded a mean excess of about 2.5 K over the nearby weather stations</w:t>
      </w:r>
      <w:r w:rsidR="00D66CBC">
        <w:rPr>
          <w:lang w:val="en-GB"/>
        </w:rPr>
        <w:t xml:space="preserve"> (</w:t>
      </w:r>
      <w:r w:rsidR="005253AC" w:rsidRPr="00D66CBC">
        <w:t>Dat</w:t>
      </w:r>
      <w:r w:rsidR="005253AC">
        <w:t>a source</w:t>
      </w:r>
      <w:r w:rsidR="00D66CBC" w:rsidRPr="00D66CBC">
        <w:t xml:space="preserve">: </w:t>
      </w:r>
      <w:sdt>
        <w:sdtPr>
          <w:tag w:val="MENDELEY_CITATION_v3_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"/>
          <w:id w:val="-1804537256"/>
          <w:placeholder>
            <w:docPart w:val="DefaultPlaceholder_-1854013440"/>
          </w:placeholder>
        </w:sdtPr>
        <w:sdtContent>
          <w:r w:rsidR="00A15CA0" w:rsidRPr="00A15CA0">
            <w:t>(</w:t>
          </w:r>
          <w:proofErr w:type="spellStart"/>
          <w:r w:rsidR="00A15CA0" w:rsidRPr="00A15CA0">
            <w:t>GeoSphere</w:t>
          </w:r>
          <w:proofErr w:type="spellEnd"/>
          <w:r w:rsidR="00A15CA0" w:rsidRPr="00A15CA0">
            <w:t xml:space="preserve"> Austria, 2026)</w:t>
          </w:r>
        </w:sdtContent>
      </w:sdt>
      <w:r w:rsidR="00D66CBC" w:rsidRPr="00D66CBC">
        <w:t xml:space="preserve"> - </w:t>
      </w:r>
      <w:proofErr w:type="gramStart"/>
      <w:r w:rsidR="00D66CBC" w:rsidRPr="00D66CBC">
        <w:t>https://data.hub.geosphere.at“</w:t>
      </w:r>
      <w:proofErr w:type="gramEnd"/>
      <w:r w:rsidR="00D66CBC">
        <w:rPr>
          <w:lang w:val="en-GB"/>
        </w:rPr>
        <w:t>)</w:t>
      </w:r>
      <w:r w:rsidRPr="00AD611D">
        <w:rPr>
          <w:lang w:val="en-GB"/>
        </w:rPr>
        <w:t xml:space="preserve">, with the largest deviation in winter. The remaining seven riser shafts (C4–C10) branch off within this </w:t>
      </w:r>
      <w:r w:rsidR="00124763" w:rsidRPr="00AD611D">
        <w:rPr>
          <w:lang w:val="en-GB"/>
        </w:rPr>
        <w:t>storage room</w:t>
      </w:r>
      <w:r w:rsidRPr="00AD611D">
        <w:rPr>
          <w:lang w:val="en-GB"/>
        </w:rPr>
        <w:t xml:space="preserve"> before the main line continues to </w:t>
      </w:r>
      <w:r w:rsidR="00F857FD" w:rsidRPr="00AD611D">
        <w:rPr>
          <w:lang w:val="en-GB"/>
        </w:rPr>
        <w:t>b</w:t>
      </w:r>
      <w:r w:rsidRPr="00AD611D">
        <w:rPr>
          <w:lang w:val="en-GB"/>
        </w:rPr>
        <w:t>uilding D. From the branch-off points, the risers run vertically inside the thermal envelope across five storeys. The FWS are mounted directly at the shafts, so that horizontal distribution inside the apartments is negligible, whereas the FWS themselves are uninsulated. The shafts are sealed with fire barriers at every floor, which prevents direct verification of the associated thermal bridges.</w:t>
      </w:r>
    </w:p>
    <w:p w14:paraId="1016E464" w14:textId="5B6F81AD" w:rsidR="00DC7785" w:rsidRPr="00AD611D" w:rsidRDefault="00560BA8" w:rsidP="000C0273">
      <w:pPr>
        <w:pStyle w:val="SWCText"/>
        <w:rPr>
          <w:lang w:val="en-GB"/>
        </w:rPr>
      </w:pPr>
      <w:r w:rsidRPr="00AD611D">
        <w:rPr>
          <w:lang w:val="en-GB"/>
        </w:rPr>
        <w:t xml:space="preserve">Heat meters were placed at </w:t>
      </w:r>
      <w:r w:rsidR="0093563D" w:rsidRPr="00AD611D">
        <w:rPr>
          <w:lang w:val="en-GB"/>
        </w:rPr>
        <w:t xml:space="preserve">selected </w:t>
      </w:r>
      <w:r w:rsidRPr="00AD611D">
        <w:rPr>
          <w:lang w:val="en-GB"/>
        </w:rPr>
        <w:t xml:space="preserve">points throughout the distribution system to monitor energy flows at technical room-, riser-, and apartment-levels. </w:t>
      </w:r>
      <w:r w:rsidR="000C0273" w:rsidRPr="00AD611D">
        <w:rPr>
          <w:lang w:val="en-GB"/>
        </w:rPr>
        <w:t xml:space="preserve">In </w:t>
      </w:r>
      <w:r w:rsidR="008765E5" w:rsidRPr="00AD611D">
        <w:rPr>
          <w:highlight w:val="yellow"/>
          <w:lang w:val="en-GB"/>
        </w:rPr>
        <w:fldChar w:fldCharType="begin"/>
      </w:r>
      <w:r w:rsidR="008765E5" w:rsidRPr="00AD611D">
        <w:rPr>
          <w:lang w:val="en-GB"/>
        </w:rPr>
        <w:instrText xml:space="preserve"> REF _Ref223343080 \h </w:instrText>
      </w:r>
      <w:r w:rsidR="008765E5" w:rsidRPr="00AD611D">
        <w:rPr>
          <w:highlight w:val="yellow"/>
          <w:lang w:val="en-GB"/>
        </w:rPr>
      </w:r>
      <w:r w:rsidR="008765E5" w:rsidRPr="00AD611D">
        <w:rPr>
          <w:highlight w:val="yellow"/>
          <w:lang w:val="en-GB"/>
        </w:rPr>
        <w:fldChar w:fldCharType="separate"/>
      </w:r>
      <w:r w:rsidR="000805D6" w:rsidRPr="00AD611D">
        <w:rPr>
          <w:lang w:val="en-GB"/>
        </w:rPr>
        <w:t xml:space="preserve">Fig. </w:t>
      </w:r>
      <w:r w:rsidR="000805D6">
        <w:rPr>
          <w:noProof/>
          <w:lang w:val="en-GB"/>
        </w:rPr>
        <w:t>1</w:t>
      </w:r>
      <w:r w:rsidR="008765E5" w:rsidRPr="00AD611D">
        <w:rPr>
          <w:highlight w:val="yellow"/>
          <w:lang w:val="en-GB"/>
        </w:rPr>
        <w:fldChar w:fldCharType="end"/>
      </w:r>
      <w:r w:rsidR="000C0273" w:rsidRPr="00AD611D">
        <w:rPr>
          <w:lang w:val="en-GB"/>
        </w:rPr>
        <w:t xml:space="preserve">, the </w:t>
      </w:r>
      <w:r w:rsidR="00F60D49" w:rsidRPr="00AD611D">
        <w:rPr>
          <w:lang w:val="en-GB"/>
        </w:rPr>
        <w:t>DHW</w:t>
      </w:r>
      <w:r w:rsidR="000C0273" w:rsidRPr="00AD611D">
        <w:rPr>
          <w:lang w:val="en-GB"/>
        </w:rPr>
        <w:t xml:space="preserve"> </w:t>
      </w:r>
      <w:r w:rsidR="00F60D49" w:rsidRPr="00AD611D">
        <w:rPr>
          <w:lang w:val="en-GB"/>
        </w:rPr>
        <w:t xml:space="preserve">distribution </w:t>
      </w:r>
      <w:r w:rsidR="000C0273" w:rsidRPr="00AD611D">
        <w:rPr>
          <w:lang w:val="en-GB"/>
        </w:rPr>
        <w:t xml:space="preserve">system </w:t>
      </w:r>
      <w:r w:rsidR="00F60D49" w:rsidRPr="00AD611D">
        <w:rPr>
          <w:lang w:val="en-GB"/>
        </w:rPr>
        <w:t>a</w:t>
      </w:r>
      <w:r w:rsidR="000C0273" w:rsidRPr="00AD611D">
        <w:rPr>
          <w:lang w:val="en-GB"/>
        </w:rPr>
        <w:t>n</w:t>
      </w:r>
      <w:r w:rsidR="00F60D49" w:rsidRPr="00AD611D">
        <w:rPr>
          <w:lang w:val="en-GB"/>
        </w:rPr>
        <w:t>d</w:t>
      </w:r>
      <w:r w:rsidR="000C0273" w:rsidRPr="00AD611D">
        <w:rPr>
          <w:lang w:val="en-GB"/>
        </w:rPr>
        <w:t xml:space="preserve"> the technical room, including the monitoring concept, is </w:t>
      </w:r>
      <w:r w:rsidR="00114126" w:rsidRPr="00AD611D">
        <w:rPr>
          <w:lang w:val="en-GB"/>
        </w:rPr>
        <w:t>presented</w:t>
      </w:r>
      <w:r w:rsidR="000C0273" w:rsidRPr="00AD611D">
        <w:rPr>
          <w:lang w:val="en-GB"/>
        </w:rPr>
        <w:t xml:space="preserve">. </w:t>
      </w:r>
      <w:r w:rsidR="00C3396F" w:rsidRPr="00AD611D">
        <w:rPr>
          <w:lang w:val="en-GB"/>
        </w:rPr>
        <w:t>B</w:t>
      </w:r>
      <w:r w:rsidR="000C0273" w:rsidRPr="00AD611D">
        <w:rPr>
          <w:lang w:val="en-GB"/>
        </w:rPr>
        <w:t>uilding</w:t>
      </w:r>
      <w:r w:rsidR="00C3396F" w:rsidRPr="00AD611D">
        <w:rPr>
          <w:lang w:val="en-GB"/>
        </w:rPr>
        <w:t xml:space="preserve"> C</w:t>
      </w:r>
      <w:r w:rsidR="000C0273" w:rsidRPr="00AD611D">
        <w:rPr>
          <w:lang w:val="en-GB"/>
        </w:rPr>
        <w:t xml:space="preserve"> </w:t>
      </w:r>
      <w:r w:rsidRPr="00AD611D">
        <w:rPr>
          <w:lang w:val="en-GB"/>
        </w:rPr>
        <w:t xml:space="preserve">is </w:t>
      </w:r>
      <w:r w:rsidR="000C0273" w:rsidRPr="00AD611D">
        <w:rPr>
          <w:lang w:val="en-GB"/>
        </w:rPr>
        <w:t xml:space="preserve">monitored in greater detail, with </w:t>
      </w:r>
      <w:r w:rsidR="0068749C" w:rsidRPr="00AD611D">
        <w:rPr>
          <w:lang w:val="en-GB"/>
        </w:rPr>
        <w:t>apartment</w:t>
      </w:r>
      <w:r w:rsidRPr="00AD611D">
        <w:rPr>
          <w:lang w:val="en-GB"/>
        </w:rPr>
        <w:t xml:space="preserve"> temperature sensors and </w:t>
      </w:r>
      <w:r w:rsidR="000C0273" w:rsidRPr="00AD611D">
        <w:rPr>
          <w:lang w:val="en-GB"/>
        </w:rPr>
        <w:t xml:space="preserve">heat meters installed at every apartment’s FWS. This configuration allowed an exact determination of user </w:t>
      </w:r>
      <w:r w:rsidR="001463DE" w:rsidRPr="00AD611D">
        <w:rPr>
          <w:lang w:val="en-GB"/>
        </w:rPr>
        <w:t xml:space="preserve">DHW </w:t>
      </w:r>
      <w:r w:rsidR="000C0273" w:rsidRPr="00AD611D">
        <w:rPr>
          <w:lang w:val="en-GB"/>
        </w:rPr>
        <w:t>demand</w:t>
      </w:r>
      <w:r w:rsidR="00A173EA" w:rsidRPr="00AD611D">
        <w:rPr>
          <w:lang w:val="en-GB"/>
        </w:rPr>
        <w:t xml:space="preserve">, internal </w:t>
      </w:r>
      <w:r w:rsidR="0068749C" w:rsidRPr="00AD611D">
        <w:rPr>
          <w:lang w:val="en-GB"/>
        </w:rPr>
        <w:t>apartment</w:t>
      </w:r>
      <w:r w:rsidR="00DC7785" w:rsidRPr="00AD611D">
        <w:rPr>
          <w:lang w:val="en-GB"/>
        </w:rPr>
        <w:t xml:space="preserve"> </w:t>
      </w:r>
      <w:r w:rsidR="00A173EA" w:rsidRPr="00AD611D">
        <w:rPr>
          <w:lang w:val="en-GB"/>
        </w:rPr>
        <w:t>temperatures</w:t>
      </w:r>
      <w:r w:rsidR="000C0273" w:rsidRPr="00AD611D">
        <w:rPr>
          <w:lang w:val="en-GB"/>
        </w:rPr>
        <w:t xml:space="preserve"> and, together with the heat meters</w:t>
      </w:r>
      <w:r w:rsidR="008765B8" w:rsidRPr="00AD611D">
        <w:rPr>
          <w:lang w:val="en-GB"/>
        </w:rPr>
        <w:t xml:space="preserve"> in the main distribution pipes</w:t>
      </w:r>
      <w:r w:rsidR="000C0273" w:rsidRPr="00AD611D">
        <w:rPr>
          <w:lang w:val="en-GB"/>
        </w:rPr>
        <w:t xml:space="preserve">, enabled </w:t>
      </w:r>
      <w:r w:rsidR="00A173EA" w:rsidRPr="00AD611D">
        <w:rPr>
          <w:lang w:val="en-GB"/>
        </w:rPr>
        <w:t>detailed analysis</w:t>
      </w:r>
      <w:r w:rsidR="000C0273" w:rsidRPr="00AD611D">
        <w:rPr>
          <w:lang w:val="en-GB"/>
        </w:rPr>
        <w:t xml:space="preserve"> of distribution losses</w:t>
      </w:r>
      <w:r w:rsidR="00245AA6" w:rsidRPr="00AD611D">
        <w:rPr>
          <w:lang w:val="en-GB"/>
        </w:rPr>
        <w:t xml:space="preserve"> </w:t>
      </w:r>
      <w:r w:rsidR="000C0273" w:rsidRPr="00AD611D">
        <w:rPr>
          <w:lang w:val="en-GB"/>
        </w:rPr>
        <w:t>along the network.</w:t>
      </w:r>
      <w:r w:rsidR="00730733" w:rsidRPr="00AD611D">
        <w:rPr>
          <w:lang w:val="en-GB"/>
        </w:rPr>
        <w:t xml:space="preserve"> </w:t>
      </w:r>
      <w:r w:rsidR="00245AA6" w:rsidRPr="00AD611D">
        <w:rPr>
          <w:lang w:val="en-GB"/>
        </w:rPr>
        <w:t xml:space="preserve">To better capture transient </w:t>
      </w:r>
      <w:r w:rsidR="00F857FD" w:rsidRPr="00AD611D">
        <w:rPr>
          <w:lang w:val="en-GB"/>
        </w:rPr>
        <w:t>behaviour</w:t>
      </w:r>
      <w:r w:rsidR="00245AA6" w:rsidRPr="00AD611D">
        <w:rPr>
          <w:lang w:val="en-GB"/>
        </w:rPr>
        <w:t xml:space="preserve"> and bypass operation, high</w:t>
      </w:r>
      <w:r w:rsidR="00245AA6" w:rsidRPr="00AD611D">
        <w:rPr>
          <w:lang w:val="en-GB"/>
        </w:rPr>
        <w:noBreakHyphen/>
        <w:t xml:space="preserve">resolution temperature sensors were added (see yellow points in </w:t>
      </w:r>
      <w:r w:rsidR="008765E5" w:rsidRPr="00AD611D">
        <w:rPr>
          <w:highlight w:val="yellow"/>
          <w:lang w:val="en-GB"/>
        </w:rPr>
        <w:fldChar w:fldCharType="begin"/>
      </w:r>
      <w:r w:rsidR="008765E5" w:rsidRPr="00AD611D">
        <w:rPr>
          <w:lang w:val="en-GB"/>
        </w:rPr>
        <w:instrText xml:space="preserve"> REF _Ref223343080 \h </w:instrText>
      </w:r>
      <w:r w:rsidR="008765E5" w:rsidRPr="00AD611D">
        <w:rPr>
          <w:highlight w:val="yellow"/>
          <w:lang w:val="en-GB"/>
        </w:rPr>
      </w:r>
      <w:r w:rsidR="008765E5" w:rsidRPr="00AD611D">
        <w:rPr>
          <w:highlight w:val="yellow"/>
          <w:lang w:val="en-GB"/>
        </w:rPr>
        <w:fldChar w:fldCharType="separate"/>
      </w:r>
      <w:r w:rsidR="000805D6" w:rsidRPr="00AD611D">
        <w:rPr>
          <w:lang w:val="en-GB"/>
        </w:rPr>
        <w:t xml:space="preserve">Fig. </w:t>
      </w:r>
      <w:r w:rsidR="000805D6">
        <w:rPr>
          <w:noProof/>
          <w:lang w:val="en-GB"/>
        </w:rPr>
        <w:t>1</w:t>
      </w:r>
      <w:r w:rsidR="008765E5" w:rsidRPr="00AD611D">
        <w:rPr>
          <w:highlight w:val="yellow"/>
          <w:lang w:val="en-GB"/>
        </w:rPr>
        <w:fldChar w:fldCharType="end"/>
      </w:r>
      <w:r w:rsidR="00F10EBD">
        <w:rPr>
          <w:lang w:val="en-GB"/>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371"/>
        <w:gridCol w:w="1396"/>
      </w:tblGrid>
      <w:tr w:rsidR="00DC7785" w:rsidRPr="00AD611D" w14:paraId="667AEA15" w14:textId="77777777" w:rsidTr="00056172">
        <w:tc>
          <w:tcPr>
            <w:tcW w:w="8767" w:type="dxa"/>
            <w:gridSpan w:val="2"/>
          </w:tcPr>
          <w:p w14:paraId="34A985B3" w14:textId="24F7E4DB" w:rsidR="00DC7785" w:rsidRPr="00AD611D" w:rsidRDefault="00DC7785" w:rsidP="00DC7785">
            <w:pPr>
              <w:pStyle w:val="SWCTableFigureCaption"/>
              <w:spacing w:before="0" w:after="0"/>
              <w:rPr>
                <w:lang w:val="en-GB"/>
              </w:rPr>
            </w:pPr>
            <w:r w:rsidRPr="00AD611D">
              <w:rPr>
                <w:noProof/>
                <w:lang w:val="en-GB"/>
              </w:rPr>
              <w:drawing>
                <wp:inline distT="0" distB="0" distL="0" distR="0" wp14:anchorId="55137A3A" wp14:editId="57AA0B12">
                  <wp:extent cx="5496538" cy="1611517"/>
                  <wp:effectExtent l="0" t="0" r="0" b="825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rotWithShape="1">
                          <a:blip r:embed="rId8">
                            <a:extLst>
                              <a:ext uri="{96DAC541-7B7A-43D3-8B79-37D633B846F1}">
                                <asvg:svgBlip xmlns:asvg="http://schemas.microsoft.com/office/drawing/2016/SVG/main" r:embed="rId9"/>
                              </a:ext>
                            </a:extLst>
                          </a:blip>
                          <a:srcRect l="2901" t="33240" r="15712" b="24339"/>
                          <a:stretch/>
                        </pic:blipFill>
                        <pic:spPr bwMode="auto">
                          <a:xfrm>
                            <a:off x="0" y="0"/>
                            <a:ext cx="5524219" cy="1619633"/>
                          </a:xfrm>
                          <a:prstGeom prst="rect">
                            <a:avLst/>
                          </a:prstGeom>
                          <a:ln>
                            <a:noFill/>
                          </a:ln>
                          <a:extLst>
                            <a:ext uri="{53640926-AAD7-44D8-BBD7-CCE9431645EC}">
                              <a14:shadowObscured xmlns:a14="http://schemas.microsoft.com/office/drawing/2010/main"/>
                            </a:ext>
                          </a:extLst>
                        </pic:spPr>
                      </pic:pic>
                    </a:graphicData>
                  </a:graphic>
                </wp:inline>
              </w:drawing>
            </w:r>
          </w:p>
        </w:tc>
      </w:tr>
      <w:tr w:rsidR="00DC7785" w:rsidRPr="00AD611D" w14:paraId="1FD7930C" w14:textId="77777777" w:rsidTr="00056172">
        <w:tc>
          <w:tcPr>
            <w:tcW w:w="7371" w:type="dxa"/>
          </w:tcPr>
          <w:p w14:paraId="6E4AAA47" w14:textId="3F6A87AD" w:rsidR="00DC7785" w:rsidRPr="00AD611D" w:rsidRDefault="00DC7785" w:rsidP="00DC7785">
            <w:pPr>
              <w:pStyle w:val="SWCTableFigureCaption"/>
              <w:spacing w:before="0" w:after="0"/>
              <w:rPr>
                <w:lang w:val="en-GB"/>
              </w:rPr>
            </w:pPr>
            <w:r w:rsidRPr="00AD611D">
              <w:rPr>
                <w:lang w:val="en-GB"/>
              </w:rPr>
              <w:t>a)</w:t>
            </w:r>
          </w:p>
        </w:tc>
        <w:tc>
          <w:tcPr>
            <w:tcW w:w="1396" w:type="dxa"/>
          </w:tcPr>
          <w:p w14:paraId="14732177" w14:textId="09CC870B" w:rsidR="00DC7785" w:rsidRPr="00AD611D" w:rsidRDefault="00DC7785" w:rsidP="00DC7785">
            <w:pPr>
              <w:pStyle w:val="SWCTableFigureCaption"/>
              <w:spacing w:before="0" w:after="0"/>
              <w:rPr>
                <w:lang w:val="en-GB"/>
              </w:rPr>
            </w:pPr>
            <w:r w:rsidRPr="00AD611D">
              <w:rPr>
                <w:lang w:val="en-GB"/>
              </w:rPr>
              <w:t>b)</w:t>
            </w:r>
          </w:p>
        </w:tc>
      </w:tr>
    </w:tbl>
    <w:p w14:paraId="3FFFCB46" w14:textId="36028D53" w:rsidR="008765E5" w:rsidRPr="00AD611D" w:rsidRDefault="008765E5" w:rsidP="008765E5">
      <w:pPr>
        <w:pStyle w:val="SWCTableFigureCaption"/>
        <w:rPr>
          <w:lang w:val="en-GB"/>
        </w:rPr>
      </w:pPr>
      <w:bookmarkStart w:id="4" w:name="_Ref223343080"/>
      <w:r w:rsidRPr="00AD611D">
        <w:rPr>
          <w:lang w:val="en-GB"/>
        </w:rPr>
        <w:t xml:space="preserve">Fig. </w:t>
      </w:r>
      <w:r w:rsidRPr="00AD611D">
        <w:rPr>
          <w:lang w:val="en-GB"/>
        </w:rPr>
        <w:fldChar w:fldCharType="begin"/>
      </w:r>
      <w:r w:rsidRPr="00AD611D">
        <w:rPr>
          <w:lang w:val="en-GB"/>
        </w:rPr>
        <w:instrText xml:space="preserve"> SEQ Fig. \* ARABIC </w:instrText>
      </w:r>
      <w:r w:rsidRPr="00AD611D">
        <w:rPr>
          <w:lang w:val="en-GB"/>
        </w:rPr>
        <w:fldChar w:fldCharType="separate"/>
      </w:r>
      <w:r w:rsidR="000805D6">
        <w:rPr>
          <w:noProof/>
          <w:lang w:val="en-GB"/>
        </w:rPr>
        <w:t>1</w:t>
      </w:r>
      <w:r w:rsidRPr="00AD611D">
        <w:rPr>
          <w:lang w:val="en-GB"/>
        </w:rPr>
        <w:fldChar w:fldCharType="end"/>
      </w:r>
      <w:bookmarkEnd w:id="4"/>
      <w:r w:rsidR="00DC7785" w:rsidRPr="00AD611D">
        <w:rPr>
          <w:lang w:val="en-GB"/>
        </w:rPr>
        <w:t>(a)</w:t>
      </w:r>
      <w:r w:rsidRPr="00AD611D">
        <w:rPr>
          <w:lang w:val="en-GB"/>
        </w:rPr>
        <w:t xml:space="preserve">: </w:t>
      </w:r>
      <w:r w:rsidR="0093563D" w:rsidRPr="00AD611D">
        <w:rPr>
          <w:lang w:val="en-GB"/>
        </w:rPr>
        <w:t xml:space="preserve">Scheme of the monitoring </w:t>
      </w:r>
      <w:r w:rsidRPr="00AD611D">
        <w:rPr>
          <w:lang w:val="en-GB"/>
        </w:rPr>
        <w:t xml:space="preserve">of </w:t>
      </w:r>
      <w:r w:rsidR="0093563D" w:rsidRPr="00AD611D">
        <w:rPr>
          <w:lang w:val="en-GB"/>
        </w:rPr>
        <w:t xml:space="preserve">the </w:t>
      </w:r>
      <w:r w:rsidRPr="00AD611D">
        <w:rPr>
          <w:lang w:val="en-GB"/>
        </w:rPr>
        <w:t>central technical room and</w:t>
      </w:r>
      <w:r w:rsidR="0093563D" w:rsidRPr="00AD611D">
        <w:rPr>
          <w:lang w:val="en-GB"/>
        </w:rPr>
        <w:t xml:space="preserve"> the</w:t>
      </w:r>
      <w:r w:rsidRPr="00AD611D">
        <w:rPr>
          <w:lang w:val="en-GB"/>
        </w:rPr>
        <w:t xml:space="preserve"> DHW distribution system supplying buildings A, B, C and D</w:t>
      </w:r>
      <w:r w:rsidR="00DC7785" w:rsidRPr="00AD611D">
        <w:rPr>
          <w:lang w:val="en-GB"/>
        </w:rPr>
        <w:t>; (b):</w:t>
      </w:r>
      <w:r w:rsidRPr="00AD611D">
        <w:rPr>
          <w:lang w:val="en-GB"/>
        </w:rPr>
        <w:t xml:space="preserve"> detailed view on riser shaft group C6 &amp; C7 in Building C</w:t>
      </w:r>
    </w:p>
    <w:p w14:paraId="643BD160" w14:textId="2BBE326E" w:rsidR="00C11060" w:rsidRPr="00AD611D" w:rsidRDefault="003114FC" w:rsidP="003114FC">
      <w:pPr>
        <w:pStyle w:val="EuroSunText"/>
        <w:rPr>
          <w:lang w:val="en-GB"/>
        </w:rPr>
      </w:pPr>
      <w:r w:rsidRPr="00AD611D">
        <w:rPr>
          <w:lang w:val="en-GB"/>
        </w:rPr>
        <w:fldChar w:fldCharType="begin"/>
      </w:r>
      <w:r w:rsidRPr="00AD611D">
        <w:rPr>
          <w:lang w:val="en-GB"/>
        </w:rPr>
        <w:instrText xml:space="preserve"> REF _Ref238818774 \h  \* MERGEFORMAT </w:instrText>
      </w:r>
      <w:r w:rsidRPr="00AD611D">
        <w:rPr>
          <w:lang w:val="en-GB"/>
        </w:rPr>
      </w:r>
      <w:r w:rsidRPr="00AD611D">
        <w:rPr>
          <w:lang w:val="en-GB"/>
        </w:rPr>
        <w:fldChar w:fldCharType="separate"/>
      </w:r>
      <w:r w:rsidR="000805D6" w:rsidRPr="000805D6">
        <w:rPr>
          <w:lang w:val="en-GB"/>
        </w:rPr>
        <w:t>Tab.1</w:t>
      </w:r>
      <w:r w:rsidRPr="00AD611D">
        <w:rPr>
          <w:lang w:val="en-GB"/>
        </w:rPr>
        <w:fldChar w:fldCharType="end"/>
      </w:r>
      <w:r w:rsidRPr="00AD611D">
        <w:rPr>
          <w:lang w:val="en-GB"/>
        </w:rPr>
        <w:t xml:space="preserve"> </w:t>
      </w:r>
      <w:r w:rsidR="0033793D" w:rsidRPr="00AD611D">
        <w:rPr>
          <w:lang w:val="en-GB"/>
        </w:rPr>
        <w:t xml:space="preserve">summarises the metering equipment, its logging intervals, resolutions and accuracy classes. Two characteristics of the installation are relevant for the analysis presented below. First, the heat meters log cumulative energy in whole kilowatt-hours only. For an individual apartment meter this quantisation is of the </w:t>
      </w:r>
      <w:r w:rsidR="0033793D" w:rsidRPr="00AD611D">
        <w:rPr>
          <w:lang w:val="en-GB"/>
        </w:rPr>
        <w:lastRenderedPageBreak/>
        <w:t xml:space="preserve">same order as the energy recorded during a single tapping event, so short-interval evaluations at apartment level are inherently coarse; the resulting uncertainty is limited to ±1 kWh per meter and reading, however, and therefore becomes negligible when energy is evaluated as the difference between two counter readings over longer periods. Second, the meters are not synchronised with each other, and their logging intervals differ between measurement points. </w:t>
      </w:r>
      <w:r w:rsidR="006D6A34" w:rsidRPr="00AD611D">
        <w:rPr>
          <w:lang w:val="en-GB"/>
        </w:rPr>
        <w:t>All timeseries were therefore harmonised to a common time base before any difference between meters was formed, as described in Section 3.</w:t>
      </w:r>
    </w:p>
    <w:p w14:paraId="6A4BB533" w14:textId="1BDCA873" w:rsidR="0033793D" w:rsidRPr="00AD611D" w:rsidRDefault="0033793D" w:rsidP="00877596">
      <w:pPr>
        <w:pStyle w:val="SWCTableFigureCaption"/>
        <w:rPr>
          <w:i/>
          <w:iCs/>
          <w:lang w:val="en-GB"/>
        </w:rPr>
      </w:pPr>
      <w:bookmarkStart w:id="5" w:name="_Ref238818774"/>
      <w:r w:rsidRPr="00AD611D">
        <w:rPr>
          <w:i/>
          <w:iCs/>
          <w:lang w:val="en-GB"/>
        </w:rPr>
        <w:t>Tab.</w:t>
      </w:r>
      <w:r w:rsidRPr="00AD611D">
        <w:rPr>
          <w:i/>
          <w:iCs/>
          <w:lang w:val="en-GB"/>
        </w:rPr>
        <w:fldChar w:fldCharType="begin"/>
      </w:r>
      <w:r w:rsidRPr="00AD611D">
        <w:rPr>
          <w:i/>
          <w:iCs/>
          <w:lang w:val="en-GB"/>
        </w:rPr>
        <w:instrText xml:space="preserve"> SEQ Tab._ \* ARABIC </w:instrText>
      </w:r>
      <w:r w:rsidRPr="00AD611D">
        <w:rPr>
          <w:i/>
          <w:iCs/>
          <w:lang w:val="en-GB"/>
        </w:rPr>
        <w:fldChar w:fldCharType="separate"/>
      </w:r>
      <w:r w:rsidR="000805D6">
        <w:rPr>
          <w:i/>
          <w:iCs/>
          <w:noProof/>
          <w:lang w:val="en-GB"/>
        </w:rPr>
        <w:t>1</w:t>
      </w:r>
      <w:r w:rsidRPr="00AD611D">
        <w:rPr>
          <w:i/>
          <w:iCs/>
          <w:lang w:val="en-GB"/>
        </w:rPr>
        <w:fldChar w:fldCharType="end"/>
      </w:r>
      <w:bookmarkEnd w:id="5"/>
      <w:r w:rsidRPr="00AD611D">
        <w:rPr>
          <w:i/>
          <w:iCs/>
          <w:lang w:val="en-GB"/>
        </w:rPr>
        <w:t xml:space="preserve">: </w:t>
      </w:r>
      <w:r w:rsidR="00D7610C" w:rsidRPr="00AD611D">
        <w:rPr>
          <w:lang w:val="en-GB"/>
        </w:rPr>
        <w:t>Metering equipment in the DHW distribution system of Building C: logging intervals, accuracy and resolution. Heat meter accuracy classes refer to EN 1434</w:t>
      </w:r>
    </w:p>
    <w:tbl>
      <w:tblPr>
        <w:tblStyle w:val="Tabellenraster"/>
        <w:tblW w:w="8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9"/>
        <w:gridCol w:w="2437"/>
        <w:gridCol w:w="2437"/>
        <w:gridCol w:w="2077"/>
      </w:tblGrid>
      <w:tr w:rsidR="00D7610C" w:rsidRPr="00AD611D" w14:paraId="1D46F37E" w14:textId="77777777" w:rsidTr="007B63F2">
        <w:trPr>
          <w:cantSplit/>
          <w:trHeight w:val="20"/>
        </w:trPr>
        <w:tc>
          <w:tcPr>
            <w:tcW w:w="1859" w:type="dxa"/>
            <w:tcBorders>
              <w:top w:val="single" w:sz="4" w:space="0" w:color="auto"/>
              <w:bottom w:val="single" w:sz="4" w:space="0" w:color="auto"/>
            </w:tcBorders>
          </w:tcPr>
          <w:p w14:paraId="53F79707" w14:textId="77777777" w:rsidR="00D6293D" w:rsidRPr="00AD611D" w:rsidRDefault="00D6293D" w:rsidP="00C11060">
            <w:pPr>
              <w:pStyle w:val="SWCTableText"/>
              <w:keepNext/>
            </w:pPr>
          </w:p>
        </w:tc>
        <w:tc>
          <w:tcPr>
            <w:tcW w:w="2437" w:type="dxa"/>
            <w:tcBorders>
              <w:top w:val="single" w:sz="4" w:space="0" w:color="auto"/>
              <w:bottom w:val="single" w:sz="4" w:space="0" w:color="auto"/>
            </w:tcBorders>
          </w:tcPr>
          <w:p w14:paraId="69880BDC" w14:textId="77777777" w:rsidR="00D6293D" w:rsidRPr="00AD611D" w:rsidRDefault="0033793D" w:rsidP="00C11060">
            <w:pPr>
              <w:pStyle w:val="SWCTableHeader"/>
              <w:keepNext/>
            </w:pPr>
            <w:r w:rsidRPr="00AD611D">
              <w:t>Logging intervals</w:t>
            </w:r>
          </w:p>
          <w:p w14:paraId="5C69C92C" w14:textId="11413FFB" w:rsidR="0057140B" w:rsidRPr="00AD611D" w:rsidRDefault="0057140B" w:rsidP="00C11060">
            <w:pPr>
              <w:pStyle w:val="SWCTableHeader"/>
              <w:keepNext/>
              <w:rPr>
                <w:b w:val="0"/>
                <w:bCs w:val="0"/>
              </w:rPr>
            </w:pPr>
            <w:r w:rsidRPr="00AD611D">
              <w:rPr>
                <w:b w:val="0"/>
                <w:bCs w:val="0"/>
              </w:rPr>
              <w:t>[</w:t>
            </w:r>
            <w:proofErr w:type="spellStart"/>
            <w:proofErr w:type="gramStart"/>
            <w:r w:rsidRPr="00AD611D">
              <w:rPr>
                <w:b w:val="0"/>
                <w:bCs w:val="0"/>
              </w:rPr>
              <w:t>mm:ss</w:t>
            </w:r>
            <w:proofErr w:type="spellEnd"/>
            <w:proofErr w:type="gramEnd"/>
            <w:r w:rsidRPr="00AD611D">
              <w:rPr>
                <w:b w:val="0"/>
                <w:bCs w:val="0"/>
              </w:rPr>
              <w:t>]</w:t>
            </w:r>
          </w:p>
        </w:tc>
        <w:tc>
          <w:tcPr>
            <w:tcW w:w="2437" w:type="dxa"/>
            <w:tcBorders>
              <w:top w:val="single" w:sz="4" w:space="0" w:color="auto"/>
              <w:bottom w:val="single" w:sz="4" w:space="0" w:color="auto"/>
            </w:tcBorders>
          </w:tcPr>
          <w:p w14:paraId="615790D2" w14:textId="49C26419" w:rsidR="00D6293D" w:rsidRPr="00AD611D" w:rsidRDefault="0033793D" w:rsidP="00C11060">
            <w:pPr>
              <w:pStyle w:val="SWCTableHeader"/>
              <w:keepNext/>
            </w:pPr>
            <w:r w:rsidRPr="00AD611D">
              <w:t>Accuracy</w:t>
            </w:r>
          </w:p>
        </w:tc>
        <w:tc>
          <w:tcPr>
            <w:tcW w:w="2077" w:type="dxa"/>
            <w:tcBorders>
              <w:top w:val="single" w:sz="4" w:space="0" w:color="auto"/>
              <w:bottom w:val="single" w:sz="4" w:space="0" w:color="auto"/>
            </w:tcBorders>
          </w:tcPr>
          <w:p w14:paraId="775BC172" w14:textId="1B06E170" w:rsidR="00D6293D" w:rsidRPr="00AD611D" w:rsidRDefault="0057140B" w:rsidP="00C11060">
            <w:pPr>
              <w:pStyle w:val="SWCTableHeader"/>
              <w:keepNext/>
            </w:pPr>
            <w:r w:rsidRPr="00AD611D">
              <w:t>R</w:t>
            </w:r>
            <w:r w:rsidR="00D6293D" w:rsidRPr="00AD611D">
              <w:t>esolution(s)</w:t>
            </w:r>
          </w:p>
        </w:tc>
      </w:tr>
      <w:tr w:rsidR="00D31F4A" w:rsidRPr="00AD611D" w14:paraId="225C6337" w14:textId="77777777" w:rsidTr="007B63F2">
        <w:trPr>
          <w:cantSplit/>
          <w:trHeight w:val="20"/>
        </w:trPr>
        <w:tc>
          <w:tcPr>
            <w:tcW w:w="1859" w:type="dxa"/>
            <w:tcBorders>
              <w:top w:val="single" w:sz="4" w:space="0" w:color="auto"/>
            </w:tcBorders>
            <w:vAlign w:val="center"/>
          </w:tcPr>
          <w:p w14:paraId="72A88872" w14:textId="7671A734" w:rsidR="00D6293D" w:rsidRPr="00AD611D" w:rsidRDefault="00D6293D" w:rsidP="00C11060">
            <w:pPr>
              <w:pStyle w:val="SWCTableText"/>
              <w:keepNext/>
            </w:pPr>
            <w:r w:rsidRPr="00AD611D">
              <w:t>Distribution HM</w:t>
            </w:r>
          </w:p>
        </w:tc>
        <w:tc>
          <w:tcPr>
            <w:tcW w:w="2437" w:type="dxa"/>
            <w:tcBorders>
              <w:top w:val="single" w:sz="4" w:space="0" w:color="auto"/>
            </w:tcBorders>
            <w:vAlign w:val="center"/>
          </w:tcPr>
          <w:p w14:paraId="46876E08" w14:textId="4D6508E2" w:rsidR="00D6293D" w:rsidRPr="00AD611D" w:rsidRDefault="00D6293D" w:rsidP="00C11060">
            <w:pPr>
              <w:pStyle w:val="SWCTableText"/>
              <w:keepNext/>
            </w:pPr>
            <w:r w:rsidRPr="00AD611D">
              <w:t>15</w:t>
            </w:r>
            <w:r w:rsidR="0057140B" w:rsidRPr="00AD611D">
              <w:t>:00</w:t>
            </w:r>
          </w:p>
        </w:tc>
        <w:tc>
          <w:tcPr>
            <w:tcW w:w="2437" w:type="dxa"/>
            <w:tcBorders>
              <w:top w:val="single" w:sz="4" w:space="0" w:color="auto"/>
            </w:tcBorders>
            <w:vAlign w:val="center"/>
          </w:tcPr>
          <w:p w14:paraId="5495030B" w14:textId="67B76B0E" w:rsidR="00D6293D" w:rsidRPr="00AD611D" w:rsidRDefault="00D7610C" w:rsidP="00C11060">
            <w:pPr>
              <w:pStyle w:val="SWCTableText"/>
              <w:keepNext/>
            </w:pPr>
            <w:r w:rsidRPr="00AD611D">
              <w:t xml:space="preserve">class </w:t>
            </w:r>
            <w:r w:rsidR="0033793D" w:rsidRPr="00AD611D">
              <w:t>2</w:t>
            </w:r>
          </w:p>
        </w:tc>
        <w:tc>
          <w:tcPr>
            <w:tcW w:w="2077" w:type="dxa"/>
            <w:tcBorders>
              <w:top w:val="single" w:sz="4" w:space="0" w:color="auto"/>
            </w:tcBorders>
            <w:vAlign w:val="center"/>
          </w:tcPr>
          <w:p w14:paraId="73A2AA8A" w14:textId="3E4AC892" w:rsidR="00D6293D" w:rsidRPr="00AD611D" w:rsidRDefault="00D6293D" w:rsidP="00C11060">
            <w:pPr>
              <w:pStyle w:val="SWCTableText"/>
              <w:keepNext/>
            </w:pPr>
            <w:r w:rsidRPr="00AD611D">
              <w:t>1</w:t>
            </w:r>
            <w:r w:rsidR="00802F4F" w:rsidRPr="00AD611D">
              <w:t>0</w:t>
            </w:r>
            <w:r w:rsidRPr="00AD611D">
              <w:t xml:space="preserve"> W; 1 kWh; 0.1 K; 0.01 m³</w:t>
            </w:r>
            <w:r w:rsidR="006807D4">
              <w:t xml:space="preserve"> </w:t>
            </w:r>
            <w:r w:rsidRPr="00AD611D">
              <w:t>h</w:t>
            </w:r>
            <w:r w:rsidR="006807D4" w:rsidRPr="006807D4">
              <w:rPr>
                <w:vertAlign w:val="superscript"/>
              </w:rPr>
              <w:t>-1</w:t>
            </w:r>
          </w:p>
        </w:tc>
      </w:tr>
      <w:tr w:rsidR="00D31F4A" w:rsidRPr="00AD611D" w14:paraId="57FBC0A0" w14:textId="77777777" w:rsidTr="007B63F2">
        <w:trPr>
          <w:cantSplit/>
          <w:trHeight w:val="20"/>
        </w:trPr>
        <w:tc>
          <w:tcPr>
            <w:tcW w:w="1859" w:type="dxa"/>
            <w:vAlign w:val="center"/>
          </w:tcPr>
          <w:p w14:paraId="1175CDB9" w14:textId="0A49827F" w:rsidR="00D6293D" w:rsidRPr="00AD611D" w:rsidRDefault="00D6293D" w:rsidP="00C11060">
            <w:pPr>
              <w:pStyle w:val="SWCTableText"/>
              <w:keepNext/>
            </w:pPr>
            <w:r w:rsidRPr="00AD611D">
              <w:t>FWS HM</w:t>
            </w:r>
          </w:p>
        </w:tc>
        <w:tc>
          <w:tcPr>
            <w:tcW w:w="2437" w:type="dxa"/>
            <w:vAlign w:val="center"/>
          </w:tcPr>
          <w:p w14:paraId="29307D47" w14:textId="77777777" w:rsidR="0057140B" w:rsidRPr="00AD611D" w:rsidRDefault="0057140B" w:rsidP="00C11060">
            <w:pPr>
              <w:pStyle w:val="SWCTableText"/>
              <w:keepNext/>
            </w:pPr>
            <w:r w:rsidRPr="00AD611D">
              <w:t>0:</w:t>
            </w:r>
            <w:r w:rsidR="00D6293D" w:rsidRPr="00AD611D">
              <w:t>46 -1</w:t>
            </w:r>
            <w:r w:rsidRPr="00AD611D">
              <w:t>:</w:t>
            </w:r>
            <w:r w:rsidR="00D6293D" w:rsidRPr="00AD611D">
              <w:t xml:space="preserve">28 (C7) </w:t>
            </w:r>
          </w:p>
          <w:p w14:paraId="6F61E322" w14:textId="3D5BDCA5" w:rsidR="00D6293D" w:rsidRPr="00AD611D" w:rsidRDefault="0057140B" w:rsidP="00C11060">
            <w:pPr>
              <w:pStyle w:val="SWCTableText"/>
              <w:keepNext/>
              <w:ind w:left="720"/>
              <w:jc w:val="left"/>
            </w:pPr>
            <w:r w:rsidRPr="00AD611D">
              <w:t xml:space="preserve">- </w:t>
            </w:r>
            <w:r w:rsidR="00D6293D" w:rsidRPr="00AD611D">
              <w:t>2</w:t>
            </w:r>
            <w:r w:rsidRPr="00AD611D">
              <w:t>:</w:t>
            </w:r>
            <w:r w:rsidR="00D6293D" w:rsidRPr="00AD611D">
              <w:t>24 (C6)</w:t>
            </w:r>
          </w:p>
        </w:tc>
        <w:tc>
          <w:tcPr>
            <w:tcW w:w="2437" w:type="dxa"/>
            <w:vAlign w:val="center"/>
          </w:tcPr>
          <w:p w14:paraId="195380A5" w14:textId="1A6F351A" w:rsidR="00D6293D" w:rsidRPr="00AD611D" w:rsidRDefault="00D7610C" w:rsidP="00C11060">
            <w:pPr>
              <w:pStyle w:val="SWCTableText"/>
              <w:keepNext/>
            </w:pPr>
            <w:r w:rsidRPr="00AD611D">
              <w:t xml:space="preserve">class </w:t>
            </w:r>
            <w:r w:rsidR="0033793D" w:rsidRPr="00AD611D">
              <w:t>2</w:t>
            </w:r>
          </w:p>
        </w:tc>
        <w:tc>
          <w:tcPr>
            <w:tcW w:w="2077" w:type="dxa"/>
            <w:vAlign w:val="center"/>
          </w:tcPr>
          <w:p w14:paraId="337B05FF" w14:textId="5D2951A4" w:rsidR="00D6293D" w:rsidRPr="00AD611D" w:rsidRDefault="00D6293D" w:rsidP="00C11060">
            <w:pPr>
              <w:pStyle w:val="SWCTableText"/>
              <w:keepNext/>
            </w:pPr>
            <w:r w:rsidRPr="00AD611D">
              <w:t>1</w:t>
            </w:r>
            <w:r w:rsidR="00802F4F" w:rsidRPr="00AD611D">
              <w:t>0</w:t>
            </w:r>
            <w:r w:rsidRPr="00AD611D">
              <w:t xml:space="preserve"> W; 1 kWh; 0.1 K; 0.01 m³</w:t>
            </w:r>
            <w:r w:rsidR="006807D4">
              <w:t xml:space="preserve"> h</w:t>
            </w:r>
            <w:r w:rsidR="006807D4" w:rsidRPr="006807D4">
              <w:rPr>
                <w:vertAlign w:val="superscript"/>
              </w:rPr>
              <w:t>-1</w:t>
            </w:r>
          </w:p>
        </w:tc>
      </w:tr>
      <w:tr w:rsidR="00D6293D" w:rsidRPr="00AD611D" w14:paraId="449233AA" w14:textId="77777777" w:rsidTr="007B63F2">
        <w:trPr>
          <w:cantSplit/>
          <w:trHeight w:val="20"/>
        </w:trPr>
        <w:tc>
          <w:tcPr>
            <w:tcW w:w="1859" w:type="dxa"/>
            <w:vAlign w:val="center"/>
          </w:tcPr>
          <w:p w14:paraId="741E4C98" w14:textId="48ED69C4" w:rsidR="00D6293D" w:rsidRPr="00AD611D" w:rsidRDefault="00D6293D" w:rsidP="00C11060">
            <w:pPr>
              <w:pStyle w:val="SWCTableText"/>
              <w:keepNext/>
            </w:pPr>
            <w:r w:rsidRPr="00AD611D">
              <w:t>temperature sensors room</w:t>
            </w:r>
          </w:p>
        </w:tc>
        <w:tc>
          <w:tcPr>
            <w:tcW w:w="2437" w:type="dxa"/>
            <w:vAlign w:val="center"/>
          </w:tcPr>
          <w:p w14:paraId="496D6B37" w14:textId="4EBD51BA" w:rsidR="00D6293D" w:rsidRPr="00AD611D" w:rsidRDefault="00D6293D" w:rsidP="00C11060">
            <w:pPr>
              <w:pStyle w:val="SWCTableText"/>
              <w:keepNext/>
            </w:pPr>
            <w:r w:rsidRPr="00AD611D">
              <w:t>14</w:t>
            </w:r>
            <w:r w:rsidR="0057140B" w:rsidRPr="00AD611D">
              <w:t>:</w:t>
            </w:r>
            <w:r w:rsidRPr="00AD611D">
              <w:t xml:space="preserve">23 </w:t>
            </w:r>
            <w:r w:rsidR="00D7610C" w:rsidRPr="00AD611D">
              <w:t>–</w:t>
            </w:r>
            <w:r w:rsidRPr="00AD611D">
              <w:t xml:space="preserve"> 14</w:t>
            </w:r>
            <w:r w:rsidR="0057140B" w:rsidRPr="00AD611D">
              <w:t>:</w:t>
            </w:r>
            <w:r w:rsidRPr="00AD611D">
              <w:t>50</w:t>
            </w:r>
          </w:p>
        </w:tc>
        <w:tc>
          <w:tcPr>
            <w:tcW w:w="2437" w:type="dxa"/>
            <w:vAlign w:val="center"/>
          </w:tcPr>
          <w:p w14:paraId="05B6EA89" w14:textId="63041182" w:rsidR="00D6293D" w:rsidRPr="00AD611D" w:rsidRDefault="00D6293D" w:rsidP="00C11060">
            <w:pPr>
              <w:pStyle w:val="SWCTableText"/>
              <w:keepNext/>
            </w:pPr>
            <w:r w:rsidRPr="00AD611D">
              <w:t>±0.2 K</w:t>
            </w:r>
            <w:r w:rsidR="00D7610C" w:rsidRPr="00AD611D">
              <w:t xml:space="preserve"> </w:t>
            </w:r>
            <w:r w:rsidRPr="00AD611D">
              <w:t>(10</w:t>
            </w:r>
            <w:r w:rsidR="00A561F8" w:rsidRPr="00AD611D">
              <w:t> °C</w:t>
            </w:r>
            <w:r w:rsidRPr="00AD611D">
              <w:t xml:space="preserve"> &lt; ϑ &lt; 30</w:t>
            </w:r>
            <w:r w:rsidR="00A561F8" w:rsidRPr="00AD611D">
              <w:t> °C</w:t>
            </w:r>
            <w:r w:rsidRPr="00AD611D">
              <w:t>)</w:t>
            </w:r>
          </w:p>
        </w:tc>
        <w:tc>
          <w:tcPr>
            <w:tcW w:w="2077" w:type="dxa"/>
            <w:vAlign w:val="center"/>
          </w:tcPr>
          <w:p w14:paraId="55503D2B" w14:textId="07FA7885" w:rsidR="00D6293D" w:rsidRPr="00AD611D" w:rsidRDefault="00D6293D" w:rsidP="00C11060">
            <w:pPr>
              <w:pStyle w:val="SWCTableText"/>
              <w:keepNext/>
            </w:pPr>
            <w:r w:rsidRPr="00AD611D">
              <w:t>0.1 K</w:t>
            </w:r>
          </w:p>
        </w:tc>
      </w:tr>
      <w:tr w:rsidR="00D31F4A" w:rsidRPr="00AD611D" w14:paraId="3DD21952" w14:textId="77777777" w:rsidTr="007B63F2">
        <w:trPr>
          <w:cantSplit/>
          <w:trHeight w:val="20"/>
        </w:trPr>
        <w:tc>
          <w:tcPr>
            <w:tcW w:w="1859" w:type="dxa"/>
            <w:vAlign w:val="center"/>
          </w:tcPr>
          <w:p w14:paraId="71E253B8" w14:textId="7E70C77D" w:rsidR="00D6293D" w:rsidRPr="00AD611D" w:rsidRDefault="00D6293D" w:rsidP="00C11060">
            <w:pPr>
              <w:pStyle w:val="SWCTableText"/>
              <w:keepNext/>
            </w:pPr>
            <w:r w:rsidRPr="00AD611D">
              <w:t xml:space="preserve">temperature sensors </w:t>
            </w:r>
            <w:r w:rsidR="00124763" w:rsidRPr="00AD611D">
              <w:t>storage room</w:t>
            </w:r>
          </w:p>
        </w:tc>
        <w:tc>
          <w:tcPr>
            <w:tcW w:w="2437" w:type="dxa"/>
            <w:vAlign w:val="center"/>
          </w:tcPr>
          <w:p w14:paraId="12B2B7E0" w14:textId="687DADE2" w:rsidR="00D6293D" w:rsidRPr="00AD611D" w:rsidRDefault="00D6293D" w:rsidP="00C11060">
            <w:pPr>
              <w:pStyle w:val="SWCTableText"/>
              <w:keepNext/>
            </w:pPr>
            <w:r w:rsidRPr="00AD611D">
              <w:t>1</w:t>
            </w:r>
            <w:r w:rsidR="0057140B" w:rsidRPr="00AD611D">
              <w:t>:00</w:t>
            </w:r>
          </w:p>
        </w:tc>
        <w:tc>
          <w:tcPr>
            <w:tcW w:w="2437" w:type="dxa"/>
            <w:vAlign w:val="center"/>
          </w:tcPr>
          <w:p w14:paraId="58C50775" w14:textId="150FC231" w:rsidR="00D6293D" w:rsidRPr="00AD611D" w:rsidRDefault="00D7610C" w:rsidP="00C11060">
            <w:pPr>
              <w:pStyle w:val="SWCTableText"/>
              <w:keepNext/>
            </w:pPr>
            <w:r w:rsidRPr="00AD611D">
              <w:t xml:space="preserve">class </w:t>
            </w:r>
            <w:r w:rsidR="00D6293D" w:rsidRPr="00AD611D">
              <w:t>B</w:t>
            </w:r>
          </w:p>
          <w:p w14:paraId="6D44D3EE" w14:textId="192F9BC2" w:rsidR="00D6293D" w:rsidRPr="00AD611D" w:rsidRDefault="00D6293D" w:rsidP="00C11060">
            <w:pPr>
              <w:pStyle w:val="SWCTableText"/>
              <w:keepNext/>
            </w:pPr>
            <w:r w:rsidRPr="00AD611D">
              <w:t>±0.4 K (ϑ = 20</w:t>
            </w:r>
            <w:r w:rsidR="00A561F8" w:rsidRPr="00AD611D">
              <w:t> °C</w:t>
            </w:r>
            <w:r w:rsidRPr="00AD611D">
              <w:t>)</w:t>
            </w:r>
          </w:p>
        </w:tc>
        <w:tc>
          <w:tcPr>
            <w:tcW w:w="2077" w:type="dxa"/>
            <w:vAlign w:val="center"/>
          </w:tcPr>
          <w:p w14:paraId="04833D36" w14:textId="623D53C7" w:rsidR="00D6293D" w:rsidRPr="00AD611D" w:rsidRDefault="00D6293D" w:rsidP="00C11060">
            <w:pPr>
              <w:pStyle w:val="SWCTableText"/>
              <w:keepNext/>
            </w:pPr>
            <w:r w:rsidRPr="00AD611D">
              <w:t>0.1 K</w:t>
            </w:r>
          </w:p>
        </w:tc>
      </w:tr>
      <w:tr w:rsidR="00D31F4A" w:rsidRPr="00AD611D" w14:paraId="2DE16B95" w14:textId="77777777" w:rsidTr="007B63F2">
        <w:trPr>
          <w:cantSplit/>
          <w:trHeight w:val="20"/>
        </w:trPr>
        <w:tc>
          <w:tcPr>
            <w:tcW w:w="1859" w:type="dxa"/>
            <w:tcBorders>
              <w:bottom w:val="single" w:sz="4" w:space="0" w:color="auto"/>
            </w:tcBorders>
            <w:vAlign w:val="center"/>
          </w:tcPr>
          <w:p w14:paraId="3C433FBB" w14:textId="00AA8AA1" w:rsidR="00D6293D" w:rsidRPr="00AD611D" w:rsidRDefault="00D6293D" w:rsidP="00D7610C">
            <w:pPr>
              <w:pStyle w:val="SWCTableText"/>
            </w:pPr>
            <w:r w:rsidRPr="00AD611D">
              <w:t>return temperature sensors</w:t>
            </w:r>
          </w:p>
        </w:tc>
        <w:tc>
          <w:tcPr>
            <w:tcW w:w="2437" w:type="dxa"/>
            <w:tcBorders>
              <w:bottom w:val="single" w:sz="4" w:space="0" w:color="auto"/>
            </w:tcBorders>
            <w:vAlign w:val="center"/>
          </w:tcPr>
          <w:p w14:paraId="7AF0AB51" w14:textId="1B258E0A" w:rsidR="00D6293D" w:rsidRPr="00AD611D" w:rsidRDefault="00D6293D" w:rsidP="00D7610C">
            <w:pPr>
              <w:pStyle w:val="SWCTableText"/>
            </w:pPr>
            <w:r w:rsidRPr="00AD611D">
              <w:t>1</w:t>
            </w:r>
            <w:r w:rsidR="0057140B" w:rsidRPr="00AD611D">
              <w:t>:00</w:t>
            </w:r>
          </w:p>
        </w:tc>
        <w:tc>
          <w:tcPr>
            <w:tcW w:w="2437" w:type="dxa"/>
            <w:tcBorders>
              <w:bottom w:val="single" w:sz="4" w:space="0" w:color="auto"/>
            </w:tcBorders>
            <w:vAlign w:val="center"/>
          </w:tcPr>
          <w:p w14:paraId="0B4CC433" w14:textId="4C2ADBEA" w:rsidR="00D6293D" w:rsidRPr="00AD611D" w:rsidRDefault="00D7610C" w:rsidP="00D7610C">
            <w:pPr>
              <w:pStyle w:val="SWCTableText"/>
            </w:pPr>
            <w:r w:rsidRPr="00AD611D">
              <w:t xml:space="preserve">class </w:t>
            </w:r>
            <w:r w:rsidR="00D6293D" w:rsidRPr="00AD611D">
              <w:t>B</w:t>
            </w:r>
          </w:p>
          <w:p w14:paraId="7DE94014" w14:textId="3FEF8958" w:rsidR="00D6293D" w:rsidRPr="00AD611D" w:rsidRDefault="00D6293D" w:rsidP="00D7610C">
            <w:pPr>
              <w:pStyle w:val="SWCTableText"/>
            </w:pPr>
            <w:r w:rsidRPr="00AD611D">
              <w:t>±0.55 K (ϑ = 50</w:t>
            </w:r>
            <w:r w:rsidR="00A561F8" w:rsidRPr="00AD611D">
              <w:t> °C</w:t>
            </w:r>
            <w:r w:rsidRPr="00AD611D">
              <w:t>)</w:t>
            </w:r>
          </w:p>
        </w:tc>
        <w:tc>
          <w:tcPr>
            <w:tcW w:w="2077" w:type="dxa"/>
            <w:tcBorders>
              <w:bottom w:val="single" w:sz="4" w:space="0" w:color="auto"/>
            </w:tcBorders>
            <w:vAlign w:val="center"/>
          </w:tcPr>
          <w:p w14:paraId="784C30A1" w14:textId="2B5CA1A1" w:rsidR="00D6293D" w:rsidRPr="00AD611D" w:rsidRDefault="00D6293D" w:rsidP="00D7610C">
            <w:pPr>
              <w:pStyle w:val="SWCTableText"/>
            </w:pPr>
            <w:r w:rsidRPr="00AD611D">
              <w:t>0.1 K</w:t>
            </w:r>
          </w:p>
        </w:tc>
      </w:tr>
    </w:tbl>
    <w:p w14:paraId="644C2A4F" w14:textId="77777777" w:rsidR="004A15ED" w:rsidRPr="00AD611D" w:rsidRDefault="004A15ED" w:rsidP="000C0273">
      <w:pPr>
        <w:pStyle w:val="SWCText"/>
        <w:rPr>
          <w:lang w:val="en-GB"/>
        </w:rPr>
      </w:pPr>
    </w:p>
    <w:p w14:paraId="532785BD" w14:textId="764878D9" w:rsidR="006B16AA" w:rsidRPr="00AD611D" w:rsidRDefault="003114FC" w:rsidP="00DB0607">
      <w:pPr>
        <w:pStyle w:val="EuroSunText"/>
        <w:rPr>
          <w:lang w:val="en-GB"/>
        </w:rPr>
      </w:pPr>
      <w:r w:rsidRPr="00AD611D">
        <w:rPr>
          <w:lang w:val="en-GB"/>
        </w:rPr>
        <w:t xml:space="preserve">The distribution pump maintains a constant differential pressure, and each FWS is equipped with a thermostatic bypass valve throttling to a preset return temperature. In this configuration the temperature is the controlled variable and the volume flow is the </w:t>
      </w:r>
      <w:r w:rsidR="00A73C0A">
        <w:rPr>
          <w:lang w:val="en-GB"/>
        </w:rPr>
        <w:t>process</w:t>
      </w:r>
      <w:r w:rsidR="00A73C0A" w:rsidRPr="00AD611D">
        <w:rPr>
          <w:lang w:val="en-GB"/>
        </w:rPr>
        <w:t xml:space="preserve"> </w:t>
      </w:r>
      <w:r w:rsidRPr="00AD611D">
        <w:rPr>
          <w:lang w:val="en-GB"/>
        </w:rPr>
        <w:t xml:space="preserve">variable. The bypass flow self-adjusts to whatever is required to sustain the distribution losses. A drift of the valve setting is therefore not visible as a temperature anomaly at system </w:t>
      </w:r>
      <w:r w:rsidR="007126FF" w:rsidRPr="00AD611D">
        <w:rPr>
          <w:lang w:val="en-GB"/>
        </w:rPr>
        <w:t>level but</w:t>
      </w:r>
      <w:r w:rsidRPr="00AD611D">
        <w:rPr>
          <w:lang w:val="en-GB"/>
        </w:rPr>
        <w:t xml:space="preserve"> manifests itself as a gradual increase in both circulation flow rate and return temperature. Two consequences follow. First, the thermal losses of a riser cannot be inferred from temperature measurements alone, since the temperature difference is imposed by the control loop; the volume flow carries the loss information. Second, elevated return temperatures propagate back to the heat supply, reducing the temperature spread available to the district heating network and increasing pumping energy while the distribution losses themselves grow</w:t>
      </w:r>
      <w:r w:rsidR="004A15ED" w:rsidRPr="00AD611D">
        <w:rPr>
          <w:lang w:val="en-GB"/>
        </w:rPr>
        <w:t>.</w:t>
      </w:r>
    </w:p>
    <w:p w14:paraId="7E0F91C2" w14:textId="64C59F42" w:rsidR="00C96C78" w:rsidRPr="00AD611D" w:rsidRDefault="00C96C78" w:rsidP="00C96C78">
      <w:pPr>
        <w:pStyle w:val="SWCHeading1"/>
        <w:rPr>
          <w:lang w:val="en-GB"/>
        </w:rPr>
      </w:pPr>
      <w:r w:rsidRPr="00AD611D">
        <w:rPr>
          <w:lang w:val="en-GB"/>
        </w:rPr>
        <w:t>Methodology</w:t>
      </w:r>
    </w:p>
    <w:p w14:paraId="18563A3C" w14:textId="3940AD61" w:rsidR="006F0420" w:rsidRPr="00AD611D" w:rsidRDefault="006F0420" w:rsidP="006F0420">
      <w:pPr>
        <w:pStyle w:val="EuroSunText"/>
        <w:rPr>
          <w:lang w:val="en-GB"/>
        </w:rPr>
      </w:pPr>
      <w:r w:rsidRPr="00AD611D">
        <w:rPr>
          <w:lang w:val="en-GB"/>
        </w:rPr>
        <w:t xml:space="preserve">The methodology </w:t>
      </w:r>
      <w:r w:rsidR="00A73C0A">
        <w:rPr>
          <w:lang w:val="en-GB"/>
        </w:rPr>
        <w:t>includes</w:t>
      </w:r>
      <w:r w:rsidR="00A73C0A" w:rsidRPr="00AD611D">
        <w:rPr>
          <w:lang w:val="en-GB"/>
        </w:rPr>
        <w:t xml:space="preserve"> </w:t>
      </w:r>
      <w:r w:rsidRPr="00AD611D">
        <w:rPr>
          <w:lang w:val="en-GB"/>
        </w:rPr>
        <w:t xml:space="preserve">five steps. First, the monitoring data are harmonised and filtered to isolate quasi-steady bypass operation, which is the state in which distribution losses can be observed without </w:t>
      </w:r>
      <w:r w:rsidR="00A73C0A">
        <w:rPr>
          <w:lang w:val="en-GB"/>
        </w:rPr>
        <w:t>influence</w:t>
      </w:r>
      <w:r w:rsidR="00A73C0A" w:rsidRPr="00AD611D">
        <w:rPr>
          <w:lang w:val="en-GB"/>
        </w:rPr>
        <w:t xml:space="preserve"> </w:t>
      </w:r>
      <w:r w:rsidRPr="00AD611D">
        <w:rPr>
          <w:lang w:val="en-GB"/>
        </w:rPr>
        <w:t xml:space="preserve">from tapping. Second, the measured losses of the investigated riser group are determined from an energy balance across the heat meters enclosing it, using cumulative readings only. Third, a grey-box model of the same riser group is set up, in which the losses are </w:t>
      </w:r>
      <w:r w:rsidR="0023313F" w:rsidRPr="00AD611D">
        <w:rPr>
          <w:lang w:val="en-GB"/>
        </w:rPr>
        <w:t>split</w:t>
      </w:r>
      <w:r w:rsidRPr="00AD611D">
        <w:rPr>
          <w:lang w:val="en-GB"/>
        </w:rPr>
        <w:t xml:space="preserve"> into thermal zones and each pipe conductance is derived from documented geometry, insulation and material properties. Fourth, the model is calibrated against the measured losses. All pipe </w:t>
      </w:r>
      <w:proofErr w:type="spellStart"/>
      <w:r w:rsidRPr="00AD611D">
        <w:rPr>
          <w:lang w:val="en-GB"/>
        </w:rPr>
        <w:t>conductances</w:t>
      </w:r>
      <w:proofErr w:type="spellEnd"/>
      <w:r w:rsidRPr="00AD611D">
        <w:rPr>
          <w:lang w:val="en-GB"/>
        </w:rPr>
        <w:t xml:space="preserve"> remain fixed, so that only two quantities are inferred from the measurements: an ambient-coupled conductance outside the thermal envelope and a residual conductance inside it. Fifth, the calibrated model is applied to </w:t>
      </w:r>
      <w:r w:rsidR="00A73C0A">
        <w:rPr>
          <w:lang w:val="en-GB"/>
        </w:rPr>
        <w:t>hypothetical</w:t>
      </w:r>
      <w:r w:rsidR="00A73C0A" w:rsidRPr="00AD611D">
        <w:rPr>
          <w:lang w:val="en-GB"/>
        </w:rPr>
        <w:t xml:space="preserve"> </w:t>
      </w:r>
      <w:r w:rsidRPr="00AD611D">
        <w:rPr>
          <w:lang w:val="en-GB"/>
        </w:rPr>
        <w:t>operating scenarios in order to quantify the savings that a correctly set bypass would have achieved.</w:t>
      </w:r>
      <w:r w:rsidR="00A84402">
        <w:rPr>
          <w:lang w:val="en-GB"/>
        </w:rPr>
        <w:t xml:space="preserve"> </w:t>
      </w:r>
      <w:r w:rsidRPr="00AD611D">
        <w:rPr>
          <w:lang w:val="en-GB"/>
        </w:rPr>
        <w:t>The deliberate consequence of this design is that any discrepancy between model and measurement is forced into a small number of physically interpretable quantities instead of being absorbed by regression freedom. The plausibility of the calibrated values, rather than the goodness of fit, therefore becomes the relevant validation criterion.</w:t>
      </w:r>
    </w:p>
    <w:p w14:paraId="7E0DA8AC" w14:textId="41A0F0D8" w:rsidR="006F0420" w:rsidRPr="00AD611D" w:rsidRDefault="006F0420" w:rsidP="006F0420">
      <w:pPr>
        <w:pStyle w:val="SWCHeading11"/>
      </w:pPr>
      <w:r w:rsidRPr="00AD611D">
        <w:t>Data preparation</w:t>
      </w:r>
    </w:p>
    <w:p w14:paraId="5773E060" w14:textId="72A996C8" w:rsidR="006F0420" w:rsidRPr="00AD611D" w:rsidRDefault="006F0420" w:rsidP="006F0420">
      <w:pPr>
        <w:pStyle w:val="EuroSunText"/>
        <w:rPr>
          <w:lang w:val="en-GB"/>
        </w:rPr>
      </w:pPr>
      <w:r w:rsidRPr="00AD611D">
        <w:rPr>
          <w:lang w:val="en-GB"/>
        </w:rPr>
        <w:t>All measurements were referred to a common local time base and, where meters with differing logging intervals had to be combined, resampled to the 15-minute grid of the distribution heat meters using time-</w:t>
      </w:r>
      <w:r w:rsidRPr="00AD611D">
        <w:rPr>
          <w:lang w:val="en-GB"/>
        </w:rPr>
        <w:lastRenderedPageBreak/>
        <w:t xml:space="preserve">weighted averaging over the respective interval. Gaps exceeding 30 minutes were excluded rather than interpolated. Since the </w:t>
      </w:r>
      <w:r w:rsidR="00826053">
        <w:rPr>
          <w:lang w:val="en-GB"/>
        </w:rPr>
        <w:t>cumulated</w:t>
      </w:r>
      <w:r w:rsidR="00826053" w:rsidRPr="00AD611D">
        <w:rPr>
          <w:lang w:val="en-GB"/>
        </w:rPr>
        <w:t xml:space="preserve"> </w:t>
      </w:r>
      <w:r w:rsidRPr="00AD611D">
        <w:rPr>
          <w:lang w:val="en-GB"/>
        </w:rPr>
        <w:t>energy is the primary quantity recorded by the heat meters, all energies were evaluated as the difference between two counter readings taken at the boundaries of the evaluation period, rather than as a sum of shorter increments. In this way the quantisation error remains bounded at ±1 kWh per meter and reading, independent of the length of the period considered.</w:t>
      </w:r>
    </w:p>
    <w:p w14:paraId="327FE909" w14:textId="77777777" w:rsidR="006F0420" w:rsidRPr="00AD611D" w:rsidRDefault="006F0420" w:rsidP="006F0420">
      <w:pPr>
        <w:pStyle w:val="EuroSunText"/>
        <w:rPr>
          <w:lang w:val="en-GB"/>
        </w:rPr>
      </w:pPr>
      <w:r w:rsidRPr="00AD611D">
        <w:rPr>
          <w:lang w:val="en-GB"/>
        </w:rPr>
        <w:t>A second filter addresses the operating state itself. Because the bypass flow and the tapping flow cannot be separated at the distribution heat meters, the analysis of quasi-steady bypass operation is restricted to a nightly window between 01:00 and 04:00, during which tapping is rare. Within this window, individual intervals still affected by tapping were removed using a median-absolute-deviation criterion applied on a daily basis.</w:t>
      </w:r>
    </w:p>
    <w:p w14:paraId="309A7121" w14:textId="7262BDD2" w:rsidR="006F0420" w:rsidRPr="00AD611D" w:rsidRDefault="006F0420" w:rsidP="006F0420">
      <w:pPr>
        <w:pStyle w:val="SWCHeading11"/>
      </w:pPr>
      <w:r w:rsidRPr="00AD611D">
        <w:t>Measured losses</w:t>
      </w:r>
    </w:p>
    <w:p w14:paraId="3876A358" w14:textId="7A39134A" w:rsidR="000272C9" w:rsidRPr="00AD611D" w:rsidRDefault="00877596" w:rsidP="006F0420">
      <w:pPr>
        <w:pStyle w:val="EuroSunText"/>
        <w:rPr>
          <w:lang w:val="en-GB"/>
        </w:rPr>
      </w:pPr>
      <w:r w:rsidRPr="00AD611D">
        <w:rPr>
          <w:lang w:val="en-GB"/>
        </w:rPr>
        <w:t xml:space="preserve">The riser shaft group C6 &amp; C7 was selected for detailed investigation because it has the shortest distribution pipe sections outside the thermal envelope and the lowest uncertainty in determining pipe lengths, and because two heat meters enclose it directly. </w:t>
      </w:r>
      <w:r w:rsidR="000272C9" w:rsidRPr="00AD611D">
        <w:rPr>
          <w:lang w:val="en-GB"/>
        </w:rPr>
        <w:t xml:space="preserve">As seen in </w:t>
      </w:r>
      <w:r w:rsidR="000272C9" w:rsidRPr="00AD611D">
        <w:rPr>
          <w:lang w:val="en-GB"/>
        </w:rPr>
        <w:fldChar w:fldCharType="begin"/>
      </w:r>
      <w:r w:rsidR="000272C9" w:rsidRPr="00AD611D">
        <w:rPr>
          <w:lang w:val="en-GB"/>
        </w:rPr>
        <w:instrText xml:space="preserve"> REF _Ref223343080 \h </w:instrText>
      </w:r>
      <w:r w:rsidR="00A822ED" w:rsidRPr="00AD611D">
        <w:rPr>
          <w:lang w:val="en-GB"/>
        </w:rPr>
        <w:instrText xml:space="preserve"> \* MERGEFORMAT </w:instrText>
      </w:r>
      <w:r w:rsidR="000272C9" w:rsidRPr="00AD611D">
        <w:rPr>
          <w:lang w:val="en-GB"/>
        </w:rPr>
      </w:r>
      <w:r w:rsidR="000272C9" w:rsidRPr="00AD611D">
        <w:rPr>
          <w:lang w:val="en-GB"/>
        </w:rPr>
        <w:fldChar w:fldCharType="separate"/>
      </w:r>
      <w:r w:rsidR="000805D6" w:rsidRPr="00AD611D">
        <w:rPr>
          <w:lang w:val="en-GB"/>
        </w:rPr>
        <w:t xml:space="preserve">Fig. </w:t>
      </w:r>
      <w:r w:rsidR="000805D6">
        <w:rPr>
          <w:noProof/>
          <w:lang w:val="en-GB"/>
        </w:rPr>
        <w:t>1</w:t>
      </w:r>
      <w:r w:rsidR="000272C9" w:rsidRPr="00AD611D">
        <w:rPr>
          <w:lang w:val="en-GB"/>
        </w:rPr>
        <w:fldChar w:fldCharType="end"/>
      </w:r>
      <w:r w:rsidR="000272C9" w:rsidRPr="00AD611D">
        <w:rPr>
          <w:lang w:val="en-GB"/>
        </w:rPr>
        <w:t xml:space="preserve">(b), the riser group is enclosed by two heat meters in the main distribution line, HM6 upstream and HM7 downstream of the branch-off. Every apartment supplied by it is equipped with a heat meter on the primary side of its FWS. The heat entering the riser group is therefore the difference between the two distribution meters, while the heat leaving it as useful energy is the sum of the apartment meters. Their difference is the loss of the riser group (see equation </w:t>
      </w:r>
      <w:r w:rsidR="000272C9" w:rsidRPr="00AD611D">
        <w:rPr>
          <w:lang w:val="en-GB"/>
        </w:rPr>
        <w:fldChar w:fldCharType="begin"/>
      </w:r>
      <w:r w:rsidR="000272C9" w:rsidRPr="00AD611D">
        <w:rPr>
          <w:lang w:val="en-GB"/>
        </w:rPr>
        <w:instrText xml:space="preserve"> REF _Ref238820565 \h </w:instrText>
      </w:r>
      <w:r w:rsidR="00A822ED" w:rsidRPr="00AD611D">
        <w:rPr>
          <w:lang w:val="en-GB"/>
        </w:rPr>
        <w:instrText xml:space="preserve"> \* MERGEFORMAT </w:instrText>
      </w:r>
      <w:r w:rsidR="000272C9" w:rsidRPr="00AD611D">
        <w:rPr>
          <w:lang w:val="en-GB"/>
        </w:rPr>
      </w:r>
      <w:r w:rsidR="000272C9" w:rsidRPr="00AD611D">
        <w:rPr>
          <w:lang w:val="en-GB"/>
        </w:rPr>
        <w:fldChar w:fldCharType="separate"/>
      </w:r>
      <w:r w:rsidR="000805D6" w:rsidRPr="00AD611D">
        <w:rPr>
          <w:lang w:val="en-GB"/>
        </w:rPr>
        <w:t>(</w:t>
      </w:r>
      <w:r w:rsidR="000805D6">
        <w:rPr>
          <w:noProof/>
          <w:lang w:val="en-GB"/>
        </w:rPr>
        <w:t>1</w:t>
      </w:r>
      <w:r w:rsidR="000805D6" w:rsidRPr="00AD611D">
        <w:rPr>
          <w:lang w:val="en-GB"/>
        </w:rPr>
        <w:t>), (</w:t>
      </w:r>
      <w:r w:rsidR="000805D6">
        <w:rPr>
          <w:noProof/>
          <w:lang w:val="en-GB"/>
        </w:rPr>
        <w:t>2</w:t>
      </w:r>
      <w:r w:rsidR="000805D6" w:rsidRPr="00AD611D">
        <w:rPr>
          <w:lang w:val="en-GB"/>
        </w:rPr>
        <w:t>)</w:t>
      </w:r>
      <w:r w:rsidR="000272C9" w:rsidRPr="00AD611D">
        <w:rPr>
          <w:lang w:val="en-GB"/>
        </w:rPr>
        <w:fldChar w:fldCharType="end"/>
      </w:r>
      <w:r w:rsidR="000272C9" w:rsidRPr="00AD611D">
        <w:rPr>
          <w:lang w:val="en-GB"/>
        </w:rPr>
        <w:t xml:space="preserve">), </w:t>
      </w:r>
      <w:r w:rsidR="00826053">
        <w:rPr>
          <w:lang w:val="en-GB"/>
        </w:rPr>
        <w:t>including</w:t>
      </w:r>
      <w:r w:rsidR="00826053" w:rsidRPr="00AD611D">
        <w:rPr>
          <w:lang w:val="en-GB"/>
        </w:rPr>
        <w:t xml:space="preserve"> </w:t>
      </w:r>
      <w:r w:rsidR="000272C9" w:rsidRPr="00AD611D">
        <w:rPr>
          <w:lang w:val="en-GB"/>
        </w:rPr>
        <w:t xml:space="preserve">the pipe sections in the </w:t>
      </w:r>
      <w:r w:rsidR="00124763" w:rsidRPr="00AD611D">
        <w:rPr>
          <w:lang w:val="en-GB"/>
        </w:rPr>
        <w:t>storage room</w:t>
      </w:r>
      <w:r w:rsidR="000272C9" w:rsidRPr="00AD611D">
        <w:rPr>
          <w:lang w:val="en-GB"/>
        </w:rPr>
        <w:t xml:space="preserve">, the risers inside the thermal envelope and the standby losses of the FWS. Since the apartment meters register energy only while </w:t>
      </w:r>
      <w:r w:rsidR="00D95210" w:rsidRPr="00AD611D">
        <w:rPr>
          <w:lang w:val="en-GB"/>
        </w:rPr>
        <w:t>tapping</w:t>
      </w:r>
      <w:r w:rsidR="000272C9" w:rsidRPr="00AD611D">
        <w:rPr>
          <w:lang w:val="en-GB"/>
        </w:rPr>
        <w:t>, the bypass flow sustaining these losses is not part of the demand term and the balance is closed without further assumptions.</w:t>
      </w:r>
      <w:r w:rsidR="00232F4B" w:rsidRPr="00AD611D">
        <w:rPr>
          <w:lang w:val="en-GB"/>
        </w:rPr>
        <w:t xml:space="preserve">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6"/>
        <w:gridCol w:w="3967"/>
        <w:gridCol w:w="824"/>
      </w:tblGrid>
      <w:tr w:rsidR="00FD28DD" w:rsidRPr="00AD611D" w14:paraId="7B672B6C" w14:textId="77777777" w:rsidTr="0066129C">
        <w:tc>
          <w:tcPr>
            <w:tcW w:w="3966" w:type="dxa"/>
            <w:shd w:val="clear" w:color="auto" w:fill="auto"/>
          </w:tcPr>
          <w:p w14:paraId="3383D183" w14:textId="49CE023A" w:rsidR="00FD28DD" w:rsidRPr="00AD611D" w:rsidRDefault="00000000" w:rsidP="00A822ED">
            <w:pPr>
              <w:pStyle w:val="EuroSunText"/>
              <w:rPr>
                <w:lang w:val="en-GB"/>
              </w:rPr>
            </w:pPr>
            <m:oMathPara>
              <m:oMathParaPr>
                <m:jc m:val="left"/>
              </m:oMathParaPr>
              <m:oMath>
                <m:sSubSup>
                  <m:sSubSupPr>
                    <m:ctrlPr>
                      <w:rPr>
                        <w:rFonts w:ascii="Cambria Math" w:hAnsi="Cambria Math"/>
                        <w:i/>
                        <w:lang w:val="en-GB"/>
                      </w:rPr>
                    </m:ctrlPr>
                  </m:sSubSupPr>
                  <m:e>
                    <m:r>
                      <w:rPr>
                        <w:rFonts w:ascii="Cambria Math" w:hAnsi="Cambria Math"/>
                        <w:lang w:val="en-GB"/>
                      </w:rPr>
                      <m:t>Q</m:t>
                    </m:r>
                  </m:e>
                  <m:sub>
                    <m:r>
                      <m:rPr>
                        <m:nor/>
                      </m:rPr>
                      <w:rPr>
                        <w:rFonts w:ascii="Cambria Math" w:hAnsi="Cambria Math"/>
                        <w:lang w:val="en-GB"/>
                      </w:rPr>
                      <m:t>loss</m:t>
                    </m:r>
                    <m:r>
                      <w:rPr>
                        <w:rFonts w:ascii="Cambria Math" w:hAnsi="Cambria Math"/>
                        <w:lang w:val="en-GB"/>
                      </w:rPr>
                      <m:t>,i</m:t>
                    </m:r>
                  </m:sub>
                  <m:sup>
                    <m:r>
                      <m:rPr>
                        <m:nor/>
                      </m:rPr>
                      <w:rPr>
                        <w:rFonts w:ascii="Cambria Math" w:hAnsi="Cambria Math"/>
                        <w:lang w:val="en-GB"/>
                      </w:rPr>
                      <m:t>meas</m:t>
                    </m:r>
                  </m:sup>
                </m:sSubSup>
                <m:r>
                  <w:rPr>
                    <w:rFonts w:ascii="Cambria Math" w:hAnsi="Cambria Math"/>
                    <w:lang w:val="en-GB"/>
                  </w:rPr>
                  <m:t>=</m:t>
                </m:r>
                <m:limLow>
                  <m:limLowPr>
                    <m:ctrlPr>
                      <w:rPr>
                        <w:rFonts w:ascii="Cambria Math" w:hAnsi="Cambria Math"/>
                        <w:i/>
                        <w:lang w:val="en-GB"/>
                      </w:rPr>
                    </m:ctrlPr>
                  </m:limLowPr>
                  <m:e>
                    <m:groupChr>
                      <m:groupChrPr>
                        <m:ctrlPr>
                          <w:rPr>
                            <w:rFonts w:ascii="Cambria Math" w:hAnsi="Cambria Math"/>
                            <w:lang w:val="en-GB"/>
                          </w:rPr>
                        </m:ctrlPr>
                      </m:groupChrPr>
                      <m:e>
                        <m:r>
                          <m:rPr>
                            <m:sty m:val="p"/>
                          </m:rPr>
                          <w:rPr>
                            <w:rFonts w:ascii="Cambria Math" w:hAnsi="Cambria Math"/>
                            <w:lang w:val="en-GB"/>
                          </w:rPr>
                          <m:t>Δ</m:t>
                        </m:r>
                        <m:sSub>
                          <m:sSubPr>
                            <m:ctrlPr>
                              <w:rPr>
                                <w:rFonts w:ascii="Cambria Math" w:hAnsi="Cambria Math"/>
                                <w:i/>
                                <w:lang w:val="en-GB"/>
                              </w:rPr>
                            </m:ctrlPr>
                          </m:sSubPr>
                          <m:e>
                            <m:r>
                              <w:rPr>
                                <w:rFonts w:ascii="Cambria Math" w:hAnsi="Cambria Math"/>
                                <w:lang w:val="en-GB"/>
                              </w:rPr>
                              <m:t>E</m:t>
                            </m:r>
                          </m:e>
                          <m:sub>
                            <m:r>
                              <m:rPr>
                                <m:nor/>
                              </m:rPr>
                              <w:rPr>
                                <w:rFonts w:ascii="Cambria Math" w:hAnsi="Cambria Math"/>
                                <w:lang w:val="en-GB"/>
                              </w:rPr>
                              <m:t>HM6</m:t>
                            </m:r>
                            <m:r>
                              <w:rPr>
                                <w:rFonts w:ascii="Cambria Math" w:hAnsi="Cambria Math"/>
                                <w:lang w:val="en-GB"/>
                              </w:rPr>
                              <m:t>,k</m:t>
                            </m:r>
                          </m:sub>
                        </m:sSub>
                        <m:r>
                          <w:rPr>
                            <w:rFonts w:ascii="Cambria Math" w:hAnsi="Cambria Math"/>
                            <w:lang w:val="en-GB"/>
                          </w:rPr>
                          <m:t>-</m:t>
                        </m:r>
                        <m:r>
                          <m:rPr>
                            <m:sty m:val="p"/>
                          </m:rPr>
                          <w:rPr>
                            <w:rFonts w:ascii="Cambria Math" w:hAnsi="Cambria Math"/>
                            <w:lang w:val="en-GB"/>
                          </w:rPr>
                          <m:t>Δ</m:t>
                        </m:r>
                        <m:sSub>
                          <m:sSubPr>
                            <m:ctrlPr>
                              <w:rPr>
                                <w:rFonts w:ascii="Cambria Math" w:hAnsi="Cambria Math"/>
                                <w:i/>
                                <w:lang w:val="en-GB"/>
                              </w:rPr>
                            </m:ctrlPr>
                          </m:sSubPr>
                          <m:e>
                            <m:r>
                              <w:rPr>
                                <w:rFonts w:ascii="Cambria Math" w:hAnsi="Cambria Math"/>
                                <w:lang w:val="en-GB"/>
                              </w:rPr>
                              <m:t>E</m:t>
                            </m:r>
                          </m:e>
                          <m:sub>
                            <m:r>
                              <w:rPr>
                                <w:rFonts w:ascii="Cambria Math" w:hAnsi="Cambria Math"/>
                                <w:lang w:val="en-GB"/>
                              </w:rPr>
                              <m:t>HM7,k</m:t>
                            </m:r>
                          </m:sub>
                        </m:sSub>
                      </m:e>
                    </m:groupChr>
                  </m:e>
                  <m:lim>
                    <m:sSub>
                      <m:sSubPr>
                        <m:ctrlPr>
                          <w:rPr>
                            <w:rFonts w:ascii="Cambria Math" w:hAnsi="Cambria Math"/>
                            <w:i/>
                            <w:lang w:val="en-GB"/>
                          </w:rPr>
                        </m:ctrlPr>
                      </m:sSubPr>
                      <m:e>
                        <m:r>
                          <w:rPr>
                            <w:rFonts w:ascii="Cambria Math" w:hAnsi="Cambria Math"/>
                            <w:lang w:val="en-GB"/>
                          </w:rPr>
                          <m:t>Q</m:t>
                        </m:r>
                      </m:e>
                      <m:sub>
                        <m:r>
                          <m:rPr>
                            <m:nor/>
                          </m:rPr>
                          <w:rPr>
                            <w:rFonts w:ascii="Cambria Math" w:hAnsi="Cambria Math"/>
                            <w:lang w:val="en-GB"/>
                          </w:rPr>
                          <m:t>supply</m:t>
                        </m:r>
                        <m:r>
                          <w:rPr>
                            <w:rFonts w:ascii="Cambria Math" w:hAnsi="Cambria Math"/>
                            <w:lang w:val="en-GB"/>
                          </w:rPr>
                          <m:t>,k</m:t>
                        </m:r>
                      </m:sub>
                    </m:sSub>
                  </m:lim>
                </m:limLow>
                <m:r>
                  <w:rPr>
                    <w:rFonts w:ascii="Cambria Math" w:hAnsi="Cambria Math"/>
                    <w:lang w:val="en-GB"/>
                  </w:rPr>
                  <m:t> - </m:t>
                </m:r>
                <m:limLow>
                  <m:limLowPr>
                    <m:ctrlPr>
                      <w:rPr>
                        <w:rFonts w:ascii="Cambria Math" w:hAnsi="Cambria Math"/>
                        <w:i/>
                        <w:lang w:val="en-GB"/>
                      </w:rPr>
                    </m:ctrlPr>
                  </m:limLowPr>
                  <m:e>
                    <m:groupChr>
                      <m:groupChrPr>
                        <m:ctrlPr>
                          <w:rPr>
                            <w:rFonts w:ascii="Cambria Math" w:hAnsi="Cambria Math"/>
                            <w:lang w:val="en-GB"/>
                          </w:rPr>
                        </m:ctrlPr>
                      </m:groupChrPr>
                      <m:e>
                        <m:nary>
                          <m:naryPr>
                            <m:chr m:val="∑"/>
                            <m:supHide m:val="1"/>
                            <m:ctrlPr>
                              <w:rPr>
                                <w:rFonts w:ascii="Cambria Math" w:hAnsi="Cambria Math"/>
                                <w:lang w:val="en-GB"/>
                              </w:rPr>
                            </m:ctrlPr>
                          </m:naryPr>
                          <m:sub>
                            <m:r>
                              <w:rPr>
                                <w:rFonts w:ascii="Cambria Math" w:hAnsi="Cambria Math"/>
                                <w:lang w:val="en-GB"/>
                              </w:rPr>
                              <m:t>j</m:t>
                            </m:r>
                            <m:r>
                              <m:rPr>
                                <m:sty m:val="p"/>
                              </m:rPr>
                              <w:rPr>
                                <w:rFonts w:ascii="Cambria Math" w:hAnsi="Cambria Math"/>
                                <w:lang w:val="en-GB"/>
                              </w:rPr>
                              <m:t>∈</m:t>
                            </m:r>
                            <m:r>
                              <m:rPr>
                                <m:scr m:val="script"/>
                              </m:rPr>
                              <w:rPr>
                                <w:rFonts w:ascii="Cambria Math" w:hAnsi="Cambria Math"/>
                                <w:lang w:val="en-GB"/>
                              </w:rPr>
                              <m:t>C</m:t>
                            </m:r>
                            <m:ctrlPr>
                              <w:rPr>
                                <w:rFonts w:ascii="Cambria Math" w:hAnsi="Cambria Math"/>
                                <w:i/>
                                <w:lang w:val="en-GB"/>
                              </w:rPr>
                            </m:ctrlPr>
                          </m:sub>
                          <m:sup>
                            <m:ctrlPr>
                              <w:rPr>
                                <w:rFonts w:ascii="Cambria Math" w:hAnsi="Cambria Math"/>
                                <w:i/>
                                <w:lang w:val="en-GB"/>
                              </w:rPr>
                            </m:ctrlPr>
                          </m:sup>
                          <m:e>
                            <m:r>
                              <m:rPr>
                                <m:sty m:val="p"/>
                              </m:rPr>
                              <w:rPr>
                                <w:rFonts w:ascii="Cambria Math" w:hAnsi="Cambria Math"/>
                                <w:lang w:val="en-GB"/>
                              </w:rPr>
                              <m:t>Δ</m:t>
                            </m:r>
                            <m:sSub>
                              <m:sSubPr>
                                <m:ctrlPr>
                                  <w:rPr>
                                    <w:rFonts w:ascii="Cambria Math" w:hAnsi="Cambria Math"/>
                                    <w:i/>
                                    <w:lang w:val="en-GB"/>
                                  </w:rPr>
                                </m:ctrlPr>
                              </m:sSubPr>
                              <m:e>
                                <m:r>
                                  <w:rPr>
                                    <w:rFonts w:ascii="Cambria Math" w:hAnsi="Cambria Math"/>
                                    <w:lang w:val="en-GB"/>
                                  </w:rPr>
                                  <m:t>E</m:t>
                                </m:r>
                              </m:e>
                              <m:sub>
                                <m:r>
                                  <w:rPr>
                                    <w:rFonts w:ascii="Cambria Math" w:hAnsi="Cambria Math"/>
                                    <w:lang w:val="en-GB"/>
                                  </w:rPr>
                                  <m:t>j,k</m:t>
                                </m:r>
                              </m:sub>
                            </m:sSub>
                            <m:ctrlPr>
                              <w:rPr>
                                <w:rFonts w:ascii="Cambria Math" w:hAnsi="Cambria Math"/>
                                <w:i/>
                                <w:lang w:val="en-GB"/>
                              </w:rPr>
                            </m:ctrlPr>
                          </m:e>
                        </m:nary>
                      </m:e>
                    </m:groupChr>
                  </m:e>
                  <m:lim>
                    <m:sSub>
                      <m:sSubPr>
                        <m:ctrlPr>
                          <w:rPr>
                            <w:rFonts w:ascii="Cambria Math" w:hAnsi="Cambria Math"/>
                            <w:i/>
                            <w:lang w:val="en-GB"/>
                          </w:rPr>
                        </m:ctrlPr>
                      </m:sSubPr>
                      <m:e>
                        <m:r>
                          <w:rPr>
                            <w:rFonts w:ascii="Cambria Math" w:hAnsi="Cambria Math"/>
                            <w:lang w:val="en-GB"/>
                          </w:rPr>
                          <m:t>Q</m:t>
                        </m:r>
                      </m:e>
                      <m:sub>
                        <m:r>
                          <m:rPr>
                            <m:nor/>
                          </m:rPr>
                          <w:rPr>
                            <w:rFonts w:ascii="Cambria Math" w:hAnsi="Cambria Math"/>
                            <w:lang w:val="en-GB"/>
                          </w:rPr>
                          <m:t>demand</m:t>
                        </m:r>
                        <m:r>
                          <w:rPr>
                            <w:rFonts w:ascii="Cambria Math" w:hAnsi="Cambria Math"/>
                            <w:lang w:val="en-GB"/>
                          </w:rPr>
                          <m:t>,k</m:t>
                        </m:r>
                      </m:sub>
                    </m:sSub>
                  </m:lim>
                </m:limLow>
              </m:oMath>
            </m:oMathPara>
          </w:p>
        </w:tc>
        <w:tc>
          <w:tcPr>
            <w:tcW w:w="3967" w:type="dxa"/>
            <w:shd w:val="clear" w:color="auto" w:fill="auto"/>
          </w:tcPr>
          <w:p w14:paraId="28AC2ED5" w14:textId="20DEB460" w:rsidR="00FD28DD" w:rsidRPr="00AD611D" w:rsidRDefault="00FD28DD" w:rsidP="00A822ED">
            <w:pPr>
              <w:pStyle w:val="EuroSunText"/>
              <w:rPr>
                <w:lang w:val="en-GB"/>
              </w:rPr>
            </w:pPr>
          </w:p>
        </w:tc>
        <w:tc>
          <w:tcPr>
            <w:tcW w:w="824" w:type="dxa"/>
            <w:shd w:val="clear" w:color="auto" w:fill="auto"/>
          </w:tcPr>
          <w:p w14:paraId="708D64F6" w14:textId="74E4E22B" w:rsidR="00FD28DD" w:rsidRPr="00AD611D" w:rsidRDefault="00FD28DD" w:rsidP="00A822ED">
            <w:pPr>
              <w:pStyle w:val="EuroSunText"/>
              <w:rPr>
                <w:lang w:val="en-GB"/>
              </w:rPr>
            </w:pPr>
            <w:bookmarkStart w:id="6" w:name="_Ref238820565"/>
            <w:r w:rsidRPr="00AD611D">
              <w:rPr>
                <w:lang w:val="en-GB"/>
              </w:rPr>
              <w:t>(</w:t>
            </w:r>
            <w:r w:rsidRPr="00AD611D">
              <w:rPr>
                <w:lang w:val="en-GB"/>
              </w:rPr>
              <w:fldChar w:fldCharType="begin"/>
            </w:r>
            <w:r w:rsidRPr="00AD611D">
              <w:rPr>
                <w:lang w:val="en-GB"/>
              </w:rPr>
              <w:instrText xml:space="preserve"> SEQ equation_EuroSun2026 \* ARABIC </w:instrText>
            </w:r>
            <w:r w:rsidRPr="00AD611D">
              <w:rPr>
                <w:lang w:val="en-GB"/>
              </w:rPr>
              <w:fldChar w:fldCharType="separate"/>
            </w:r>
            <w:r w:rsidR="000805D6">
              <w:rPr>
                <w:noProof/>
                <w:lang w:val="en-GB"/>
              </w:rPr>
              <w:t>1</w:t>
            </w:r>
            <w:r w:rsidRPr="00AD611D">
              <w:rPr>
                <w:lang w:val="en-GB"/>
              </w:rPr>
              <w:fldChar w:fldCharType="end"/>
            </w:r>
            <w:r w:rsidRPr="00AD611D">
              <w:rPr>
                <w:lang w:val="en-GB"/>
              </w:rPr>
              <w:t>)</w:t>
            </w:r>
            <w:bookmarkEnd w:id="6"/>
          </w:p>
        </w:tc>
      </w:tr>
      <w:tr w:rsidR="00D3667D" w:rsidRPr="00AD611D" w14:paraId="782C593B" w14:textId="77777777" w:rsidTr="00E224EF">
        <w:tc>
          <w:tcPr>
            <w:tcW w:w="7933" w:type="dxa"/>
            <w:gridSpan w:val="2"/>
            <w:shd w:val="clear" w:color="auto" w:fill="auto"/>
          </w:tcPr>
          <w:p w14:paraId="0F2E618B" w14:textId="40F93C4B" w:rsidR="00D3667D" w:rsidRPr="00D3667D" w:rsidRDefault="00D3667D" w:rsidP="00A822ED">
            <w:pPr>
              <w:pStyle w:val="EuroSunText"/>
              <w:rPr>
                <w:lang w:val="de-DE"/>
              </w:rPr>
            </w:pPr>
            <m:oMath>
              <m:r>
                <m:rPr>
                  <m:sty m:val="p"/>
                </m:rPr>
                <w:rPr>
                  <w:rFonts w:ascii="Cambria Math" w:hAnsi="Cambria Math"/>
                  <w:lang w:val="en-GB"/>
                </w:rPr>
                <m:t>Δ</m:t>
              </m:r>
              <m:sSub>
                <m:sSubPr>
                  <m:ctrlPr>
                    <w:rPr>
                      <w:rFonts w:ascii="Cambria Math" w:hAnsi="Cambria Math"/>
                      <w:i/>
                      <w:lang w:val="en-GB"/>
                    </w:rPr>
                  </m:ctrlPr>
                </m:sSubPr>
                <m:e>
                  <m:r>
                    <w:rPr>
                      <w:rFonts w:ascii="Cambria Math" w:hAnsi="Cambria Math"/>
                      <w:lang w:val="en-GB"/>
                    </w:rPr>
                    <m:t>E</m:t>
                  </m:r>
                </m:e>
                <m:sub>
                  <m:r>
                    <m:rPr>
                      <m:sty m:val="p"/>
                    </m:rPr>
                    <w:rPr>
                      <w:rFonts w:ascii="Cambria Math" w:hAnsi="Cambria Math"/>
                      <w:lang w:val="de-DE"/>
                    </w:rPr>
                    <m:t>j</m:t>
                  </m:r>
                  <m:r>
                    <w:rPr>
                      <w:rFonts w:ascii="Cambria Math" w:hAnsi="Cambria Math"/>
                      <w:lang w:val="de-DE"/>
                    </w:rPr>
                    <m:t>,</m:t>
                  </m:r>
                  <m:r>
                    <w:rPr>
                      <w:rFonts w:ascii="Cambria Math" w:hAnsi="Cambria Math"/>
                      <w:lang w:val="en-GB"/>
                    </w:rPr>
                    <m:t>k</m:t>
                  </m:r>
                </m:sub>
              </m:sSub>
              <m:r>
                <w:rPr>
                  <w:rFonts w:ascii="Cambria Math" w:hAnsi="Cambria Math"/>
                  <w:lang w:val="de-DE"/>
                </w:rPr>
                <m:t>=</m:t>
              </m:r>
              <m:sSub>
                <m:sSubPr>
                  <m:ctrlPr>
                    <w:rPr>
                      <w:rFonts w:ascii="Cambria Math" w:hAnsi="Cambria Math"/>
                      <w:i/>
                      <w:lang w:val="en-GB"/>
                    </w:rPr>
                  </m:ctrlPr>
                </m:sSubPr>
                <m:e>
                  <m:r>
                    <w:rPr>
                      <w:rFonts w:ascii="Cambria Math" w:hAnsi="Cambria Math"/>
                      <w:lang w:val="en-GB"/>
                    </w:rPr>
                    <m:t>E</m:t>
                  </m:r>
                </m:e>
                <m:sub>
                  <m:r>
                    <m:rPr>
                      <m:sty m:val="p"/>
                    </m:rPr>
                    <w:rPr>
                      <w:rFonts w:ascii="Cambria Math" w:hAnsi="Cambria Math"/>
                      <w:lang w:val="de-DE"/>
                    </w:rPr>
                    <m:t>j</m:t>
                  </m:r>
                </m:sub>
              </m:sSub>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k</m:t>
                      </m:r>
                    </m:sub>
                  </m:sSub>
                </m:e>
              </m:d>
              <m:r>
                <w:rPr>
                  <w:rFonts w:ascii="Cambria Math" w:hAnsi="Cambria Math"/>
                  <w:lang w:val="de-DE"/>
                </w:rPr>
                <m:t>-</m:t>
              </m:r>
              <m:sSub>
                <m:sSubPr>
                  <m:ctrlPr>
                    <w:rPr>
                      <w:rFonts w:ascii="Cambria Math" w:hAnsi="Cambria Math"/>
                      <w:i/>
                      <w:lang w:val="en-GB"/>
                    </w:rPr>
                  </m:ctrlPr>
                </m:sSubPr>
                <m:e>
                  <m:r>
                    <w:rPr>
                      <w:rFonts w:ascii="Cambria Math" w:hAnsi="Cambria Math"/>
                      <w:lang w:val="en-GB"/>
                    </w:rPr>
                    <m:t>E</m:t>
                  </m:r>
                </m:e>
                <m:sub>
                  <m:r>
                    <m:rPr>
                      <m:sty m:val="p"/>
                    </m:rPr>
                    <w:rPr>
                      <w:rFonts w:ascii="Cambria Math" w:hAnsi="Cambria Math"/>
                      <w:lang w:val="de-DE"/>
                    </w:rPr>
                    <m:t>j</m:t>
                  </m:r>
                </m:sub>
              </m:sSub>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k</m:t>
                      </m:r>
                      <m:r>
                        <w:rPr>
                          <w:rFonts w:ascii="Cambria Math" w:hAnsi="Cambria Math"/>
                          <w:lang w:val="de-DE"/>
                        </w:rPr>
                        <m:t>-1</m:t>
                      </m:r>
                    </m:sub>
                  </m:sSub>
                </m:e>
              </m:d>
            </m:oMath>
            <w:r w:rsidRPr="00D3667D">
              <w:rPr>
                <w:lang w:val="de-DE"/>
              </w:rPr>
              <w:t xml:space="preserve"> </w:t>
            </w:r>
          </w:p>
        </w:tc>
        <w:tc>
          <w:tcPr>
            <w:tcW w:w="824" w:type="dxa"/>
            <w:shd w:val="clear" w:color="auto" w:fill="auto"/>
          </w:tcPr>
          <w:p w14:paraId="0160C32D" w14:textId="4B4BDD2B" w:rsidR="00D3667D" w:rsidRPr="00D3667D" w:rsidRDefault="00D3667D" w:rsidP="00A822ED">
            <w:pPr>
              <w:pStyle w:val="EuroSunText"/>
              <w:rPr>
                <w:lang w:val="de-DE"/>
              </w:rPr>
            </w:pPr>
            <w:r w:rsidRPr="00AD611D">
              <w:rPr>
                <w:lang w:val="en-GB"/>
              </w:rPr>
              <w:t>(</w:t>
            </w:r>
            <w:r w:rsidRPr="00AD611D">
              <w:rPr>
                <w:lang w:val="en-GB"/>
              </w:rPr>
              <w:fldChar w:fldCharType="begin"/>
            </w:r>
            <w:r w:rsidRPr="00AD611D">
              <w:rPr>
                <w:lang w:val="en-GB"/>
              </w:rPr>
              <w:instrText xml:space="preserve"> SEQ equation_EuroSun2026 \* ARABIC </w:instrText>
            </w:r>
            <w:r w:rsidRPr="00AD611D">
              <w:rPr>
                <w:lang w:val="en-GB"/>
              </w:rPr>
              <w:fldChar w:fldCharType="separate"/>
            </w:r>
            <w:r>
              <w:rPr>
                <w:noProof/>
                <w:lang w:val="en-GB"/>
              </w:rPr>
              <w:t>2</w:t>
            </w:r>
            <w:r w:rsidRPr="00AD611D">
              <w:rPr>
                <w:lang w:val="en-GB"/>
              </w:rPr>
              <w:fldChar w:fldCharType="end"/>
            </w:r>
            <w:r>
              <w:rPr>
                <w:lang w:val="en-GB"/>
              </w:rPr>
              <w:t>)</w:t>
            </w:r>
          </w:p>
        </w:tc>
      </w:tr>
    </w:tbl>
    <w:p w14:paraId="32E4C0CF" w14:textId="639DB25E" w:rsidR="00E24C41" w:rsidRPr="00AD611D" w:rsidRDefault="006F0420" w:rsidP="00A822ED">
      <w:pPr>
        <w:pStyle w:val="EuroSunText"/>
        <w:rPr>
          <w:lang w:val="en-GB"/>
        </w:rPr>
      </w:pPr>
      <w:r w:rsidRPr="00AD611D">
        <w:rPr>
          <w:lang w:val="en-GB"/>
        </w:rPr>
        <w:t xml:space="preserve">Because the useful energy is subtracted through the apartment meters, this balance holds over any evaluation period and is not restricted to bypass conditions. The balance is evaluated over daily, weekly and monthly periods, with all </w:t>
      </w:r>
      <w:r w:rsidR="006C16AB" w:rsidRPr="00AD611D">
        <w:rPr>
          <w:lang w:val="en-GB"/>
        </w:rPr>
        <w:t>heat meter</w:t>
      </w:r>
      <w:r w:rsidRPr="00AD611D">
        <w:rPr>
          <w:lang w:val="en-GB"/>
        </w:rPr>
        <w:t xml:space="preserve"> readings taken at the period boundaries. Dividing by the period duration yields the mean loss power, which is the quantity the model is calibrated and validated against. All temperature differences entering the model are averaged over exactly the same periods. The nightly window is therefore not used for the calibration itself, but for the analysis of bypass operation and for the independent cross-check described at the end of this section.</w:t>
      </w:r>
    </w:p>
    <w:tbl>
      <w:tblPr>
        <w:tblStyle w:val="Tabellenraster"/>
        <w:tblW w:w="0" w:type="auto"/>
        <w:tblLook w:val="04A0" w:firstRow="1" w:lastRow="0" w:firstColumn="1" w:lastColumn="0" w:noHBand="0" w:noVBand="1"/>
      </w:tblPr>
      <w:tblGrid>
        <w:gridCol w:w="7933"/>
        <w:gridCol w:w="824"/>
      </w:tblGrid>
      <w:tr w:rsidR="0066129C" w:rsidRPr="00AD611D" w14:paraId="7FAFD4B8" w14:textId="77777777" w:rsidTr="001A0A0D">
        <w:tc>
          <w:tcPr>
            <w:tcW w:w="7933" w:type="dxa"/>
            <w:tcBorders>
              <w:top w:val="nil"/>
              <w:left w:val="nil"/>
              <w:bottom w:val="nil"/>
              <w:right w:val="nil"/>
            </w:tcBorders>
            <w:shd w:val="clear" w:color="auto" w:fill="auto"/>
            <w:vAlign w:val="center"/>
          </w:tcPr>
          <w:p w14:paraId="4DF847E6" w14:textId="77777777" w:rsidR="0066129C" w:rsidRPr="00AD611D" w:rsidRDefault="00000000" w:rsidP="001A0A0D">
            <w:pPr>
              <w:pStyle w:val="EuroSunText"/>
              <w:rPr>
                <w:lang w:val="en-GB"/>
              </w:rPr>
            </w:pPr>
            <m:oMath>
              <m:acc>
                <m:accPr>
                  <m:chr m:val="̅"/>
                  <m:ctrlPr>
                    <w:rPr>
                      <w:rFonts w:ascii="Cambria Math" w:hAnsi="Cambria Math"/>
                      <w:lang w:val="en-GB"/>
                    </w:rPr>
                  </m:ctrlPr>
                </m:accPr>
                <m:e>
                  <m:sSubSup>
                    <m:sSubSupPr>
                      <m:ctrlPr>
                        <w:rPr>
                          <w:rFonts w:ascii="Cambria Math" w:hAnsi="Cambria Math"/>
                          <w:i/>
                          <w:lang w:val="en-GB"/>
                        </w:rPr>
                      </m:ctrlPr>
                    </m:sSubSupPr>
                    <m:e>
                      <m:r>
                        <w:rPr>
                          <w:rFonts w:ascii="Cambria Math" w:hAnsi="Cambria Math"/>
                          <w:lang w:val="en-GB"/>
                        </w:rPr>
                        <m:t>P</m:t>
                      </m:r>
                      <m:ctrlPr>
                        <w:rPr>
                          <w:rFonts w:ascii="Cambria Math" w:hAnsi="Cambria Math"/>
                          <w:lang w:val="en-GB"/>
                        </w:rPr>
                      </m:ctrlPr>
                    </m:e>
                    <m:sub>
                      <m:r>
                        <m:rPr>
                          <m:nor/>
                        </m:rPr>
                        <w:rPr>
                          <w:rFonts w:ascii="Cambria Math" w:hAnsi="Cambria Math"/>
                          <w:lang w:val="en-GB"/>
                        </w:rPr>
                        <m:t>loss</m:t>
                      </m:r>
                      <m:r>
                        <w:rPr>
                          <w:rFonts w:ascii="Cambria Math" w:hAnsi="Cambria Math"/>
                          <w:lang w:val="en-GB"/>
                        </w:rPr>
                        <m:t>,k</m:t>
                      </m:r>
                    </m:sub>
                    <m:sup>
                      <m:r>
                        <m:rPr>
                          <m:nor/>
                        </m:rPr>
                        <w:rPr>
                          <w:rFonts w:ascii="Cambria Math" w:hAnsi="Cambria Math"/>
                          <w:lang w:val="en-GB"/>
                        </w:rPr>
                        <m:t>meas</m:t>
                      </m:r>
                    </m:sup>
                  </m:sSubSup>
                </m:e>
              </m:acc>
              <m:r>
                <w:rPr>
                  <w:rFonts w:ascii="Cambria Math" w:hAnsi="Cambria Math"/>
                  <w:lang w:val="en-GB"/>
                </w:rPr>
                <m:t>=</m:t>
              </m:r>
              <m:f>
                <m:fPr>
                  <m:ctrlPr>
                    <w:rPr>
                      <w:rFonts w:ascii="Cambria Math" w:hAnsi="Cambria Math"/>
                      <w:lang w:val="en-GB"/>
                    </w:rPr>
                  </m:ctrlPr>
                </m:fPr>
                <m:num>
                  <m:sSubSup>
                    <m:sSubSupPr>
                      <m:ctrlPr>
                        <w:rPr>
                          <w:rFonts w:ascii="Cambria Math" w:hAnsi="Cambria Math"/>
                          <w:i/>
                          <w:lang w:val="en-GB"/>
                        </w:rPr>
                      </m:ctrlPr>
                    </m:sSubSupPr>
                    <m:e>
                      <m:r>
                        <w:rPr>
                          <w:rFonts w:ascii="Cambria Math" w:hAnsi="Cambria Math"/>
                          <w:lang w:val="en-GB"/>
                        </w:rPr>
                        <m:t>Q</m:t>
                      </m:r>
                    </m:e>
                    <m:sub>
                      <m:r>
                        <m:rPr>
                          <m:nor/>
                        </m:rPr>
                        <w:rPr>
                          <w:rFonts w:ascii="Cambria Math" w:hAnsi="Cambria Math"/>
                          <w:lang w:val="en-GB"/>
                        </w:rPr>
                        <m:t>loss</m:t>
                      </m:r>
                      <m:r>
                        <w:rPr>
                          <w:rFonts w:ascii="Cambria Math" w:hAnsi="Cambria Math"/>
                          <w:lang w:val="en-GB"/>
                        </w:rPr>
                        <m:t>,k</m:t>
                      </m:r>
                    </m:sub>
                    <m:sup>
                      <m:r>
                        <m:rPr>
                          <m:nor/>
                        </m:rPr>
                        <w:rPr>
                          <w:rFonts w:ascii="Cambria Math" w:hAnsi="Cambria Math"/>
                          <w:lang w:val="en-GB"/>
                        </w:rPr>
                        <m:t>meas</m:t>
                      </m:r>
                    </m:sup>
                  </m:sSubSup>
                  <m:ctrlPr>
                    <w:rPr>
                      <w:rFonts w:ascii="Cambria Math" w:hAnsi="Cambria Math"/>
                      <w:i/>
                      <w:lang w:val="en-GB"/>
                    </w:rPr>
                  </m:ctrlPr>
                </m:num>
                <m:den>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k</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k-1</m:t>
                      </m:r>
                    </m:sub>
                  </m:sSub>
                  <m:ctrlPr>
                    <w:rPr>
                      <w:rFonts w:ascii="Cambria Math" w:hAnsi="Cambria Math"/>
                      <w:i/>
                      <w:lang w:val="en-GB"/>
                    </w:rPr>
                  </m:ctrlPr>
                </m:den>
              </m:f>
            </m:oMath>
            <w:r w:rsidR="0066129C" w:rsidRPr="00AD611D">
              <w:rPr>
                <w:lang w:val="en-GB"/>
              </w:rPr>
              <w:t xml:space="preserve"> </w:t>
            </w:r>
          </w:p>
        </w:tc>
        <w:tc>
          <w:tcPr>
            <w:tcW w:w="824" w:type="dxa"/>
            <w:tcBorders>
              <w:top w:val="nil"/>
              <w:left w:val="nil"/>
              <w:bottom w:val="nil"/>
              <w:right w:val="nil"/>
            </w:tcBorders>
            <w:shd w:val="clear" w:color="auto" w:fill="auto"/>
            <w:vAlign w:val="center"/>
          </w:tcPr>
          <w:p w14:paraId="48EB2323" w14:textId="74F87349" w:rsidR="0066129C" w:rsidRPr="00AD611D" w:rsidRDefault="0066129C" w:rsidP="001A0A0D">
            <w:pPr>
              <w:pStyle w:val="EuroSunText"/>
              <w:rPr>
                <w:lang w:val="en-GB"/>
              </w:rPr>
            </w:pPr>
            <w:r w:rsidRPr="00AD611D">
              <w:rPr>
                <w:lang w:val="en-GB"/>
              </w:rPr>
              <w:t>(</w:t>
            </w:r>
            <w:r w:rsidRPr="00AD611D">
              <w:rPr>
                <w:lang w:val="en-GB"/>
              </w:rPr>
              <w:fldChar w:fldCharType="begin"/>
            </w:r>
            <w:r w:rsidRPr="00AD611D">
              <w:rPr>
                <w:lang w:val="en-GB"/>
              </w:rPr>
              <w:instrText xml:space="preserve"> SEQ equation_EuroSun2026 \* ARABIC </w:instrText>
            </w:r>
            <w:r w:rsidRPr="00AD611D">
              <w:rPr>
                <w:lang w:val="en-GB"/>
              </w:rPr>
              <w:fldChar w:fldCharType="separate"/>
            </w:r>
            <w:r w:rsidR="000805D6">
              <w:rPr>
                <w:noProof/>
                <w:lang w:val="en-GB"/>
              </w:rPr>
              <w:t>3</w:t>
            </w:r>
            <w:r w:rsidRPr="00AD611D">
              <w:rPr>
                <w:lang w:val="en-GB"/>
              </w:rPr>
              <w:fldChar w:fldCharType="end"/>
            </w:r>
            <w:r w:rsidRPr="00AD611D">
              <w:rPr>
                <w:lang w:val="en-GB"/>
              </w:rPr>
              <w:t>)</w:t>
            </w:r>
          </w:p>
        </w:tc>
      </w:tr>
    </w:tbl>
    <w:p w14:paraId="54C4BB95" w14:textId="5972DE34" w:rsidR="006F0420" w:rsidRPr="00AD611D" w:rsidRDefault="006F0420" w:rsidP="006F0420">
      <w:pPr>
        <w:pStyle w:val="SWCHeading11"/>
      </w:pPr>
      <w:r w:rsidRPr="00AD611D">
        <w:t>Model structure</w:t>
      </w:r>
    </w:p>
    <w:p w14:paraId="4C60A41A" w14:textId="33696E37" w:rsidR="00116D99" w:rsidRPr="00AD611D" w:rsidRDefault="006F0420" w:rsidP="006F0420">
      <w:pPr>
        <w:pStyle w:val="EuroSunText"/>
        <w:rPr>
          <w:lang w:val="en-GB"/>
        </w:rPr>
      </w:pPr>
      <w:r w:rsidRPr="00AD611D">
        <w:rPr>
          <w:lang w:val="en-GB"/>
        </w:rPr>
        <w:t xml:space="preserve">The losses of the riser group are attributed to two thermal zones. The first </w:t>
      </w:r>
      <w:r w:rsidR="00BD4B51" w:rsidRPr="00AD611D">
        <w:rPr>
          <w:lang w:val="en-GB"/>
        </w:rPr>
        <w:t>includes</w:t>
      </w:r>
      <w:r w:rsidRPr="00AD611D">
        <w:rPr>
          <w:lang w:val="en-GB"/>
        </w:rPr>
        <w:t xml:space="preserve"> the main distribution </w:t>
      </w:r>
      <w:r w:rsidR="00116D99" w:rsidRPr="00AD611D">
        <w:rPr>
          <w:lang w:val="en-GB"/>
        </w:rPr>
        <w:t>pipes</w:t>
      </w:r>
      <w:r w:rsidRPr="00AD611D">
        <w:rPr>
          <w:lang w:val="en-GB"/>
        </w:rPr>
        <w:t xml:space="preserve"> between HM6 and HM7 and the branch connecting it to the riser shafts</w:t>
      </w:r>
      <w:r w:rsidR="00116D99" w:rsidRPr="00AD611D">
        <w:rPr>
          <w:lang w:val="en-GB"/>
        </w:rPr>
        <w:t>.</w:t>
      </w:r>
      <w:r w:rsidRPr="00AD611D">
        <w:rPr>
          <w:lang w:val="en-GB"/>
        </w:rPr>
        <w:t xml:space="preserve"> </w:t>
      </w:r>
      <w:r w:rsidR="00116D99" w:rsidRPr="00AD611D">
        <w:rPr>
          <w:lang w:val="en-GB"/>
        </w:rPr>
        <w:t>B</w:t>
      </w:r>
      <w:r w:rsidRPr="00AD611D">
        <w:rPr>
          <w:lang w:val="en-GB"/>
        </w:rPr>
        <w:t>oth</w:t>
      </w:r>
      <w:r w:rsidR="00C61A59" w:rsidRPr="00AD611D">
        <w:rPr>
          <w:lang w:val="en-GB"/>
        </w:rPr>
        <w:t xml:space="preserve"> pipe</w:t>
      </w:r>
      <w:r w:rsidR="00C90466" w:rsidRPr="00AD611D">
        <w:rPr>
          <w:lang w:val="en-GB"/>
        </w:rPr>
        <w:t xml:space="preserve"> segments</w:t>
      </w:r>
      <w:r w:rsidRPr="00AD611D">
        <w:rPr>
          <w:lang w:val="en-GB"/>
        </w:rPr>
        <w:t xml:space="preserve"> </w:t>
      </w:r>
      <w:proofErr w:type="gramStart"/>
      <w:r w:rsidRPr="00AD611D">
        <w:rPr>
          <w:lang w:val="en-GB"/>
        </w:rPr>
        <w:t>are located in</w:t>
      </w:r>
      <w:proofErr w:type="gramEnd"/>
      <w:r w:rsidRPr="00AD611D">
        <w:rPr>
          <w:lang w:val="en-GB"/>
        </w:rPr>
        <w:t xml:space="preserve"> the unheated bicycle storage room (</w:t>
      </w:r>
      <w:r w:rsidR="00826053">
        <w:rPr>
          <w:lang w:val="en-GB"/>
        </w:rPr>
        <w:t>pink</w:t>
      </w:r>
      <w:r w:rsidR="00826053" w:rsidRPr="00AD611D">
        <w:rPr>
          <w:lang w:val="en-GB"/>
        </w:rPr>
        <w:t xml:space="preserve"> </w:t>
      </w:r>
      <w:r w:rsidRPr="00AD611D">
        <w:rPr>
          <w:lang w:val="en-GB"/>
        </w:rPr>
        <w:t xml:space="preserve">frame in </w:t>
      </w:r>
      <w:r w:rsidR="00267657" w:rsidRPr="00AD611D">
        <w:rPr>
          <w:lang w:val="en-GB"/>
        </w:rPr>
        <w:fldChar w:fldCharType="begin"/>
      </w:r>
      <w:r w:rsidR="00267657" w:rsidRPr="00AD611D">
        <w:rPr>
          <w:lang w:val="en-GB"/>
        </w:rPr>
        <w:instrText xml:space="preserve"> REF _Ref223343080 \h  \* MERGEFORMAT </w:instrText>
      </w:r>
      <w:r w:rsidR="00267657" w:rsidRPr="00AD611D">
        <w:rPr>
          <w:lang w:val="en-GB"/>
        </w:rPr>
      </w:r>
      <w:r w:rsidR="00267657" w:rsidRPr="00AD611D">
        <w:rPr>
          <w:lang w:val="en-GB"/>
        </w:rPr>
        <w:fldChar w:fldCharType="separate"/>
      </w:r>
      <w:r w:rsidR="000805D6" w:rsidRPr="00AD611D">
        <w:rPr>
          <w:lang w:val="en-GB"/>
        </w:rPr>
        <w:t xml:space="preserve">Fig. </w:t>
      </w:r>
      <w:r w:rsidR="000805D6">
        <w:rPr>
          <w:noProof/>
          <w:lang w:val="en-GB"/>
        </w:rPr>
        <w:t>1</w:t>
      </w:r>
      <w:r w:rsidR="00267657" w:rsidRPr="00AD611D">
        <w:rPr>
          <w:lang w:val="en-GB"/>
        </w:rPr>
        <w:fldChar w:fldCharType="end"/>
      </w:r>
      <w:r w:rsidRPr="00AD611D">
        <w:rPr>
          <w:lang w:val="en-GB"/>
        </w:rPr>
        <w:t>(b))</w:t>
      </w:r>
      <w:r w:rsidR="00C90466" w:rsidRPr="00AD611D">
        <w:rPr>
          <w:lang w:val="en-GB"/>
        </w:rPr>
        <w:t xml:space="preserve"> hanging from the ceiling</w:t>
      </w:r>
      <w:r w:rsidRPr="00AD611D">
        <w:rPr>
          <w:lang w:val="en-GB"/>
        </w:rPr>
        <w:t xml:space="preserve">. The second </w:t>
      </w:r>
      <w:r w:rsidR="00C90466" w:rsidRPr="00AD611D">
        <w:rPr>
          <w:lang w:val="en-GB"/>
        </w:rPr>
        <w:t xml:space="preserve">zone </w:t>
      </w:r>
      <w:r w:rsidR="00BD4B51" w:rsidRPr="00AD611D">
        <w:rPr>
          <w:lang w:val="en-GB"/>
        </w:rPr>
        <w:t>includes</w:t>
      </w:r>
      <w:r w:rsidRPr="00AD611D">
        <w:rPr>
          <w:lang w:val="en-GB"/>
        </w:rPr>
        <w:t xml:space="preserve"> the vertical risers inside the thermal envelope (green frame in </w:t>
      </w:r>
      <w:r w:rsidR="00267657" w:rsidRPr="00AD611D">
        <w:rPr>
          <w:lang w:val="en-GB"/>
        </w:rPr>
        <w:fldChar w:fldCharType="begin"/>
      </w:r>
      <w:r w:rsidR="00267657" w:rsidRPr="00AD611D">
        <w:rPr>
          <w:lang w:val="en-GB"/>
        </w:rPr>
        <w:instrText xml:space="preserve"> REF _Ref223343080 \h  \* MERGEFORMAT </w:instrText>
      </w:r>
      <w:r w:rsidR="00267657" w:rsidRPr="00AD611D">
        <w:rPr>
          <w:lang w:val="en-GB"/>
        </w:rPr>
      </w:r>
      <w:r w:rsidR="00267657" w:rsidRPr="00AD611D">
        <w:rPr>
          <w:lang w:val="en-GB"/>
        </w:rPr>
        <w:fldChar w:fldCharType="separate"/>
      </w:r>
      <w:r w:rsidR="000805D6" w:rsidRPr="00AD611D">
        <w:rPr>
          <w:lang w:val="en-GB"/>
        </w:rPr>
        <w:t xml:space="preserve">Fig. </w:t>
      </w:r>
      <w:r w:rsidR="000805D6">
        <w:rPr>
          <w:noProof/>
          <w:lang w:val="en-GB"/>
        </w:rPr>
        <w:t>1</w:t>
      </w:r>
      <w:r w:rsidR="00267657" w:rsidRPr="00AD611D">
        <w:rPr>
          <w:lang w:val="en-GB"/>
        </w:rPr>
        <w:fldChar w:fldCharType="end"/>
      </w:r>
      <w:r w:rsidRPr="00AD611D">
        <w:rPr>
          <w:lang w:val="en-GB"/>
        </w:rPr>
        <w:t>(b)) together with the FWS</w:t>
      </w:r>
      <w:r w:rsidR="00C90466" w:rsidRPr="00AD611D">
        <w:rPr>
          <w:lang w:val="en-GB"/>
        </w:rPr>
        <w:t>.</w:t>
      </w:r>
      <w:r w:rsidRPr="00AD611D">
        <w:rPr>
          <w:lang w:val="en-GB"/>
        </w:rPr>
        <w:t xml:space="preserve"> Since the volume flow in the main </w:t>
      </w:r>
      <w:r w:rsidR="00C90466" w:rsidRPr="00AD611D">
        <w:rPr>
          <w:lang w:val="en-GB"/>
        </w:rPr>
        <w:t>distribution pipes</w:t>
      </w:r>
      <w:r w:rsidRPr="00AD611D">
        <w:rPr>
          <w:lang w:val="en-GB"/>
        </w:rPr>
        <w:t xml:space="preserve"> exceeds the bypass flow of the riser group by a factor of eleven to fourteen (see </w:t>
      </w:r>
      <w:r w:rsidR="00267657" w:rsidRPr="00AD611D">
        <w:rPr>
          <w:lang w:val="en-GB"/>
        </w:rPr>
        <w:fldChar w:fldCharType="begin"/>
      </w:r>
      <w:r w:rsidR="00267657" w:rsidRPr="00AD611D">
        <w:rPr>
          <w:lang w:val="en-GB"/>
        </w:rPr>
        <w:instrText xml:space="preserve"> REF _Ref239173795 \h  \* MERGEFORMAT </w:instrText>
      </w:r>
      <w:r w:rsidR="00267657" w:rsidRPr="00AD611D">
        <w:rPr>
          <w:lang w:val="en-GB"/>
        </w:rPr>
      </w:r>
      <w:r w:rsidR="00267657" w:rsidRPr="00AD611D">
        <w:rPr>
          <w:lang w:val="en-GB"/>
        </w:rPr>
        <w:fldChar w:fldCharType="separate"/>
      </w:r>
      <w:r w:rsidR="000805D6" w:rsidRPr="00AD611D">
        <w:rPr>
          <w:lang w:val="en-GB"/>
        </w:rPr>
        <w:t xml:space="preserve">Fig. </w:t>
      </w:r>
      <w:r w:rsidR="000805D6">
        <w:rPr>
          <w:noProof/>
          <w:lang w:val="en-GB"/>
        </w:rPr>
        <w:t>2</w:t>
      </w:r>
      <w:r w:rsidR="00267657" w:rsidRPr="00AD611D">
        <w:rPr>
          <w:lang w:val="en-GB"/>
        </w:rPr>
        <w:fldChar w:fldCharType="end"/>
      </w:r>
      <w:r w:rsidRPr="00AD611D">
        <w:rPr>
          <w:lang w:val="en-GB"/>
        </w:rPr>
        <w:t xml:space="preserve">), its water temperature is </w:t>
      </w:r>
      <w:r w:rsidR="00C90466" w:rsidRPr="00AD611D">
        <w:rPr>
          <w:lang w:val="en-GB"/>
        </w:rPr>
        <w:t>barely</w:t>
      </w:r>
      <w:r w:rsidRPr="00AD611D">
        <w:rPr>
          <w:lang w:val="en-GB"/>
        </w:rPr>
        <w:t xml:space="preserve"> affected by the state of the riser group and is taken directly from the flow and return temperatures measured at HM6 and HM7.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6"/>
        <w:gridCol w:w="3967"/>
        <w:gridCol w:w="833"/>
      </w:tblGrid>
      <w:tr w:rsidR="00116D99" w:rsidRPr="00AD611D" w14:paraId="7781DD4D" w14:textId="77777777" w:rsidTr="00116D99">
        <w:trPr>
          <w:trHeight w:val="680"/>
        </w:trPr>
        <w:tc>
          <w:tcPr>
            <w:tcW w:w="3966" w:type="dxa"/>
            <w:shd w:val="clear" w:color="auto" w:fill="auto"/>
            <w:vAlign w:val="center"/>
          </w:tcPr>
          <w:p w14:paraId="7C871555" w14:textId="77777777" w:rsidR="00116D99" w:rsidRPr="00AD611D" w:rsidRDefault="00000000" w:rsidP="00FB69E7">
            <w:pPr>
              <w:pStyle w:val="EuroSunText"/>
              <w:rPr>
                <w:lang w:val="en-GB"/>
              </w:rPr>
            </w:pPr>
            <m:oMath>
              <m:sSub>
                <m:sSubPr>
                  <m:ctrlPr>
                    <w:rPr>
                      <w:rFonts w:ascii="Cambria Math" w:hAnsi="Cambria Math"/>
                      <w:lang w:val="en-GB"/>
                    </w:rPr>
                  </m:ctrlPr>
                </m:sSubPr>
                <m:e>
                  <m:r>
                    <m:rPr>
                      <m:sty m:val="p"/>
                    </m:rPr>
                    <w:rPr>
                      <w:rFonts w:ascii="Cambria Math" w:hAnsi="Cambria Math"/>
                      <w:lang w:val="en-GB"/>
                    </w:rPr>
                    <m:t>ϑ</m:t>
                  </m:r>
                </m:e>
                <m:sub>
                  <m:r>
                    <m:rPr>
                      <m:sty m:val="p"/>
                    </m:rPr>
                    <w:rPr>
                      <w:rFonts w:ascii="Cambria Math" w:hAnsi="Cambria Math"/>
                      <w:lang w:val="en-GB"/>
                    </w:rPr>
                    <m:t>main</m:t>
                  </m:r>
                </m:sub>
              </m:sSub>
              <m:r>
                <m:rPr>
                  <m:sty m:val="p"/>
                </m:rPr>
                <w:rPr>
                  <w:rFonts w:ascii="Cambria Math" w:hAnsi="Cambria Math"/>
                  <w:lang w:val="en-GB"/>
                </w:rPr>
                <m:t>=</m:t>
              </m:r>
              <m:f>
                <m:fPr>
                  <m:ctrlPr>
                    <w:rPr>
                      <w:rFonts w:ascii="Cambria Math" w:hAnsi="Cambria Math"/>
                      <w:lang w:val="en-GB"/>
                    </w:rPr>
                  </m:ctrlPr>
                </m:fPr>
                <m:num>
                  <m:r>
                    <m:rPr>
                      <m:sty m:val="p"/>
                    </m:rPr>
                    <w:rPr>
                      <w:rFonts w:ascii="Cambria Math" w:hAnsi="Cambria Math"/>
                      <w:lang w:val="en-GB"/>
                    </w:rPr>
                    <m:t>1</m:t>
                  </m:r>
                </m:num>
                <m:den>
                  <m:r>
                    <m:rPr>
                      <m:sty m:val="p"/>
                    </m:rPr>
                    <w:rPr>
                      <w:rFonts w:ascii="Cambria Math" w:hAnsi="Cambria Math"/>
                      <w:lang w:val="en-GB"/>
                    </w:rPr>
                    <m:t>2</m:t>
                  </m:r>
                </m:den>
              </m:f>
              <m:d>
                <m:dPr>
                  <m:ctrlPr>
                    <w:rPr>
                      <w:rFonts w:ascii="Cambria Math" w:hAnsi="Cambria Math"/>
                      <w:lang w:val="en-GB"/>
                    </w:rPr>
                  </m:ctrlPr>
                </m:dPr>
                <m:e>
                  <m:f>
                    <m:fPr>
                      <m:ctrlPr>
                        <w:rPr>
                          <w:rFonts w:ascii="Cambria Math" w:hAnsi="Cambria Math"/>
                          <w:lang w:val="en-GB"/>
                        </w:rPr>
                      </m:ctrlPr>
                    </m:fPr>
                    <m:num>
                      <m:sSub>
                        <m:sSubPr>
                          <m:ctrlPr>
                            <w:rPr>
                              <w:rFonts w:ascii="Cambria Math" w:hAnsi="Cambria Math"/>
                              <w:lang w:val="en-GB"/>
                            </w:rPr>
                          </m:ctrlPr>
                        </m:sSubPr>
                        <m:e>
                          <m:r>
                            <m:rPr>
                              <m:sty m:val="p"/>
                            </m:rPr>
                            <w:rPr>
                              <w:rFonts w:ascii="Cambria Math" w:hAnsi="Cambria Math"/>
                              <w:lang w:val="en-GB"/>
                            </w:rPr>
                            <m:t>ϑ</m:t>
                          </m:r>
                        </m:e>
                        <m:sub>
                          <m:r>
                            <m:rPr>
                              <m:sty m:val="p"/>
                            </m:rPr>
                            <w:rPr>
                              <w:rFonts w:ascii="Cambria Math" w:hAnsi="Cambria Math"/>
                              <w:lang w:val="en-GB"/>
                            </w:rPr>
                            <m:t>f,HM6</m:t>
                          </m:r>
                        </m:sub>
                      </m:sSub>
                      <m:r>
                        <m:rPr>
                          <m:sty m:val="p"/>
                        </m:rPr>
                        <w:rPr>
                          <w:rFonts w:ascii="Cambria Math" w:hAnsi="Cambria Math"/>
                          <w:lang w:val="en-GB"/>
                        </w:rPr>
                        <m:t>+</m:t>
                      </m:r>
                      <m:sSub>
                        <m:sSubPr>
                          <m:ctrlPr>
                            <w:rPr>
                              <w:rFonts w:ascii="Cambria Math" w:hAnsi="Cambria Math"/>
                              <w:lang w:val="en-GB"/>
                            </w:rPr>
                          </m:ctrlPr>
                        </m:sSubPr>
                        <m:e>
                          <m:r>
                            <m:rPr>
                              <m:sty m:val="p"/>
                            </m:rPr>
                            <w:rPr>
                              <w:rFonts w:ascii="Cambria Math" w:hAnsi="Cambria Math"/>
                              <w:lang w:val="en-GB"/>
                            </w:rPr>
                            <m:t>ϑ</m:t>
                          </m:r>
                        </m:e>
                        <m:sub>
                          <m:r>
                            <m:rPr>
                              <m:sty m:val="p"/>
                            </m:rPr>
                            <w:rPr>
                              <w:rFonts w:ascii="Cambria Math" w:hAnsi="Cambria Math"/>
                              <w:lang w:val="en-GB"/>
                            </w:rPr>
                            <m:t>f,HM7</m:t>
                          </m:r>
                        </m:sub>
                      </m:sSub>
                    </m:num>
                    <m:den>
                      <m:r>
                        <m:rPr>
                          <m:sty m:val="p"/>
                        </m:rPr>
                        <w:rPr>
                          <w:rFonts w:ascii="Cambria Math" w:hAnsi="Cambria Math"/>
                          <w:lang w:val="en-GB"/>
                        </w:rPr>
                        <m:t>2</m:t>
                      </m:r>
                    </m:den>
                  </m:f>
                  <m:r>
                    <m:rPr>
                      <m:sty m:val="p"/>
                    </m:rPr>
                    <w:rPr>
                      <w:rFonts w:ascii="Cambria Math" w:hAnsi="Cambria Math"/>
                      <w:lang w:val="en-GB"/>
                    </w:rPr>
                    <m:t>+</m:t>
                  </m:r>
                  <m:f>
                    <m:fPr>
                      <m:ctrlPr>
                        <w:rPr>
                          <w:rFonts w:ascii="Cambria Math" w:hAnsi="Cambria Math"/>
                          <w:lang w:val="en-GB"/>
                        </w:rPr>
                      </m:ctrlPr>
                    </m:fPr>
                    <m:num>
                      <m:sSub>
                        <m:sSubPr>
                          <m:ctrlPr>
                            <w:rPr>
                              <w:rFonts w:ascii="Cambria Math" w:hAnsi="Cambria Math"/>
                              <w:lang w:val="en-GB"/>
                            </w:rPr>
                          </m:ctrlPr>
                        </m:sSubPr>
                        <m:e>
                          <m:r>
                            <m:rPr>
                              <m:sty m:val="p"/>
                            </m:rPr>
                            <w:rPr>
                              <w:rFonts w:ascii="Cambria Math" w:hAnsi="Cambria Math"/>
                              <w:lang w:val="en-GB"/>
                            </w:rPr>
                            <m:t>ϑ</m:t>
                          </m:r>
                        </m:e>
                        <m:sub>
                          <m:r>
                            <m:rPr>
                              <m:sty m:val="p"/>
                            </m:rPr>
                            <w:rPr>
                              <w:rFonts w:ascii="Cambria Math" w:hAnsi="Cambria Math"/>
                              <w:lang w:val="en-GB"/>
                            </w:rPr>
                            <m:t>r,HM6</m:t>
                          </m:r>
                        </m:sub>
                      </m:sSub>
                      <m:r>
                        <m:rPr>
                          <m:sty m:val="p"/>
                        </m:rPr>
                        <w:rPr>
                          <w:rFonts w:ascii="Cambria Math" w:hAnsi="Cambria Math"/>
                          <w:lang w:val="en-GB"/>
                        </w:rPr>
                        <m:t>+</m:t>
                      </m:r>
                      <m:sSub>
                        <m:sSubPr>
                          <m:ctrlPr>
                            <w:rPr>
                              <w:rFonts w:ascii="Cambria Math" w:hAnsi="Cambria Math"/>
                              <w:lang w:val="en-GB"/>
                            </w:rPr>
                          </m:ctrlPr>
                        </m:sSubPr>
                        <m:e>
                          <m:r>
                            <m:rPr>
                              <m:sty m:val="p"/>
                            </m:rPr>
                            <w:rPr>
                              <w:rFonts w:ascii="Cambria Math" w:hAnsi="Cambria Math"/>
                              <w:lang w:val="en-GB"/>
                            </w:rPr>
                            <m:t>ϑ</m:t>
                          </m:r>
                        </m:e>
                        <m:sub>
                          <m:r>
                            <m:rPr>
                              <m:sty m:val="p"/>
                            </m:rPr>
                            <w:rPr>
                              <w:rFonts w:ascii="Cambria Math" w:hAnsi="Cambria Math"/>
                              <w:lang w:val="en-GB"/>
                            </w:rPr>
                            <m:t>r,HM7</m:t>
                          </m:r>
                        </m:sub>
                      </m:sSub>
                    </m:num>
                    <m:den>
                      <m:r>
                        <m:rPr>
                          <m:sty m:val="p"/>
                        </m:rPr>
                        <w:rPr>
                          <w:rFonts w:ascii="Cambria Math" w:hAnsi="Cambria Math"/>
                          <w:lang w:val="en-GB"/>
                        </w:rPr>
                        <m:t>2</m:t>
                      </m:r>
                    </m:den>
                  </m:f>
                </m:e>
              </m:d>
              <m:r>
                <w:rPr>
                  <w:rFonts w:ascii="Cambria Math" w:hAnsi="Cambria Math"/>
                  <w:lang w:val="en-GB"/>
                </w:rPr>
                <m:t xml:space="preserve"> </m:t>
              </m:r>
            </m:oMath>
            <w:r w:rsidR="00116D99" w:rsidRPr="00AD611D">
              <w:rPr>
                <w:lang w:val="en-GB"/>
              </w:rPr>
              <w:t xml:space="preserve"> </w:t>
            </w:r>
          </w:p>
        </w:tc>
        <w:tc>
          <w:tcPr>
            <w:tcW w:w="3967" w:type="dxa"/>
            <w:shd w:val="clear" w:color="auto" w:fill="auto"/>
            <w:vAlign w:val="center"/>
          </w:tcPr>
          <w:p w14:paraId="654A48E0" w14:textId="61760D18" w:rsidR="00116D99" w:rsidRPr="00AD611D" w:rsidRDefault="00116D99" w:rsidP="00FB69E7">
            <w:pPr>
              <w:pStyle w:val="EuroSunText"/>
              <w:rPr>
                <w:lang w:val="en-GB"/>
              </w:rPr>
            </w:pPr>
          </w:p>
        </w:tc>
        <w:tc>
          <w:tcPr>
            <w:tcW w:w="833" w:type="dxa"/>
            <w:shd w:val="clear" w:color="auto" w:fill="auto"/>
            <w:vAlign w:val="center"/>
          </w:tcPr>
          <w:p w14:paraId="6DDAA1E6" w14:textId="6F74C0D3" w:rsidR="00116D99" w:rsidRPr="00AD611D" w:rsidRDefault="00116D99" w:rsidP="00FB69E7">
            <w:pPr>
              <w:pStyle w:val="EuroSunText"/>
              <w:rPr>
                <w:lang w:val="en-GB"/>
              </w:rPr>
            </w:pPr>
            <w:r w:rsidRPr="00AD611D">
              <w:rPr>
                <w:lang w:val="en-GB"/>
              </w:rPr>
              <w:t>(</w:t>
            </w:r>
            <w:r w:rsidRPr="00AD611D">
              <w:rPr>
                <w:lang w:val="en-GB"/>
              </w:rPr>
              <w:fldChar w:fldCharType="begin"/>
            </w:r>
            <w:r w:rsidRPr="00AD611D">
              <w:rPr>
                <w:lang w:val="en-GB"/>
              </w:rPr>
              <w:instrText xml:space="preserve"> SEQ equation_EuroSun2026 \* ARABIC </w:instrText>
            </w:r>
            <w:r w:rsidRPr="00AD611D">
              <w:rPr>
                <w:lang w:val="en-GB"/>
              </w:rPr>
              <w:fldChar w:fldCharType="separate"/>
            </w:r>
            <w:r w:rsidR="000805D6">
              <w:rPr>
                <w:noProof/>
                <w:lang w:val="en-GB"/>
              </w:rPr>
              <w:t>4</w:t>
            </w:r>
            <w:r w:rsidRPr="00AD611D">
              <w:rPr>
                <w:lang w:val="en-GB"/>
              </w:rPr>
              <w:fldChar w:fldCharType="end"/>
            </w:r>
            <w:r w:rsidRPr="00AD611D">
              <w:rPr>
                <w:lang w:val="en-GB"/>
              </w:rPr>
              <w:t>)</w:t>
            </w:r>
          </w:p>
        </w:tc>
      </w:tr>
      <w:tr w:rsidR="00116D99" w:rsidRPr="00AD611D" w14:paraId="7E5EE6E1" w14:textId="77777777" w:rsidTr="00116D99">
        <w:trPr>
          <w:trHeight w:val="680"/>
        </w:trPr>
        <w:tc>
          <w:tcPr>
            <w:tcW w:w="3966" w:type="dxa"/>
            <w:shd w:val="clear" w:color="auto" w:fill="auto"/>
            <w:vAlign w:val="center"/>
          </w:tcPr>
          <w:p w14:paraId="4C13D0C7" w14:textId="5604AC30" w:rsidR="00116D99" w:rsidRPr="0038025C" w:rsidRDefault="0038025C" w:rsidP="00FB69E7">
            <w:pPr>
              <w:pStyle w:val="EuroSunText"/>
              <w:rPr>
                <w:lang w:val="de-DE"/>
              </w:rPr>
            </w:pPr>
            <m:oMath>
              <m:sSub>
                <m:sSubPr>
                  <m:ctrlPr>
                    <w:rPr>
                      <w:rFonts w:ascii="Cambria Math" w:hAnsi="Cambria Math"/>
                      <w:i/>
                      <w:lang w:val="en-GB"/>
                    </w:rPr>
                  </m:ctrlPr>
                </m:sSubPr>
                <m:e>
                  <m:r>
                    <w:rPr>
                      <w:rFonts w:ascii="Cambria Math" w:hAnsi="Cambria Math"/>
                      <w:lang w:val="en-GB"/>
                    </w:rPr>
                    <m:t>ϑ</m:t>
                  </m:r>
                </m:e>
                <m:sub>
                  <m:r>
                    <w:rPr>
                      <w:rFonts w:ascii="Cambria Math" w:hAnsi="Cambria Math"/>
                      <w:lang w:val="en-GB"/>
                    </w:rPr>
                    <m:t>riser</m:t>
                  </m:r>
                </m:sub>
              </m:sSub>
              <m:r>
                <w:rPr>
                  <w:rFonts w:ascii="Cambria Math" w:hAnsi="Cambria Math"/>
                  <w:lang w:val="de-DE"/>
                </w:rPr>
                <m:t>=</m:t>
              </m:r>
              <m:f>
                <m:fPr>
                  <m:ctrlPr>
                    <w:rPr>
                      <w:rFonts w:ascii="Cambria Math" w:hAnsi="Cambria Math"/>
                      <w:i/>
                      <w:lang w:val="en-GB"/>
                    </w:rPr>
                  </m:ctrlPr>
                </m:fPr>
                <m:num>
                  <m:r>
                    <w:rPr>
                      <w:rFonts w:ascii="Cambria Math" w:hAnsi="Cambria Math"/>
                      <w:lang w:val="de-DE"/>
                    </w:rPr>
                    <m:t>1</m:t>
                  </m:r>
                </m:num>
                <m:den>
                  <m:r>
                    <w:rPr>
                      <w:rFonts w:ascii="Cambria Math" w:hAnsi="Cambria Math"/>
                      <w:lang w:val="de-DE"/>
                    </w:rPr>
                    <m:t>2</m:t>
                  </m:r>
                </m:den>
              </m:f>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ϑ</m:t>
                      </m:r>
                    </m:e>
                    <m:sub>
                      <m:r>
                        <w:rPr>
                          <w:rFonts w:ascii="Cambria Math" w:hAnsi="Cambria Math"/>
                          <w:lang w:val="en-GB"/>
                        </w:rPr>
                        <m:t>f</m:t>
                      </m:r>
                      <m:r>
                        <w:rPr>
                          <w:rFonts w:ascii="Cambria Math" w:hAnsi="Cambria Math"/>
                          <w:lang w:val="de-DE"/>
                        </w:rPr>
                        <m:t>,</m:t>
                      </m:r>
                      <m:r>
                        <w:rPr>
                          <w:rFonts w:ascii="Cambria Math" w:hAnsi="Cambria Math"/>
                          <w:lang w:val="en-GB"/>
                        </w:rPr>
                        <m:t>HM</m:t>
                      </m:r>
                      <m:r>
                        <w:rPr>
                          <w:rFonts w:ascii="Cambria Math" w:hAnsi="Cambria Math"/>
                          <w:lang w:val="de-DE"/>
                        </w:rPr>
                        <m:t>6</m:t>
                      </m:r>
                    </m:sub>
                  </m:sSub>
                  <m:r>
                    <w:rPr>
                      <w:rFonts w:ascii="Cambria Math" w:hAnsi="Cambria Math"/>
                      <w:lang w:val="de-DE"/>
                    </w:rPr>
                    <m:t>+</m:t>
                  </m:r>
                  <m:sSub>
                    <m:sSubPr>
                      <m:ctrlPr>
                        <w:rPr>
                          <w:rFonts w:ascii="Cambria Math" w:hAnsi="Cambria Math"/>
                          <w:i/>
                          <w:lang w:val="en-GB"/>
                        </w:rPr>
                      </m:ctrlPr>
                    </m:sSubPr>
                    <m:e>
                      <m:r>
                        <w:rPr>
                          <w:rFonts w:ascii="Cambria Math" w:hAnsi="Cambria Math"/>
                          <w:lang w:val="en-GB"/>
                        </w:rPr>
                        <m:t>ϑ</m:t>
                      </m:r>
                    </m:e>
                    <m:sub>
                      <m:r>
                        <w:rPr>
                          <w:rFonts w:ascii="Cambria Math" w:hAnsi="Cambria Math"/>
                          <w:lang w:val="en-GB"/>
                        </w:rPr>
                        <m:t>r</m:t>
                      </m:r>
                      <m:r>
                        <w:rPr>
                          <w:rFonts w:ascii="Cambria Math" w:hAnsi="Cambria Math"/>
                          <w:lang w:val="de-DE"/>
                        </w:rPr>
                        <m:t>,</m:t>
                      </m:r>
                      <m:r>
                        <w:rPr>
                          <w:rFonts w:ascii="Cambria Math" w:hAnsi="Cambria Math"/>
                          <w:lang w:val="en-GB"/>
                        </w:rPr>
                        <m:t>C</m:t>
                      </m:r>
                      <m:r>
                        <w:rPr>
                          <w:rFonts w:ascii="Cambria Math" w:hAnsi="Cambria Math"/>
                          <w:lang w:val="de-DE"/>
                        </w:rPr>
                        <m:t>6/</m:t>
                      </m:r>
                      <m:r>
                        <w:rPr>
                          <w:rFonts w:ascii="Cambria Math" w:hAnsi="Cambria Math"/>
                          <w:lang w:val="en-GB"/>
                        </w:rPr>
                        <m:t>C</m:t>
                      </m:r>
                      <m:r>
                        <w:rPr>
                          <w:rFonts w:ascii="Cambria Math" w:hAnsi="Cambria Math"/>
                          <w:lang w:val="de-DE"/>
                        </w:rPr>
                        <m:t>7</m:t>
                      </m:r>
                    </m:sub>
                  </m:sSub>
                </m:e>
              </m:d>
            </m:oMath>
            <w:r w:rsidRPr="0038025C">
              <w:rPr>
                <w:lang w:val="de-DE"/>
              </w:rPr>
              <w:t xml:space="preserve"> </w:t>
            </w:r>
          </w:p>
        </w:tc>
        <w:tc>
          <w:tcPr>
            <w:tcW w:w="3967" w:type="dxa"/>
            <w:shd w:val="clear" w:color="auto" w:fill="auto"/>
            <w:vAlign w:val="center"/>
          </w:tcPr>
          <w:p w14:paraId="2F3D3B3C" w14:textId="0FADCA8A" w:rsidR="00116D99" w:rsidRPr="000067A6" w:rsidRDefault="00116D99" w:rsidP="00FB69E7">
            <w:pPr>
              <w:pStyle w:val="EuroSunText"/>
              <w:rPr>
                <w:lang w:val="de-DE"/>
              </w:rPr>
            </w:pPr>
          </w:p>
        </w:tc>
        <w:tc>
          <w:tcPr>
            <w:tcW w:w="833" w:type="dxa"/>
            <w:shd w:val="clear" w:color="auto" w:fill="auto"/>
            <w:vAlign w:val="center"/>
          </w:tcPr>
          <w:p w14:paraId="5B163793" w14:textId="5E72CCD3" w:rsidR="00116D99" w:rsidRPr="00AD611D" w:rsidRDefault="0038025C" w:rsidP="00FB69E7">
            <w:pPr>
              <w:pStyle w:val="EuroSunText"/>
              <w:rPr>
                <w:lang w:val="en-GB"/>
              </w:rPr>
            </w:pPr>
            <w:r w:rsidRPr="00AD611D">
              <w:rPr>
                <w:lang w:val="en-GB"/>
              </w:rPr>
              <w:t>(</w:t>
            </w:r>
            <w:r w:rsidRPr="00AD611D">
              <w:rPr>
                <w:lang w:val="en-GB"/>
              </w:rPr>
              <w:fldChar w:fldCharType="begin"/>
            </w:r>
            <w:r w:rsidRPr="00AD611D">
              <w:rPr>
                <w:lang w:val="en-GB"/>
              </w:rPr>
              <w:instrText xml:space="preserve"> SEQ equation_EuroSun2026 \* ARABIC </w:instrText>
            </w:r>
            <w:r w:rsidRPr="00AD611D">
              <w:rPr>
                <w:lang w:val="en-GB"/>
              </w:rPr>
              <w:fldChar w:fldCharType="separate"/>
            </w:r>
            <w:r>
              <w:rPr>
                <w:noProof/>
                <w:lang w:val="en-GB"/>
              </w:rPr>
              <w:t>5</w:t>
            </w:r>
            <w:r w:rsidRPr="00AD611D">
              <w:rPr>
                <w:lang w:val="en-GB"/>
              </w:rPr>
              <w:fldChar w:fldCharType="end"/>
            </w:r>
            <w:r w:rsidRPr="00AD611D">
              <w:rPr>
                <w:lang w:val="en-GB"/>
              </w:rPr>
              <w:t>)</w:t>
            </w:r>
          </w:p>
        </w:tc>
      </w:tr>
      <w:tr w:rsidR="00116D99" w:rsidRPr="00AD611D" w14:paraId="1A5A85B7" w14:textId="77777777" w:rsidTr="00116D99">
        <w:trPr>
          <w:trHeight w:val="680"/>
        </w:trPr>
        <w:tc>
          <w:tcPr>
            <w:tcW w:w="3966" w:type="dxa"/>
            <w:shd w:val="clear" w:color="auto" w:fill="auto"/>
            <w:vAlign w:val="center"/>
          </w:tcPr>
          <w:p w14:paraId="19CC35D5" w14:textId="0C4E882E" w:rsidR="00116D99" w:rsidRPr="0038025C" w:rsidRDefault="0038025C" w:rsidP="00FB69E7">
            <w:pPr>
              <w:pStyle w:val="EuroSunText"/>
              <w:rPr>
                <w:lang w:val="de-DE"/>
              </w:rPr>
            </w:pPr>
            <m:oMath>
              <m:r>
                <w:rPr>
                  <w:rFonts w:ascii="Cambria Math" w:hAnsi="Cambria Math"/>
                  <w:lang w:val="en-GB"/>
                </w:rPr>
                <m:t>Δ</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main</m:t>
                  </m:r>
                </m:sub>
              </m:sSub>
              <m:r>
                <w:rPr>
                  <w:rFonts w:ascii="Cambria Math" w:hAnsi="Cambria Math"/>
                  <w:lang w:val="de-DE"/>
                </w:rPr>
                <m:t>=</m:t>
              </m:r>
              <m:sSub>
                <m:sSubPr>
                  <m:ctrlPr>
                    <w:rPr>
                      <w:rFonts w:ascii="Cambria Math" w:hAnsi="Cambria Math"/>
                      <w:i/>
                      <w:lang w:val="en-GB"/>
                    </w:rPr>
                  </m:ctrlPr>
                </m:sSubPr>
                <m:e>
                  <m:r>
                    <w:rPr>
                      <w:rFonts w:ascii="Cambria Math" w:hAnsi="Cambria Math"/>
                      <w:lang w:val="en-GB"/>
                    </w:rPr>
                    <m:t>ϑ</m:t>
                  </m:r>
                </m:e>
                <m:sub>
                  <m:r>
                    <w:rPr>
                      <w:rFonts w:ascii="Cambria Math" w:hAnsi="Cambria Math"/>
                      <w:lang w:val="en-GB"/>
                    </w:rPr>
                    <m:t>main</m:t>
                  </m:r>
                </m:sub>
              </m:sSub>
              <m:r>
                <w:rPr>
                  <w:rFonts w:ascii="Cambria Math" w:hAnsi="Cambria Math"/>
                  <w:lang w:val="de-DE"/>
                </w:rPr>
                <m:t>-</m:t>
              </m:r>
              <m:sSub>
                <m:sSubPr>
                  <m:ctrlPr>
                    <w:rPr>
                      <w:rFonts w:ascii="Cambria Math" w:hAnsi="Cambria Math"/>
                      <w:i/>
                      <w:lang w:val="en-GB"/>
                    </w:rPr>
                  </m:ctrlPr>
                </m:sSubPr>
                <m:e>
                  <m:r>
                    <w:rPr>
                      <w:rFonts w:ascii="Cambria Math" w:hAnsi="Cambria Math"/>
                      <w:lang w:val="en-GB"/>
                    </w:rPr>
                    <m:t>ϑ</m:t>
                  </m:r>
                </m:e>
                <m:sub>
                  <m:r>
                    <w:rPr>
                      <w:rFonts w:ascii="Cambria Math" w:hAnsi="Cambria Math"/>
                      <w:lang w:val="en-GB"/>
                    </w:rPr>
                    <m:t>storage</m:t>
                  </m:r>
                </m:sub>
              </m:sSub>
            </m:oMath>
            <w:r w:rsidRPr="0038025C">
              <w:rPr>
                <w:lang w:val="de-DE"/>
              </w:rPr>
              <w:t xml:space="preserve"> </w:t>
            </w:r>
          </w:p>
        </w:tc>
        <w:tc>
          <w:tcPr>
            <w:tcW w:w="3967" w:type="dxa"/>
            <w:shd w:val="clear" w:color="auto" w:fill="auto"/>
            <w:vAlign w:val="center"/>
          </w:tcPr>
          <w:p w14:paraId="4A39FC07" w14:textId="248C983F" w:rsidR="00116D99" w:rsidRPr="0038025C" w:rsidRDefault="00116D99" w:rsidP="00FB69E7">
            <w:pPr>
              <w:pStyle w:val="EuroSunText"/>
              <w:rPr>
                <w:lang w:val="de-DE"/>
              </w:rPr>
            </w:pPr>
          </w:p>
        </w:tc>
        <w:tc>
          <w:tcPr>
            <w:tcW w:w="833" w:type="dxa"/>
            <w:shd w:val="clear" w:color="auto" w:fill="auto"/>
            <w:vAlign w:val="center"/>
          </w:tcPr>
          <w:p w14:paraId="2D86759B" w14:textId="229AFFC2" w:rsidR="00116D99" w:rsidRPr="0038025C" w:rsidRDefault="0038025C" w:rsidP="00FB69E7">
            <w:pPr>
              <w:pStyle w:val="EuroSunText"/>
              <w:rPr>
                <w:lang w:val="de-DE"/>
              </w:rPr>
            </w:pPr>
            <w:r w:rsidRPr="00AD611D">
              <w:rPr>
                <w:lang w:val="en-GB"/>
              </w:rPr>
              <w:t>(</w:t>
            </w:r>
            <w:r w:rsidRPr="00AD611D">
              <w:rPr>
                <w:lang w:val="en-GB"/>
              </w:rPr>
              <w:fldChar w:fldCharType="begin"/>
            </w:r>
            <w:r w:rsidRPr="00AD611D">
              <w:rPr>
                <w:lang w:val="en-GB"/>
              </w:rPr>
              <w:instrText xml:space="preserve"> SEQ equation_EuroSun2026 \* ARABIC </w:instrText>
            </w:r>
            <w:r w:rsidRPr="00AD611D">
              <w:rPr>
                <w:lang w:val="en-GB"/>
              </w:rPr>
              <w:fldChar w:fldCharType="separate"/>
            </w:r>
            <w:r>
              <w:rPr>
                <w:noProof/>
                <w:lang w:val="en-GB"/>
              </w:rPr>
              <w:t>6</w:t>
            </w:r>
            <w:r w:rsidRPr="00AD611D">
              <w:rPr>
                <w:lang w:val="en-GB"/>
              </w:rPr>
              <w:fldChar w:fldCharType="end"/>
            </w:r>
            <w:r w:rsidRPr="00AD611D">
              <w:rPr>
                <w:lang w:val="en-GB"/>
              </w:rPr>
              <w:t>)</w:t>
            </w:r>
          </w:p>
        </w:tc>
      </w:tr>
      <w:tr w:rsidR="0038025C" w:rsidRPr="00AD611D" w14:paraId="406F1C8D" w14:textId="77777777" w:rsidTr="004F4AF0">
        <w:trPr>
          <w:trHeight w:val="680"/>
        </w:trPr>
        <w:tc>
          <w:tcPr>
            <w:tcW w:w="7933" w:type="dxa"/>
            <w:gridSpan w:val="2"/>
            <w:shd w:val="clear" w:color="auto" w:fill="auto"/>
            <w:vAlign w:val="center"/>
          </w:tcPr>
          <w:p w14:paraId="43F3F281" w14:textId="660B5A05" w:rsidR="0038025C" w:rsidRPr="0038025C" w:rsidRDefault="0038025C" w:rsidP="00FB69E7">
            <w:pPr>
              <w:pStyle w:val="EuroSunText"/>
              <w:rPr>
                <w:lang w:val="de-DE"/>
              </w:rPr>
            </w:pPr>
            <m:oMath>
              <m:sSub>
                <m:sSubPr>
                  <m:ctrlPr>
                    <w:rPr>
                      <w:rFonts w:ascii="Cambria Math" w:hAnsi="Cambria Math"/>
                      <w:i/>
                      <w:lang w:val="en-GB"/>
                    </w:rPr>
                  </m:ctrlPr>
                </m:sSubPr>
                <m:e>
                  <m:r>
                    <m:rPr>
                      <m:sty m:val="p"/>
                    </m:rPr>
                    <w:rPr>
                      <w:rFonts w:ascii="Cambria Math" w:hAnsi="Cambria Math"/>
                      <w:lang w:val="en-GB"/>
                    </w:rPr>
                    <m:t>Δ</m:t>
                  </m:r>
                  <m:r>
                    <w:rPr>
                      <w:rFonts w:ascii="Cambria Math" w:hAnsi="Cambria Math"/>
                      <w:lang w:val="en-GB"/>
                    </w:rPr>
                    <m:t>T</m:t>
                  </m:r>
                </m:e>
                <m:sub>
                  <m:r>
                    <w:rPr>
                      <w:rFonts w:ascii="Cambria Math" w:hAnsi="Cambria Math"/>
                      <w:lang w:val="en-GB"/>
                    </w:rPr>
                    <m:t>branc</m:t>
                  </m:r>
                  <m:r>
                    <w:rPr>
                      <w:rFonts w:ascii="Cambria Math" w:hAnsi="Cambria Math"/>
                      <w:lang w:val="de-DE"/>
                    </w:rPr>
                    <m:t>h</m:t>
                  </m:r>
                </m:sub>
              </m:sSub>
              <m:r>
                <w:rPr>
                  <w:rFonts w:ascii="Cambria Math" w:hAnsi="Cambria Math"/>
                  <w:lang w:val="de-DE"/>
                </w:rPr>
                <m:t>=</m:t>
              </m:r>
              <m:sSub>
                <m:sSubPr>
                  <m:ctrlPr>
                    <w:rPr>
                      <w:rFonts w:ascii="Cambria Math" w:hAnsi="Cambria Math"/>
                      <w:i/>
                      <w:lang w:val="en-GB"/>
                    </w:rPr>
                  </m:ctrlPr>
                </m:sSubPr>
                <m:e>
                  <m:r>
                    <w:rPr>
                      <w:rFonts w:ascii="Cambria Math" w:hAnsi="Cambria Math"/>
                      <w:lang w:val="en-GB"/>
                    </w:rPr>
                    <m:t>ϑ</m:t>
                  </m:r>
                </m:e>
                <m:sub>
                  <m:r>
                    <w:rPr>
                      <w:rFonts w:ascii="Cambria Math" w:hAnsi="Cambria Math"/>
                      <w:lang w:val="en-GB"/>
                    </w:rPr>
                    <m:t>riser</m:t>
                  </m:r>
                </m:sub>
              </m:sSub>
              <m:r>
                <w:rPr>
                  <w:rFonts w:ascii="Cambria Math" w:hAnsi="Cambria Math"/>
                  <w:lang w:val="de-DE"/>
                </w:rPr>
                <m:t>-</m:t>
              </m:r>
              <m:sSub>
                <m:sSubPr>
                  <m:ctrlPr>
                    <w:rPr>
                      <w:rFonts w:ascii="Cambria Math" w:hAnsi="Cambria Math"/>
                      <w:i/>
                      <w:lang w:val="en-GB"/>
                    </w:rPr>
                  </m:ctrlPr>
                </m:sSubPr>
                <m:e>
                  <m:r>
                    <w:rPr>
                      <w:rFonts w:ascii="Cambria Math" w:hAnsi="Cambria Math"/>
                      <w:lang w:val="en-GB"/>
                    </w:rPr>
                    <m:t>ϑ</m:t>
                  </m:r>
                </m:e>
                <m:sub>
                  <m:r>
                    <w:rPr>
                      <w:rFonts w:ascii="Cambria Math" w:hAnsi="Cambria Math"/>
                      <w:lang w:val="en-GB"/>
                    </w:rPr>
                    <m:t>storage</m:t>
                  </m:r>
                </m:sub>
              </m:sSub>
            </m:oMath>
            <w:r w:rsidRPr="0038025C">
              <w:rPr>
                <w:lang w:val="de-DE"/>
              </w:rPr>
              <w:t xml:space="preserve"> </w:t>
            </w:r>
          </w:p>
        </w:tc>
        <w:tc>
          <w:tcPr>
            <w:tcW w:w="833" w:type="dxa"/>
            <w:shd w:val="clear" w:color="auto" w:fill="auto"/>
            <w:vAlign w:val="center"/>
          </w:tcPr>
          <w:p w14:paraId="00AB231F" w14:textId="065D3E4F" w:rsidR="0038025C" w:rsidRPr="00AD611D" w:rsidRDefault="0038025C" w:rsidP="00FB69E7">
            <w:pPr>
              <w:pStyle w:val="EuroSunText"/>
              <w:rPr>
                <w:lang w:val="en-GB"/>
              </w:rPr>
            </w:pPr>
            <w:r w:rsidRPr="00AD611D">
              <w:rPr>
                <w:lang w:val="en-GB"/>
              </w:rPr>
              <w:t>(</w:t>
            </w:r>
            <w:r w:rsidRPr="00AD611D">
              <w:rPr>
                <w:lang w:val="en-GB"/>
              </w:rPr>
              <w:fldChar w:fldCharType="begin"/>
            </w:r>
            <w:r w:rsidRPr="00AD611D">
              <w:rPr>
                <w:lang w:val="en-GB"/>
              </w:rPr>
              <w:instrText xml:space="preserve"> SEQ equation_EuroSun2026 \* ARABIC </w:instrText>
            </w:r>
            <w:r w:rsidRPr="00AD611D">
              <w:rPr>
                <w:lang w:val="en-GB"/>
              </w:rPr>
              <w:fldChar w:fldCharType="separate"/>
            </w:r>
            <w:r>
              <w:rPr>
                <w:noProof/>
                <w:lang w:val="en-GB"/>
              </w:rPr>
              <w:t>7</w:t>
            </w:r>
            <w:r w:rsidRPr="00AD611D">
              <w:rPr>
                <w:lang w:val="en-GB"/>
              </w:rPr>
              <w:fldChar w:fldCharType="end"/>
            </w:r>
            <w:r w:rsidRPr="00AD611D">
              <w:rPr>
                <w:lang w:val="en-GB"/>
              </w:rPr>
              <w:t>)</w:t>
            </w:r>
          </w:p>
        </w:tc>
      </w:tr>
      <w:tr w:rsidR="0038025C" w:rsidRPr="00AD611D" w14:paraId="06CE55B8" w14:textId="77777777" w:rsidTr="004F4AF0">
        <w:trPr>
          <w:trHeight w:val="680"/>
        </w:trPr>
        <w:tc>
          <w:tcPr>
            <w:tcW w:w="7933" w:type="dxa"/>
            <w:gridSpan w:val="2"/>
            <w:shd w:val="clear" w:color="auto" w:fill="auto"/>
            <w:vAlign w:val="center"/>
          </w:tcPr>
          <w:p w14:paraId="409A9BE7" w14:textId="5C895399" w:rsidR="0038025C" w:rsidRPr="0038025C" w:rsidRDefault="0038025C" w:rsidP="00FB69E7">
            <w:pPr>
              <w:pStyle w:val="EuroSunText"/>
              <w:rPr>
                <w:lang w:val="de-DE"/>
              </w:rPr>
            </w:pPr>
            <m:oMath>
              <m:r>
                <w:rPr>
                  <w:rFonts w:ascii="Cambria Math" w:hAnsi="Cambria Math"/>
                  <w:lang w:val="en-GB"/>
                </w:rPr>
                <m:t>Δ</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riser</m:t>
                  </m:r>
                </m:sub>
              </m:sSub>
              <m:r>
                <w:rPr>
                  <w:rFonts w:ascii="Cambria Math" w:hAnsi="Cambria Math"/>
                  <w:lang w:val="de-DE"/>
                </w:rPr>
                <m:t>=</m:t>
              </m:r>
              <m:sSub>
                <m:sSubPr>
                  <m:ctrlPr>
                    <w:rPr>
                      <w:rFonts w:ascii="Cambria Math" w:hAnsi="Cambria Math"/>
                      <w:i/>
                      <w:lang w:val="en-GB"/>
                    </w:rPr>
                  </m:ctrlPr>
                </m:sSubPr>
                <m:e>
                  <m:r>
                    <w:rPr>
                      <w:rFonts w:ascii="Cambria Math" w:hAnsi="Cambria Math"/>
                      <w:lang w:val="en-GB"/>
                    </w:rPr>
                    <m:t>ϑ</m:t>
                  </m:r>
                </m:e>
                <m:sub>
                  <m:r>
                    <w:rPr>
                      <w:rFonts w:ascii="Cambria Math" w:hAnsi="Cambria Math"/>
                      <w:lang w:val="en-GB"/>
                    </w:rPr>
                    <m:t>riser</m:t>
                  </m:r>
                </m:sub>
              </m:sSub>
              <m:r>
                <w:rPr>
                  <w:rFonts w:ascii="Cambria Math" w:hAnsi="Cambria Math"/>
                  <w:lang w:val="de-DE"/>
                </w:rPr>
                <m:t>-</m:t>
              </m:r>
              <m:sSub>
                <m:sSubPr>
                  <m:ctrlPr>
                    <w:rPr>
                      <w:rFonts w:ascii="Cambria Math" w:hAnsi="Cambria Math"/>
                      <w:i/>
                      <w:lang w:val="en-GB"/>
                    </w:rPr>
                  </m:ctrlPr>
                </m:sSubPr>
                <m:e>
                  <m:bar>
                    <m:barPr>
                      <m:pos m:val="top"/>
                      <m:ctrlPr>
                        <w:rPr>
                          <w:rFonts w:ascii="Cambria Math" w:hAnsi="Cambria Math"/>
                          <w:i/>
                          <w:lang w:val="en-GB"/>
                        </w:rPr>
                      </m:ctrlPr>
                    </m:barPr>
                    <m:e>
                      <m:r>
                        <w:rPr>
                          <w:rFonts w:ascii="Cambria Math" w:hAnsi="Cambria Math"/>
                          <w:lang w:val="en-GB"/>
                        </w:rPr>
                        <m:t>ϑ</m:t>
                      </m:r>
                    </m:e>
                  </m:bar>
                </m:e>
                <m:sub>
                  <m:r>
                    <w:rPr>
                      <w:rFonts w:ascii="Cambria Math" w:hAnsi="Cambria Math"/>
                      <w:lang w:val="en-GB"/>
                    </w:rPr>
                    <m:t>flat</m:t>
                  </m:r>
                </m:sub>
              </m:sSub>
            </m:oMath>
            <w:r w:rsidRPr="0038025C">
              <w:rPr>
                <w:lang w:val="de-DE"/>
              </w:rPr>
              <w:t xml:space="preserve"> </w:t>
            </w:r>
          </w:p>
        </w:tc>
        <w:tc>
          <w:tcPr>
            <w:tcW w:w="833" w:type="dxa"/>
            <w:shd w:val="clear" w:color="auto" w:fill="auto"/>
            <w:vAlign w:val="center"/>
          </w:tcPr>
          <w:p w14:paraId="065BB228" w14:textId="7FAC0900" w:rsidR="0038025C" w:rsidRPr="00AD611D" w:rsidRDefault="0038025C" w:rsidP="00FB69E7">
            <w:pPr>
              <w:pStyle w:val="EuroSunText"/>
              <w:rPr>
                <w:lang w:val="en-GB"/>
              </w:rPr>
            </w:pPr>
            <w:r w:rsidRPr="00AD611D">
              <w:rPr>
                <w:lang w:val="en-GB"/>
              </w:rPr>
              <w:t>(</w:t>
            </w:r>
            <w:r w:rsidRPr="00AD611D">
              <w:rPr>
                <w:lang w:val="en-GB"/>
              </w:rPr>
              <w:fldChar w:fldCharType="begin"/>
            </w:r>
            <w:r w:rsidRPr="00AD611D">
              <w:rPr>
                <w:lang w:val="en-GB"/>
              </w:rPr>
              <w:instrText xml:space="preserve"> SEQ equation_EuroSun2026 \* ARABIC </w:instrText>
            </w:r>
            <w:r w:rsidRPr="00AD611D">
              <w:rPr>
                <w:lang w:val="en-GB"/>
              </w:rPr>
              <w:fldChar w:fldCharType="separate"/>
            </w:r>
            <w:r>
              <w:rPr>
                <w:noProof/>
                <w:lang w:val="en-GB"/>
              </w:rPr>
              <w:t>8</w:t>
            </w:r>
            <w:r w:rsidRPr="00AD611D">
              <w:rPr>
                <w:lang w:val="en-GB"/>
              </w:rPr>
              <w:fldChar w:fldCharType="end"/>
            </w:r>
            <w:r w:rsidRPr="00AD611D">
              <w:rPr>
                <w:lang w:val="en-GB"/>
              </w:rPr>
              <w:t>)</w:t>
            </w:r>
          </w:p>
        </w:tc>
      </w:tr>
      <w:tr w:rsidR="0038025C" w:rsidRPr="00AD611D" w14:paraId="7FC6A6B6" w14:textId="77777777" w:rsidTr="004F4AF0">
        <w:trPr>
          <w:trHeight w:val="680"/>
        </w:trPr>
        <w:tc>
          <w:tcPr>
            <w:tcW w:w="7933" w:type="dxa"/>
            <w:gridSpan w:val="2"/>
            <w:shd w:val="clear" w:color="auto" w:fill="auto"/>
            <w:vAlign w:val="center"/>
          </w:tcPr>
          <w:p w14:paraId="08B2469C" w14:textId="1B58EFFF" w:rsidR="0038025C" w:rsidRPr="0038025C" w:rsidRDefault="0038025C" w:rsidP="00FB69E7">
            <w:pPr>
              <w:pStyle w:val="EuroSunText"/>
              <w:rPr>
                <w:lang w:val="de-DE"/>
              </w:rPr>
            </w:pPr>
            <m:oMath>
              <m:r>
                <w:rPr>
                  <w:rFonts w:ascii="Cambria Math" w:hAnsi="Cambria Math"/>
                  <w:lang w:val="en-GB"/>
                </w:rPr>
                <m:t>Δ</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FWS</m:t>
                  </m:r>
                </m:sub>
              </m:sSub>
              <m:r>
                <w:rPr>
                  <w:rFonts w:ascii="Cambria Math" w:hAnsi="Cambria Math"/>
                  <w:lang w:val="de-DE"/>
                </w:rPr>
                <m:t>=</m:t>
              </m:r>
              <m:sSub>
                <m:sSubPr>
                  <m:ctrlPr>
                    <w:rPr>
                      <w:rFonts w:ascii="Cambria Math" w:hAnsi="Cambria Math"/>
                      <w:i/>
                      <w:lang w:val="en-GB"/>
                    </w:rPr>
                  </m:ctrlPr>
                </m:sSubPr>
                <m:e>
                  <m:r>
                    <w:rPr>
                      <w:rFonts w:ascii="Cambria Math" w:hAnsi="Cambria Math"/>
                      <w:lang w:val="en-GB"/>
                    </w:rPr>
                    <m:t>ϑ</m:t>
                  </m:r>
                </m:e>
                <m:sub>
                  <m:r>
                    <w:rPr>
                      <w:rFonts w:ascii="Cambria Math" w:hAnsi="Cambria Math"/>
                      <w:lang w:val="en-GB"/>
                    </w:rPr>
                    <m:t>r</m:t>
                  </m:r>
                  <m:r>
                    <w:rPr>
                      <w:rFonts w:ascii="Cambria Math" w:hAnsi="Cambria Math"/>
                      <w:lang w:val="de-DE"/>
                    </w:rPr>
                    <m:t>,</m:t>
                  </m:r>
                  <m:r>
                    <w:rPr>
                      <w:rFonts w:ascii="Cambria Math" w:hAnsi="Cambria Math"/>
                      <w:lang w:val="en-GB"/>
                    </w:rPr>
                    <m:t>C</m:t>
                  </m:r>
                  <m:r>
                    <w:rPr>
                      <w:rFonts w:ascii="Cambria Math" w:hAnsi="Cambria Math"/>
                      <w:lang w:val="de-DE"/>
                    </w:rPr>
                    <m:t>6/</m:t>
                  </m:r>
                  <m:r>
                    <w:rPr>
                      <w:rFonts w:ascii="Cambria Math" w:hAnsi="Cambria Math"/>
                      <w:lang w:val="en-GB"/>
                    </w:rPr>
                    <m:t>C</m:t>
                  </m:r>
                  <m:r>
                    <w:rPr>
                      <w:rFonts w:ascii="Cambria Math" w:hAnsi="Cambria Math"/>
                      <w:lang w:val="de-DE"/>
                    </w:rPr>
                    <m:t>7</m:t>
                  </m:r>
                </m:sub>
              </m:sSub>
              <m:r>
                <w:rPr>
                  <w:rFonts w:ascii="Cambria Math" w:hAnsi="Cambria Math"/>
                  <w:lang w:val="de-DE"/>
                </w:rPr>
                <m:t>-</m:t>
              </m:r>
              <m:sSub>
                <m:sSubPr>
                  <m:ctrlPr>
                    <w:rPr>
                      <w:rFonts w:ascii="Cambria Math" w:hAnsi="Cambria Math"/>
                      <w:i/>
                      <w:lang w:val="en-GB"/>
                    </w:rPr>
                  </m:ctrlPr>
                </m:sSubPr>
                <m:e>
                  <m:bar>
                    <m:barPr>
                      <m:pos m:val="top"/>
                      <m:ctrlPr>
                        <w:rPr>
                          <w:rFonts w:ascii="Cambria Math" w:hAnsi="Cambria Math"/>
                          <w:i/>
                          <w:lang w:val="en-GB"/>
                        </w:rPr>
                      </m:ctrlPr>
                    </m:barPr>
                    <m:e>
                      <m:r>
                        <w:rPr>
                          <w:rFonts w:ascii="Cambria Math" w:hAnsi="Cambria Math"/>
                          <w:lang w:val="en-GB"/>
                        </w:rPr>
                        <m:t>ϑ</m:t>
                      </m:r>
                    </m:e>
                  </m:bar>
                </m:e>
                <m:sub>
                  <m:r>
                    <w:rPr>
                      <w:rFonts w:ascii="Cambria Math" w:hAnsi="Cambria Math"/>
                      <w:lang w:val="en-GB"/>
                    </w:rPr>
                    <m:t>flat</m:t>
                  </m:r>
                </m:sub>
              </m:sSub>
            </m:oMath>
            <w:r w:rsidRPr="0038025C">
              <w:rPr>
                <w:lang w:val="de-DE"/>
              </w:rPr>
              <w:t xml:space="preserve"> </w:t>
            </w:r>
          </w:p>
        </w:tc>
        <w:tc>
          <w:tcPr>
            <w:tcW w:w="833" w:type="dxa"/>
            <w:shd w:val="clear" w:color="auto" w:fill="auto"/>
            <w:vAlign w:val="center"/>
          </w:tcPr>
          <w:p w14:paraId="3A4B8F56" w14:textId="354E2998" w:rsidR="0038025C" w:rsidRPr="00AD611D" w:rsidRDefault="0038025C" w:rsidP="00FB69E7">
            <w:pPr>
              <w:pStyle w:val="EuroSunText"/>
              <w:rPr>
                <w:lang w:val="en-GB"/>
              </w:rPr>
            </w:pPr>
            <w:r w:rsidRPr="00AD611D">
              <w:rPr>
                <w:lang w:val="en-GB"/>
              </w:rPr>
              <w:t>(</w:t>
            </w:r>
            <w:r w:rsidRPr="00AD611D">
              <w:rPr>
                <w:lang w:val="en-GB"/>
              </w:rPr>
              <w:fldChar w:fldCharType="begin"/>
            </w:r>
            <w:r w:rsidRPr="00AD611D">
              <w:rPr>
                <w:lang w:val="en-GB"/>
              </w:rPr>
              <w:instrText xml:space="preserve"> SEQ equation_EuroSun2026 \* ARABIC </w:instrText>
            </w:r>
            <w:r w:rsidRPr="00AD611D">
              <w:rPr>
                <w:lang w:val="en-GB"/>
              </w:rPr>
              <w:fldChar w:fldCharType="separate"/>
            </w:r>
            <w:r>
              <w:rPr>
                <w:noProof/>
                <w:lang w:val="en-GB"/>
              </w:rPr>
              <w:t>9</w:t>
            </w:r>
            <w:r w:rsidRPr="00AD611D">
              <w:rPr>
                <w:lang w:val="en-GB"/>
              </w:rPr>
              <w:fldChar w:fldCharType="end"/>
            </w:r>
            <w:r w:rsidRPr="00AD611D">
              <w:rPr>
                <w:lang w:val="en-GB"/>
              </w:rPr>
              <w:t>)</w:t>
            </w:r>
          </w:p>
        </w:tc>
      </w:tr>
    </w:tbl>
    <w:p w14:paraId="2E5B0DE4" w14:textId="2F7EE34C" w:rsidR="00363C48" w:rsidRPr="00AD611D" w:rsidRDefault="00116D99" w:rsidP="006F0420">
      <w:pPr>
        <w:pStyle w:val="EuroSunText"/>
        <w:rPr>
          <w:lang w:val="en-GB"/>
        </w:rPr>
      </w:pPr>
      <w:r w:rsidRPr="00AD611D">
        <w:rPr>
          <w:lang w:val="en-GB"/>
        </w:rPr>
        <w:t xml:space="preserve">Here </w:t>
      </w:r>
      <w:proofErr w:type="spellStart"/>
      <w:r w:rsidRPr="00AD611D">
        <w:rPr>
          <w:lang w:val="en-GB"/>
        </w:rPr>
        <w:t>ϑ</w:t>
      </w:r>
      <w:r w:rsidRPr="00AD611D">
        <w:rPr>
          <w:vertAlign w:val="subscript"/>
          <w:lang w:val="en-GB"/>
        </w:rPr>
        <w:t>f</w:t>
      </w:r>
      <w:proofErr w:type="spellEnd"/>
      <w:r w:rsidRPr="00AD611D">
        <w:rPr>
          <w:lang w:val="en-GB"/>
        </w:rPr>
        <w:t xml:space="preserve"> and </w:t>
      </w:r>
      <w:proofErr w:type="spellStart"/>
      <w:r w:rsidRPr="00AD611D">
        <w:rPr>
          <w:lang w:val="en-GB"/>
        </w:rPr>
        <w:t>ϑ</w:t>
      </w:r>
      <w:r w:rsidRPr="00AD611D">
        <w:rPr>
          <w:vertAlign w:val="subscript"/>
          <w:lang w:val="en-GB"/>
        </w:rPr>
        <w:t>r</w:t>
      </w:r>
      <w:proofErr w:type="spellEnd"/>
      <w:r w:rsidRPr="00AD611D">
        <w:rPr>
          <w:lang w:val="en-GB"/>
        </w:rPr>
        <w:t xml:space="preserve"> denote flow and return temperatures at the indicated measurement points, </w:t>
      </w:r>
      <w:proofErr w:type="spellStart"/>
      <w:r w:rsidRPr="00AD611D">
        <w:rPr>
          <w:lang w:val="en-GB"/>
        </w:rPr>
        <w:t>ϑ</w:t>
      </w:r>
      <w:r w:rsidRPr="00AD611D">
        <w:rPr>
          <w:vertAlign w:val="subscript"/>
          <w:lang w:val="en-GB"/>
        </w:rPr>
        <w:t>storage</w:t>
      </w:r>
      <w:proofErr w:type="spellEnd"/>
      <w:r w:rsidRPr="00AD611D">
        <w:rPr>
          <w:lang w:val="en-GB"/>
        </w:rPr>
        <w:t xml:space="preserve"> the air temperature in the bicycle storage room, and </w:t>
      </w:r>
      <w:proofErr w:type="spellStart"/>
      <w:r w:rsidRPr="00AD611D">
        <w:rPr>
          <w:lang w:val="en-GB"/>
        </w:rPr>
        <w:t>ϑ̄</w:t>
      </w:r>
      <w:r w:rsidRPr="00AD611D">
        <w:rPr>
          <w:vertAlign w:val="subscript"/>
          <w:lang w:val="en-GB"/>
        </w:rPr>
        <w:t>flat</w:t>
      </w:r>
      <w:proofErr w:type="spellEnd"/>
      <w:r w:rsidRPr="00AD611D">
        <w:rPr>
          <w:lang w:val="en-GB"/>
        </w:rPr>
        <w:t xml:space="preserve"> the mean indoor temperature of the twelve apartments supplied by the riser group. All quantities entering the model are evaluated as means over the respective evaluation period.</w:t>
      </w:r>
      <w:r w:rsidR="00C90466" w:rsidRPr="00AD611D">
        <w:rPr>
          <w:lang w:val="en-GB"/>
        </w:rPr>
        <w:t xml:space="preserve"> </w:t>
      </w:r>
      <w:r w:rsidRPr="00AD611D">
        <w:rPr>
          <w:lang w:val="en-GB"/>
        </w:rPr>
        <w:t xml:space="preserve">The </w:t>
      </w:r>
      <w:r w:rsidR="00C90466" w:rsidRPr="00AD611D">
        <w:rPr>
          <w:lang w:val="en-GB"/>
        </w:rPr>
        <w:t>pipe</w:t>
      </w:r>
      <w:r w:rsidR="00842724" w:rsidRPr="00AD611D">
        <w:rPr>
          <w:lang w:val="en-GB"/>
        </w:rPr>
        <w:t xml:space="preserve"> </w:t>
      </w:r>
      <w:proofErr w:type="spellStart"/>
      <w:r w:rsidR="00842724" w:rsidRPr="00AD611D">
        <w:rPr>
          <w:lang w:val="en-GB"/>
        </w:rPr>
        <w:t>conductances</w:t>
      </w:r>
      <w:proofErr w:type="spellEnd"/>
      <w:r w:rsidR="00842724" w:rsidRPr="00AD611D">
        <w:rPr>
          <w:lang w:val="en-GB"/>
        </w:rPr>
        <w:t xml:space="preserve"> </w:t>
      </w:r>
      <w:proofErr w:type="spellStart"/>
      <w:r w:rsidR="00842724" w:rsidRPr="00AD611D">
        <w:rPr>
          <w:lang w:val="en-GB"/>
        </w:rPr>
        <w:t>Λ</w:t>
      </w:r>
      <w:r w:rsidR="00842724" w:rsidRPr="00AD611D">
        <w:rPr>
          <w:vertAlign w:val="subscript"/>
          <w:lang w:val="en-GB"/>
        </w:rPr>
        <w:t>z</w:t>
      </w:r>
      <w:proofErr w:type="spellEnd"/>
      <w:r w:rsidR="00C90466" w:rsidRPr="00AD611D">
        <w:rPr>
          <w:lang w:val="en-GB"/>
        </w:rPr>
        <w:t xml:space="preserve"> are parameterized according to the design plans </w:t>
      </w:r>
      <w:r w:rsidRPr="00AD611D">
        <w:rPr>
          <w:lang w:val="en-GB"/>
        </w:rPr>
        <w:t xml:space="preserve">and </w:t>
      </w:r>
      <w:r w:rsidR="00C90466" w:rsidRPr="00AD611D">
        <w:rPr>
          <w:lang w:val="en-GB"/>
        </w:rPr>
        <w:t>are</w:t>
      </w:r>
      <w:r w:rsidRPr="00AD611D">
        <w:rPr>
          <w:lang w:val="en-GB"/>
        </w:rPr>
        <w:t xml:space="preserve"> fixed throughout the analysis.</w:t>
      </w:r>
      <w:r w:rsidR="0034288D" w:rsidRPr="00AD611D">
        <w:rPr>
          <w:lang w:val="en-GB"/>
        </w:rPr>
        <w:t xml:space="preserve">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824"/>
      </w:tblGrid>
      <w:tr w:rsidR="00363C48" w:rsidRPr="00AD611D" w14:paraId="030F949E" w14:textId="77777777" w:rsidTr="006D6A34">
        <w:tc>
          <w:tcPr>
            <w:tcW w:w="7933" w:type="dxa"/>
            <w:shd w:val="clear" w:color="auto" w:fill="auto"/>
            <w:vAlign w:val="center"/>
          </w:tcPr>
          <w:p w14:paraId="4F73C968" w14:textId="245BFACC" w:rsidR="00363C48" w:rsidRPr="00AD611D" w:rsidRDefault="00000000" w:rsidP="009B4CF8">
            <w:pPr>
              <w:pStyle w:val="SWCText"/>
              <w:jc w:val="center"/>
              <w:rPr>
                <w:lang w:val="en-GB"/>
              </w:rPr>
            </w:pPr>
            <m:oMathPara>
              <m:oMathParaPr>
                <m:jc m:val="left"/>
              </m:oMathParaPr>
              <m:oMath>
                <m:sSub>
                  <m:sSubPr>
                    <m:ctrlPr>
                      <w:rPr>
                        <w:rFonts w:ascii="Cambria Math" w:hAnsi="Cambria Math"/>
                        <w:i/>
                        <w:lang w:val="en-GB"/>
                      </w:rPr>
                    </m:ctrlPr>
                  </m:sSubPr>
                  <m:e>
                    <m:r>
                      <w:rPr>
                        <w:rFonts w:ascii="Cambria Math" w:hAnsi="Cambria Math"/>
                        <w:lang w:val="en-GB"/>
                      </w:rPr>
                      <m:t>Λ</m:t>
                    </m:r>
                  </m:e>
                  <m:sub>
                    <m:r>
                      <w:rPr>
                        <w:rFonts w:ascii="Cambria Math" w:hAnsi="Cambria Math"/>
                        <w:lang w:val="en-GB"/>
                      </w:rPr>
                      <m:t>z</m:t>
                    </m:r>
                  </m:sub>
                </m:sSub>
                <m:r>
                  <w:rPr>
                    <w:rFonts w:ascii="Cambria Math" w:hAnsi="Cambria Math"/>
                    <w:lang w:val="en-GB"/>
                  </w:rPr>
                  <m:t>=</m:t>
                </m:r>
                <m:nary>
                  <m:naryPr>
                    <m:chr m:val="∑"/>
                    <m:supHide m:val="1"/>
                    <m:ctrlPr>
                      <w:rPr>
                        <w:rFonts w:ascii="Cambria Math" w:hAnsi="Cambria Math"/>
                        <w:i/>
                        <w:lang w:val="en-GB"/>
                      </w:rPr>
                    </m:ctrlPr>
                  </m:naryPr>
                  <m:sub>
                    <m:r>
                      <w:rPr>
                        <w:rFonts w:ascii="Cambria Math" w:hAnsi="Cambria Math"/>
                        <w:lang w:val="en-GB"/>
                      </w:rPr>
                      <m:t>n∈z</m:t>
                    </m:r>
                  </m:sub>
                  <m:sup/>
                  <m:e>
                    <m:sSub>
                      <m:sSubPr>
                        <m:ctrlPr>
                          <w:rPr>
                            <w:rFonts w:ascii="Cambria Math" w:hAnsi="Cambria Math"/>
                            <w:i/>
                            <w:lang w:val="en-GB"/>
                          </w:rPr>
                        </m:ctrlPr>
                      </m:sSubPr>
                      <m:e>
                        <m:r>
                          <w:rPr>
                            <w:rFonts w:ascii="Cambria Math" w:hAnsi="Cambria Math"/>
                            <w:lang w:val="en-GB"/>
                          </w:rPr>
                          <m:t>ψ</m:t>
                        </m:r>
                        <m:ctrlPr>
                          <w:rPr>
                            <w:rFonts w:ascii="Cambria Math" w:eastAsia="Cambria Math" w:hAnsi="Cambria Math" w:cs="Cambria Math"/>
                            <w:i/>
                            <w:lang w:val="en-GB"/>
                          </w:rPr>
                        </m:ctrlPr>
                      </m:e>
                      <m:sub>
                        <m:r>
                          <w:rPr>
                            <w:rFonts w:ascii="Cambria Math" w:hAnsi="Cambria Math"/>
                            <w:lang w:val="en-GB"/>
                          </w:rPr>
                          <m:t>n</m:t>
                        </m:r>
                      </m:sub>
                    </m:sSub>
                    <m:sSub>
                      <m:sSubPr>
                        <m:ctrlPr>
                          <w:rPr>
                            <w:rFonts w:ascii="Cambria Math" w:hAnsi="Cambria Math"/>
                            <w:i/>
                            <w:lang w:val="en-GB"/>
                          </w:rPr>
                        </m:ctrlPr>
                      </m:sSubPr>
                      <m:e>
                        <m:r>
                          <w:rPr>
                            <w:rFonts w:ascii="Cambria Math" w:hAnsi="Cambria Math"/>
                            <w:lang w:val="en-GB"/>
                          </w:rPr>
                          <m:t>L</m:t>
                        </m:r>
                      </m:e>
                      <m:sub>
                        <m:r>
                          <w:rPr>
                            <w:rFonts w:ascii="Cambria Math" w:hAnsi="Cambria Math"/>
                            <w:lang w:val="en-GB"/>
                          </w:rPr>
                          <m:t>n</m:t>
                        </m:r>
                      </m:sub>
                    </m:sSub>
                  </m:e>
                </m:nary>
              </m:oMath>
            </m:oMathPara>
          </w:p>
        </w:tc>
        <w:tc>
          <w:tcPr>
            <w:tcW w:w="824" w:type="dxa"/>
            <w:shd w:val="clear" w:color="auto" w:fill="auto"/>
            <w:vAlign w:val="center"/>
          </w:tcPr>
          <w:p w14:paraId="280280AF" w14:textId="0E8B4129" w:rsidR="00363C48" w:rsidRPr="00AD611D" w:rsidRDefault="00363C48" w:rsidP="00045AB7">
            <w:pPr>
              <w:pStyle w:val="EuroSunText"/>
              <w:rPr>
                <w:lang w:val="en-GB"/>
              </w:rPr>
            </w:pPr>
            <w:r w:rsidRPr="00AD611D">
              <w:rPr>
                <w:lang w:val="en-GB"/>
              </w:rPr>
              <w:t>(</w:t>
            </w:r>
            <w:r w:rsidRPr="00AD611D">
              <w:rPr>
                <w:lang w:val="en-GB"/>
              </w:rPr>
              <w:fldChar w:fldCharType="begin"/>
            </w:r>
            <w:r w:rsidRPr="00AD611D">
              <w:rPr>
                <w:lang w:val="en-GB"/>
              </w:rPr>
              <w:instrText xml:space="preserve"> SEQ equation_EuroSun2026 \* ARABIC </w:instrText>
            </w:r>
            <w:r w:rsidRPr="00AD611D">
              <w:rPr>
                <w:lang w:val="en-GB"/>
              </w:rPr>
              <w:fldChar w:fldCharType="separate"/>
            </w:r>
            <w:r w:rsidR="000805D6">
              <w:rPr>
                <w:noProof/>
                <w:lang w:val="en-GB"/>
              </w:rPr>
              <w:t>10</w:t>
            </w:r>
            <w:r w:rsidRPr="00AD611D">
              <w:rPr>
                <w:lang w:val="en-GB"/>
              </w:rPr>
              <w:fldChar w:fldCharType="end"/>
            </w:r>
            <w:r w:rsidRPr="00AD611D">
              <w:rPr>
                <w:lang w:val="en-GB"/>
              </w:rPr>
              <w:t>)</w:t>
            </w:r>
          </w:p>
        </w:tc>
      </w:tr>
    </w:tbl>
    <w:p w14:paraId="03D1BB7F" w14:textId="63542388" w:rsidR="0034288D" w:rsidRPr="00AD611D" w:rsidRDefault="0034288D" w:rsidP="006F0420">
      <w:pPr>
        <w:pStyle w:val="EuroSunText"/>
        <w:rPr>
          <w:lang w:val="en-GB"/>
        </w:rPr>
      </w:pPr>
      <w:r w:rsidRPr="00AD611D">
        <w:rPr>
          <w:lang w:val="en-GB"/>
        </w:rPr>
        <w:t xml:space="preserve">The linear thermal transmittance </w:t>
      </w:r>
      <w:proofErr w:type="spellStart"/>
      <w:r w:rsidRPr="00AD611D">
        <w:rPr>
          <w:lang w:val="en-GB"/>
        </w:rPr>
        <w:t>ψ</w:t>
      </w:r>
      <w:r w:rsidRPr="00AD611D">
        <w:rPr>
          <w:vertAlign w:val="subscript"/>
          <w:lang w:val="en-GB"/>
        </w:rPr>
        <w:t>n</w:t>
      </w:r>
      <w:proofErr w:type="spellEnd"/>
      <w:r w:rsidRPr="00AD611D">
        <w:rPr>
          <w:lang w:val="en-GB"/>
        </w:rPr>
        <w:t xml:space="preserve"> of pipe section n follows from the series connection of the internal heat transfer, the insulation and the external surface resistance</w:t>
      </w:r>
      <w:r w:rsidR="00842724" w:rsidRPr="00AD611D">
        <w:rPr>
          <w:lang w:val="en-GB"/>
        </w:rPr>
        <w:t>. T</w:t>
      </w:r>
      <w:r w:rsidRPr="00AD611D">
        <w:rPr>
          <w:lang w:val="en-GB"/>
        </w:rPr>
        <w:t>he resistance of the pipe wall is three orders of magnitude smaller and is neglected.</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824"/>
      </w:tblGrid>
      <w:tr w:rsidR="0034288D" w:rsidRPr="00AD611D" w14:paraId="2C00352E" w14:textId="77777777" w:rsidTr="00FB69E7">
        <w:tc>
          <w:tcPr>
            <w:tcW w:w="7933" w:type="dxa"/>
            <w:shd w:val="clear" w:color="auto" w:fill="auto"/>
            <w:vAlign w:val="center"/>
          </w:tcPr>
          <w:p w14:paraId="698C2C49" w14:textId="1F1FF87C" w:rsidR="0034288D" w:rsidRPr="000067A6" w:rsidRDefault="00000000" w:rsidP="00FB69E7">
            <w:pPr>
              <w:pStyle w:val="SWCText"/>
              <w:jc w:val="center"/>
              <w:rPr>
                <w:lang w:val="de-AT"/>
              </w:rPr>
            </w:pPr>
            <m:oMathPara>
              <m:oMathParaPr>
                <m:jc m:val="left"/>
              </m:oMathParaPr>
              <m:oMath>
                <m:sSub>
                  <m:sSubPr>
                    <m:ctrlPr>
                      <w:rPr>
                        <w:rFonts w:ascii="Cambria Math" w:hAnsi="Cambria Math"/>
                        <w:i/>
                        <w:lang w:val="en-GB"/>
                      </w:rPr>
                    </m:ctrlPr>
                  </m:sSubPr>
                  <m:e>
                    <m:r>
                      <w:rPr>
                        <w:rFonts w:ascii="Cambria Math" w:hAnsi="Cambria Math"/>
                        <w:lang w:val="en-GB"/>
                      </w:rPr>
                      <m:t>ψ</m:t>
                    </m:r>
                    <m:ctrlPr>
                      <w:rPr>
                        <w:rFonts w:ascii="Cambria Math" w:hAnsi="Cambria Math"/>
                        <w:lang w:val="en-GB"/>
                      </w:rPr>
                    </m:ctrlPr>
                  </m:e>
                  <m:sub>
                    <m:r>
                      <w:rPr>
                        <w:rFonts w:ascii="Cambria Math" w:hAnsi="Cambria Math"/>
                        <w:lang w:val="en-GB"/>
                      </w:rPr>
                      <m:t>n</m:t>
                    </m:r>
                  </m:sub>
                </m:sSub>
                <m:r>
                  <w:rPr>
                    <w:rFonts w:ascii="Cambria Math" w:hAnsi="Cambria Math"/>
                    <w:lang w:val="de-AT"/>
                  </w:rPr>
                  <m:t>=</m:t>
                </m:r>
                <m:f>
                  <m:fPr>
                    <m:type m:val="lin"/>
                    <m:ctrlPr>
                      <w:rPr>
                        <w:rFonts w:ascii="Cambria Math" w:hAnsi="Cambria Math"/>
                        <w:lang w:val="en-GB"/>
                      </w:rPr>
                    </m:ctrlPr>
                  </m:fPr>
                  <m:num>
                    <m:r>
                      <w:rPr>
                        <w:rFonts w:ascii="Cambria Math" w:hAnsi="Cambria Math"/>
                        <w:lang w:val="de-AT"/>
                      </w:rPr>
                      <m:t>1</m:t>
                    </m:r>
                    <m:ctrlPr>
                      <w:rPr>
                        <w:rFonts w:ascii="Cambria Math" w:hAnsi="Cambria Math"/>
                        <w:i/>
                        <w:lang w:val="en-GB"/>
                      </w:rPr>
                    </m:ctrlPr>
                  </m:num>
                  <m:den>
                    <m:r>
                      <w:rPr>
                        <w:rFonts w:ascii="Cambria Math" w:hAnsi="Cambria Math"/>
                        <w:lang w:val="en-GB"/>
                      </w:rPr>
                      <m:t>(</m:t>
                    </m:r>
                    <m:sSub>
                      <m:sSubPr>
                        <m:ctrlPr>
                          <w:rPr>
                            <w:rFonts w:ascii="Cambria Math" w:hAnsi="Cambria Math"/>
                            <w:i/>
                            <w:lang w:val="en-GB"/>
                          </w:rPr>
                        </m:ctrlPr>
                      </m:sSubPr>
                      <m:e>
                        <m:r>
                          <w:rPr>
                            <w:rFonts w:ascii="Cambria Math" w:hAnsi="Cambria Math"/>
                            <w:lang w:val="en-GB"/>
                          </w:rPr>
                          <m:t>R</m:t>
                        </m:r>
                      </m:e>
                      <m:sub>
                        <m:r>
                          <w:rPr>
                            <w:rFonts w:ascii="Cambria Math" w:hAnsi="Cambria Math"/>
                            <w:lang w:val="en-GB"/>
                          </w:rPr>
                          <m:t>si</m:t>
                        </m:r>
                      </m:sub>
                    </m:sSub>
                    <m:r>
                      <w:rPr>
                        <w:rFonts w:ascii="Cambria Math" w:hAnsi="Cambria Math"/>
                        <w:lang w:val="de-AT"/>
                      </w:rPr>
                      <m:t>+</m:t>
                    </m:r>
                    <m:r>
                      <w:rPr>
                        <w:rFonts w:ascii="Cambria Math" w:hAnsi="Cambria Math"/>
                        <w:lang w:val="en-GB"/>
                      </w:rPr>
                      <m:t>ln</m:t>
                    </m:r>
                    <m:d>
                      <m:dPr>
                        <m:ctrlPr>
                          <w:rPr>
                            <w:rFonts w:ascii="Cambria Math" w:hAnsi="Cambria Math"/>
                            <w:i/>
                            <w:lang w:val="en-GB"/>
                          </w:rPr>
                        </m:ctrlPr>
                      </m:dPr>
                      <m:e>
                        <m:f>
                          <m:fPr>
                            <m:ctrlPr>
                              <w:rPr>
                                <w:rFonts w:ascii="Cambria Math" w:hAnsi="Cambria Math"/>
                                <w:i/>
                                <w:lang w:val="en-GB"/>
                              </w:rPr>
                            </m:ctrlPr>
                          </m:fPr>
                          <m:num>
                            <m:sSub>
                              <m:sSubPr>
                                <m:ctrlPr>
                                  <w:rPr>
                                    <w:rFonts w:ascii="Cambria Math" w:hAnsi="Cambria Math"/>
                                    <w:i/>
                                    <w:lang w:val="en-GB"/>
                                  </w:rPr>
                                </m:ctrlPr>
                              </m:sSubPr>
                              <m:e>
                                <m:r>
                                  <w:rPr>
                                    <w:rFonts w:ascii="Cambria Math" w:hAnsi="Cambria Math"/>
                                    <w:lang w:val="en-GB"/>
                                  </w:rPr>
                                  <m:t>r</m:t>
                                </m:r>
                              </m:e>
                              <m:sub>
                                <m:r>
                                  <w:rPr>
                                    <w:rFonts w:ascii="Cambria Math" w:hAnsi="Cambria Math"/>
                                    <w:lang w:val="en-GB"/>
                                  </w:rPr>
                                  <m:t>n</m:t>
                                </m:r>
                              </m:sub>
                            </m:sSub>
                            <m:r>
                              <w:rPr>
                                <w:rFonts w:ascii="Cambria Math" w:hAnsi="Cambria Math"/>
                                <w:lang w:val="de-AT"/>
                              </w:rPr>
                              <m:t>+</m:t>
                            </m:r>
                            <m:sSub>
                              <m:sSubPr>
                                <m:ctrlPr>
                                  <w:rPr>
                                    <w:rFonts w:ascii="Cambria Math" w:hAnsi="Cambria Math"/>
                                    <w:i/>
                                    <w:lang w:val="en-GB"/>
                                  </w:rPr>
                                </m:ctrlPr>
                              </m:sSubPr>
                              <m:e>
                                <m:r>
                                  <w:rPr>
                                    <w:rFonts w:ascii="Cambria Math" w:hAnsi="Cambria Math"/>
                                    <w:lang w:val="en-GB"/>
                                  </w:rPr>
                                  <m:t>s</m:t>
                                </m:r>
                              </m:e>
                              <m:sub>
                                <m:r>
                                  <w:rPr>
                                    <w:rFonts w:ascii="Cambria Math" w:hAnsi="Cambria Math"/>
                                    <w:lang w:val="en-GB"/>
                                  </w:rPr>
                                  <m:t>n</m:t>
                                </m:r>
                              </m:sub>
                            </m:sSub>
                          </m:num>
                          <m:den>
                            <m:sSub>
                              <m:sSubPr>
                                <m:ctrlPr>
                                  <w:rPr>
                                    <w:rFonts w:ascii="Cambria Math" w:hAnsi="Cambria Math"/>
                                    <w:i/>
                                    <w:lang w:val="en-GB"/>
                                  </w:rPr>
                                </m:ctrlPr>
                              </m:sSubPr>
                              <m:e>
                                <m:r>
                                  <w:rPr>
                                    <w:rFonts w:ascii="Cambria Math" w:hAnsi="Cambria Math"/>
                                    <w:lang w:val="en-GB"/>
                                  </w:rPr>
                                  <m:t>r</m:t>
                                </m:r>
                              </m:e>
                              <m:sub>
                                <m:r>
                                  <w:rPr>
                                    <w:rFonts w:ascii="Cambria Math" w:hAnsi="Cambria Math"/>
                                    <w:lang w:val="en-GB"/>
                                  </w:rPr>
                                  <m:t>n</m:t>
                                </m:r>
                              </m:sub>
                            </m:sSub>
                          </m:den>
                        </m:f>
                      </m:e>
                    </m:d>
                    <m:r>
                      <w:rPr>
                        <w:rFonts w:ascii="Cambria Math" w:hAnsi="Cambria Math"/>
                        <w:lang w:val="de-AT"/>
                      </w:rPr>
                      <m:t>∙</m:t>
                    </m:r>
                    <m:sSup>
                      <m:sSupPr>
                        <m:ctrlPr>
                          <w:rPr>
                            <w:rFonts w:ascii="Cambria Math" w:hAnsi="Cambria Math"/>
                            <w:i/>
                            <w:lang w:val="en-GB"/>
                          </w:rPr>
                        </m:ctrlPr>
                      </m:sSupPr>
                      <m:e>
                        <m:d>
                          <m:dPr>
                            <m:ctrlPr>
                              <w:rPr>
                                <w:rFonts w:ascii="Cambria Math" w:hAnsi="Cambria Math"/>
                                <w:i/>
                                <w:lang w:val="en-GB"/>
                              </w:rPr>
                            </m:ctrlPr>
                          </m:dPr>
                          <m:e>
                            <m:r>
                              <w:rPr>
                                <w:rFonts w:ascii="Cambria Math" w:hAnsi="Cambria Math"/>
                                <w:lang w:val="de-AT"/>
                              </w:rPr>
                              <m:t>2</m:t>
                            </m:r>
                            <m:r>
                              <w:rPr>
                                <w:rFonts w:ascii="Cambria Math" w:hAnsi="Cambria Math"/>
                                <w:lang w:val="en-GB"/>
                              </w:rPr>
                              <m:t>π</m:t>
                            </m:r>
                            <m:sSub>
                              <m:sSubPr>
                                <m:ctrlPr>
                                  <w:rPr>
                                    <w:rFonts w:ascii="Cambria Math" w:hAnsi="Cambria Math"/>
                                    <w:i/>
                                    <w:lang w:val="en-GB"/>
                                  </w:rPr>
                                </m:ctrlPr>
                              </m:sSubPr>
                              <m:e>
                                <m:r>
                                  <w:rPr>
                                    <w:rFonts w:ascii="Cambria Math" w:hAnsi="Cambria Math"/>
                                    <w:lang w:val="en-GB"/>
                                  </w:rPr>
                                  <m:t>k</m:t>
                                </m:r>
                                <m:ctrlPr>
                                  <w:rPr>
                                    <w:rFonts w:ascii="Cambria Math" w:hAnsi="Cambria Math"/>
                                    <w:lang w:val="en-GB"/>
                                  </w:rPr>
                                </m:ctrlPr>
                              </m:e>
                              <m:sub>
                                <m:r>
                                  <m:rPr>
                                    <m:nor/>
                                  </m:rPr>
                                  <w:rPr>
                                    <w:rFonts w:ascii="Cambria Math" w:hAnsi="Cambria Math"/>
                                    <w:lang w:val="de-AT"/>
                                  </w:rPr>
                                  <m:t>ins</m:t>
                                </m:r>
                              </m:sub>
                            </m:sSub>
                          </m:e>
                        </m:d>
                      </m:e>
                      <m:sup>
                        <m:r>
                          <w:rPr>
                            <w:rFonts w:ascii="Cambria Math" w:hAnsi="Cambria Math"/>
                            <w:lang w:val="de-AT"/>
                          </w:rPr>
                          <m:t>-1</m:t>
                        </m:r>
                      </m:sup>
                    </m:sSup>
                    <m:r>
                      <w:rPr>
                        <w:rFonts w:ascii="Cambria Math" w:hAnsi="Cambria Math"/>
                        <w:lang w:val="de-AT"/>
                      </w:rPr>
                      <m:t>+</m:t>
                    </m:r>
                    <m:sSub>
                      <m:sSubPr>
                        <m:ctrlPr>
                          <w:rPr>
                            <w:rFonts w:ascii="Cambria Math" w:hAnsi="Cambria Math"/>
                            <w:i/>
                            <w:lang w:val="en-GB"/>
                          </w:rPr>
                        </m:ctrlPr>
                      </m:sSubPr>
                      <m:e>
                        <m:r>
                          <w:rPr>
                            <w:rFonts w:ascii="Cambria Math" w:hAnsi="Cambria Math"/>
                            <w:lang w:val="en-GB"/>
                          </w:rPr>
                          <m:t>R</m:t>
                        </m:r>
                      </m:e>
                      <m:sub>
                        <m:r>
                          <w:rPr>
                            <w:rFonts w:ascii="Cambria Math" w:hAnsi="Cambria Math"/>
                            <w:lang w:val="en-GB"/>
                          </w:rPr>
                          <m:t>se</m:t>
                        </m:r>
                      </m:sub>
                    </m:sSub>
                    <m:r>
                      <w:rPr>
                        <w:rFonts w:ascii="Cambria Math" w:hAnsi="Cambria Math"/>
                        <w:lang w:val="en-GB"/>
                      </w:rPr>
                      <m:t>)</m:t>
                    </m:r>
                    <m:ctrlPr>
                      <w:rPr>
                        <w:rFonts w:ascii="Cambria Math" w:hAnsi="Cambria Math"/>
                        <w:i/>
                        <w:lang w:val="en-GB"/>
                      </w:rPr>
                    </m:ctrlPr>
                  </m:den>
                </m:f>
              </m:oMath>
            </m:oMathPara>
          </w:p>
        </w:tc>
        <w:tc>
          <w:tcPr>
            <w:tcW w:w="824" w:type="dxa"/>
            <w:shd w:val="clear" w:color="auto" w:fill="auto"/>
            <w:vAlign w:val="center"/>
          </w:tcPr>
          <w:p w14:paraId="418BD1E6" w14:textId="5670BCF2" w:rsidR="0034288D" w:rsidRPr="00AD611D" w:rsidRDefault="0034288D" w:rsidP="00FB69E7">
            <w:pPr>
              <w:pStyle w:val="EuroSunText"/>
              <w:rPr>
                <w:lang w:val="en-GB"/>
              </w:rPr>
            </w:pPr>
            <w:r w:rsidRPr="00AD611D">
              <w:rPr>
                <w:lang w:val="en-GB"/>
              </w:rPr>
              <w:t>(</w:t>
            </w:r>
            <w:r w:rsidRPr="00AD611D">
              <w:rPr>
                <w:lang w:val="en-GB"/>
              </w:rPr>
              <w:fldChar w:fldCharType="begin"/>
            </w:r>
            <w:r w:rsidRPr="00AD611D">
              <w:rPr>
                <w:lang w:val="en-GB"/>
              </w:rPr>
              <w:instrText xml:space="preserve"> SEQ equation_EuroSun2026 \* ARABIC </w:instrText>
            </w:r>
            <w:r w:rsidRPr="00AD611D">
              <w:rPr>
                <w:lang w:val="en-GB"/>
              </w:rPr>
              <w:fldChar w:fldCharType="separate"/>
            </w:r>
            <w:r w:rsidR="000805D6">
              <w:rPr>
                <w:noProof/>
                <w:lang w:val="en-GB"/>
              </w:rPr>
              <w:t>11</w:t>
            </w:r>
            <w:r w:rsidRPr="00AD611D">
              <w:rPr>
                <w:lang w:val="en-GB"/>
              </w:rPr>
              <w:fldChar w:fldCharType="end"/>
            </w:r>
            <w:r w:rsidRPr="00AD611D">
              <w:rPr>
                <w:lang w:val="en-GB"/>
              </w:rPr>
              <w:t>)</w:t>
            </w:r>
          </w:p>
        </w:tc>
      </w:tr>
    </w:tbl>
    <w:p w14:paraId="259DCE88" w14:textId="3DBC8E0B" w:rsidR="0034288D" w:rsidRPr="00AD611D" w:rsidRDefault="0034288D" w:rsidP="0034288D">
      <w:pPr>
        <w:pStyle w:val="EuroSunText"/>
        <w:rPr>
          <w:lang w:val="en-GB"/>
        </w:rPr>
      </w:pPr>
      <w:r w:rsidRPr="00AD611D">
        <w:rPr>
          <w:lang w:val="en-GB"/>
        </w:rPr>
        <w:t>Pipe lengths, diameters and insulation thicknesses were taken from the design plans and verified on site. Both the supply and the return pipes of each section are accounted for. The insulation conductivity was taken as k</w:t>
      </w:r>
      <w:r w:rsidRPr="00AD611D">
        <w:rPr>
          <w:vertAlign w:val="subscript"/>
          <w:lang w:val="en-GB"/>
        </w:rPr>
        <w:t>ins</w:t>
      </w:r>
      <w:r w:rsidR="00A561F8" w:rsidRPr="00AD611D">
        <w:rPr>
          <w:lang w:val="en-GB"/>
        </w:rPr>
        <w:t> </w:t>
      </w:r>
      <w:r w:rsidRPr="00AD611D">
        <w:rPr>
          <w:lang w:val="en-GB"/>
        </w:rPr>
        <w:t>=</w:t>
      </w:r>
      <w:r w:rsidR="00A561F8" w:rsidRPr="00AD611D">
        <w:rPr>
          <w:lang w:val="en-GB"/>
        </w:rPr>
        <w:t> </w:t>
      </w:r>
      <w:r w:rsidRPr="00AD611D">
        <w:rPr>
          <w:lang w:val="en-GB"/>
        </w:rPr>
        <w:t xml:space="preserve">0.04 W m⁻¹ K⁻¹ for the installed mineral wool shells. The internal heat transfer coefficient is derived from the Nusselt number for fully developed laminar flow at constant wall temperature (Nu = 3.66), since the risers operate under bypass conditions for more than 98 % of the time. Only the main distribution pipe, which carries the flow of the remaining risers of Building C and of Building D, is treated as turbulent. The external surface resistance was accounted for using a constant surface coefficient of </w:t>
      </w:r>
      <w:proofErr w:type="spellStart"/>
      <w:r w:rsidRPr="00AD611D">
        <w:rPr>
          <w:lang w:val="en-GB"/>
        </w:rPr>
        <w:t>h</w:t>
      </w:r>
      <w:r w:rsidRPr="00AD611D">
        <w:rPr>
          <w:vertAlign w:val="subscript"/>
          <w:lang w:val="en-GB"/>
        </w:rPr>
        <w:t>se</w:t>
      </w:r>
      <w:proofErr w:type="spellEnd"/>
      <w:r w:rsidRPr="00AD611D">
        <w:rPr>
          <w:lang w:val="en-GB"/>
        </w:rPr>
        <w:t xml:space="preserve"> = 10 W m⁻² K⁻¹. It contributes between 2 % and 10 % of the total resistance, depending on insulation thickness, so this simplification has only a minor effect. </w:t>
      </w:r>
    </w:p>
    <w:p w14:paraId="5218EFA4" w14:textId="6FC18EA9" w:rsidR="0034288D" w:rsidRPr="00AD611D" w:rsidRDefault="0034288D" w:rsidP="0034288D">
      <w:pPr>
        <w:pStyle w:val="SWCHeading11"/>
      </w:pPr>
      <w:r w:rsidRPr="00AD611D">
        <w:t>Calibration</w:t>
      </w:r>
    </w:p>
    <w:p w14:paraId="4FF32CA2" w14:textId="4D98C2C6" w:rsidR="0034288D" w:rsidRPr="00AD611D" w:rsidRDefault="0034288D" w:rsidP="0034288D">
      <w:pPr>
        <w:pStyle w:val="EuroSunText"/>
        <w:rPr>
          <w:lang w:val="en-GB"/>
        </w:rPr>
      </w:pPr>
      <w:r w:rsidRPr="00AD611D">
        <w:rPr>
          <w:lang w:val="en-GB"/>
        </w:rPr>
        <w:t xml:space="preserve">An initial comparison between expected performance and monitoring data revealed substantially higher distribution losses in operation than anticipated. In a first calibration step, all pipe </w:t>
      </w:r>
      <w:r w:rsidR="00B8220D" w:rsidRPr="00AD611D">
        <w:rPr>
          <w:lang w:val="en-GB"/>
        </w:rPr>
        <w:t>conductance’s</w:t>
      </w:r>
      <w:r w:rsidRPr="00AD611D">
        <w:rPr>
          <w:lang w:val="en-GB"/>
        </w:rPr>
        <w:t xml:space="preserve"> and all thermal bridges</w:t>
      </w:r>
      <w:r w:rsidR="00B8220D" w:rsidRPr="00AD611D">
        <w:rPr>
          <w:lang w:val="en-GB"/>
        </w:rPr>
        <w:t xml:space="preserve"> according to PHPP (Passive House Planning Package)</w:t>
      </w:r>
      <w:r w:rsidRPr="00AD611D">
        <w:rPr>
          <w:lang w:val="en-GB"/>
        </w:rPr>
        <w:t xml:space="preserve"> were fixed, and only the conductance of the FWS was </w:t>
      </w:r>
      <w:r w:rsidR="00B8220D" w:rsidRPr="00AD611D">
        <w:rPr>
          <w:lang w:val="en-GB"/>
        </w:rPr>
        <w:t>assumed</w:t>
      </w:r>
      <w:r w:rsidRPr="00AD611D">
        <w:rPr>
          <w:lang w:val="en-GB"/>
        </w:rPr>
        <w:t xml:space="preserve"> from the measurements. This one-parameter model reproduced the total annual loss but left a systematic seasonal residual: the losses were underestimated in winter and overestimated in summer, and the residual correlated with the air temperature of the storage room with a slope of about 12 W K⁻¹. Since the</w:t>
      </w:r>
      <w:r w:rsidR="00B8220D" w:rsidRPr="00AD611D">
        <w:rPr>
          <w:lang w:val="en-GB"/>
        </w:rPr>
        <w:t xml:space="preserve"> modelled</w:t>
      </w:r>
      <w:r w:rsidRPr="00AD611D">
        <w:rPr>
          <w:lang w:val="en-GB"/>
        </w:rPr>
        <w:t xml:space="preserve"> FWS conductance acts on a temperature difference that is nearly constant throughout the year, it cannot compensate such a residual, regardless of its magnitude.</w:t>
      </w:r>
    </w:p>
    <w:p w14:paraId="2E3F345B" w14:textId="0A4EC17A" w:rsidR="006F0420" w:rsidRPr="00AD611D" w:rsidRDefault="0034288D" w:rsidP="0034288D">
      <w:pPr>
        <w:pStyle w:val="EuroSunText"/>
        <w:rPr>
          <w:lang w:val="en-GB"/>
        </w:rPr>
      </w:pPr>
      <w:r w:rsidRPr="00AD611D">
        <w:rPr>
          <w:lang w:val="en-GB"/>
        </w:rPr>
        <w:t xml:space="preserve">The model was therefore extended by one degree of freedom, and the thermal bridges were removed from the fixed part. Two </w:t>
      </w:r>
      <w:proofErr w:type="spellStart"/>
      <w:r w:rsidRPr="00AD611D">
        <w:rPr>
          <w:lang w:val="en-GB"/>
        </w:rPr>
        <w:t>conductances</w:t>
      </w:r>
      <w:proofErr w:type="spellEnd"/>
      <w:r w:rsidRPr="00AD611D">
        <w:rPr>
          <w:lang w:val="en-GB"/>
        </w:rPr>
        <w:t xml:space="preserve"> are calibrated simultaneously. The first, </w:t>
      </w:r>
      <w:proofErr w:type="spellStart"/>
      <w:r w:rsidRPr="00AD611D">
        <w:rPr>
          <w:lang w:val="en-GB"/>
        </w:rPr>
        <w:t>χ</w:t>
      </w:r>
      <w:r w:rsidRPr="00AD611D">
        <w:rPr>
          <w:vertAlign w:val="subscript"/>
          <w:lang w:val="en-GB"/>
        </w:rPr>
        <w:t>amb</w:t>
      </w:r>
      <w:proofErr w:type="spellEnd"/>
      <w:r w:rsidRPr="00AD611D">
        <w:rPr>
          <w:lang w:val="en-GB"/>
        </w:rPr>
        <w:t xml:space="preserve">, acts in addition to the documented pipes outside the thermal envelope and is driven by the storage room temperature. The second, </w:t>
      </w:r>
      <w:proofErr w:type="spellStart"/>
      <w:r w:rsidRPr="00AD611D">
        <w:rPr>
          <w:lang w:val="en-GB"/>
        </w:rPr>
        <w:t>χ</w:t>
      </w:r>
      <w:r w:rsidRPr="00AD611D">
        <w:rPr>
          <w:vertAlign w:val="subscript"/>
          <w:lang w:val="en-GB"/>
        </w:rPr>
        <w:t>int</w:t>
      </w:r>
      <w:proofErr w:type="spellEnd"/>
      <w:r w:rsidRPr="00AD611D">
        <w:rPr>
          <w:lang w:val="en-GB"/>
        </w:rPr>
        <w:t xml:space="preserve">, acts in addition to the documented riser pipes and is driven by the indoor temperature. The two are identifiable because their driving temperature differences behave differently over the year: </w:t>
      </w:r>
      <w:proofErr w:type="spellStart"/>
      <w:r w:rsidRPr="00AD611D">
        <w:rPr>
          <w:lang w:val="en-GB"/>
        </w:rPr>
        <w:t>ΔT</w:t>
      </w:r>
      <w:r w:rsidRPr="00AD611D">
        <w:rPr>
          <w:vertAlign w:val="subscript"/>
          <w:lang w:val="en-GB"/>
        </w:rPr>
        <w:t>amb</w:t>
      </w:r>
      <w:proofErr w:type="spellEnd"/>
      <w:r w:rsidRPr="00AD611D">
        <w:rPr>
          <w:lang w:val="en-GB"/>
        </w:rPr>
        <w:t xml:space="preserve"> varies by more than a factor of two between summer and winter, whereas </w:t>
      </w:r>
      <w:proofErr w:type="spellStart"/>
      <w:r w:rsidRPr="00AD611D">
        <w:rPr>
          <w:lang w:val="en-GB"/>
        </w:rPr>
        <w:t>ΔT</w:t>
      </w:r>
      <w:r w:rsidRPr="00AD611D">
        <w:rPr>
          <w:vertAlign w:val="subscript"/>
          <w:lang w:val="en-GB"/>
        </w:rPr>
        <w:t>riser</w:t>
      </w:r>
      <w:proofErr w:type="spellEnd"/>
      <w:r w:rsidRPr="00AD611D">
        <w:rPr>
          <w:lang w:val="en-GB"/>
        </w:rPr>
        <w:t xml:space="preserve"> is nearly constant.</w:t>
      </w:r>
      <w:r w:rsidR="00363C48" w:rsidRPr="00AD611D">
        <w:rPr>
          <w:lang w:val="en-GB"/>
        </w:rPr>
        <w:t xml:space="preserve"> </w:t>
      </w:r>
      <w:r w:rsidR="006F0420" w:rsidRPr="00AD611D">
        <w:rPr>
          <w:lang w:val="en-GB"/>
        </w:rPr>
        <w:t>For the branch and the risers, the mean of the flow temperature at HM6 and the measured riser return temperature is used.</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824"/>
      </w:tblGrid>
      <w:tr w:rsidR="000F1FED" w:rsidRPr="00AD611D" w14:paraId="36261428" w14:textId="77777777" w:rsidTr="004F11F2">
        <w:trPr>
          <w:trHeight w:val="680"/>
        </w:trPr>
        <w:tc>
          <w:tcPr>
            <w:tcW w:w="7933" w:type="dxa"/>
            <w:shd w:val="clear" w:color="auto" w:fill="auto"/>
            <w:vAlign w:val="center"/>
          </w:tcPr>
          <w:p w14:paraId="513A6010" w14:textId="0A611D38" w:rsidR="000F1FED" w:rsidRPr="00AD611D" w:rsidRDefault="00000000" w:rsidP="00622931">
            <w:pPr>
              <w:pStyle w:val="EuroSunText"/>
              <w:rPr>
                <w:lang w:val="en-GB"/>
              </w:rPr>
            </w:pPr>
            <m:oMath>
              <m:sSub>
                <m:sSubPr>
                  <m:ctrlPr>
                    <w:rPr>
                      <w:rFonts w:ascii="Cambria Math" w:hAnsi="Cambria Math"/>
                      <w:lang w:val="en-GB"/>
                    </w:rPr>
                  </m:ctrlPr>
                </m:sSubPr>
                <m:e>
                  <m:acc>
                    <m:accPr>
                      <m:chr m:val="̇"/>
                      <m:ctrlPr>
                        <w:rPr>
                          <w:rFonts w:ascii="Cambria Math" w:hAnsi="Cambria Math"/>
                          <w:lang w:val="en-GB"/>
                        </w:rPr>
                      </m:ctrlPr>
                    </m:accPr>
                    <m:e>
                      <m:r>
                        <w:rPr>
                          <w:rFonts w:ascii="Cambria Math" w:hAnsi="Cambria Math"/>
                          <w:lang w:val="en-GB"/>
                        </w:rPr>
                        <m:t>Q</m:t>
                      </m:r>
                    </m:e>
                  </m:acc>
                </m:e>
                <m:sub>
                  <m:r>
                    <w:rPr>
                      <w:rFonts w:ascii="Cambria Math" w:hAnsi="Cambria Math"/>
                      <w:lang w:val="en-GB"/>
                    </w:rPr>
                    <m:t>loss</m:t>
                  </m:r>
                </m:sub>
              </m:sSub>
              <m:r>
                <w:rPr>
                  <w:rFonts w:ascii="Cambria Math" w:hAnsi="Cambria Math"/>
                  <w:lang w:val="en-GB"/>
                </w:rPr>
                <m:t>=</m:t>
              </m:r>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Λ</m:t>
                      </m:r>
                    </m:e>
                    <m:sub>
                      <m:r>
                        <w:rPr>
                          <w:rFonts w:ascii="Cambria Math" w:hAnsi="Cambria Math"/>
                          <w:lang w:val="en-GB"/>
                        </w:rPr>
                        <m:t>main</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Λ</m:t>
                      </m:r>
                    </m:e>
                    <m:sub>
                      <m:r>
                        <w:rPr>
                          <w:rFonts w:ascii="Cambria Math" w:hAnsi="Cambria Math"/>
                          <w:lang w:val="en-GB"/>
                        </w:rPr>
                        <m:t>branch</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χ</m:t>
                      </m:r>
                    </m:e>
                    <m:sub>
                      <m:r>
                        <w:rPr>
                          <w:rFonts w:ascii="Cambria Math" w:hAnsi="Cambria Math"/>
                          <w:lang w:val="en-GB"/>
                        </w:rPr>
                        <m:t>amb</m:t>
                      </m:r>
                    </m:sub>
                  </m:sSub>
                  <m:r>
                    <w:rPr>
                      <w:rFonts w:ascii="Cambria Math" w:hAnsi="Cambria Math"/>
                      <w:lang w:val="en-GB"/>
                    </w:rPr>
                    <m:t xml:space="preserve"> </m:t>
                  </m:r>
                </m:e>
              </m:d>
              <m:r>
                <w:rPr>
                  <w:rFonts w:ascii="Cambria Math" w:hAnsi="Cambria Math"/>
                  <w:lang w:val="en-GB"/>
                </w:rPr>
                <m:t>∙Δ</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amb</m:t>
                  </m:r>
                </m:sub>
              </m:sSub>
              <m:r>
                <w:rPr>
                  <w:rFonts w:ascii="Cambria Math" w:hAnsi="Cambria Math"/>
                  <w:lang w:val="en-GB"/>
                </w:rPr>
                <m:t>+</m:t>
              </m:r>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Λ</m:t>
                      </m:r>
                    </m:e>
                    <m:sub>
                      <m:r>
                        <w:rPr>
                          <w:rFonts w:ascii="Cambria Math" w:hAnsi="Cambria Math"/>
                          <w:lang w:val="en-GB"/>
                        </w:rPr>
                        <m:t>riser</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χ</m:t>
                      </m:r>
                    </m:e>
                    <m:sub>
                      <m:r>
                        <w:rPr>
                          <w:rFonts w:ascii="Cambria Math" w:hAnsi="Cambria Math"/>
                          <w:lang w:val="en-GB"/>
                        </w:rPr>
                        <m:t>int</m:t>
                      </m:r>
                    </m:sub>
                  </m:sSub>
                  <m:r>
                    <w:rPr>
                      <w:rFonts w:ascii="Cambria Math" w:hAnsi="Cambria Math"/>
                      <w:lang w:val="en-GB"/>
                    </w:rPr>
                    <m:t xml:space="preserve"> </m:t>
                  </m:r>
                </m:e>
              </m:d>
              <m:r>
                <w:rPr>
                  <w:rFonts w:ascii="Cambria Math" w:hAnsi="Cambria Math"/>
                  <w:lang w:val="en-GB"/>
                </w:rPr>
                <m:t>∙Δ</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riser</m:t>
                  </m:r>
                </m:sub>
              </m:sSub>
            </m:oMath>
            <w:r w:rsidR="00363C48" w:rsidRPr="00AD611D">
              <w:rPr>
                <w:lang w:val="en-GB"/>
              </w:rPr>
              <w:t xml:space="preserve"> </w:t>
            </w:r>
            <w:r w:rsidR="00FD28DD" w:rsidRPr="00AD611D">
              <w:rPr>
                <w:lang w:val="en-GB"/>
              </w:rPr>
              <w:t xml:space="preserve"> </w:t>
            </w:r>
          </w:p>
        </w:tc>
        <w:tc>
          <w:tcPr>
            <w:tcW w:w="824" w:type="dxa"/>
            <w:shd w:val="clear" w:color="auto" w:fill="auto"/>
            <w:vAlign w:val="center"/>
          </w:tcPr>
          <w:p w14:paraId="4784365B" w14:textId="08FD4909" w:rsidR="000F1FED" w:rsidRPr="00AD611D" w:rsidRDefault="000F1FED" w:rsidP="00A822ED">
            <w:pPr>
              <w:pStyle w:val="EuroSunText"/>
              <w:rPr>
                <w:lang w:val="en-GB"/>
              </w:rPr>
            </w:pPr>
            <w:r w:rsidRPr="00AD611D">
              <w:rPr>
                <w:lang w:val="en-GB"/>
              </w:rPr>
              <w:t>(</w:t>
            </w:r>
            <w:r w:rsidRPr="00AD611D">
              <w:rPr>
                <w:lang w:val="en-GB"/>
              </w:rPr>
              <w:fldChar w:fldCharType="begin"/>
            </w:r>
            <w:r w:rsidRPr="00AD611D">
              <w:rPr>
                <w:lang w:val="en-GB"/>
              </w:rPr>
              <w:instrText xml:space="preserve"> SEQ equation_EuroSun2026 \* ARABIC </w:instrText>
            </w:r>
            <w:r w:rsidRPr="00AD611D">
              <w:rPr>
                <w:lang w:val="en-GB"/>
              </w:rPr>
              <w:fldChar w:fldCharType="separate"/>
            </w:r>
            <w:r w:rsidR="000805D6">
              <w:rPr>
                <w:noProof/>
                <w:lang w:val="en-GB"/>
              </w:rPr>
              <w:t>12</w:t>
            </w:r>
            <w:r w:rsidRPr="00AD611D">
              <w:rPr>
                <w:lang w:val="en-GB"/>
              </w:rPr>
              <w:fldChar w:fldCharType="end"/>
            </w:r>
            <w:r w:rsidRPr="00AD611D">
              <w:rPr>
                <w:lang w:val="en-GB"/>
              </w:rPr>
              <w:t>)</w:t>
            </w:r>
          </w:p>
        </w:tc>
      </w:tr>
    </w:tbl>
    <w:p w14:paraId="483CAD59" w14:textId="28B9C286" w:rsidR="000F1FED" w:rsidRPr="00AD611D" w:rsidRDefault="00622931" w:rsidP="00622931">
      <w:pPr>
        <w:pStyle w:val="EuroSunText"/>
        <w:rPr>
          <w:lang w:val="en-GB"/>
        </w:rPr>
      </w:pPr>
      <w:r w:rsidRPr="00AD611D">
        <w:rPr>
          <w:lang w:val="en-GB"/>
        </w:rPr>
        <w:t xml:space="preserve">The two pipe sections outside the envelope share the same ambient temperature but differ slightly in water temperature. They are combined into a single driving temperature difference, weighted by their documented </w:t>
      </w:r>
      <w:proofErr w:type="spellStart"/>
      <w:r w:rsidRPr="00AD611D">
        <w:rPr>
          <w:lang w:val="en-GB"/>
        </w:rPr>
        <w:t>conductances</w:t>
      </w:r>
      <w:proofErr w:type="spellEnd"/>
      <w:r w:rsidRPr="00AD611D">
        <w:rPr>
          <w:lang w:val="en-GB"/>
        </w:rPr>
        <w:t xml:space="preserve">, so that </w:t>
      </w:r>
      <w:proofErr w:type="spellStart"/>
      <w:r w:rsidRPr="00AD611D">
        <w:rPr>
          <w:lang w:val="en-GB"/>
        </w:rPr>
        <w:t>χ</w:t>
      </w:r>
      <w:r w:rsidRPr="00AD611D">
        <w:rPr>
          <w:vertAlign w:val="subscript"/>
          <w:lang w:val="en-GB"/>
        </w:rPr>
        <w:t>amb</w:t>
      </w:r>
      <w:proofErr w:type="spellEnd"/>
      <w:r w:rsidRPr="00AD611D">
        <w:rPr>
          <w:lang w:val="en-GB"/>
        </w:rPr>
        <w:t xml:space="preserve"> is a total conductance and the decomposition remains consistent with the fit.</w:t>
      </w:r>
    </w:p>
    <w:tbl>
      <w:tblPr>
        <w:tblStyle w:val="Tabellenraster"/>
        <w:tblW w:w="89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1020"/>
      </w:tblGrid>
      <w:tr w:rsidR="00622931" w:rsidRPr="00AD611D" w14:paraId="4FC20A2A" w14:textId="77777777" w:rsidTr="00DB0E70">
        <w:tc>
          <w:tcPr>
            <w:tcW w:w="7933" w:type="dxa"/>
            <w:shd w:val="clear" w:color="auto" w:fill="auto"/>
            <w:vAlign w:val="center"/>
          </w:tcPr>
          <w:p w14:paraId="51EE7AF7" w14:textId="6B4B4C93" w:rsidR="00622931" w:rsidRPr="00AD611D" w:rsidRDefault="00622931" w:rsidP="00A822ED">
            <w:pPr>
              <w:pStyle w:val="EuroSunText"/>
              <w:rPr>
                <w:lang w:val="en-GB"/>
              </w:rPr>
            </w:pPr>
            <m:oMathPara>
              <m:oMathParaPr>
                <m:jc m:val="left"/>
              </m:oMathParaPr>
              <m:oMath>
                <m:r>
                  <w:rPr>
                    <w:rFonts w:ascii="Cambria Math" w:hAnsi="Cambria Math"/>
                    <w:lang w:val="en-GB"/>
                  </w:rPr>
                  <w:lastRenderedPageBreak/>
                  <m:t>Δ</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amb</m:t>
                    </m:r>
                  </m:sub>
                </m:sSub>
                <m:r>
                  <w:rPr>
                    <w:rFonts w:ascii="Cambria Math" w:hAnsi="Cambria Math"/>
                    <w:lang w:val="en-GB"/>
                  </w:rPr>
                  <m:t>=</m:t>
                </m:r>
                <m:f>
                  <m:fPr>
                    <m:ctrlPr>
                      <w:rPr>
                        <w:rFonts w:ascii="Cambria Math" w:hAnsi="Cambria Math"/>
                        <w:i/>
                        <w:lang w:val="en-GB"/>
                      </w:rPr>
                    </m:ctrlPr>
                  </m:fPr>
                  <m:num>
                    <m:sSub>
                      <m:sSubPr>
                        <m:ctrlPr>
                          <w:rPr>
                            <w:rFonts w:ascii="Cambria Math" w:hAnsi="Cambria Math"/>
                            <w:i/>
                            <w:lang w:val="en-GB"/>
                          </w:rPr>
                        </m:ctrlPr>
                      </m:sSubPr>
                      <m:e>
                        <m:r>
                          <w:rPr>
                            <w:rFonts w:ascii="Cambria Math" w:hAnsi="Cambria Math"/>
                            <w:lang w:val="en-GB"/>
                          </w:rPr>
                          <m:t>Λ</m:t>
                        </m:r>
                      </m:e>
                      <m:sub>
                        <m:r>
                          <w:rPr>
                            <w:rFonts w:ascii="Cambria Math" w:hAnsi="Cambria Math"/>
                            <w:lang w:val="en-GB"/>
                          </w:rPr>
                          <m:t>main</m:t>
                        </m:r>
                      </m:sub>
                    </m:sSub>
                    <m:r>
                      <w:rPr>
                        <w:rFonts w:ascii="Cambria Math" w:hAnsi="Cambria Math"/>
                        <w:lang w:val="en-GB"/>
                      </w:rPr>
                      <m:t xml:space="preserve"> ∙Δ</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main</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Λ</m:t>
                        </m:r>
                      </m:e>
                      <m:sub>
                        <m:r>
                          <w:rPr>
                            <w:rFonts w:ascii="Cambria Math" w:hAnsi="Cambria Math"/>
                            <w:lang w:val="en-GB"/>
                          </w:rPr>
                          <m:t>branch</m:t>
                        </m:r>
                      </m:sub>
                    </m:sSub>
                    <m:r>
                      <w:rPr>
                        <w:rFonts w:ascii="Cambria Math" w:hAnsi="Cambria Math"/>
                        <w:lang w:val="en-GB"/>
                      </w:rPr>
                      <m:t>∙Δ</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branch</m:t>
                        </m:r>
                      </m:sub>
                    </m:sSub>
                  </m:num>
                  <m:den>
                    <m:sSub>
                      <m:sSubPr>
                        <m:ctrlPr>
                          <w:rPr>
                            <w:rFonts w:ascii="Cambria Math" w:hAnsi="Cambria Math"/>
                            <w:i/>
                            <w:lang w:val="en-GB"/>
                          </w:rPr>
                        </m:ctrlPr>
                      </m:sSubPr>
                      <m:e>
                        <m:r>
                          <w:rPr>
                            <w:rFonts w:ascii="Cambria Math" w:hAnsi="Cambria Math"/>
                            <w:lang w:val="en-GB"/>
                          </w:rPr>
                          <m:t>Λ</m:t>
                        </m:r>
                      </m:e>
                      <m:sub>
                        <m:r>
                          <w:rPr>
                            <w:rFonts w:ascii="Cambria Math" w:hAnsi="Cambria Math"/>
                            <w:lang w:val="en-GB"/>
                          </w:rPr>
                          <m:t>main</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Λ</m:t>
                        </m:r>
                      </m:e>
                      <m:sub>
                        <m:r>
                          <w:rPr>
                            <w:rFonts w:ascii="Cambria Math" w:hAnsi="Cambria Math"/>
                            <w:lang w:val="en-GB"/>
                          </w:rPr>
                          <m:t>branch</m:t>
                        </m:r>
                      </m:sub>
                    </m:sSub>
                  </m:den>
                </m:f>
              </m:oMath>
            </m:oMathPara>
          </w:p>
        </w:tc>
        <w:tc>
          <w:tcPr>
            <w:tcW w:w="1020" w:type="dxa"/>
            <w:shd w:val="clear" w:color="auto" w:fill="auto"/>
            <w:vAlign w:val="center"/>
          </w:tcPr>
          <w:p w14:paraId="44F03F87" w14:textId="1C97D258" w:rsidR="00622931" w:rsidRPr="00AD611D" w:rsidRDefault="00622931" w:rsidP="00A822ED">
            <w:pPr>
              <w:pStyle w:val="EuroSunText"/>
              <w:rPr>
                <w:lang w:val="en-GB"/>
              </w:rPr>
            </w:pPr>
            <w:r w:rsidRPr="00AD611D">
              <w:rPr>
                <w:lang w:val="en-GB"/>
              </w:rPr>
              <w:t>(</w:t>
            </w:r>
            <w:r w:rsidRPr="00AD611D">
              <w:rPr>
                <w:lang w:val="en-GB"/>
              </w:rPr>
              <w:fldChar w:fldCharType="begin"/>
            </w:r>
            <w:r w:rsidRPr="00AD611D">
              <w:rPr>
                <w:lang w:val="en-GB"/>
              </w:rPr>
              <w:instrText xml:space="preserve"> SEQ equation_EuroSun2026 \* ARABIC </w:instrText>
            </w:r>
            <w:r w:rsidRPr="00AD611D">
              <w:rPr>
                <w:lang w:val="en-GB"/>
              </w:rPr>
              <w:fldChar w:fldCharType="separate"/>
            </w:r>
            <w:r w:rsidR="000805D6">
              <w:rPr>
                <w:noProof/>
                <w:lang w:val="en-GB"/>
              </w:rPr>
              <w:t>13</w:t>
            </w:r>
            <w:r w:rsidRPr="00AD611D">
              <w:rPr>
                <w:lang w:val="en-GB"/>
              </w:rPr>
              <w:fldChar w:fldCharType="end"/>
            </w:r>
            <w:r w:rsidRPr="00AD611D">
              <w:rPr>
                <w:lang w:val="en-GB"/>
              </w:rPr>
              <w:t>)</w:t>
            </w:r>
          </w:p>
        </w:tc>
      </w:tr>
    </w:tbl>
    <w:p w14:paraId="5EE4A4E9" w14:textId="772E2EA1" w:rsidR="00622931" w:rsidRPr="00AD611D" w:rsidRDefault="00622931" w:rsidP="00622931">
      <w:pPr>
        <w:pStyle w:val="EuroSunText"/>
        <w:rPr>
          <w:lang w:val="en-GB"/>
        </w:rPr>
      </w:pPr>
      <w:r w:rsidRPr="00AD611D">
        <w:rPr>
          <w:lang w:val="en-GB"/>
        </w:rPr>
        <w:t>The problem is linear in two unknowns and constrained to non-negative values</w:t>
      </w:r>
      <w:r w:rsidR="00185004" w:rsidRPr="00AD611D">
        <w:rPr>
          <w:lang w:val="en-GB"/>
        </w:rPr>
        <w:t>.</w:t>
      </w:r>
      <w:r w:rsidRPr="00AD611D">
        <w:rPr>
          <w:lang w:val="en-GB"/>
        </w:rPr>
        <w:t xml:space="preserve"> </w:t>
      </w:r>
      <w:r w:rsidR="00185004" w:rsidRPr="00AD611D">
        <w:rPr>
          <w:lang w:val="en-GB"/>
        </w:rPr>
        <w:t>I</w:t>
      </w:r>
      <w:r w:rsidRPr="00AD611D">
        <w:rPr>
          <w:lang w:val="en-GB"/>
        </w:rPr>
        <w:t>t is solved directly by bounded linear least squares. No iterative optimisation or initial estimate is involved. Neither the thermal bridge assumptions nor the FWS enter this step, so the resulting fit quality is independent of them.</w:t>
      </w:r>
    </w:p>
    <w:tbl>
      <w:tblPr>
        <w:tblStyle w:val="Tabellenraster"/>
        <w:tblW w:w="89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1020"/>
      </w:tblGrid>
      <w:tr w:rsidR="00C66B70" w:rsidRPr="00AD611D" w14:paraId="6AAC601E" w14:textId="77777777" w:rsidTr="00FB69E7">
        <w:tc>
          <w:tcPr>
            <w:tcW w:w="7933" w:type="dxa"/>
            <w:shd w:val="clear" w:color="auto" w:fill="auto"/>
            <w:vAlign w:val="center"/>
          </w:tcPr>
          <w:p w14:paraId="56B514F0" w14:textId="100590B9" w:rsidR="00C66B70" w:rsidRPr="00AD611D" w:rsidRDefault="00000000" w:rsidP="00FB69E7">
            <w:pPr>
              <w:pStyle w:val="EuroSunText"/>
              <w:rPr>
                <w:lang w:val="en-GB"/>
              </w:rPr>
            </w:pPr>
            <m:oMathPara>
              <m:oMathParaPr>
                <m:jc m:val="left"/>
              </m:oMathParaPr>
              <m:oMath>
                <m:d>
                  <m:dPr>
                    <m:ctrlPr>
                      <w:rPr>
                        <w:rFonts w:ascii="Cambria Math" w:hAnsi="Cambria Math"/>
                        <w:i/>
                        <w:sz w:val="16"/>
                        <w:szCs w:val="18"/>
                        <w:lang w:val="en-GB"/>
                      </w:rPr>
                    </m:ctrlPr>
                  </m:dPr>
                  <m:e>
                    <m:sSubSup>
                      <m:sSubSupPr>
                        <m:ctrlPr>
                          <w:rPr>
                            <w:rFonts w:ascii="Cambria Math" w:hAnsi="Cambria Math"/>
                            <w:i/>
                            <w:sz w:val="16"/>
                            <w:szCs w:val="18"/>
                            <w:lang w:val="en-GB"/>
                          </w:rPr>
                        </m:ctrlPr>
                      </m:sSubSupPr>
                      <m:e>
                        <m:r>
                          <w:rPr>
                            <w:rFonts w:ascii="Cambria Math" w:hAnsi="Cambria Math"/>
                            <w:sz w:val="16"/>
                            <w:szCs w:val="18"/>
                            <w:lang w:val="en-GB"/>
                          </w:rPr>
                          <m:t>χ</m:t>
                        </m:r>
                      </m:e>
                      <m:sub>
                        <m:r>
                          <w:rPr>
                            <w:rFonts w:ascii="Cambria Math" w:hAnsi="Cambria Math"/>
                            <w:sz w:val="16"/>
                            <w:szCs w:val="18"/>
                            <w:lang w:val="en-GB"/>
                          </w:rPr>
                          <m:t>amb</m:t>
                        </m:r>
                      </m:sub>
                      <m:sup>
                        <m:r>
                          <w:rPr>
                            <w:rFonts w:ascii="Cambria Math" w:hAnsi="Cambria Math"/>
                            <w:sz w:val="16"/>
                            <w:szCs w:val="18"/>
                            <w:lang w:val="en-GB"/>
                          </w:rPr>
                          <m:t>*</m:t>
                        </m:r>
                      </m:sup>
                    </m:sSubSup>
                    <m:r>
                      <w:rPr>
                        <w:rFonts w:ascii="Cambria Math" w:hAnsi="Cambria Math"/>
                        <w:sz w:val="16"/>
                        <w:szCs w:val="18"/>
                        <w:lang w:val="en-GB"/>
                      </w:rPr>
                      <m:t>,</m:t>
                    </m:r>
                    <m:sSubSup>
                      <m:sSubSupPr>
                        <m:ctrlPr>
                          <w:rPr>
                            <w:rFonts w:ascii="Cambria Math" w:hAnsi="Cambria Math"/>
                            <w:i/>
                            <w:sz w:val="16"/>
                            <w:szCs w:val="18"/>
                            <w:lang w:val="en-GB"/>
                          </w:rPr>
                        </m:ctrlPr>
                      </m:sSubSupPr>
                      <m:e>
                        <m:r>
                          <w:rPr>
                            <w:rFonts w:ascii="Cambria Math" w:hAnsi="Cambria Math"/>
                            <w:sz w:val="16"/>
                            <w:szCs w:val="18"/>
                            <w:lang w:val="en-GB"/>
                          </w:rPr>
                          <m:t>χ</m:t>
                        </m:r>
                      </m:e>
                      <m:sub>
                        <m:r>
                          <w:rPr>
                            <w:rFonts w:ascii="Cambria Math" w:hAnsi="Cambria Math"/>
                            <w:sz w:val="16"/>
                            <w:szCs w:val="18"/>
                            <w:lang w:val="en-GB"/>
                          </w:rPr>
                          <m:t>int</m:t>
                        </m:r>
                      </m:sub>
                      <m:sup>
                        <m:r>
                          <w:rPr>
                            <w:rFonts w:ascii="Cambria Math" w:hAnsi="Cambria Math"/>
                            <w:sz w:val="16"/>
                            <w:szCs w:val="18"/>
                            <w:lang w:val="en-GB"/>
                          </w:rPr>
                          <m:t>*</m:t>
                        </m:r>
                      </m:sup>
                    </m:sSubSup>
                  </m:e>
                </m:d>
                <m:r>
                  <w:rPr>
                    <w:rFonts w:ascii="Cambria Math" w:hAnsi="Cambria Math"/>
                    <w:sz w:val="16"/>
                    <w:szCs w:val="18"/>
                    <w:lang w:val="en-GB"/>
                  </w:rPr>
                  <m:t>=argmi</m:t>
                </m:r>
                <m:sSub>
                  <m:sSubPr>
                    <m:ctrlPr>
                      <w:rPr>
                        <w:rFonts w:ascii="Cambria Math" w:hAnsi="Cambria Math"/>
                        <w:i/>
                        <w:sz w:val="16"/>
                        <w:szCs w:val="18"/>
                        <w:lang w:val="en-GB"/>
                      </w:rPr>
                    </m:ctrlPr>
                  </m:sSubPr>
                  <m:e>
                    <m:r>
                      <w:rPr>
                        <w:rFonts w:ascii="Cambria Math" w:hAnsi="Cambria Math"/>
                        <w:sz w:val="16"/>
                        <w:szCs w:val="18"/>
                        <w:lang w:val="en-GB"/>
                      </w:rPr>
                      <m:t>n</m:t>
                    </m:r>
                  </m:e>
                  <m:sub>
                    <m:sSub>
                      <m:sSubPr>
                        <m:ctrlPr>
                          <w:rPr>
                            <w:rFonts w:ascii="Cambria Math" w:hAnsi="Cambria Math"/>
                            <w:i/>
                            <w:sz w:val="16"/>
                            <w:szCs w:val="18"/>
                            <w:lang w:val="en-GB"/>
                          </w:rPr>
                        </m:ctrlPr>
                      </m:sSubPr>
                      <m:e>
                        <m:r>
                          <w:rPr>
                            <w:rFonts w:ascii="Cambria Math" w:hAnsi="Cambria Math"/>
                            <w:sz w:val="16"/>
                            <w:szCs w:val="18"/>
                            <w:lang w:val="en-GB"/>
                          </w:rPr>
                          <m:t>χ</m:t>
                        </m:r>
                      </m:e>
                      <m:sub>
                        <m:r>
                          <w:rPr>
                            <w:rFonts w:ascii="Cambria Math" w:hAnsi="Cambria Math"/>
                            <w:sz w:val="16"/>
                            <w:szCs w:val="18"/>
                            <w:lang w:val="en-GB"/>
                          </w:rPr>
                          <m:t>amb</m:t>
                        </m:r>
                      </m:sub>
                    </m:sSub>
                    <m:r>
                      <w:rPr>
                        <w:rFonts w:ascii="Cambria Math" w:hAnsi="Cambria Math"/>
                        <w:sz w:val="16"/>
                        <w:szCs w:val="18"/>
                        <w:lang w:val="en-GB"/>
                      </w:rPr>
                      <m:t>,</m:t>
                    </m:r>
                    <m:sSub>
                      <m:sSubPr>
                        <m:ctrlPr>
                          <w:rPr>
                            <w:rFonts w:ascii="Cambria Math" w:hAnsi="Cambria Math"/>
                            <w:i/>
                            <w:sz w:val="16"/>
                            <w:szCs w:val="18"/>
                            <w:lang w:val="en-GB"/>
                          </w:rPr>
                        </m:ctrlPr>
                      </m:sSubPr>
                      <m:e>
                        <m:r>
                          <w:rPr>
                            <w:rFonts w:ascii="Cambria Math" w:hAnsi="Cambria Math"/>
                            <w:sz w:val="16"/>
                            <w:szCs w:val="18"/>
                            <w:lang w:val="en-GB"/>
                          </w:rPr>
                          <m:t>χ</m:t>
                        </m:r>
                      </m:e>
                      <m:sub>
                        <m:r>
                          <w:rPr>
                            <w:rFonts w:ascii="Cambria Math" w:hAnsi="Cambria Math"/>
                            <w:sz w:val="16"/>
                            <w:szCs w:val="18"/>
                            <w:lang w:val="en-GB"/>
                          </w:rPr>
                          <m:t>int</m:t>
                        </m:r>
                      </m:sub>
                    </m:sSub>
                    <m:r>
                      <w:rPr>
                        <w:rFonts w:ascii="Cambria Math" w:hAnsi="Cambria Math"/>
                        <w:sz w:val="16"/>
                        <w:szCs w:val="18"/>
                        <w:lang w:val="en-GB"/>
                      </w:rPr>
                      <m:t>≥0</m:t>
                    </m:r>
                  </m:sub>
                </m:sSub>
                <m:r>
                  <w:rPr>
                    <w:rFonts w:ascii="Cambria Math" w:hAnsi="Cambria Math"/>
                    <w:sz w:val="16"/>
                    <w:szCs w:val="18"/>
                    <w:lang w:val="en-GB"/>
                  </w:rPr>
                  <m:t xml:space="preserve"> </m:t>
                </m:r>
                <m:nary>
                  <m:naryPr>
                    <m:chr m:val="∑"/>
                    <m:supHide m:val="1"/>
                    <m:ctrlPr>
                      <w:rPr>
                        <w:rFonts w:ascii="Cambria Math" w:hAnsi="Cambria Math"/>
                        <w:i/>
                        <w:sz w:val="16"/>
                        <w:szCs w:val="18"/>
                        <w:lang w:val="en-GB"/>
                      </w:rPr>
                    </m:ctrlPr>
                  </m:naryPr>
                  <m:sub>
                    <m:r>
                      <w:rPr>
                        <w:rFonts w:ascii="Cambria Math" w:hAnsi="Cambria Math"/>
                        <w:sz w:val="16"/>
                        <w:szCs w:val="18"/>
                        <w:lang w:val="en-GB"/>
                      </w:rPr>
                      <m:t>k</m:t>
                    </m:r>
                  </m:sub>
                  <m:sup/>
                  <m:e>
                    <m:sSup>
                      <m:sSupPr>
                        <m:ctrlPr>
                          <w:rPr>
                            <w:rFonts w:ascii="Cambria Math" w:hAnsi="Cambria Math"/>
                            <w:i/>
                            <w:sz w:val="16"/>
                            <w:szCs w:val="18"/>
                            <w:lang w:val="en-GB"/>
                          </w:rPr>
                        </m:ctrlPr>
                      </m:sSupPr>
                      <m:e>
                        <m:d>
                          <m:dPr>
                            <m:ctrlPr>
                              <w:rPr>
                                <w:rFonts w:ascii="Cambria Math" w:hAnsi="Cambria Math"/>
                                <w:i/>
                                <w:sz w:val="16"/>
                                <w:szCs w:val="18"/>
                                <w:lang w:val="en-GB"/>
                              </w:rPr>
                            </m:ctrlPr>
                          </m:dPr>
                          <m:e>
                            <m:sSubSup>
                              <m:sSubSupPr>
                                <m:ctrlPr>
                                  <w:rPr>
                                    <w:rFonts w:ascii="Cambria Math" w:hAnsi="Cambria Math"/>
                                    <w:i/>
                                    <w:sz w:val="16"/>
                                    <w:szCs w:val="18"/>
                                    <w:lang w:val="en-GB"/>
                                  </w:rPr>
                                </m:ctrlPr>
                              </m:sSubSupPr>
                              <m:e>
                                <m:acc>
                                  <m:accPr>
                                    <m:chr m:val="̅"/>
                                    <m:ctrlPr>
                                      <w:rPr>
                                        <w:rFonts w:ascii="Cambria Math" w:hAnsi="Cambria Math"/>
                                        <w:i/>
                                        <w:sz w:val="16"/>
                                        <w:szCs w:val="18"/>
                                        <w:lang w:val="en-GB"/>
                                      </w:rPr>
                                    </m:ctrlPr>
                                  </m:accPr>
                                  <m:e>
                                    <m:r>
                                      <w:rPr>
                                        <w:rFonts w:ascii="Cambria Math" w:hAnsi="Cambria Math"/>
                                        <w:sz w:val="16"/>
                                        <w:szCs w:val="18"/>
                                        <w:lang w:val="en-GB"/>
                                      </w:rPr>
                                      <m:t>P</m:t>
                                    </m:r>
                                  </m:e>
                                </m:acc>
                              </m:e>
                              <m:sub>
                                <m:r>
                                  <w:rPr>
                                    <w:rFonts w:ascii="Cambria Math" w:hAnsi="Cambria Math"/>
                                    <w:sz w:val="16"/>
                                    <w:szCs w:val="18"/>
                                    <w:lang w:val="en-GB"/>
                                  </w:rPr>
                                  <m:t>loss,k</m:t>
                                </m:r>
                              </m:sub>
                              <m:sup>
                                <m:r>
                                  <w:rPr>
                                    <w:rFonts w:ascii="Cambria Math" w:hAnsi="Cambria Math"/>
                                    <w:sz w:val="16"/>
                                    <w:szCs w:val="18"/>
                                    <w:lang w:val="en-GB"/>
                                  </w:rPr>
                                  <m:t>meas</m:t>
                                </m:r>
                              </m:sup>
                            </m:sSubSup>
                            <m:r>
                              <w:rPr>
                                <w:rFonts w:ascii="Cambria Math" w:hAnsi="Cambria Math"/>
                                <w:sz w:val="16"/>
                                <w:szCs w:val="18"/>
                                <w:lang w:val="en-GB"/>
                              </w:rPr>
                              <m:t>-</m:t>
                            </m:r>
                            <m:d>
                              <m:dPr>
                                <m:ctrlPr>
                                  <w:rPr>
                                    <w:rFonts w:ascii="Cambria Math" w:hAnsi="Cambria Math"/>
                                    <w:i/>
                                    <w:sz w:val="16"/>
                                    <w:szCs w:val="18"/>
                                    <w:lang w:val="en-GB"/>
                                  </w:rPr>
                                </m:ctrlPr>
                              </m:dPr>
                              <m:e>
                                <m:sSub>
                                  <m:sSubPr>
                                    <m:ctrlPr>
                                      <w:rPr>
                                        <w:rFonts w:ascii="Cambria Math" w:hAnsi="Cambria Math"/>
                                        <w:i/>
                                        <w:sz w:val="16"/>
                                        <w:szCs w:val="18"/>
                                        <w:lang w:val="en-GB"/>
                                      </w:rPr>
                                    </m:ctrlPr>
                                  </m:sSubPr>
                                  <m:e>
                                    <m:r>
                                      <w:rPr>
                                        <w:rFonts w:ascii="Cambria Math" w:hAnsi="Cambria Math"/>
                                        <w:sz w:val="16"/>
                                        <w:szCs w:val="18"/>
                                        <w:lang w:val="en-GB"/>
                                      </w:rPr>
                                      <m:t>Λ</m:t>
                                    </m:r>
                                  </m:e>
                                  <m:sub>
                                    <m:r>
                                      <w:rPr>
                                        <w:rFonts w:ascii="Cambria Math" w:hAnsi="Cambria Math"/>
                                        <w:sz w:val="16"/>
                                        <w:szCs w:val="18"/>
                                        <w:lang w:val="en-GB"/>
                                      </w:rPr>
                                      <m:t>main</m:t>
                                    </m:r>
                                  </m:sub>
                                </m:sSub>
                                <m:r>
                                  <w:rPr>
                                    <w:rFonts w:ascii="Cambria Math" w:hAnsi="Cambria Math"/>
                                    <w:sz w:val="16"/>
                                    <w:szCs w:val="18"/>
                                    <w:lang w:val="en-GB"/>
                                  </w:rPr>
                                  <m:t>+</m:t>
                                </m:r>
                                <m:sSub>
                                  <m:sSubPr>
                                    <m:ctrlPr>
                                      <w:rPr>
                                        <w:rFonts w:ascii="Cambria Math" w:hAnsi="Cambria Math"/>
                                        <w:i/>
                                        <w:sz w:val="16"/>
                                        <w:szCs w:val="18"/>
                                        <w:lang w:val="en-GB"/>
                                      </w:rPr>
                                    </m:ctrlPr>
                                  </m:sSubPr>
                                  <m:e>
                                    <m:r>
                                      <w:rPr>
                                        <w:rFonts w:ascii="Cambria Math" w:hAnsi="Cambria Math"/>
                                        <w:sz w:val="16"/>
                                        <w:szCs w:val="18"/>
                                        <w:lang w:val="en-GB"/>
                                      </w:rPr>
                                      <m:t>Λ</m:t>
                                    </m:r>
                                  </m:e>
                                  <m:sub>
                                    <m:r>
                                      <w:rPr>
                                        <w:rFonts w:ascii="Cambria Math" w:hAnsi="Cambria Math"/>
                                        <w:sz w:val="16"/>
                                        <w:szCs w:val="18"/>
                                        <w:lang w:val="en-GB"/>
                                      </w:rPr>
                                      <m:t>branch</m:t>
                                    </m:r>
                                  </m:sub>
                                </m:sSub>
                                <m:r>
                                  <w:rPr>
                                    <w:rFonts w:ascii="Cambria Math" w:hAnsi="Cambria Math"/>
                                    <w:sz w:val="16"/>
                                    <w:szCs w:val="18"/>
                                    <w:lang w:val="en-GB"/>
                                  </w:rPr>
                                  <m:t>+</m:t>
                                </m:r>
                                <m:sSub>
                                  <m:sSubPr>
                                    <m:ctrlPr>
                                      <w:rPr>
                                        <w:rFonts w:ascii="Cambria Math" w:hAnsi="Cambria Math"/>
                                        <w:i/>
                                        <w:sz w:val="16"/>
                                        <w:szCs w:val="18"/>
                                        <w:lang w:val="en-GB"/>
                                      </w:rPr>
                                    </m:ctrlPr>
                                  </m:sSubPr>
                                  <m:e>
                                    <m:r>
                                      <w:rPr>
                                        <w:rFonts w:ascii="Cambria Math" w:hAnsi="Cambria Math"/>
                                        <w:sz w:val="16"/>
                                        <w:szCs w:val="18"/>
                                        <w:lang w:val="en-GB"/>
                                      </w:rPr>
                                      <m:t>χ</m:t>
                                    </m:r>
                                  </m:e>
                                  <m:sub>
                                    <m:r>
                                      <w:rPr>
                                        <w:rFonts w:ascii="Cambria Math" w:hAnsi="Cambria Math"/>
                                        <w:sz w:val="16"/>
                                        <w:szCs w:val="18"/>
                                        <w:lang w:val="en-GB"/>
                                      </w:rPr>
                                      <m:t>amb</m:t>
                                    </m:r>
                                  </m:sub>
                                </m:sSub>
                              </m:e>
                            </m:d>
                            <m:r>
                              <w:rPr>
                                <w:rFonts w:ascii="Cambria Math" w:hAnsi="Cambria Math"/>
                                <w:sz w:val="16"/>
                                <w:szCs w:val="18"/>
                                <w:lang w:val="en-GB"/>
                              </w:rPr>
                              <m:t>∙Δ</m:t>
                            </m:r>
                            <m:sSub>
                              <m:sSubPr>
                                <m:ctrlPr>
                                  <w:rPr>
                                    <w:rFonts w:ascii="Cambria Math" w:hAnsi="Cambria Math"/>
                                    <w:i/>
                                    <w:sz w:val="16"/>
                                    <w:szCs w:val="18"/>
                                    <w:lang w:val="en-GB"/>
                                  </w:rPr>
                                </m:ctrlPr>
                              </m:sSubPr>
                              <m:e>
                                <m:acc>
                                  <m:accPr>
                                    <m:chr m:val="̅"/>
                                    <m:ctrlPr>
                                      <w:rPr>
                                        <w:rFonts w:ascii="Cambria Math" w:hAnsi="Cambria Math"/>
                                        <w:i/>
                                        <w:sz w:val="16"/>
                                        <w:szCs w:val="18"/>
                                        <w:lang w:val="en-GB"/>
                                      </w:rPr>
                                    </m:ctrlPr>
                                  </m:accPr>
                                  <m:e>
                                    <m:r>
                                      <w:rPr>
                                        <w:rFonts w:ascii="Cambria Math" w:hAnsi="Cambria Math"/>
                                        <w:sz w:val="16"/>
                                        <w:szCs w:val="18"/>
                                        <w:lang w:val="en-GB"/>
                                      </w:rPr>
                                      <m:t>T</m:t>
                                    </m:r>
                                  </m:e>
                                </m:acc>
                              </m:e>
                              <m:sub>
                                <m:r>
                                  <w:rPr>
                                    <w:rFonts w:ascii="Cambria Math" w:hAnsi="Cambria Math"/>
                                    <w:sz w:val="16"/>
                                    <w:szCs w:val="18"/>
                                    <w:lang w:val="en-GB"/>
                                  </w:rPr>
                                  <m:t>amb,k</m:t>
                                </m:r>
                              </m:sub>
                            </m:sSub>
                            <m:r>
                              <w:rPr>
                                <w:rFonts w:ascii="Cambria Math" w:hAnsi="Cambria Math"/>
                                <w:sz w:val="16"/>
                                <w:szCs w:val="18"/>
                                <w:lang w:val="en-GB"/>
                              </w:rPr>
                              <m:t>-</m:t>
                            </m:r>
                            <m:d>
                              <m:dPr>
                                <m:ctrlPr>
                                  <w:rPr>
                                    <w:rFonts w:ascii="Cambria Math" w:hAnsi="Cambria Math"/>
                                    <w:i/>
                                    <w:sz w:val="16"/>
                                    <w:szCs w:val="18"/>
                                    <w:lang w:val="en-GB"/>
                                  </w:rPr>
                                </m:ctrlPr>
                              </m:dPr>
                              <m:e>
                                <m:sSub>
                                  <m:sSubPr>
                                    <m:ctrlPr>
                                      <w:rPr>
                                        <w:rFonts w:ascii="Cambria Math" w:hAnsi="Cambria Math"/>
                                        <w:i/>
                                        <w:sz w:val="16"/>
                                        <w:szCs w:val="18"/>
                                        <w:lang w:val="en-GB"/>
                                      </w:rPr>
                                    </m:ctrlPr>
                                  </m:sSubPr>
                                  <m:e>
                                    <m:r>
                                      <w:rPr>
                                        <w:rFonts w:ascii="Cambria Math" w:hAnsi="Cambria Math"/>
                                        <w:sz w:val="16"/>
                                        <w:szCs w:val="18"/>
                                        <w:lang w:val="en-GB"/>
                                      </w:rPr>
                                      <m:t>Λ</m:t>
                                    </m:r>
                                  </m:e>
                                  <m:sub>
                                    <m:r>
                                      <w:rPr>
                                        <w:rFonts w:ascii="Cambria Math" w:hAnsi="Cambria Math"/>
                                        <w:sz w:val="16"/>
                                        <w:szCs w:val="18"/>
                                        <w:lang w:val="en-GB"/>
                                      </w:rPr>
                                      <m:t>riser</m:t>
                                    </m:r>
                                  </m:sub>
                                </m:sSub>
                                <m:r>
                                  <w:rPr>
                                    <w:rFonts w:ascii="Cambria Math" w:hAnsi="Cambria Math"/>
                                    <w:sz w:val="16"/>
                                    <w:szCs w:val="18"/>
                                    <w:lang w:val="en-GB"/>
                                  </w:rPr>
                                  <m:t>+</m:t>
                                </m:r>
                                <m:sSub>
                                  <m:sSubPr>
                                    <m:ctrlPr>
                                      <w:rPr>
                                        <w:rFonts w:ascii="Cambria Math" w:hAnsi="Cambria Math"/>
                                        <w:i/>
                                        <w:sz w:val="16"/>
                                        <w:szCs w:val="18"/>
                                        <w:lang w:val="en-GB"/>
                                      </w:rPr>
                                    </m:ctrlPr>
                                  </m:sSubPr>
                                  <m:e>
                                    <m:r>
                                      <w:rPr>
                                        <w:rFonts w:ascii="Cambria Math" w:hAnsi="Cambria Math"/>
                                        <w:sz w:val="16"/>
                                        <w:szCs w:val="18"/>
                                        <w:lang w:val="en-GB"/>
                                      </w:rPr>
                                      <m:t>χ</m:t>
                                    </m:r>
                                  </m:e>
                                  <m:sub>
                                    <m:r>
                                      <w:rPr>
                                        <w:rFonts w:ascii="Cambria Math" w:hAnsi="Cambria Math"/>
                                        <w:sz w:val="16"/>
                                        <w:szCs w:val="18"/>
                                        <w:lang w:val="en-GB"/>
                                      </w:rPr>
                                      <m:t>int</m:t>
                                    </m:r>
                                  </m:sub>
                                </m:sSub>
                              </m:e>
                            </m:d>
                            <m:r>
                              <w:rPr>
                                <w:rFonts w:ascii="Cambria Math" w:hAnsi="Cambria Math"/>
                                <w:sz w:val="16"/>
                                <w:szCs w:val="18"/>
                                <w:lang w:val="en-GB"/>
                              </w:rPr>
                              <m:t>∙Δ</m:t>
                            </m:r>
                            <m:sSub>
                              <m:sSubPr>
                                <m:ctrlPr>
                                  <w:rPr>
                                    <w:rFonts w:ascii="Cambria Math" w:hAnsi="Cambria Math"/>
                                    <w:i/>
                                    <w:sz w:val="16"/>
                                    <w:szCs w:val="18"/>
                                    <w:lang w:val="en-GB"/>
                                  </w:rPr>
                                </m:ctrlPr>
                              </m:sSubPr>
                              <m:e>
                                <m:acc>
                                  <m:accPr>
                                    <m:chr m:val="̅"/>
                                    <m:ctrlPr>
                                      <w:rPr>
                                        <w:rFonts w:ascii="Cambria Math" w:hAnsi="Cambria Math"/>
                                        <w:i/>
                                        <w:sz w:val="16"/>
                                        <w:szCs w:val="18"/>
                                        <w:lang w:val="en-GB"/>
                                      </w:rPr>
                                    </m:ctrlPr>
                                  </m:accPr>
                                  <m:e>
                                    <m:r>
                                      <w:rPr>
                                        <w:rFonts w:ascii="Cambria Math" w:hAnsi="Cambria Math"/>
                                        <w:sz w:val="16"/>
                                        <w:szCs w:val="18"/>
                                        <w:lang w:val="en-GB"/>
                                      </w:rPr>
                                      <m:t>T</m:t>
                                    </m:r>
                                  </m:e>
                                </m:acc>
                              </m:e>
                              <m:sub>
                                <m:r>
                                  <w:rPr>
                                    <w:rFonts w:ascii="Cambria Math" w:hAnsi="Cambria Math"/>
                                    <w:sz w:val="16"/>
                                    <w:szCs w:val="18"/>
                                    <w:lang w:val="en-GB"/>
                                  </w:rPr>
                                  <m:t>riser,k</m:t>
                                </m:r>
                              </m:sub>
                            </m:sSub>
                          </m:e>
                        </m:d>
                      </m:e>
                      <m:sup>
                        <m:r>
                          <w:rPr>
                            <w:rFonts w:ascii="Cambria Math" w:hAnsi="Cambria Math"/>
                            <w:sz w:val="16"/>
                            <w:szCs w:val="18"/>
                            <w:lang w:val="en-GB"/>
                          </w:rPr>
                          <m:t>2</m:t>
                        </m:r>
                      </m:sup>
                    </m:sSup>
                  </m:e>
                </m:nary>
              </m:oMath>
            </m:oMathPara>
          </w:p>
        </w:tc>
        <w:tc>
          <w:tcPr>
            <w:tcW w:w="1020" w:type="dxa"/>
            <w:shd w:val="clear" w:color="auto" w:fill="auto"/>
            <w:vAlign w:val="center"/>
          </w:tcPr>
          <w:p w14:paraId="7BF11480" w14:textId="2E28B074" w:rsidR="00C66B70" w:rsidRPr="00AD611D" w:rsidRDefault="00C66B70" w:rsidP="00FB69E7">
            <w:pPr>
              <w:pStyle w:val="EuroSunText"/>
              <w:rPr>
                <w:lang w:val="en-GB"/>
              </w:rPr>
            </w:pPr>
            <w:r w:rsidRPr="00AD611D">
              <w:rPr>
                <w:lang w:val="en-GB"/>
              </w:rPr>
              <w:t>(</w:t>
            </w:r>
            <w:r w:rsidRPr="00AD611D">
              <w:rPr>
                <w:lang w:val="en-GB"/>
              </w:rPr>
              <w:fldChar w:fldCharType="begin"/>
            </w:r>
            <w:r w:rsidRPr="00AD611D">
              <w:rPr>
                <w:lang w:val="en-GB"/>
              </w:rPr>
              <w:instrText xml:space="preserve"> SEQ equation_EuroSun2026 \* ARABIC </w:instrText>
            </w:r>
            <w:r w:rsidRPr="00AD611D">
              <w:rPr>
                <w:lang w:val="en-GB"/>
              </w:rPr>
              <w:fldChar w:fldCharType="separate"/>
            </w:r>
            <w:r w:rsidR="000805D6">
              <w:rPr>
                <w:noProof/>
                <w:lang w:val="en-GB"/>
              </w:rPr>
              <w:t>14</w:t>
            </w:r>
            <w:r w:rsidRPr="00AD611D">
              <w:rPr>
                <w:lang w:val="en-GB"/>
              </w:rPr>
              <w:fldChar w:fldCharType="end"/>
            </w:r>
            <w:r w:rsidRPr="00AD611D">
              <w:rPr>
                <w:lang w:val="en-GB"/>
              </w:rPr>
              <w:t>)</w:t>
            </w:r>
          </w:p>
        </w:tc>
      </w:tr>
    </w:tbl>
    <w:p w14:paraId="1EE66C46" w14:textId="41BFC54F" w:rsidR="00622931" w:rsidRPr="00AD611D" w:rsidRDefault="00622931" w:rsidP="00622931">
      <w:pPr>
        <w:pStyle w:val="EuroSunText"/>
        <w:rPr>
          <w:lang w:val="en-GB"/>
        </w:rPr>
      </w:pPr>
      <w:r w:rsidRPr="00AD611D">
        <w:rPr>
          <w:lang w:val="en-GB"/>
        </w:rPr>
        <w:t xml:space="preserve">The residual conductance inside the thermal envelope lumps two contributions that the measurements cannot separate: the thermal bridges of the riser shafts and the standby losses of the FWS. Both are driven by temperature differences that remain nearly constant throughout the year, so no seasonal signature distinguishes them. Their attribution therefore relies on the thermal bridge assumptions and is reported as a range rather than as a single value. Two bounding scenarios are evaluated: point thermal transmittances </w:t>
      </w:r>
      <w:proofErr w:type="spellStart"/>
      <w:r w:rsidRPr="00AD611D">
        <w:rPr>
          <w:lang w:val="en-GB"/>
        </w:rPr>
        <w:t>χ</w:t>
      </w:r>
      <w:r w:rsidRPr="00AD611D">
        <w:rPr>
          <w:vertAlign w:val="subscript"/>
          <w:lang w:val="en-GB"/>
        </w:rPr>
        <w:t>riser</w:t>
      </w:r>
      <w:proofErr w:type="spellEnd"/>
      <w:r w:rsidRPr="00AD611D">
        <w:rPr>
          <w:lang w:val="en-GB"/>
        </w:rPr>
        <w:t xml:space="preserve"> characteristic of "good" and of "moderate" execution quality according to PHPP. Because the FWS absorb whatever the thermal bridges do not explain, the moderate scenario yields the lower and the good scenario the upper bound of the FWS standby loss. The two scenarios bracket the attribution while leaving the calibrated total unchanged. </w:t>
      </w:r>
    </w:p>
    <w:p w14:paraId="52E85D49" w14:textId="75A3905E" w:rsidR="00622931" w:rsidRPr="00AD611D" w:rsidRDefault="00622931" w:rsidP="00622931">
      <w:pPr>
        <w:pStyle w:val="EuroSunText"/>
        <w:rPr>
          <w:lang w:val="en-GB"/>
        </w:rPr>
      </w:pPr>
      <w:r w:rsidRPr="00AD611D">
        <w:rPr>
          <w:lang w:val="en-GB"/>
        </w:rPr>
        <w:t>Since the two contributions act on different temperature differences, the conversion is performed on an energy-equivalent basis over all evaluation periods.</w:t>
      </w:r>
    </w:p>
    <w:tbl>
      <w:tblPr>
        <w:tblStyle w:val="Tabellenraster"/>
        <w:tblW w:w="89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1020"/>
      </w:tblGrid>
      <w:tr w:rsidR="00622931" w:rsidRPr="00AD611D" w14:paraId="2ED090E6" w14:textId="77777777" w:rsidTr="00FB69E7">
        <w:tc>
          <w:tcPr>
            <w:tcW w:w="7933" w:type="dxa"/>
            <w:shd w:val="clear" w:color="auto" w:fill="auto"/>
            <w:vAlign w:val="center"/>
          </w:tcPr>
          <w:p w14:paraId="24B71978" w14:textId="22DE580C" w:rsidR="00C66B70" w:rsidRPr="00AD611D" w:rsidRDefault="00C66B70" w:rsidP="00FB69E7">
            <w:pPr>
              <w:pStyle w:val="EuroSunText"/>
              <w:rPr>
                <w:lang w:val="en-GB"/>
              </w:rPr>
            </w:pPr>
            <m:oMathPara>
              <m:oMathParaPr>
                <m:jc m:val="left"/>
              </m:oMathParaPr>
              <m:oMath>
                <m:r>
                  <w:rPr>
                    <w:rFonts w:ascii="Cambria Math" w:hAnsi="Cambria Math"/>
                    <w:lang w:val="en-GB"/>
                  </w:rPr>
                  <m:t>ΔU</m:t>
                </m:r>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FWS</m:t>
                    </m:r>
                  </m:sub>
                </m:sSub>
                <m:r>
                  <w:rPr>
                    <w:rFonts w:ascii="Cambria Math" w:hAnsi="Cambria Math"/>
                    <w:lang w:val="en-GB"/>
                  </w:rPr>
                  <m:t>=</m:t>
                </m:r>
                <m:d>
                  <m:dPr>
                    <m:ctrlPr>
                      <w:rPr>
                        <w:rFonts w:ascii="Cambria Math" w:hAnsi="Cambria Math"/>
                        <w:i/>
                        <w:lang w:val="en-GB"/>
                      </w:rPr>
                    </m:ctrlPr>
                  </m:dPr>
                  <m:e>
                    <m:sSubSup>
                      <m:sSubSupPr>
                        <m:ctrlPr>
                          <w:rPr>
                            <w:rFonts w:ascii="Cambria Math" w:hAnsi="Cambria Math"/>
                            <w:i/>
                            <w:lang w:val="en-GB"/>
                          </w:rPr>
                        </m:ctrlPr>
                      </m:sSubSupPr>
                      <m:e>
                        <m:r>
                          <w:rPr>
                            <w:rFonts w:ascii="Cambria Math" w:hAnsi="Cambria Math"/>
                            <w:lang w:val="en-GB"/>
                          </w:rPr>
                          <m:t>χ</m:t>
                        </m:r>
                      </m:e>
                      <m:sub>
                        <m:r>
                          <w:rPr>
                            <w:rFonts w:ascii="Cambria Math" w:hAnsi="Cambria Math"/>
                            <w:lang w:val="en-GB"/>
                          </w:rPr>
                          <m:t>int</m:t>
                        </m:r>
                      </m:sub>
                      <m:sup>
                        <m:r>
                          <w:rPr>
                            <w:rFonts w:ascii="Cambria Math" w:hAnsi="Cambria Math"/>
                            <w:lang w:val="en-GB"/>
                          </w:rPr>
                          <m:t>*</m:t>
                        </m:r>
                      </m:sup>
                    </m:sSubSup>
                    <m:r>
                      <w:rPr>
                        <w:rFonts w:ascii="Cambria Math" w:hAnsi="Cambria Math"/>
                        <w:lang w:val="en-GB"/>
                      </w:rPr>
                      <m:t>-</m:t>
                    </m:r>
                    <m:sSubSup>
                      <m:sSubSupPr>
                        <m:ctrlPr>
                          <w:rPr>
                            <w:rFonts w:ascii="Cambria Math" w:hAnsi="Cambria Math"/>
                            <w:i/>
                            <w:lang w:val="en-GB"/>
                          </w:rPr>
                        </m:ctrlPr>
                      </m:sSubSupPr>
                      <m:e>
                        <m:r>
                          <w:rPr>
                            <w:rFonts w:ascii="Cambria Math" w:hAnsi="Cambria Math"/>
                            <w:lang w:val="en-GB"/>
                          </w:rPr>
                          <m:t>χ</m:t>
                        </m:r>
                      </m:e>
                      <m:sub>
                        <m:r>
                          <w:rPr>
                            <w:rFonts w:ascii="Cambria Math" w:hAnsi="Cambria Math"/>
                            <w:lang w:val="en-GB"/>
                          </w:rPr>
                          <m:t>riser</m:t>
                        </m:r>
                      </m:sub>
                      <m:sup>
                        <m:r>
                          <w:rPr>
                            <w:rFonts w:ascii="Cambria Math" w:hAnsi="Cambria Math"/>
                            <w:lang w:val="en-GB"/>
                          </w:rPr>
                          <m:t>PHPP</m:t>
                        </m:r>
                      </m:sup>
                    </m:sSubSup>
                  </m:e>
                </m:d>
                <m:f>
                  <m:fPr>
                    <m:ctrlPr>
                      <w:rPr>
                        <w:rFonts w:ascii="Cambria Math" w:hAnsi="Cambria Math"/>
                        <w:i/>
                        <w:lang w:val="en-GB"/>
                      </w:rPr>
                    </m:ctrlPr>
                  </m:fPr>
                  <m:num>
                    <m:nary>
                      <m:naryPr>
                        <m:chr m:val="∑"/>
                        <m:supHide m:val="1"/>
                        <m:ctrlPr>
                          <w:rPr>
                            <w:rFonts w:ascii="Cambria Math" w:hAnsi="Cambria Math"/>
                            <w:i/>
                            <w:lang w:val="en-GB"/>
                          </w:rPr>
                        </m:ctrlPr>
                      </m:naryPr>
                      <m:sub>
                        <m:r>
                          <w:rPr>
                            <w:rFonts w:ascii="Cambria Math" w:hAnsi="Cambria Math"/>
                            <w:lang w:val="en-GB"/>
                          </w:rPr>
                          <m:t>k</m:t>
                        </m:r>
                      </m:sub>
                      <m:sup/>
                      <m:e>
                        <m:r>
                          <w:rPr>
                            <w:rFonts w:ascii="Cambria Math" w:hAnsi="Cambria Math"/>
                            <w:lang w:val="en-GB"/>
                          </w:rPr>
                          <m:t>Δ</m:t>
                        </m:r>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T</m:t>
                                </m:r>
                                <m:ctrlPr>
                                  <w:rPr>
                                    <w:rFonts w:ascii="Cambria Math" w:eastAsia="Cambria Math" w:hAnsi="Cambria Math" w:cs="Cambria Math"/>
                                    <w:i/>
                                    <w:lang w:val="en-GB"/>
                                  </w:rPr>
                                </m:ctrlPr>
                              </m:e>
                            </m:acc>
                          </m:e>
                          <m:sub>
                            <m:r>
                              <w:rPr>
                                <w:rFonts w:ascii="Cambria Math" w:hAnsi="Cambria Math"/>
                                <w:lang w:val="en-GB"/>
                              </w:rPr>
                              <m:t>riser,k</m:t>
                            </m:r>
                          </m:sub>
                        </m:sSub>
                        <m:r>
                          <w:rPr>
                            <w:rFonts w:ascii="Cambria Math" w:hAnsi="Cambria Math"/>
                            <w:lang w:val="en-GB"/>
                          </w:rPr>
                          <m:t>∙Δ</m:t>
                        </m:r>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T</m:t>
                                </m:r>
                              </m:e>
                            </m:acc>
                          </m:e>
                          <m:sub>
                            <m:r>
                              <w:rPr>
                                <w:rFonts w:ascii="Cambria Math" w:hAnsi="Cambria Math"/>
                                <w:lang w:val="en-GB"/>
                              </w:rPr>
                              <m:t>FWS,k</m:t>
                            </m:r>
                          </m:sub>
                        </m:sSub>
                      </m:e>
                    </m:nary>
                  </m:num>
                  <m:den>
                    <m:nary>
                      <m:naryPr>
                        <m:chr m:val="∑"/>
                        <m:supHide m:val="1"/>
                        <m:ctrlPr>
                          <w:rPr>
                            <w:rFonts w:ascii="Cambria Math" w:hAnsi="Cambria Math"/>
                            <w:i/>
                            <w:lang w:val="en-GB"/>
                          </w:rPr>
                        </m:ctrlPr>
                      </m:naryPr>
                      <m:sub>
                        <m:r>
                          <w:rPr>
                            <w:rFonts w:ascii="Cambria Math" w:hAnsi="Cambria Math"/>
                            <w:lang w:val="en-GB"/>
                          </w:rPr>
                          <m:t>k</m:t>
                        </m:r>
                      </m:sub>
                      <m:sup/>
                      <m:e>
                        <m:r>
                          <w:rPr>
                            <w:rFonts w:ascii="Cambria Math" w:hAnsi="Cambria Math"/>
                            <w:lang w:val="en-GB"/>
                          </w:rPr>
                          <m:t>Δ</m:t>
                        </m:r>
                        <m:sSubSup>
                          <m:sSubSupPr>
                            <m:ctrlPr>
                              <w:rPr>
                                <w:rFonts w:ascii="Cambria Math" w:hAnsi="Cambria Math"/>
                                <w:i/>
                                <w:lang w:val="en-GB"/>
                              </w:rPr>
                            </m:ctrlPr>
                          </m:sSubSupPr>
                          <m:e>
                            <m:acc>
                              <m:accPr>
                                <m:chr m:val="̅"/>
                                <m:ctrlPr>
                                  <w:rPr>
                                    <w:rFonts w:ascii="Cambria Math" w:hAnsi="Cambria Math"/>
                                    <w:i/>
                                    <w:lang w:val="en-GB"/>
                                  </w:rPr>
                                </m:ctrlPr>
                              </m:accPr>
                              <m:e>
                                <m:r>
                                  <w:rPr>
                                    <w:rFonts w:ascii="Cambria Math" w:hAnsi="Cambria Math"/>
                                    <w:lang w:val="en-GB"/>
                                  </w:rPr>
                                  <m:t>T</m:t>
                                </m:r>
                              </m:e>
                            </m:acc>
                          </m:e>
                          <m:sub>
                            <m:r>
                              <w:rPr>
                                <w:rFonts w:ascii="Cambria Math" w:hAnsi="Cambria Math"/>
                                <w:lang w:val="en-GB"/>
                              </w:rPr>
                              <m:t>FWS,k</m:t>
                            </m:r>
                          </m:sub>
                          <m:sup>
                            <m:r>
                              <w:rPr>
                                <w:rFonts w:ascii="Cambria Math" w:hAnsi="Cambria Math"/>
                                <w:lang w:val="en-GB"/>
                              </w:rPr>
                              <m:t>2</m:t>
                            </m:r>
                          </m:sup>
                        </m:sSubSup>
                      </m:e>
                    </m:nary>
                  </m:den>
                </m:f>
              </m:oMath>
            </m:oMathPara>
          </w:p>
        </w:tc>
        <w:tc>
          <w:tcPr>
            <w:tcW w:w="1020" w:type="dxa"/>
            <w:shd w:val="clear" w:color="auto" w:fill="auto"/>
            <w:vAlign w:val="center"/>
          </w:tcPr>
          <w:p w14:paraId="1F58DADA" w14:textId="6EECAB64" w:rsidR="00622931" w:rsidRPr="00AD611D" w:rsidRDefault="00622931" w:rsidP="00FB69E7">
            <w:pPr>
              <w:pStyle w:val="EuroSunText"/>
              <w:rPr>
                <w:lang w:val="en-GB"/>
              </w:rPr>
            </w:pPr>
            <w:r w:rsidRPr="00AD611D">
              <w:rPr>
                <w:lang w:val="en-GB"/>
              </w:rPr>
              <w:t>(</w:t>
            </w:r>
            <w:r w:rsidRPr="00AD611D">
              <w:rPr>
                <w:lang w:val="en-GB"/>
              </w:rPr>
              <w:fldChar w:fldCharType="begin"/>
            </w:r>
            <w:r w:rsidRPr="00AD611D">
              <w:rPr>
                <w:lang w:val="en-GB"/>
              </w:rPr>
              <w:instrText xml:space="preserve"> SEQ equation_EuroSun2026 \* ARABIC </w:instrText>
            </w:r>
            <w:r w:rsidRPr="00AD611D">
              <w:rPr>
                <w:lang w:val="en-GB"/>
              </w:rPr>
              <w:fldChar w:fldCharType="separate"/>
            </w:r>
            <w:r w:rsidR="000805D6">
              <w:rPr>
                <w:noProof/>
                <w:lang w:val="en-GB"/>
              </w:rPr>
              <w:t>15</w:t>
            </w:r>
            <w:r w:rsidRPr="00AD611D">
              <w:rPr>
                <w:lang w:val="en-GB"/>
              </w:rPr>
              <w:fldChar w:fldCharType="end"/>
            </w:r>
            <w:r w:rsidRPr="00AD611D">
              <w:rPr>
                <w:lang w:val="en-GB"/>
              </w:rPr>
              <w:t>)</w:t>
            </w:r>
          </w:p>
        </w:tc>
      </w:tr>
    </w:tbl>
    <w:p w14:paraId="0D8C6896" w14:textId="61143E9A" w:rsidR="006B16AA" w:rsidRPr="00AD611D" w:rsidRDefault="00C66B70" w:rsidP="00C66B70">
      <w:pPr>
        <w:pStyle w:val="EuroSunText"/>
        <w:rPr>
          <w:lang w:val="en-GB"/>
        </w:rPr>
      </w:pPr>
      <w:r w:rsidRPr="00AD611D">
        <w:rPr>
          <w:lang w:val="en-GB"/>
        </w:rPr>
        <w:t xml:space="preserve">The calibrated model was applied to </w:t>
      </w:r>
      <w:r w:rsidR="00A73C0A">
        <w:rPr>
          <w:lang w:val="en-GB"/>
        </w:rPr>
        <w:t>hypothetical</w:t>
      </w:r>
      <w:r w:rsidR="00A73C0A" w:rsidRPr="00AD611D">
        <w:rPr>
          <w:lang w:val="en-GB"/>
        </w:rPr>
        <w:t xml:space="preserve"> </w:t>
      </w:r>
      <w:r w:rsidRPr="00AD611D">
        <w:rPr>
          <w:lang w:val="en-GB"/>
        </w:rPr>
        <w:t>operating scenarios for the years 2024 and 2025. Three constant operating points were evaluated, combining flow temperatures of 57, 54 and 50</w:t>
      </w:r>
      <w:r w:rsidR="00A561F8" w:rsidRPr="00AD611D">
        <w:rPr>
          <w:lang w:val="en-GB"/>
        </w:rPr>
        <w:t> °C</w:t>
      </w:r>
      <w:r w:rsidRPr="00AD611D">
        <w:rPr>
          <w:lang w:val="en-GB"/>
        </w:rPr>
        <w:t xml:space="preserve"> with a return temperature of 30</w:t>
      </w:r>
      <w:r w:rsidR="00A561F8" w:rsidRPr="00AD611D">
        <w:rPr>
          <w:lang w:val="en-GB"/>
        </w:rPr>
        <w:t> °C</w:t>
      </w:r>
      <w:r w:rsidRPr="00AD611D">
        <w:rPr>
          <w:lang w:val="en-GB"/>
        </w:rPr>
        <w:t>, the latter representing a correctly commissioned bypass setpoint. The same temperatures were assumed for the main distribution line. All other boundary conditions were taken from the measurements at monthly resolution. Where the air temperature of the storage room was not measured, it was reconstructed from two nearby weather stations with a seasonal bias correction derived from the overlapping measurement period, reaching about 2.8 K on 1</w:t>
      </w:r>
      <w:r w:rsidR="00E86B8C" w:rsidRPr="00AD611D">
        <w:rPr>
          <w:vertAlign w:val="superscript"/>
          <w:lang w:val="en-GB"/>
        </w:rPr>
        <w:t>st</w:t>
      </w:r>
      <w:r w:rsidR="00E86B8C" w:rsidRPr="00AD611D">
        <w:rPr>
          <w:lang w:val="en-GB"/>
        </w:rPr>
        <w:t xml:space="preserve"> January</w:t>
      </w:r>
      <w:r w:rsidRPr="00AD611D">
        <w:rPr>
          <w:lang w:val="en-GB"/>
        </w:rPr>
        <w:t xml:space="preserve"> and vanishing in early June. Missing monthly indoor temperatures were replaced by the value of the same month of the adjacent year. The reference losses were obtained from the same energy balance</w:t>
      </w:r>
      <w:r w:rsidR="006C16AB" w:rsidRPr="00AD611D">
        <w:rPr>
          <w:lang w:val="en-GB"/>
        </w:rPr>
        <w:t>,</w:t>
      </w:r>
      <w:r w:rsidRPr="00AD611D">
        <w:rPr>
          <w:lang w:val="en-GB"/>
        </w:rPr>
        <w:t xml:space="preserve"> where a logging gap crossed a month boundary, the </w:t>
      </w:r>
      <w:r w:rsidR="006C16AB" w:rsidRPr="00AD611D">
        <w:rPr>
          <w:lang w:val="en-GB"/>
        </w:rPr>
        <w:t>heat meter</w:t>
      </w:r>
      <w:r w:rsidRPr="00AD611D">
        <w:rPr>
          <w:lang w:val="en-GB"/>
        </w:rPr>
        <w:t xml:space="preserve"> reading was interpolated linearly, which distributes the recorded energy across the adjacent months without discarding them. </w:t>
      </w:r>
    </w:p>
    <w:p w14:paraId="17EDDE59" w14:textId="2A643D7B" w:rsidR="000C0273" w:rsidRPr="00AD611D" w:rsidRDefault="000C0273" w:rsidP="001E6EA9">
      <w:pPr>
        <w:pStyle w:val="SWCHeading1"/>
        <w:rPr>
          <w:lang w:val="en-GB"/>
        </w:rPr>
      </w:pPr>
      <w:r w:rsidRPr="00AD611D">
        <w:rPr>
          <w:lang w:val="en-GB"/>
        </w:rPr>
        <w:t>Results</w:t>
      </w:r>
    </w:p>
    <w:bookmarkEnd w:id="2"/>
    <w:p w14:paraId="5B67FA5A" w14:textId="7290A4D5" w:rsidR="007126FF" w:rsidRDefault="007126FF" w:rsidP="00730733">
      <w:pPr>
        <w:pStyle w:val="EuroSunText"/>
        <w:rPr>
          <w:lang w:val="en-GB"/>
        </w:rPr>
      </w:pPr>
      <w:r w:rsidRPr="00AD611D">
        <w:rPr>
          <w:lang w:val="en-GB"/>
        </w:rPr>
        <w:t xml:space="preserve">Fig. 2 shows the flow and return </w:t>
      </w:r>
      <w:r w:rsidR="00E86B8C" w:rsidRPr="00AD611D">
        <w:rPr>
          <w:lang w:val="en-GB"/>
        </w:rPr>
        <w:t>temperatures,</w:t>
      </w:r>
      <w:r w:rsidRPr="00AD611D">
        <w:rPr>
          <w:lang w:val="en-GB"/>
        </w:rPr>
        <w:t xml:space="preserve"> and the volume flow measured at HM6 and HM7 in the main distribution line supplying Buildings C and D over the monitored period. Dashed lines represent daily means over the full day, solid lines the corresponding means restricted to the nightly window between 01:00 and 04:00, which is dominated by bypass operation. </w:t>
      </w:r>
    </w:p>
    <w:p w14:paraId="11AE6359" w14:textId="77777777" w:rsidR="0079080A" w:rsidRPr="00AD611D" w:rsidRDefault="0079080A" w:rsidP="0079080A">
      <w:pPr>
        <w:pStyle w:val="EuroSunText"/>
        <w:rPr>
          <w:lang w:val="en-GB"/>
        </w:rPr>
      </w:pPr>
      <w:r w:rsidRPr="00AD611D">
        <w:rPr>
          <w:lang w:val="en-GB"/>
        </w:rPr>
        <w:t xml:space="preserve">The supply temperature remained largely constant at about 57 °C and was lowered to 54 °C between 12.2025 and 02.2026. Between 07.2023 and 07.2025 the return temperature rose from about 43.5 °C to 46.6 °C, and the volume flow increased from 0.74 to 0.98 m³ h⁻¹ (HM6), with a superimposed seasonal variation showing maxima in winter and minima in summer. The difference between the filtered and unfiltered series is </w:t>
      </w:r>
      <w:r>
        <w:rPr>
          <w:lang w:val="en-GB"/>
        </w:rPr>
        <w:t>about</w:t>
      </w:r>
      <w:r w:rsidRPr="00AD611D">
        <w:rPr>
          <w:lang w:val="en-GB"/>
        </w:rPr>
        <w:t xml:space="preserve"> 4</w:t>
      </w:r>
      <w:r>
        <w:rPr>
          <w:lang w:val="en-GB"/>
        </w:rPr>
        <w:t> </w:t>
      </w:r>
      <w:r w:rsidRPr="00AD611D">
        <w:rPr>
          <w:lang w:val="en-GB"/>
        </w:rPr>
        <w:t xml:space="preserve">K for the return temperatures and </w:t>
      </w:r>
      <w:r>
        <w:rPr>
          <w:lang w:val="en-GB"/>
        </w:rPr>
        <w:t xml:space="preserve">about </w:t>
      </w:r>
      <w:r w:rsidRPr="00AD611D">
        <w:rPr>
          <w:lang w:val="en-GB"/>
        </w:rPr>
        <w:t>0.3 m³ h</w:t>
      </w:r>
      <w:r w:rsidRPr="00AD611D">
        <w:rPr>
          <w:vertAlign w:val="superscript"/>
          <w:lang w:val="en-GB"/>
        </w:rPr>
        <w:t>-1</w:t>
      </w:r>
      <w:r w:rsidRPr="00AD611D">
        <w:rPr>
          <w:lang w:val="en-GB"/>
        </w:rPr>
        <w:t xml:space="preserve"> for the volume flow, confirming that the nightly window isolates bypass operation. As the measured losses for the entire building were significantly higher than predicted, and the return temperatures had increased by approximately 9 K since commissioning, an intervention was conducted to adjust the settings.</w:t>
      </w:r>
    </w:p>
    <w:p w14:paraId="3EA66CF2" w14:textId="77777777" w:rsidR="0079080A" w:rsidRPr="00AD611D" w:rsidRDefault="0079080A" w:rsidP="00730733">
      <w:pPr>
        <w:pStyle w:val="EuroSunText"/>
        <w:rPr>
          <w:lang w:val="en-GB"/>
        </w:rPr>
      </w:pPr>
    </w:p>
    <w:p w14:paraId="3DBC910A" w14:textId="77777777" w:rsidR="007129FA" w:rsidRPr="00AD611D" w:rsidRDefault="003C3698" w:rsidP="006B16AA">
      <w:pPr>
        <w:pStyle w:val="EuroSunText"/>
        <w:keepNext/>
        <w:jc w:val="center"/>
        <w:rPr>
          <w:lang w:val="en-GB"/>
        </w:rPr>
      </w:pPr>
      <w:r w:rsidRPr="00AD611D">
        <w:rPr>
          <w:noProof/>
          <w:lang w:val="en-GB"/>
        </w:rPr>
        <w:lastRenderedPageBreak/>
        <w:drawing>
          <wp:inline distT="0" distB="0" distL="0" distR="0" wp14:anchorId="70908DBC" wp14:editId="6B4297EE">
            <wp:extent cx="5550083" cy="2736000"/>
            <wp:effectExtent l="0" t="0" r="0" b="762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rotWithShape="1">
                    <a:blip r:embed="rId10">
                      <a:extLst>
                        <a:ext uri="{96DAC541-7B7A-43D3-8B79-37D633B846F1}">
                          <asvg:svgBlip xmlns:asvg="http://schemas.microsoft.com/office/drawing/2016/SVG/main" r:embed="rId11"/>
                        </a:ext>
                      </a:extLst>
                    </a:blip>
                    <a:srcRect l="973" r="4481"/>
                    <a:stretch/>
                  </pic:blipFill>
                  <pic:spPr bwMode="auto">
                    <a:xfrm>
                      <a:off x="0" y="0"/>
                      <a:ext cx="5550083" cy="2736000"/>
                    </a:xfrm>
                    <a:prstGeom prst="rect">
                      <a:avLst/>
                    </a:prstGeom>
                    <a:ln>
                      <a:noFill/>
                    </a:ln>
                    <a:extLst>
                      <a:ext uri="{53640926-AAD7-44D8-BBD7-CCE9431645EC}">
                        <a14:shadowObscured xmlns:a14="http://schemas.microsoft.com/office/drawing/2010/main"/>
                      </a:ext>
                    </a:extLst>
                  </pic:spPr>
                </pic:pic>
              </a:graphicData>
            </a:graphic>
          </wp:inline>
        </w:drawing>
      </w:r>
    </w:p>
    <w:p w14:paraId="269697E9" w14:textId="52F8A77D" w:rsidR="007129FA" w:rsidRPr="00AD611D" w:rsidRDefault="007129FA" w:rsidP="007129FA">
      <w:pPr>
        <w:pStyle w:val="SWCTableFigureCaption"/>
        <w:rPr>
          <w:lang w:val="en-GB"/>
        </w:rPr>
      </w:pPr>
      <w:bookmarkStart w:id="7" w:name="_Ref239173795"/>
      <w:r w:rsidRPr="00AD611D">
        <w:rPr>
          <w:lang w:val="en-GB"/>
        </w:rPr>
        <w:t xml:space="preserve">Fig. </w:t>
      </w:r>
      <w:r w:rsidRPr="00AD611D">
        <w:rPr>
          <w:lang w:val="en-GB"/>
        </w:rPr>
        <w:fldChar w:fldCharType="begin"/>
      </w:r>
      <w:r w:rsidRPr="00AD611D">
        <w:rPr>
          <w:lang w:val="en-GB"/>
        </w:rPr>
        <w:instrText xml:space="preserve"> SEQ Fig. \* ARABIC </w:instrText>
      </w:r>
      <w:r w:rsidRPr="00AD611D">
        <w:rPr>
          <w:lang w:val="en-GB"/>
        </w:rPr>
        <w:fldChar w:fldCharType="separate"/>
      </w:r>
      <w:r w:rsidR="000805D6">
        <w:rPr>
          <w:noProof/>
          <w:lang w:val="en-GB"/>
        </w:rPr>
        <w:t>2</w:t>
      </w:r>
      <w:r w:rsidRPr="00AD611D">
        <w:rPr>
          <w:lang w:val="en-GB"/>
        </w:rPr>
        <w:fldChar w:fldCharType="end"/>
      </w:r>
      <w:bookmarkEnd w:id="7"/>
      <w:r w:rsidRPr="00AD611D">
        <w:rPr>
          <w:lang w:val="en-GB"/>
        </w:rPr>
        <w:t xml:space="preserve"> Monitored flow and return temperature and flowrate at HM6 &amp; </w:t>
      </w:r>
      <w:r w:rsidR="00306F21" w:rsidRPr="00AD611D">
        <w:rPr>
          <w:lang w:val="en-GB"/>
        </w:rPr>
        <w:t>HM</w:t>
      </w:r>
      <w:r w:rsidRPr="00AD611D">
        <w:rPr>
          <w:lang w:val="en-GB"/>
        </w:rPr>
        <w:t xml:space="preserve">7 as daily and weekly mean for </w:t>
      </w:r>
      <w:r w:rsidR="00DB0607" w:rsidRPr="00AD611D">
        <w:rPr>
          <w:lang w:val="en-GB"/>
        </w:rPr>
        <w:t>nightly window</w:t>
      </w:r>
      <w:r w:rsidRPr="00AD611D">
        <w:rPr>
          <w:lang w:val="en-GB"/>
        </w:rPr>
        <w:t xml:space="preserve"> (solid) and </w:t>
      </w:r>
      <w:r w:rsidR="000B020C" w:rsidRPr="00AD611D">
        <w:rPr>
          <w:lang w:val="en-GB"/>
        </w:rPr>
        <w:t>whole day</w:t>
      </w:r>
      <w:r w:rsidRPr="00AD611D">
        <w:rPr>
          <w:lang w:val="en-GB"/>
        </w:rPr>
        <w:t xml:space="preserve"> (dashed)</w:t>
      </w:r>
    </w:p>
    <w:p w14:paraId="43BAF1B1" w14:textId="5EFC9899" w:rsidR="00464301" w:rsidRPr="00AD611D" w:rsidRDefault="00464301" w:rsidP="00464301">
      <w:pPr>
        <w:pStyle w:val="EuroSunText"/>
        <w:rPr>
          <w:lang w:val="en-GB"/>
        </w:rPr>
      </w:pPr>
      <w:r w:rsidRPr="00AD611D">
        <w:rPr>
          <w:lang w:val="en-GB"/>
        </w:rPr>
        <w:t xml:space="preserve">Direct return temperature measurements at the riser shafts C6 and C7 were installed after the first intervention, so Fig. 3 covers the second intervention only. Markers represent hourly means within the nightly window, thin lines weekly means, and the thick horizontal segments the means of the sub-periods </w:t>
      </w:r>
      <w:r w:rsidR="00FE1D07" w:rsidRPr="00AD611D">
        <w:rPr>
          <w:lang w:val="en-GB"/>
        </w:rPr>
        <w:t xml:space="preserve">(30 days) </w:t>
      </w:r>
      <w:r w:rsidRPr="00AD611D">
        <w:rPr>
          <w:lang w:val="en-GB"/>
        </w:rPr>
        <w:t>before and after the intervention. During the first intervention on 25.06.2025, the bypass setpoint had been reduced in eleven of the twelve apartments supplied by the two risers. The remaining station on riser C6 was adjusted between 13</w:t>
      </w:r>
      <w:r w:rsidR="006140CB">
        <w:rPr>
          <w:lang w:val="en-GB"/>
        </w:rPr>
        <w:t>.07</w:t>
      </w:r>
      <w:r w:rsidRPr="00AD611D">
        <w:rPr>
          <w:lang w:val="en-GB"/>
        </w:rPr>
        <w:t xml:space="preserve"> and 15.07.2026. Comparing the sub-period means, the return temperature at C6 decreased by 8.3 K, while at C7 it increased by 1.1 K over the same period.</w:t>
      </w:r>
      <w:r w:rsidR="00FE1D07" w:rsidRPr="00AD611D">
        <w:rPr>
          <w:lang w:val="en-GB"/>
        </w:rPr>
        <w:t xml:space="preserve"> Settings in other risers of Buildings C and D were adapted during the same visit, so the observed change at C7 reflects the response to the modified hydraulic conditions in the network rather than to the single station on C6 alone.</w:t>
      </w:r>
    </w:p>
    <w:p w14:paraId="4590A587" w14:textId="1FF98DA0" w:rsidR="00CD2D77" w:rsidRPr="00AD611D" w:rsidRDefault="005C194B" w:rsidP="006B16AA">
      <w:pPr>
        <w:pStyle w:val="EuroSunText"/>
        <w:jc w:val="center"/>
        <w:rPr>
          <w:lang w:val="en-GB"/>
        </w:rPr>
      </w:pPr>
      <w:r w:rsidRPr="00AD611D">
        <w:rPr>
          <w:noProof/>
          <w:lang w:val="en-GB"/>
        </w:rPr>
        <w:drawing>
          <wp:inline distT="0" distB="0" distL="0" distR="0" wp14:anchorId="5E409FF6" wp14:editId="54CBDF92">
            <wp:extent cx="4665941" cy="1567423"/>
            <wp:effectExtent l="0" t="0" r="1905"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pic:cNvPicPr/>
                  </pic:nvPicPr>
                  <pic:blipFill rotWithShape="1">
                    <a:blip r:embed="rId12">
                      <a:extLst>
                        <a:ext uri="{96DAC541-7B7A-43D3-8B79-37D633B846F1}">
                          <asvg:svgBlip xmlns:asvg="http://schemas.microsoft.com/office/drawing/2016/SVG/main" r:embed="rId13"/>
                        </a:ext>
                      </a:extLst>
                    </a:blip>
                    <a:srcRect l="7104" r="6809" b="7596"/>
                    <a:stretch/>
                  </pic:blipFill>
                  <pic:spPr bwMode="auto">
                    <a:xfrm>
                      <a:off x="0" y="0"/>
                      <a:ext cx="4704774" cy="1580468"/>
                    </a:xfrm>
                    <a:prstGeom prst="rect">
                      <a:avLst/>
                    </a:prstGeom>
                    <a:ln>
                      <a:noFill/>
                    </a:ln>
                    <a:extLst>
                      <a:ext uri="{53640926-AAD7-44D8-BBD7-CCE9431645EC}">
                        <a14:shadowObscured xmlns:a14="http://schemas.microsoft.com/office/drawing/2010/main"/>
                      </a:ext>
                    </a:extLst>
                  </pic:spPr>
                </pic:pic>
              </a:graphicData>
            </a:graphic>
          </wp:inline>
        </w:drawing>
      </w:r>
    </w:p>
    <w:p w14:paraId="33E899E2" w14:textId="265478B1" w:rsidR="00F4591E" w:rsidRPr="00AD611D" w:rsidRDefault="00F4591E" w:rsidP="00F4591E">
      <w:pPr>
        <w:pStyle w:val="SWCTableFigureCaption"/>
        <w:rPr>
          <w:lang w:val="en-GB"/>
        </w:rPr>
      </w:pPr>
      <w:bookmarkStart w:id="8" w:name="_Ref239532084"/>
      <w:r w:rsidRPr="00AD611D">
        <w:rPr>
          <w:lang w:val="en-GB"/>
        </w:rPr>
        <w:t xml:space="preserve">Fig. </w:t>
      </w:r>
      <w:r w:rsidRPr="00AD611D">
        <w:rPr>
          <w:lang w:val="en-GB"/>
        </w:rPr>
        <w:fldChar w:fldCharType="begin"/>
      </w:r>
      <w:r w:rsidRPr="00AD611D">
        <w:rPr>
          <w:lang w:val="en-GB"/>
        </w:rPr>
        <w:instrText xml:space="preserve"> SEQ Fig. \* ARABIC </w:instrText>
      </w:r>
      <w:r w:rsidRPr="00AD611D">
        <w:rPr>
          <w:lang w:val="en-GB"/>
        </w:rPr>
        <w:fldChar w:fldCharType="separate"/>
      </w:r>
      <w:r w:rsidR="000805D6">
        <w:rPr>
          <w:noProof/>
          <w:lang w:val="en-GB"/>
        </w:rPr>
        <w:t>3</w:t>
      </w:r>
      <w:r w:rsidRPr="00AD611D">
        <w:rPr>
          <w:lang w:val="en-GB"/>
        </w:rPr>
        <w:fldChar w:fldCharType="end"/>
      </w:r>
      <w:bookmarkEnd w:id="8"/>
      <w:r w:rsidRPr="00AD611D">
        <w:rPr>
          <w:lang w:val="en-GB"/>
        </w:rPr>
        <w:t xml:space="preserve"> Monitored return temperature at C6 &amp; C7 as hourly, weekly</w:t>
      </w:r>
      <w:r w:rsidR="00263C32" w:rsidRPr="00AD611D">
        <w:rPr>
          <w:lang w:val="en-GB"/>
        </w:rPr>
        <w:t xml:space="preserve"> and monthly </w:t>
      </w:r>
      <w:r w:rsidRPr="00AD611D">
        <w:rPr>
          <w:lang w:val="en-GB"/>
        </w:rPr>
        <w:t xml:space="preserve">mean for </w:t>
      </w:r>
      <w:r w:rsidR="00DB0607" w:rsidRPr="00AD611D">
        <w:rPr>
          <w:lang w:val="en-GB"/>
        </w:rPr>
        <w:t xml:space="preserve">nightly </w:t>
      </w:r>
      <w:r w:rsidR="00B4673A" w:rsidRPr="00AD611D">
        <w:rPr>
          <w:lang w:val="en-GB"/>
        </w:rPr>
        <w:t>bypass period.</w:t>
      </w:r>
      <w:r w:rsidRPr="00AD611D">
        <w:rPr>
          <w:lang w:val="en-GB"/>
        </w:rPr>
        <w:t xml:space="preserve"> </w:t>
      </w:r>
    </w:p>
    <w:p w14:paraId="346A0112" w14:textId="7289DE0D" w:rsidR="006F630E" w:rsidRDefault="00A83F61" w:rsidP="00A83F61">
      <w:pPr>
        <w:pStyle w:val="EuroSunText"/>
        <w:rPr>
          <w:lang w:val="en-GB"/>
        </w:rPr>
      </w:pPr>
      <w:r w:rsidRPr="00AD611D">
        <w:rPr>
          <w:lang w:val="en-GB"/>
        </w:rPr>
        <w:fldChar w:fldCharType="begin"/>
      </w:r>
      <w:r w:rsidRPr="00AD611D">
        <w:rPr>
          <w:lang w:val="en-GB"/>
        </w:rPr>
        <w:instrText xml:space="preserve"> REF _Ref239239584 \h </w:instrText>
      </w:r>
      <w:r w:rsidRPr="00AD611D">
        <w:rPr>
          <w:lang w:val="en-GB"/>
        </w:rPr>
      </w:r>
      <w:r w:rsidRPr="00AD611D">
        <w:rPr>
          <w:lang w:val="en-GB"/>
        </w:rPr>
        <w:fldChar w:fldCharType="separate"/>
      </w:r>
      <w:r w:rsidR="000805D6" w:rsidRPr="00AD611D">
        <w:rPr>
          <w:lang w:val="en-GB"/>
        </w:rPr>
        <w:t xml:space="preserve">Fig. </w:t>
      </w:r>
      <w:r w:rsidR="000805D6">
        <w:rPr>
          <w:noProof/>
          <w:lang w:val="en-GB"/>
        </w:rPr>
        <w:t>4</w:t>
      </w:r>
      <w:r w:rsidRPr="00AD611D">
        <w:rPr>
          <w:lang w:val="en-GB"/>
        </w:rPr>
        <w:fldChar w:fldCharType="end"/>
      </w:r>
      <w:r w:rsidRPr="00AD611D">
        <w:rPr>
          <w:lang w:val="en-GB"/>
        </w:rPr>
        <w:t xml:space="preserve"> shows the flow and return temperatures measured on the primary side of each FWS in risers C6 and C7 to the corresponding measured thermal power. The eight panels correspond to the sub-periods before and after each of the two interventions, shown separately for the two risers. </w:t>
      </w:r>
    </w:p>
    <w:p w14:paraId="344DD5F2" w14:textId="77777777" w:rsidR="00987348" w:rsidRDefault="00987348" w:rsidP="00987348">
      <w:pPr>
        <w:pStyle w:val="EuroSunText"/>
        <w:rPr>
          <w:lang w:val="en-GB"/>
        </w:rPr>
      </w:pPr>
      <w:r w:rsidRPr="00AD611D">
        <w:rPr>
          <w:lang w:val="en-GB"/>
        </w:rPr>
        <w:t xml:space="preserve">Two effects are visible. First, the flow temperature clouds shift downwards, reflecting the reduction of the central supply temperature setpoint. In the first sub-period they form a narrow band between about 50 °C and 57 °C with a slight upward tendency towards higher tapping power. After the interventions the same clouds scatter considerably more, while the upward tendency is retained. The behaviour is similar for both risers. Second, the return temperature clouds differ noticeably between the two risers. At C6 the return temperature scatters over a wide range at all power levels. In the first sub-period it varies between about 15 and 40 °C at a tapping power of 20 kW, whereas the corresponding flow temperature varies by about 5 K only. At C7 the scatter is considerably smaller, with return temperatures between about 15 and 30 °C at the same power level. In all sub-periods the lower envelope of the C7 return temperature cloud follows a parabolic shape, with its minimum shifting from approximately 12 kW and 12 °C in the first sub-period to about 10 kW and 15 °C in </w:t>
      </w:r>
      <w:r w:rsidRPr="00AD611D">
        <w:rPr>
          <w:lang w:val="en-GB"/>
        </w:rPr>
        <w:lastRenderedPageBreak/>
        <w:t>the most recent one. The logging intervals of the FWS heat meters differ between the two risers (Tab. 1), therefore the number of captured operating states is not identical.</w:t>
      </w:r>
    </w:p>
    <w:p w14:paraId="3643BB9F" w14:textId="77777777" w:rsidR="006F630E" w:rsidRPr="00AD611D" w:rsidRDefault="006F630E" w:rsidP="00B4673A">
      <w:pPr>
        <w:pStyle w:val="EuroSunText"/>
        <w:jc w:val="center"/>
        <w:rPr>
          <w:lang w:val="en-GB"/>
        </w:rPr>
      </w:pPr>
      <w:r w:rsidRPr="00AD611D">
        <w:rPr>
          <w:noProof/>
          <w:lang w:val="en-GB"/>
        </w:rPr>
        <w:drawing>
          <wp:inline distT="0" distB="0" distL="0" distR="0" wp14:anchorId="0A0B5580" wp14:editId="3505A57F">
            <wp:extent cx="5315721" cy="3276000"/>
            <wp:effectExtent l="0" t="0" r="0" b="635"/>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rotWithShape="1">
                    <a:blip r:embed="rId14">
                      <a:extLst>
                        <a:ext uri="{96DAC541-7B7A-43D3-8B79-37D633B846F1}">
                          <asvg:svgBlip xmlns:asvg="http://schemas.microsoft.com/office/drawing/2016/SVG/main" r:embed="rId15"/>
                        </a:ext>
                      </a:extLst>
                    </a:blip>
                    <a:srcRect l="327" r="7759" b="-478"/>
                    <a:stretch/>
                  </pic:blipFill>
                  <pic:spPr bwMode="auto">
                    <a:xfrm>
                      <a:off x="0" y="0"/>
                      <a:ext cx="5315721" cy="3276000"/>
                    </a:xfrm>
                    <a:prstGeom prst="rect">
                      <a:avLst/>
                    </a:prstGeom>
                    <a:ln>
                      <a:noFill/>
                    </a:ln>
                    <a:extLst>
                      <a:ext uri="{53640926-AAD7-44D8-BBD7-CCE9431645EC}">
                        <a14:shadowObscured xmlns:a14="http://schemas.microsoft.com/office/drawing/2010/main"/>
                      </a:ext>
                    </a:extLst>
                  </pic:spPr>
                </pic:pic>
              </a:graphicData>
            </a:graphic>
          </wp:inline>
        </w:drawing>
      </w:r>
    </w:p>
    <w:p w14:paraId="5F819A5A" w14:textId="44656C23" w:rsidR="006F630E" w:rsidRPr="00AD611D" w:rsidRDefault="006F630E" w:rsidP="006F630E">
      <w:pPr>
        <w:pStyle w:val="SWCTableFigureCaption"/>
        <w:rPr>
          <w:lang w:val="en-GB"/>
        </w:rPr>
      </w:pPr>
      <w:bookmarkStart w:id="9" w:name="_Ref239239584"/>
      <w:r w:rsidRPr="00AD611D">
        <w:rPr>
          <w:lang w:val="en-GB"/>
        </w:rPr>
        <w:t xml:space="preserve">Fig. </w:t>
      </w:r>
      <w:r w:rsidRPr="00AD611D">
        <w:rPr>
          <w:lang w:val="en-GB"/>
        </w:rPr>
        <w:fldChar w:fldCharType="begin"/>
      </w:r>
      <w:r w:rsidRPr="00AD611D">
        <w:rPr>
          <w:lang w:val="en-GB"/>
        </w:rPr>
        <w:instrText xml:space="preserve"> SEQ Fig. \* ARABIC </w:instrText>
      </w:r>
      <w:r w:rsidRPr="00AD611D">
        <w:rPr>
          <w:lang w:val="en-GB"/>
        </w:rPr>
        <w:fldChar w:fldCharType="separate"/>
      </w:r>
      <w:r w:rsidR="000805D6">
        <w:rPr>
          <w:noProof/>
          <w:lang w:val="en-GB"/>
        </w:rPr>
        <w:t>4</w:t>
      </w:r>
      <w:r w:rsidRPr="00AD611D">
        <w:rPr>
          <w:lang w:val="en-GB"/>
        </w:rPr>
        <w:fldChar w:fldCharType="end"/>
      </w:r>
      <w:bookmarkEnd w:id="9"/>
      <w:r w:rsidRPr="00AD611D">
        <w:rPr>
          <w:lang w:val="en-GB"/>
        </w:rPr>
        <w:t xml:space="preserve"> Monitored flow (red) and return (blue) temperature at every FWS HM in C6 &amp; C7 vs. thermal power</w:t>
      </w:r>
    </w:p>
    <w:p w14:paraId="4F4DB65B" w14:textId="56BEF561" w:rsidR="00376D79" w:rsidRPr="00AD611D" w:rsidRDefault="00376D79" w:rsidP="00A83F61">
      <w:pPr>
        <w:pStyle w:val="EuroSunText"/>
        <w:rPr>
          <w:lang w:val="en-GB"/>
        </w:rPr>
      </w:pPr>
      <w:r w:rsidRPr="00376D79">
        <w:rPr>
          <w:lang w:val="en-GB"/>
        </w:rPr>
        <w:t xml:space="preserve">Comparing the </w:t>
      </w:r>
      <w:r w:rsidR="006140CB">
        <w:rPr>
          <w:lang w:val="en-GB"/>
        </w:rPr>
        <w:t>30</w:t>
      </w:r>
      <w:r w:rsidR="006140CB" w:rsidRPr="00376D79">
        <w:rPr>
          <w:lang w:val="en-GB"/>
        </w:rPr>
        <w:t xml:space="preserve"> </w:t>
      </w:r>
      <w:r w:rsidRPr="00376D79">
        <w:rPr>
          <w:lang w:val="en-GB"/>
        </w:rPr>
        <w:t xml:space="preserve">days before and after each intervention, the measured distribution losses of the riser group decreased by </w:t>
      </w:r>
      <w:r>
        <w:rPr>
          <w:lang w:val="en-GB"/>
        </w:rPr>
        <w:t>26.2</w:t>
      </w:r>
      <w:r w:rsidRPr="00376D79">
        <w:rPr>
          <w:lang w:val="en-GB"/>
        </w:rPr>
        <w:t xml:space="preserve"> % after the first and by</w:t>
      </w:r>
      <w:r>
        <w:rPr>
          <w:lang w:val="en-GB"/>
        </w:rPr>
        <w:t xml:space="preserve"> 13</w:t>
      </w:r>
      <w:r w:rsidRPr="00376D79">
        <w:rPr>
          <w:lang w:val="en-GB"/>
        </w:rPr>
        <w:t xml:space="preserve"> % after the second intervention. For the entire building C</w:t>
      </w:r>
      <w:r w:rsidR="006140CB">
        <w:rPr>
          <w:lang w:val="en-GB"/>
        </w:rPr>
        <w:t>,</w:t>
      </w:r>
      <w:r w:rsidRPr="00376D79">
        <w:rPr>
          <w:lang w:val="en-GB"/>
        </w:rPr>
        <w:t xml:space="preserve"> the corresponding reductions were </w:t>
      </w:r>
      <w:r>
        <w:rPr>
          <w:lang w:val="en-GB"/>
        </w:rPr>
        <w:t>9.8</w:t>
      </w:r>
      <w:r w:rsidRPr="00376D79">
        <w:rPr>
          <w:lang w:val="en-GB"/>
        </w:rPr>
        <w:t xml:space="preserve"> % and </w:t>
      </w:r>
      <w:r>
        <w:rPr>
          <w:lang w:val="en-GB"/>
        </w:rPr>
        <w:t>18</w:t>
      </w:r>
      <w:r w:rsidRPr="00376D79">
        <w:rPr>
          <w:lang w:val="en-GB"/>
        </w:rPr>
        <w:t xml:space="preserve"> %.</w:t>
      </w:r>
      <w:r>
        <w:rPr>
          <w:lang w:val="en-GB"/>
        </w:rPr>
        <w:t xml:space="preserve"> </w:t>
      </w:r>
      <w:r w:rsidRPr="00376D79">
        <w:t>Since a substantial share of the losses is driven by the ambient temperature of the storage room, and the comparison windows fall in different parts of the season, part of the apparent reduction reflects the change in boundary conditions rather than the intervention itself.</w:t>
      </w:r>
    </w:p>
    <w:p w14:paraId="6AAF385A" w14:textId="2D6A6F2A" w:rsidR="00997C92" w:rsidRPr="00AD611D" w:rsidRDefault="00997C92" w:rsidP="00997C92">
      <w:pPr>
        <w:pStyle w:val="SWCTableFigureCaption"/>
        <w:rPr>
          <w:lang w:val="en-GB"/>
        </w:rPr>
      </w:pPr>
      <w:bookmarkStart w:id="10" w:name="_Ref239665488"/>
      <w:r w:rsidRPr="00AD611D">
        <w:rPr>
          <w:lang w:val="en-GB"/>
        </w:rPr>
        <w:t>Tab.</w:t>
      </w:r>
      <w:r w:rsidR="003E081F" w:rsidRPr="00AD611D">
        <w:rPr>
          <w:lang w:val="en-GB"/>
        </w:rPr>
        <w:t xml:space="preserve"> </w:t>
      </w:r>
      <w:r w:rsidRPr="00AD611D">
        <w:rPr>
          <w:lang w:val="en-GB"/>
        </w:rPr>
        <w:fldChar w:fldCharType="begin"/>
      </w:r>
      <w:r w:rsidRPr="00AD611D">
        <w:rPr>
          <w:lang w:val="en-GB"/>
        </w:rPr>
        <w:instrText xml:space="preserve"> SEQ Tab._ \* ARABIC </w:instrText>
      </w:r>
      <w:r w:rsidRPr="00AD611D">
        <w:rPr>
          <w:lang w:val="en-GB"/>
        </w:rPr>
        <w:fldChar w:fldCharType="separate"/>
      </w:r>
      <w:r w:rsidR="000805D6">
        <w:rPr>
          <w:noProof/>
          <w:lang w:val="en-GB"/>
        </w:rPr>
        <w:t>2</w:t>
      </w:r>
      <w:r w:rsidRPr="00AD611D">
        <w:rPr>
          <w:lang w:val="en-GB"/>
        </w:rPr>
        <w:fldChar w:fldCharType="end"/>
      </w:r>
      <w:bookmarkEnd w:id="10"/>
      <w:r w:rsidRPr="00AD611D">
        <w:rPr>
          <w:lang w:val="en-GB"/>
        </w:rPr>
        <w:t xml:space="preserve"> Measured and modelled distribution losses of riser shafts C6 &amp; C7 at three aggregation levels, mean per period. </w:t>
      </w:r>
      <w:r w:rsidRPr="00AD611D">
        <w:rPr>
          <w:lang w:val="en-GB"/>
        </w:rPr>
        <w:br/>
      </w:r>
      <w:proofErr w:type="spellStart"/>
      <w:r w:rsidRPr="00AD611D">
        <w:rPr>
          <w:lang w:val="en-GB"/>
        </w:rPr>
        <w:t>δ</w:t>
      </w:r>
      <w:r w:rsidRPr="00AD611D">
        <w:rPr>
          <w:vertAlign w:val="subscript"/>
          <w:lang w:val="en-GB"/>
        </w:rPr>
        <w:t>rel</w:t>
      </w:r>
      <w:proofErr w:type="spellEnd"/>
      <w:r w:rsidRPr="00AD611D">
        <w:rPr>
          <w:lang w:val="en-GB"/>
        </w:rPr>
        <w:t xml:space="preserve"> = (model − measured) / measured</w:t>
      </w:r>
    </w:p>
    <w:tbl>
      <w:tblPr>
        <w:tblStyle w:val="Tabellenraster"/>
        <w:tblW w:w="8757"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1"/>
        <w:gridCol w:w="1352"/>
        <w:gridCol w:w="1486"/>
        <w:gridCol w:w="1487"/>
        <w:gridCol w:w="1433"/>
        <w:gridCol w:w="1468"/>
      </w:tblGrid>
      <w:tr w:rsidR="00997C92" w:rsidRPr="00AD611D" w14:paraId="66811B4C" w14:textId="77777777" w:rsidTr="0079080A">
        <w:trPr>
          <w:trHeight w:val="454"/>
        </w:trPr>
        <w:tc>
          <w:tcPr>
            <w:tcW w:w="1531" w:type="dxa"/>
            <w:tcBorders>
              <w:top w:val="single" w:sz="4" w:space="0" w:color="auto"/>
              <w:bottom w:val="single" w:sz="4" w:space="0" w:color="auto"/>
            </w:tcBorders>
          </w:tcPr>
          <w:p w14:paraId="4CEB5C52" w14:textId="77777777" w:rsidR="00997C92" w:rsidRPr="00AD611D" w:rsidRDefault="00997C92" w:rsidP="00997C92">
            <w:pPr>
              <w:pStyle w:val="SWCText"/>
              <w:spacing w:after="0"/>
              <w:rPr>
                <w:lang w:val="en-GB"/>
              </w:rPr>
            </w:pPr>
          </w:p>
        </w:tc>
        <w:tc>
          <w:tcPr>
            <w:tcW w:w="1352" w:type="dxa"/>
            <w:tcBorders>
              <w:top w:val="single" w:sz="4" w:space="0" w:color="auto"/>
              <w:bottom w:val="single" w:sz="4" w:space="0" w:color="auto"/>
            </w:tcBorders>
            <w:vAlign w:val="center"/>
          </w:tcPr>
          <w:p w14:paraId="2288C669" w14:textId="3BA3CBD5" w:rsidR="00997C92" w:rsidRPr="00AD611D" w:rsidRDefault="00000000" w:rsidP="00997C92">
            <w:pPr>
              <w:pStyle w:val="SWCText"/>
              <w:spacing w:after="0"/>
              <w:jc w:val="center"/>
              <w:rPr>
                <w:rFonts w:ascii="Arial" w:hAnsi="Arial"/>
                <w:lang w:val="en-GB"/>
              </w:rPr>
            </w:pPr>
            <m:oMathPara>
              <m:oMath>
                <m:sSub>
                  <m:sSubPr>
                    <m:ctrlPr>
                      <w:rPr>
                        <w:rFonts w:ascii="Cambria Math" w:hAnsi="Cambria Math"/>
                        <w:i/>
                        <w:lang w:val="en-GB"/>
                      </w:rPr>
                    </m:ctrlPr>
                  </m:sSubPr>
                  <m:e>
                    <m:r>
                      <w:rPr>
                        <w:rFonts w:ascii="Cambria Math" w:hAnsi="Cambria Math"/>
                        <w:lang w:val="en-GB"/>
                      </w:rPr>
                      <m:t>n</m:t>
                    </m:r>
                  </m:e>
                  <m:sub>
                    <m:r>
                      <w:rPr>
                        <w:rFonts w:ascii="Cambria Math" w:hAnsi="Cambria Math"/>
                        <w:lang w:val="en-GB"/>
                      </w:rPr>
                      <m:t>periods</m:t>
                    </m:r>
                  </m:sub>
                </m:sSub>
                <m:r>
                  <m:rPr>
                    <m:sty m:val="p"/>
                  </m:rPr>
                  <w:rPr>
                    <w:lang w:val="en-GB"/>
                  </w:rPr>
                  <w:br/>
                </m:r>
              </m:oMath>
            </m:oMathPara>
            <w:r w:rsidR="00997C92" w:rsidRPr="00AD611D">
              <w:rPr>
                <w:lang w:val="en-GB"/>
              </w:rPr>
              <w:t>[-]</w:t>
            </w:r>
          </w:p>
        </w:tc>
        <w:tc>
          <w:tcPr>
            <w:tcW w:w="1486" w:type="dxa"/>
            <w:tcBorders>
              <w:top w:val="single" w:sz="4" w:space="0" w:color="auto"/>
              <w:bottom w:val="single" w:sz="4" w:space="0" w:color="auto"/>
            </w:tcBorders>
            <w:vAlign w:val="center"/>
          </w:tcPr>
          <w:p w14:paraId="7C4185F5" w14:textId="51724C05" w:rsidR="00997C92" w:rsidRPr="00AD611D" w:rsidRDefault="00000000" w:rsidP="00997C92">
            <w:pPr>
              <w:pStyle w:val="SWCText"/>
              <w:spacing w:after="0"/>
              <w:jc w:val="center"/>
              <w:rPr>
                <w:lang w:val="en-GB"/>
              </w:rPr>
            </w:pPr>
            <m:oMathPara>
              <m:oMath>
                <m:sSubSup>
                  <m:sSubSupPr>
                    <m:ctrlPr>
                      <w:rPr>
                        <w:rFonts w:ascii="Cambria Math" w:hAnsi="Cambria Math"/>
                        <w:i/>
                        <w:lang w:val="en-GB"/>
                      </w:rPr>
                    </m:ctrlPr>
                  </m:sSubSupPr>
                  <m:e>
                    <m:r>
                      <w:rPr>
                        <w:rFonts w:ascii="Cambria Math" w:hAnsi="Cambria Math"/>
                        <w:lang w:val="en-GB"/>
                      </w:rPr>
                      <m:t>Q</m:t>
                    </m:r>
                  </m:e>
                  <m:sub>
                    <m:r>
                      <m:rPr>
                        <m:nor/>
                      </m:rPr>
                      <w:rPr>
                        <w:rFonts w:ascii="Cambria Math" w:hAnsi="Cambria Math"/>
                        <w:lang w:val="en-GB"/>
                      </w:rPr>
                      <m:t>loss</m:t>
                    </m:r>
                  </m:sub>
                  <m:sup>
                    <m:r>
                      <m:rPr>
                        <m:nor/>
                      </m:rPr>
                      <w:rPr>
                        <w:rFonts w:ascii="Cambria Math" w:hAnsi="Cambria Math"/>
                        <w:lang w:val="en-GB"/>
                      </w:rPr>
                      <m:t>meas</m:t>
                    </m:r>
                  </m:sup>
                </m:sSubSup>
                <m:r>
                  <m:rPr>
                    <m:sty m:val="p"/>
                  </m:rPr>
                  <w:rPr>
                    <w:lang w:val="en-GB"/>
                  </w:rPr>
                  <w:br/>
                </m:r>
              </m:oMath>
            </m:oMathPara>
            <w:r w:rsidR="00997C92" w:rsidRPr="00AD611D">
              <w:rPr>
                <w:lang w:val="en-GB"/>
              </w:rPr>
              <w:t>[kWh]</w:t>
            </w:r>
          </w:p>
        </w:tc>
        <w:tc>
          <w:tcPr>
            <w:tcW w:w="1487" w:type="dxa"/>
            <w:tcBorders>
              <w:top w:val="single" w:sz="4" w:space="0" w:color="auto"/>
              <w:bottom w:val="single" w:sz="4" w:space="0" w:color="auto"/>
            </w:tcBorders>
            <w:vAlign w:val="center"/>
          </w:tcPr>
          <w:p w14:paraId="78BD15D7" w14:textId="359832CE" w:rsidR="00997C92" w:rsidRPr="00AD611D" w:rsidRDefault="00000000" w:rsidP="00997C92">
            <w:pPr>
              <w:pStyle w:val="SWCText"/>
              <w:spacing w:after="0"/>
              <w:jc w:val="center"/>
              <w:rPr>
                <w:lang w:val="en-GB"/>
              </w:rPr>
            </w:pPr>
            <m:oMath>
              <m:sSubSup>
                <m:sSubSupPr>
                  <m:ctrlPr>
                    <w:rPr>
                      <w:rFonts w:ascii="Cambria Math" w:hAnsi="Cambria Math"/>
                      <w:i/>
                      <w:lang w:val="en-GB"/>
                    </w:rPr>
                  </m:ctrlPr>
                </m:sSubSupPr>
                <m:e>
                  <m:r>
                    <w:rPr>
                      <w:rFonts w:ascii="Cambria Math" w:hAnsi="Cambria Math"/>
                      <w:lang w:val="en-GB"/>
                    </w:rPr>
                    <m:t>Q</m:t>
                  </m:r>
                </m:e>
                <m:sub>
                  <m:r>
                    <m:rPr>
                      <m:nor/>
                    </m:rPr>
                    <w:rPr>
                      <w:rFonts w:ascii="Cambria Math" w:hAnsi="Cambria Math"/>
                      <w:lang w:val="en-GB"/>
                    </w:rPr>
                    <m:t>loss</m:t>
                  </m:r>
                </m:sub>
                <m:sup>
                  <m:r>
                    <m:rPr>
                      <m:nor/>
                    </m:rPr>
                    <w:rPr>
                      <w:rFonts w:ascii="Cambria Math" w:hAnsi="Cambria Math"/>
                      <w:lang w:val="en-GB"/>
                    </w:rPr>
                    <m:t>model</m:t>
                  </m:r>
                </m:sup>
              </m:sSubSup>
            </m:oMath>
            <w:r w:rsidR="00997C92" w:rsidRPr="00AD611D">
              <w:rPr>
                <w:lang w:val="en-GB"/>
              </w:rPr>
              <w:t xml:space="preserve"> </w:t>
            </w:r>
            <w:r w:rsidR="00997C92" w:rsidRPr="00AD611D">
              <w:rPr>
                <w:lang w:val="en-GB"/>
              </w:rPr>
              <w:br/>
              <w:t>[kWh]</w:t>
            </w:r>
          </w:p>
        </w:tc>
        <w:tc>
          <w:tcPr>
            <w:tcW w:w="1433" w:type="dxa"/>
            <w:tcBorders>
              <w:top w:val="single" w:sz="4" w:space="0" w:color="auto"/>
              <w:bottom w:val="single" w:sz="4" w:space="0" w:color="auto"/>
            </w:tcBorders>
            <w:vAlign w:val="center"/>
          </w:tcPr>
          <w:p w14:paraId="08FBD378" w14:textId="6026F3FE" w:rsidR="00997C92" w:rsidRPr="00AD611D" w:rsidRDefault="00000000" w:rsidP="00997C92">
            <w:pPr>
              <w:pStyle w:val="SWCText"/>
              <w:spacing w:after="0"/>
              <w:jc w:val="center"/>
              <w:rPr>
                <w:lang w:val="en-GB"/>
              </w:rPr>
            </w:pPr>
            <m:oMath>
              <m:sSub>
                <m:sSubPr>
                  <m:ctrlPr>
                    <w:rPr>
                      <w:rFonts w:ascii="Cambria Math" w:hAnsi="Cambria Math"/>
                      <w:i/>
                      <w:lang w:val="en-GB"/>
                    </w:rPr>
                  </m:ctrlPr>
                </m:sSubPr>
                <m:e>
                  <m:r>
                    <w:rPr>
                      <w:rFonts w:ascii="Cambria Math" w:hAnsi="Cambria Math"/>
                      <w:lang w:val="en-GB"/>
                    </w:rPr>
                    <m:t>δ</m:t>
                  </m:r>
                </m:e>
                <m:sub>
                  <m:r>
                    <w:rPr>
                      <w:rFonts w:ascii="Cambria Math" w:hAnsi="Cambria Math"/>
                      <w:lang w:val="en-GB"/>
                    </w:rPr>
                    <m:t>rel</m:t>
                  </m:r>
                </m:sub>
              </m:sSub>
            </m:oMath>
            <w:r w:rsidR="00997C92" w:rsidRPr="00AD611D">
              <w:rPr>
                <w:lang w:val="en-GB"/>
              </w:rPr>
              <w:t xml:space="preserve"> </w:t>
            </w:r>
            <w:r w:rsidR="00997C92" w:rsidRPr="00AD611D">
              <w:rPr>
                <w:lang w:val="en-GB"/>
              </w:rPr>
              <w:br/>
              <w:t xml:space="preserve"> [%]</w:t>
            </w:r>
          </w:p>
        </w:tc>
        <w:tc>
          <w:tcPr>
            <w:tcW w:w="1468" w:type="dxa"/>
            <w:tcBorders>
              <w:top w:val="single" w:sz="4" w:space="0" w:color="auto"/>
              <w:bottom w:val="single" w:sz="4" w:space="0" w:color="auto"/>
            </w:tcBorders>
            <w:vAlign w:val="center"/>
          </w:tcPr>
          <w:p w14:paraId="3FEC4789" w14:textId="75551E28" w:rsidR="00997C92" w:rsidRPr="00AD611D" w:rsidRDefault="00997C92" w:rsidP="00997C92">
            <w:pPr>
              <w:pStyle w:val="SWCText"/>
              <w:spacing w:after="0"/>
              <w:jc w:val="center"/>
              <w:rPr>
                <w:lang w:val="en-GB"/>
              </w:rPr>
            </w:pPr>
            <w:r w:rsidRPr="00AD611D">
              <w:rPr>
                <w:lang w:val="en-GB"/>
              </w:rPr>
              <w:t xml:space="preserve">R² </w:t>
            </w:r>
            <w:r w:rsidRPr="00AD611D">
              <w:rPr>
                <w:lang w:val="en-GB"/>
              </w:rPr>
              <w:br/>
              <w:t>[-]</w:t>
            </w:r>
          </w:p>
        </w:tc>
      </w:tr>
      <w:tr w:rsidR="00997C92" w:rsidRPr="00AD611D" w14:paraId="478DCBA4" w14:textId="77777777" w:rsidTr="0079080A">
        <w:trPr>
          <w:trHeight w:val="454"/>
        </w:trPr>
        <w:tc>
          <w:tcPr>
            <w:tcW w:w="1531" w:type="dxa"/>
            <w:tcBorders>
              <w:top w:val="single" w:sz="4" w:space="0" w:color="auto"/>
            </w:tcBorders>
            <w:vAlign w:val="center"/>
          </w:tcPr>
          <w:p w14:paraId="02012C39" w14:textId="1A2EC26A" w:rsidR="00997C92" w:rsidRPr="00AD611D" w:rsidRDefault="00997C92" w:rsidP="00997C92">
            <w:pPr>
              <w:pStyle w:val="SWCText"/>
              <w:spacing w:after="0"/>
              <w:jc w:val="center"/>
              <w:rPr>
                <w:lang w:val="en-GB"/>
              </w:rPr>
            </w:pPr>
            <w:r w:rsidRPr="00AD611D">
              <w:rPr>
                <w:lang w:val="en-GB"/>
              </w:rPr>
              <w:t>Daily</w:t>
            </w:r>
          </w:p>
        </w:tc>
        <w:tc>
          <w:tcPr>
            <w:tcW w:w="1352" w:type="dxa"/>
            <w:tcBorders>
              <w:top w:val="single" w:sz="4" w:space="0" w:color="auto"/>
            </w:tcBorders>
            <w:vAlign w:val="center"/>
          </w:tcPr>
          <w:p w14:paraId="7F75E391" w14:textId="5208BFC1" w:rsidR="00997C92" w:rsidRPr="00AD611D" w:rsidRDefault="00997C92" w:rsidP="00997C92">
            <w:pPr>
              <w:pStyle w:val="SWCText"/>
              <w:spacing w:after="0"/>
              <w:jc w:val="center"/>
              <w:rPr>
                <w:lang w:val="en-GB"/>
              </w:rPr>
            </w:pPr>
            <w:r w:rsidRPr="00AD611D">
              <w:rPr>
                <w:lang w:val="en-GB"/>
              </w:rPr>
              <w:t>245</w:t>
            </w:r>
          </w:p>
        </w:tc>
        <w:tc>
          <w:tcPr>
            <w:tcW w:w="1486" w:type="dxa"/>
            <w:tcBorders>
              <w:top w:val="single" w:sz="4" w:space="0" w:color="auto"/>
            </w:tcBorders>
            <w:vAlign w:val="center"/>
          </w:tcPr>
          <w:p w14:paraId="020A329E" w14:textId="7CAEDF50" w:rsidR="00997C92" w:rsidRPr="00AD611D" w:rsidRDefault="00997C92" w:rsidP="00997C92">
            <w:pPr>
              <w:pStyle w:val="SWCText"/>
              <w:spacing w:after="0"/>
              <w:jc w:val="center"/>
              <w:rPr>
                <w:lang w:val="en-GB"/>
              </w:rPr>
            </w:pPr>
            <w:r w:rsidRPr="00AD611D">
              <w:rPr>
                <w:lang w:val="en-GB"/>
              </w:rPr>
              <w:t>25.2</w:t>
            </w:r>
          </w:p>
        </w:tc>
        <w:tc>
          <w:tcPr>
            <w:tcW w:w="1487" w:type="dxa"/>
            <w:tcBorders>
              <w:top w:val="single" w:sz="4" w:space="0" w:color="auto"/>
            </w:tcBorders>
            <w:vAlign w:val="center"/>
          </w:tcPr>
          <w:p w14:paraId="5C449BCF" w14:textId="08EA5399" w:rsidR="00997C92" w:rsidRPr="00AD611D" w:rsidRDefault="00997C92" w:rsidP="00997C92">
            <w:pPr>
              <w:pStyle w:val="SWCText"/>
              <w:spacing w:after="0"/>
              <w:jc w:val="center"/>
              <w:rPr>
                <w:lang w:val="en-GB"/>
              </w:rPr>
            </w:pPr>
            <w:r w:rsidRPr="00AD611D">
              <w:rPr>
                <w:lang w:val="en-GB"/>
              </w:rPr>
              <w:t>25.2</w:t>
            </w:r>
          </w:p>
        </w:tc>
        <w:tc>
          <w:tcPr>
            <w:tcW w:w="1433" w:type="dxa"/>
            <w:tcBorders>
              <w:top w:val="single" w:sz="4" w:space="0" w:color="auto"/>
            </w:tcBorders>
            <w:vAlign w:val="center"/>
          </w:tcPr>
          <w:p w14:paraId="4F1A3ED1" w14:textId="357D8E1B" w:rsidR="00997C92" w:rsidRPr="00AD611D" w:rsidRDefault="00997C92" w:rsidP="00997C92">
            <w:pPr>
              <w:pStyle w:val="SWCText"/>
              <w:spacing w:after="0"/>
              <w:jc w:val="center"/>
              <w:rPr>
                <w:lang w:val="en-GB"/>
              </w:rPr>
            </w:pPr>
            <w:r w:rsidRPr="00AD611D">
              <w:rPr>
                <w:lang w:val="en-GB"/>
              </w:rPr>
              <w:t>-0.2</w:t>
            </w:r>
          </w:p>
        </w:tc>
        <w:tc>
          <w:tcPr>
            <w:tcW w:w="1468" w:type="dxa"/>
            <w:tcBorders>
              <w:top w:val="single" w:sz="4" w:space="0" w:color="auto"/>
            </w:tcBorders>
            <w:vAlign w:val="center"/>
          </w:tcPr>
          <w:p w14:paraId="3CE8BC55" w14:textId="3294339B" w:rsidR="00997C92" w:rsidRPr="00AD611D" w:rsidRDefault="00997C92" w:rsidP="00997C92">
            <w:pPr>
              <w:pStyle w:val="SWCText"/>
              <w:spacing w:after="0"/>
              <w:jc w:val="center"/>
              <w:rPr>
                <w:lang w:val="en-GB"/>
              </w:rPr>
            </w:pPr>
            <w:r w:rsidRPr="00AD611D">
              <w:rPr>
                <w:lang w:val="en-GB"/>
              </w:rPr>
              <w:t>0.310</w:t>
            </w:r>
          </w:p>
        </w:tc>
      </w:tr>
      <w:tr w:rsidR="00997C92" w:rsidRPr="00AD611D" w14:paraId="45847CA4" w14:textId="77777777" w:rsidTr="0079080A">
        <w:trPr>
          <w:trHeight w:val="454"/>
        </w:trPr>
        <w:tc>
          <w:tcPr>
            <w:tcW w:w="1531" w:type="dxa"/>
            <w:vAlign w:val="center"/>
          </w:tcPr>
          <w:p w14:paraId="25CA265A" w14:textId="0CBE9D65" w:rsidR="00997C92" w:rsidRPr="00AD611D" w:rsidRDefault="00997C92" w:rsidP="00997C92">
            <w:pPr>
              <w:pStyle w:val="SWCText"/>
              <w:spacing w:after="0"/>
              <w:jc w:val="center"/>
              <w:rPr>
                <w:lang w:val="en-GB"/>
              </w:rPr>
            </w:pPr>
            <w:r w:rsidRPr="00AD611D">
              <w:rPr>
                <w:lang w:val="en-GB"/>
              </w:rPr>
              <w:t>Weekly</w:t>
            </w:r>
          </w:p>
        </w:tc>
        <w:tc>
          <w:tcPr>
            <w:tcW w:w="1352" w:type="dxa"/>
            <w:vAlign w:val="center"/>
          </w:tcPr>
          <w:p w14:paraId="1760588F" w14:textId="0CD2FAED" w:rsidR="00997C92" w:rsidRPr="00AD611D" w:rsidRDefault="00997C92" w:rsidP="00997C92">
            <w:pPr>
              <w:pStyle w:val="SWCText"/>
              <w:spacing w:after="0"/>
              <w:jc w:val="center"/>
              <w:rPr>
                <w:lang w:val="en-GB"/>
              </w:rPr>
            </w:pPr>
            <w:r w:rsidRPr="00AD611D">
              <w:rPr>
                <w:lang w:val="en-GB"/>
              </w:rPr>
              <w:t>32</w:t>
            </w:r>
          </w:p>
        </w:tc>
        <w:tc>
          <w:tcPr>
            <w:tcW w:w="1486" w:type="dxa"/>
            <w:vAlign w:val="center"/>
          </w:tcPr>
          <w:p w14:paraId="572E0104" w14:textId="07BD787E" w:rsidR="00997C92" w:rsidRPr="00AD611D" w:rsidRDefault="00997C92" w:rsidP="00997C92">
            <w:pPr>
              <w:pStyle w:val="SWCText"/>
              <w:spacing w:after="0"/>
              <w:jc w:val="center"/>
              <w:rPr>
                <w:lang w:val="en-GB"/>
              </w:rPr>
            </w:pPr>
            <w:r w:rsidRPr="00AD611D">
              <w:rPr>
                <w:lang w:val="en-GB"/>
              </w:rPr>
              <w:t>175.3</w:t>
            </w:r>
          </w:p>
        </w:tc>
        <w:tc>
          <w:tcPr>
            <w:tcW w:w="1487" w:type="dxa"/>
            <w:vAlign w:val="center"/>
          </w:tcPr>
          <w:p w14:paraId="1AE9EABF" w14:textId="63FA7010" w:rsidR="00997C92" w:rsidRPr="00AD611D" w:rsidRDefault="00997C92" w:rsidP="00997C92">
            <w:pPr>
              <w:pStyle w:val="SWCText"/>
              <w:spacing w:after="0"/>
              <w:jc w:val="center"/>
              <w:rPr>
                <w:lang w:val="en-GB"/>
              </w:rPr>
            </w:pPr>
            <w:r w:rsidRPr="00AD611D">
              <w:rPr>
                <w:lang w:val="en-GB"/>
              </w:rPr>
              <w:t>176.1</w:t>
            </w:r>
          </w:p>
        </w:tc>
        <w:tc>
          <w:tcPr>
            <w:tcW w:w="1433" w:type="dxa"/>
            <w:vAlign w:val="center"/>
          </w:tcPr>
          <w:p w14:paraId="1ADF5145" w14:textId="3F2DAAA3" w:rsidR="00997C92" w:rsidRPr="00AD611D" w:rsidRDefault="00997C92" w:rsidP="00997C92">
            <w:pPr>
              <w:pStyle w:val="SWCText"/>
              <w:spacing w:after="0"/>
              <w:jc w:val="center"/>
              <w:rPr>
                <w:lang w:val="en-GB"/>
              </w:rPr>
            </w:pPr>
            <w:r w:rsidRPr="00AD611D">
              <w:rPr>
                <w:lang w:val="en-GB"/>
              </w:rPr>
              <w:t>0.4</w:t>
            </w:r>
          </w:p>
        </w:tc>
        <w:tc>
          <w:tcPr>
            <w:tcW w:w="1468" w:type="dxa"/>
            <w:vAlign w:val="center"/>
          </w:tcPr>
          <w:p w14:paraId="043D7A2B" w14:textId="5C3FFF62" w:rsidR="00997C92" w:rsidRPr="00AD611D" w:rsidRDefault="00997C92" w:rsidP="00997C92">
            <w:pPr>
              <w:pStyle w:val="SWCText"/>
              <w:spacing w:after="0"/>
              <w:jc w:val="center"/>
              <w:rPr>
                <w:lang w:val="en-GB"/>
              </w:rPr>
            </w:pPr>
            <w:r w:rsidRPr="00AD611D">
              <w:rPr>
                <w:lang w:val="en-GB"/>
              </w:rPr>
              <w:t>0.900</w:t>
            </w:r>
          </w:p>
        </w:tc>
      </w:tr>
      <w:tr w:rsidR="00997C92" w:rsidRPr="00AD611D" w14:paraId="531338C5" w14:textId="77777777" w:rsidTr="0079080A">
        <w:trPr>
          <w:trHeight w:val="454"/>
        </w:trPr>
        <w:tc>
          <w:tcPr>
            <w:tcW w:w="1531" w:type="dxa"/>
            <w:vAlign w:val="center"/>
          </w:tcPr>
          <w:p w14:paraId="06AE8230" w14:textId="1B767A58" w:rsidR="00997C92" w:rsidRPr="00AD611D" w:rsidRDefault="00997C92" w:rsidP="00997C92">
            <w:pPr>
              <w:pStyle w:val="SWCText"/>
              <w:spacing w:after="0"/>
              <w:jc w:val="center"/>
              <w:rPr>
                <w:lang w:val="en-GB"/>
              </w:rPr>
            </w:pPr>
            <w:r w:rsidRPr="00AD611D">
              <w:rPr>
                <w:lang w:val="en-GB"/>
              </w:rPr>
              <w:t>Monthly</w:t>
            </w:r>
          </w:p>
        </w:tc>
        <w:tc>
          <w:tcPr>
            <w:tcW w:w="1352" w:type="dxa"/>
            <w:vAlign w:val="center"/>
          </w:tcPr>
          <w:p w14:paraId="2A6263A5" w14:textId="14F11172" w:rsidR="00997C92" w:rsidRPr="00AD611D" w:rsidRDefault="00997C92" w:rsidP="00997C92">
            <w:pPr>
              <w:pStyle w:val="SWCText"/>
              <w:spacing w:after="0"/>
              <w:jc w:val="center"/>
              <w:rPr>
                <w:lang w:val="en-GB"/>
              </w:rPr>
            </w:pPr>
            <w:r w:rsidRPr="00AD611D">
              <w:rPr>
                <w:lang w:val="en-GB"/>
              </w:rPr>
              <w:t>6</w:t>
            </w:r>
          </w:p>
        </w:tc>
        <w:tc>
          <w:tcPr>
            <w:tcW w:w="1486" w:type="dxa"/>
            <w:vAlign w:val="center"/>
          </w:tcPr>
          <w:p w14:paraId="6FC52069" w14:textId="2516CA42" w:rsidR="00997C92" w:rsidRPr="00AD611D" w:rsidRDefault="00997C92" w:rsidP="00997C92">
            <w:pPr>
              <w:pStyle w:val="SWCText"/>
              <w:spacing w:after="0"/>
              <w:jc w:val="center"/>
              <w:rPr>
                <w:lang w:val="en-GB"/>
              </w:rPr>
            </w:pPr>
            <w:r w:rsidRPr="00AD611D">
              <w:rPr>
                <w:lang w:val="en-GB"/>
              </w:rPr>
              <w:t>768.8</w:t>
            </w:r>
          </w:p>
        </w:tc>
        <w:tc>
          <w:tcPr>
            <w:tcW w:w="1487" w:type="dxa"/>
            <w:vAlign w:val="center"/>
          </w:tcPr>
          <w:p w14:paraId="78794617" w14:textId="0491128B" w:rsidR="00997C92" w:rsidRPr="00AD611D" w:rsidRDefault="00997C92" w:rsidP="00997C92">
            <w:pPr>
              <w:pStyle w:val="SWCText"/>
              <w:spacing w:after="0"/>
              <w:jc w:val="center"/>
              <w:rPr>
                <w:lang w:val="en-GB"/>
              </w:rPr>
            </w:pPr>
            <w:r w:rsidRPr="00AD611D">
              <w:rPr>
                <w:lang w:val="en-GB"/>
              </w:rPr>
              <w:t>770.7</w:t>
            </w:r>
          </w:p>
        </w:tc>
        <w:tc>
          <w:tcPr>
            <w:tcW w:w="1433" w:type="dxa"/>
            <w:vAlign w:val="center"/>
          </w:tcPr>
          <w:p w14:paraId="5F82DA90" w14:textId="5F8B01DD" w:rsidR="00997C92" w:rsidRPr="00AD611D" w:rsidRDefault="00997C92" w:rsidP="00997C92">
            <w:pPr>
              <w:pStyle w:val="SWCText"/>
              <w:spacing w:after="0"/>
              <w:jc w:val="center"/>
              <w:rPr>
                <w:lang w:val="en-GB"/>
              </w:rPr>
            </w:pPr>
            <w:r w:rsidRPr="00AD611D">
              <w:rPr>
                <w:lang w:val="en-GB"/>
              </w:rPr>
              <w:t>0.2</w:t>
            </w:r>
          </w:p>
        </w:tc>
        <w:tc>
          <w:tcPr>
            <w:tcW w:w="1468" w:type="dxa"/>
            <w:vAlign w:val="center"/>
          </w:tcPr>
          <w:p w14:paraId="3A07AA0B" w14:textId="6D87DAFE" w:rsidR="00997C92" w:rsidRPr="00AD611D" w:rsidRDefault="00997C92" w:rsidP="00997C92">
            <w:pPr>
              <w:pStyle w:val="SWCText"/>
              <w:spacing w:after="0"/>
              <w:jc w:val="center"/>
              <w:rPr>
                <w:lang w:val="en-GB"/>
              </w:rPr>
            </w:pPr>
            <w:r w:rsidRPr="00AD611D">
              <w:rPr>
                <w:lang w:val="en-GB"/>
              </w:rPr>
              <w:t>0.969</w:t>
            </w:r>
          </w:p>
        </w:tc>
      </w:tr>
    </w:tbl>
    <w:p w14:paraId="5A520C48" w14:textId="77777777" w:rsidR="00997C92" w:rsidRPr="00AD611D" w:rsidRDefault="00997C92" w:rsidP="000B020C">
      <w:pPr>
        <w:pStyle w:val="SWCText"/>
        <w:rPr>
          <w:lang w:val="en-GB"/>
        </w:rPr>
      </w:pPr>
    </w:p>
    <w:p w14:paraId="68DE59CC" w14:textId="597E38B3" w:rsidR="00D4717A" w:rsidRPr="00AD611D" w:rsidRDefault="006D6A34" w:rsidP="000B020C">
      <w:pPr>
        <w:pStyle w:val="SWCText"/>
        <w:rPr>
          <w:lang w:val="en-GB"/>
        </w:rPr>
      </w:pPr>
      <w:r w:rsidRPr="00AD611D">
        <w:rPr>
          <w:lang w:val="en-GB"/>
        </w:rPr>
        <w:t>The calibrated model reproduces the measured losses at all three aggregation levels with a mean deviation below 0.5 %. The coefficient of determination increases from 0.31 for daily to 0.97 for monthly periods. This is a consequence of the metering resolution rather than of model quality</w:t>
      </w:r>
      <w:r w:rsidR="00F36063" w:rsidRPr="00AD611D">
        <w:rPr>
          <w:lang w:val="en-GB"/>
        </w:rPr>
        <w:t>.</w:t>
      </w:r>
      <w:r w:rsidRPr="00AD611D">
        <w:rPr>
          <w:lang w:val="en-GB"/>
        </w:rPr>
        <w:t xml:space="preserve"> </w:t>
      </w:r>
      <w:r w:rsidR="00F36063" w:rsidRPr="00AD611D">
        <w:rPr>
          <w:lang w:val="en-GB"/>
        </w:rPr>
        <w:t>T</w:t>
      </w:r>
      <w:r w:rsidRPr="00AD611D">
        <w:rPr>
          <w:lang w:val="en-GB"/>
        </w:rPr>
        <w:t>he heat meters record cumulative energy in whole kilowatt-hours, so the quantisation uncertainty of a daily balance is of the same order as the daily loss variation, whereas it becomes negligible over a month. The calibration itself is unaffected, since the quantisation error is zero-mean and does not bias the least-squares estimate.</w:t>
      </w:r>
    </w:p>
    <w:p w14:paraId="41D6368D" w14:textId="79E0A3DC" w:rsidR="009D68C2" w:rsidRPr="00AD611D" w:rsidRDefault="006D6A34" w:rsidP="000B020C">
      <w:pPr>
        <w:pStyle w:val="SWCText"/>
        <w:rPr>
          <w:lang w:val="en-GB"/>
        </w:rPr>
      </w:pPr>
      <w:r w:rsidRPr="00AD611D">
        <w:rPr>
          <w:lang w:val="en-GB"/>
        </w:rPr>
        <w:t xml:space="preserve">The calibration yields an ambient-coupled conductance of </w:t>
      </w:r>
      <w:proofErr w:type="spellStart"/>
      <w:r w:rsidRPr="00AD611D">
        <w:rPr>
          <w:lang w:val="en-GB"/>
        </w:rPr>
        <w:t>χ</w:t>
      </w:r>
      <w:r w:rsidRPr="00AD611D">
        <w:rPr>
          <w:vertAlign w:val="subscript"/>
          <w:lang w:val="en-GB"/>
        </w:rPr>
        <w:t>amb</w:t>
      </w:r>
      <w:proofErr w:type="spellEnd"/>
      <w:r w:rsidRPr="00AD611D">
        <w:rPr>
          <w:lang w:val="en-GB"/>
        </w:rPr>
        <w:t xml:space="preserve"> = </w:t>
      </w:r>
      <w:r w:rsidR="009D68C2" w:rsidRPr="00AD611D">
        <w:rPr>
          <w:lang w:val="en-GB"/>
        </w:rPr>
        <w:t>15.32</w:t>
      </w:r>
      <w:r w:rsidRPr="00AD611D">
        <w:rPr>
          <w:lang w:val="en-GB"/>
        </w:rPr>
        <w:t xml:space="preserve"> W K⁻¹ in addition to the 2.65 W K⁻¹ of the documented pipes outside the thermal envelope, and a residual conductance inside the envelope of </w:t>
      </w:r>
      <w:proofErr w:type="spellStart"/>
      <w:r w:rsidRPr="00AD611D">
        <w:rPr>
          <w:lang w:val="en-GB"/>
        </w:rPr>
        <w:t>χ</w:t>
      </w:r>
      <w:r w:rsidRPr="00AD611D">
        <w:rPr>
          <w:vertAlign w:val="subscript"/>
          <w:lang w:val="en-GB"/>
        </w:rPr>
        <w:t>int</w:t>
      </w:r>
      <w:proofErr w:type="spellEnd"/>
      <w:r w:rsidR="00F36063" w:rsidRPr="00AD611D">
        <w:rPr>
          <w:lang w:val="en-GB"/>
        </w:rPr>
        <w:t> </w:t>
      </w:r>
      <w:r w:rsidRPr="00AD611D">
        <w:rPr>
          <w:lang w:val="en-GB"/>
        </w:rPr>
        <w:t>=</w:t>
      </w:r>
      <w:r w:rsidR="00F36063" w:rsidRPr="00AD611D">
        <w:rPr>
          <w:lang w:val="en-GB"/>
        </w:rPr>
        <w:t> </w:t>
      </w:r>
      <w:r w:rsidR="009D68C2" w:rsidRPr="00AD611D">
        <w:rPr>
          <w:lang w:val="en-GB"/>
        </w:rPr>
        <w:t>8.73</w:t>
      </w:r>
      <w:r w:rsidRPr="00AD611D">
        <w:rPr>
          <w:lang w:val="en-GB"/>
        </w:rPr>
        <w:t xml:space="preserve"> W K⁻¹ in addition to the 16.45 W K⁻¹ of the documented riser pipes. Attributing the internal residual according to the two thermal bridge scenarios yields FWS standby </w:t>
      </w:r>
      <w:proofErr w:type="spellStart"/>
      <w:r w:rsidRPr="00AD611D">
        <w:rPr>
          <w:lang w:val="en-GB"/>
        </w:rPr>
        <w:t>conductances</w:t>
      </w:r>
      <w:proofErr w:type="spellEnd"/>
      <w:r w:rsidRPr="00AD611D">
        <w:rPr>
          <w:lang w:val="en-GB"/>
        </w:rPr>
        <w:t xml:space="preserve"> between </w:t>
      </w:r>
      <w:r w:rsidR="009D68C2" w:rsidRPr="00AD611D">
        <w:rPr>
          <w:lang w:val="en-GB"/>
        </w:rPr>
        <w:t>7.99</w:t>
      </w:r>
      <w:r w:rsidRPr="00AD611D">
        <w:rPr>
          <w:lang w:val="en-GB"/>
        </w:rPr>
        <w:t xml:space="preserve"> and </w:t>
      </w:r>
      <w:r w:rsidR="009D68C2" w:rsidRPr="00AD611D">
        <w:rPr>
          <w:lang w:val="en-GB"/>
        </w:rPr>
        <w:t>17.83 </w:t>
      </w:r>
      <w:r w:rsidRPr="00AD611D">
        <w:rPr>
          <w:lang w:val="en-GB"/>
        </w:rPr>
        <w:t>W</w:t>
      </w:r>
      <w:r w:rsidR="009D68C2" w:rsidRPr="00AD611D">
        <w:rPr>
          <w:lang w:val="en-GB"/>
        </w:rPr>
        <w:t> </w:t>
      </w:r>
      <w:r w:rsidRPr="00AD611D">
        <w:rPr>
          <w:lang w:val="en-GB"/>
        </w:rPr>
        <w:t>K⁻¹ per station</w:t>
      </w:r>
      <w:r w:rsidR="009D68C2" w:rsidRPr="00AD611D">
        <w:rPr>
          <w:lang w:val="en-GB"/>
        </w:rPr>
        <w:t>.</w:t>
      </w:r>
    </w:p>
    <w:p w14:paraId="54B4C508" w14:textId="141F4C8D" w:rsidR="006D6A34" w:rsidRPr="00AD611D" w:rsidRDefault="00402458" w:rsidP="000B020C">
      <w:pPr>
        <w:pStyle w:val="SWCText"/>
        <w:rPr>
          <w:lang w:val="en-GB"/>
        </w:rPr>
      </w:pPr>
      <w:r w:rsidRPr="00AD611D">
        <w:rPr>
          <w:lang w:val="en-GB"/>
        </w:rPr>
        <w:fldChar w:fldCharType="begin"/>
      </w:r>
      <w:r w:rsidRPr="00AD611D">
        <w:rPr>
          <w:lang w:val="en-GB"/>
        </w:rPr>
        <w:instrText xml:space="preserve"> REF _Ref239595578 \h </w:instrText>
      </w:r>
      <w:r w:rsidRPr="00AD611D">
        <w:rPr>
          <w:lang w:val="en-GB"/>
        </w:rPr>
      </w:r>
      <w:r w:rsidRPr="00AD611D">
        <w:rPr>
          <w:lang w:val="en-GB"/>
        </w:rPr>
        <w:fldChar w:fldCharType="separate"/>
      </w:r>
      <w:r w:rsidR="000805D6" w:rsidRPr="00AD611D">
        <w:rPr>
          <w:lang w:val="en-GB"/>
        </w:rPr>
        <w:t xml:space="preserve">Fig. </w:t>
      </w:r>
      <w:r w:rsidR="000805D6">
        <w:rPr>
          <w:noProof/>
          <w:lang w:val="en-GB"/>
        </w:rPr>
        <w:t>5</w:t>
      </w:r>
      <w:r w:rsidRPr="00AD611D">
        <w:rPr>
          <w:lang w:val="en-GB"/>
        </w:rPr>
        <w:fldChar w:fldCharType="end"/>
      </w:r>
      <w:r w:rsidRPr="00AD611D">
        <w:rPr>
          <w:lang w:val="en-GB"/>
        </w:rPr>
        <w:t xml:space="preserve"> </w:t>
      </w:r>
      <w:r w:rsidR="006D6A34" w:rsidRPr="00AD611D">
        <w:rPr>
          <w:lang w:val="en-GB"/>
        </w:rPr>
        <w:t xml:space="preserve">shows the </w:t>
      </w:r>
      <w:r w:rsidR="00B9422F" w:rsidRPr="00AD611D">
        <w:rPr>
          <w:lang w:val="en-GB"/>
        </w:rPr>
        <w:t>breakdown</w:t>
      </w:r>
      <w:r w:rsidR="006D6A34" w:rsidRPr="00AD611D">
        <w:rPr>
          <w:lang w:val="en-GB"/>
        </w:rPr>
        <w:t xml:space="preserve"> of the modelled losses for three winter and three summer months</w:t>
      </w:r>
      <w:r w:rsidR="00B9422F" w:rsidRPr="00AD611D">
        <w:rPr>
          <w:lang w:val="en-GB"/>
        </w:rPr>
        <w:t xml:space="preserve"> of 2026</w:t>
      </w:r>
      <w:r w:rsidR="006D6A34" w:rsidRPr="00AD611D">
        <w:rPr>
          <w:lang w:val="en-GB"/>
        </w:rPr>
        <w:t xml:space="preserve">, at </w:t>
      </w:r>
      <w:r w:rsidR="006D6A34" w:rsidRPr="00AD611D">
        <w:rPr>
          <w:lang w:val="en-GB"/>
        </w:rPr>
        <w:lastRenderedPageBreak/>
        <w:t xml:space="preserve">weekly and monthly resolution, together with the measured values. The contributions inside the thermal envelope are nearly constant throughout the year, whereas the ambient-coupled contribution varies by roughly a factor of </w:t>
      </w:r>
      <w:r w:rsidR="008F0A47" w:rsidRPr="00AD611D">
        <w:rPr>
          <w:lang w:val="en-GB"/>
        </w:rPr>
        <w:t>1.9</w:t>
      </w:r>
      <w:r w:rsidR="006D6A34" w:rsidRPr="00AD611D">
        <w:rPr>
          <w:lang w:val="en-GB"/>
        </w:rPr>
        <w:t xml:space="preserve"> between summer and winter. Averaged over the evaluation period, </w:t>
      </w:r>
      <w:r w:rsidR="00FA5B37" w:rsidRPr="00AD611D">
        <w:rPr>
          <w:lang w:val="en-GB"/>
        </w:rPr>
        <w:t>54</w:t>
      </w:r>
      <w:r w:rsidR="006D6A34" w:rsidRPr="00AD611D">
        <w:rPr>
          <w:lang w:val="en-GB"/>
        </w:rPr>
        <w:t xml:space="preserve"> % of the losses occur outside the thermal envelope.</w:t>
      </w:r>
    </w:p>
    <w:p w14:paraId="7F3560AC" w14:textId="77777777" w:rsidR="00402458" w:rsidRPr="00AD611D" w:rsidRDefault="00145761" w:rsidP="00402458">
      <w:pPr>
        <w:pStyle w:val="SWCText"/>
        <w:keepNext/>
        <w:jc w:val="center"/>
        <w:rPr>
          <w:lang w:val="en-GB"/>
        </w:rPr>
      </w:pPr>
      <w:r w:rsidRPr="00AD611D">
        <w:rPr>
          <w:noProof/>
          <w:lang w:val="en-GB"/>
        </w:rPr>
        <w:drawing>
          <wp:inline distT="0" distB="0" distL="0" distR="0" wp14:anchorId="6A167B7C" wp14:editId="012BDA30">
            <wp:extent cx="5399413" cy="31680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rotWithShape="1">
                    <a:blip r:embed="rId16">
                      <a:extLst>
                        <a:ext uri="{96DAC541-7B7A-43D3-8B79-37D633B846F1}">
                          <asvg:svgBlip xmlns:asvg="http://schemas.microsoft.com/office/drawing/2016/SVG/main" r:embed="rId17"/>
                        </a:ext>
                      </a:extLst>
                    </a:blip>
                    <a:srcRect r="3406"/>
                    <a:stretch/>
                  </pic:blipFill>
                  <pic:spPr bwMode="auto">
                    <a:xfrm>
                      <a:off x="0" y="0"/>
                      <a:ext cx="5399413" cy="3168000"/>
                    </a:xfrm>
                    <a:prstGeom prst="rect">
                      <a:avLst/>
                    </a:prstGeom>
                    <a:ln>
                      <a:noFill/>
                    </a:ln>
                    <a:extLst>
                      <a:ext uri="{53640926-AAD7-44D8-BBD7-CCE9431645EC}">
                        <a14:shadowObscured xmlns:a14="http://schemas.microsoft.com/office/drawing/2010/main"/>
                      </a:ext>
                    </a:extLst>
                  </pic:spPr>
                </pic:pic>
              </a:graphicData>
            </a:graphic>
          </wp:inline>
        </w:drawing>
      </w:r>
    </w:p>
    <w:p w14:paraId="19F0888F" w14:textId="757109FC" w:rsidR="00E05CAD" w:rsidRPr="00AD611D" w:rsidRDefault="00402458" w:rsidP="00402458">
      <w:pPr>
        <w:pStyle w:val="SWCTableFigureCaption"/>
        <w:rPr>
          <w:lang w:val="en-GB"/>
        </w:rPr>
      </w:pPr>
      <w:bookmarkStart w:id="11" w:name="_Ref239595578"/>
      <w:r w:rsidRPr="00AD611D">
        <w:rPr>
          <w:lang w:val="en-GB"/>
        </w:rPr>
        <w:t xml:space="preserve">Fig. </w:t>
      </w:r>
      <w:r w:rsidRPr="00AD611D">
        <w:rPr>
          <w:lang w:val="en-GB"/>
        </w:rPr>
        <w:fldChar w:fldCharType="begin"/>
      </w:r>
      <w:r w:rsidRPr="00AD611D">
        <w:rPr>
          <w:lang w:val="en-GB"/>
        </w:rPr>
        <w:instrText xml:space="preserve"> SEQ Fig. \* ARABIC </w:instrText>
      </w:r>
      <w:r w:rsidRPr="00AD611D">
        <w:rPr>
          <w:lang w:val="en-GB"/>
        </w:rPr>
        <w:fldChar w:fldCharType="separate"/>
      </w:r>
      <w:r w:rsidR="000805D6">
        <w:rPr>
          <w:noProof/>
          <w:lang w:val="en-GB"/>
        </w:rPr>
        <w:t>5</w:t>
      </w:r>
      <w:r w:rsidRPr="00AD611D">
        <w:rPr>
          <w:lang w:val="en-GB"/>
        </w:rPr>
        <w:fldChar w:fldCharType="end"/>
      </w:r>
      <w:bookmarkEnd w:id="11"/>
      <w:r w:rsidRPr="00AD611D">
        <w:rPr>
          <w:lang w:val="en-GB"/>
        </w:rPr>
        <w:t xml:space="preserve"> </w:t>
      </w:r>
      <w:r w:rsidR="009D68C2" w:rsidRPr="00AD611D">
        <w:rPr>
          <w:lang w:val="en-GB"/>
        </w:rPr>
        <w:t>Breakdown</w:t>
      </w:r>
      <w:r w:rsidR="006D6A34" w:rsidRPr="00AD611D">
        <w:rPr>
          <w:lang w:val="en-GB"/>
        </w:rPr>
        <w:t xml:space="preserve"> of the modelled distribution losses of riser shafts C6 &amp; C7 into the fixed pipe </w:t>
      </w:r>
      <w:proofErr w:type="spellStart"/>
      <w:r w:rsidR="006D6A34" w:rsidRPr="00AD611D">
        <w:rPr>
          <w:lang w:val="en-GB"/>
        </w:rPr>
        <w:t>conductances</w:t>
      </w:r>
      <w:proofErr w:type="spellEnd"/>
      <w:r w:rsidR="006D6A34" w:rsidRPr="00AD611D">
        <w:rPr>
          <w:lang w:val="en-GB"/>
        </w:rPr>
        <w:t xml:space="preserve"> and the two calibrated residual </w:t>
      </w:r>
      <w:proofErr w:type="spellStart"/>
      <w:r w:rsidR="006D6A34" w:rsidRPr="00AD611D">
        <w:rPr>
          <w:lang w:val="en-GB"/>
        </w:rPr>
        <w:t>conductances</w:t>
      </w:r>
      <w:proofErr w:type="spellEnd"/>
      <w:r w:rsidR="006D6A34" w:rsidRPr="00AD611D">
        <w:rPr>
          <w:lang w:val="en-GB"/>
        </w:rPr>
        <w:t>, for weekly and monthly periods in winter and summer. Markers show the measured losses from the energy balance.</w:t>
      </w:r>
    </w:p>
    <w:p w14:paraId="42F98090" w14:textId="77777777" w:rsidR="00402458" w:rsidRPr="00AD611D" w:rsidRDefault="00402458" w:rsidP="00402458">
      <w:pPr>
        <w:pStyle w:val="SWCText"/>
        <w:keepNext/>
        <w:jc w:val="center"/>
        <w:rPr>
          <w:lang w:val="en-GB"/>
        </w:rPr>
      </w:pPr>
      <w:r w:rsidRPr="00AD611D">
        <w:rPr>
          <w:noProof/>
          <w:lang w:val="en-GB"/>
        </w:rPr>
        <w:drawing>
          <wp:inline distT="0" distB="0" distL="0" distR="0" wp14:anchorId="006C00AF" wp14:editId="78310851">
            <wp:extent cx="5400000" cy="2385827"/>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rotWithShape="1">
                    <a:blip r:embed="rId18">
                      <a:extLst>
                        <a:ext uri="{96DAC541-7B7A-43D3-8B79-37D633B846F1}">
                          <asvg:svgBlip xmlns:asvg="http://schemas.microsoft.com/office/drawing/2016/SVG/main" r:embed="rId19"/>
                        </a:ext>
                      </a:extLst>
                    </a:blip>
                    <a:srcRect l="5910" r="8398"/>
                    <a:stretch/>
                  </pic:blipFill>
                  <pic:spPr bwMode="auto">
                    <a:xfrm>
                      <a:off x="0" y="0"/>
                      <a:ext cx="5400000" cy="2385827"/>
                    </a:xfrm>
                    <a:prstGeom prst="rect">
                      <a:avLst/>
                    </a:prstGeom>
                    <a:ln>
                      <a:noFill/>
                    </a:ln>
                    <a:extLst>
                      <a:ext uri="{53640926-AAD7-44D8-BBD7-CCE9431645EC}">
                        <a14:shadowObscured xmlns:a14="http://schemas.microsoft.com/office/drawing/2010/main"/>
                      </a:ext>
                    </a:extLst>
                  </pic:spPr>
                </pic:pic>
              </a:graphicData>
            </a:graphic>
          </wp:inline>
        </w:drawing>
      </w:r>
    </w:p>
    <w:p w14:paraId="5C00B6B8" w14:textId="0D9A8E79" w:rsidR="00FA5B37" w:rsidRPr="00AD611D" w:rsidRDefault="00402458" w:rsidP="00402458">
      <w:pPr>
        <w:pStyle w:val="SWCTableFigureCaption"/>
        <w:rPr>
          <w:highlight w:val="yellow"/>
          <w:lang w:val="en-GB"/>
        </w:rPr>
      </w:pPr>
      <w:r w:rsidRPr="00AD611D">
        <w:rPr>
          <w:lang w:val="en-GB"/>
        </w:rPr>
        <w:t xml:space="preserve">Fig. </w:t>
      </w:r>
      <w:r w:rsidRPr="00AD611D">
        <w:rPr>
          <w:lang w:val="en-GB"/>
        </w:rPr>
        <w:fldChar w:fldCharType="begin"/>
      </w:r>
      <w:r w:rsidRPr="00AD611D">
        <w:rPr>
          <w:lang w:val="en-GB"/>
        </w:rPr>
        <w:instrText xml:space="preserve"> SEQ Fig. \* ARABIC </w:instrText>
      </w:r>
      <w:r w:rsidRPr="00AD611D">
        <w:rPr>
          <w:lang w:val="en-GB"/>
        </w:rPr>
        <w:fldChar w:fldCharType="separate"/>
      </w:r>
      <w:r w:rsidR="000805D6">
        <w:rPr>
          <w:noProof/>
          <w:lang w:val="en-GB"/>
        </w:rPr>
        <w:t>6</w:t>
      </w:r>
      <w:r w:rsidRPr="00AD611D">
        <w:rPr>
          <w:lang w:val="en-GB"/>
        </w:rPr>
        <w:fldChar w:fldCharType="end"/>
      </w:r>
      <w:r w:rsidRPr="00AD611D">
        <w:rPr>
          <w:lang w:val="en-GB"/>
        </w:rPr>
        <w:t xml:space="preserve"> Predicted annual distribution losses for the operating scenarios. The data labels show the relative saving to the measured loss of the respective year, for the intermediate thermal bridge scenario.</w:t>
      </w:r>
    </w:p>
    <w:p w14:paraId="24E4CCF3" w14:textId="39DEED3F" w:rsidR="008A0177" w:rsidRPr="00AD611D" w:rsidRDefault="0079080A" w:rsidP="008F72C5">
      <w:pPr>
        <w:pStyle w:val="SWCText"/>
        <w:rPr>
          <w:lang w:val="en-GB"/>
        </w:rPr>
      </w:pPr>
      <w:r w:rsidRPr="00AD611D">
        <w:rPr>
          <w:lang w:val="en-GB"/>
        </w:rPr>
        <w:t xml:space="preserve">Fig. 6 shows the annual distribution losses that the calibrated model predicts for the three </w:t>
      </w:r>
      <w:r>
        <w:rPr>
          <w:lang w:val="en-GB"/>
        </w:rPr>
        <w:t>hypothetical</w:t>
      </w:r>
      <w:r w:rsidRPr="00AD611D">
        <w:rPr>
          <w:lang w:val="en-GB"/>
        </w:rPr>
        <w:t xml:space="preserve"> operating scenarios, together with the measured losses of the same years. </w:t>
      </w:r>
      <w:r w:rsidR="006D6A34" w:rsidRPr="00AD611D">
        <w:rPr>
          <w:lang w:val="en-GB"/>
        </w:rPr>
        <w:t>A bypass return temperature of 30</w:t>
      </w:r>
      <w:r w:rsidR="00A561F8" w:rsidRPr="00AD611D">
        <w:rPr>
          <w:lang w:val="en-GB"/>
        </w:rPr>
        <w:t> °C</w:t>
      </w:r>
      <w:r w:rsidR="006D6A34" w:rsidRPr="00AD611D">
        <w:rPr>
          <w:lang w:val="en-GB"/>
        </w:rPr>
        <w:t xml:space="preserve"> at the unchanged flow temperature of 57</w:t>
      </w:r>
      <w:r w:rsidR="00A561F8" w:rsidRPr="00AD611D">
        <w:rPr>
          <w:lang w:val="en-GB"/>
        </w:rPr>
        <w:t> °C</w:t>
      </w:r>
      <w:r w:rsidR="006D6A34" w:rsidRPr="00AD611D">
        <w:rPr>
          <w:lang w:val="en-GB"/>
        </w:rPr>
        <w:t xml:space="preserve"> would have reduced the annual losses by </w:t>
      </w:r>
      <w:r w:rsidR="001E0F10" w:rsidRPr="00AD611D">
        <w:rPr>
          <w:lang w:val="en-GB"/>
        </w:rPr>
        <w:t>19</w:t>
      </w:r>
      <w:r w:rsidR="006D6A34" w:rsidRPr="00AD611D">
        <w:rPr>
          <w:lang w:val="en-GB"/>
        </w:rPr>
        <w:t xml:space="preserve"> to </w:t>
      </w:r>
      <w:r w:rsidR="001E0F10" w:rsidRPr="00AD611D">
        <w:rPr>
          <w:lang w:val="en-GB"/>
        </w:rPr>
        <w:t>25</w:t>
      </w:r>
      <w:r w:rsidR="006D6A34" w:rsidRPr="00AD611D">
        <w:rPr>
          <w:lang w:val="en-GB"/>
        </w:rPr>
        <w:t xml:space="preserve"> %. Lowering the flow temperature in addition increases the saving to </w:t>
      </w:r>
      <w:r w:rsidR="001E0F10" w:rsidRPr="00AD611D">
        <w:rPr>
          <w:lang w:val="en-GB"/>
        </w:rPr>
        <w:t>23</w:t>
      </w:r>
      <w:r w:rsidR="006D6A34" w:rsidRPr="00AD611D">
        <w:rPr>
          <w:lang w:val="en-GB"/>
        </w:rPr>
        <w:t xml:space="preserve"> to </w:t>
      </w:r>
      <w:r w:rsidR="001E0F10" w:rsidRPr="00AD611D">
        <w:rPr>
          <w:lang w:val="en-GB"/>
        </w:rPr>
        <w:t>30</w:t>
      </w:r>
      <w:r w:rsidR="006D6A34" w:rsidRPr="00AD611D">
        <w:rPr>
          <w:lang w:val="en-GB"/>
        </w:rPr>
        <w:t xml:space="preserve"> % at 54</w:t>
      </w:r>
      <w:r w:rsidR="00A561F8" w:rsidRPr="00AD611D">
        <w:rPr>
          <w:lang w:val="en-GB"/>
        </w:rPr>
        <w:t> °C</w:t>
      </w:r>
      <w:r w:rsidR="006D6A34" w:rsidRPr="00AD611D">
        <w:rPr>
          <w:lang w:val="en-GB"/>
        </w:rPr>
        <w:t xml:space="preserve"> and </w:t>
      </w:r>
      <w:r w:rsidR="001E0F10" w:rsidRPr="00AD611D">
        <w:rPr>
          <w:lang w:val="en-GB"/>
        </w:rPr>
        <w:t>29</w:t>
      </w:r>
      <w:r w:rsidR="006D6A34" w:rsidRPr="00AD611D">
        <w:rPr>
          <w:lang w:val="en-GB"/>
        </w:rPr>
        <w:t xml:space="preserve"> to </w:t>
      </w:r>
      <w:r w:rsidR="001E0F10" w:rsidRPr="00AD611D">
        <w:rPr>
          <w:lang w:val="en-GB"/>
        </w:rPr>
        <w:t>35</w:t>
      </w:r>
      <w:r w:rsidR="006D6A34" w:rsidRPr="00AD611D">
        <w:rPr>
          <w:lang w:val="en-GB"/>
        </w:rPr>
        <w:t xml:space="preserve"> % at 50</w:t>
      </w:r>
      <w:r w:rsidR="00A561F8" w:rsidRPr="00AD611D">
        <w:rPr>
          <w:lang w:val="en-GB"/>
        </w:rPr>
        <w:t> °C</w:t>
      </w:r>
      <w:r w:rsidR="006D6A34" w:rsidRPr="00AD611D">
        <w:rPr>
          <w:lang w:val="en-GB"/>
        </w:rPr>
        <w:t xml:space="preserve">. </w:t>
      </w:r>
      <w:r w:rsidR="001E0F10" w:rsidRPr="00AD611D">
        <w:rPr>
          <w:lang w:val="en-GB"/>
        </w:rPr>
        <w:t>In accordance with VDI 6003, a minimum outlet temperature of 50 °C is recommended for the design of FWS</w:t>
      </w:r>
      <w:r w:rsidR="008F72C5" w:rsidRPr="00AD611D">
        <w:rPr>
          <w:lang w:val="en-GB"/>
        </w:rPr>
        <w:t>, therefore the 50 °C scenario is included to illustrate the sensitivity of the losses rather than as a feasible operating point, since the flow temperature has to exceed the required outlet temperature by the driving temperature difference of the heat exchanger.</w:t>
      </w:r>
      <w:r w:rsidR="006D6A34" w:rsidRPr="00AD611D">
        <w:rPr>
          <w:lang w:val="en-GB"/>
        </w:rPr>
        <w:t xml:space="preserve"> Across all scenarios, between </w:t>
      </w:r>
      <w:r w:rsidR="00FA5B37" w:rsidRPr="00AD611D">
        <w:rPr>
          <w:lang w:val="en-GB"/>
        </w:rPr>
        <w:t>55</w:t>
      </w:r>
      <w:r w:rsidR="006D6A34" w:rsidRPr="00AD611D">
        <w:rPr>
          <w:lang w:val="en-GB"/>
        </w:rPr>
        <w:t xml:space="preserve"> </w:t>
      </w:r>
      <w:r w:rsidR="00B9422F" w:rsidRPr="00AD611D">
        <w:rPr>
          <w:lang w:val="en-GB"/>
        </w:rPr>
        <w:t xml:space="preserve">% </w:t>
      </w:r>
      <w:r w:rsidR="006D6A34" w:rsidRPr="00AD611D">
        <w:rPr>
          <w:lang w:val="en-GB"/>
        </w:rPr>
        <w:t>and 58 % of the losses occur outside the thermal envelope and the share attributable to the FWS ranges from 4 to 11 % depending on the thermal bridge scenario. Both shares are largely insensitive to the supply temperature.</w:t>
      </w:r>
    </w:p>
    <w:p w14:paraId="24BF8F8A" w14:textId="3E8FE461" w:rsidR="00FA5B37" w:rsidRPr="00AD611D" w:rsidRDefault="00FA5B37" w:rsidP="00407E31">
      <w:pPr>
        <w:pStyle w:val="SWCTableFigureCaption"/>
        <w:rPr>
          <w:lang w:val="en-GB"/>
        </w:rPr>
      </w:pPr>
      <w:r w:rsidRPr="00AD611D">
        <w:rPr>
          <w:lang w:val="en-GB"/>
        </w:rPr>
        <w:lastRenderedPageBreak/>
        <w:t xml:space="preserve">Tab.  </w:t>
      </w:r>
      <w:r w:rsidRPr="00AD611D">
        <w:rPr>
          <w:lang w:val="en-GB"/>
        </w:rPr>
        <w:fldChar w:fldCharType="begin"/>
      </w:r>
      <w:r w:rsidRPr="00AD611D">
        <w:rPr>
          <w:lang w:val="en-GB"/>
        </w:rPr>
        <w:instrText xml:space="preserve"> SEQ Tab._ \* ARABIC </w:instrText>
      </w:r>
      <w:r w:rsidRPr="00AD611D">
        <w:rPr>
          <w:lang w:val="en-GB"/>
        </w:rPr>
        <w:fldChar w:fldCharType="separate"/>
      </w:r>
      <w:r w:rsidR="000805D6">
        <w:rPr>
          <w:noProof/>
          <w:lang w:val="en-GB"/>
        </w:rPr>
        <w:t>3</w:t>
      </w:r>
      <w:r w:rsidRPr="00AD611D">
        <w:rPr>
          <w:lang w:val="en-GB"/>
        </w:rPr>
        <w:fldChar w:fldCharType="end"/>
      </w:r>
      <w:r w:rsidR="00B276EC" w:rsidRPr="00AD611D">
        <w:rPr>
          <w:lang w:val="en-GB"/>
        </w:rPr>
        <w:t xml:space="preserve"> </w:t>
      </w:r>
      <w:r w:rsidR="009B7723" w:rsidRPr="00AD611D">
        <w:rPr>
          <w:lang w:val="en-GB"/>
        </w:rPr>
        <w:t xml:space="preserve">Annual distribution losses under three </w:t>
      </w:r>
      <w:r w:rsidR="006140CB">
        <w:rPr>
          <w:lang w:val="en-GB"/>
        </w:rPr>
        <w:t>hypothetical</w:t>
      </w:r>
      <w:r w:rsidR="006140CB" w:rsidRPr="00AD611D">
        <w:rPr>
          <w:lang w:val="en-GB"/>
        </w:rPr>
        <w:t xml:space="preserve"> </w:t>
      </w:r>
      <w:r w:rsidR="009B7723" w:rsidRPr="00AD611D">
        <w:rPr>
          <w:lang w:val="en-GB"/>
        </w:rPr>
        <w:t>operating scenarios, averaged over 2024 and 2025. Ranges indicate the span across the two bounding thermal bridge scenarios.</w:t>
      </w:r>
      <w:r w:rsidR="001E0F10" w:rsidRPr="00AD611D">
        <w:rPr>
          <w:lang w:val="en-GB"/>
        </w:rPr>
        <w:t xml:space="preserve"> </w:t>
      </w:r>
      <w:proofErr w:type="spellStart"/>
      <w:r w:rsidR="001E0F10" w:rsidRPr="00AD611D">
        <w:rPr>
          <w:lang w:val="en-GB"/>
        </w:rPr>
        <w:t>δ</w:t>
      </w:r>
      <w:r w:rsidR="001E0F10" w:rsidRPr="00AD611D">
        <w:rPr>
          <w:vertAlign w:val="subscript"/>
          <w:lang w:val="en-GB"/>
        </w:rPr>
        <w:t>rel</w:t>
      </w:r>
      <w:proofErr w:type="spellEnd"/>
      <w:r w:rsidR="001E0F10" w:rsidRPr="00AD611D">
        <w:rPr>
          <w:lang w:val="en-GB"/>
        </w:rPr>
        <w:t xml:space="preserve"> = (m</w:t>
      </w:r>
      <w:r w:rsidR="00C32812">
        <w:rPr>
          <w:lang w:val="en-GB"/>
        </w:rPr>
        <w:t>easured -</w:t>
      </w:r>
      <w:r w:rsidR="001E0F10" w:rsidRPr="00AD611D">
        <w:rPr>
          <w:lang w:val="en-GB"/>
        </w:rPr>
        <w:t xml:space="preserve"> m</w:t>
      </w:r>
      <w:r w:rsidR="00C32812">
        <w:rPr>
          <w:lang w:val="en-GB"/>
        </w:rPr>
        <w:t>o</w:t>
      </w:r>
      <w:r w:rsidR="001E0F10" w:rsidRPr="00AD611D">
        <w:rPr>
          <w:lang w:val="en-GB"/>
        </w:rPr>
        <w:t>d</w:t>
      </w:r>
      <w:r w:rsidR="00C32812">
        <w:rPr>
          <w:lang w:val="en-GB"/>
        </w:rPr>
        <w:t>el</w:t>
      </w:r>
      <w:r w:rsidR="001E0F10" w:rsidRPr="00AD611D">
        <w:rPr>
          <w:lang w:val="en-GB"/>
        </w:rPr>
        <w:t>) / measured</w:t>
      </w:r>
    </w:p>
    <w:tbl>
      <w:tblPr>
        <w:tblStyle w:val="Tabellenraster"/>
        <w:tblW w:w="876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2"/>
        <w:gridCol w:w="1887"/>
        <w:gridCol w:w="1887"/>
        <w:gridCol w:w="1887"/>
        <w:gridCol w:w="1888"/>
      </w:tblGrid>
      <w:tr w:rsidR="006D6A34" w:rsidRPr="00AD611D" w14:paraId="1526F489" w14:textId="79C2D653" w:rsidTr="00407E31">
        <w:trPr>
          <w:trHeight w:val="737"/>
        </w:trPr>
        <w:tc>
          <w:tcPr>
            <w:tcW w:w="1212" w:type="dxa"/>
            <w:tcBorders>
              <w:top w:val="single" w:sz="4" w:space="0" w:color="auto"/>
              <w:bottom w:val="single" w:sz="4" w:space="0" w:color="auto"/>
            </w:tcBorders>
            <w:vAlign w:val="center"/>
          </w:tcPr>
          <w:p w14:paraId="32DC03C2" w14:textId="7E726696" w:rsidR="006D6A34" w:rsidRPr="00AD611D" w:rsidRDefault="00000000" w:rsidP="00407E31">
            <w:pPr>
              <w:pStyle w:val="EuroSunText"/>
              <w:spacing w:after="0"/>
              <w:jc w:val="center"/>
              <w:rPr>
                <w:highlight w:val="yellow"/>
                <w:lang w:val="en-GB"/>
              </w:rPr>
            </w:pPr>
            <m:oMathPara>
              <m:oMath>
                <m:sSub>
                  <m:sSubPr>
                    <m:ctrlPr>
                      <w:rPr>
                        <w:rFonts w:ascii="Cambria Math" w:hAnsi="Cambria Math"/>
                        <w:i/>
                        <w:lang w:val="en-GB"/>
                      </w:rPr>
                    </m:ctrlPr>
                  </m:sSubPr>
                  <m:e>
                    <m:r>
                      <w:rPr>
                        <w:rFonts w:ascii="Cambria Math" w:hAnsi="Cambria Math"/>
                        <w:lang w:val="en-GB"/>
                      </w:rPr>
                      <m:t>ϑ</m:t>
                    </m:r>
                  </m:e>
                  <m:sub>
                    <m:r>
                      <w:rPr>
                        <w:rFonts w:ascii="Cambria Math" w:hAnsi="Cambria Math"/>
                        <w:lang w:val="en-GB"/>
                      </w:rPr>
                      <m:t>f</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ϑ</m:t>
                    </m:r>
                  </m:e>
                  <m:sub>
                    <m:r>
                      <w:rPr>
                        <w:rFonts w:ascii="Cambria Math" w:hAnsi="Cambria Math"/>
                        <w:lang w:val="en-GB"/>
                      </w:rPr>
                      <m:t>r</m:t>
                    </m:r>
                  </m:sub>
                </m:sSub>
                <m:r>
                  <m:rPr>
                    <m:sty m:val="p"/>
                  </m:rPr>
                  <w:rPr>
                    <w:lang w:val="en-GB"/>
                  </w:rPr>
                  <w:br/>
                </m:r>
              </m:oMath>
            </m:oMathPara>
            <w:r w:rsidR="00FA5B37" w:rsidRPr="00AD611D">
              <w:rPr>
                <w:lang w:val="en-GB"/>
              </w:rPr>
              <w:t xml:space="preserve"> [°C]</w:t>
            </w:r>
          </w:p>
        </w:tc>
        <w:tc>
          <w:tcPr>
            <w:tcW w:w="1887" w:type="dxa"/>
            <w:tcBorders>
              <w:top w:val="single" w:sz="4" w:space="0" w:color="auto"/>
              <w:bottom w:val="single" w:sz="4" w:space="0" w:color="auto"/>
            </w:tcBorders>
            <w:vAlign w:val="center"/>
          </w:tcPr>
          <w:p w14:paraId="3D88F1B5" w14:textId="2DBD5537" w:rsidR="006D6A34" w:rsidRPr="00AD611D" w:rsidRDefault="00FA5B37" w:rsidP="00407E31">
            <w:pPr>
              <w:pStyle w:val="EuroSunText"/>
              <w:spacing w:after="0"/>
              <w:jc w:val="center"/>
              <w:rPr>
                <w:highlight w:val="yellow"/>
                <w:lang w:val="en-GB"/>
              </w:rPr>
            </w:pPr>
            <w:r w:rsidRPr="00AD611D">
              <w:rPr>
                <w:lang w:val="en-GB"/>
              </w:rPr>
              <w:t xml:space="preserve">annual </w:t>
            </w:r>
            <m:oMath>
              <m:sSubSup>
                <m:sSubSupPr>
                  <m:ctrlPr>
                    <w:rPr>
                      <w:rFonts w:ascii="Cambria Math" w:hAnsi="Cambria Math"/>
                      <w:i/>
                      <w:lang w:val="en-GB"/>
                    </w:rPr>
                  </m:ctrlPr>
                </m:sSubSupPr>
                <m:e>
                  <m:r>
                    <w:rPr>
                      <w:rFonts w:ascii="Cambria Math" w:hAnsi="Cambria Math"/>
                      <w:lang w:val="en-GB"/>
                    </w:rPr>
                    <m:t>Q</m:t>
                  </m:r>
                </m:e>
                <m:sub>
                  <m:r>
                    <m:rPr>
                      <m:nor/>
                    </m:rPr>
                    <w:rPr>
                      <w:rFonts w:ascii="Cambria Math" w:hAnsi="Cambria Math"/>
                      <w:lang w:val="en-GB"/>
                    </w:rPr>
                    <m:t>loss</m:t>
                  </m:r>
                </m:sub>
                <m:sup>
                  <m:r>
                    <m:rPr>
                      <m:nor/>
                    </m:rPr>
                    <w:rPr>
                      <w:rFonts w:ascii="Cambria Math" w:hAnsi="Cambria Math"/>
                      <w:lang w:val="en-GB"/>
                    </w:rPr>
                    <m:t>model</m:t>
                  </m:r>
                </m:sup>
              </m:sSubSup>
            </m:oMath>
            <w:r w:rsidRPr="00AD611D">
              <w:rPr>
                <w:lang w:val="en-GB"/>
              </w:rPr>
              <w:t xml:space="preserve"> </w:t>
            </w:r>
            <w:r w:rsidRPr="00AD611D">
              <w:rPr>
                <w:lang w:val="en-GB"/>
              </w:rPr>
              <w:br/>
              <w:t>[kWh]</w:t>
            </w:r>
          </w:p>
        </w:tc>
        <w:tc>
          <w:tcPr>
            <w:tcW w:w="1887" w:type="dxa"/>
            <w:tcBorders>
              <w:top w:val="single" w:sz="4" w:space="0" w:color="auto"/>
              <w:bottom w:val="single" w:sz="4" w:space="0" w:color="auto"/>
            </w:tcBorders>
            <w:vAlign w:val="center"/>
          </w:tcPr>
          <w:p w14:paraId="49AD8A7D" w14:textId="24A8A778" w:rsidR="006D6A34" w:rsidRPr="00AD611D" w:rsidRDefault="00000000" w:rsidP="00407E31">
            <w:pPr>
              <w:pStyle w:val="EuroSunText"/>
              <w:spacing w:after="0"/>
              <w:jc w:val="center"/>
              <w:rPr>
                <w:highlight w:val="yellow"/>
                <w:lang w:val="en-GB"/>
              </w:rPr>
            </w:pPr>
            <m:oMath>
              <m:sSub>
                <m:sSubPr>
                  <m:ctrlPr>
                    <w:rPr>
                      <w:rFonts w:ascii="Cambria Math" w:hAnsi="Cambria Math"/>
                      <w:i/>
                      <w:lang w:val="en-GB"/>
                    </w:rPr>
                  </m:ctrlPr>
                </m:sSubPr>
                <m:e>
                  <m:r>
                    <w:rPr>
                      <w:rFonts w:ascii="Cambria Math" w:hAnsi="Cambria Math"/>
                      <w:lang w:val="en-GB"/>
                    </w:rPr>
                    <m:t>δ</m:t>
                  </m:r>
                </m:e>
                <m:sub>
                  <m:r>
                    <w:rPr>
                      <w:rFonts w:ascii="Cambria Math" w:hAnsi="Cambria Math"/>
                      <w:lang w:val="en-GB"/>
                    </w:rPr>
                    <m:t>rel</m:t>
                  </m:r>
                </m:sub>
              </m:sSub>
            </m:oMath>
            <w:r w:rsidR="00FA5B37" w:rsidRPr="00AD611D">
              <w:rPr>
                <w:lang w:val="en-GB"/>
              </w:rPr>
              <w:t xml:space="preserve"> </w:t>
            </w:r>
            <w:r w:rsidR="00FA5B37" w:rsidRPr="00AD611D">
              <w:rPr>
                <w:lang w:val="en-GB"/>
              </w:rPr>
              <w:br/>
              <w:t xml:space="preserve"> [%]</w:t>
            </w:r>
          </w:p>
        </w:tc>
        <w:tc>
          <w:tcPr>
            <w:tcW w:w="1887" w:type="dxa"/>
            <w:tcBorders>
              <w:top w:val="single" w:sz="4" w:space="0" w:color="auto"/>
              <w:bottom w:val="single" w:sz="4" w:space="0" w:color="auto"/>
            </w:tcBorders>
            <w:vAlign w:val="center"/>
          </w:tcPr>
          <w:p w14:paraId="21A6C02B" w14:textId="29B5C398" w:rsidR="006D6A34" w:rsidRPr="00AD611D" w:rsidRDefault="00000000" w:rsidP="00407E31">
            <w:pPr>
              <w:pStyle w:val="EuroSunText"/>
              <w:spacing w:after="0"/>
              <w:jc w:val="center"/>
              <w:rPr>
                <w:highlight w:val="yellow"/>
                <w:lang w:val="en-GB"/>
              </w:rPr>
            </w:pPr>
            <m:oMath>
              <m:sSub>
                <m:sSubPr>
                  <m:ctrlPr>
                    <w:rPr>
                      <w:rFonts w:ascii="Cambria Math" w:hAnsi="Cambria Math"/>
                      <w:i/>
                      <w:lang w:val="en-GB"/>
                    </w:rPr>
                  </m:ctrlPr>
                </m:sSubPr>
                <m:e>
                  <m:r>
                    <w:rPr>
                      <w:rFonts w:ascii="Cambria Math" w:hAnsi="Cambria Math"/>
                      <w:lang w:val="en-GB"/>
                    </w:rPr>
                    <m:t>Q</m:t>
                  </m:r>
                </m:e>
                <m:sub>
                  <m:r>
                    <w:rPr>
                      <w:rFonts w:ascii="Cambria Math" w:hAnsi="Cambria Math"/>
                      <w:lang w:val="en-GB"/>
                    </w:rPr>
                    <m:t>amb</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Q</m:t>
                  </m:r>
                </m:e>
                <m:sub>
                  <m:r>
                    <w:rPr>
                      <w:rFonts w:ascii="Cambria Math" w:hAnsi="Cambria Math"/>
                      <w:lang w:val="en-GB"/>
                    </w:rPr>
                    <m:t>loss</m:t>
                  </m:r>
                </m:sub>
              </m:sSub>
            </m:oMath>
            <w:r w:rsidR="00FA5B37" w:rsidRPr="00AD611D">
              <w:rPr>
                <w:lang w:val="en-GB"/>
              </w:rPr>
              <w:t xml:space="preserve"> </w:t>
            </w:r>
            <w:r w:rsidR="00FA5B37" w:rsidRPr="00AD611D">
              <w:rPr>
                <w:lang w:val="en-GB"/>
              </w:rPr>
              <w:br/>
              <w:t xml:space="preserve"> [%]</w:t>
            </w:r>
          </w:p>
        </w:tc>
        <w:tc>
          <w:tcPr>
            <w:tcW w:w="1888" w:type="dxa"/>
            <w:tcBorders>
              <w:top w:val="single" w:sz="4" w:space="0" w:color="auto"/>
              <w:bottom w:val="single" w:sz="4" w:space="0" w:color="auto"/>
            </w:tcBorders>
            <w:vAlign w:val="center"/>
          </w:tcPr>
          <w:p w14:paraId="42A535B3" w14:textId="479DBB1C" w:rsidR="006D6A34" w:rsidRPr="00AD611D" w:rsidRDefault="00000000" w:rsidP="00407E31">
            <w:pPr>
              <w:pStyle w:val="EuroSunText"/>
              <w:spacing w:after="0"/>
              <w:jc w:val="center"/>
              <w:rPr>
                <w:lang w:val="en-GB"/>
              </w:rPr>
            </w:pPr>
            <m:oMath>
              <m:sSub>
                <m:sSubPr>
                  <m:ctrlPr>
                    <w:rPr>
                      <w:rFonts w:ascii="Cambria Math" w:hAnsi="Cambria Math"/>
                      <w:i/>
                      <w:lang w:val="en-GB"/>
                    </w:rPr>
                  </m:ctrlPr>
                </m:sSubPr>
                <m:e>
                  <m:r>
                    <w:rPr>
                      <w:rFonts w:ascii="Cambria Math" w:hAnsi="Cambria Math"/>
                      <w:lang w:val="en-GB"/>
                    </w:rPr>
                    <m:t>Q</m:t>
                  </m:r>
                </m:e>
                <m:sub>
                  <m:r>
                    <w:rPr>
                      <w:rFonts w:ascii="Cambria Math" w:hAnsi="Cambria Math"/>
                      <w:lang w:val="en-GB"/>
                    </w:rPr>
                    <m:t>FWS</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Q</m:t>
                  </m:r>
                </m:e>
                <m:sub>
                  <m:r>
                    <w:rPr>
                      <w:rFonts w:ascii="Cambria Math" w:hAnsi="Cambria Math"/>
                      <w:lang w:val="en-GB"/>
                    </w:rPr>
                    <m:t>loss</m:t>
                  </m:r>
                </m:sub>
              </m:sSub>
            </m:oMath>
            <w:r w:rsidR="00FA5B37" w:rsidRPr="00AD611D">
              <w:rPr>
                <w:lang w:val="en-GB"/>
              </w:rPr>
              <w:t xml:space="preserve"> </w:t>
            </w:r>
            <w:r w:rsidR="00FA5B37" w:rsidRPr="00AD611D">
              <w:rPr>
                <w:lang w:val="en-GB"/>
              </w:rPr>
              <w:br/>
              <w:t xml:space="preserve"> [%]</w:t>
            </w:r>
          </w:p>
        </w:tc>
      </w:tr>
      <w:tr w:rsidR="009B7723" w:rsidRPr="00AD611D" w14:paraId="54E43FE0" w14:textId="5709DE21" w:rsidTr="00987348">
        <w:trPr>
          <w:trHeight w:val="454"/>
        </w:trPr>
        <w:tc>
          <w:tcPr>
            <w:tcW w:w="1212" w:type="dxa"/>
            <w:tcBorders>
              <w:top w:val="single" w:sz="4" w:space="0" w:color="auto"/>
            </w:tcBorders>
            <w:vAlign w:val="center"/>
          </w:tcPr>
          <w:p w14:paraId="127FE71E" w14:textId="49636828" w:rsidR="009B7723" w:rsidRPr="00AD611D" w:rsidRDefault="009B7723" w:rsidP="00407E31">
            <w:pPr>
              <w:pStyle w:val="EuroSunText"/>
              <w:spacing w:after="0"/>
              <w:jc w:val="center"/>
              <w:rPr>
                <w:highlight w:val="yellow"/>
                <w:lang w:val="en-GB"/>
              </w:rPr>
            </w:pPr>
            <w:r w:rsidRPr="00AD611D">
              <w:rPr>
                <w:lang w:val="en-GB"/>
              </w:rPr>
              <w:t>57 / 30</w:t>
            </w:r>
          </w:p>
        </w:tc>
        <w:tc>
          <w:tcPr>
            <w:tcW w:w="1887" w:type="dxa"/>
            <w:tcBorders>
              <w:top w:val="single" w:sz="4" w:space="0" w:color="auto"/>
            </w:tcBorders>
            <w:vAlign w:val="center"/>
          </w:tcPr>
          <w:p w14:paraId="4FD217FB" w14:textId="5EC6E36C" w:rsidR="009B7723" w:rsidRPr="00AD611D" w:rsidRDefault="009B7723" w:rsidP="00407E31">
            <w:pPr>
              <w:pStyle w:val="EuroSunText"/>
              <w:spacing w:after="0"/>
              <w:jc w:val="center"/>
              <w:rPr>
                <w:highlight w:val="yellow"/>
                <w:lang w:val="en-GB"/>
              </w:rPr>
            </w:pPr>
            <w:r w:rsidRPr="00AD611D">
              <w:rPr>
                <w:lang w:val="en-GB"/>
              </w:rPr>
              <w:t>8691</w:t>
            </w:r>
          </w:p>
        </w:tc>
        <w:tc>
          <w:tcPr>
            <w:tcW w:w="1887" w:type="dxa"/>
            <w:tcBorders>
              <w:top w:val="single" w:sz="4" w:space="0" w:color="auto"/>
            </w:tcBorders>
            <w:vAlign w:val="center"/>
          </w:tcPr>
          <w:p w14:paraId="49EEC6DC" w14:textId="3A89509F" w:rsidR="009B7723" w:rsidRPr="00AD611D" w:rsidRDefault="009B7723" w:rsidP="00407E31">
            <w:pPr>
              <w:pStyle w:val="EuroSunText"/>
              <w:spacing w:after="0"/>
              <w:jc w:val="center"/>
              <w:rPr>
                <w:highlight w:val="yellow"/>
                <w:lang w:val="en-GB"/>
              </w:rPr>
            </w:pPr>
            <w:r w:rsidRPr="00AD611D">
              <w:rPr>
                <w:lang w:val="en-GB"/>
              </w:rPr>
              <w:t xml:space="preserve">20.9 </w:t>
            </w:r>
            <w:r w:rsidR="00446D24">
              <w:rPr>
                <w:lang w:val="en-GB"/>
              </w:rPr>
              <w:t>to</w:t>
            </w:r>
            <w:r w:rsidRPr="00AD611D">
              <w:rPr>
                <w:lang w:val="en-GB"/>
              </w:rPr>
              <w:t xml:space="preserve"> 23.2</w:t>
            </w:r>
          </w:p>
        </w:tc>
        <w:tc>
          <w:tcPr>
            <w:tcW w:w="1887" w:type="dxa"/>
            <w:tcBorders>
              <w:top w:val="single" w:sz="4" w:space="0" w:color="auto"/>
            </w:tcBorders>
            <w:vAlign w:val="center"/>
          </w:tcPr>
          <w:p w14:paraId="684FB51E" w14:textId="70A4FF57" w:rsidR="009B7723" w:rsidRPr="00AD611D" w:rsidRDefault="009B7723" w:rsidP="00407E31">
            <w:pPr>
              <w:pStyle w:val="EuroSunText"/>
              <w:spacing w:after="0"/>
              <w:jc w:val="center"/>
              <w:rPr>
                <w:highlight w:val="yellow"/>
                <w:lang w:val="en-GB"/>
              </w:rPr>
            </w:pPr>
            <w:r w:rsidRPr="00AD611D">
              <w:rPr>
                <w:lang w:val="en-GB"/>
              </w:rPr>
              <w:t xml:space="preserve">55.4 </w:t>
            </w:r>
            <w:r w:rsidR="00446D24">
              <w:rPr>
                <w:lang w:val="en-GB"/>
              </w:rPr>
              <w:t>to</w:t>
            </w:r>
            <w:r w:rsidRPr="00AD611D">
              <w:rPr>
                <w:lang w:val="en-GB"/>
              </w:rPr>
              <w:t xml:space="preserve"> 57.0</w:t>
            </w:r>
          </w:p>
        </w:tc>
        <w:tc>
          <w:tcPr>
            <w:tcW w:w="1888" w:type="dxa"/>
            <w:tcBorders>
              <w:top w:val="single" w:sz="4" w:space="0" w:color="auto"/>
            </w:tcBorders>
            <w:vAlign w:val="center"/>
          </w:tcPr>
          <w:p w14:paraId="309B8A7B" w14:textId="474A9498" w:rsidR="009B7723" w:rsidRPr="00AD611D" w:rsidRDefault="009B7723" w:rsidP="00407E31">
            <w:pPr>
              <w:pStyle w:val="EuroSunText"/>
              <w:spacing w:after="0"/>
              <w:jc w:val="center"/>
              <w:rPr>
                <w:lang w:val="en-GB"/>
              </w:rPr>
            </w:pPr>
            <w:r w:rsidRPr="00AD611D">
              <w:rPr>
                <w:lang w:val="en-GB"/>
              </w:rPr>
              <w:t xml:space="preserve">4.2 </w:t>
            </w:r>
            <w:r w:rsidR="00446D24">
              <w:rPr>
                <w:lang w:val="en-GB"/>
              </w:rPr>
              <w:t>to</w:t>
            </w:r>
            <w:r w:rsidRPr="00AD611D">
              <w:rPr>
                <w:lang w:val="en-GB"/>
              </w:rPr>
              <w:t xml:space="preserve"> 9.6</w:t>
            </w:r>
          </w:p>
        </w:tc>
      </w:tr>
      <w:tr w:rsidR="009B7723" w:rsidRPr="00AD611D" w14:paraId="66379C5B" w14:textId="5A1C5923" w:rsidTr="00987348">
        <w:trPr>
          <w:trHeight w:val="454"/>
        </w:trPr>
        <w:tc>
          <w:tcPr>
            <w:tcW w:w="1212" w:type="dxa"/>
            <w:vAlign w:val="center"/>
          </w:tcPr>
          <w:p w14:paraId="53735781" w14:textId="004DF2AC" w:rsidR="009B7723" w:rsidRPr="00AD611D" w:rsidRDefault="009B7723" w:rsidP="00407E31">
            <w:pPr>
              <w:pStyle w:val="EuroSunText"/>
              <w:spacing w:after="0"/>
              <w:jc w:val="center"/>
              <w:rPr>
                <w:highlight w:val="yellow"/>
                <w:lang w:val="en-GB"/>
              </w:rPr>
            </w:pPr>
            <w:r w:rsidRPr="00AD611D">
              <w:rPr>
                <w:lang w:val="en-GB"/>
              </w:rPr>
              <w:t>54 / 30</w:t>
            </w:r>
          </w:p>
        </w:tc>
        <w:tc>
          <w:tcPr>
            <w:tcW w:w="1887" w:type="dxa"/>
            <w:vAlign w:val="center"/>
          </w:tcPr>
          <w:p w14:paraId="0AF0D59F" w14:textId="0ED4BED3" w:rsidR="009B7723" w:rsidRPr="00AD611D" w:rsidRDefault="009B7723" w:rsidP="00407E31">
            <w:pPr>
              <w:pStyle w:val="EuroSunText"/>
              <w:spacing w:after="0"/>
              <w:jc w:val="center"/>
              <w:rPr>
                <w:highlight w:val="yellow"/>
                <w:lang w:val="en-GB"/>
              </w:rPr>
            </w:pPr>
            <w:r w:rsidRPr="00AD611D">
              <w:rPr>
                <w:lang w:val="en-GB"/>
              </w:rPr>
              <w:t>8198</w:t>
            </w:r>
          </w:p>
        </w:tc>
        <w:tc>
          <w:tcPr>
            <w:tcW w:w="1887" w:type="dxa"/>
            <w:vAlign w:val="center"/>
          </w:tcPr>
          <w:p w14:paraId="543FDB80" w14:textId="2A8B5F55" w:rsidR="009B7723" w:rsidRPr="00AD611D" w:rsidRDefault="009B7723" w:rsidP="00407E31">
            <w:pPr>
              <w:pStyle w:val="EuroSunText"/>
              <w:spacing w:after="0"/>
              <w:jc w:val="center"/>
              <w:rPr>
                <w:highlight w:val="yellow"/>
                <w:lang w:val="en-GB"/>
              </w:rPr>
            </w:pPr>
            <w:r w:rsidRPr="00AD611D">
              <w:rPr>
                <w:lang w:val="en-GB"/>
              </w:rPr>
              <w:t xml:space="preserve">25.6 </w:t>
            </w:r>
            <w:r w:rsidR="00446D24">
              <w:rPr>
                <w:lang w:val="en-GB"/>
              </w:rPr>
              <w:t>to</w:t>
            </w:r>
            <w:r w:rsidRPr="00AD611D">
              <w:rPr>
                <w:lang w:val="en-GB"/>
              </w:rPr>
              <w:t xml:space="preserve"> 27.4</w:t>
            </w:r>
          </w:p>
        </w:tc>
        <w:tc>
          <w:tcPr>
            <w:tcW w:w="1887" w:type="dxa"/>
            <w:vAlign w:val="center"/>
          </w:tcPr>
          <w:p w14:paraId="30D493D2" w14:textId="7BD5623B" w:rsidR="009B7723" w:rsidRPr="00AD611D" w:rsidRDefault="009B7723" w:rsidP="00407E31">
            <w:pPr>
              <w:pStyle w:val="EuroSunText"/>
              <w:spacing w:after="0"/>
              <w:jc w:val="center"/>
              <w:rPr>
                <w:highlight w:val="yellow"/>
                <w:lang w:val="en-GB"/>
              </w:rPr>
            </w:pPr>
            <w:r w:rsidRPr="00AD611D">
              <w:rPr>
                <w:lang w:val="en-GB"/>
              </w:rPr>
              <w:t xml:space="preserve">56.0 </w:t>
            </w:r>
            <w:r w:rsidR="00446D24">
              <w:rPr>
                <w:lang w:val="en-GB"/>
              </w:rPr>
              <w:t>to</w:t>
            </w:r>
            <w:r w:rsidRPr="00AD611D">
              <w:rPr>
                <w:lang w:val="en-GB"/>
              </w:rPr>
              <w:t xml:space="preserve"> 57.4</w:t>
            </w:r>
          </w:p>
        </w:tc>
        <w:tc>
          <w:tcPr>
            <w:tcW w:w="1888" w:type="dxa"/>
            <w:vAlign w:val="center"/>
          </w:tcPr>
          <w:p w14:paraId="0C94865C" w14:textId="2C65E353" w:rsidR="009B7723" w:rsidRPr="00AD611D" w:rsidRDefault="009B7723" w:rsidP="00407E31">
            <w:pPr>
              <w:pStyle w:val="EuroSunText"/>
              <w:spacing w:after="0"/>
              <w:jc w:val="center"/>
              <w:rPr>
                <w:lang w:val="en-GB"/>
              </w:rPr>
            </w:pPr>
            <w:r w:rsidRPr="00AD611D">
              <w:rPr>
                <w:lang w:val="en-GB"/>
              </w:rPr>
              <w:t xml:space="preserve">4.4 </w:t>
            </w:r>
            <w:r w:rsidR="00446D24">
              <w:rPr>
                <w:lang w:val="en-GB"/>
              </w:rPr>
              <w:t>to</w:t>
            </w:r>
            <w:r w:rsidRPr="00AD611D">
              <w:rPr>
                <w:lang w:val="en-GB"/>
              </w:rPr>
              <w:t xml:space="preserve"> 10.2</w:t>
            </w:r>
          </w:p>
        </w:tc>
      </w:tr>
      <w:tr w:rsidR="009B7723" w:rsidRPr="00AD611D" w14:paraId="24FC4C6F" w14:textId="77777777" w:rsidTr="00987348">
        <w:trPr>
          <w:trHeight w:val="454"/>
        </w:trPr>
        <w:tc>
          <w:tcPr>
            <w:tcW w:w="1212" w:type="dxa"/>
            <w:vAlign w:val="center"/>
          </w:tcPr>
          <w:p w14:paraId="7E196654" w14:textId="521810EB" w:rsidR="009B7723" w:rsidRPr="00AD611D" w:rsidRDefault="009B7723" w:rsidP="00407E31">
            <w:pPr>
              <w:pStyle w:val="EuroSunText"/>
              <w:spacing w:after="0"/>
              <w:jc w:val="center"/>
              <w:rPr>
                <w:lang w:val="en-GB"/>
              </w:rPr>
            </w:pPr>
            <w:r w:rsidRPr="00AD611D">
              <w:rPr>
                <w:lang w:val="en-GB"/>
              </w:rPr>
              <w:t>50 / 30</w:t>
            </w:r>
          </w:p>
        </w:tc>
        <w:tc>
          <w:tcPr>
            <w:tcW w:w="1887" w:type="dxa"/>
            <w:vAlign w:val="center"/>
          </w:tcPr>
          <w:p w14:paraId="2F779EA6" w14:textId="21934100" w:rsidR="009B7723" w:rsidRPr="00AD611D" w:rsidRDefault="009B7723" w:rsidP="00407E31">
            <w:pPr>
              <w:pStyle w:val="EuroSunText"/>
              <w:spacing w:after="0"/>
              <w:jc w:val="center"/>
              <w:rPr>
                <w:lang w:val="en-GB"/>
              </w:rPr>
            </w:pPr>
            <w:r w:rsidRPr="00AD611D">
              <w:rPr>
                <w:lang w:val="en-GB"/>
              </w:rPr>
              <w:t>7540</w:t>
            </w:r>
          </w:p>
        </w:tc>
        <w:tc>
          <w:tcPr>
            <w:tcW w:w="1887" w:type="dxa"/>
            <w:vAlign w:val="center"/>
          </w:tcPr>
          <w:p w14:paraId="1B0E2325" w14:textId="57DD09DA" w:rsidR="009B7723" w:rsidRPr="00AD611D" w:rsidRDefault="009B7723" w:rsidP="00407E31">
            <w:pPr>
              <w:pStyle w:val="EuroSunText"/>
              <w:spacing w:after="0"/>
              <w:jc w:val="center"/>
              <w:rPr>
                <w:lang w:val="en-GB"/>
              </w:rPr>
            </w:pPr>
            <w:r w:rsidRPr="00AD611D">
              <w:rPr>
                <w:lang w:val="en-GB"/>
              </w:rPr>
              <w:t xml:space="preserve">31.9 </w:t>
            </w:r>
            <w:r w:rsidR="00446D24">
              <w:rPr>
                <w:lang w:val="en-GB"/>
              </w:rPr>
              <w:t>to</w:t>
            </w:r>
            <w:r w:rsidR="00446D24" w:rsidRPr="00AD611D">
              <w:rPr>
                <w:lang w:val="en-GB"/>
              </w:rPr>
              <w:t xml:space="preserve"> </w:t>
            </w:r>
            <w:r w:rsidRPr="00AD611D">
              <w:rPr>
                <w:lang w:val="en-GB"/>
              </w:rPr>
              <w:t>32.9</w:t>
            </w:r>
          </w:p>
        </w:tc>
        <w:tc>
          <w:tcPr>
            <w:tcW w:w="1887" w:type="dxa"/>
            <w:vAlign w:val="center"/>
          </w:tcPr>
          <w:p w14:paraId="0866F7F2" w14:textId="23302A17" w:rsidR="009B7723" w:rsidRPr="00AD611D" w:rsidRDefault="009B7723" w:rsidP="00407E31">
            <w:pPr>
              <w:pStyle w:val="EuroSunText"/>
              <w:spacing w:after="0"/>
              <w:jc w:val="center"/>
              <w:rPr>
                <w:lang w:val="en-GB"/>
              </w:rPr>
            </w:pPr>
            <w:r w:rsidRPr="00AD611D">
              <w:rPr>
                <w:lang w:val="en-GB"/>
              </w:rPr>
              <w:t xml:space="preserve">57.0 </w:t>
            </w:r>
            <w:r w:rsidR="00446D24">
              <w:rPr>
                <w:lang w:val="en-GB"/>
              </w:rPr>
              <w:t>to</w:t>
            </w:r>
            <w:r w:rsidRPr="00AD611D">
              <w:rPr>
                <w:lang w:val="en-GB"/>
              </w:rPr>
              <w:t xml:space="preserve"> 58.0</w:t>
            </w:r>
          </w:p>
        </w:tc>
        <w:tc>
          <w:tcPr>
            <w:tcW w:w="1888" w:type="dxa"/>
            <w:vAlign w:val="center"/>
          </w:tcPr>
          <w:p w14:paraId="7142A68C" w14:textId="79EB6510" w:rsidR="009B7723" w:rsidRPr="00AD611D" w:rsidRDefault="009B7723" w:rsidP="00407E31">
            <w:pPr>
              <w:pStyle w:val="EuroSunText"/>
              <w:spacing w:after="0"/>
              <w:jc w:val="center"/>
              <w:rPr>
                <w:lang w:val="en-GB"/>
              </w:rPr>
            </w:pPr>
            <w:r w:rsidRPr="00AD611D">
              <w:rPr>
                <w:lang w:val="en-GB"/>
              </w:rPr>
              <w:t xml:space="preserve">4.8 </w:t>
            </w:r>
            <w:r w:rsidR="00446D24">
              <w:rPr>
                <w:lang w:val="en-GB"/>
              </w:rPr>
              <w:t>to</w:t>
            </w:r>
            <w:r w:rsidRPr="00AD611D">
              <w:rPr>
                <w:lang w:val="en-GB"/>
              </w:rPr>
              <w:t xml:space="preserve"> 11.0</w:t>
            </w:r>
          </w:p>
        </w:tc>
      </w:tr>
    </w:tbl>
    <w:p w14:paraId="28A7B811" w14:textId="77777777" w:rsidR="00145761" w:rsidRPr="00376D79" w:rsidRDefault="00145761" w:rsidP="00A15CA0">
      <w:pPr>
        <w:pStyle w:val="EuroSunText"/>
        <w:spacing w:after="0"/>
        <w:rPr>
          <w:lang w:val="en-GB"/>
        </w:rPr>
      </w:pPr>
    </w:p>
    <w:bookmarkEnd w:id="3"/>
    <w:p w14:paraId="0E12A4F4" w14:textId="6E20BE93" w:rsidR="00C96C78" w:rsidRPr="00376D79" w:rsidRDefault="006D6A34" w:rsidP="00521BEF">
      <w:pPr>
        <w:pStyle w:val="EuroSunText"/>
        <w:rPr>
          <w:lang w:val="en-GB"/>
        </w:rPr>
      </w:pPr>
      <w:r w:rsidRPr="00376D79">
        <w:rPr>
          <w:lang w:val="en-GB"/>
        </w:rPr>
        <w:t xml:space="preserve">The losses occurring inside the thermal envelope act as an internal gain. During the cooling season (June to September) they </w:t>
      </w:r>
      <w:r w:rsidR="006A7C8A">
        <w:rPr>
          <w:lang w:val="en-GB"/>
        </w:rPr>
        <w:t>accounted</w:t>
      </w:r>
      <w:r w:rsidRPr="00376D79">
        <w:rPr>
          <w:lang w:val="en-GB"/>
        </w:rPr>
        <w:t xml:space="preserve"> to </w:t>
      </w:r>
      <w:r w:rsidR="00A84402" w:rsidRPr="00376D79">
        <w:rPr>
          <w:lang w:val="en-GB"/>
        </w:rPr>
        <w:t xml:space="preserve">1.75 – 2.05 </w:t>
      </w:r>
      <w:r w:rsidRPr="00376D79">
        <w:rPr>
          <w:lang w:val="en-GB"/>
        </w:rPr>
        <w:t>kWh</w:t>
      </w:r>
      <w:r w:rsidR="00A84402" w:rsidRPr="00376D79">
        <w:rPr>
          <w:lang w:val="en-GB"/>
        </w:rPr>
        <w:t xml:space="preserve"> m</w:t>
      </w:r>
      <w:r w:rsidR="00A84402" w:rsidRPr="00376D79">
        <w:rPr>
          <w:vertAlign w:val="superscript"/>
          <w:lang w:val="en-GB"/>
        </w:rPr>
        <w:t>-</w:t>
      </w:r>
      <w:r w:rsidR="00A84402" w:rsidRPr="00376D79">
        <w:rPr>
          <w:lang w:val="en-GB"/>
        </w:rPr>
        <w:t>²</w:t>
      </w:r>
      <w:r w:rsidR="00376D79" w:rsidRPr="00376D79">
        <w:rPr>
          <w:lang w:val="en-GB"/>
        </w:rPr>
        <w:t xml:space="preserve"> </w:t>
      </w:r>
      <w:r w:rsidRPr="00376D79">
        <w:rPr>
          <w:lang w:val="en-GB"/>
        </w:rPr>
        <w:t>over the reference area of 618.9 m² of the twelve apartments</w:t>
      </w:r>
      <w:r w:rsidR="006A7C8A">
        <w:rPr>
          <w:lang w:val="en-GB"/>
        </w:rPr>
        <w:t xml:space="preserve"> (54 – 57°C scenario)</w:t>
      </w:r>
      <w:r w:rsidRPr="00376D79">
        <w:rPr>
          <w:lang w:val="en-GB"/>
        </w:rPr>
        <w:t>.</w:t>
      </w:r>
    </w:p>
    <w:p w14:paraId="087AA85E" w14:textId="7DAD98D4" w:rsidR="00E67204" w:rsidRPr="00AD611D" w:rsidRDefault="006D6A34" w:rsidP="006D6A34">
      <w:pPr>
        <w:pStyle w:val="SWCHeading1"/>
        <w:rPr>
          <w:lang w:val="en-GB"/>
        </w:rPr>
      </w:pPr>
      <w:r w:rsidRPr="00AD611D">
        <w:rPr>
          <w:lang w:val="en-GB"/>
        </w:rPr>
        <w:t>Discussion</w:t>
      </w:r>
    </w:p>
    <w:p w14:paraId="5CD644C5" w14:textId="51442B53" w:rsidR="00BE3551" w:rsidRPr="00BE3551" w:rsidRDefault="00BE3551" w:rsidP="00BE3551">
      <w:pPr>
        <w:pStyle w:val="EuroSunText"/>
        <w:rPr>
          <w:lang w:val="en-GB"/>
        </w:rPr>
      </w:pPr>
      <w:r w:rsidRPr="00BE3551">
        <w:rPr>
          <w:lang w:val="en-GB"/>
        </w:rPr>
        <w:t>The monitoring results show that the DHW distribution losses were strongly influenced by the bypass operation of the FWS. While the supply temperature remained largely constant at about 57 °C and was later reduced to 54 °C, the return temperature and the circulation volume flow increased over time</w:t>
      </w:r>
      <w:r w:rsidR="003E081F" w:rsidRPr="00AD611D">
        <w:rPr>
          <w:lang w:val="en-GB"/>
        </w:rPr>
        <w:t>.</w:t>
      </w:r>
      <w:r w:rsidRPr="00BE3551">
        <w:rPr>
          <w:lang w:val="en-GB"/>
        </w:rPr>
        <w:t xml:space="preserve"> </w:t>
      </w:r>
      <w:r w:rsidR="003E081F" w:rsidRPr="00AD611D">
        <w:rPr>
          <w:lang w:val="en-GB"/>
        </w:rPr>
        <w:t xml:space="preserve">As seen in </w:t>
      </w:r>
      <w:r w:rsidR="003E081F" w:rsidRPr="00AD611D">
        <w:rPr>
          <w:lang w:val="en-GB"/>
        </w:rPr>
        <w:fldChar w:fldCharType="begin"/>
      </w:r>
      <w:r w:rsidR="003E081F" w:rsidRPr="00AD611D">
        <w:rPr>
          <w:lang w:val="en-GB"/>
        </w:rPr>
        <w:instrText xml:space="preserve"> REF _Ref239173795 \h </w:instrText>
      </w:r>
      <w:r w:rsidR="003E081F" w:rsidRPr="00AD611D">
        <w:rPr>
          <w:lang w:val="en-GB"/>
        </w:rPr>
      </w:r>
      <w:r w:rsidR="003E081F" w:rsidRPr="00AD611D">
        <w:rPr>
          <w:lang w:val="en-GB"/>
        </w:rPr>
        <w:fldChar w:fldCharType="separate"/>
      </w:r>
      <w:r w:rsidR="000805D6" w:rsidRPr="00AD611D">
        <w:rPr>
          <w:lang w:val="en-GB"/>
        </w:rPr>
        <w:t xml:space="preserve">Fig. </w:t>
      </w:r>
      <w:r w:rsidR="000805D6">
        <w:rPr>
          <w:noProof/>
          <w:lang w:val="en-GB"/>
        </w:rPr>
        <w:t>2</w:t>
      </w:r>
      <w:r w:rsidR="003E081F" w:rsidRPr="00AD611D">
        <w:rPr>
          <w:lang w:val="en-GB"/>
        </w:rPr>
        <w:fldChar w:fldCharType="end"/>
      </w:r>
      <w:r w:rsidR="003E081F" w:rsidRPr="00AD611D">
        <w:rPr>
          <w:lang w:val="en-GB"/>
        </w:rPr>
        <w:t>, a</w:t>
      </w:r>
      <w:r w:rsidRPr="00BE3551">
        <w:rPr>
          <w:lang w:val="en-GB"/>
        </w:rPr>
        <w:t>t HM6, the return temperature rose from about 43.5 °C to 46.6 °C and the volume flow from 0.74 to 0.98 m³ h⁻¹ between 07.2023 and 07.202</w:t>
      </w:r>
      <w:r w:rsidRPr="00AD611D">
        <w:rPr>
          <w:lang w:val="en-GB"/>
        </w:rPr>
        <w:t>5</w:t>
      </w:r>
      <w:r w:rsidRPr="00BE3551">
        <w:rPr>
          <w:lang w:val="en-GB"/>
        </w:rPr>
        <w:t>. The comparison between full-day and nightly filtered data confirms that the selected nightly window isolates bypass-dominated operation sufficiently well for this interpretation. This behaviour is consistent with the hydraulic configuration of the system</w:t>
      </w:r>
      <w:r w:rsidRPr="00AD611D">
        <w:rPr>
          <w:lang w:val="en-GB"/>
        </w:rPr>
        <w:t>.</w:t>
      </w:r>
      <w:r w:rsidRPr="00BE3551">
        <w:rPr>
          <w:lang w:val="en-GB"/>
        </w:rPr>
        <w:t xml:space="preserve"> </w:t>
      </w:r>
      <w:r w:rsidRPr="00AD611D">
        <w:rPr>
          <w:lang w:val="en-GB"/>
        </w:rPr>
        <w:t>U</w:t>
      </w:r>
      <w:r w:rsidRPr="00BE3551">
        <w:rPr>
          <w:lang w:val="en-GB"/>
        </w:rPr>
        <w:t xml:space="preserve">nder constant differential pressure, the thermostatic bypass valves regulate towards a preset return temperature by adjusting the bypass flow. Consequently, a drift of bypass settings is not necessarily visible as a distinct local temperature </w:t>
      </w:r>
      <w:r w:rsidR="003E081F" w:rsidRPr="00AD611D">
        <w:rPr>
          <w:lang w:val="en-GB"/>
        </w:rPr>
        <w:t>anomaly but</w:t>
      </w:r>
      <w:r w:rsidRPr="00BE3551">
        <w:rPr>
          <w:lang w:val="en-GB"/>
        </w:rPr>
        <w:t xml:space="preserve"> manifests itself as a gradual increase in both circulation flow and return temperature. This also shows that temperature measurements alone are insufficient to infer riser-level losses, since the volume flow carries essential information on the heat losses sustained by the bypass operation</w:t>
      </w:r>
      <w:r w:rsidRPr="00AD611D">
        <w:rPr>
          <w:lang w:val="en-GB"/>
        </w:rPr>
        <w:t>.</w:t>
      </w:r>
    </w:p>
    <w:p w14:paraId="231922FE" w14:textId="04337CDE" w:rsidR="00BE3551" w:rsidRPr="00BE3551" w:rsidRDefault="00BE3551" w:rsidP="00BE3551">
      <w:pPr>
        <w:pStyle w:val="EuroSunText"/>
        <w:rPr>
          <w:lang w:val="en-GB"/>
        </w:rPr>
      </w:pPr>
      <w:r w:rsidRPr="00BE3551">
        <w:rPr>
          <w:lang w:val="en-GB"/>
        </w:rPr>
        <w:t>The interventions support this interpretation and demonstrate the relevance of local FWS settings for system-level performance. During the first intervention, the bypass setpoint had been reduced in eleven of the twelve apartments supplied by risers C6 and C7</w:t>
      </w:r>
      <w:r w:rsidRPr="00AD611D">
        <w:rPr>
          <w:lang w:val="en-GB"/>
        </w:rPr>
        <w:t>.</w:t>
      </w:r>
      <w:r w:rsidRPr="00BE3551">
        <w:rPr>
          <w:lang w:val="en-GB"/>
        </w:rPr>
        <w:t xml:space="preserve"> </w:t>
      </w:r>
      <w:r w:rsidRPr="00AD611D">
        <w:rPr>
          <w:lang w:val="en-GB"/>
        </w:rPr>
        <w:t>T</w:t>
      </w:r>
      <w:r w:rsidRPr="00BE3551">
        <w:rPr>
          <w:lang w:val="en-GB"/>
        </w:rPr>
        <w:t>he remaining station on C6 was adjusted later. Comparing the sub-period means before and after this second intervention, the return temperature at C6 decreased by 8.3 K, while C7 increased by 1.1 K over the same period</w:t>
      </w:r>
      <w:r w:rsidR="003E081F" w:rsidRPr="00AD611D">
        <w:rPr>
          <w:lang w:val="en-GB"/>
        </w:rPr>
        <w:t xml:space="preserve"> (</w:t>
      </w:r>
      <w:r w:rsidR="003E081F" w:rsidRPr="00AD611D">
        <w:rPr>
          <w:lang w:val="en-GB"/>
        </w:rPr>
        <w:fldChar w:fldCharType="begin"/>
      </w:r>
      <w:r w:rsidR="003E081F" w:rsidRPr="00AD611D">
        <w:rPr>
          <w:lang w:val="en-GB"/>
        </w:rPr>
        <w:instrText xml:space="preserve"> REF _Ref239532084 \h </w:instrText>
      </w:r>
      <w:r w:rsidR="003E081F" w:rsidRPr="00AD611D">
        <w:rPr>
          <w:lang w:val="en-GB"/>
        </w:rPr>
      </w:r>
      <w:r w:rsidR="003E081F" w:rsidRPr="00AD611D">
        <w:rPr>
          <w:lang w:val="en-GB"/>
        </w:rPr>
        <w:fldChar w:fldCharType="separate"/>
      </w:r>
      <w:r w:rsidR="000805D6" w:rsidRPr="00AD611D">
        <w:rPr>
          <w:lang w:val="en-GB"/>
        </w:rPr>
        <w:t xml:space="preserve">Fig. </w:t>
      </w:r>
      <w:r w:rsidR="000805D6">
        <w:rPr>
          <w:noProof/>
          <w:lang w:val="en-GB"/>
        </w:rPr>
        <w:t>3</w:t>
      </w:r>
      <w:r w:rsidR="003E081F" w:rsidRPr="00AD611D">
        <w:rPr>
          <w:lang w:val="en-GB"/>
        </w:rPr>
        <w:fldChar w:fldCharType="end"/>
      </w:r>
      <w:r w:rsidR="003E081F" w:rsidRPr="00AD611D">
        <w:rPr>
          <w:lang w:val="en-GB"/>
        </w:rPr>
        <w:t>)</w:t>
      </w:r>
      <w:r w:rsidRPr="00BE3551">
        <w:rPr>
          <w:lang w:val="en-GB"/>
        </w:rPr>
        <w:t>. Since settings in other risers of Buildings C and D were adapted during the same visit, the response at C7 must be interpreted as part of the modified hydraulic conditions of the wider network rather than as an isolated effect of the single station on C6. Overall, the measurements indicate that a small number of incorrectly commissioned or drifting bypass valves can be sufficient to affect the performance of an entire riser group. This has direct implications for fault detection</w:t>
      </w:r>
      <w:r w:rsidRPr="00AD611D">
        <w:rPr>
          <w:lang w:val="en-GB"/>
        </w:rPr>
        <w:t>.</w:t>
      </w:r>
      <w:r w:rsidRPr="00BE3551">
        <w:rPr>
          <w:lang w:val="en-GB"/>
        </w:rPr>
        <w:t xml:space="preserve"> </w:t>
      </w:r>
      <w:r w:rsidRPr="00AD611D">
        <w:rPr>
          <w:lang w:val="en-GB"/>
        </w:rPr>
        <w:t>A</w:t>
      </w:r>
      <w:r w:rsidRPr="00BE3551">
        <w:rPr>
          <w:lang w:val="en-GB"/>
        </w:rPr>
        <w:t xml:space="preserve"> central measurement point can indicate that the system is drifting, but it cannot localise the responsible FWS or distinguish whether all valves drift gradually or only a few valves fail substantially</w:t>
      </w:r>
      <w:r w:rsidRPr="00AD611D">
        <w:rPr>
          <w:lang w:val="en-GB"/>
        </w:rPr>
        <w:t>.</w:t>
      </w:r>
    </w:p>
    <w:p w14:paraId="1660338E" w14:textId="02B3ACA7" w:rsidR="00BE3551" w:rsidRPr="00BE3551" w:rsidRDefault="00BE3551" w:rsidP="00BE3551">
      <w:pPr>
        <w:pStyle w:val="EuroSunText"/>
        <w:rPr>
          <w:lang w:val="en-GB"/>
        </w:rPr>
      </w:pPr>
      <w:r w:rsidRPr="00BE3551">
        <w:rPr>
          <w:lang w:val="en-GB"/>
        </w:rPr>
        <w:t xml:space="preserve">The grey-box model provides a structured way to connect these operational observations with the measured energy losses. The measured losses of the riser group were obtained from an energy balance across HM6 and HM7 and the apartment-level FWS meters, so the total loss determination is independent of the model assumptions. In contrast to a purely empirical fit, the model keeps the documented pipe geometry and pipe </w:t>
      </w:r>
      <w:proofErr w:type="spellStart"/>
      <w:r w:rsidRPr="00BE3551">
        <w:rPr>
          <w:lang w:val="en-GB"/>
        </w:rPr>
        <w:t>conductances</w:t>
      </w:r>
      <w:proofErr w:type="spellEnd"/>
      <w:r w:rsidRPr="00BE3551">
        <w:rPr>
          <w:lang w:val="en-GB"/>
        </w:rPr>
        <w:t xml:space="preserve"> fixed and calibrates only two physically interpretable residual </w:t>
      </w:r>
      <w:proofErr w:type="spellStart"/>
      <w:r w:rsidRPr="00BE3551">
        <w:rPr>
          <w:lang w:val="en-GB"/>
        </w:rPr>
        <w:t>conductances</w:t>
      </w:r>
      <w:proofErr w:type="spellEnd"/>
      <w:r w:rsidR="003E081F" w:rsidRPr="00AD611D">
        <w:rPr>
          <w:lang w:val="en-GB"/>
        </w:rPr>
        <w:t>.</w:t>
      </w:r>
      <w:r w:rsidRPr="00BE3551">
        <w:rPr>
          <w:lang w:val="en-GB"/>
        </w:rPr>
        <w:t xml:space="preserve"> </w:t>
      </w:r>
      <w:r w:rsidR="003E081F" w:rsidRPr="00AD611D">
        <w:rPr>
          <w:lang w:val="en-GB"/>
        </w:rPr>
        <w:t>O</w:t>
      </w:r>
      <w:r w:rsidRPr="00BE3551">
        <w:rPr>
          <w:lang w:val="en-GB"/>
        </w:rPr>
        <w:t xml:space="preserve">ne coupled to the storage-room temperature outside the thermal </w:t>
      </w:r>
      <w:r w:rsidR="003E081F" w:rsidRPr="00AD611D">
        <w:rPr>
          <w:lang w:val="en-GB"/>
        </w:rPr>
        <w:t>envelope,</w:t>
      </w:r>
      <w:r w:rsidRPr="00BE3551">
        <w:rPr>
          <w:lang w:val="en-GB"/>
        </w:rPr>
        <w:t xml:space="preserve"> and one coupled to the indoor temperature inside the thermal envelope. This limits regression freedom and makes the plausibility of the calibrated </w:t>
      </w:r>
      <w:proofErr w:type="spellStart"/>
      <w:r w:rsidRPr="00BE3551">
        <w:rPr>
          <w:lang w:val="en-GB"/>
        </w:rPr>
        <w:t>conductances</w:t>
      </w:r>
      <w:proofErr w:type="spellEnd"/>
      <w:r w:rsidRPr="00BE3551">
        <w:rPr>
          <w:lang w:val="en-GB"/>
        </w:rPr>
        <w:t xml:space="preserve"> more important than the fit alone. The calibrated model reproduced the measured losses with a mean deviation below 0.5 % across the evaluated aggregation levels</w:t>
      </w:r>
      <w:r w:rsidR="003E081F" w:rsidRPr="00AD611D">
        <w:rPr>
          <w:lang w:val="en-GB"/>
        </w:rPr>
        <w:t>.</w:t>
      </w:r>
      <w:r w:rsidRPr="00BE3551">
        <w:rPr>
          <w:lang w:val="en-GB"/>
        </w:rPr>
        <w:t xml:space="preserve"> </w:t>
      </w:r>
      <w:r w:rsidR="003E081F" w:rsidRPr="00AD611D">
        <w:rPr>
          <w:lang w:val="en-GB"/>
        </w:rPr>
        <w:t>A</w:t>
      </w:r>
      <w:r w:rsidRPr="00BE3551">
        <w:rPr>
          <w:lang w:val="en-GB"/>
        </w:rPr>
        <w:t>t monthly resolution, the coefficient of determination reached 0.969</w:t>
      </w:r>
      <w:r w:rsidR="003E081F" w:rsidRPr="00AD611D">
        <w:rPr>
          <w:lang w:val="en-GB"/>
        </w:rPr>
        <w:t xml:space="preserve"> (</w:t>
      </w:r>
      <w:r w:rsidR="003E081F" w:rsidRPr="00AD611D">
        <w:rPr>
          <w:lang w:val="en-GB"/>
        </w:rPr>
        <w:fldChar w:fldCharType="begin"/>
      </w:r>
      <w:r w:rsidR="003E081F" w:rsidRPr="00AD611D">
        <w:rPr>
          <w:lang w:val="en-GB"/>
        </w:rPr>
        <w:instrText xml:space="preserve"> REF _Ref239665488 \h </w:instrText>
      </w:r>
      <w:r w:rsidR="003E081F" w:rsidRPr="00AD611D">
        <w:rPr>
          <w:lang w:val="en-GB"/>
        </w:rPr>
      </w:r>
      <w:r w:rsidR="003E081F" w:rsidRPr="00AD611D">
        <w:rPr>
          <w:lang w:val="en-GB"/>
        </w:rPr>
        <w:fldChar w:fldCharType="separate"/>
      </w:r>
      <w:r w:rsidR="000805D6" w:rsidRPr="00AD611D">
        <w:rPr>
          <w:lang w:val="en-GB"/>
        </w:rPr>
        <w:t xml:space="preserve">Tab. </w:t>
      </w:r>
      <w:r w:rsidR="000805D6">
        <w:rPr>
          <w:noProof/>
          <w:lang w:val="en-GB"/>
        </w:rPr>
        <w:t>2</w:t>
      </w:r>
      <w:r w:rsidR="003E081F" w:rsidRPr="00AD611D">
        <w:rPr>
          <w:lang w:val="en-GB"/>
        </w:rPr>
        <w:fldChar w:fldCharType="end"/>
      </w:r>
      <w:r w:rsidR="003E081F" w:rsidRPr="00AD611D">
        <w:rPr>
          <w:lang w:val="en-GB"/>
        </w:rPr>
        <w:t>)</w:t>
      </w:r>
      <w:r w:rsidRPr="00BE3551">
        <w:rPr>
          <w:lang w:val="en-GB"/>
        </w:rPr>
        <w:t>. The lower coefficient of determination at daily resolution should therefore not be overinterpreted as a model deficiency, since it is mainly caused by the heat meter resolution and the resulting quantisation uncertainty.</w:t>
      </w:r>
    </w:p>
    <w:p w14:paraId="03A69ACB" w14:textId="654E76AD" w:rsidR="00BE3551" w:rsidRPr="00BE3551" w:rsidRDefault="00BE3551" w:rsidP="00BE3551">
      <w:pPr>
        <w:pStyle w:val="EuroSunText"/>
        <w:rPr>
          <w:lang w:val="en-GB"/>
        </w:rPr>
      </w:pPr>
      <w:r w:rsidRPr="00BE3551">
        <w:rPr>
          <w:lang w:val="en-GB"/>
        </w:rPr>
        <w:lastRenderedPageBreak/>
        <w:t xml:space="preserve">The attribution of losses to individual components is more uncertain than the total measured loss. The calibrated ambient-coupled conductance exceeds the value expected from the documented pipe geometry, which suggests additional heat losses or thermal bridges in the storage-room zone. Plausible contributions include </w:t>
      </w:r>
      <w:r w:rsidR="002B10CF" w:rsidRPr="00AD611D">
        <w:rPr>
          <w:lang w:val="en-GB"/>
        </w:rPr>
        <w:t xml:space="preserve">the </w:t>
      </w:r>
      <w:r w:rsidRPr="00BE3551">
        <w:rPr>
          <w:lang w:val="en-GB"/>
        </w:rPr>
        <w:t>uninsulated heat meters, shut-off valves and fittings, as well as thermal coupling at the base of the riser shafts, where the shaft construction may connect parts of the nominally internal system to the storage-room air. Inside the thermal envelope, the residual conductance combines two contributions that cannot be separated directly by the available measurements</w:t>
      </w:r>
      <w:r w:rsidR="00F9109A">
        <w:rPr>
          <w:lang w:val="en-GB"/>
        </w:rPr>
        <w:t>,</w:t>
      </w:r>
      <w:r w:rsidRPr="00BE3551">
        <w:rPr>
          <w:lang w:val="en-GB"/>
        </w:rPr>
        <w:t xml:space="preserve"> </w:t>
      </w:r>
      <w:r w:rsidR="00F9109A">
        <w:rPr>
          <w:lang w:val="en-GB"/>
        </w:rPr>
        <w:t>t</w:t>
      </w:r>
      <w:r w:rsidRPr="00BE3551">
        <w:rPr>
          <w:lang w:val="en-GB"/>
        </w:rPr>
        <w:t>hermal bridges of the riser shafts and standby losses of the FWS. Since both contributions are driven by temperature differences that remain nearly constant over the year, their separation depends on the assumed thermal bridge scenarios and should be interpreted as a plausible attribution range rather than as measurement uncertainty. This also confirms the practical limitation of applying simplified PHPP-based thermal bridge estimates to extended DHW distribution networks in multi-apartment buildings, where the present results suggest that such approaches may underestimate the actual thermal bridge contribution considerably.</w:t>
      </w:r>
    </w:p>
    <w:p w14:paraId="298D06CF" w14:textId="37F72256" w:rsidR="00BE3551" w:rsidRPr="00BE3551" w:rsidRDefault="00BE3551" w:rsidP="00BE3551">
      <w:pPr>
        <w:pStyle w:val="EuroSunText"/>
        <w:rPr>
          <w:lang w:val="en-GB"/>
        </w:rPr>
      </w:pPr>
      <w:r w:rsidRPr="00BE3551">
        <w:rPr>
          <w:lang w:val="en-GB"/>
        </w:rPr>
        <w:t xml:space="preserve">From an operational perspective, the </w:t>
      </w:r>
      <w:r w:rsidR="00F9109A">
        <w:rPr>
          <w:lang w:val="en-GB"/>
        </w:rPr>
        <w:t>hypothetical</w:t>
      </w:r>
      <w:r w:rsidR="00F9109A" w:rsidRPr="00BE3551">
        <w:rPr>
          <w:lang w:val="en-GB"/>
        </w:rPr>
        <w:t xml:space="preserve"> </w:t>
      </w:r>
      <w:r w:rsidRPr="00BE3551">
        <w:rPr>
          <w:lang w:val="en-GB"/>
        </w:rPr>
        <w:t>scenarios show that correcting the bypass return temperature is a relevant optimisation measure even without changes to the heat supply. A bypass return temperature of 30 °C at an unchanged flow temperature of 57 °C would have reduced the annual distribution losses by 19 to 25 % in the analysed years. Combining the same return temperature with a lower flow temperature further increases the predicted savings to 23 to 30 % at 54 °C and 29 to 35 % at 50 °C. The 50 °C scenario should, however, be read primarily as a sensitivity case, since a minimum outlet temperature of 50 °C is recommended for the design of FWS and the supply temperature must exceed this value by the driving temperature difference of the heat exchanger</w:t>
      </w:r>
      <w:r w:rsidR="00CE688E" w:rsidRPr="00AD611D">
        <w:rPr>
          <w:lang w:val="en-GB"/>
        </w:rPr>
        <w:t>.</w:t>
      </w:r>
      <w:r w:rsidRPr="00BE3551">
        <w:rPr>
          <w:lang w:val="en-GB"/>
        </w:rPr>
        <w:t xml:space="preserve"> Across the </w:t>
      </w:r>
      <w:r w:rsidR="00F9109A">
        <w:rPr>
          <w:lang w:val="en-GB"/>
        </w:rPr>
        <w:t>hypothetical</w:t>
      </w:r>
      <w:r w:rsidR="00F9109A" w:rsidRPr="00BE3551">
        <w:rPr>
          <w:lang w:val="en-GB"/>
        </w:rPr>
        <w:t xml:space="preserve"> </w:t>
      </w:r>
      <w:r w:rsidRPr="00BE3551">
        <w:rPr>
          <w:lang w:val="en-GB"/>
        </w:rPr>
        <w:t>scenarios, 55 to 58 % of the losses occur outside the thermal envelope, while the share attributed to the FWS ranges from 4 to 11 %, depending on the thermal bridge scenario. This underlines that both the ambient-coupled distribution sections and the local FWS/bypass operation have to be considered when assessing the efficiency of DHW distribution systems.</w:t>
      </w:r>
    </w:p>
    <w:p w14:paraId="224AFB5B" w14:textId="29EF9CCB" w:rsidR="00BE3551" w:rsidRPr="00BE3551" w:rsidRDefault="00BE3551" w:rsidP="00BE3551">
      <w:pPr>
        <w:pStyle w:val="EuroSunText"/>
        <w:rPr>
          <w:lang w:val="en-GB"/>
        </w:rPr>
      </w:pPr>
      <w:r w:rsidRPr="00BE3551">
        <w:rPr>
          <w:lang w:val="en-GB"/>
        </w:rPr>
        <w:t xml:space="preserve">The changes in tapping behaviour after the interventions do not indicate a clear comfort problem, but the available data only allow a limited assessment of transient effects. The wider scatter of the flow temperature after the interventions occurs mainly at low thermal power, i.e. during short draw-offs and heat-up phases, where the temperature level is less critical than during longer draw-offs such as showering. In addition, no complaints were reported </w:t>
      </w:r>
      <w:r w:rsidR="002B10CF" w:rsidRPr="00AD611D">
        <w:rPr>
          <w:lang w:val="en-GB"/>
        </w:rPr>
        <w:t>since the interventions</w:t>
      </w:r>
      <w:r w:rsidRPr="00BE3551">
        <w:rPr>
          <w:lang w:val="en-GB"/>
        </w:rPr>
        <w:t>, including the period with a flow temperature of 54</w:t>
      </w:r>
      <w:r w:rsidR="00CE688E" w:rsidRPr="00AD611D">
        <w:rPr>
          <w:lang w:val="en-GB"/>
        </w:rPr>
        <w:t> </w:t>
      </w:r>
      <w:r w:rsidRPr="00BE3551">
        <w:rPr>
          <w:lang w:val="en-GB"/>
        </w:rPr>
        <w:t>°C. Nevertheless, the temporal resolution of the apartment heat meters limits any quantitative assessment of heat-up times and short tapping events</w:t>
      </w:r>
      <w:r w:rsidR="00A15CA0">
        <w:rPr>
          <w:lang w:val="en-GB"/>
        </w:rPr>
        <w:t>.</w:t>
      </w:r>
      <w:r w:rsidRPr="00BE3551">
        <w:rPr>
          <w:lang w:val="en-GB"/>
        </w:rPr>
        <w:t xml:space="preserve"> Therefore, the results support the feasibility of lowering bypass return temperatures, but they do not replace a dedicated transient comfort analysis.</w:t>
      </w:r>
    </w:p>
    <w:p w14:paraId="6EEE8D87" w14:textId="0ECA69AC" w:rsidR="00BE3551" w:rsidRPr="00BE3551" w:rsidRDefault="00BE3551" w:rsidP="00BE3551">
      <w:pPr>
        <w:pStyle w:val="EuroSunText"/>
        <w:rPr>
          <w:lang w:val="en-GB"/>
        </w:rPr>
      </w:pPr>
      <w:r w:rsidRPr="00BE3551">
        <w:rPr>
          <w:lang w:val="en-GB"/>
        </w:rPr>
        <w:t xml:space="preserve">Several limitations should be considered when interpreting the results. First, the detailed model calibration and validation focus on riser group C6 &amp; C7, which was selected because it has short distribution pipe sections outside the thermal envelope, comparatively low uncertainty in pipe lengths and two heat meters directly enclosing the investigated branch. This strengthens the internal consistency of the case study, but limits the direct transferability of the calibrated </w:t>
      </w:r>
      <w:proofErr w:type="spellStart"/>
      <w:r w:rsidRPr="00BE3551">
        <w:rPr>
          <w:lang w:val="en-GB"/>
        </w:rPr>
        <w:t>conductances</w:t>
      </w:r>
      <w:proofErr w:type="spellEnd"/>
      <w:r w:rsidRPr="00BE3551">
        <w:rPr>
          <w:lang w:val="en-GB"/>
        </w:rPr>
        <w:t xml:space="preserve"> to risers or buildings with different layouts. Second, the apartment heat meters record cumulative energy in whole kilowatt-hours and are not synchronised with the distribution meters</w:t>
      </w:r>
      <w:r w:rsidR="00CE688E" w:rsidRPr="00AD611D">
        <w:rPr>
          <w:lang w:val="en-GB"/>
        </w:rPr>
        <w:t>.</w:t>
      </w:r>
      <w:r w:rsidRPr="00BE3551">
        <w:rPr>
          <w:lang w:val="en-GB"/>
        </w:rPr>
        <w:t xml:space="preserve"> </w:t>
      </w:r>
      <w:r w:rsidR="00CE688E" w:rsidRPr="00AD611D">
        <w:rPr>
          <w:lang w:val="en-GB"/>
        </w:rPr>
        <w:t>A</w:t>
      </w:r>
      <w:r w:rsidRPr="00BE3551">
        <w:rPr>
          <w:lang w:val="en-GB"/>
        </w:rPr>
        <w:t>lthough the data were harmonised and evaluated over longer periods to limit quantisation effects, short-interval apartment-level analyses remain inherently coarse. Third, the model cannot directly separate riser-shaft thermal bridges from FWS standby losses, because both are associated with nearly constant temperature differences over the year. Finally, while the monitoring clearly identifies bypass drift as the main operational driver of elevated return temperatures and volume flows, the physical origin of the valve drift remains unresolved.</w:t>
      </w:r>
    </w:p>
    <w:p w14:paraId="594B8E33" w14:textId="1F4889F5" w:rsidR="00BE3551" w:rsidRPr="00AD611D" w:rsidRDefault="00BE3551" w:rsidP="00521BEF">
      <w:pPr>
        <w:pStyle w:val="EuroSunText"/>
        <w:rPr>
          <w:lang w:val="en-GB"/>
        </w:rPr>
      </w:pPr>
      <w:r w:rsidRPr="00BE3551">
        <w:rPr>
          <w:lang w:val="en-GB"/>
        </w:rPr>
        <w:t xml:space="preserve">Future work should therefore apply the monitoring and modelling approach to additional riser groups and buildings in order to test the transferability of the calibrated residual </w:t>
      </w:r>
      <w:proofErr w:type="spellStart"/>
      <w:r w:rsidRPr="00BE3551">
        <w:rPr>
          <w:lang w:val="en-GB"/>
        </w:rPr>
        <w:t>conductances</w:t>
      </w:r>
      <w:proofErr w:type="spellEnd"/>
      <w:r w:rsidRPr="00BE3551">
        <w:rPr>
          <w:lang w:val="en-GB"/>
        </w:rPr>
        <w:t xml:space="preserve"> and the robustness of the fault-detection logic. More detailed component-level measurements would be useful to separate losses from uninsulated fittings, heat meters, riser-shaft thermal bridges and FWS standby more clearly. A dedicated investigation of the long-term stability and failure mechanisms of thermostatic bypass valves would also be necessary to distinguish gradual drift from isolated defective or incorrectly commissioned valves</w:t>
      </w:r>
      <w:r w:rsidR="00A15CA0">
        <w:rPr>
          <w:lang w:val="en-GB"/>
        </w:rPr>
        <w:t xml:space="preserve">. </w:t>
      </w:r>
      <w:r w:rsidRPr="00BE3551">
        <w:rPr>
          <w:lang w:val="en-GB"/>
        </w:rPr>
        <w:t>Finally, higher temporal resolution and better synchronisation of apartment-level metering would allow a more robust assessment of transient tapping behaviour and DHW comfort after bypass optimisation.</w:t>
      </w:r>
      <w:r w:rsidR="00A15CA0">
        <w:rPr>
          <w:lang w:val="en-GB"/>
        </w:rPr>
        <w:t xml:space="preserve"> </w:t>
      </w:r>
      <w:sdt>
        <w:sdtPr>
          <w:rPr>
            <w:lang w:val="en-GB"/>
          </w:rPr>
          <w:tag w:val="MENDELEY_CITATION_v3_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"/>
          <w:id w:val="150260118"/>
          <w:placeholder>
            <w:docPart w:val="DefaultPlaceholder_-1854013440"/>
          </w:placeholder>
        </w:sdtPr>
        <w:sdtContent>
          <w:r w:rsidR="00A15CA0" w:rsidRPr="00A15CA0">
            <w:rPr>
              <w:lang w:val="en-GB"/>
            </w:rPr>
            <w:t>(</w:t>
          </w:r>
          <w:proofErr w:type="spellStart"/>
          <w:r w:rsidR="00A15CA0" w:rsidRPr="00A15CA0">
            <w:rPr>
              <w:lang w:val="en-GB"/>
            </w:rPr>
            <w:t>Bagge</w:t>
          </w:r>
          <w:proofErr w:type="spellEnd"/>
          <w:r w:rsidR="00A15CA0" w:rsidRPr="00A15CA0">
            <w:rPr>
              <w:lang w:val="en-GB"/>
            </w:rPr>
            <w:t xml:space="preserve"> and Johansson, </w:t>
          </w:r>
          <w:r w:rsidR="00A15CA0" w:rsidRPr="00A15CA0">
            <w:rPr>
              <w:lang w:val="en-GB"/>
            </w:rPr>
            <w:lastRenderedPageBreak/>
            <w:t>2011)</w:t>
          </w:r>
        </w:sdtContent>
      </w:sdt>
      <w:r w:rsidR="00A15CA0">
        <w:rPr>
          <w:lang w:val="en-GB"/>
        </w:rPr>
        <w:t xml:space="preserve"> showed, that the maximum DHW flow was 40% higher at a 6 s resolution compared to 60 s.</w:t>
      </w:r>
      <w:r w:rsidRPr="00BE3551">
        <w:rPr>
          <w:lang w:val="en-GB"/>
        </w:rPr>
        <w:t xml:space="preserve"> These extensions would support the development of more reliable planning guidelines and monitoring-based fault detection methods for DHW systems in large multi-apartment buildings.</w:t>
      </w:r>
    </w:p>
    <w:p w14:paraId="32C3DE48" w14:textId="4F59DE9A" w:rsidR="009A4A09" w:rsidRPr="00AD611D" w:rsidRDefault="009A4A09" w:rsidP="009A4A09">
      <w:pPr>
        <w:pStyle w:val="SWCHeading1"/>
        <w:rPr>
          <w:lang w:val="en-GB"/>
        </w:rPr>
      </w:pPr>
      <w:r w:rsidRPr="00AD611D">
        <w:rPr>
          <w:lang w:val="en-GB"/>
        </w:rPr>
        <w:t>Conclusion</w:t>
      </w:r>
    </w:p>
    <w:p w14:paraId="18E6CDA8" w14:textId="33525C0B" w:rsidR="00CE688E" w:rsidRPr="00AD611D" w:rsidRDefault="00CE688E" w:rsidP="00CE688E">
      <w:pPr>
        <w:pStyle w:val="EuroSunText"/>
        <w:rPr>
          <w:lang w:val="en-GB"/>
        </w:rPr>
      </w:pPr>
      <w:r w:rsidRPr="00AD611D">
        <w:rPr>
          <w:lang w:val="en-GB"/>
        </w:rPr>
        <w:t xml:space="preserve">This study demonstrates how detailed monitoring and a constrained grey-box model can be combined to diagnose and quantify DHW distribution losses in a highly efficient large </w:t>
      </w:r>
      <w:r w:rsidR="00F9109A">
        <w:rPr>
          <w:lang w:val="en-GB"/>
        </w:rPr>
        <w:t>MAB</w:t>
      </w:r>
      <w:r w:rsidRPr="00AD611D">
        <w:rPr>
          <w:lang w:val="en-GB"/>
        </w:rPr>
        <w:t>. The long-term monitoring revealed a gradual increase in return temperature and circulation flow, which was traced to drifting or incorrectly set FWS bypass settings. The interventions showed that even a small number of faulty stations can affect the performance of an entire riser group, while central measurements alone are not sufficient to localise the fault. This confirms the value of distributed metering for operational diagnosis and for making otherwise hidden distribution losses visible.</w:t>
      </w:r>
    </w:p>
    <w:p w14:paraId="696C686A" w14:textId="577D162F" w:rsidR="00CE688E" w:rsidRPr="00AD611D" w:rsidRDefault="00CE688E" w:rsidP="00CE688E">
      <w:pPr>
        <w:pStyle w:val="EuroSunText"/>
        <w:rPr>
          <w:lang w:val="en-GB"/>
        </w:rPr>
      </w:pPr>
      <w:r w:rsidRPr="00AD611D">
        <w:rPr>
          <w:lang w:val="en-GB"/>
        </w:rPr>
        <w:t xml:space="preserve">The calibrated model links the measured losses to physically meaningful loss paths while keeping the documented pipe geometry fixed and limiting the calibration to two residual </w:t>
      </w:r>
      <w:proofErr w:type="spellStart"/>
      <w:r w:rsidRPr="00AD611D">
        <w:rPr>
          <w:lang w:val="en-GB"/>
        </w:rPr>
        <w:t>conductances</w:t>
      </w:r>
      <w:proofErr w:type="spellEnd"/>
      <w:r w:rsidRPr="00AD611D">
        <w:rPr>
          <w:lang w:val="en-GB"/>
        </w:rPr>
        <w:t xml:space="preserve">. It reproduced the measured losses with a mean deviation below 0.5 %, and the monthly evaluation reached a coefficient of determination of 0.969. The analysis further shows that a substantial share of the losses is coupled to the </w:t>
      </w:r>
      <w:r w:rsidR="005833F6">
        <w:rPr>
          <w:lang w:val="en-GB"/>
        </w:rPr>
        <w:t xml:space="preserve">bicycle </w:t>
      </w:r>
      <w:r w:rsidRPr="00AD611D">
        <w:rPr>
          <w:lang w:val="en-GB"/>
        </w:rPr>
        <w:t>storage-room zone outside the thermal envelope, while the remaining internal residual must be attributed to riser-shaft thermal bridges and FWS standby losses within a plausible range. The results therefore highlight the need to account for thermal bridges, uninsulated components and FWS standby behaviour more explicitly when estimating DHW distribution losses in extended multi-apartment networks.</w:t>
      </w:r>
    </w:p>
    <w:p w14:paraId="59985F0D" w14:textId="77777777" w:rsidR="00B23FF9" w:rsidRPr="00B23FF9" w:rsidRDefault="00CE688E" w:rsidP="00B23FF9">
      <w:pPr>
        <w:pStyle w:val="EuroSunText"/>
        <w:rPr>
          <w:lang w:val="en-GB"/>
        </w:rPr>
      </w:pPr>
      <w:r w:rsidRPr="00AD611D">
        <w:rPr>
          <w:lang w:val="en-GB"/>
        </w:rPr>
        <w:t xml:space="preserve">The </w:t>
      </w:r>
      <w:r w:rsidR="005833F6">
        <w:rPr>
          <w:lang w:val="en-GB"/>
        </w:rPr>
        <w:t>hypothetical</w:t>
      </w:r>
      <w:r w:rsidRPr="00AD611D">
        <w:rPr>
          <w:lang w:val="en-GB"/>
        </w:rPr>
        <w:t xml:space="preserve"> analysis shows that correctly commissioned bypass settings can provide substantial savings without intervention in the heat supply. A return temperature of 30 °C would have reduced annual distribution losses by </w:t>
      </w:r>
      <w:r w:rsidR="00684782">
        <w:rPr>
          <w:lang w:val="en-GB"/>
        </w:rPr>
        <w:t>23</w:t>
      </w:r>
      <w:r w:rsidRPr="00AD611D">
        <w:rPr>
          <w:lang w:val="en-GB"/>
        </w:rPr>
        <w:t xml:space="preserve"> to </w:t>
      </w:r>
      <w:r w:rsidR="00684782">
        <w:rPr>
          <w:lang w:val="en-GB"/>
        </w:rPr>
        <w:t>30</w:t>
      </w:r>
      <w:r w:rsidRPr="00AD611D">
        <w:rPr>
          <w:lang w:val="en-GB"/>
        </w:rPr>
        <w:t xml:space="preserve"> % at 5</w:t>
      </w:r>
      <w:r w:rsidR="00684782">
        <w:rPr>
          <w:lang w:val="en-GB"/>
        </w:rPr>
        <w:t>4</w:t>
      </w:r>
      <w:r w:rsidRPr="00AD611D">
        <w:rPr>
          <w:lang w:val="en-GB"/>
        </w:rPr>
        <w:t xml:space="preserve"> °C flow temperature. No relevant comfort impairment was indicated by the available operational data, although a detailed assessment of transient tapping behaviour is limited by the temporal resolution of the apartment meters. Overall, the paper contributes a monitoring-based methodology for identifying DHW distribution faults, quantifying their energy impact and translating operational data into planning-relevant information for large </w:t>
      </w:r>
      <w:r w:rsidR="00570385">
        <w:rPr>
          <w:lang w:val="en-GB"/>
        </w:rPr>
        <w:t>MABs</w:t>
      </w:r>
      <w:r w:rsidRPr="00AD611D">
        <w:rPr>
          <w:lang w:val="en-GB"/>
        </w:rPr>
        <w:t>.</w:t>
      </w:r>
    </w:p>
    <w:p w14:paraId="45836EBC" w14:textId="2D851BCA" w:rsidR="00B23FF9" w:rsidRPr="00B23FF9" w:rsidRDefault="00B23FF9" w:rsidP="00B23FF9">
      <w:pPr>
        <w:pStyle w:val="SWCHeading1"/>
      </w:pPr>
      <w:r w:rsidRPr="00B23FF9">
        <w:t xml:space="preserve">Acknowledgements </w:t>
      </w:r>
    </w:p>
    <w:p w14:paraId="41D142A5" w14:textId="5E3BEEA6" w:rsidR="00B23FF9" w:rsidRPr="00AD611D" w:rsidRDefault="00B23FF9" w:rsidP="00B23FF9">
      <w:pPr>
        <w:pStyle w:val="EuroSunText"/>
        <w:rPr>
          <w:lang w:val="en-GB"/>
        </w:rPr>
      </w:pPr>
      <w:r w:rsidRPr="00B23FF9">
        <w:rPr>
          <w:lang w:val="en-GB"/>
        </w:rPr>
        <w:t>Project 101166831 - LIFE23-CET-KnowHowHP, Co-funded by the European Union. Views and opinions expressed are however those of the authors only and do not necessarily reflect those of the European Union or CINEA. Neither the European Union nor CINEA can be held responsible for them.</w:t>
      </w:r>
    </w:p>
    <w:p w14:paraId="6C842A91" w14:textId="1370C7DE" w:rsidR="003869E8" w:rsidRPr="00AD611D" w:rsidRDefault="00D32EF0" w:rsidP="00490F10">
      <w:pPr>
        <w:pStyle w:val="SWCHeading1"/>
        <w:rPr>
          <w:lang w:val="en-GB"/>
        </w:rPr>
      </w:pPr>
      <w:r w:rsidRPr="00AD611D">
        <w:rPr>
          <w:lang w:val="en-GB"/>
        </w:rPr>
        <w:t>References</w:t>
      </w:r>
      <w:r w:rsidR="004E5D79" w:rsidRPr="00AD611D">
        <w:rPr>
          <w:lang w:val="en-GB"/>
        </w:rPr>
        <w:t xml:space="preserve"> </w:t>
      </w:r>
    </w:p>
    <w:sdt>
      <w:sdtPr>
        <w:rPr>
          <w:color w:val="000000"/>
          <w:sz w:val="20"/>
          <w:szCs w:val="22"/>
          <w:highlight w:val="yellow"/>
          <w:lang w:val="en-GB"/>
        </w:rPr>
        <w:tag w:val="MENDELEY_BIBLIOGRAPHY"/>
        <w:id w:val="-1337375315"/>
        <w:placeholder>
          <w:docPart w:val="DefaultPlaceholder_-1854013440"/>
        </w:placeholder>
      </w:sdtPr>
      <w:sdtContent>
        <w:p w14:paraId="0559F2CE" w14:textId="77777777" w:rsidR="00A15CA0" w:rsidRPr="00A15CA0" w:rsidRDefault="00A15CA0">
          <w:pPr>
            <w:autoSpaceDE w:val="0"/>
            <w:autoSpaceDN w:val="0"/>
            <w:ind w:hanging="480"/>
            <w:divId w:val="971135757"/>
            <w:rPr>
              <w:color w:val="000000"/>
              <w:sz w:val="20"/>
              <w:lang w:val="en-US"/>
            </w:rPr>
          </w:pPr>
          <w:proofErr w:type="spellStart"/>
          <w:r w:rsidRPr="000067A6">
            <w:rPr>
              <w:color w:val="000000"/>
              <w:sz w:val="20"/>
              <w:lang w:val="en-US"/>
            </w:rPr>
            <w:t>Bagge</w:t>
          </w:r>
          <w:proofErr w:type="spellEnd"/>
          <w:r w:rsidRPr="000067A6">
            <w:rPr>
              <w:color w:val="000000"/>
              <w:sz w:val="20"/>
              <w:lang w:val="en-US"/>
            </w:rPr>
            <w:t xml:space="preserve">, H., Johansson, D., 2011. </w:t>
          </w:r>
          <w:r w:rsidRPr="00A15CA0">
            <w:rPr>
              <w:color w:val="000000"/>
              <w:sz w:val="20"/>
              <w:lang w:val="en-US"/>
            </w:rPr>
            <w:t>Measurements of household electricity and domestic hot water use in dwellings and the effect of different monitoring time resolution. Energy 36, 2943–2951. https://doi.org/10.1016/J.ENERGY.2011.02.037</w:t>
          </w:r>
        </w:p>
        <w:p w14:paraId="66C47EB5" w14:textId="77777777" w:rsidR="00A15CA0" w:rsidRPr="00A15CA0" w:rsidRDefault="00A15CA0">
          <w:pPr>
            <w:autoSpaceDE w:val="0"/>
            <w:autoSpaceDN w:val="0"/>
            <w:ind w:hanging="480"/>
            <w:divId w:val="1851484377"/>
            <w:rPr>
              <w:color w:val="000000"/>
              <w:sz w:val="20"/>
              <w:lang w:val="en-US"/>
            </w:rPr>
          </w:pPr>
          <w:proofErr w:type="spellStart"/>
          <w:r w:rsidRPr="00A15CA0">
            <w:rPr>
              <w:color w:val="000000"/>
              <w:sz w:val="20"/>
              <w:lang w:val="en-US"/>
            </w:rPr>
            <w:t>GeoSphere</w:t>
          </w:r>
          <w:proofErr w:type="spellEnd"/>
          <w:r w:rsidRPr="00A15CA0">
            <w:rPr>
              <w:color w:val="000000"/>
              <w:sz w:val="20"/>
              <w:lang w:val="en-US"/>
            </w:rPr>
            <w:t xml:space="preserve"> Austria, 2026. historical station data [WWW Document]. URL https://dataset.api.hub.geosphere.at/app/frontend/station/historical/klima-v2-10min (accessed 8.25.26).</w:t>
          </w:r>
        </w:p>
        <w:p w14:paraId="1B3DD699" w14:textId="77777777" w:rsidR="00A15CA0" w:rsidRPr="00A15CA0" w:rsidRDefault="00A15CA0">
          <w:pPr>
            <w:autoSpaceDE w:val="0"/>
            <w:autoSpaceDN w:val="0"/>
            <w:ind w:hanging="480"/>
            <w:divId w:val="1937595890"/>
            <w:rPr>
              <w:color w:val="000000"/>
              <w:sz w:val="20"/>
            </w:rPr>
          </w:pPr>
          <w:r w:rsidRPr="00A15CA0">
            <w:rPr>
              <w:color w:val="000000"/>
              <w:sz w:val="20"/>
              <w:lang w:val="en-US"/>
            </w:rPr>
            <w:t xml:space="preserve">Hamburg, A., </w:t>
          </w:r>
          <w:proofErr w:type="spellStart"/>
          <w:r w:rsidRPr="00A15CA0">
            <w:rPr>
              <w:color w:val="000000"/>
              <w:sz w:val="20"/>
              <w:lang w:val="en-US"/>
            </w:rPr>
            <w:t>Mikola</w:t>
          </w:r>
          <w:proofErr w:type="spellEnd"/>
          <w:r w:rsidRPr="00A15CA0">
            <w:rPr>
              <w:color w:val="000000"/>
              <w:sz w:val="20"/>
              <w:lang w:val="en-US"/>
            </w:rPr>
            <w:t xml:space="preserve">, A., Parts, T.M., </w:t>
          </w:r>
          <w:proofErr w:type="spellStart"/>
          <w:r w:rsidRPr="00A15CA0">
            <w:rPr>
              <w:color w:val="000000"/>
              <w:sz w:val="20"/>
              <w:lang w:val="en-US"/>
            </w:rPr>
            <w:t>Kalamees</w:t>
          </w:r>
          <w:proofErr w:type="spellEnd"/>
          <w:r w:rsidRPr="00A15CA0">
            <w:rPr>
              <w:color w:val="000000"/>
              <w:sz w:val="20"/>
              <w:lang w:val="en-US"/>
            </w:rPr>
            <w:t xml:space="preserve">, T., 2021. Heat Loss Due to Domestic Hot Water Pipes. </w:t>
          </w:r>
          <w:r w:rsidRPr="00A15CA0">
            <w:rPr>
              <w:color w:val="000000"/>
              <w:sz w:val="20"/>
            </w:rPr>
            <w:t>Energies 2021, Vol. 14, Page 6446 14, 6446. https://doi.org/10.3390/EN14206446</w:t>
          </w:r>
        </w:p>
        <w:p w14:paraId="2E5E7430" w14:textId="77777777" w:rsidR="00A15CA0" w:rsidRPr="00A15CA0" w:rsidRDefault="00A15CA0">
          <w:pPr>
            <w:autoSpaceDE w:val="0"/>
            <w:autoSpaceDN w:val="0"/>
            <w:ind w:hanging="480"/>
            <w:divId w:val="1714621613"/>
            <w:rPr>
              <w:color w:val="000000"/>
              <w:sz w:val="20"/>
              <w:lang w:val="en-US"/>
            </w:rPr>
          </w:pPr>
          <w:r w:rsidRPr="00A15CA0">
            <w:rPr>
              <w:color w:val="000000"/>
              <w:sz w:val="20"/>
            </w:rPr>
            <w:t xml:space="preserve">Kropp, M., Lämmle, M., </w:t>
          </w:r>
          <w:proofErr w:type="spellStart"/>
          <w:r w:rsidRPr="00A15CA0">
            <w:rPr>
              <w:color w:val="000000"/>
              <w:sz w:val="20"/>
            </w:rPr>
            <w:t>Herkel</w:t>
          </w:r>
          <w:proofErr w:type="spellEnd"/>
          <w:r w:rsidRPr="00A15CA0">
            <w:rPr>
              <w:color w:val="000000"/>
              <w:sz w:val="20"/>
            </w:rPr>
            <w:t xml:space="preserve">, S., Henning, H.M., Velte-Schäfer, A., 2025. </w:t>
          </w:r>
          <w:r w:rsidRPr="00A15CA0">
            <w:rPr>
              <w:color w:val="000000"/>
              <w:sz w:val="20"/>
              <w:lang w:val="en-US"/>
            </w:rPr>
            <w:t>Enhancing heat pump performance for domestic hot water preparation: A comparative analysis in existing multi-family houses. Energy Build. 328, 115155. https://doi.org/10.1016/j.enbuild.2024.115155</w:t>
          </w:r>
        </w:p>
        <w:p w14:paraId="789C2FA6" w14:textId="77777777" w:rsidR="00A15CA0" w:rsidRPr="00A15CA0" w:rsidRDefault="00A15CA0">
          <w:pPr>
            <w:autoSpaceDE w:val="0"/>
            <w:autoSpaceDN w:val="0"/>
            <w:ind w:hanging="480"/>
            <w:divId w:val="1690136534"/>
            <w:rPr>
              <w:color w:val="000000"/>
              <w:sz w:val="20"/>
              <w:lang w:val="en-US"/>
            </w:rPr>
          </w:pPr>
          <w:r w:rsidRPr="00A15CA0">
            <w:rPr>
              <w:color w:val="000000"/>
              <w:sz w:val="20"/>
              <w:lang w:val="en-US"/>
            </w:rPr>
            <w:t xml:space="preserve">Ochs, F., Tosatto, A., Venturi, E., Breuss, S., Magni, M., Dermentzis, G., </w:t>
          </w:r>
          <w:proofErr w:type="spellStart"/>
          <w:r w:rsidRPr="00A15CA0">
            <w:rPr>
              <w:color w:val="000000"/>
              <w:sz w:val="20"/>
              <w:lang w:val="en-US"/>
            </w:rPr>
            <w:t>Wemhoener</w:t>
          </w:r>
          <w:proofErr w:type="spellEnd"/>
          <w:r w:rsidRPr="00A15CA0">
            <w:rPr>
              <w:color w:val="000000"/>
              <w:sz w:val="20"/>
              <w:lang w:val="en-US"/>
            </w:rPr>
            <w:t>, C., 2025. Characteristic load curves of positive energy districts. Solar Energy Advances 5, 100081. https://doi.org/10.1016/j.seja.2024.100081</w:t>
          </w:r>
        </w:p>
        <w:p w14:paraId="1ADCE7D2" w14:textId="77777777" w:rsidR="00A15CA0" w:rsidRPr="00A15CA0" w:rsidRDefault="00A15CA0">
          <w:pPr>
            <w:autoSpaceDE w:val="0"/>
            <w:autoSpaceDN w:val="0"/>
            <w:ind w:hanging="480"/>
            <w:divId w:val="2116435963"/>
            <w:rPr>
              <w:color w:val="000000"/>
              <w:sz w:val="20"/>
              <w:lang w:val="en-US"/>
            </w:rPr>
          </w:pPr>
          <w:proofErr w:type="spellStart"/>
          <w:r w:rsidRPr="00A15CA0">
            <w:rPr>
              <w:color w:val="000000"/>
              <w:sz w:val="20"/>
              <w:lang w:val="en-US"/>
            </w:rPr>
            <w:t>Pomianowski</w:t>
          </w:r>
          <w:proofErr w:type="spellEnd"/>
          <w:r w:rsidRPr="00A15CA0">
            <w:rPr>
              <w:color w:val="000000"/>
              <w:sz w:val="20"/>
              <w:lang w:val="en-US"/>
            </w:rPr>
            <w:t xml:space="preserve">, M.Z., </w:t>
          </w:r>
          <w:proofErr w:type="spellStart"/>
          <w:r w:rsidRPr="00A15CA0">
            <w:rPr>
              <w:color w:val="000000"/>
              <w:sz w:val="20"/>
              <w:lang w:val="en-US"/>
            </w:rPr>
            <w:t>Johra</w:t>
          </w:r>
          <w:proofErr w:type="spellEnd"/>
          <w:r w:rsidRPr="00A15CA0">
            <w:rPr>
              <w:color w:val="000000"/>
              <w:sz w:val="20"/>
              <w:lang w:val="en-US"/>
            </w:rPr>
            <w:t xml:space="preserve">, H., </w:t>
          </w:r>
          <w:proofErr w:type="spellStart"/>
          <w:r w:rsidRPr="00A15CA0">
            <w:rPr>
              <w:color w:val="000000"/>
              <w:sz w:val="20"/>
              <w:lang w:val="en-US"/>
            </w:rPr>
            <w:t>Marszal-Pomianowska</w:t>
          </w:r>
          <w:proofErr w:type="spellEnd"/>
          <w:r w:rsidRPr="00A15CA0">
            <w:rPr>
              <w:color w:val="000000"/>
              <w:sz w:val="20"/>
              <w:lang w:val="en-US"/>
            </w:rPr>
            <w:t>, A., Zhang, C., 2020. Sustainable and energy-efficient domestic hot water systems: A review. Renewable and Sustainable Energy Reviews 128, 115155. https://doi.org/10.1016/j.rser.2020.109900</w:t>
          </w:r>
        </w:p>
        <w:p w14:paraId="3BEEF9B5" w14:textId="27B62826" w:rsidR="001968B5" w:rsidRPr="00AD611D" w:rsidRDefault="00A15CA0" w:rsidP="00C012E2">
          <w:pPr>
            <w:pStyle w:val="SWCText"/>
            <w:jc w:val="left"/>
            <w:rPr>
              <w:lang w:val="en-GB"/>
            </w:rPr>
          </w:pPr>
          <w:r w:rsidRPr="00A15CA0">
            <w:t> </w:t>
          </w:r>
        </w:p>
      </w:sdtContent>
    </w:sdt>
    <w:sectPr w:rsidR="001968B5" w:rsidRPr="00AD611D" w:rsidSect="00D31F4A">
      <w:headerReference w:type="default" r:id="rId20"/>
      <w:footerReference w:type="default" r:id="rId21"/>
      <w:footnotePr>
        <w:numRestart w:val="eachPage"/>
      </w:footnotePr>
      <w:pgSz w:w="11908" w:h="16838"/>
      <w:pgMar w:top="1078" w:right="1440" w:bottom="1440" w:left="1701"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1B404" w14:textId="77777777" w:rsidR="008F7DD4" w:rsidRDefault="008F7DD4">
      <w:r>
        <w:separator/>
      </w:r>
    </w:p>
  </w:endnote>
  <w:endnote w:type="continuationSeparator" w:id="0">
    <w:p w14:paraId="430AFC65" w14:textId="77777777" w:rsidR="008F7DD4" w:rsidRDefault="008F7DD4">
      <w:r>
        <w:continuationSeparator/>
      </w:r>
    </w:p>
  </w:endnote>
  <w:endnote w:type="continuationNotice" w:id="1">
    <w:p w14:paraId="60624F70" w14:textId="77777777" w:rsidR="008F7DD4" w:rsidRDefault="008F7D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35903" w14:textId="77777777" w:rsidR="005067BA" w:rsidRDefault="005067B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F51F3" w14:textId="77777777" w:rsidR="008F7DD4" w:rsidRDefault="008F7DD4">
      <w:r>
        <w:separator/>
      </w:r>
    </w:p>
  </w:footnote>
  <w:footnote w:type="continuationSeparator" w:id="0">
    <w:p w14:paraId="12120029" w14:textId="77777777" w:rsidR="008F7DD4" w:rsidRDefault="008F7DD4">
      <w:r>
        <w:continuationSeparator/>
      </w:r>
    </w:p>
  </w:footnote>
  <w:footnote w:type="continuationNotice" w:id="1">
    <w:p w14:paraId="3B0DD92E" w14:textId="77777777" w:rsidR="008F7DD4" w:rsidRDefault="008F7D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F9596" w14:textId="77777777" w:rsidR="005067BA" w:rsidRDefault="005067B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Aufzhlungszeichen"/>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2E1A4F2D"/>
    <w:multiLevelType w:val="hybridMultilevel"/>
    <w:tmpl w:val="6756D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1" w15:restartNumberingAfterBreak="0">
    <w:nsid w:val="35B80708"/>
    <w:multiLevelType w:val="hybridMultilevel"/>
    <w:tmpl w:val="727EE29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2"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24C0EE4"/>
    <w:multiLevelType w:val="multilevel"/>
    <w:tmpl w:val="FB800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BB45AB"/>
    <w:multiLevelType w:val="hybridMultilevel"/>
    <w:tmpl w:val="58562F08"/>
    <w:lvl w:ilvl="0" w:tplc="D35C0E0C">
      <w:start w:val="4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7182714"/>
    <w:multiLevelType w:val="hybridMultilevel"/>
    <w:tmpl w:val="34C6D858"/>
    <w:lvl w:ilvl="0" w:tplc="D36C911A">
      <w:start w:val="4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7"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0"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1"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619551EB"/>
    <w:multiLevelType w:val="multilevel"/>
    <w:tmpl w:val="F1F62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0279AF"/>
    <w:multiLevelType w:val="hybridMultilevel"/>
    <w:tmpl w:val="6AEA0D5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4"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5"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6"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7" w15:restartNumberingAfterBreak="0">
    <w:nsid w:val="73A54BB3"/>
    <w:multiLevelType w:val="hybridMultilevel"/>
    <w:tmpl w:val="C48CB232"/>
    <w:lvl w:ilvl="0" w:tplc="D2CECFB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0D7FDA"/>
    <w:multiLevelType w:val="multilevel"/>
    <w:tmpl w:val="67D01680"/>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757138428">
    <w:abstractNumId w:val="5"/>
  </w:num>
  <w:num w:numId="2" w16cid:durableId="1512216">
    <w:abstractNumId w:val="12"/>
  </w:num>
  <w:num w:numId="3" w16cid:durableId="373043817">
    <w:abstractNumId w:val="11"/>
  </w:num>
  <w:num w:numId="4" w16cid:durableId="1660228551">
    <w:abstractNumId w:val="29"/>
  </w:num>
  <w:num w:numId="5" w16cid:durableId="1865172701">
    <w:abstractNumId w:val="4"/>
  </w:num>
  <w:num w:numId="6" w16cid:durableId="300304721">
    <w:abstractNumId w:val="3"/>
  </w:num>
  <w:num w:numId="7" w16cid:durableId="1895039948">
    <w:abstractNumId w:val="0"/>
  </w:num>
  <w:num w:numId="8" w16cid:durableId="114250932">
    <w:abstractNumId w:val="2"/>
  </w:num>
  <w:num w:numId="9" w16cid:durableId="1268736550">
    <w:abstractNumId w:val="1"/>
  </w:num>
  <w:num w:numId="10" w16cid:durableId="2093240246">
    <w:abstractNumId w:val="6"/>
  </w:num>
  <w:num w:numId="11" w16cid:durableId="930626456">
    <w:abstractNumId w:val="23"/>
  </w:num>
  <w:num w:numId="12" w16cid:durableId="2081519760">
    <w:abstractNumId w:val="18"/>
  </w:num>
  <w:num w:numId="13" w16cid:durableId="241185418">
    <w:abstractNumId w:val="6"/>
    <w:lvlOverride w:ilvl="0">
      <w:startOverride w:val="1"/>
    </w:lvlOverride>
  </w:num>
  <w:num w:numId="14" w16cid:durableId="1990590676">
    <w:abstractNumId w:val="21"/>
  </w:num>
  <w:num w:numId="15" w16cid:durableId="198737502">
    <w:abstractNumId w:val="7"/>
  </w:num>
  <w:num w:numId="16" w16cid:durableId="2111509035">
    <w:abstractNumId w:val="17"/>
  </w:num>
  <w:num w:numId="17" w16cid:durableId="1501389269">
    <w:abstractNumId w:val="20"/>
  </w:num>
  <w:num w:numId="18" w16cid:durableId="1034497987">
    <w:abstractNumId w:val="25"/>
  </w:num>
  <w:num w:numId="19" w16cid:durableId="1195847173">
    <w:abstractNumId w:val="10"/>
  </w:num>
  <w:num w:numId="20" w16cid:durableId="987172191">
    <w:abstractNumId w:val="8"/>
  </w:num>
  <w:num w:numId="21" w16cid:durableId="143090170">
    <w:abstractNumId w:val="16"/>
  </w:num>
  <w:num w:numId="22" w16cid:durableId="1743722141">
    <w:abstractNumId w:val="24"/>
  </w:num>
  <w:num w:numId="23" w16cid:durableId="532696238">
    <w:abstractNumId w:val="19"/>
  </w:num>
  <w:num w:numId="24" w16cid:durableId="1666392483">
    <w:abstractNumId w:val="26"/>
  </w:num>
  <w:num w:numId="25" w16cid:durableId="884021685">
    <w:abstractNumId w:val="27"/>
  </w:num>
  <w:num w:numId="26" w16cid:durableId="1473015419">
    <w:abstractNumId w:val="28"/>
  </w:num>
  <w:num w:numId="27" w16cid:durableId="1882932798">
    <w:abstractNumId w:val="15"/>
  </w:num>
  <w:num w:numId="28" w16cid:durableId="1466316492">
    <w:abstractNumId w:val="14"/>
  </w:num>
  <w:num w:numId="29" w16cid:durableId="2078161991">
    <w:abstractNumId w:val="22"/>
  </w:num>
  <w:num w:numId="30" w16cid:durableId="1864200186">
    <w:abstractNumId w:val="13"/>
  </w:num>
  <w:num w:numId="31" w16cid:durableId="12636824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A6"/>
    <w:rsid w:val="000067DB"/>
    <w:rsid w:val="00010262"/>
    <w:rsid w:val="00024E92"/>
    <w:rsid w:val="00025718"/>
    <w:rsid w:val="000272C9"/>
    <w:rsid w:val="00032383"/>
    <w:rsid w:val="0004235D"/>
    <w:rsid w:val="00045AB7"/>
    <w:rsid w:val="000533E4"/>
    <w:rsid w:val="000534F5"/>
    <w:rsid w:val="00053E02"/>
    <w:rsid w:val="00055DB9"/>
    <w:rsid w:val="00056172"/>
    <w:rsid w:val="00057B5E"/>
    <w:rsid w:val="0006455E"/>
    <w:rsid w:val="000649EC"/>
    <w:rsid w:val="00066B26"/>
    <w:rsid w:val="000678AC"/>
    <w:rsid w:val="000712A1"/>
    <w:rsid w:val="00074DBF"/>
    <w:rsid w:val="000805D6"/>
    <w:rsid w:val="00092ED5"/>
    <w:rsid w:val="000A0ADB"/>
    <w:rsid w:val="000A30A5"/>
    <w:rsid w:val="000A36B5"/>
    <w:rsid w:val="000A4C98"/>
    <w:rsid w:val="000A52A1"/>
    <w:rsid w:val="000A6EC6"/>
    <w:rsid w:val="000A7627"/>
    <w:rsid w:val="000B020C"/>
    <w:rsid w:val="000B04BE"/>
    <w:rsid w:val="000B1F4D"/>
    <w:rsid w:val="000B3B89"/>
    <w:rsid w:val="000C0273"/>
    <w:rsid w:val="000C2344"/>
    <w:rsid w:val="000D6E1A"/>
    <w:rsid w:val="000E1855"/>
    <w:rsid w:val="000F1FED"/>
    <w:rsid w:val="000F739B"/>
    <w:rsid w:val="0010501A"/>
    <w:rsid w:val="00114126"/>
    <w:rsid w:val="00116D99"/>
    <w:rsid w:val="00123A3E"/>
    <w:rsid w:val="00124763"/>
    <w:rsid w:val="00124F65"/>
    <w:rsid w:val="001309A2"/>
    <w:rsid w:val="001322AB"/>
    <w:rsid w:val="0014209A"/>
    <w:rsid w:val="00145761"/>
    <w:rsid w:val="001463DE"/>
    <w:rsid w:val="0015090D"/>
    <w:rsid w:val="0015145A"/>
    <w:rsid w:val="00151FD2"/>
    <w:rsid w:val="00155FB8"/>
    <w:rsid w:val="00157CE5"/>
    <w:rsid w:val="001647D2"/>
    <w:rsid w:val="001656EA"/>
    <w:rsid w:val="00165CF5"/>
    <w:rsid w:val="00166C42"/>
    <w:rsid w:val="001728B2"/>
    <w:rsid w:val="00176EF6"/>
    <w:rsid w:val="001838A1"/>
    <w:rsid w:val="0018390E"/>
    <w:rsid w:val="00185004"/>
    <w:rsid w:val="001904A7"/>
    <w:rsid w:val="0019232E"/>
    <w:rsid w:val="00192392"/>
    <w:rsid w:val="00194E9A"/>
    <w:rsid w:val="001968B5"/>
    <w:rsid w:val="001969B9"/>
    <w:rsid w:val="001A0C7E"/>
    <w:rsid w:val="001A117A"/>
    <w:rsid w:val="001A2AF7"/>
    <w:rsid w:val="001A686F"/>
    <w:rsid w:val="001A775B"/>
    <w:rsid w:val="001A7F40"/>
    <w:rsid w:val="001B13D6"/>
    <w:rsid w:val="001B1890"/>
    <w:rsid w:val="001B6BCF"/>
    <w:rsid w:val="001B7B01"/>
    <w:rsid w:val="001C026A"/>
    <w:rsid w:val="001C2558"/>
    <w:rsid w:val="001C3A3D"/>
    <w:rsid w:val="001C3D9D"/>
    <w:rsid w:val="001C5CE2"/>
    <w:rsid w:val="001C63A2"/>
    <w:rsid w:val="001D0384"/>
    <w:rsid w:val="001D24E4"/>
    <w:rsid w:val="001D4912"/>
    <w:rsid w:val="001D5244"/>
    <w:rsid w:val="001D54B1"/>
    <w:rsid w:val="001D5D0D"/>
    <w:rsid w:val="001D5DF4"/>
    <w:rsid w:val="001E0F10"/>
    <w:rsid w:val="001E2B93"/>
    <w:rsid w:val="001E6EA9"/>
    <w:rsid w:val="001F2881"/>
    <w:rsid w:val="001F64BB"/>
    <w:rsid w:val="00205626"/>
    <w:rsid w:val="00206116"/>
    <w:rsid w:val="00212628"/>
    <w:rsid w:val="0022299B"/>
    <w:rsid w:val="0022534B"/>
    <w:rsid w:val="00225724"/>
    <w:rsid w:val="00231743"/>
    <w:rsid w:val="00232F4B"/>
    <w:rsid w:val="0023313F"/>
    <w:rsid w:val="00243214"/>
    <w:rsid w:val="00245AA6"/>
    <w:rsid w:val="00254AFC"/>
    <w:rsid w:val="00257DB9"/>
    <w:rsid w:val="00261902"/>
    <w:rsid w:val="00263C32"/>
    <w:rsid w:val="002647A0"/>
    <w:rsid w:val="0026516E"/>
    <w:rsid w:val="00266E47"/>
    <w:rsid w:val="00267657"/>
    <w:rsid w:val="00270E75"/>
    <w:rsid w:val="0027288C"/>
    <w:rsid w:val="00272C34"/>
    <w:rsid w:val="00273341"/>
    <w:rsid w:val="002771DA"/>
    <w:rsid w:val="00281093"/>
    <w:rsid w:val="0028217B"/>
    <w:rsid w:val="002826B9"/>
    <w:rsid w:val="00295010"/>
    <w:rsid w:val="002972D1"/>
    <w:rsid w:val="002A04A9"/>
    <w:rsid w:val="002A39BB"/>
    <w:rsid w:val="002B10CF"/>
    <w:rsid w:val="002B417A"/>
    <w:rsid w:val="002B6B49"/>
    <w:rsid w:val="002C089D"/>
    <w:rsid w:val="002C68AD"/>
    <w:rsid w:val="002D322C"/>
    <w:rsid w:val="002D4864"/>
    <w:rsid w:val="002D687F"/>
    <w:rsid w:val="002E5388"/>
    <w:rsid w:val="002E5D62"/>
    <w:rsid w:val="002E7311"/>
    <w:rsid w:val="002F1386"/>
    <w:rsid w:val="002F39A9"/>
    <w:rsid w:val="002F5E4D"/>
    <w:rsid w:val="002F6B87"/>
    <w:rsid w:val="00303345"/>
    <w:rsid w:val="00306F21"/>
    <w:rsid w:val="003114FC"/>
    <w:rsid w:val="0031611C"/>
    <w:rsid w:val="003258B0"/>
    <w:rsid w:val="003311A3"/>
    <w:rsid w:val="003357AC"/>
    <w:rsid w:val="0033793D"/>
    <w:rsid w:val="0034288D"/>
    <w:rsid w:val="00346560"/>
    <w:rsid w:val="0035638A"/>
    <w:rsid w:val="003605B9"/>
    <w:rsid w:val="00362122"/>
    <w:rsid w:val="00363C48"/>
    <w:rsid w:val="00364A52"/>
    <w:rsid w:val="003674C7"/>
    <w:rsid w:val="003703A7"/>
    <w:rsid w:val="00373F97"/>
    <w:rsid w:val="00374216"/>
    <w:rsid w:val="00376D79"/>
    <w:rsid w:val="0038025C"/>
    <w:rsid w:val="0038545D"/>
    <w:rsid w:val="003869E8"/>
    <w:rsid w:val="00391288"/>
    <w:rsid w:val="00395E5A"/>
    <w:rsid w:val="0039742D"/>
    <w:rsid w:val="003A08C6"/>
    <w:rsid w:val="003A3850"/>
    <w:rsid w:val="003A3A38"/>
    <w:rsid w:val="003A7DB9"/>
    <w:rsid w:val="003B2055"/>
    <w:rsid w:val="003B35E5"/>
    <w:rsid w:val="003C0806"/>
    <w:rsid w:val="003C18DE"/>
    <w:rsid w:val="003C1B31"/>
    <w:rsid w:val="003C2B1A"/>
    <w:rsid w:val="003C3698"/>
    <w:rsid w:val="003C39C6"/>
    <w:rsid w:val="003C3B19"/>
    <w:rsid w:val="003D0C22"/>
    <w:rsid w:val="003E081F"/>
    <w:rsid w:val="003E1E1C"/>
    <w:rsid w:val="003F0403"/>
    <w:rsid w:val="003F0E00"/>
    <w:rsid w:val="003F1EB1"/>
    <w:rsid w:val="003F5B99"/>
    <w:rsid w:val="004019FD"/>
    <w:rsid w:val="00402458"/>
    <w:rsid w:val="00403E6A"/>
    <w:rsid w:val="004053B5"/>
    <w:rsid w:val="0040615A"/>
    <w:rsid w:val="00407810"/>
    <w:rsid w:val="00407E31"/>
    <w:rsid w:val="00411E29"/>
    <w:rsid w:val="0042033E"/>
    <w:rsid w:val="00424EB3"/>
    <w:rsid w:val="004357AD"/>
    <w:rsid w:val="004405F6"/>
    <w:rsid w:val="00446D24"/>
    <w:rsid w:val="00453296"/>
    <w:rsid w:val="00464301"/>
    <w:rsid w:val="00467DFD"/>
    <w:rsid w:val="00470B94"/>
    <w:rsid w:val="004726F3"/>
    <w:rsid w:val="0047484E"/>
    <w:rsid w:val="00476879"/>
    <w:rsid w:val="00476EF8"/>
    <w:rsid w:val="00477C94"/>
    <w:rsid w:val="00482B3B"/>
    <w:rsid w:val="00482EA4"/>
    <w:rsid w:val="00487B68"/>
    <w:rsid w:val="00490F10"/>
    <w:rsid w:val="00493C81"/>
    <w:rsid w:val="00494006"/>
    <w:rsid w:val="004A15ED"/>
    <w:rsid w:val="004A3506"/>
    <w:rsid w:val="004A5906"/>
    <w:rsid w:val="004B0409"/>
    <w:rsid w:val="004C3910"/>
    <w:rsid w:val="004C39AD"/>
    <w:rsid w:val="004C4EE9"/>
    <w:rsid w:val="004C6F65"/>
    <w:rsid w:val="004E5D79"/>
    <w:rsid w:val="004F11F2"/>
    <w:rsid w:val="004F4904"/>
    <w:rsid w:val="004F5FF9"/>
    <w:rsid w:val="00500640"/>
    <w:rsid w:val="00500D7D"/>
    <w:rsid w:val="005022F3"/>
    <w:rsid w:val="00502903"/>
    <w:rsid w:val="005067AC"/>
    <w:rsid w:val="005067BA"/>
    <w:rsid w:val="00514815"/>
    <w:rsid w:val="00514890"/>
    <w:rsid w:val="0051584D"/>
    <w:rsid w:val="00516538"/>
    <w:rsid w:val="0052100C"/>
    <w:rsid w:val="00521BEF"/>
    <w:rsid w:val="005253AC"/>
    <w:rsid w:val="00532138"/>
    <w:rsid w:val="0053532A"/>
    <w:rsid w:val="005404F1"/>
    <w:rsid w:val="00546599"/>
    <w:rsid w:val="00550776"/>
    <w:rsid w:val="00556004"/>
    <w:rsid w:val="00560B8B"/>
    <w:rsid w:val="00560BA8"/>
    <w:rsid w:val="00566460"/>
    <w:rsid w:val="00566555"/>
    <w:rsid w:val="00566596"/>
    <w:rsid w:val="005702B2"/>
    <w:rsid w:val="00570385"/>
    <w:rsid w:val="0057075C"/>
    <w:rsid w:val="0057140B"/>
    <w:rsid w:val="005721F8"/>
    <w:rsid w:val="005833F6"/>
    <w:rsid w:val="005836C7"/>
    <w:rsid w:val="0059705A"/>
    <w:rsid w:val="005A20ED"/>
    <w:rsid w:val="005B3E86"/>
    <w:rsid w:val="005B40DE"/>
    <w:rsid w:val="005B6F55"/>
    <w:rsid w:val="005C194B"/>
    <w:rsid w:val="005C4193"/>
    <w:rsid w:val="005C4621"/>
    <w:rsid w:val="005D0B85"/>
    <w:rsid w:val="005D2C62"/>
    <w:rsid w:val="005D5BC9"/>
    <w:rsid w:val="005D5CF6"/>
    <w:rsid w:val="005E04EA"/>
    <w:rsid w:val="005E0D7D"/>
    <w:rsid w:val="005E2AC5"/>
    <w:rsid w:val="005E7208"/>
    <w:rsid w:val="005F07F2"/>
    <w:rsid w:val="005F2724"/>
    <w:rsid w:val="00607C4E"/>
    <w:rsid w:val="00613AF9"/>
    <w:rsid w:val="006140CB"/>
    <w:rsid w:val="0061732F"/>
    <w:rsid w:val="0062257E"/>
    <w:rsid w:val="00622931"/>
    <w:rsid w:val="00625BC2"/>
    <w:rsid w:val="00626E48"/>
    <w:rsid w:val="00627E34"/>
    <w:rsid w:val="006309AA"/>
    <w:rsid w:val="006327D0"/>
    <w:rsid w:val="00633473"/>
    <w:rsid w:val="006335B4"/>
    <w:rsid w:val="0063754B"/>
    <w:rsid w:val="006379BD"/>
    <w:rsid w:val="0064403B"/>
    <w:rsid w:val="00645535"/>
    <w:rsid w:val="006500EC"/>
    <w:rsid w:val="00652071"/>
    <w:rsid w:val="00652143"/>
    <w:rsid w:val="00653551"/>
    <w:rsid w:val="0065563B"/>
    <w:rsid w:val="00660A5D"/>
    <w:rsid w:val="0066129C"/>
    <w:rsid w:val="00662890"/>
    <w:rsid w:val="00665471"/>
    <w:rsid w:val="006722C6"/>
    <w:rsid w:val="006807D4"/>
    <w:rsid w:val="006814B5"/>
    <w:rsid w:val="0068185D"/>
    <w:rsid w:val="0068464C"/>
    <w:rsid w:val="00684782"/>
    <w:rsid w:val="0068749C"/>
    <w:rsid w:val="00691E60"/>
    <w:rsid w:val="006929E1"/>
    <w:rsid w:val="00692D7F"/>
    <w:rsid w:val="006A0AE2"/>
    <w:rsid w:val="006A2F10"/>
    <w:rsid w:val="006A4D7B"/>
    <w:rsid w:val="006A77D0"/>
    <w:rsid w:val="006A7C8A"/>
    <w:rsid w:val="006B1112"/>
    <w:rsid w:val="006B16AA"/>
    <w:rsid w:val="006B2320"/>
    <w:rsid w:val="006B4C9F"/>
    <w:rsid w:val="006B63AA"/>
    <w:rsid w:val="006C16AB"/>
    <w:rsid w:val="006C756C"/>
    <w:rsid w:val="006D0C52"/>
    <w:rsid w:val="006D3354"/>
    <w:rsid w:val="006D4A96"/>
    <w:rsid w:val="006D6A34"/>
    <w:rsid w:val="006E3B05"/>
    <w:rsid w:val="006F0420"/>
    <w:rsid w:val="006F5748"/>
    <w:rsid w:val="006F5B85"/>
    <w:rsid w:val="006F630E"/>
    <w:rsid w:val="00702AE0"/>
    <w:rsid w:val="00703836"/>
    <w:rsid w:val="00704C1B"/>
    <w:rsid w:val="00706952"/>
    <w:rsid w:val="00707068"/>
    <w:rsid w:val="00711283"/>
    <w:rsid w:val="007126FF"/>
    <w:rsid w:val="007129FA"/>
    <w:rsid w:val="007140FF"/>
    <w:rsid w:val="007174DA"/>
    <w:rsid w:val="00717517"/>
    <w:rsid w:val="007243DC"/>
    <w:rsid w:val="00725ED2"/>
    <w:rsid w:val="00730733"/>
    <w:rsid w:val="00737246"/>
    <w:rsid w:val="00745308"/>
    <w:rsid w:val="007535ED"/>
    <w:rsid w:val="0075406E"/>
    <w:rsid w:val="00756702"/>
    <w:rsid w:val="00762363"/>
    <w:rsid w:val="00762EA3"/>
    <w:rsid w:val="00772574"/>
    <w:rsid w:val="00773BDA"/>
    <w:rsid w:val="007763CB"/>
    <w:rsid w:val="007804A7"/>
    <w:rsid w:val="0079080A"/>
    <w:rsid w:val="007908F6"/>
    <w:rsid w:val="007909B2"/>
    <w:rsid w:val="00791550"/>
    <w:rsid w:val="00793020"/>
    <w:rsid w:val="00793F87"/>
    <w:rsid w:val="007954D9"/>
    <w:rsid w:val="00796372"/>
    <w:rsid w:val="007A15F3"/>
    <w:rsid w:val="007A3271"/>
    <w:rsid w:val="007A7952"/>
    <w:rsid w:val="007B0BDB"/>
    <w:rsid w:val="007B33DF"/>
    <w:rsid w:val="007B63F2"/>
    <w:rsid w:val="007B7D33"/>
    <w:rsid w:val="007C1632"/>
    <w:rsid w:val="007C36EF"/>
    <w:rsid w:val="007C3ACF"/>
    <w:rsid w:val="007C6BDE"/>
    <w:rsid w:val="007D0678"/>
    <w:rsid w:val="007D0863"/>
    <w:rsid w:val="007D1C2C"/>
    <w:rsid w:val="007E0A5B"/>
    <w:rsid w:val="007E7634"/>
    <w:rsid w:val="007F345F"/>
    <w:rsid w:val="007F34DA"/>
    <w:rsid w:val="007F5681"/>
    <w:rsid w:val="00800E25"/>
    <w:rsid w:val="00801634"/>
    <w:rsid w:val="00802F4F"/>
    <w:rsid w:val="0080537B"/>
    <w:rsid w:val="008134CF"/>
    <w:rsid w:val="008219CF"/>
    <w:rsid w:val="00826053"/>
    <w:rsid w:val="00834062"/>
    <w:rsid w:val="008364E7"/>
    <w:rsid w:val="00837104"/>
    <w:rsid w:val="00840E8F"/>
    <w:rsid w:val="0084100F"/>
    <w:rsid w:val="00842724"/>
    <w:rsid w:val="008444DC"/>
    <w:rsid w:val="00844BBA"/>
    <w:rsid w:val="00845AE3"/>
    <w:rsid w:val="00851A83"/>
    <w:rsid w:val="008520F8"/>
    <w:rsid w:val="00861D76"/>
    <w:rsid w:val="008765B8"/>
    <w:rsid w:val="008765E5"/>
    <w:rsid w:val="00877596"/>
    <w:rsid w:val="00893500"/>
    <w:rsid w:val="00895A2E"/>
    <w:rsid w:val="008A0177"/>
    <w:rsid w:val="008B618F"/>
    <w:rsid w:val="008C0A71"/>
    <w:rsid w:val="008D1E8F"/>
    <w:rsid w:val="008D23BC"/>
    <w:rsid w:val="008D44C5"/>
    <w:rsid w:val="008D7E85"/>
    <w:rsid w:val="008E19FF"/>
    <w:rsid w:val="008E53FF"/>
    <w:rsid w:val="008F0A47"/>
    <w:rsid w:val="008F249D"/>
    <w:rsid w:val="008F54F8"/>
    <w:rsid w:val="008F72C5"/>
    <w:rsid w:val="008F7DD4"/>
    <w:rsid w:val="009011AA"/>
    <w:rsid w:val="00904F4D"/>
    <w:rsid w:val="00906CC3"/>
    <w:rsid w:val="00917D56"/>
    <w:rsid w:val="009212A2"/>
    <w:rsid w:val="009302B7"/>
    <w:rsid w:val="00931C9D"/>
    <w:rsid w:val="00933A00"/>
    <w:rsid w:val="00933BFD"/>
    <w:rsid w:val="0093563D"/>
    <w:rsid w:val="00941691"/>
    <w:rsid w:val="00942AED"/>
    <w:rsid w:val="009443F2"/>
    <w:rsid w:val="00944E25"/>
    <w:rsid w:val="009539EF"/>
    <w:rsid w:val="00953D29"/>
    <w:rsid w:val="00953F15"/>
    <w:rsid w:val="009642AB"/>
    <w:rsid w:val="00976CF4"/>
    <w:rsid w:val="0098288F"/>
    <w:rsid w:val="00982BCB"/>
    <w:rsid w:val="0098476D"/>
    <w:rsid w:val="00987348"/>
    <w:rsid w:val="00993B17"/>
    <w:rsid w:val="00993F03"/>
    <w:rsid w:val="0099435F"/>
    <w:rsid w:val="00996BC5"/>
    <w:rsid w:val="00997C92"/>
    <w:rsid w:val="009A0967"/>
    <w:rsid w:val="009A4A09"/>
    <w:rsid w:val="009A6D34"/>
    <w:rsid w:val="009B3A8F"/>
    <w:rsid w:val="009B4816"/>
    <w:rsid w:val="009B4CF8"/>
    <w:rsid w:val="009B7723"/>
    <w:rsid w:val="009C1BA8"/>
    <w:rsid w:val="009C2D0D"/>
    <w:rsid w:val="009C3492"/>
    <w:rsid w:val="009C49C6"/>
    <w:rsid w:val="009C4DEE"/>
    <w:rsid w:val="009C5AA4"/>
    <w:rsid w:val="009D02D4"/>
    <w:rsid w:val="009D3E5D"/>
    <w:rsid w:val="009D60E3"/>
    <w:rsid w:val="009D68C2"/>
    <w:rsid w:val="009D79A3"/>
    <w:rsid w:val="009E0D67"/>
    <w:rsid w:val="009E4985"/>
    <w:rsid w:val="009F16C5"/>
    <w:rsid w:val="009F1704"/>
    <w:rsid w:val="009F3E11"/>
    <w:rsid w:val="009F691D"/>
    <w:rsid w:val="009F6AF8"/>
    <w:rsid w:val="009F6E78"/>
    <w:rsid w:val="009F7C7E"/>
    <w:rsid w:val="00A01148"/>
    <w:rsid w:val="00A141C9"/>
    <w:rsid w:val="00A15CA0"/>
    <w:rsid w:val="00A173EA"/>
    <w:rsid w:val="00A31DC5"/>
    <w:rsid w:val="00A40C81"/>
    <w:rsid w:val="00A42A28"/>
    <w:rsid w:val="00A42C63"/>
    <w:rsid w:val="00A436CD"/>
    <w:rsid w:val="00A5014D"/>
    <w:rsid w:val="00A5180B"/>
    <w:rsid w:val="00A534AA"/>
    <w:rsid w:val="00A55E36"/>
    <w:rsid w:val="00A561F8"/>
    <w:rsid w:val="00A6457C"/>
    <w:rsid w:val="00A73C0A"/>
    <w:rsid w:val="00A764E9"/>
    <w:rsid w:val="00A822ED"/>
    <w:rsid w:val="00A83F61"/>
    <w:rsid w:val="00A84402"/>
    <w:rsid w:val="00A8757B"/>
    <w:rsid w:val="00A913D1"/>
    <w:rsid w:val="00A92044"/>
    <w:rsid w:val="00A9727D"/>
    <w:rsid w:val="00AA16B9"/>
    <w:rsid w:val="00AA47DC"/>
    <w:rsid w:val="00AB624E"/>
    <w:rsid w:val="00AC2C09"/>
    <w:rsid w:val="00AC6B6F"/>
    <w:rsid w:val="00AD25BC"/>
    <w:rsid w:val="00AD611D"/>
    <w:rsid w:val="00AE11FC"/>
    <w:rsid w:val="00AE2115"/>
    <w:rsid w:val="00AE6354"/>
    <w:rsid w:val="00AF15AF"/>
    <w:rsid w:val="00AF6EB4"/>
    <w:rsid w:val="00B01141"/>
    <w:rsid w:val="00B02230"/>
    <w:rsid w:val="00B02E33"/>
    <w:rsid w:val="00B04CF2"/>
    <w:rsid w:val="00B12C35"/>
    <w:rsid w:val="00B20452"/>
    <w:rsid w:val="00B214A1"/>
    <w:rsid w:val="00B22D5C"/>
    <w:rsid w:val="00B23FF9"/>
    <w:rsid w:val="00B260D8"/>
    <w:rsid w:val="00B263F0"/>
    <w:rsid w:val="00B2716E"/>
    <w:rsid w:val="00B276EC"/>
    <w:rsid w:val="00B30EA5"/>
    <w:rsid w:val="00B32703"/>
    <w:rsid w:val="00B33BC2"/>
    <w:rsid w:val="00B346DA"/>
    <w:rsid w:val="00B36094"/>
    <w:rsid w:val="00B37121"/>
    <w:rsid w:val="00B4578B"/>
    <w:rsid w:val="00B4673A"/>
    <w:rsid w:val="00B50E55"/>
    <w:rsid w:val="00B524CF"/>
    <w:rsid w:val="00B54313"/>
    <w:rsid w:val="00B56F7F"/>
    <w:rsid w:val="00B57348"/>
    <w:rsid w:val="00B6097F"/>
    <w:rsid w:val="00B60B5F"/>
    <w:rsid w:val="00B62574"/>
    <w:rsid w:val="00B62635"/>
    <w:rsid w:val="00B6496F"/>
    <w:rsid w:val="00B71DB5"/>
    <w:rsid w:val="00B71E87"/>
    <w:rsid w:val="00B8064D"/>
    <w:rsid w:val="00B80F06"/>
    <w:rsid w:val="00B81E85"/>
    <w:rsid w:val="00B8220D"/>
    <w:rsid w:val="00B827C6"/>
    <w:rsid w:val="00B84CEB"/>
    <w:rsid w:val="00B93F09"/>
    <w:rsid w:val="00B9422F"/>
    <w:rsid w:val="00BA517F"/>
    <w:rsid w:val="00BB1390"/>
    <w:rsid w:val="00BC4BC0"/>
    <w:rsid w:val="00BC738E"/>
    <w:rsid w:val="00BD0576"/>
    <w:rsid w:val="00BD4B51"/>
    <w:rsid w:val="00BD6A2B"/>
    <w:rsid w:val="00BE2BB0"/>
    <w:rsid w:val="00BE3551"/>
    <w:rsid w:val="00BE50D0"/>
    <w:rsid w:val="00BF16FE"/>
    <w:rsid w:val="00BF5957"/>
    <w:rsid w:val="00C012E2"/>
    <w:rsid w:val="00C012F5"/>
    <w:rsid w:val="00C068BC"/>
    <w:rsid w:val="00C11060"/>
    <w:rsid w:val="00C16FCF"/>
    <w:rsid w:val="00C17081"/>
    <w:rsid w:val="00C17606"/>
    <w:rsid w:val="00C20A85"/>
    <w:rsid w:val="00C27FD4"/>
    <w:rsid w:val="00C32812"/>
    <w:rsid w:val="00C32949"/>
    <w:rsid w:val="00C3396F"/>
    <w:rsid w:val="00C365E2"/>
    <w:rsid w:val="00C44EFB"/>
    <w:rsid w:val="00C520A8"/>
    <w:rsid w:val="00C5507C"/>
    <w:rsid w:val="00C5515D"/>
    <w:rsid w:val="00C55264"/>
    <w:rsid w:val="00C61A59"/>
    <w:rsid w:val="00C642BA"/>
    <w:rsid w:val="00C64C67"/>
    <w:rsid w:val="00C6695C"/>
    <w:rsid w:val="00C66B70"/>
    <w:rsid w:val="00C73C82"/>
    <w:rsid w:val="00C90466"/>
    <w:rsid w:val="00C910A0"/>
    <w:rsid w:val="00C93859"/>
    <w:rsid w:val="00C966AF"/>
    <w:rsid w:val="00C96C78"/>
    <w:rsid w:val="00C97946"/>
    <w:rsid w:val="00CA2893"/>
    <w:rsid w:val="00CA4F91"/>
    <w:rsid w:val="00CA7ABB"/>
    <w:rsid w:val="00CB0838"/>
    <w:rsid w:val="00CB57E5"/>
    <w:rsid w:val="00CB5A72"/>
    <w:rsid w:val="00CB7EE8"/>
    <w:rsid w:val="00CC0BDA"/>
    <w:rsid w:val="00CC2740"/>
    <w:rsid w:val="00CC3212"/>
    <w:rsid w:val="00CC3B0C"/>
    <w:rsid w:val="00CC65BF"/>
    <w:rsid w:val="00CD2723"/>
    <w:rsid w:val="00CD2ACB"/>
    <w:rsid w:val="00CD2D77"/>
    <w:rsid w:val="00CD4EFC"/>
    <w:rsid w:val="00CE083A"/>
    <w:rsid w:val="00CE432C"/>
    <w:rsid w:val="00CE688E"/>
    <w:rsid w:val="00CE6DBB"/>
    <w:rsid w:val="00CF47AE"/>
    <w:rsid w:val="00CF516F"/>
    <w:rsid w:val="00CF6C6C"/>
    <w:rsid w:val="00D0520C"/>
    <w:rsid w:val="00D0536C"/>
    <w:rsid w:val="00D14555"/>
    <w:rsid w:val="00D17DCC"/>
    <w:rsid w:val="00D20D7C"/>
    <w:rsid w:val="00D31359"/>
    <w:rsid w:val="00D31CB0"/>
    <w:rsid w:val="00D31F4A"/>
    <w:rsid w:val="00D32EF0"/>
    <w:rsid w:val="00D34665"/>
    <w:rsid w:val="00D35E52"/>
    <w:rsid w:val="00D3603D"/>
    <w:rsid w:val="00D3667D"/>
    <w:rsid w:val="00D36FA6"/>
    <w:rsid w:val="00D41E9A"/>
    <w:rsid w:val="00D42D70"/>
    <w:rsid w:val="00D46604"/>
    <w:rsid w:val="00D4717A"/>
    <w:rsid w:val="00D53F31"/>
    <w:rsid w:val="00D5584D"/>
    <w:rsid w:val="00D62269"/>
    <w:rsid w:val="00D6293D"/>
    <w:rsid w:val="00D62EDC"/>
    <w:rsid w:val="00D63D44"/>
    <w:rsid w:val="00D66CBC"/>
    <w:rsid w:val="00D72415"/>
    <w:rsid w:val="00D73DC8"/>
    <w:rsid w:val="00D75798"/>
    <w:rsid w:val="00D7610C"/>
    <w:rsid w:val="00D95210"/>
    <w:rsid w:val="00D976DC"/>
    <w:rsid w:val="00DA244B"/>
    <w:rsid w:val="00DA7F88"/>
    <w:rsid w:val="00DB0607"/>
    <w:rsid w:val="00DB1984"/>
    <w:rsid w:val="00DB3580"/>
    <w:rsid w:val="00DB5289"/>
    <w:rsid w:val="00DB52E7"/>
    <w:rsid w:val="00DC0318"/>
    <w:rsid w:val="00DC070D"/>
    <w:rsid w:val="00DC1887"/>
    <w:rsid w:val="00DC47DA"/>
    <w:rsid w:val="00DC59AF"/>
    <w:rsid w:val="00DC7785"/>
    <w:rsid w:val="00DD1D5F"/>
    <w:rsid w:val="00DE0269"/>
    <w:rsid w:val="00DE4321"/>
    <w:rsid w:val="00DE4E0B"/>
    <w:rsid w:val="00E012C5"/>
    <w:rsid w:val="00E023A9"/>
    <w:rsid w:val="00E05B96"/>
    <w:rsid w:val="00E05CAD"/>
    <w:rsid w:val="00E07D1B"/>
    <w:rsid w:val="00E16D33"/>
    <w:rsid w:val="00E218E2"/>
    <w:rsid w:val="00E23FEE"/>
    <w:rsid w:val="00E24C41"/>
    <w:rsid w:val="00E548A7"/>
    <w:rsid w:val="00E57E49"/>
    <w:rsid w:val="00E61C50"/>
    <w:rsid w:val="00E62288"/>
    <w:rsid w:val="00E65D4A"/>
    <w:rsid w:val="00E67204"/>
    <w:rsid w:val="00E7237D"/>
    <w:rsid w:val="00E810EA"/>
    <w:rsid w:val="00E86B8C"/>
    <w:rsid w:val="00E9249A"/>
    <w:rsid w:val="00EA50D7"/>
    <w:rsid w:val="00EA56BF"/>
    <w:rsid w:val="00EB632B"/>
    <w:rsid w:val="00EB78B9"/>
    <w:rsid w:val="00EC3533"/>
    <w:rsid w:val="00ED6CA9"/>
    <w:rsid w:val="00ED76CB"/>
    <w:rsid w:val="00EE7649"/>
    <w:rsid w:val="00EF2F33"/>
    <w:rsid w:val="00EF596C"/>
    <w:rsid w:val="00F07750"/>
    <w:rsid w:val="00F10EBD"/>
    <w:rsid w:val="00F131F6"/>
    <w:rsid w:val="00F15785"/>
    <w:rsid w:val="00F15D70"/>
    <w:rsid w:val="00F30907"/>
    <w:rsid w:val="00F30A77"/>
    <w:rsid w:val="00F3138C"/>
    <w:rsid w:val="00F36063"/>
    <w:rsid w:val="00F42D50"/>
    <w:rsid w:val="00F4393F"/>
    <w:rsid w:val="00F4591E"/>
    <w:rsid w:val="00F45997"/>
    <w:rsid w:val="00F46461"/>
    <w:rsid w:val="00F46A3A"/>
    <w:rsid w:val="00F5375D"/>
    <w:rsid w:val="00F5454E"/>
    <w:rsid w:val="00F60D49"/>
    <w:rsid w:val="00F61F6E"/>
    <w:rsid w:val="00F654DD"/>
    <w:rsid w:val="00F715C3"/>
    <w:rsid w:val="00F718BD"/>
    <w:rsid w:val="00F71A26"/>
    <w:rsid w:val="00F74A47"/>
    <w:rsid w:val="00F76A0C"/>
    <w:rsid w:val="00F80507"/>
    <w:rsid w:val="00F81E0B"/>
    <w:rsid w:val="00F83CD3"/>
    <w:rsid w:val="00F84F11"/>
    <w:rsid w:val="00F857FD"/>
    <w:rsid w:val="00F85F61"/>
    <w:rsid w:val="00F9109A"/>
    <w:rsid w:val="00F91253"/>
    <w:rsid w:val="00F95487"/>
    <w:rsid w:val="00F95DEF"/>
    <w:rsid w:val="00FA1553"/>
    <w:rsid w:val="00FA4DF8"/>
    <w:rsid w:val="00FA5B2C"/>
    <w:rsid w:val="00FA5B37"/>
    <w:rsid w:val="00FA7AE4"/>
    <w:rsid w:val="00FB45D5"/>
    <w:rsid w:val="00FB45FB"/>
    <w:rsid w:val="00FC09A1"/>
    <w:rsid w:val="00FC1781"/>
    <w:rsid w:val="00FC244F"/>
    <w:rsid w:val="00FC5721"/>
    <w:rsid w:val="00FD28DD"/>
    <w:rsid w:val="00FD3728"/>
    <w:rsid w:val="00FD79DA"/>
    <w:rsid w:val="00FE08EB"/>
    <w:rsid w:val="00FE1D07"/>
    <w:rsid w:val="00FE2ADC"/>
    <w:rsid w:val="00FE5997"/>
    <w:rsid w:val="00FE610A"/>
    <w:rsid w:val="00FE675D"/>
    <w:rsid w:val="00FE7534"/>
    <w:rsid w:val="00FE7573"/>
    <w:rsid w:val="00FF0950"/>
    <w:rsid w:val="00FF5484"/>
    <w:rsid w:val="00FF5D76"/>
    <w:rsid w:val="00FF6BDD"/>
    <w:rsid w:val="0C79E7B2"/>
    <w:rsid w:val="138FE9CB"/>
    <w:rsid w:val="2C8553D4"/>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182EC8EE-1EE2-40B6-904D-E8FAC5346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C66B70"/>
    <w:rPr>
      <w:sz w:val="24"/>
      <w:szCs w:val="24"/>
      <w:lang w:val="de-DE" w:eastAsia="de-DE"/>
    </w:rPr>
  </w:style>
  <w:style w:type="paragraph" w:styleId="berschrift1">
    <w:name w:val="heading 1"/>
    <w:basedOn w:val="Standard"/>
    <w:next w:val="Standard"/>
    <w:rsid w:val="004C4EE9"/>
    <w:pPr>
      <w:keepNext/>
      <w:outlineLvl w:val="0"/>
    </w:pPr>
    <w:rPr>
      <w:b/>
      <w:sz w:val="28"/>
      <w:szCs w:val="20"/>
      <w:lang w:val="en-GB"/>
    </w:rPr>
  </w:style>
  <w:style w:type="paragraph" w:styleId="berschrift2">
    <w:name w:val="heading 2"/>
    <w:basedOn w:val="Standard"/>
    <w:next w:val="Standard"/>
    <w:autoRedefine/>
    <w:rsid w:val="004C4EE9"/>
    <w:pPr>
      <w:keepNext/>
      <w:spacing w:before="240" w:after="60"/>
      <w:outlineLvl w:val="1"/>
    </w:pPr>
    <w:rPr>
      <w:rFonts w:cs="Arial"/>
      <w:bCs/>
      <w:iCs/>
      <w:sz w:val="22"/>
      <w:szCs w:val="22"/>
    </w:rPr>
  </w:style>
  <w:style w:type="paragraph" w:styleId="berschrift3">
    <w:name w:val="heading 3"/>
    <w:basedOn w:val="Standard"/>
    <w:next w:val="Standard"/>
    <w:autoRedefine/>
    <w:rsid w:val="004C4EE9"/>
    <w:pPr>
      <w:keepNext/>
      <w:outlineLvl w:val="2"/>
    </w:pPr>
    <w:rPr>
      <w:b/>
      <w:lang w:val="en-GB"/>
    </w:rPr>
  </w:style>
  <w:style w:type="paragraph" w:styleId="berschrift4">
    <w:name w:val="heading 4"/>
    <w:basedOn w:val="Standard"/>
    <w:next w:val="Standard"/>
    <w:rsid w:val="004C4EE9"/>
    <w:pPr>
      <w:keepNext/>
      <w:spacing w:before="240" w:after="60"/>
      <w:outlineLvl w:val="3"/>
    </w:pPr>
    <w:rPr>
      <w:b/>
      <w:bCs/>
      <w:sz w:val="28"/>
      <w:szCs w:val="28"/>
    </w:rPr>
  </w:style>
  <w:style w:type="paragraph" w:styleId="berschrift5">
    <w:name w:val="heading 5"/>
    <w:basedOn w:val="Standard"/>
    <w:next w:val="Standard"/>
    <w:autoRedefine/>
    <w:rsid w:val="004C4EE9"/>
    <w:pPr>
      <w:keepNext/>
      <w:outlineLvl w:val="4"/>
    </w:pPr>
    <w:rPr>
      <w:b/>
      <w:sz w:val="20"/>
      <w:szCs w:val="20"/>
      <w:lang w:val="en-GB"/>
    </w:rPr>
  </w:style>
  <w:style w:type="paragraph" w:styleId="berschrift6">
    <w:name w:val="heading 6"/>
    <w:basedOn w:val="Standard"/>
    <w:next w:val="Standard"/>
    <w:autoRedefine/>
    <w:rsid w:val="004C4EE9"/>
    <w:pPr>
      <w:keepNext/>
      <w:jc w:val="center"/>
      <w:outlineLvl w:val="5"/>
    </w:pPr>
    <w:rPr>
      <w:rFonts w:cs="Arial"/>
      <w:color w:val="000000"/>
      <w:sz w:val="22"/>
      <w:szCs w:val="22"/>
    </w:rPr>
  </w:style>
  <w:style w:type="paragraph" w:styleId="berschrift7">
    <w:name w:val="heading 7"/>
    <w:basedOn w:val="Standard"/>
    <w:next w:val="Standard"/>
    <w:rsid w:val="004C4EE9"/>
    <w:pPr>
      <w:spacing w:before="240" w:after="60"/>
      <w:outlineLvl w:val="6"/>
    </w:pPr>
  </w:style>
  <w:style w:type="paragraph" w:styleId="berschrift8">
    <w:name w:val="heading 8"/>
    <w:basedOn w:val="Standard"/>
    <w:next w:val="Standard"/>
    <w:rsid w:val="004C4EE9"/>
    <w:pPr>
      <w:spacing w:before="240" w:after="60"/>
      <w:outlineLvl w:val="7"/>
    </w:pPr>
    <w:rPr>
      <w:i/>
      <w:iCs/>
    </w:rPr>
  </w:style>
  <w:style w:type="paragraph" w:styleId="berschrift9">
    <w:name w:val="heading 9"/>
    <w:basedOn w:val="Standard"/>
    <w:next w:val="Standard"/>
    <w:rsid w:val="004C4EE9"/>
    <w:pPr>
      <w:spacing w:before="240" w:after="60"/>
      <w:outlineLvl w:val="8"/>
    </w:pPr>
    <w:rPr>
      <w:rFonts w:ascii="Arial" w:hAnsi="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rsid w:val="00A55E36"/>
    <w:pPr>
      <w:numPr>
        <w:numId w:val="1"/>
      </w:numPr>
    </w:pPr>
  </w:style>
  <w:style w:type="character" w:customStyle="1" w:styleId="texto">
    <w:name w:val="texto"/>
    <w:basedOn w:val="Absatz-Standardschriftart"/>
    <w:rsid w:val="00A6457C"/>
  </w:style>
  <w:style w:type="character" w:styleId="Kommentarzeichen">
    <w:name w:val="annotation reference"/>
    <w:basedOn w:val="Absatz-Standardschriftart"/>
    <w:semiHidden/>
    <w:rsid w:val="009E4985"/>
    <w:rPr>
      <w:sz w:val="16"/>
      <w:szCs w:val="16"/>
    </w:rPr>
  </w:style>
  <w:style w:type="paragraph" w:styleId="Kommentartext">
    <w:name w:val="annotation text"/>
    <w:basedOn w:val="Standard"/>
    <w:link w:val="KommentartextZchn"/>
    <w:semiHidden/>
    <w:rsid w:val="009E4985"/>
    <w:rPr>
      <w:sz w:val="20"/>
      <w:szCs w:val="20"/>
    </w:rPr>
  </w:style>
  <w:style w:type="character" w:customStyle="1" w:styleId="SWCBulletedListCar">
    <w:name w:val="SWC_BulletedList Car"/>
    <w:basedOn w:val="Absatz-Standardschriftar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ind w:left="240" w:firstLine="0"/>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bsatz-Standardschriftart"/>
    <w:link w:val="CPV-7Heading1Character"/>
    <w:rsid w:val="00FE2ADC"/>
    <w:rPr>
      <w:b/>
      <w:color w:val="000000"/>
      <w:sz w:val="22"/>
      <w:szCs w:val="24"/>
      <w:lang w:val="en-US" w:eastAsia="de-DE" w:bidi="ar-SA"/>
    </w:rPr>
  </w:style>
  <w:style w:type="paragraph" w:customStyle="1" w:styleId="SWCHeading11">
    <w:name w:val="SWC_Heading1.1"/>
    <w:basedOn w:val="SWCHeading1"/>
    <w:next w:val="Standard"/>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Kommentarthema">
    <w:name w:val="annotation subject"/>
    <w:basedOn w:val="Kommentartext"/>
    <w:next w:val="Kommentar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Absatz-Standardschriftart"/>
    <w:rsid w:val="005D5CF6"/>
    <w:rPr>
      <w:color w:val="0000FF"/>
      <w:u w:val="single"/>
    </w:rPr>
  </w:style>
  <w:style w:type="paragraph" w:styleId="Sprechblasentext">
    <w:name w:val="Balloon Text"/>
    <w:basedOn w:val="Standard"/>
    <w:semiHidden/>
    <w:rsid w:val="009E4985"/>
    <w:rPr>
      <w:rFonts w:ascii="Tahoma" w:hAnsi="Tahoma" w:cs="Tahoma"/>
      <w:sz w:val="16"/>
      <w:szCs w:val="16"/>
    </w:rPr>
  </w:style>
  <w:style w:type="paragraph" w:customStyle="1" w:styleId="SP09Heading111">
    <w:name w:val="SP09_Heading1.1.1"/>
    <w:basedOn w:val="Standard"/>
    <w:rsid w:val="00DC0318"/>
    <w:pPr>
      <w:spacing w:before="160" w:after="80" w:line="240" w:lineRule="exact"/>
    </w:pPr>
    <w:rPr>
      <w:b/>
      <w:color w:val="000000"/>
      <w:sz w:val="20"/>
      <w:szCs w:val="22"/>
      <w:lang w:val="en-US"/>
    </w:rPr>
  </w:style>
  <w:style w:type="table" w:styleId="Tabellenraster">
    <w:name w:val="Table Grid"/>
    <w:basedOn w:val="NormaleTabelle"/>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Standard"/>
    <w:next w:val="AuthorAdress"/>
    <w:rsid w:val="00155FB8"/>
    <w:pPr>
      <w:spacing w:after="240"/>
      <w:jc w:val="center"/>
    </w:pPr>
    <w:rPr>
      <w:szCs w:val="20"/>
      <w:lang w:val="en-GB" w:eastAsia="es-ES"/>
    </w:rPr>
  </w:style>
  <w:style w:type="paragraph" w:customStyle="1" w:styleId="AuthorAdress">
    <w:name w:val="AuthorAdress"/>
    <w:basedOn w:val="Standard"/>
    <w:next w:val="Affiliations"/>
    <w:rsid w:val="00155FB8"/>
    <w:pPr>
      <w:spacing w:after="120" w:line="320" w:lineRule="atLeast"/>
      <w:jc w:val="center"/>
    </w:pPr>
    <w:rPr>
      <w:i/>
      <w:lang w:val="en-GB" w:eastAsia="es-ES"/>
    </w:rPr>
  </w:style>
  <w:style w:type="paragraph" w:customStyle="1" w:styleId="TableText">
    <w:name w:val="TableText"/>
    <w:basedOn w:val="Standard"/>
    <w:next w:val="Standard"/>
    <w:rsid w:val="00155FB8"/>
    <w:pPr>
      <w:jc w:val="center"/>
    </w:pPr>
    <w:rPr>
      <w:sz w:val="20"/>
      <w:szCs w:val="20"/>
      <w:lang w:val="es-ES" w:eastAsia="es-ES"/>
    </w:rPr>
  </w:style>
  <w:style w:type="paragraph" w:customStyle="1" w:styleId="Text">
    <w:name w:val="Text"/>
    <w:basedOn w:val="Standard"/>
    <w:rsid w:val="009B4816"/>
    <w:pPr>
      <w:spacing w:after="240" w:line="320" w:lineRule="atLeast"/>
      <w:jc w:val="both"/>
    </w:pPr>
    <w:rPr>
      <w:szCs w:val="20"/>
      <w:lang w:val="en-GB" w:eastAsia="es-ES"/>
    </w:rPr>
  </w:style>
  <w:style w:type="paragraph" w:customStyle="1" w:styleId="FigureCaption">
    <w:name w:val="FigureCaption"/>
    <w:basedOn w:val="Standard"/>
    <w:next w:val="Standard"/>
    <w:rsid w:val="00AC2C09"/>
    <w:pPr>
      <w:jc w:val="center"/>
    </w:pPr>
    <w:rPr>
      <w:szCs w:val="20"/>
      <w:lang w:val="es-ES" w:eastAsia="es-ES"/>
    </w:rPr>
  </w:style>
  <w:style w:type="paragraph" w:customStyle="1" w:styleId="Title2">
    <w:name w:val="Title2"/>
    <w:basedOn w:val="Standard"/>
    <w:link w:val="Title2CarCar"/>
    <w:rsid w:val="00AC2C09"/>
    <w:pPr>
      <w:keepNext/>
      <w:spacing w:before="240" w:after="120" w:line="320" w:lineRule="atLeast"/>
    </w:pPr>
    <w:rPr>
      <w:b/>
      <w:szCs w:val="20"/>
      <w:lang w:val="en-GB" w:eastAsia="es-ES"/>
    </w:rPr>
  </w:style>
  <w:style w:type="character" w:customStyle="1" w:styleId="Title2CarCar">
    <w:name w:val="Title2 Car Car"/>
    <w:basedOn w:val="Absatz-Standardschriftar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Standard"/>
    <w:link w:val="SWCHeading1Car"/>
    <w:qFormat/>
    <w:rsid w:val="002972D1"/>
    <w:pPr>
      <w:numPr>
        <w:numId w:val="11"/>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Standard"/>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unotentext">
    <w:name w:val="footnote text"/>
    <w:basedOn w:val="Standard"/>
    <w:semiHidden/>
    <w:rsid w:val="003869E8"/>
    <w:rPr>
      <w:sz w:val="20"/>
      <w:szCs w:val="20"/>
    </w:rPr>
  </w:style>
  <w:style w:type="character" w:styleId="Funotenzeichen">
    <w:name w:val="footnote reference"/>
    <w:basedOn w:val="Absatz-Standardschriftar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bsatz-Standardschriftar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tzhaltertext">
    <w:name w:val="Placeholder Text"/>
    <w:basedOn w:val="Absatz-Standardschriftart"/>
    <w:uiPriority w:val="99"/>
    <w:semiHidden/>
    <w:rsid w:val="00653551"/>
    <w:rPr>
      <w:color w:val="808080"/>
    </w:rPr>
  </w:style>
  <w:style w:type="character" w:customStyle="1" w:styleId="NichtaufgelsteErwhnung1">
    <w:name w:val="Nicht aufgelöste Erwähnung1"/>
    <w:basedOn w:val="Absatz-Standardschriftart"/>
    <w:uiPriority w:val="99"/>
    <w:semiHidden/>
    <w:unhideWhenUsed/>
    <w:rsid w:val="00E218E2"/>
    <w:rPr>
      <w:color w:val="605E5C"/>
      <w:shd w:val="clear" w:color="auto" w:fill="E1DFDD"/>
    </w:rPr>
  </w:style>
  <w:style w:type="paragraph" w:styleId="berarbeitung">
    <w:name w:val="Revision"/>
    <w:hidden/>
    <w:uiPriority w:val="99"/>
    <w:semiHidden/>
    <w:rsid w:val="00FA4DF8"/>
    <w:rPr>
      <w:sz w:val="24"/>
      <w:szCs w:val="24"/>
      <w:lang w:val="de-DE" w:eastAsia="de-DE"/>
    </w:rPr>
  </w:style>
  <w:style w:type="paragraph" w:customStyle="1" w:styleId="EuroSunText">
    <w:name w:val="EuroSun_Text"/>
    <w:qFormat/>
    <w:rsid w:val="00261902"/>
    <w:pPr>
      <w:widowControl w:val="0"/>
      <w:spacing w:after="120" w:line="276" w:lineRule="auto"/>
      <w:jc w:val="both"/>
    </w:pPr>
    <w:rPr>
      <w:color w:val="000000"/>
      <w:szCs w:val="22"/>
      <w:lang w:val="en-US" w:eastAsia="de-DE"/>
    </w:rPr>
  </w:style>
  <w:style w:type="character" w:styleId="Zeilennummer">
    <w:name w:val="line number"/>
    <w:basedOn w:val="Absatz-Standardschriftart"/>
    <w:uiPriority w:val="99"/>
    <w:semiHidden/>
    <w:unhideWhenUsed/>
    <w:rsid w:val="001E6EA9"/>
  </w:style>
  <w:style w:type="paragraph" w:styleId="Beschriftung">
    <w:name w:val="caption"/>
    <w:basedOn w:val="Standard"/>
    <w:next w:val="Standard"/>
    <w:uiPriority w:val="35"/>
    <w:unhideWhenUsed/>
    <w:qFormat/>
    <w:rsid w:val="008765E5"/>
    <w:pPr>
      <w:spacing w:after="200"/>
    </w:pPr>
    <w:rPr>
      <w:i/>
      <w:iCs/>
      <w:color w:val="1F497D" w:themeColor="text2"/>
      <w:sz w:val="18"/>
      <w:szCs w:val="18"/>
    </w:rPr>
  </w:style>
  <w:style w:type="character" w:customStyle="1" w:styleId="KommentartextZchn">
    <w:name w:val="Kommentartext Zchn"/>
    <w:basedOn w:val="Absatz-Standardschriftart"/>
    <w:link w:val="Kommentartext"/>
    <w:semiHidden/>
    <w:rsid w:val="00FE1D07"/>
    <w:rPr>
      <w:lang w:val="de-DE" w:eastAsia="de-DE"/>
    </w:rPr>
  </w:style>
  <w:style w:type="character" w:styleId="NichtaufgelsteErwhnung">
    <w:name w:val="Unresolved Mention"/>
    <w:basedOn w:val="Absatz-Standardschriftart"/>
    <w:uiPriority w:val="99"/>
    <w:semiHidden/>
    <w:unhideWhenUsed/>
    <w:rsid w:val="00BE3551"/>
    <w:rPr>
      <w:color w:val="605E5C"/>
      <w:shd w:val="clear" w:color="auto" w:fill="E1DFDD"/>
    </w:rPr>
  </w:style>
  <w:style w:type="paragraph" w:styleId="Kopfzeile">
    <w:name w:val="header"/>
    <w:basedOn w:val="Standard"/>
    <w:link w:val="KopfzeileZchn"/>
    <w:uiPriority w:val="99"/>
    <w:unhideWhenUsed/>
    <w:rsid w:val="005067BA"/>
    <w:pPr>
      <w:tabs>
        <w:tab w:val="center" w:pos="4703"/>
        <w:tab w:val="right" w:pos="9406"/>
      </w:tabs>
    </w:pPr>
  </w:style>
  <w:style w:type="character" w:customStyle="1" w:styleId="KopfzeileZchn">
    <w:name w:val="Kopfzeile Zchn"/>
    <w:basedOn w:val="Absatz-Standardschriftart"/>
    <w:link w:val="Kopfzeile"/>
    <w:uiPriority w:val="99"/>
    <w:rsid w:val="005067BA"/>
    <w:rPr>
      <w:sz w:val="24"/>
      <w:szCs w:val="24"/>
      <w:lang w:val="de-DE" w:eastAsia="de-DE"/>
    </w:rPr>
  </w:style>
  <w:style w:type="paragraph" w:styleId="Fuzeile">
    <w:name w:val="footer"/>
    <w:basedOn w:val="Standard"/>
    <w:link w:val="FuzeileZchn"/>
    <w:uiPriority w:val="99"/>
    <w:unhideWhenUsed/>
    <w:rsid w:val="005067BA"/>
    <w:pPr>
      <w:tabs>
        <w:tab w:val="center" w:pos="4703"/>
        <w:tab w:val="right" w:pos="9406"/>
      </w:tabs>
    </w:pPr>
  </w:style>
  <w:style w:type="character" w:customStyle="1" w:styleId="FuzeileZchn">
    <w:name w:val="Fußzeile Zchn"/>
    <w:basedOn w:val="Absatz-Standardschriftart"/>
    <w:link w:val="Fuzeile"/>
    <w:uiPriority w:val="99"/>
    <w:rsid w:val="005067BA"/>
    <w:rPr>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2867">
      <w:bodyDiv w:val="1"/>
      <w:marLeft w:val="0"/>
      <w:marRight w:val="0"/>
      <w:marTop w:val="0"/>
      <w:marBottom w:val="0"/>
      <w:divBdr>
        <w:top w:val="none" w:sz="0" w:space="0" w:color="auto"/>
        <w:left w:val="none" w:sz="0" w:space="0" w:color="auto"/>
        <w:bottom w:val="none" w:sz="0" w:space="0" w:color="auto"/>
        <w:right w:val="none" w:sz="0" w:space="0" w:color="auto"/>
      </w:divBdr>
    </w:div>
    <w:div w:id="11610639">
      <w:bodyDiv w:val="1"/>
      <w:marLeft w:val="0"/>
      <w:marRight w:val="0"/>
      <w:marTop w:val="0"/>
      <w:marBottom w:val="0"/>
      <w:divBdr>
        <w:top w:val="none" w:sz="0" w:space="0" w:color="auto"/>
        <w:left w:val="none" w:sz="0" w:space="0" w:color="auto"/>
        <w:bottom w:val="none" w:sz="0" w:space="0" w:color="auto"/>
        <w:right w:val="none" w:sz="0" w:space="0" w:color="auto"/>
      </w:divBdr>
      <w:divsChild>
        <w:div w:id="623461361">
          <w:marLeft w:val="480"/>
          <w:marRight w:val="0"/>
          <w:marTop w:val="0"/>
          <w:marBottom w:val="0"/>
          <w:divBdr>
            <w:top w:val="none" w:sz="0" w:space="0" w:color="auto"/>
            <w:left w:val="none" w:sz="0" w:space="0" w:color="auto"/>
            <w:bottom w:val="none" w:sz="0" w:space="0" w:color="auto"/>
            <w:right w:val="none" w:sz="0" w:space="0" w:color="auto"/>
          </w:divBdr>
        </w:div>
        <w:div w:id="1108429801">
          <w:marLeft w:val="480"/>
          <w:marRight w:val="0"/>
          <w:marTop w:val="0"/>
          <w:marBottom w:val="0"/>
          <w:divBdr>
            <w:top w:val="none" w:sz="0" w:space="0" w:color="auto"/>
            <w:left w:val="none" w:sz="0" w:space="0" w:color="auto"/>
            <w:bottom w:val="none" w:sz="0" w:space="0" w:color="auto"/>
            <w:right w:val="none" w:sz="0" w:space="0" w:color="auto"/>
          </w:divBdr>
        </w:div>
        <w:div w:id="2048798800">
          <w:marLeft w:val="480"/>
          <w:marRight w:val="0"/>
          <w:marTop w:val="0"/>
          <w:marBottom w:val="0"/>
          <w:divBdr>
            <w:top w:val="none" w:sz="0" w:space="0" w:color="auto"/>
            <w:left w:val="none" w:sz="0" w:space="0" w:color="auto"/>
            <w:bottom w:val="none" w:sz="0" w:space="0" w:color="auto"/>
            <w:right w:val="none" w:sz="0" w:space="0" w:color="auto"/>
          </w:divBdr>
        </w:div>
        <w:div w:id="1502695293">
          <w:marLeft w:val="480"/>
          <w:marRight w:val="0"/>
          <w:marTop w:val="0"/>
          <w:marBottom w:val="0"/>
          <w:divBdr>
            <w:top w:val="none" w:sz="0" w:space="0" w:color="auto"/>
            <w:left w:val="none" w:sz="0" w:space="0" w:color="auto"/>
            <w:bottom w:val="none" w:sz="0" w:space="0" w:color="auto"/>
            <w:right w:val="none" w:sz="0" w:space="0" w:color="auto"/>
          </w:divBdr>
        </w:div>
      </w:divsChild>
    </w:div>
    <w:div w:id="46690992">
      <w:bodyDiv w:val="1"/>
      <w:marLeft w:val="0"/>
      <w:marRight w:val="0"/>
      <w:marTop w:val="0"/>
      <w:marBottom w:val="0"/>
      <w:divBdr>
        <w:top w:val="none" w:sz="0" w:space="0" w:color="auto"/>
        <w:left w:val="none" w:sz="0" w:space="0" w:color="auto"/>
        <w:bottom w:val="none" w:sz="0" w:space="0" w:color="auto"/>
        <w:right w:val="none" w:sz="0" w:space="0" w:color="auto"/>
      </w:divBdr>
      <w:divsChild>
        <w:div w:id="9376103">
          <w:marLeft w:val="480"/>
          <w:marRight w:val="0"/>
          <w:marTop w:val="0"/>
          <w:marBottom w:val="0"/>
          <w:divBdr>
            <w:top w:val="none" w:sz="0" w:space="0" w:color="auto"/>
            <w:left w:val="none" w:sz="0" w:space="0" w:color="auto"/>
            <w:bottom w:val="none" w:sz="0" w:space="0" w:color="auto"/>
            <w:right w:val="none" w:sz="0" w:space="0" w:color="auto"/>
          </w:divBdr>
        </w:div>
        <w:div w:id="1913809629">
          <w:marLeft w:val="480"/>
          <w:marRight w:val="0"/>
          <w:marTop w:val="0"/>
          <w:marBottom w:val="0"/>
          <w:divBdr>
            <w:top w:val="none" w:sz="0" w:space="0" w:color="auto"/>
            <w:left w:val="none" w:sz="0" w:space="0" w:color="auto"/>
            <w:bottom w:val="none" w:sz="0" w:space="0" w:color="auto"/>
            <w:right w:val="none" w:sz="0" w:space="0" w:color="auto"/>
          </w:divBdr>
        </w:div>
        <w:div w:id="1505590087">
          <w:marLeft w:val="480"/>
          <w:marRight w:val="0"/>
          <w:marTop w:val="0"/>
          <w:marBottom w:val="0"/>
          <w:divBdr>
            <w:top w:val="none" w:sz="0" w:space="0" w:color="auto"/>
            <w:left w:val="none" w:sz="0" w:space="0" w:color="auto"/>
            <w:bottom w:val="none" w:sz="0" w:space="0" w:color="auto"/>
            <w:right w:val="none" w:sz="0" w:space="0" w:color="auto"/>
          </w:divBdr>
        </w:div>
        <w:div w:id="346909301">
          <w:marLeft w:val="480"/>
          <w:marRight w:val="0"/>
          <w:marTop w:val="0"/>
          <w:marBottom w:val="0"/>
          <w:divBdr>
            <w:top w:val="none" w:sz="0" w:space="0" w:color="auto"/>
            <w:left w:val="none" w:sz="0" w:space="0" w:color="auto"/>
            <w:bottom w:val="none" w:sz="0" w:space="0" w:color="auto"/>
            <w:right w:val="none" w:sz="0" w:space="0" w:color="auto"/>
          </w:divBdr>
        </w:div>
      </w:divsChild>
    </w:div>
    <w:div w:id="61220999">
      <w:bodyDiv w:val="1"/>
      <w:marLeft w:val="0"/>
      <w:marRight w:val="0"/>
      <w:marTop w:val="0"/>
      <w:marBottom w:val="0"/>
      <w:divBdr>
        <w:top w:val="none" w:sz="0" w:space="0" w:color="auto"/>
        <w:left w:val="none" w:sz="0" w:space="0" w:color="auto"/>
        <w:bottom w:val="none" w:sz="0" w:space="0" w:color="auto"/>
        <w:right w:val="none" w:sz="0" w:space="0" w:color="auto"/>
      </w:divBdr>
      <w:divsChild>
        <w:div w:id="719205727">
          <w:marLeft w:val="480"/>
          <w:marRight w:val="0"/>
          <w:marTop w:val="0"/>
          <w:marBottom w:val="0"/>
          <w:divBdr>
            <w:top w:val="none" w:sz="0" w:space="0" w:color="auto"/>
            <w:left w:val="none" w:sz="0" w:space="0" w:color="auto"/>
            <w:bottom w:val="none" w:sz="0" w:space="0" w:color="auto"/>
            <w:right w:val="none" w:sz="0" w:space="0" w:color="auto"/>
          </w:divBdr>
        </w:div>
        <w:div w:id="398132511">
          <w:marLeft w:val="480"/>
          <w:marRight w:val="0"/>
          <w:marTop w:val="0"/>
          <w:marBottom w:val="0"/>
          <w:divBdr>
            <w:top w:val="none" w:sz="0" w:space="0" w:color="auto"/>
            <w:left w:val="none" w:sz="0" w:space="0" w:color="auto"/>
            <w:bottom w:val="none" w:sz="0" w:space="0" w:color="auto"/>
            <w:right w:val="none" w:sz="0" w:space="0" w:color="auto"/>
          </w:divBdr>
        </w:div>
        <w:div w:id="2036341953">
          <w:marLeft w:val="480"/>
          <w:marRight w:val="0"/>
          <w:marTop w:val="0"/>
          <w:marBottom w:val="0"/>
          <w:divBdr>
            <w:top w:val="none" w:sz="0" w:space="0" w:color="auto"/>
            <w:left w:val="none" w:sz="0" w:space="0" w:color="auto"/>
            <w:bottom w:val="none" w:sz="0" w:space="0" w:color="auto"/>
            <w:right w:val="none" w:sz="0" w:space="0" w:color="auto"/>
          </w:divBdr>
        </w:div>
        <w:div w:id="1921712252">
          <w:marLeft w:val="480"/>
          <w:marRight w:val="0"/>
          <w:marTop w:val="0"/>
          <w:marBottom w:val="0"/>
          <w:divBdr>
            <w:top w:val="none" w:sz="0" w:space="0" w:color="auto"/>
            <w:left w:val="none" w:sz="0" w:space="0" w:color="auto"/>
            <w:bottom w:val="none" w:sz="0" w:space="0" w:color="auto"/>
            <w:right w:val="none" w:sz="0" w:space="0" w:color="auto"/>
          </w:divBdr>
        </w:div>
      </w:divsChild>
    </w:div>
    <w:div w:id="70007035">
      <w:bodyDiv w:val="1"/>
      <w:marLeft w:val="0"/>
      <w:marRight w:val="0"/>
      <w:marTop w:val="0"/>
      <w:marBottom w:val="0"/>
      <w:divBdr>
        <w:top w:val="none" w:sz="0" w:space="0" w:color="auto"/>
        <w:left w:val="none" w:sz="0" w:space="0" w:color="auto"/>
        <w:bottom w:val="none" w:sz="0" w:space="0" w:color="auto"/>
        <w:right w:val="none" w:sz="0" w:space="0" w:color="auto"/>
      </w:divBdr>
    </w:div>
    <w:div w:id="156309764">
      <w:bodyDiv w:val="1"/>
      <w:marLeft w:val="0"/>
      <w:marRight w:val="0"/>
      <w:marTop w:val="0"/>
      <w:marBottom w:val="0"/>
      <w:divBdr>
        <w:top w:val="none" w:sz="0" w:space="0" w:color="auto"/>
        <w:left w:val="none" w:sz="0" w:space="0" w:color="auto"/>
        <w:bottom w:val="none" w:sz="0" w:space="0" w:color="auto"/>
        <w:right w:val="none" w:sz="0" w:space="0" w:color="auto"/>
      </w:divBdr>
      <w:divsChild>
        <w:div w:id="1431123587">
          <w:marLeft w:val="480"/>
          <w:marRight w:val="0"/>
          <w:marTop w:val="0"/>
          <w:marBottom w:val="0"/>
          <w:divBdr>
            <w:top w:val="none" w:sz="0" w:space="0" w:color="auto"/>
            <w:left w:val="none" w:sz="0" w:space="0" w:color="auto"/>
            <w:bottom w:val="none" w:sz="0" w:space="0" w:color="auto"/>
            <w:right w:val="none" w:sz="0" w:space="0" w:color="auto"/>
          </w:divBdr>
        </w:div>
        <w:div w:id="2126339124">
          <w:marLeft w:val="480"/>
          <w:marRight w:val="0"/>
          <w:marTop w:val="0"/>
          <w:marBottom w:val="0"/>
          <w:divBdr>
            <w:top w:val="none" w:sz="0" w:space="0" w:color="auto"/>
            <w:left w:val="none" w:sz="0" w:space="0" w:color="auto"/>
            <w:bottom w:val="none" w:sz="0" w:space="0" w:color="auto"/>
            <w:right w:val="none" w:sz="0" w:space="0" w:color="auto"/>
          </w:divBdr>
        </w:div>
        <w:div w:id="700596139">
          <w:marLeft w:val="480"/>
          <w:marRight w:val="0"/>
          <w:marTop w:val="0"/>
          <w:marBottom w:val="0"/>
          <w:divBdr>
            <w:top w:val="none" w:sz="0" w:space="0" w:color="auto"/>
            <w:left w:val="none" w:sz="0" w:space="0" w:color="auto"/>
            <w:bottom w:val="none" w:sz="0" w:space="0" w:color="auto"/>
            <w:right w:val="none" w:sz="0" w:space="0" w:color="auto"/>
          </w:divBdr>
        </w:div>
        <w:div w:id="27681388">
          <w:marLeft w:val="480"/>
          <w:marRight w:val="0"/>
          <w:marTop w:val="0"/>
          <w:marBottom w:val="0"/>
          <w:divBdr>
            <w:top w:val="none" w:sz="0" w:space="0" w:color="auto"/>
            <w:left w:val="none" w:sz="0" w:space="0" w:color="auto"/>
            <w:bottom w:val="none" w:sz="0" w:space="0" w:color="auto"/>
            <w:right w:val="none" w:sz="0" w:space="0" w:color="auto"/>
          </w:divBdr>
        </w:div>
      </w:divsChild>
    </w:div>
    <w:div w:id="158932541">
      <w:bodyDiv w:val="1"/>
      <w:marLeft w:val="0"/>
      <w:marRight w:val="0"/>
      <w:marTop w:val="0"/>
      <w:marBottom w:val="0"/>
      <w:divBdr>
        <w:top w:val="none" w:sz="0" w:space="0" w:color="auto"/>
        <w:left w:val="none" w:sz="0" w:space="0" w:color="auto"/>
        <w:bottom w:val="none" w:sz="0" w:space="0" w:color="auto"/>
        <w:right w:val="none" w:sz="0" w:space="0" w:color="auto"/>
      </w:divBdr>
      <w:divsChild>
        <w:div w:id="971135757">
          <w:marLeft w:val="480"/>
          <w:marRight w:val="0"/>
          <w:marTop w:val="0"/>
          <w:marBottom w:val="0"/>
          <w:divBdr>
            <w:top w:val="none" w:sz="0" w:space="0" w:color="auto"/>
            <w:left w:val="none" w:sz="0" w:space="0" w:color="auto"/>
            <w:bottom w:val="none" w:sz="0" w:space="0" w:color="auto"/>
            <w:right w:val="none" w:sz="0" w:space="0" w:color="auto"/>
          </w:divBdr>
        </w:div>
        <w:div w:id="1851484377">
          <w:marLeft w:val="480"/>
          <w:marRight w:val="0"/>
          <w:marTop w:val="0"/>
          <w:marBottom w:val="0"/>
          <w:divBdr>
            <w:top w:val="none" w:sz="0" w:space="0" w:color="auto"/>
            <w:left w:val="none" w:sz="0" w:space="0" w:color="auto"/>
            <w:bottom w:val="none" w:sz="0" w:space="0" w:color="auto"/>
            <w:right w:val="none" w:sz="0" w:space="0" w:color="auto"/>
          </w:divBdr>
        </w:div>
        <w:div w:id="1937595890">
          <w:marLeft w:val="480"/>
          <w:marRight w:val="0"/>
          <w:marTop w:val="0"/>
          <w:marBottom w:val="0"/>
          <w:divBdr>
            <w:top w:val="none" w:sz="0" w:space="0" w:color="auto"/>
            <w:left w:val="none" w:sz="0" w:space="0" w:color="auto"/>
            <w:bottom w:val="none" w:sz="0" w:space="0" w:color="auto"/>
            <w:right w:val="none" w:sz="0" w:space="0" w:color="auto"/>
          </w:divBdr>
        </w:div>
        <w:div w:id="1714621613">
          <w:marLeft w:val="480"/>
          <w:marRight w:val="0"/>
          <w:marTop w:val="0"/>
          <w:marBottom w:val="0"/>
          <w:divBdr>
            <w:top w:val="none" w:sz="0" w:space="0" w:color="auto"/>
            <w:left w:val="none" w:sz="0" w:space="0" w:color="auto"/>
            <w:bottom w:val="none" w:sz="0" w:space="0" w:color="auto"/>
            <w:right w:val="none" w:sz="0" w:space="0" w:color="auto"/>
          </w:divBdr>
        </w:div>
        <w:div w:id="1690136534">
          <w:marLeft w:val="480"/>
          <w:marRight w:val="0"/>
          <w:marTop w:val="0"/>
          <w:marBottom w:val="0"/>
          <w:divBdr>
            <w:top w:val="none" w:sz="0" w:space="0" w:color="auto"/>
            <w:left w:val="none" w:sz="0" w:space="0" w:color="auto"/>
            <w:bottom w:val="none" w:sz="0" w:space="0" w:color="auto"/>
            <w:right w:val="none" w:sz="0" w:space="0" w:color="auto"/>
          </w:divBdr>
        </w:div>
        <w:div w:id="2116435963">
          <w:marLeft w:val="480"/>
          <w:marRight w:val="0"/>
          <w:marTop w:val="0"/>
          <w:marBottom w:val="0"/>
          <w:divBdr>
            <w:top w:val="none" w:sz="0" w:space="0" w:color="auto"/>
            <w:left w:val="none" w:sz="0" w:space="0" w:color="auto"/>
            <w:bottom w:val="none" w:sz="0" w:space="0" w:color="auto"/>
            <w:right w:val="none" w:sz="0" w:space="0" w:color="auto"/>
          </w:divBdr>
        </w:div>
      </w:divsChild>
    </w:div>
    <w:div w:id="159932446">
      <w:bodyDiv w:val="1"/>
      <w:marLeft w:val="0"/>
      <w:marRight w:val="0"/>
      <w:marTop w:val="0"/>
      <w:marBottom w:val="0"/>
      <w:divBdr>
        <w:top w:val="none" w:sz="0" w:space="0" w:color="auto"/>
        <w:left w:val="none" w:sz="0" w:space="0" w:color="auto"/>
        <w:bottom w:val="none" w:sz="0" w:space="0" w:color="auto"/>
        <w:right w:val="none" w:sz="0" w:space="0" w:color="auto"/>
      </w:divBdr>
      <w:divsChild>
        <w:div w:id="504057774">
          <w:marLeft w:val="480"/>
          <w:marRight w:val="0"/>
          <w:marTop w:val="0"/>
          <w:marBottom w:val="0"/>
          <w:divBdr>
            <w:top w:val="none" w:sz="0" w:space="0" w:color="auto"/>
            <w:left w:val="none" w:sz="0" w:space="0" w:color="auto"/>
            <w:bottom w:val="none" w:sz="0" w:space="0" w:color="auto"/>
            <w:right w:val="none" w:sz="0" w:space="0" w:color="auto"/>
          </w:divBdr>
        </w:div>
        <w:div w:id="326717249">
          <w:marLeft w:val="480"/>
          <w:marRight w:val="0"/>
          <w:marTop w:val="0"/>
          <w:marBottom w:val="0"/>
          <w:divBdr>
            <w:top w:val="none" w:sz="0" w:space="0" w:color="auto"/>
            <w:left w:val="none" w:sz="0" w:space="0" w:color="auto"/>
            <w:bottom w:val="none" w:sz="0" w:space="0" w:color="auto"/>
            <w:right w:val="none" w:sz="0" w:space="0" w:color="auto"/>
          </w:divBdr>
        </w:div>
        <w:div w:id="2013141483">
          <w:marLeft w:val="480"/>
          <w:marRight w:val="0"/>
          <w:marTop w:val="0"/>
          <w:marBottom w:val="0"/>
          <w:divBdr>
            <w:top w:val="none" w:sz="0" w:space="0" w:color="auto"/>
            <w:left w:val="none" w:sz="0" w:space="0" w:color="auto"/>
            <w:bottom w:val="none" w:sz="0" w:space="0" w:color="auto"/>
            <w:right w:val="none" w:sz="0" w:space="0" w:color="auto"/>
          </w:divBdr>
        </w:div>
      </w:divsChild>
    </w:div>
    <w:div w:id="171534345">
      <w:bodyDiv w:val="1"/>
      <w:marLeft w:val="0"/>
      <w:marRight w:val="0"/>
      <w:marTop w:val="0"/>
      <w:marBottom w:val="0"/>
      <w:divBdr>
        <w:top w:val="none" w:sz="0" w:space="0" w:color="auto"/>
        <w:left w:val="none" w:sz="0" w:space="0" w:color="auto"/>
        <w:bottom w:val="none" w:sz="0" w:space="0" w:color="auto"/>
        <w:right w:val="none" w:sz="0" w:space="0" w:color="auto"/>
      </w:divBdr>
    </w:div>
    <w:div w:id="177815001">
      <w:bodyDiv w:val="1"/>
      <w:marLeft w:val="0"/>
      <w:marRight w:val="0"/>
      <w:marTop w:val="0"/>
      <w:marBottom w:val="0"/>
      <w:divBdr>
        <w:top w:val="none" w:sz="0" w:space="0" w:color="auto"/>
        <w:left w:val="none" w:sz="0" w:space="0" w:color="auto"/>
        <w:bottom w:val="none" w:sz="0" w:space="0" w:color="auto"/>
        <w:right w:val="none" w:sz="0" w:space="0" w:color="auto"/>
      </w:divBdr>
    </w:div>
    <w:div w:id="191185248">
      <w:bodyDiv w:val="1"/>
      <w:marLeft w:val="0"/>
      <w:marRight w:val="0"/>
      <w:marTop w:val="0"/>
      <w:marBottom w:val="0"/>
      <w:divBdr>
        <w:top w:val="none" w:sz="0" w:space="0" w:color="auto"/>
        <w:left w:val="none" w:sz="0" w:space="0" w:color="auto"/>
        <w:bottom w:val="none" w:sz="0" w:space="0" w:color="auto"/>
        <w:right w:val="none" w:sz="0" w:space="0" w:color="auto"/>
      </w:divBdr>
    </w:div>
    <w:div w:id="198208533">
      <w:bodyDiv w:val="1"/>
      <w:marLeft w:val="0"/>
      <w:marRight w:val="0"/>
      <w:marTop w:val="0"/>
      <w:marBottom w:val="0"/>
      <w:divBdr>
        <w:top w:val="none" w:sz="0" w:space="0" w:color="auto"/>
        <w:left w:val="none" w:sz="0" w:space="0" w:color="auto"/>
        <w:bottom w:val="none" w:sz="0" w:space="0" w:color="auto"/>
        <w:right w:val="none" w:sz="0" w:space="0" w:color="auto"/>
      </w:divBdr>
      <w:divsChild>
        <w:div w:id="983701028">
          <w:marLeft w:val="480"/>
          <w:marRight w:val="0"/>
          <w:marTop w:val="0"/>
          <w:marBottom w:val="0"/>
          <w:divBdr>
            <w:top w:val="none" w:sz="0" w:space="0" w:color="auto"/>
            <w:left w:val="none" w:sz="0" w:space="0" w:color="auto"/>
            <w:bottom w:val="none" w:sz="0" w:space="0" w:color="auto"/>
            <w:right w:val="none" w:sz="0" w:space="0" w:color="auto"/>
          </w:divBdr>
        </w:div>
        <w:div w:id="1565675504">
          <w:marLeft w:val="480"/>
          <w:marRight w:val="0"/>
          <w:marTop w:val="0"/>
          <w:marBottom w:val="0"/>
          <w:divBdr>
            <w:top w:val="none" w:sz="0" w:space="0" w:color="auto"/>
            <w:left w:val="none" w:sz="0" w:space="0" w:color="auto"/>
            <w:bottom w:val="none" w:sz="0" w:space="0" w:color="auto"/>
            <w:right w:val="none" w:sz="0" w:space="0" w:color="auto"/>
          </w:divBdr>
        </w:div>
        <w:div w:id="2047363835">
          <w:marLeft w:val="480"/>
          <w:marRight w:val="0"/>
          <w:marTop w:val="0"/>
          <w:marBottom w:val="0"/>
          <w:divBdr>
            <w:top w:val="none" w:sz="0" w:space="0" w:color="auto"/>
            <w:left w:val="none" w:sz="0" w:space="0" w:color="auto"/>
            <w:bottom w:val="none" w:sz="0" w:space="0" w:color="auto"/>
            <w:right w:val="none" w:sz="0" w:space="0" w:color="auto"/>
          </w:divBdr>
        </w:div>
      </w:divsChild>
    </w:div>
    <w:div w:id="223949826">
      <w:bodyDiv w:val="1"/>
      <w:marLeft w:val="0"/>
      <w:marRight w:val="0"/>
      <w:marTop w:val="0"/>
      <w:marBottom w:val="0"/>
      <w:divBdr>
        <w:top w:val="none" w:sz="0" w:space="0" w:color="auto"/>
        <w:left w:val="none" w:sz="0" w:space="0" w:color="auto"/>
        <w:bottom w:val="none" w:sz="0" w:space="0" w:color="auto"/>
        <w:right w:val="none" w:sz="0" w:space="0" w:color="auto"/>
      </w:divBdr>
      <w:divsChild>
        <w:div w:id="53509482">
          <w:marLeft w:val="480"/>
          <w:marRight w:val="0"/>
          <w:marTop w:val="0"/>
          <w:marBottom w:val="0"/>
          <w:divBdr>
            <w:top w:val="none" w:sz="0" w:space="0" w:color="auto"/>
            <w:left w:val="none" w:sz="0" w:space="0" w:color="auto"/>
            <w:bottom w:val="none" w:sz="0" w:space="0" w:color="auto"/>
            <w:right w:val="none" w:sz="0" w:space="0" w:color="auto"/>
          </w:divBdr>
        </w:div>
        <w:div w:id="1308510988">
          <w:marLeft w:val="480"/>
          <w:marRight w:val="0"/>
          <w:marTop w:val="0"/>
          <w:marBottom w:val="0"/>
          <w:divBdr>
            <w:top w:val="none" w:sz="0" w:space="0" w:color="auto"/>
            <w:left w:val="none" w:sz="0" w:space="0" w:color="auto"/>
            <w:bottom w:val="none" w:sz="0" w:space="0" w:color="auto"/>
            <w:right w:val="none" w:sz="0" w:space="0" w:color="auto"/>
          </w:divBdr>
        </w:div>
        <w:div w:id="1128741470">
          <w:marLeft w:val="480"/>
          <w:marRight w:val="0"/>
          <w:marTop w:val="0"/>
          <w:marBottom w:val="0"/>
          <w:divBdr>
            <w:top w:val="none" w:sz="0" w:space="0" w:color="auto"/>
            <w:left w:val="none" w:sz="0" w:space="0" w:color="auto"/>
            <w:bottom w:val="none" w:sz="0" w:space="0" w:color="auto"/>
            <w:right w:val="none" w:sz="0" w:space="0" w:color="auto"/>
          </w:divBdr>
        </w:div>
        <w:div w:id="876821692">
          <w:marLeft w:val="480"/>
          <w:marRight w:val="0"/>
          <w:marTop w:val="0"/>
          <w:marBottom w:val="0"/>
          <w:divBdr>
            <w:top w:val="none" w:sz="0" w:space="0" w:color="auto"/>
            <w:left w:val="none" w:sz="0" w:space="0" w:color="auto"/>
            <w:bottom w:val="none" w:sz="0" w:space="0" w:color="auto"/>
            <w:right w:val="none" w:sz="0" w:space="0" w:color="auto"/>
          </w:divBdr>
        </w:div>
      </w:divsChild>
    </w:div>
    <w:div w:id="257107606">
      <w:bodyDiv w:val="1"/>
      <w:marLeft w:val="0"/>
      <w:marRight w:val="0"/>
      <w:marTop w:val="0"/>
      <w:marBottom w:val="0"/>
      <w:divBdr>
        <w:top w:val="none" w:sz="0" w:space="0" w:color="auto"/>
        <w:left w:val="none" w:sz="0" w:space="0" w:color="auto"/>
        <w:bottom w:val="none" w:sz="0" w:space="0" w:color="auto"/>
        <w:right w:val="none" w:sz="0" w:space="0" w:color="auto"/>
      </w:divBdr>
      <w:divsChild>
        <w:div w:id="1227910519">
          <w:marLeft w:val="480"/>
          <w:marRight w:val="0"/>
          <w:marTop w:val="0"/>
          <w:marBottom w:val="0"/>
          <w:divBdr>
            <w:top w:val="none" w:sz="0" w:space="0" w:color="auto"/>
            <w:left w:val="none" w:sz="0" w:space="0" w:color="auto"/>
            <w:bottom w:val="none" w:sz="0" w:space="0" w:color="auto"/>
            <w:right w:val="none" w:sz="0" w:space="0" w:color="auto"/>
          </w:divBdr>
        </w:div>
        <w:div w:id="878712055">
          <w:marLeft w:val="480"/>
          <w:marRight w:val="0"/>
          <w:marTop w:val="0"/>
          <w:marBottom w:val="0"/>
          <w:divBdr>
            <w:top w:val="none" w:sz="0" w:space="0" w:color="auto"/>
            <w:left w:val="none" w:sz="0" w:space="0" w:color="auto"/>
            <w:bottom w:val="none" w:sz="0" w:space="0" w:color="auto"/>
            <w:right w:val="none" w:sz="0" w:space="0" w:color="auto"/>
          </w:divBdr>
        </w:div>
        <w:div w:id="1718355270">
          <w:marLeft w:val="480"/>
          <w:marRight w:val="0"/>
          <w:marTop w:val="0"/>
          <w:marBottom w:val="0"/>
          <w:divBdr>
            <w:top w:val="none" w:sz="0" w:space="0" w:color="auto"/>
            <w:left w:val="none" w:sz="0" w:space="0" w:color="auto"/>
            <w:bottom w:val="none" w:sz="0" w:space="0" w:color="auto"/>
            <w:right w:val="none" w:sz="0" w:space="0" w:color="auto"/>
          </w:divBdr>
        </w:div>
      </w:divsChild>
    </w:div>
    <w:div w:id="286199122">
      <w:bodyDiv w:val="1"/>
      <w:marLeft w:val="0"/>
      <w:marRight w:val="0"/>
      <w:marTop w:val="0"/>
      <w:marBottom w:val="0"/>
      <w:divBdr>
        <w:top w:val="none" w:sz="0" w:space="0" w:color="auto"/>
        <w:left w:val="none" w:sz="0" w:space="0" w:color="auto"/>
        <w:bottom w:val="none" w:sz="0" w:space="0" w:color="auto"/>
        <w:right w:val="none" w:sz="0" w:space="0" w:color="auto"/>
      </w:divBdr>
      <w:divsChild>
        <w:div w:id="1748453706">
          <w:marLeft w:val="0"/>
          <w:marRight w:val="0"/>
          <w:marTop w:val="0"/>
          <w:marBottom w:val="0"/>
          <w:divBdr>
            <w:top w:val="single" w:sz="2" w:space="0" w:color="auto"/>
            <w:left w:val="single" w:sz="18" w:space="0" w:color="auto"/>
            <w:bottom w:val="single" w:sz="2" w:space="0" w:color="auto"/>
            <w:right w:val="single" w:sz="2" w:space="0" w:color="auto"/>
          </w:divBdr>
          <w:divsChild>
            <w:div w:id="134682868">
              <w:marLeft w:val="0"/>
              <w:marRight w:val="0"/>
              <w:marTop w:val="0"/>
              <w:marBottom w:val="0"/>
              <w:divBdr>
                <w:top w:val="none" w:sz="0" w:space="0" w:color="auto"/>
                <w:left w:val="none" w:sz="0" w:space="0" w:color="auto"/>
                <w:bottom w:val="none" w:sz="0" w:space="0" w:color="auto"/>
                <w:right w:val="none" w:sz="0" w:space="0" w:color="auto"/>
              </w:divBdr>
            </w:div>
          </w:divsChild>
        </w:div>
        <w:div w:id="818957676">
          <w:marLeft w:val="0"/>
          <w:marRight w:val="0"/>
          <w:marTop w:val="0"/>
          <w:marBottom w:val="0"/>
          <w:divBdr>
            <w:top w:val="single" w:sz="2" w:space="0" w:color="auto"/>
            <w:left w:val="single" w:sz="18" w:space="0" w:color="auto"/>
            <w:bottom w:val="single" w:sz="2" w:space="0" w:color="auto"/>
            <w:right w:val="single" w:sz="2" w:space="0" w:color="auto"/>
          </w:divBdr>
          <w:divsChild>
            <w:div w:id="1146238637">
              <w:marLeft w:val="0"/>
              <w:marRight w:val="0"/>
              <w:marTop w:val="0"/>
              <w:marBottom w:val="0"/>
              <w:divBdr>
                <w:top w:val="none" w:sz="0" w:space="0" w:color="auto"/>
                <w:left w:val="none" w:sz="0" w:space="0" w:color="auto"/>
                <w:bottom w:val="none" w:sz="0" w:space="0" w:color="auto"/>
                <w:right w:val="none" w:sz="0" w:space="0" w:color="auto"/>
              </w:divBdr>
            </w:div>
          </w:divsChild>
        </w:div>
        <w:div w:id="994382768">
          <w:marLeft w:val="0"/>
          <w:marRight w:val="0"/>
          <w:marTop w:val="0"/>
          <w:marBottom w:val="0"/>
          <w:divBdr>
            <w:top w:val="single" w:sz="2" w:space="0" w:color="auto"/>
            <w:left w:val="single" w:sz="18" w:space="0" w:color="auto"/>
            <w:bottom w:val="single" w:sz="2" w:space="0" w:color="auto"/>
            <w:right w:val="single" w:sz="2" w:space="0" w:color="auto"/>
          </w:divBdr>
          <w:divsChild>
            <w:div w:id="1068189435">
              <w:marLeft w:val="0"/>
              <w:marRight w:val="0"/>
              <w:marTop w:val="0"/>
              <w:marBottom w:val="0"/>
              <w:divBdr>
                <w:top w:val="none" w:sz="0" w:space="0" w:color="auto"/>
                <w:left w:val="none" w:sz="0" w:space="0" w:color="auto"/>
                <w:bottom w:val="none" w:sz="0" w:space="0" w:color="auto"/>
                <w:right w:val="none" w:sz="0" w:space="0" w:color="auto"/>
              </w:divBdr>
            </w:div>
          </w:divsChild>
        </w:div>
        <w:div w:id="2105880883">
          <w:marLeft w:val="0"/>
          <w:marRight w:val="0"/>
          <w:marTop w:val="0"/>
          <w:marBottom w:val="0"/>
          <w:divBdr>
            <w:top w:val="single" w:sz="2" w:space="0" w:color="auto"/>
            <w:left w:val="single" w:sz="18" w:space="0" w:color="auto"/>
            <w:bottom w:val="single" w:sz="2" w:space="0" w:color="auto"/>
            <w:right w:val="single" w:sz="2" w:space="0" w:color="auto"/>
          </w:divBdr>
          <w:divsChild>
            <w:div w:id="171010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303995">
      <w:bodyDiv w:val="1"/>
      <w:marLeft w:val="0"/>
      <w:marRight w:val="0"/>
      <w:marTop w:val="0"/>
      <w:marBottom w:val="0"/>
      <w:divBdr>
        <w:top w:val="none" w:sz="0" w:space="0" w:color="auto"/>
        <w:left w:val="none" w:sz="0" w:space="0" w:color="auto"/>
        <w:bottom w:val="none" w:sz="0" w:space="0" w:color="auto"/>
        <w:right w:val="none" w:sz="0" w:space="0" w:color="auto"/>
      </w:divBdr>
      <w:divsChild>
        <w:div w:id="334193029">
          <w:marLeft w:val="480"/>
          <w:marRight w:val="0"/>
          <w:marTop w:val="0"/>
          <w:marBottom w:val="0"/>
          <w:divBdr>
            <w:top w:val="none" w:sz="0" w:space="0" w:color="auto"/>
            <w:left w:val="none" w:sz="0" w:space="0" w:color="auto"/>
            <w:bottom w:val="none" w:sz="0" w:space="0" w:color="auto"/>
            <w:right w:val="none" w:sz="0" w:space="0" w:color="auto"/>
          </w:divBdr>
        </w:div>
        <w:div w:id="751316287">
          <w:marLeft w:val="480"/>
          <w:marRight w:val="0"/>
          <w:marTop w:val="0"/>
          <w:marBottom w:val="0"/>
          <w:divBdr>
            <w:top w:val="none" w:sz="0" w:space="0" w:color="auto"/>
            <w:left w:val="none" w:sz="0" w:space="0" w:color="auto"/>
            <w:bottom w:val="none" w:sz="0" w:space="0" w:color="auto"/>
            <w:right w:val="none" w:sz="0" w:space="0" w:color="auto"/>
          </w:divBdr>
        </w:div>
        <w:div w:id="1931770584">
          <w:marLeft w:val="480"/>
          <w:marRight w:val="0"/>
          <w:marTop w:val="0"/>
          <w:marBottom w:val="0"/>
          <w:divBdr>
            <w:top w:val="none" w:sz="0" w:space="0" w:color="auto"/>
            <w:left w:val="none" w:sz="0" w:space="0" w:color="auto"/>
            <w:bottom w:val="none" w:sz="0" w:space="0" w:color="auto"/>
            <w:right w:val="none" w:sz="0" w:space="0" w:color="auto"/>
          </w:divBdr>
        </w:div>
      </w:divsChild>
    </w:div>
    <w:div w:id="308217665">
      <w:bodyDiv w:val="1"/>
      <w:marLeft w:val="0"/>
      <w:marRight w:val="0"/>
      <w:marTop w:val="0"/>
      <w:marBottom w:val="0"/>
      <w:divBdr>
        <w:top w:val="none" w:sz="0" w:space="0" w:color="auto"/>
        <w:left w:val="none" w:sz="0" w:space="0" w:color="auto"/>
        <w:bottom w:val="none" w:sz="0" w:space="0" w:color="auto"/>
        <w:right w:val="none" w:sz="0" w:space="0" w:color="auto"/>
      </w:divBdr>
      <w:divsChild>
        <w:div w:id="1023828690">
          <w:marLeft w:val="480"/>
          <w:marRight w:val="0"/>
          <w:marTop w:val="0"/>
          <w:marBottom w:val="0"/>
          <w:divBdr>
            <w:top w:val="none" w:sz="0" w:space="0" w:color="auto"/>
            <w:left w:val="none" w:sz="0" w:space="0" w:color="auto"/>
            <w:bottom w:val="none" w:sz="0" w:space="0" w:color="auto"/>
            <w:right w:val="none" w:sz="0" w:space="0" w:color="auto"/>
          </w:divBdr>
        </w:div>
        <w:div w:id="525145526">
          <w:marLeft w:val="480"/>
          <w:marRight w:val="0"/>
          <w:marTop w:val="0"/>
          <w:marBottom w:val="0"/>
          <w:divBdr>
            <w:top w:val="none" w:sz="0" w:space="0" w:color="auto"/>
            <w:left w:val="none" w:sz="0" w:space="0" w:color="auto"/>
            <w:bottom w:val="none" w:sz="0" w:space="0" w:color="auto"/>
            <w:right w:val="none" w:sz="0" w:space="0" w:color="auto"/>
          </w:divBdr>
        </w:div>
        <w:div w:id="664482167">
          <w:marLeft w:val="480"/>
          <w:marRight w:val="0"/>
          <w:marTop w:val="0"/>
          <w:marBottom w:val="0"/>
          <w:divBdr>
            <w:top w:val="none" w:sz="0" w:space="0" w:color="auto"/>
            <w:left w:val="none" w:sz="0" w:space="0" w:color="auto"/>
            <w:bottom w:val="none" w:sz="0" w:space="0" w:color="auto"/>
            <w:right w:val="none" w:sz="0" w:space="0" w:color="auto"/>
          </w:divBdr>
        </w:div>
        <w:div w:id="1396779944">
          <w:marLeft w:val="480"/>
          <w:marRight w:val="0"/>
          <w:marTop w:val="0"/>
          <w:marBottom w:val="0"/>
          <w:divBdr>
            <w:top w:val="none" w:sz="0" w:space="0" w:color="auto"/>
            <w:left w:val="none" w:sz="0" w:space="0" w:color="auto"/>
            <w:bottom w:val="none" w:sz="0" w:space="0" w:color="auto"/>
            <w:right w:val="none" w:sz="0" w:space="0" w:color="auto"/>
          </w:divBdr>
        </w:div>
      </w:divsChild>
    </w:div>
    <w:div w:id="310989227">
      <w:bodyDiv w:val="1"/>
      <w:marLeft w:val="0"/>
      <w:marRight w:val="0"/>
      <w:marTop w:val="0"/>
      <w:marBottom w:val="0"/>
      <w:divBdr>
        <w:top w:val="none" w:sz="0" w:space="0" w:color="auto"/>
        <w:left w:val="none" w:sz="0" w:space="0" w:color="auto"/>
        <w:bottom w:val="none" w:sz="0" w:space="0" w:color="auto"/>
        <w:right w:val="none" w:sz="0" w:space="0" w:color="auto"/>
      </w:divBdr>
      <w:divsChild>
        <w:div w:id="1105536939">
          <w:marLeft w:val="480"/>
          <w:marRight w:val="0"/>
          <w:marTop w:val="0"/>
          <w:marBottom w:val="0"/>
          <w:divBdr>
            <w:top w:val="none" w:sz="0" w:space="0" w:color="auto"/>
            <w:left w:val="none" w:sz="0" w:space="0" w:color="auto"/>
            <w:bottom w:val="none" w:sz="0" w:space="0" w:color="auto"/>
            <w:right w:val="none" w:sz="0" w:space="0" w:color="auto"/>
          </w:divBdr>
        </w:div>
        <w:div w:id="1694720729">
          <w:marLeft w:val="480"/>
          <w:marRight w:val="0"/>
          <w:marTop w:val="0"/>
          <w:marBottom w:val="0"/>
          <w:divBdr>
            <w:top w:val="none" w:sz="0" w:space="0" w:color="auto"/>
            <w:left w:val="none" w:sz="0" w:space="0" w:color="auto"/>
            <w:bottom w:val="none" w:sz="0" w:space="0" w:color="auto"/>
            <w:right w:val="none" w:sz="0" w:space="0" w:color="auto"/>
          </w:divBdr>
        </w:div>
        <w:div w:id="1923443055">
          <w:marLeft w:val="480"/>
          <w:marRight w:val="0"/>
          <w:marTop w:val="0"/>
          <w:marBottom w:val="0"/>
          <w:divBdr>
            <w:top w:val="none" w:sz="0" w:space="0" w:color="auto"/>
            <w:left w:val="none" w:sz="0" w:space="0" w:color="auto"/>
            <w:bottom w:val="none" w:sz="0" w:space="0" w:color="auto"/>
            <w:right w:val="none" w:sz="0" w:space="0" w:color="auto"/>
          </w:divBdr>
        </w:div>
        <w:div w:id="501353281">
          <w:marLeft w:val="480"/>
          <w:marRight w:val="0"/>
          <w:marTop w:val="0"/>
          <w:marBottom w:val="0"/>
          <w:divBdr>
            <w:top w:val="none" w:sz="0" w:space="0" w:color="auto"/>
            <w:left w:val="none" w:sz="0" w:space="0" w:color="auto"/>
            <w:bottom w:val="none" w:sz="0" w:space="0" w:color="auto"/>
            <w:right w:val="none" w:sz="0" w:space="0" w:color="auto"/>
          </w:divBdr>
        </w:div>
      </w:divsChild>
    </w:div>
    <w:div w:id="317735135">
      <w:bodyDiv w:val="1"/>
      <w:marLeft w:val="0"/>
      <w:marRight w:val="0"/>
      <w:marTop w:val="0"/>
      <w:marBottom w:val="0"/>
      <w:divBdr>
        <w:top w:val="none" w:sz="0" w:space="0" w:color="auto"/>
        <w:left w:val="none" w:sz="0" w:space="0" w:color="auto"/>
        <w:bottom w:val="none" w:sz="0" w:space="0" w:color="auto"/>
        <w:right w:val="none" w:sz="0" w:space="0" w:color="auto"/>
      </w:divBdr>
      <w:divsChild>
        <w:div w:id="1236740524">
          <w:marLeft w:val="480"/>
          <w:marRight w:val="0"/>
          <w:marTop w:val="0"/>
          <w:marBottom w:val="0"/>
          <w:divBdr>
            <w:top w:val="none" w:sz="0" w:space="0" w:color="auto"/>
            <w:left w:val="none" w:sz="0" w:space="0" w:color="auto"/>
            <w:bottom w:val="none" w:sz="0" w:space="0" w:color="auto"/>
            <w:right w:val="none" w:sz="0" w:space="0" w:color="auto"/>
          </w:divBdr>
        </w:div>
        <w:div w:id="1543056472">
          <w:marLeft w:val="480"/>
          <w:marRight w:val="0"/>
          <w:marTop w:val="0"/>
          <w:marBottom w:val="0"/>
          <w:divBdr>
            <w:top w:val="none" w:sz="0" w:space="0" w:color="auto"/>
            <w:left w:val="none" w:sz="0" w:space="0" w:color="auto"/>
            <w:bottom w:val="none" w:sz="0" w:space="0" w:color="auto"/>
            <w:right w:val="none" w:sz="0" w:space="0" w:color="auto"/>
          </w:divBdr>
        </w:div>
        <w:div w:id="1124232561">
          <w:marLeft w:val="480"/>
          <w:marRight w:val="0"/>
          <w:marTop w:val="0"/>
          <w:marBottom w:val="0"/>
          <w:divBdr>
            <w:top w:val="none" w:sz="0" w:space="0" w:color="auto"/>
            <w:left w:val="none" w:sz="0" w:space="0" w:color="auto"/>
            <w:bottom w:val="none" w:sz="0" w:space="0" w:color="auto"/>
            <w:right w:val="none" w:sz="0" w:space="0" w:color="auto"/>
          </w:divBdr>
        </w:div>
        <w:div w:id="469054865">
          <w:marLeft w:val="480"/>
          <w:marRight w:val="0"/>
          <w:marTop w:val="0"/>
          <w:marBottom w:val="0"/>
          <w:divBdr>
            <w:top w:val="none" w:sz="0" w:space="0" w:color="auto"/>
            <w:left w:val="none" w:sz="0" w:space="0" w:color="auto"/>
            <w:bottom w:val="none" w:sz="0" w:space="0" w:color="auto"/>
            <w:right w:val="none" w:sz="0" w:space="0" w:color="auto"/>
          </w:divBdr>
        </w:div>
      </w:divsChild>
    </w:div>
    <w:div w:id="350835347">
      <w:bodyDiv w:val="1"/>
      <w:marLeft w:val="0"/>
      <w:marRight w:val="0"/>
      <w:marTop w:val="0"/>
      <w:marBottom w:val="0"/>
      <w:divBdr>
        <w:top w:val="none" w:sz="0" w:space="0" w:color="auto"/>
        <w:left w:val="none" w:sz="0" w:space="0" w:color="auto"/>
        <w:bottom w:val="none" w:sz="0" w:space="0" w:color="auto"/>
        <w:right w:val="none" w:sz="0" w:space="0" w:color="auto"/>
      </w:divBdr>
      <w:divsChild>
        <w:div w:id="502208892">
          <w:marLeft w:val="480"/>
          <w:marRight w:val="0"/>
          <w:marTop w:val="0"/>
          <w:marBottom w:val="0"/>
          <w:divBdr>
            <w:top w:val="none" w:sz="0" w:space="0" w:color="auto"/>
            <w:left w:val="none" w:sz="0" w:space="0" w:color="auto"/>
            <w:bottom w:val="none" w:sz="0" w:space="0" w:color="auto"/>
            <w:right w:val="none" w:sz="0" w:space="0" w:color="auto"/>
          </w:divBdr>
        </w:div>
        <w:div w:id="971718052">
          <w:marLeft w:val="480"/>
          <w:marRight w:val="0"/>
          <w:marTop w:val="0"/>
          <w:marBottom w:val="0"/>
          <w:divBdr>
            <w:top w:val="none" w:sz="0" w:space="0" w:color="auto"/>
            <w:left w:val="none" w:sz="0" w:space="0" w:color="auto"/>
            <w:bottom w:val="none" w:sz="0" w:space="0" w:color="auto"/>
            <w:right w:val="none" w:sz="0" w:space="0" w:color="auto"/>
          </w:divBdr>
        </w:div>
        <w:div w:id="87115265">
          <w:marLeft w:val="480"/>
          <w:marRight w:val="0"/>
          <w:marTop w:val="0"/>
          <w:marBottom w:val="0"/>
          <w:divBdr>
            <w:top w:val="none" w:sz="0" w:space="0" w:color="auto"/>
            <w:left w:val="none" w:sz="0" w:space="0" w:color="auto"/>
            <w:bottom w:val="none" w:sz="0" w:space="0" w:color="auto"/>
            <w:right w:val="none" w:sz="0" w:space="0" w:color="auto"/>
          </w:divBdr>
        </w:div>
      </w:divsChild>
    </w:div>
    <w:div w:id="370762436">
      <w:bodyDiv w:val="1"/>
      <w:marLeft w:val="0"/>
      <w:marRight w:val="0"/>
      <w:marTop w:val="0"/>
      <w:marBottom w:val="0"/>
      <w:divBdr>
        <w:top w:val="none" w:sz="0" w:space="0" w:color="auto"/>
        <w:left w:val="none" w:sz="0" w:space="0" w:color="auto"/>
        <w:bottom w:val="none" w:sz="0" w:space="0" w:color="auto"/>
        <w:right w:val="none" w:sz="0" w:space="0" w:color="auto"/>
      </w:divBdr>
      <w:divsChild>
        <w:div w:id="428934720">
          <w:marLeft w:val="480"/>
          <w:marRight w:val="0"/>
          <w:marTop w:val="0"/>
          <w:marBottom w:val="0"/>
          <w:divBdr>
            <w:top w:val="none" w:sz="0" w:space="0" w:color="auto"/>
            <w:left w:val="none" w:sz="0" w:space="0" w:color="auto"/>
            <w:bottom w:val="none" w:sz="0" w:space="0" w:color="auto"/>
            <w:right w:val="none" w:sz="0" w:space="0" w:color="auto"/>
          </w:divBdr>
        </w:div>
        <w:div w:id="1713066986">
          <w:marLeft w:val="480"/>
          <w:marRight w:val="0"/>
          <w:marTop w:val="0"/>
          <w:marBottom w:val="0"/>
          <w:divBdr>
            <w:top w:val="none" w:sz="0" w:space="0" w:color="auto"/>
            <w:left w:val="none" w:sz="0" w:space="0" w:color="auto"/>
            <w:bottom w:val="none" w:sz="0" w:space="0" w:color="auto"/>
            <w:right w:val="none" w:sz="0" w:space="0" w:color="auto"/>
          </w:divBdr>
        </w:div>
        <w:div w:id="1369144606">
          <w:marLeft w:val="480"/>
          <w:marRight w:val="0"/>
          <w:marTop w:val="0"/>
          <w:marBottom w:val="0"/>
          <w:divBdr>
            <w:top w:val="none" w:sz="0" w:space="0" w:color="auto"/>
            <w:left w:val="none" w:sz="0" w:space="0" w:color="auto"/>
            <w:bottom w:val="none" w:sz="0" w:space="0" w:color="auto"/>
            <w:right w:val="none" w:sz="0" w:space="0" w:color="auto"/>
          </w:divBdr>
        </w:div>
        <w:div w:id="73743697">
          <w:marLeft w:val="480"/>
          <w:marRight w:val="0"/>
          <w:marTop w:val="0"/>
          <w:marBottom w:val="0"/>
          <w:divBdr>
            <w:top w:val="none" w:sz="0" w:space="0" w:color="auto"/>
            <w:left w:val="none" w:sz="0" w:space="0" w:color="auto"/>
            <w:bottom w:val="none" w:sz="0" w:space="0" w:color="auto"/>
            <w:right w:val="none" w:sz="0" w:space="0" w:color="auto"/>
          </w:divBdr>
        </w:div>
      </w:divsChild>
    </w:div>
    <w:div w:id="389380811">
      <w:bodyDiv w:val="1"/>
      <w:marLeft w:val="0"/>
      <w:marRight w:val="0"/>
      <w:marTop w:val="0"/>
      <w:marBottom w:val="0"/>
      <w:divBdr>
        <w:top w:val="none" w:sz="0" w:space="0" w:color="auto"/>
        <w:left w:val="none" w:sz="0" w:space="0" w:color="auto"/>
        <w:bottom w:val="none" w:sz="0" w:space="0" w:color="auto"/>
        <w:right w:val="none" w:sz="0" w:space="0" w:color="auto"/>
      </w:divBdr>
      <w:divsChild>
        <w:div w:id="1321696747">
          <w:marLeft w:val="480"/>
          <w:marRight w:val="0"/>
          <w:marTop w:val="0"/>
          <w:marBottom w:val="0"/>
          <w:divBdr>
            <w:top w:val="none" w:sz="0" w:space="0" w:color="auto"/>
            <w:left w:val="none" w:sz="0" w:space="0" w:color="auto"/>
            <w:bottom w:val="none" w:sz="0" w:space="0" w:color="auto"/>
            <w:right w:val="none" w:sz="0" w:space="0" w:color="auto"/>
          </w:divBdr>
        </w:div>
        <w:div w:id="86342891">
          <w:marLeft w:val="480"/>
          <w:marRight w:val="0"/>
          <w:marTop w:val="0"/>
          <w:marBottom w:val="0"/>
          <w:divBdr>
            <w:top w:val="none" w:sz="0" w:space="0" w:color="auto"/>
            <w:left w:val="none" w:sz="0" w:space="0" w:color="auto"/>
            <w:bottom w:val="none" w:sz="0" w:space="0" w:color="auto"/>
            <w:right w:val="none" w:sz="0" w:space="0" w:color="auto"/>
          </w:divBdr>
        </w:div>
        <w:div w:id="15694887">
          <w:marLeft w:val="480"/>
          <w:marRight w:val="0"/>
          <w:marTop w:val="0"/>
          <w:marBottom w:val="0"/>
          <w:divBdr>
            <w:top w:val="none" w:sz="0" w:space="0" w:color="auto"/>
            <w:left w:val="none" w:sz="0" w:space="0" w:color="auto"/>
            <w:bottom w:val="none" w:sz="0" w:space="0" w:color="auto"/>
            <w:right w:val="none" w:sz="0" w:space="0" w:color="auto"/>
          </w:divBdr>
        </w:div>
      </w:divsChild>
    </w:div>
    <w:div w:id="411121984">
      <w:bodyDiv w:val="1"/>
      <w:marLeft w:val="0"/>
      <w:marRight w:val="0"/>
      <w:marTop w:val="0"/>
      <w:marBottom w:val="0"/>
      <w:divBdr>
        <w:top w:val="none" w:sz="0" w:space="0" w:color="auto"/>
        <w:left w:val="none" w:sz="0" w:space="0" w:color="auto"/>
        <w:bottom w:val="none" w:sz="0" w:space="0" w:color="auto"/>
        <w:right w:val="none" w:sz="0" w:space="0" w:color="auto"/>
      </w:divBdr>
    </w:div>
    <w:div w:id="416632121">
      <w:bodyDiv w:val="1"/>
      <w:marLeft w:val="0"/>
      <w:marRight w:val="0"/>
      <w:marTop w:val="0"/>
      <w:marBottom w:val="0"/>
      <w:divBdr>
        <w:top w:val="none" w:sz="0" w:space="0" w:color="auto"/>
        <w:left w:val="none" w:sz="0" w:space="0" w:color="auto"/>
        <w:bottom w:val="none" w:sz="0" w:space="0" w:color="auto"/>
        <w:right w:val="none" w:sz="0" w:space="0" w:color="auto"/>
      </w:divBdr>
      <w:divsChild>
        <w:div w:id="1286350719">
          <w:marLeft w:val="480"/>
          <w:marRight w:val="0"/>
          <w:marTop w:val="0"/>
          <w:marBottom w:val="0"/>
          <w:divBdr>
            <w:top w:val="none" w:sz="0" w:space="0" w:color="auto"/>
            <w:left w:val="none" w:sz="0" w:space="0" w:color="auto"/>
            <w:bottom w:val="none" w:sz="0" w:space="0" w:color="auto"/>
            <w:right w:val="none" w:sz="0" w:space="0" w:color="auto"/>
          </w:divBdr>
        </w:div>
        <w:div w:id="2023822928">
          <w:marLeft w:val="480"/>
          <w:marRight w:val="0"/>
          <w:marTop w:val="0"/>
          <w:marBottom w:val="0"/>
          <w:divBdr>
            <w:top w:val="none" w:sz="0" w:space="0" w:color="auto"/>
            <w:left w:val="none" w:sz="0" w:space="0" w:color="auto"/>
            <w:bottom w:val="none" w:sz="0" w:space="0" w:color="auto"/>
            <w:right w:val="none" w:sz="0" w:space="0" w:color="auto"/>
          </w:divBdr>
        </w:div>
        <w:div w:id="1221673686">
          <w:marLeft w:val="480"/>
          <w:marRight w:val="0"/>
          <w:marTop w:val="0"/>
          <w:marBottom w:val="0"/>
          <w:divBdr>
            <w:top w:val="none" w:sz="0" w:space="0" w:color="auto"/>
            <w:left w:val="none" w:sz="0" w:space="0" w:color="auto"/>
            <w:bottom w:val="none" w:sz="0" w:space="0" w:color="auto"/>
            <w:right w:val="none" w:sz="0" w:space="0" w:color="auto"/>
          </w:divBdr>
        </w:div>
        <w:div w:id="1057247236">
          <w:marLeft w:val="480"/>
          <w:marRight w:val="0"/>
          <w:marTop w:val="0"/>
          <w:marBottom w:val="0"/>
          <w:divBdr>
            <w:top w:val="none" w:sz="0" w:space="0" w:color="auto"/>
            <w:left w:val="none" w:sz="0" w:space="0" w:color="auto"/>
            <w:bottom w:val="none" w:sz="0" w:space="0" w:color="auto"/>
            <w:right w:val="none" w:sz="0" w:space="0" w:color="auto"/>
          </w:divBdr>
        </w:div>
        <w:div w:id="1370954389">
          <w:marLeft w:val="480"/>
          <w:marRight w:val="0"/>
          <w:marTop w:val="0"/>
          <w:marBottom w:val="0"/>
          <w:divBdr>
            <w:top w:val="none" w:sz="0" w:space="0" w:color="auto"/>
            <w:left w:val="none" w:sz="0" w:space="0" w:color="auto"/>
            <w:bottom w:val="none" w:sz="0" w:space="0" w:color="auto"/>
            <w:right w:val="none" w:sz="0" w:space="0" w:color="auto"/>
          </w:divBdr>
        </w:div>
      </w:divsChild>
    </w:div>
    <w:div w:id="450444641">
      <w:bodyDiv w:val="1"/>
      <w:marLeft w:val="0"/>
      <w:marRight w:val="0"/>
      <w:marTop w:val="0"/>
      <w:marBottom w:val="0"/>
      <w:divBdr>
        <w:top w:val="none" w:sz="0" w:space="0" w:color="auto"/>
        <w:left w:val="none" w:sz="0" w:space="0" w:color="auto"/>
        <w:bottom w:val="none" w:sz="0" w:space="0" w:color="auto"/>
        <w:right w:val="none" w:sz="0" w:space="0" w:color="auto"/>
      </w:divBdr>
      <w:divsChild>
        <w:div w:id="511454404">
          <w:marLeft w:val="0"/>
          <w:marRight w:val="0"/>
          <w:marTop w:val="0"/>
          <w:marBottom w:val="0"/>
          <w:divBdr>
            <w:top w:val="single" w:sz="2" w:space="0" w:color="auto"/>
            <w:left w:val="single" w:sz="18" w:space="0" w:color="auto"/>
            <w:bottom w:val="single" w:sz="2" w:space="0" w:color="auto"/>
            <w:right w:val="single" w:sz="2" w:space="0" w:color="auto"/>
          </w:divBdr>
          <w:divsChild>
            <w:div w:id="1701012481">
              <w:marLeft w:val="0"/>
              <w:marRight w:val="0"/>
              <w:marTop w:val="0"/>
              <w:marBottom w:val="0"/>
              <w:divBdr>
                <w:top w:val="none" w:sz="0" w:space="0" w:color="auto"/>
                <w:left w:val="none" w:sz="0" w:space="0" w:color="auto"/>
                <w:bottom w:val="none" w:sz="0" w:space="0" w:color="auto"/>
                <w:right w:val="none" w:sz="0" w:space="0" w:color="auto"/>
              </w:divBdr>
            </w:div>
          </w:divsChild>
        </w:div>
        <w:div w:id="493954837">
          <w:marLeft w:val="0"/>
          <w:marRight w:val="0"/>
          <w:marTop w:val="0"/>
          <w:marBottom w:val="0"/>
          <w:divBdr>
            <w:top w:val="single" w:sz="2" w:space="0" w:color="auto"/>
            <w:left w:val="single" w:sz="18" w:space="0" w:color="auto"/>
            <w:bottom w:val="single" w:sz="2" w:space="0" w:color="auto"/>
            <w:right w:val="single" w:sz="2" w:space="0" w:color="auto"/>
          </w:divBdr>
          <w:divsChild>
            <w:div w:id="1714816034">
              <w:marLeft w:val="0"/>
              <w:marRight w:val="0"/>
              <w:marTop w:val="0"/>
              <w:marBottom w:val="0"/>
              <w:divBdr>
                <w:top w:val="none" w:sz="0" w:space="0" w:color="auto"/>
                <w:left w:val="none" w:sz="0" w:space="0" w:color="auto"/>
                <w:bottom w:val="none" w:sz="0" w:space="0" w:color="auto"/>
                <w:right w:val="none" w:sz="0" w:space="0" w:color="auto"/>
              </w:divBdr>
            </w:div>
          </w:divsChild>
        </w:div>
        <w:div w:id="1334063915">
          <w:marLeft w:val="0"/>
          <w:marRight w:val="0"/>
          <w:marTop w:val="0"/>
          <w:marBottom w:val="0"/>
          <w:divBdr>
            <w:top w:val="single" w:sz="2" w:space="0" w:color="auto"/>
            <w:left w:val="single" w:sz="18" w:space="0" w:color="auto"/>
            <w:bottom w:val="single" w:sz="2" w:space="0" w:color="auto"/>
            <w:right w:val="single" w:sz="2" w:space="0" w:color="auto"/>
          </w:divBdr>
          <w:divsChild>
            <w:div w:id="196866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547571">
      <w:bodyDiv w:val="1"/>
      <w:marLeft w:val="0"/>
      <w:marRight w:val="0"/>
      <w:marTop w:val="0"/>
      <w:marBottom w:val="0"/>
      <w:divBdr>
        <w:top w:val="none" w:sz="0" w:space="0" w:color="auto"/>
        <w:left w:val="none" w:sz="0" w:space="0" w:color="auto"/>
        <w:bottom w:val="none" w:sz="0" w:space="0" w:color="auto"/>
        <w:right w:val="none" w:sz="0" w:space="0" w:color="auto"/>
      </w:divBdr>
    </w:div>
    <w:div w:id="467943351">
      <w:bodyDiv w:val="1"/>
      <w:marLeft w:val="0"/>
      <w:marRight w:val="0"/>
      <w:marTop w:val="0"/>
      <w:marBottom w:val="0"/>
      <w:divBdr>
        <w:top w:val="none" w:sz="0" w:space="0" w:color="auto"/>
        <w:left w:val="none" w:sz="0" w:space="0" w:color="auto"/>
        <w:bottom w:val="none" w:sz="0" w:space="0" w:color="auto"/>
        <w:right w:val="none" w:sz="0" w:space="0" w:color="auto"/>
      </w:divBdr>
    </w:div>
    <w:div w:id="487479617">
      <w:bodyDiv w:val="1"/>
      <w:marLeft w:val="0"/>
      <w:marRight w:val="0"/>
      <w:marTop w:val="0"/>
      <w:marBottom w:val="0"/>
      <w:divBdr>
        <w:top w:val="none" w:sz="0" w:space="0" w:color="auto"/>
        <w:left w:val="none" w:sz="0" w:space="0" w:color="auto"/>
        <w:bottom w:val="none" w:sz="0" w:space="0" w:color="auto"/>
        <w:right w:val="none" w:sz="0" w:space="0" w:color="auto"/>
      </w:divBdr>
    </w:div>
    <w:div w:id="580484266">
      <w:bodyDiv w:val="1"/>
      <w:marLeft w:val="0"/>
      <w:marRight w:val="0"/>
      <w:marTop w:val="0"/>
      <w:marBottom w:val="0"/>
      <w:divBdr>
        <w:top w:val="none" w:sz="0" w:space="0" w:color="auto"/>
        <w:left w:val="none" w:sz="0" w:space="0" w:color="auto"/>
        <w:bottom w:val="none" w:sz="0" w:space="0" w:color="auto"/>
        <w:right w:val="none" w:sz="0" w:space="0" w:color="auto"/>
      </w:divBdr>
    </w:div>
    <w:div w:id="584149933">
      <w:bodyDiv w:val="1"/>
      <w:marLeft w:val="0"/>
      <w:marRight w:val="0"/>
      <w:marTop w:val="0"/>
      <w:marBottom w:val="0"/>
      <w:divBdr>
        <w:top w:val="none" w:sz="0" w:space="0" w:color="auto"/>
        <w:left w:val="none" w:sz="0" w:space="0" w:color="auto"/>
        <w:bottom w:val="none" w:sz="0" w:space="0" w:color="auto"/>
        <w:right w:val="none" w:sz="0" w:space="0" w:color="auto"/>
      </w:divBdr>
      <w:divsChild>
        <w:div w:id="1009797556">
          <w:marLeft w:val="480"/>
          <w:marRight w:val="0"/>
          <w:marTop w:val="0"/>
          <w:marBottom w:val="0"/>
          <w:divBdr>
            <w:top w:val="none" w:sz="0" w:space="0" w:color="auto"/>
            <w:left w:val="none" w:sz="0" w:space="0" w:color="auto"/>
            <w:bottom w:val="none" w:sz="0" w:space="0" w:color="auto"/>
            <w:right w:val="none" w:sz="0" w:space="0" w:color="auto"/>
          </w:divBdr>
        </w:div>
        <w:div w:id="789277228">
          <w:marLeft w:val="480"/>
          <w:marRight w:val="0"/>
          <w:marTop w:val="0"/>
          <w:marBottom w:val="0"/>
          <w:divBdr>
            <w:top w:val="none" w:sz="0" w:space="0" w:color="auto"/>
            <w:left w:val="none" w:sz="0" w:space="0" w:color="auto"/>
            <w:bottom w:val="none" w:sz="0" w:space="0" w:color="auto"/>
            <w:right w:val="none" w:sz="0" w:space="0" w:color="auto"/>
          </w:divBdr>
        </w:div>
        <w:div w:id="2036810220">
          <w:marLeft w:val="480"/>
          <w:marRight w:val="0"/>
          <w:marTop w:val="0"/>
          <w:marBottom w:val="0"/>
          <w:divBdr>
            <w:top w:val="none" w:sz="0" w:space="0" w:color="auto"/>
            <w:left w:val="none" w:sz="0" w:space="0" w:color="auto"/>
            <w:bottom w:val="none" w:sz="0" w:space="0" w:color="auto"/>
            <w:right w:val="none" w:sz="0" w:space="0" w:color="auto"/>
          </w:divBdr>
        </w:div>
        <w:div w:id="1810784412">
          <w:marLeft w:val="480"/>
          <w:marRight w:val="0"/>
          <w:marTop w:val="0"/>
          <w:marBottom w:val="0"/>
          <w:divBdr>
            <w:top w:val="none" w:sz="0" w:space="0" w:color="auto"/>
            <w:left w:val="none" w:sz="0" w:space="0" w:color="auto"/>
            <w:bottom w:val="none" w:sz="0" w:space="0" w:color="auto"/>
            <w:right w:val="none" w:sz="0" w:space="0" w:color="auto"/>
          </w:divBdr>
        </w:div>
      </w:divsChild>
    </w:div>
    <w:div w:id="606624918">
      <w:bodyDiv w:val="1"/>
      <w:marLeft w:val="0"/>
      <w:marRight w:val="0"/>
      <w:marTop w:val="0"/>
      <w:marBottom w:val="0"/>
      <w:divBdr>
        <w:top w:val="none" w:sz="0" w:space="0" w:color="auto"/>
        <w:left w:val="none" w:sz="0" w:space="0" w:color="auto"/>
        <w:bottom w:val="none" w:sz="0" w:space="0" w:color="auto"/>
        <w:right w:val="none" w:sz="0" w:space="0" w:color="auto"/>
      </w:divBdr>
      <w:divsChild>
        <w:div w:id="2121145528">
          <w:marLeft w:val="480"/>
          <w:marRight w:val="0"/>
          <w:marTop w:val="0"/>
          <w:marBottom w:val="0"/>
          <w:divBdr>
            <w:top w:val="none" w:sz="0" w:space="0" w:color="auto"/>
            <w:left w:val="none" w:sz="0" w:space="0" w:color="auto"/>
            <w:bottom w:val="none" w:sz="0" w:space="0" w:color="auto"/>
            <w:right w:val="none" w:sz="0" w:space="0" w:color="auto"/>
          </w:divBdr>
        </w:div>
        <w:div w:id="336229842">
          <w:marLeft w:val="480"/>
          <w:marRight w:val="0"/>
          <w:marTop w:val="0"/>
          <w:marBottom w:val="0"/>
          <w:divBdr>
            <w:top w:val="none" w:sz="0" w:space="0" w:color="auto"/>
            <w:left w:val="none" w:sz="0" w:space="0" w:color="auto"/>
            <w:bottom w:val="none" w:sz="0" w:space="0" w:color="auto"/>
            <w:right w:val="none" w:sz="0" w:space="0" w:color="auto"/>
          </w:divBdr>
        </w:div>
        <w:div w:id="761343455">
          <w:marLeft w:val="480"/>
          <w:marRight w:val="0"/>
          <w:marTop w:val="0"/>
          <w:marBottom w:val="0"/>
          <w:divBdr>
            <w:top w:val="none" w:sz="0" w:space="0" w:color="auto"/>
            <w:left w:val="none" w:sz="0" w:space="0" w:color="auto"/>
            <w:bottom w:val="none" w:sz="0" w:space="0" w:color="auto"/>
            <w:right w:val="none" w:sz="0" w:space="0" w:color="auto"/>
          </w:divBdr>
        </w:div>
        <w:div w:id="514660018">
          <w:marLeft w:val="480"/>
          <w:marRight w:val="0"/>
          <w:marTop w:val="0"/>
          <w:marBottom w:val="0"/>
          <w:divBdr>
            <w:top w:val="none" w:sz="0" w:space="0" w:color="auto"/>
            <w:left w:val="none" w:sz="0" w:space="0" w:color="auto"/>
            <w:bottom w:val="none" w:sz="0" w:space="0" w:color="auto"/>
            <w:right w:val="none" w:sz="0" w:space="0" w:color="auto"/>
          </w:divBdr>
        </w:div>
      </w:divsChild>
    </w:div>
    <w:div w:id="652293384">
      <w:bodyDiv w:val="1"/>
      <w:marLeft w:val="0"/>
      <w:marRight w:val="0"/>
      <w:marTop w:val="0"/>
      <w:marBottom w:val="0"/>
      <w:divBdr>
        <w:top w:val="none" w:sz="0" w:space="0" w:color="auto"/>
        <w:left w:val="none" w:sz="0" w:space="0" w:color="auto"/>
        <w:bottom w:val="none" w:sz="0" w:space="0" w:color="auto"/>
        <w:right w:val="none" w:sz="0" w:space="0" w:color="auto"/>
      </w:divBdr>
      <w:divsChild>
        <w:div w:id="1906441">
          <w:marLeft w:val="480"/>
          <w:marRight w:val="0"/>
          <w:marTop w:val="0"/>
          <w:marBottom w:val="0"/>
          <w:divBdr>
            <w:top w:val="none" w:sz="0" w:space="0" w:color="auto"/>
            <w:left w:val="none" w:sz="0" w:space="0" w:color="auto"/>
            <w:bottom w:val="none" w:sz="0" w:space="0" w:color="auto"/>
            <w:right w:val="none" w:sz="0" w:space="0" w:color="auto"/>
          </w:divBdr>
        </w:div>
        <w:div w:id="1768385298">
          <w:marLeft w:val="480"/>
          <w:marRight w:val="0"/>
          <w:marTop w:val="0"/>
          <w:marBottom w:val="0"/>
          <w:divBdr>
            <w:top w:val="none" w:sz="0" w:space="0" w:color="auto"/>
            <w:left w:val="none" w:sz="0" w:space="0" w:color="auto"/>
            <w:bottom w:val="none" w:sz="0" w:space="0" w:color="auto"/>
            <w:right w:val="none" w:sz="0" w:space="0" w:color="auto"/>
          </w:divBdr>
        </w:div>
        <w:div w:id="1463962460">
          <w:marLeft w:val="480"/>
          <w:marRight w:val="0"/>
          <w:marTop w:val="0"/>
          <w:marBottom w:val="0"/>
          <w:divBdr>
            <w:top w:val="none" w:sz="0" w:space="0" w:color="auto"/>
            <w:left w:val="none" w:sz="0" w:space="0" w:color="auto"/>
            <w:bottom w:val="none" w:sz="0" w:space="0" w:color="auto"/>
            <w:right w:val="none" w:sz="0" w:space="0" w:color="auto"/>
          </w:divBdr>
        </w:div>
      </w:divsChild>
    </w:div>
    <w:div w:id="718744989">
      <w:bodyDiv w:val="1"/>
      <w:marLeft w:val="0"/>
      <w:marRight w:val="0"/>
      <w:marTop w:val="0"/>
      <w:marBottom w:val="0"/>
      <w:divBdr>
        <w:top w:val="none" w:sz="0" w:space="0" w:color="auto"/>
        <w:left w:val="none" w:sz="0" w:space="0" w:color="auto"/>
        <w:bottom w:val="none" w:sz="0" w:space="0" w:color="auto"/>
        <w:right w:val="none" w:sz="0" w:space="0" w:color="auto"/>
      </w:divBdr>
      <w:divsChild>
        <w:div w:id="1285235548">
          <w:marLeft w:val="0"/>
          <w:marRight w:val="0"/>
          <w:marTop w:val="0"/>
          <w:marBottom w:val="0"/>
          <w:divBdr>
            <w:top w:val="single" w:sz="2" w:space="0" w:color="auto"/>
            <w:left w:val="single" w:sz="18" w:space="0" w:color="auto"/>
            <w:bottom w:val="single" w:sz="2" w:space="0" w:color="auto"/>
            <w:right w:val="single" w:sz="2" w:space="0" w:color="auto"/>
          </w:divBdr>
          <w:divsChild>
            <w:div w:id="65345266">
              <w:marLeft w:val="0"/>
              <w:marRight w:val="0"/>
              <w:marTop w:val="0"/>
              <w:marBottom w:val="0"/>
              <w:divBdr>
                <w:top w:val="none" w:sz="0" w:space="0" w:color="auto"/>
                <w:left w:val="none" w:sz="0" w:space="0" w:color="auto"/>
                <w:bottom w:val="none" w:sz="0" w:space="0" w:color="auto"/>
                <w:right w:val="none" w:sz="0" w:space="0" w:color="auto"/>
              </w:divBdr>
            </w:div>
          </w:divsChild>
        </w:div>
        <w:div w:id="1574731712">
          <w:marLeft w:val="0"/>
          <w:marRight w:val="0"/>
          <w:marTop w:val="0"/>
          <w:marBottom w:val="0"/>
          <w:divBdr>
            <w:top w:val="single" w:sz="2" w:space="0" w:color="auto"/>
            <w:left w:val="single" w:sz="18" w:space="0" w:color="auto"/>
            <w:bottom w:val="single" w:sz="2" w:space="0" w:color="auto"/>
            <w:right w:val="single" w:sz="2" w:space="0" w:color="auto"/>
          </w:divBdr>
          <w:divsChild>
            <w:div w:id="352613310">
              <w:marLeft w:val="0"/>
              <w:marRight w:val="0"/>
              <w:marTop w:val="0"/>
              <w:marBottom w:val="0"/>
              <w:divBdr>
                <w:top w:val="none" w:sz="0" w:space="0" w:color="auto"/>
                <w:left w:val="none" w:sz="0" w:space="0" w:color="auto"/>
                <w:bottom w:val="none" w:sz="0" w:space="0" w:color="auto"/>
                <w:right w:val="none" w:sz="0" w:space="0" w:color="auto"/>
              </w:divBdr>
            </w:div>
          </w:divsChild>
        </w:div>
        <w:div w:id="1278024593">
          <w:marLeft w:val="0"/>
          <w:marRight w:val="0"/>
          <w:marTop w:val="0"/>
          <w:marBottom w:val="0"/>
          <w:divBdr>
            <w:top w:val="single" w:sz="2" w:space="0" w:color="auto"/>
            <w:left w:val="single" w:sz="18" w:space="0" w:color="auto"/>
            <w:bottom w:val="single" w:sz="2" w:space="0" w:color="auto"/>
            <w:right w:val="single" w:sz="2" w:space="0" w:color="auto"/>
          </w:divBdr>
          <w:divsChild>
            <w:div w:id="62288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477972">
      <w:bodyDiv w:val="1"/>
      <w:marLeft w:val="0"/>
      <w:marRight w:val="0"/>
      <w:marTop w:val="0"/>
      <w:marBottom w:val="0"/>
      <w:divBdr>
        <w:top w:val="none" w:sz="0" w:space="0" w:color="auto"/>
        <w:left w:val="none" w:sz="0" w:space="0" w:color="auto"/>
        <w:bottom w:val="none" w:sz="0" w:space="0" w:color="auto"/>
        <w:right w:val="none" w:sz="0" w:space="0" w:color="auto"/>
      </w:divBdr>
      <w:divsChild>
        <w:div w:id="1632440486">
          <w:marLeft w:val="480"/>
          <w:marRight w:val="0"/>
          <w:marTop w:val="0"/>
          <w:marBottom w:val="0"/>
          <w:divBdr>
            <w:top w:val="none" w:sz="0" w:space="0" w:color="auto"/>
            <w:left w:val="none" w:sz="0" w:space="0" w:color="auto"/>
            <w:bottom w:val="none" w:sz="0" w:space="0" w:color="auto"/>
            <w:right w:val="none" w:sz="0" w:space="0" w:color="auto"/>
          </w:divBdr>
        </w:div>
        <w:div w:id="713390879">
          <w:marLeft w:val="480"/>
          <w:marRight w:val="0"/>
          <w:marTop w:val="0"/>
          <w:marBottom w:val="0"/>
          <w:divBdr>
            <w:top w:val="none" w:sz="0" w:space="0" w:color="auto"/>
            <w:left w:val="none" w:sz="0" w:space="0" w:color="auto"/>
            <w:bottom w:val="none" w:sz="0" w:space="0" w:color="auto"/>
            <w:right w:val="none" w:sz="0" w:space="0" w:color="auto"/>
          </w:divBdr>
        </w:div>
        <w:div w:id="251789867">
          <w:marLeft w:val="480"/>
          <w:marRight w:val="0"/>
          <w:marTop w:val="0"/>
          <w:marBottom w:val="0"/>
          <w:divBdr>
            <w:top w:val="none" w:sz="0" w:space="0" w:color="auto"/>
            <w:left w:val="none" w:sz="0" w:space="0" w:color="auto"/>
            <w:bottom w:val="none" w:sz="0" w:space="0" w:color="auto"/>
            <w:right w:val="none" w:sz="0" w:space="0" w:color="auto"/>
          </w:divBdr>
        </w:div>
        <w:div w:id="1722248244">
          <w:marLeft w:val="480"/>
          <w:marRight w:val="0"/>
          <w:marTop w:val="0"/>
          <w:marBottom w:val="0"/>
          <w:divBdr>
            <w:top w:val="none" w:sz="0" w:space="0" w:color="auto"/>
            <w:left w:val="none" w:sz="0" w:space="0" w:color="auto"/>
            <w:bottom w:val="none" w:sz="0" w:space="0" w:color="auto"/>
            <w:right w:val="none" w:sz="0" w:space="0" w:color="auto"/>
          </w:divBdr>
        </w:div>
      </w:divsChild>
    </w:div>
    <w:div w:id="729154271">
      <w:bodyDiv w:val="1"/>
      <w:marLeft w:val="0"/>
      <w:marRight w:val="0"/>
      <w:marTop w:val="0"/>
      <w:marBottom w:val="0"/>
      <w:divBdr>
        <w:top w:val="none" w:sz="0" w:space="0" w:color="auto"/>
        <w:left w:val="none" w:sz="0" w:space="0" w:color="auto"/>
        <w:bottom w:val="none" w:sz="0" w:space="0" w:color="auto"/>
        <w:right w:val="none" w:sz="0" w:space="0" w:color="auto"/>
      </w:divBdr>
      <w:divsChild>
        <w:div w:id="272202657">
          <w:marLeft w:val="480"/>
          <w:marRight w:val="0"/>
          <w:marTop w:val="0"/>
          <w:marBottom w:val="0"/>
          <w:divBdr>
            <w:top w:val="none" w:sz="0" w:space="0" w:color="auto"/>
            <w:left w:val="none" w:sz="0" w:space="0" w:color="auto"/>
            <w:bottom w:val="none" w:sz="0" w:space="0" w:color="auto"/>
            <w:right w:val="none" w:sz="0" w:space="0" w:color="auto"/>
          </w:divBdr>
        </w:div>
        <w:div w:id="979922375">
          <w:marLeft w:val="480"/>
          <w:marRight w:val="0"/>
          <w:marTop w:val="0"/>
          <w:marBottom w:val="0"/>
          <w:divBdr>
            <w:top w:val="none" w:sz="0" w:space="0" w:color="auto"/>
            <w:left w:val="none" w:sz="0" w:space="0" w:color="auto"/>
            <w:bottom w:val="none" w:sz="0" w:space="0" w:color="auto"/>
            <w:right w:val="none" w:sz="0" w:space="0" w:color="auto"/>
          </w:divBdr>
        </w:div>
        <w:div w:id="775488029">
          <w:marLeft w:val="480"/>
          <w:marRight w:val="0"/>
          <w:marTop w:val="0"/>
          <w:marBottom w:val="0"/>
          <w:divBdr>
            <w:top w:val="none" w:sz="0" w:space="0" w:color="auto"/>
            <w:left w:val="none" w:sz="0" w:space="0" w:color="auto"/>
            <w:bottom w:val="none" w:sz="0" w:space="0" w:color="auto"/>
            <w:right w:val="none" w:sz="0" w:space="0" w:color="auto"/>
          </w:divBdr>
        </w:div>
      </w:divsChild>
    </w:div>
    <w:div w:id="740296839">
      <w:bodyDiv w:val="1"/>
      <w:marLeft w:val="0"/>
      <w:marRight w:val="0"/>
      <w:marTop w:val="0"/>
      <w:marBottom w:val="0"/>
      <w:divBdr>
        <w:top w:val="none" w:sz="0" w:space="0" w:color="auto"/>
        <w:left w:val="none" w:sz="0" w:space="0" w:color="auto"/>
        <w:bottom w:val="none" w:sz="0" w:space="0" w:color="auto"/>
        <w:right w:val="none" w:sz="0" w:space="0" w:color="auto"/>
      </w:divBdr>
      <w:divsChild>
        <w:div w:id="1919634956">
          <w:marLeft w:val="480"/>
          <w:marRight w:val="0"/>
          <w:marTop w:val="0"/>
          <w:marBottom w:val="0"/>
          <w:divBdr>
            <w:top w:val="none" w:sz="0" w:space="0" w:color="auto"/>
            <w:left w:val="none" w:sz="0" w:space="0" w:color="auto"/>
            <w:bottom w:val="none" w:sz="0" w:space="0" w:color="auto"/>
            <w:right w:val="none" w:sz="0" w:space="0" w:color="auto"/>
          </w:divBdr>
        </w:div>
        <w:div w:id="557518653">
          <w:marLeft w:val="480"/>
          <w:marRight w:val="0"/>
          <w:marTop w:val="0"/>
          <w:marBottom w:val="0"/>
          <w:divBdr>
            <w:top w:val="none" w:sz="0" w:space="0" w:color="auto"/>
            <w:left w:val="none" w:sz="0" w:space="0" w:color="auto"/>
            <w:bottom w:val="none" w:sz="0" w:space="0" w:color="auto"/>
            <w:right w:val="none" w:sz="0" w:space="0" w:color="auto"/>
          </w:divBdr>
        </w:div>
        <w:div w:id="2114203369">
          <w:marLeft w:val="480"/>
          <w:marRight w:val="0"/>
          <w:marTop w:val="0"/>
          <w:marBottom w:val="0"/>
          <w:divBdr>
            <w:top w:val="none" w:sz="0" w:space="0" w:color="auto"/>
            <w:left w:val="none" w:sz="0" w:space="0" w:color="auto"/>
            <w:bottom w:val="none" w:sz="0" w:space="0" w:color="auto"/>
            <w:right w:val="none" w:sz="0" w:space="0" w:color="auto"/>
          </w:divBdr>
        </w:div>
        <w:div w:id="1822848459">
          <w:marLeft w:val="480"/>
          <w:marRight w:val="0"/>
          <w:marTop w:val="0"/>
          <w:marBottom w:val="0"/>
          <w:divBdr>
            <w:top w:val="none" w:sz="0" w:space="0" w:color="auto"/>
            <w:left w:val="none" w:sz="0" w:space="0" w:color="auto"/>
            <w:bottom w:val="none" w:sz="0" w:space="0" w:color="auto"/>
            <w:right w:val="none" w:sz="0" w:space="0" w:color="auto"/>
          </w:divBdr>
        </w:div>
      </w:divsChild>
    </w:div>
    <w:div w:id="748430948">
      <w:bodyDiv w:val="1"/>
      <w:marLeft w:val="0"/>
      <w:marRight w:val="0"/>
      <w:marTop w:val="0"/>
      <w:marBottom w:val="0"/>
      <w:divBdr>
        <w:top w:val="none" w:sz="0" w:space="0" w:color="auto"/>
        <w:left w:val="none" w:sz="0" w:space="0" w:color="auto"/>
        <w:bottom w:val="none" w:sz="0" w:space="0" w:color="auto"/>
        <w:right w:val="none" w:sz="0" w:space="0" w:color="auto"/>
      </w:divBdr>
      <w:divsChild>
        <w:div w:id="399448497">
          <w:marLeft w:val="480"/>
          <w:marRight w:val="0"/>
          <w:marTop w:val="0"/>
          <w:marBottom w:val="0"/>
          <w:divBdr>
            <w:top w:val="none" w:sz="0" w:space="0" w:color="auto"/>
            <w:left w:val="none" w:sz="0" w:space="0" w:color="auto"/>
            <w:bottom w:val="none" w:sz="0" w:space="0" w:color="auto"/>
            <w:right w:val="none" w:sz="0" w:space="0" w:color="auto"/>
          </w:divBdr>
        </w:div>
        <w:div w:id="1580629439">
          <w:marLeft w:val="480"/>
          <w:marRight w:val="0"/>
          <w:marTop w:val="0"/>
          <w:marBottom w:val="0"/>
          <w:divBdr>
            <w:top w:val="none" w:sz="0" w:space="0" w:color="auto"/>
            <w:left w:val="none" w:sz="0" w:space="0" w:color="auto"/>
            <w:bottom w:val="none" w:sz="0" w:space="0" w:color="auto"/>
            <w:right w:val="none" w:sz="0" w:space="0" w:color="auto"/>
          </w:divBdr>
        </w:div>
        <w:div w:id="862864097">
          <w:marLeft w:val="480"/>
          <w:marRight w:val="0"/>
          <w:marTop w:val="0"/>
          <w:marBottom w:val="0"/>
          <w:divBdr>
            <w:top w:val="none" w:sz="0" w:space="0" w:color="auto"/>
            <w:left w:val="none" w:sz="0" w:space="0" w:color="auto"/>
            <w:bottom w:val="none" w:sz="0" w:space="0" w:color="auto"/>
            <w:right w:val="none" w:sz="0" w:space="0" w:color="auto"/>
          </w:divBdr>
        </w:div>
        <w:div w:id="838885783">
          <w:marLeft w:val="480"/>
          <w:marRight w:val="0"/>
          <w:marTop w:val="0"/>
          <w:marBottom w:val="0"/>
          <w:divBdr>
            <w:top w:val="none" w:sz="0" w:space="0" w:color="auto"/>
            <w:left w:val="none" w:sz="0" w:space="0" w:color="auto"/>
            <w:bottom w:val="none" w:sz="0" w:space="0" w:color="auto"/>
            <w:right w:val="none" w:sz="0" w:space="0" w:color="auto"/>
          </w:divBdr>
        </w:div>
      </w:divsChild>
    </w:div>
    <w:div w:id="752626773">
      <w:bodyDiv w:val="1"/>
      <w:marLeft w:val="0"/>
      <w:marRight w:val="0"/>
      <w:marTop w:val="0"/>
      <w:marBottom w:val="0"/>
      <w:divBdr>
        <w:top w:val="none" w:sz="0" w:space="0" w:color="auto"/>
        <w:left w:val="none" w:sz="0" w:space="0" w:color="auto"/>
        <w:bottom w:val="none" w:sz="0" w:space="0" w:color="auto"/>
        <w:right w:val="none" w:sz="0" w:space="0" w:color="auto"/>
      </w:divBdr>
      <w:divsChild>
        <w:div w:id="1048920388">
          <w:marLeft w:val="480"/>
          <w:marRight w:val="0"/>
          <w:marTop w:val="0"/>
          <w:marBottom w:val="0"/>
          <w:divBdr>
            <w:top w:val="none" w:sz="0" w:space="0" w:color="auto"/>
            <w:left w:val="none" w:sz="0" w:space="0" w:color="auto"/>
            <w:bottom w:val="none" w:sz="0" w:space="0" w:color="auto"/>
            <w:right w:val="none" w:sz="0" w:space="0" w:color="auto"/>
          </w:divBdr>
        </w:div>
        <w:div w:id="1862669495">
          <w:marLeft w:val="480"/>
          <w:marRight w:val="0"/>
          <w:marTop w:val="0"/>
          <w:marBottom w:val="0"/>
          <w:divBdr>
            <w:top w:val="none" w:sz="0" w:space="0" w:color="auto"/>
            <w:left w:val="none" w:sz="0" w:space="0" w:color="auto"/>
            <w:bottom w:val="none" w:sz="0" w:space="0" w:color="auto"/>
            <w:right w:val="none" w:sz="0" w:space="0" w:color="auto"/>
          </w:divBdr>
        </w:div>
        <w:div w:id="2029676933">
          <w:marLeft w:val="480"/>
          <w:marRight w:val="0"/>
          <w:marTop w:val="0"/>
          <w:marBottom w:val="0"/>
          <w:divBdr>
            <w:top w:val="none" w:sz="0" w:space="0" w:color="auto"/>
            <w:left w:val="none" w:sz="0" w:space="0" w:color="auto"/>
            <w:bottom w:val="none" w:sz="0" w:space="0" w:color="auto"/>
            <w:right w:val="none" w:sz="0" w:space="0" w:color="auto"/>
          </w:divBdr>
        </w:div>
        <w:div w:id="1730806879">
          <w:marLeft w:val="480"/>
          <w:marRight w:val="0"/>
          <w:marTop w:val="0"/>
          <w:marBottom w:val="0"/>
          <w:divBdr>
            <w:top w:val="none" w:sz="0" w:space="0" w:color="auto"/>
            <w:left w:val="none" w:sz="0" w:space="0" w:color="auto"/>
            <w:bottom w:val="none" w:sz="0" w:space="0" w:color="auto"/>
            <w:right w:val="none" w:sz="0" w:space="0" w:color="auto"/>
          </w:divBdr>
        </w:div>
      </w:divsChild>
    </w:div>
    <w:div w:id="794059778">
      <w:bodyDiv w:val="1"/>
      <w:marLeft w:val="0"/>
      <w:marRight w:val="0"/>
      <w:marTop w:val="0"/>
      <w:marBottom w:val="0"/>
      <w:divBdr>
        <w:top w:val="none" w:sz="0" w:space="0" w:color="auto"/>
        <w:left w:val="none" w:sz="0" w:space="0" w:color="auto"/>
        <w:bottom w:val="none" w:sz="0" w:space="0" w:color="auto"/>
        <w:right w:val="none" w:sz="0" w:space="0" w:color="auto"/>
      </w:divBdr>
      <w:divsChild>
        <w:div w:id="1631669305">
          <w:marLeft w:val="480"/>
          <w:marRight w:val="0"/>
          <w:marTop w:val="0"/>
          <w:marBottom w:val="0"/>
          <w:divBdr>
            <w:top w:val="none" w:sz="0" w:space="0" w:color="auto"/>
            <w:left w:val="none" w:sz="0" w:space="0" w:color="auto"/>
            <w:bottom w:val="none" w:sz="0" w:space="0" w:color="auto"/>
            <w:right w:val="none" w:sz="0" w:space="0" w:color="auto"/>
          </w:divBdr>
        </w:div>
        <w:div w:id="39087724">
          <w:marLeft w:val="480"/>
          <w:marRight w:val="0"/>
          <w:marTop w:val="0"/>
          <w:marBottom w:val="0"/>
          <w:divBdr>
            <w:top w:val="none" w:sz="0" w:space="0" w:color="auto"/>
            <w:left w:val="none" w:sz="0" w:space="0" w:color="auto"/>
            <w:bottom w:val="none" w:sz="0" w:space="0" w:color="auto"/>
            <w:right w:val="none" w:sz="0" w:space="0" w:color="auto"/>
          </w:divBdr>
        </w:div>
        <w:div w:id="442572897">
          <w:marLeft w:val="480"/>
          <w:marRight w:val="0"/>
          <w:marTop w:val="0"/>
          <w:marBottom w:val="0"/>
          <w:divBdr>
            <w:top w:val="none" w:sz="0" w:space="0" w:color="auto"/>
            <w:left w:val="none" w:sz="0" w:space="0" w:color="auto"/>
            <w:bottom w:val="none" w:sz="0" w:space="0" w:color="auto"/>
            <w:right w:val="none" w:sz="0" w:space="0" w:color="auto"/>
          </w:divBdr>
        </w:div>
        <w:div w:id="922834589">
          <w:marLeft w:val="480"/>
          <w:marRight w:val="0"/>
          <w:marTop w:val="0"/>
          <w:marBottom w:val="0"/>
          <w:divBdr>
            <w:top w:val="none" w:sz="0" w:space="0" w:color="auto"/>
            <w:left w:val="none" w:sz="0" w:space="0" w:color="auto"/>
            <w:bottom w:val="none" w:sz="0" w:space="0" w:color="auto"/>
            <w:right w:val="none" w:sz="0" w:space="0" w:color="auto"/>
          </w:divBdr>
        </w:div>
      </w:divsChild>
    </w:div>
    <w:div w:id="839538125">
      <w:bodyDiv w:val="1"/>
      <w:marLeft w:val="0"/>
      <w:marRight w:val="0"/>
      <w:marTop w:val="0"/>
      <w:marBottom w:val="0"/>
      <w:divBdr>
        <w:top w:val="none" w:sz="0" w:space="0" w:color="auto"/>
        <w:left w:val="none" w:sz="0" w:space="0" w:color="auto"/>
        <w:bottom w:val="none" w:sz="0" w:space="0" w:color="auto"/>
        <w:right w:val="none" w:sz="0" w:space="0" w:color="auto"/>
      </w:divBdr>
      <w:divsChild>
        <w:div w:id="1858343731">
          <w:marLeft w:val="480"/>
          <w:marRight w:val="0"/>
          <w:marTop w:val="0"/>
          <w:marBottom w:val="0"/>
          <w:divBdr>
            <w:top w:val="none" w:sz="0" w:space="0" w:color="auto"/>
            <w:left w:val="none" w:sz="0" w:space="0" w:color="auto"/>
            <w:bottom w:val="none" w:sz="0" w:space="0" w:color="auto"/>
            <w:right w:val="none" w:sz="0" w:space="0" w:color="auto"/>
          </w:divBdr>
        </w:div>
        <w:div w:id="1129132277">
          <w:marLeft w:val="480"/>
          <w:marRight w:val="0"/>
          <w:marTop w:val="0"/>
          <w:marBottom w:val="0"/>
          <w:divBdr>
            <w:top w:val="none" w:sz="0" w:space="0" w:color="auto"/>
            <w:left w:val="none" w:sz="0" w:space="0" w:color="auto"/>
            <w:bottom w:val="none" w:sz="0" w:space="0" w:color="auto"/>
            <w:right w:val="none" w:sz="0" w:space="0" w:color="auto"/>
          </w:divBdr>
        </w:div>
        <w:div w:id="1800300826">
          <w:marLeft w:val="480"/>
          <w:marRight w:val="0"/>
          <w:marTop w:val="0"/>
          <w:marBottom w:val="0"/>
          <w:divBdr>
            <w:top w:val="none" w:sz="0" w:space="0" w:color="auto"/>
            <w:left w:val="none" w:sz="0" w:space="0" w:color="auto"/>
            <w:bottom w:val="none" w:sz="0" w:space="0" w:color="auto"/>
            <w:right w:val="none" w:sz="0" w:space="0" w:color="auto"/>
          </w:divBdr>
        </w:div>
        <w:div w:id="974261687">
          <w:marLeft w:val="480"/>
          <w:marRight w:val="0"/>
          <w:marTop w:val="0"/>
          <w:marBottom w:val="0"/>
          <w:divBdr>
            <w:top w:val="none" w:sz="0" w:space="0" w:color="auto"/>
            <w:left w:val="none" w:sz="0" w:space="0" w:color="auto"/>
            <w:bottom w:val="none" w:sz="0" w:space="0" w:color="auto"/>
            <w:right w:val="none" w:sz="0" w:space="0" w:color="auto"/>
          </w:divBdr>
        </w:div>
      </w:divsChild>
    </w:div>
    <w:div w:id="841161938">
      <w:bodyDiv w:val="1"/>
      <w:marLeft w:val="0"/>
      <w:marRight w:val="0"/>
      <w:marTop w:val="0"/>
      <w:marBottom w:val="0"/>
      <w:divBdr>
        <w:top w:val="none" w:sz="0" w:space="0" w:color="auto"/>
        <w:left w:val="none" w:sz="0" w:space="0" w:color="auto"/>
        <w:bottom w:val="none" w:sz="0" w:space="0" w:color="auto"/>
        <w:right w:val="none" w:sz="0" w:space="0" w:color="auto"/>
      </w:divBdr>
      <w:divsChild>
        <w:div w:id="592738159">
          <w:marLeft w:val="480"/>
          <w:marRight w:val="0"/>
          <w:marTop w:val="0"/>
          <w:marBottom w:val="0"/>
          <w:divBdr>
            <w:top w:val="none" w:sz="0" w:space="0" w:color="auto"/>
            <w:left w:val="none" w:sz="0" w:space="0" w:color="auto"/>
            <w:bottom w:val="none" w:sz="0" w:space="0" w:color="auto"/>
            <w:right w:val="none" w:sz="0" w:space="0" w:color="auto"/>
          </w:divBdr>
        </w:div>
        <w:div w:id="40860302">
          <w:marLeft w:val="480"/>
          <w:marRight w:val="0"/>
          <w:marTop w:val="0"/>
          <w:marBottom w:val="0"/>
          <w:divBdr>
            <w:top w:val="none" w:sz="0" w:space="0" w:color="auto"/>
            <w:left w:val="none" w:sz="0" w:space="0" w:color="auto"/>
            <w:bottom w:val="none" w:sz="0" w:space="0" w:color="auto"/>
            <w:right w:val="none" w:sz="0" w:space="0" w:color="auto"/>
          </w:divBdr>
        </w:div>
        <w:div w:id="834805684">
          <w:marLeft w:val="480"/>
          <w:marRight w:val="0"/>
          <w:marTop w:val="0"/>
          <w:marBottom w:val="0"/>
          <w:divBdr>
            <w:top w:val="none" w:sz="0" w:space="0" w:color="auto"/>
            <w:left w:val="none" w:sz="0" w:space="0" w:color="auto"/>
            <w:bottom w:val="none" w:sz="0" w:space="0" w:color="auto"/>
            <w:right w:val="none" w:sz="0" w:space="0" w:color="auto"/>
          </w:divBdr>
        </w:div>
        <w:div w:id="1356615325">
          <w:marLeft w:val="480"/>
          <w:marRight w:val="0"/>
          <w:marTop w:val="0"/>
          <w:marBottom w:val="0"/>
          <w:divBdr>
            <w:top w:val="none" w:sz="0" w:space="0" w:color="auto"/>
            <w:left w:val="none" w:sz="0" w:space="0" w:color="auto"/>
            <w:bottom w:val="none" w:sz="0" w:space="0" w:color="auto"/>
            <w:right w:val="none" w:sz="0" w:space="0" w:color="auto"/>
          </w:divBdr>
        </w:div>
      </w:divsChild>
    </w:div>
    <w:div w:id="844200218">
      <w:bodyDiv w:val="1"/>
      <w:marLeft w:val="0"/>
      <w:marRight w:val="0"/>
      <w:marTop w:val="0"/>
      <w:marBottom w:val="0"/>
      <w:divBdr>
        <w:top w:val="none" w:sz="0" w:space="0" w:color="auto"/>
        <w:left w:val="none" w:sz="0" w:space="0" w:color="auto"/>
        <w:bottom w:val="none" w:sz="0" w:space="0" w:color="auto"/>
        <w:right w:val="none" w:sz="0" w:space="0" w:color="auto"/>
      </w:divBdr>
    </w:div>
    <w:div w:id="857886374">
      <w:bodyDiv w:val="1"/>
      <w:marLeft w:val="0"/>
      <w:marRight w:val="0"/>
      <w:marTop w:val="0"/>
      <w:marBottom w:val="0"/>
      <w:divBdr>
        <w:top w:val="none" w:sz="0" w:space="0" w:color="auto"/>
        <w:left w:val="none" w:sz="0" w:space="0" w:color="auto"/>
        <w:bottom w:val="none" w:sz="0" w:space="0" w:color="auto"/>
        <w:right w:val="none" w:sz="0" w:space="0" w:color="auto"/>
      </w:divBdr>
      <w:divsChild>
        <w:div w:id="1005015162">
          <w:marLeft w:val="480"/>
          <w:marRight w:val="0"/>
          <w:marTop w:val="0"/>
          <w:marBottom w:val="0"/>
          <w:divBdr>
            <w:top w:val="none" w:sz="0" w:space="0" w:color="auto"/>
            <w:left w:val="none" w:sz="0" w:space="0" w:color="auto"/>
            <w:bottom w:val="none" w:sz="0" w:space="0" w:color="auto"/>
            <w:right w:val="none" w:sz="0" w:space="0" w:color="auto"/>
          </w:divBdr>
        </w:div>
        <w:div w:id="512453107">
          <w:marLeft w:val="480"/>
          <w:marRight w:val="0"/>
          <w:marTop w:val="0"/>
          <w:marBottom w:val="0"/>
          <w:divBdr>
            <w:top w:val="none" w:sz="0" w:space="0" w:color="auto"/>
            <w:left w:val="none" w:sz="0" w:space="0" w:color="auto"/>
            <w:bottom w:val="none" w:sz="0" w:space="0" w:color="auto"/>
            <w:right w:val="none" w:sz="0" w:space="0" w:color="auto"/>
          </w:divBdr>
        </w:div>
        <w:div w:id="1144158178">
          <w:marLeft w:val="480"/>
          <w:marRight w:val="0"/>
          <w:marTop w:val="0"/>
          <w:marBottom w:val="0"/>
          <w:divBdr>
            <w:top w:val="none" w:sz="0" w:space="0" w:color="auto"/>
            <w:left w:val="none" w:sz="0" w:space="0" w:color="auto"/>
            <w:bottom w:val="none" w:sz="0" w:space="0" w:color="auto"/>
            <w:right w:val="none" w:sz="0" w:space="0" w:color="auto"/>
          </w:divBdr>
        </w:div>
        <w:div w:id="1760443648">
          <w:marLeft w:val="480"/>
          <w:marRight w:val="0"/>
          <w:marTop w:val="0"/>
          <w:marBottom w:val="0"/>
          <w:divBdr>
            <w:top w:val="none" w:sz="0" w:space="0" w:color="auto"/>
            <w:left w:val="none" w:sz="0" w:space="0" w:color="auto"/>
            <w:bottom w:val="none" w:sz="0" w:space="0" w:color="auto"/>
            <w:right w:val="none" w:sz="0" w:space="0" w:color="auto"/>
          </w:divBdr>
        </w:div>
      </w:divsChild>
    </w:div>
    <w:div w:id="933898172">
      <w:bodyDiv w:val="1"/>
      <w:marLeft w:val="0"/>
      <w:marRight w:val="0"/>
      <w:marTop w:val="0"/>
      <w:marBottom w:val="0"/>
      <w:divBdr>
        <w:top w:val="none" w:sz="0" w:space="0" w:color="auto"/>
        <w:left w:val="none" w:sz="0" w:space="0" w:color="auto"/>
        <w:bottom w:val="none" w:sz="0" w:space="0" w:color="auto"/>
        <w:right w:val="none" w:sz="0" w:space="0" w:color="auto"/>
      </w:divBdr>
      <w:divsChild>
        <w:div w:id="41757240">
          <w:blockQuote w:val="1"/>
          <w:marLeft w:val="720"/>
          <w:marRight w:val="720"/>
          <w:marTop w:val="100"/>
          <w:marBottom w:val="100"/>
          <w:divBdr>
            <w:top w:val="none" w:sz="0" w:space="0" w:color="auto"/>
            <w:left w:val="none" w:sz="0" w:space="0" w:color="auto"/>
            <w:bottom w:val="none" w:sz="0" w:space="0" w:color="auto"/>
            <w:right w:val="none" w:sz="0" w:space="0" w:color="auto"/>
          </w:divBdr>
        </w:div>
        <w:div w:id="770050408">
          <w:blockQuote w:val="1"/>
          <w:marLeft w:val="720"/>
          <w:marRight w:val="720"/>
          <w:marTop w:val="100"/>
          <w:marBottom w:val="100"/>
          <w:divBdr>
            <w:top w:val="none" w:sz="0" w:space="0" w:color="auto"/>
            <w:left w:val="none" w:sz="0" w:space="0" w:color="auto"/>
            <w:bottom w:val="none" w:sz="0" w:space="0" w:color="auto"/>
            <w:right w:val="none" w:sz="0" w:space="0" w:color="auto"/>
          </w:divBdr>
        </w:div>
        <w:div w:id="19315737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7389414">
      <w:bodyDiv w:val="1"/>
      <w:marLeft w:val="0"/>
      <w:marRight w:val="0"/>
      <w:marTop w:val="0"/>
      <w:marBottom w:val="0"/>
      <w:divBdr>
        <w:top w:val="none" w:sz="0" w:space="0" w:color="auto"/>
        <w:left w:val="none" w:sz="0" w:space="0" w:color="auto"/>
        <w:bottom w:val="none" w:sz="0" w:space="0" w:color="auto"/>
        <w:right w:val="none" w:sz="0" w:space="0" w:color="auto"/>
      </w:divBdr>
    </w:div>
    <w:div w:id="951936809">
      <w:bodyDiv w:val="1"/>
      <w:marLeft w:val="0"/>
      <w:marRight w:val="0"/>
      <w:marTop w:val="0"/>
      <w:marBottom w:val="0"/>
      <w:divBdr>
        <w:top w:val="none" w:sz="0" w:space="0" w:color="auto"/>
        <w:left w:val="none" w:sz="0" w:space="0" w:color="auto"/>
        <w:bottom w:val="none" w:sz="0" w:space="0" w:color="auto"/>
        <w:right w:val="none" w:sz="0" w:space="0" w:color="auto"/>
      </w:divBdr>
      <w:divsChild>
        <w:div w:id="1765153727">
          <w:blockQuote w:val="1"/>
          <w:marLeft w:val="720"/>
          <w:marRight w:val="720"/>
          <w:marTop w:val="100"/>
          <w:marBottom w:val="100"/>
          <w:divBdr>
            <w:top w:val="none" w:sz="0" w:space="0" w:color="auto"/>
            <w:left w:val="none" w:sz="0" w:space="0" w:color="auto"/>
            <w:bottom w:val="none" w:sz="0" w:space="0" w:color="auto"/>
            <w:right w:val="none" w:sz="0" w:space="0" w:color="auto"/>
          </w:divBdr>
        </w:div>
        <w:div w:id="292248023">
          <w:blockQuote w:val="1"/>
          <w:marLeft w:val="720"/>
          <w:marRight w:val="720"/>
          <w:marTop w:val="100"/>
          <w:marBottom w:val="100"/>
          <w:divBdr>
            <w:top w:val="none" w:sz="0" w:space="0" w:color="auto"/>
            <w:left w:val="none" w:sz="0" w:space="0" w:color="auto"/>
            <w:bottom w:val="none" w:sz="0" w:space="0" w:color="auto"/>
            <w:right w:val="none" w:sz="0" w:space="0" w:color="auto"/>
          </w:divBdr>
        </w:div>
        <w:div w:id="5148523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8968961">
      <w:bodyDiv w:val="1"/>
      <w:marLeft w:val="0"/>
      <w:marRight w:val="0"/>
      <w:marTop w:val="0"/>
      <w:marBottom w:val="0"/>
      <w:divBdr>
        <w:top w:val="none" w:sz="0" w:space="0" w:color="auto"/>
        <w:left w:val="none" w:sz="0" w:space="0" w:color="auto"/>
        <w:bottom w:val="none" w:sz="0" w:space="0" w:color="auto"/>
        <w:right w:val="none" w:sz="0" w:space="0" w:color="auto"/>
      </w:divBdr>
      <w:divsChild>
        <w:div w:id="1693073233">
          <w:marLeft w:val="480"/>
          <w:marRight w:val="0"/>
          <w:marTop w:val="0"/>
          <w:marBottom w:val="0"/>
          <w:divBdr>
            <w:top w:val="none" w:sz="0" w:space="0" w:color="auto"/>
            <w:left w:val="none" w:sz="0" w:space="0" w:color="auto"/>
            <w:bottom w:val="none" w:sz="0" w:space="0" w:color="auto"/>
            <w:right w:val="none" w:sz="0" w:space="0" w:color="auto"/>
          </w:divBdr>
        </w:div>
        <w:div w:id="581371580">
          <w:marLeft w:val="480"/>
          <w:marRight w:val="0"/>
          <w:marTop w:val="0"/>
          <w:marBottom w:val="0"/>
          <w:divBdr>
            <w:top w:val="none" w:sz="0" w:space="0" w:color="auto"/>
            <w:left w:val="none" w:sz="0" w:space="0" w:color="auto"/>
            <w:bottom w:val="none" w:sz="0" w:space="0" w:color="auto"/>
            <w:right w:val="none" w:sz="0" w:space="0" w:color="auto"/>
          </w:divBdr>
        </w:div>
        <w:div w:id="1085958583">
          <w:marLeft w:val="480"/>
          <w:marRight w:val="0"/>
          <w:marTop w:val="0"/>
          <w:marBottom w:val="0"/>
          <w:divBdr>
            <w:top w:val="none" w:sz="0" w:space="0" w:color="auto"/>
            <w:left w:val="none" w:sz="0" w:space="0" w:color="auto"/>
            <w:bottom w:val="none" w:sz="0" w:space="0" w:color="auto"/>
            <w:right w:val="none" w:sz="0" w:space="0" w:color="auto"/>
          </w:divBdr>
        </w:div>
        <w:div w:id="407923221">
          <w:marLeft w:val="480"/>
          <w:marRight w:val="0"/>
          <w:marTop w:val="0"/>
          <w:marBottom w:val="0"/>
          <w:divBdr>
            <w:top w:val="none" w:sz="0" w:space="0" w:color="auto"/>
            <w:left w:val="none" w:sz="0" w:space="0" w:color="auto"/>
            <w:bottom w:val="none" w:sz="0" w:space="0" w:color="auto"/>
            <w:right w:val="none" w:sz="0" w:space="0" w:color="auto"/>
          </w:divBdr>
        </w:div>
      </w:divsChild>
    </w:div>
    <w:div w:id="1019359494">
      <w:bodyDiv w:val="1"/>
      <w:marLeft w:val="0"/>
      <w:marRight w:val="0"/>
      <w:marTop w:val="0"/>
      <w:marBottom w:val="0"/>
      <w:divBdr>
        <w:top w:val="none" w:sz="0" w:space="0" w:color="auto"/>
        <w:left w:val="none" w:sz="0" w:space="0" w:color="auto"/>
        <w:bottom w:val="none" w:sz="0" w:space="0" w:color="auto"/>
        <w:right w:val="none" w:sz="0" w:space="0" w:color="auto"/>
      </w:divBdr>
    </w:div>
    <w:div w:id="1034387195">
      <w:bodyDiv w:val="1"/>
      <w:marLeft w:val="0"/>
      <w:marRight w:val="0"/>
      <w:marTop w:val="0"/>
      <w:marBottom w:val="0"/>
      <w:divBdr>
        <w:top w:val="none" w:sz="0" w:space="0" w:color="auto"/>
        <w:left w:val="none" w:sz="0" w:space="0" w:color="auto"/>
        <w:bottom w:val="none" w:sz="0" w:space="0" w:color="auto"/>
        <w:right w:val="none" w:sz="0" w:space="0" w:color="auto"/>
      </w:divBdr>
      <w:divsChild>
        <w:div w:id="1437098875">
          <w:marLeft w:val="480"/>
          <w:marRight w:val="0"/>
          <w:marTop w:val="0"/>
          <w:marBottom w:val="0"/>
          <w:divBdr>
            <w:top w:val="none" w:sz="0" w:space="0" w:color="auto"/>
            <w:left w:val="none" w:sz="0" w:space="0" w:color="auto"/>
            <w:bottom w:val="none" w:sz="0" w:space="0" w:color="auto"/>
            <w:right w:val="none" w:sz="0" w:space="0" w:color="auto"/>
          </w:divBdr>
        </w:div>
        <w:div w:id="1835803325">
          <w:marLeft w:val="480"/>
          <w:marRight w:val="0"/>
          <w:marTop w:val="0"/>
          <w:marBottom w:val="0"/>
          <w:divBdr>
            <w:top w:val="none" w:sz="0" w:space="0" w:color="auto"/>
            <w:left w:val="none" w:sz="0" w:space="0" w:color="auto"/>
            <w:bottom w:val="none" w:sz="0" w:space="0" w:color="auto"/>
            <w:right w:val="none" w:sz="0" w:space="0" w:color="auto"/>
          </w:divBdr>
        </w:div>
        <w:div w:id="1324313219">
          <w:marLeft w:val="480"/>
          <w:marRight w:val="0"/>
          <w:marTop w:val="0"/>
          <w:marBottom w:val="0"/>
          <w:divBdr>
            <w:top w:val="none" w:sz="0" w:space="0" w:color="auto"/>
            <w:left w:val="none" w:sz="0" w:space="0" w:color="auto"/>
            <w:bottom w:val="none" w:sz="0" w:space="0" w:color="auto"/>
            <w:right w:val="none" w:sz="0" w:space="0" w:color="auto"/>
          </w:divBdr>
        </w:div>
        <w:div w:id="1101485816">
          <w:marLeft w:val="480"/>
          <w:marRight w:val="0"/>
          <w:marTop w:val="0"/>
          <w:marBottom w:val="0"/>
          <w:divBdr>
            <w:top w:val="none" w:sz="0" w:space="0" w:color="auto"/>
            <w:left w:val="none" w:sz="0" w:space="0" w:color="auto"/>
            <w:bottom w:val="none" w:sz="0" w:space="0" w:color="auto"/>
            <w:right w:val="none" w:sz="0" w:space="0" w:color="auto"/>
          </w:divBdr>
        </w:div>
        <w:div w:id="647786578">
          <w:marLeft w:val="480"/>
          <w:marRight w:val="0"/>
          <w:marTop w:val="0"/>
          <w:marBottom w:val="0"/>
          <w:divBdr>
            <w:top w:val="none" w:sz="0" w:space="0" w:color="auto"/>
            <w:left w:val="none" w:sz="0" w:space="0" w:color="auto"/>
            <w:bottom w:val="none" w:sz="0" w:space="0" w:color="auto"/>
            <w:right w:val="none" w:sz="0" w:space="0" w:color="auto"/>
          </w:divBdr>
        </w:div>
      </w:divsChild>
    </w:div>
    <w:div w:id="1099906551">
      <w:bodyDiv w:val="1"/>
      <w:marLeft w:val="0"/>
      <w:marRight w:val="0"/>
      <w:marTop w:val="0"/>
      <w:marBottom w:val="0"/>
      <w:divBdr>
        <w:top w:val="none" w:sz="0" w:space="0" w:color="auto"/>
        <w:left w:val="none" w:sz="0" w:space="0" w:color="auto"/>
        <w:bottom w:val="none" w:sz="0" w:space="0" w:color="auto"/>
        <w:right w:val="none" w:sz="0" w:space="0" w:color="auto"/>
      </w:divBdr>
      <w:divsChild>
        <w:div w:id="2007630913">
          <w:marLeft w:val="0"/>
          <w:marRight w:val="0"/>
          <w:marTop w:val="0"/>
          <w:marBottom w:val="0"/>
          <w:divBdr>
            <w:top w:val="single" w:sz="2" w:space="0" w:color="auto"/>
            <w:left w:val="single" w:sz="18" w:space="0" w:color="auto"/>
            <w:bottom w:val="single" w:sz="2" w:space="0" w:color="auto"/>
            <w:right w:val="single" w:sz="2" w:space="0" w:color="auto"/>
          </w:divBdr>
          <w:divsChild>
            <w:div w:id="1600719269">
              <w:marLeft w:val="0"/>
              <w:marRight w:val="0"/>
              <w:marTop w:val="0"/>
              <w:marBottom w:val="0"/>
              <w:divBdr>
                <w:top w:val="none" w:sz="0" w:space="0" w:color="auto"/>
                <w:left w:val="none" w:sz="0" w:space="0" w:color="auto"/>
                <w:bottom w:val="none" w:sz="0" w:space="0" w:color="auto"/>
                <w:right w:val="none" w:sz="0" w:space="0" w:color="auto"/>
              </w:divBdr>
            </w:div>
          </w:divsChild>
        </w:div>
        <w:div w:id="10645482">
          <w:marLeft w:val="0"/>
          <w:marRight w:val="0"/>
          <w:marTop w:val="0"/>
          <w:marBottom w:val="0"/>
          <w:divBdr>
            <w:top w:val="single" w:sz="2" w:space="0" w:color="auto"/>
            <w:left w:val="single" w:sz="18" w:space="0" w:color="auto"/>
            <w:bottom w:val="single" w:sz="2" w:space="0" w:color="auto"/>
            <w:right w:val="single" w:sz="2" w:space="0" w:color="auto"/>
          </w:divBdr>
          <w:divsChild>
            <w:div w:id="835807559">
              <w:marLeft w:val="0"/>
              <w:marRight w:val="0"/>
              <w:marTop w:val="0"/>
              <w:marBottom w:val="0"/>
              <w:divBdr>
                <w:top w:val="none" w:sz="0" w:space="0" w:color="auto"/>
                <w:left w:val="none" w:sz="0" w:space="0" w:color="auto"/>
                <w:bottom w:val="none" w:sz="0" w:space="0" w:color="auto"/>
                <w:right w:val="none" w:sz="0" w:space="0" w:color="auto"/>
              </w:divBdr>
            </w:div>
          </w:divsChild>
        </w:div>
        <w:div w:id="1363095140">
          <w:marLeft w:val="0"/>
          <w:marRight w:val="0"/>
          <w:marTop w:val="0"/>
          <w:marBottom w:val="0"/>
          <w:divBdr>
            <w:top w:val="single" w:sz="2" w:space="0" w:color="auto"/>
            <w:left w:val="single" w:sz="18" w:space="0" w:color="auto"/>
            <w:bottom w:val="single" w:sz="2" w:space="0" w:color="auto"/>
            <w:right w:val="single" w:sz="2" w:space="0" w:color="auto"/>
          </w:divBdr>
          <w:divsChild>
            <w:div w:id="40056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78054">
      <w:bodyDiv w:val="1"/>
      <w:marLeft w:val="0"/>
      <w:marRight w:val="0"/>
      <w:marTop w:val="0"/>
      <w:marBottom w:val="0"/>
      <w:divBdr>
        <w:top w:val="none" w:sz="0" w:space="0" w:color="auto"/>
        <w:left w:val="none" w:sz="0" w:space="0" w:color="auto"/>
        <w:bottom w:val="none" w:sz="0" w:space="0" w:color="auto"/>
        <w:right w:val="none" w:sz="0" w:space="0" w:color="auto"/>
      </w:divBdr>
    </w:div>
    <w:div w:id="1189174477">
      <w:bodyDiv w:val="1"/>
      <w:marLeft w:val="0"/>
      <w:marRight w:val="0"/>
      <w:marTop w:val="0"/>
      <w:marBottom w:val="0"/>
      <w:divBdr>
        <w:top w:val="none" w:sz="0" w:space="0" w:color="auto"/>
        <w:left w:val="none" w:sz="0" w:space="0" w:color="auto"/>
        <w:bottom w:val="none" w:sz="0" w:space="0" w:color="auto"/>
        <w:right w:val="none" w:sz="0" w:space="0" w:color="auto"/>
      </w:divBdr>
      <w:divsChild>
        <w:div w:id="1184323162">
          <w:marLeft w:val="480"/>
          <w:marRight w:val="0"/>
          <w:marTop w:val="0"/>
          <w:marBottom w:val="0"/>
          <w:divBdr>
            <w:top w:val="none" w:sz="0" w:space="0" w:color="auto"/>
            <w:left w:val="none" w:sz="0" w:space="0" w:color="auto"/>
            <w:bottom w:val="none" w:sz="0" w:space="0" w:color="auto"/>
            <w:right w:val="none" w:sz="0" w:space="0" w:color="auto"/>
          </w:divBdr>
        </w:div>
        <w:div w:id="935870736">
          <w:marLeft w:val="480"/>
          <w:marRight w:val="0"/>
          <w:marTop w:val="0"/>
          <w:marBottom w:val="0"/>
          <w:divBdr>
            <w:top w:val="none" w:sz="0" w:space="0" w:color="auto"/>
            <w:left w:val="none" w:sz="0" w:space="0" w:color="auto"/>
            <w:bottom w:val="none" w:sz="0" w:space="0" w:color="auto"/>
            <w:right w:val="none" w:sz="0" w:space="0" w:color="auto"/>
          </w:divBdr>
        </w:div>
        <w:div w:id="93936683">
          <w:marLeft w:val="480"/>
          <w:marRight w:val="0"/>
          <w:marTop w:val="0"/>
          <w:marBottom w:val="0"/>
          <w:divBdr>
            <w:top w:val="none" w:sz="0" w:space="0" w:color="auto"/>
            <w:left w:val="none" w:sz="0" w:space="0" w:color="auto"/>
            <w:bottom w:val="none" w:sz="0" w:space="0" w:color="auto"/>
            <w:right w:val="none" w:sz="0" w:space="0" w:color="auto"/>
          </w:divBdr>
        </w:div>
      </w:divsChild>
    </w:div>
    <w:div w:id="1217471466">
      <w:bodyDiv w:val="1"/>
      <w:marLeft w:val="0"/>
      <w:marRight w:val="0"/>
      <w:marTop w:val="0"/>
      <w:marBottom w:val="0"/>
      <w:divBdr>
        <w:top w:val="none" w:sz="0" w:space="0" w:color="auto"/>
        <w:left w:val="none" w:sz="0" w:space="0" w:color="auto"/>
        <w:bottom w:val="none" w:sz="0" w:space="0" w:color="auto"/>
        <w:right w:val="none" w:sz="0" w:space="0" w:color="auto"/>
      </w:divBdr>
      <w:divsChild>
        <w:div w:id="370541594">
          <w:marLeft w:val="480"/>
          <w:marRight w:val="0"/>
          <w:marTop w:val="0"/>
          <w:marBottom w:val="0"/>
          <w:divBdr>
            <w:top w:val="none" w:sz="0" w:space="0" w:color="auto"/>
            <w:left w:val="none" w:sz="0" w:space="0" w:color="auto"/>
            <w:bottom w:val="none" w:sz="0" w:space="0" w:color="auto"/>
            <w:right w:val="none" w:sz="0" w:space="0" w:color="auto"/>
          </w:divBdr>
        </w:div>
        <w:div w:id="883175116">
          <w:marLeft w:val="480"/>
          <w:marRight w:val="0"/>
          <w:marTop w:val="0"/>
          <w:marBottom w:val="0"/>
          <w:divBdr>
            <w:top w:val="none" w:sz="0" w:space="0" w:color="auto"/>
            <w:left w:val="none" w:sz="0" w:space="0" w:color="auto"/>
            <w:bottom w:val="none" w:sz="0" w:space="0" w:color="auto"/>
            <w:right w:val="none" w:sz="0" w:space="0" w:color="auto"/>
          </w:divBdr>
        </w:div>
        <w:div w:id="1636638861">
          <w:marLeft w:val="480"/>
          <w:marRight w:val="0"/>
          <w:marTop w:val="0"/>
          <w:marBottom w:val="0"/>
          <w:divBdr>
            <w:top w:val="none" w:sz="0" w:space="0" w:color="auto"/>
            <w:left w:val="none" w:sz="0" w:space="0" w:color="auto"/>
            <w:bottom w:val="none" w:sz="0" w:space="0" w:color="auto"/>
            <w:right w:val="none" w:sz="0" w:space="0" w:color="auto"/>
          </w:divBdr>
        </w:div>
        <w:div w:id="1160342435">
          <w:marLeft w:val="480"/>
          <w:marRight w:val="0"/>
          <w:marTop w:val="0"/>
          <w:marBottom w:val="0"/>
          <w:divBdr>
            <w:top w:val="none" w:sz="0" w:space="0" w:color="auto"/>
            <w:left w:val="none" w:sz="0" w:space="0" w:color="auto"/>
            <w:bottom w:val="none" w:sz="0" w:space="0" w:color="auto"/>
            <w:right w:val="none" w:sz="0" w:space="0" w:color="auto"/>
          </w:divBdr>
        </w:div>
      </w:divsChild>
    </w:div>
    <w:div w:id="1221481525">
      <w:bodyDiv w:val="1"/>
      <w:marLeft w:val="0"/>
      <w:marRight w:val="0"/>
      <w:marTop w:val="0"/>
      <w:marBottom w:val="0"/>
      <w:divBdr>
        <w:top w:val="none" w:sz="0" w:space="0" w:color="auto"/>
        <w:left w:val="none" w:sz="0" w:space="0" w:color="auto"/>
        <w:bottom w:val="none" w:sz="0" w:space="0" w:color="auto"/>
        <w:right w:val="none" w:sz="0" w:space="0" w:color="auto"/>
      </w:divBdr>
    </w:div>
    <w:div w:id="1246039693">
      <w:bodyDiv w:val="1"/>
      <w:marLeft w:val="0"/>
      <w:marRight w:val="0"/>
      <w:marTop w:val="0"/>
      <w:marBottom w:val="0"/>
      <w:divBdr>
        <w:top w:val="none" w:sz="0" w:space="0" w:color="auto"/>
        <w:left w:val="none" w:sz="0" w:space="0" w:color="auto"/>
        <w:bottom w:val="none" w:sz="0" w:space="0" w:color="auto"/>
        <w:right w:val="none" w:sz="0" w:space="0" w:color="auto"/>
      </w:divBdr>
    </w:div>
    <w:div w:id="1295520883">
      <w:bodyDiv w:val="1"/>
      <w:marLeft w:val="0"/>
      <w:marRight w:val="0"/>
      <w:marTop w:val="0"/>
      <w:marBottom w:val="0"/>
      <w:divBdr>
        <w:top w:val="none" w:sz="0" w:space="0" w:color="auto"/>
        <w:left w:val="none" w:sz="0" w:space="0" w:color="auto"/>
        <w:bottom w:val="none" w:sz="0" w:space="0" w:color="auto"/>
        <w:right w:val="none" w:sz="0" w:space="0" w:color="auto"/>
      </w:divBdr>
    </w:div>
    <w:div w:id="1356882146">
      <w:bodyDiv w:val="1"/>
      <w:marLeft w:val="0"/>
      <w:marRight w:val="0"/>
      <w:marTop w:val="0"/>
      <w:marBottom w:val="0"/>
      <w:divBdr>
        <w:top w:val="none" w:sz="0" w:space="0" w:color="auto"/>
        <w:left w:val="none" w:sz="0" w:space="0" w:color="auto"/>
        <w:bottom w:val="none" w:sz="0" w:space="0" w:color="auto"/>
        <w:right w:val="none" w:sz="0" w:space="0" w:color="auto"/>
      </w:divBdr>
    </w:div>
    <w:div w:id="1387216442">
      <w:bodyDiv w:val="1"/>
      <w:marLeft w:val="0"/>
      <w:marRight w:val="0"/>
      <w:marTop w:val="0"/>
      <w:marBottom w:val="0"/>
      <w:divBdr>
        <w:top w:val="none" w:sz="0" w:space="0" w:color="auto"/>
        <w:left w:val="none" w:sz="0" w:space="0" w:color="auto"/>
        <w:bottom w:val="none" w:sz="0" w:space="0" w:color="auto"/>
        <w:right w:val="none" w:sz="0" w:space="0" w:color="auto"/>
      </w:divBdr>
      <w:divsChild>
        <w:div w:id="1057364377">
          <w:marLeft w:val="0"/>
          <w:marRight w:val="0"/>
          <w:marTop w:val="0"/>
          <w:marBottom w:val="0"/>
          <w:divBdr>
            <w:top w:val="single" w:sz="2" w:space="0" w:color="auto"/>
            <w:left w:val="single" w:sz="18" w:space="0" w:color="auto"/>
            <w:bottom w:val="single" w:sz="2" w:space="0" w:color="auto"/>
            <w:right w:val="single" w:sz="2" w:space="0" w:color="auto"/>
          </w:divBdr>
          <w:divsChild>
            <w:div w:id="528957796">
              <w:marLeft w:val="0"/>
              <w:marRight w:val="0"/>
              <w:marTop w:val="0"/>
              <w:marBottom w:val="0"/>
              <w:divBdr>
                <w:top w:val="none" w:sz="0" w:space="0" w:color="auto"/>
                <w:left w:val="none" w:sz="0" w:space="0" w:color="auto"/>
                <w:bottom w:val="none" w:sz="0" w:space="0" w:color="auto"/>
                <w:right w:val="none" w:sz="0" w:space="0" w:color="auto"/>
              </w:divBdr>
            </w:div>
          </w:divsChild>
        </w:div>
        <w:div w:id="619263018">
          <w:marLeft w:val="0"/>
          <w:marRight w:val="0"/>
          <w:marTop w:val="0"/>
          <w:marBottom w:val="0"/>
          <w:divBdr>
            <w:top w:val="single" w:sz="2" w:space="0" w:color="auto"/>
            <w:left w:val="single" w:sz="18" w:space="0" w:color="auto"/>
            <w:bottom w:val="single" w:sz="2" w:space="0" w:color="auto"/>
            <w:right w:val="single" w:sz="2" w:space="0" w:color="auto"/>
          </w:divBdr>
          <w:divsChild>
            <w:div w:id="255528758">
              <w:marLeft w:val="0"/>
              <w:marRight w:val="0"/>
              <w:marTop w:val="0"/>
              <w:marBottom w:val="0"/>
              <w:divBdr>
                <w:top w:val="none" w:sz="0" w:space="0" w:color="auto"/>
                <w:left w:val="none" w:sz="0" w:space="0" w:color="auto"/>
                <w:bottom w:val="none" w:sz="0" w:space="0" w:color="auto"/>
                <w:right w:val="none" w:sz="0" w:space="0" w:color="auto"/>
              </w:divBdr>
            </w:div>
          </w:divsChild>
        </w:div>
        <w:div w:id="281805687">
          <w:marLeft w:val="0"/>
          <w:marRight w:val="0"/>
          <w:marTop w:val="0"/>
          <w:marBottom w:val="0"/>
          <w:divBdr>
            <w:top w:val="single" w:sz="2" w:space="0" w:color="auto"/>
            <w:left w:val="single" w:sz="18" w:space="0" w:color="auto"/>
            <w:bottom w:val="single" w:sz="2" w:space="0" w:color="auto"/>
            <w:right w:val="single" w:sz="2" w:space="0" w:color="auto"/>
          </w:divBdr>
          <w:divsChild>
            <w:div w:id="934632298">
              <w:marLeft w:val="0"/>
              <w:marRight w:val="0"/>
              <w:marTop w:val="0"/>
              <w:marBottom w:val="0"/>
              <w:divBdr>
                <w:top w:val="none" w:sz="0" w:space="0" w:color="auto"/>
                <w:left w:val="none" w:sz="0" w:space="0" w:color="auto"/>
                <w:bottom w:val="none" w:sz="0" w:space="0" w:color="auto"/>
                <w:right w:val="none" w:sz="0" w:space="0" w:color="auto"/>
              </w:divBdr>
            </w:div>
          </w:divsChild>
        </w:div>
        <w:div w:id="1576740169">
          <w:marLeft w:val="0"/>
          <w:marRight w:val="0"/>
          <w:marTop w:val="0"/>
          <w:marBottom w:val="0"/>
          <w:divBdr>
            <w:top w:val="single" w:sz="2" w:space="0" w:color="auto"/>
            <w:left w:val="single" w:sz="18" w:space="0" w:color="auto"/>
            <w:bottom w:val="single" w:sz="2" w:space="0" w:color="auto"/>
            <w:right w:val="single" w:sz="2" w:space="0" w:color="auto"/>
          </w:divBdr>
          <w:divsChild>
            <w:div w:id="1866941477">
              <w:marLeft w:val="0"/>
              <w:marRight w:val="0"/>
              <w:marTop w:val="0"/>
              <w:marBottom w:val="0"/>
              <w:divBdr>
                <w:top w:val="none" w:sz="0" w:space="0" w:color="auto"/>
                <w:left w:val="none" w:sz="0" w:space="0" w:color="auto"/>
                <w:bottom w:val="none" w:sz="0" w:space="0" w:color="auto"/>
                <w:right w:val="none" w:sz="0" w:space="0" w:color="auto"/>
              </w:divBdr>
            </w:div>
          </w:divsChild>
        </w:div>
        <w:div w:id="399444522">
          <w:marLeft w:val="0"/>
          <w:marRight w:val="0"/>
          <w:marTop w:val="0"/>
          <w:marBottom w:val="0"/>
          <w:divBdr>
            <w:top w:val="single" w:sz="2" w:space="0" w:color="auto"/>
            <w:left w:val="single" w:sz="18" w:space="0" w:color="auto"/>
            <w:bottom w:val="single" w:sz="2" w:space="0" w:color="auto"/>
            <w:right w:val="single" w:sz="2" w:space="0" w:color="auto"/>
          </w:divBdr>
          <w:divsChild>
            <w:div w:id="1882090634">
              <w:marLeft w:val="0"/>
              <w:marRight w:val="0"/>
              <w:marTop w:val="0"/>
              <w:marBottom w:val="0"/>
              <w:divBdr>
                <w:top w:val="none" w:sz="0" w:space="0" w:color="auto"/>
                <w:left w:val="none" w:sz="0" w:space="0" w:color="auto"/>
                <w:bottom w:val="none" w:sz="0" w:space="0" w:color="auto"/>
                <w:right w:val="none" w:sz="0" w:space="0" w:color="auto"/>
              </w:divBdr>
            </w:div>
          </w:divsChild>
        </w:div>
        <w:div w:id="753742593">
          <w:marLeft w:val="0"/>
          <w:marRight w:val="0"/>
          <w:marTop w:val="0"/>
          <w:marBottom w:val="0"/>
          <w:divBdr>
            <w:top w:val="single" w:sz="2" w:space="0" w:color="auto"/>
            <w:left w:val="single" w:sz="18" w:space="0" w:color="auto"/>
            <w:bottom w:val="single" w:sz="2" w:space="0" w:color="auto"/>
            <w:right w:val="single" w:sz="2" w:space="0" w:color="auto"/>
          </w:divBdr>
          <w:divsChild>
            <w:div w:id="72750696">
              <w:marLeft w:val="0"/>
              <w:marRight w:val="0"/>
              <w:marTop w:val="0"/>
              <w:marBottom w:val="0"/>
              <w:divBdr>
                <w:top w:val="none" w:sz="0" w:space="0" w:color="auto"/>
                <w:left w:val="none" w:sz="0" w:space="0" w:color="auto"/>
                <w:bottom w:val="none" w:sz="0" w:space="0" w:color="auto"/>
                <w:right w:val="none" w:sz="0" w:space="0" w:color="auto"/>
              </w:divBdr>
            </w:div>
          </w:divsChild>
        </w:div>
        <w:div w:id="749933130">
          <w:marLeft w:val="0"/>
          <w:marRight w:val="0"/>
          <w:marTop w:val="0"/>
          <w:marBottom w:val="0"/>
          <w:divBdr>
            <w:top w:val="single" w:sz="2" w:space="0" w:color="auto"/>
            <w:left w:val="single" w:sz="18" w:space="0" w:color="auto"/>
            <w:bottom w:val="single" w:sz="2" w:space="0" w:color="auto"/>
            <w:right w:val="single" w:sz="2" w:space="0" w:color="auto"/>
          </w:divBdr>
          <w:divsChild>
            <w:div w:id="1343778431">
              <w:marLeft w:val="0"/>
              <w:marRight w:val="0"/>
              <w:marTop w:val="0"/>
              <w:marBottom w:val="0"/>
              <w:divBdr>
                <w:top w:val="none" w:sz="0" w:space="0" w:color="auto"/>
                <w:left w:val="none" w:sz="0" w:space="0" w:color="auto"/>
                <w:bottom w:val="none" w:sz="0" w:space="0" w:color="auto"/>
                <w:right w:val="none" w:sz="0" w:space="0" w:color="auto"/>
              </w:divBdr>
            </w:div>
          </w:divsChild>
        </w:div>
        <w:div w:id="162744433">
          <w:marLeft w:val="0"/>
          <w:marRight w:val="0"/>
          <w:marTop w:val="0"/>
          <w:marBottom w:val="0"/>
          <w:divBdr>
            <w:top w:val="single" w:sz="2" w:space="0" w:color="auto"/>
            <w:left w:val="single" w:sz="18" w:space="0" w:color="auto"/>
            <w:bottom w:val="single" w:sz="2" w:space="0" w:color="auto"/>
            <w:right w:val="single" w:sz="2" w:space="0" w:color="auto"/>
          </w:divBdr>
          <w:divsChild>
            <w:div w:id="575743656">
              <w:marLeft w:val="0"/>
              <w:marRight w:val="0"/>
              <w:marTop w:val="0"/>
              <w:marBottom w:val="0"/>
              <w:divBdr>
                <w:top w:val="none" w:sz="0" w:space="0" w:color="auto"/>
                <w:left w:val="none" w:sz="0" w:space="0" w:color="auto"/>
                <w:bottom w:val="none" w:sz="0" w:space="0" w:color="auto"/>
                <w:right w:val="none" w:sz="0" w:space="0" w:color="auto"/>
              </w:divBdr>
            </w:div>
          </w:divsChild>
        </w:div>
        <w:div w:id="387072463">
          <w:marLeft w:val="0"/>
          <w:marRight w:val="0"/>
          <w:marTop w:val="0"/>
          <w:marBottom w:val="0"/>
          <w:divBdr>
            <w:top w:val="single" w:sz="2" w:space="0" w:color="auto"/>
            <w:left w:val="single" w:sz="18" w:space="0" w:color="auto"/>
            <w:bottom w:val="single" w:sz="2" w:space="0" w:color="auto"/>
            <w:right w:val="single" w:sz="2" w:space="0" w:color="auto"/>
          </w:divBdr>
          <w:divsChild>
            <w:div w:id="1118449998">
              <w:marLeft w:val="0"/>
              <w:marRight w:val="0"/>
              <w:marTop w:val="0"/>
              <w:marBottom w:val="0"/>
              <w:divBdr>
                <w:top w:val="none" w:sz="0" w:space="0" w:color="auto"/>
                <w:left w:val="none" w:sz="0" w:space="0" w:color="auto"/>
                <w:bottom w:val="none" w:sz="0" w:space="0" w:color="auto"/>
                <w:right w:val="none" w:sz="0" w:space="0" w:color="auto"/>
              </w:divBdr>
            </w:div>
          </w:divsChild>
        </w:div>
        <w:div w:id="1492133497">
          <w:marLeft w:val="0"/>
          <w:marRight w:val="0"/>
          <w:marTop w:val="0"/>
          <w:marBottom w:val="0"/>
          <w:divBdr>
            <w:top w:val="single" w:sz="2" w:space="0" w:color="auto"/>
            <w:left w:val="single" w:sz="18" w:space="0" w:color="auto"/>
            <w:bottom w:val="single" w:sz="2" w:space="0" w:color="auto"/>
            <w:right w:val="single" w:sz="2" w:space="0" w:color="auto"/>
          </w:divBdr>
          <w:divsChild>
            <w:div w:id="1036387737">
              <w:marLeft w:val="0"/>
              <w:marRight w:val="0"/>
              <w:marTop w:val="0"/>
              <w:marBottom w:val="0"/>
              <w:divBdr>
                <w:top w:val="none" w:sz="0" w:space="0" w:color="auto"/>
                <w:left w:val="none" w:sz="0" w:space="0" w:color="auto"/>
                <w:bottom w:val="none" w:sz="0" w:space="0" w:color="auto"/>
                <w:right w:val="none" w:sz="0" w:space="0" w:color="auto"/>
              </w:divBdr>
            </w:div>
          </w:divsChild>
        </w:div>
        <w:div w:id="1425802916">
          <w:marLeft w:val="0"/>
          <w:marRight w:val="0"/>
          <w:marTop w:val="0"/>
          <w:marBottom w:val="0"/>
          <w:divBdr>
            <w:top w:val="single" w:sz="2" w:space="0" w:color="auto"/>
            <w:left w:val="single" w:sz="18" w:space="0" w:color="auto"/>
            <w:bottom w:val="single" w:sz="2" w:space="0" w:color="auto"/>
            <w:right w:val="single" w:sz="2" w:space="0" w:color="auto"/>
          </w:divBdr>
          <w:divsChild>
            <w:div w:id="149103337">
              <w:marLeft w:val="0"/>
              <w:marRight w:val="0"/>
              <w:marTop w:val="0"/>
              <w:marBottom w:val="0"/>
              <w:divBdr>
                <w:top w:val="none" w:sz="0" w:space="0" w:color="auto"/>
                <w:left w:val="none" w:sz="0" w:space="0" w:color="auto"/>
                <w:bottom w:val="none" w:sz="0" w:space="0" w:color="auto"/>
                <w:right w:val="none" w:sz="0" w:space="0" w:color="auto"/>
              </w:divBdr>
            </w:div>
          </w:divsChild>
        </w:div>
        <w:div w:id="1385324616">
          <w:marLeft w:val="0"/>
          <w:marRight w:val="0"/>
          <w:marTop w:val="0"/>
          <w:marBottom w:val="0"/>
          <w:divBdr>
            <w:top w:val="single" w:sz="2" w:space="0" w:color="auto"/>
            <w:left w:val="single" w:sz="18" w:space="0" w:color="auto"/>
            <w:bottom w:val="single" w:sz="2" w:space="0" w:color="auto"/>
            <w:right w:val="single" w:sz="2" w:space="0" w:color="auto"/>
          </w:divBdr>
          <w:divsChild>
            <w:div w:id="1261521497">
              <w:marLeft w:val="0"/>
              <w:marRight w:val="0"/>
              <w:marTop w:val="0"/>
              <w:marBottom w:val="0"/>
              <w:divBdr>
                <w:top w:val="none" w:sz="0" w:space="0" w:color="auto"/>
                <w:left w:val="none" w:sz="0" w:space="0" w:color="auto"/>
                <w:bottom w:val="none" w:sz="0" w:space="0" w:color="auto"/>
                <w:right w:val="none" w:sz="0" w:space="0" w:color="auto"/>
              </w:divBdr>
            </w:div>
          </w:divsChild>
        </w:div>
        <w:div w:id="1783383296">
          <w:marLeft w:val="0"/>
          <w:marRight w:val="0"/>
          <w:marTop w:val="0"/>
          <w:marBottom w:val="0"/>
          <w:divBdr>
            <w:top w:val="single" w:sz="2" w:space="0" w:color="auto"/>
            <w:left w:val="single" w:sz="18" w:space="0" w:color="auto"/>
            <w:bottom w:val="single" w:sz="2" w:space="0" w:color="auto"/>
            <w:right w:val="single" w:sz="2" w:space="0" w:color="auto"/>
          </w:divBdr>
          <w:divsChild>
            <w:div w:id="1043016416">
              <w:marLeft w:val="0"/>
              <w:marRight w:val="0"/>
              <w:marTop w:val="0"/>
              <w:marBottom w:val="0"/>
              <w:divBdr>
                <w:top w:val="none" w:sz="0" w:space="0" w:color="auto"/>
                <w:left w:val="none" w:sz="0" w:space="0" w:color="auto"/>
                <w:bottom w:val="none" w:sz="0" w:space="0" w:color="auto"/>
                <w:right w:val="none" w:sz="0" w:space="0" w:color="auto"/>
              </w:divBdr>
            </w:div>
          </w:divsChild>
        </w:div>
        <w:div w:id="396897058">
          <w:marLeft w:val="0"/>
          <w:marRight w:val="0"/>
          <w:marTop w:val="0"/>
          <w:marBottom w:val="0"/>
          <w:divBdr>
            <w:top w:val="single" w:sz="2" w:space="0" w:color="auto"/>
            <w:left w:val="single" w:sz="18" w:space="0" w:color="auto"/>
            <w:bottom w:val="single" w:sz="2" w:space="0" w:color="auto"/>
            <w:right w:val="single" w:sz="2" w:space="0" w:color="auto"/>
          </w:divBdr>
          <w:divsChild>
            <w:div w:id="604073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708599">
      <w:bodyDiv w:val="1"/>
      <w:marLeft w:val="0"/>
      <w:marRight w:val="0"/>
      <w:marTop w:val="0"/>
      <w:marBottom w:val="0"/>
      <w:divBdr>
        <w:top w:val="none" w:sz="0" w:space="0" w:color="auto"/>
        <w:left w:val="none" w:sz="0" w:space="0" w:color="auto"/>
        <w:bottom w:val="none" w:sz="0" w:space="0" w:color="auto"/>
        <w:right w:val="none" w:sz="0" w:space="0" w:color="auto"/>
      </w:divBdr>
      <w:divsChild>
        <w:div w:id="82190361">
          <w:marLeft w:val="480"/>
          <w:marRight w:val="0"/>
          <w:marTop w:val="0"/>
          <w:marBottom w:val="0"/>
          <w:divBdr>
            <w:top w:val="none" w:sz="0" w:space="0" w:color="auto"/>
            <w:left w:val="none" w:sz="0" w:space="0" w:color="auto"/>
            <w:bottom w:val="none" w:sz="0" w:space="0" w:color="auto"/>
            <w:right w:val="none" w:sz="0" w:space="0" w:color="auto"/>
          </w:divBdr>
        </w:div>
        <w:div w:id="1848212363">
          <w:marLeft w:val="480"/>
          <w:marRight w:val="0"/>
          <w:marTop w:val="0"/>
          <w:marBottom w:val="0"/>
          <w:divBdr>
            <w:top w:val="none" w:sz="0" w:space="0" w:color="auto"/>
            <w:left w:val="none" w:sz="0" w:space="0" w:color="auto"/>
            <w:bottom w:val="none" w:sz="0" w:space="0" w:color="auto"/>
            <w:right w:val="none" w:sz="0" w:space="0" w:color="auto"/>
          </w:divBdr>
        </w:div>
        <w:div w:id="171802222">
          <w:marLeft w:val="480"/>
          <w:marRight w:val="0"/>
          <w:marTop w:val="0"/>
          <w:marBottom w:val="0"/>
          <w:divBdr>
            <w:top w:val="none" w:sz="0" w:space="0" w:color="auto"/>
            <w:left w:val="none" w:sz="0" w:space="0" w:color="auto"/>
            <w:bottom w:val="none" w:sz="0" w:space="0" w:color="auto"/>
            <w:right w:val="none" w:sz="0" w:space="0" w:color="auto"/>
          </w:divBdr>
        </w:div>
      </w:divsChild>
    </w:div>
    <w:div w:id="1444373890">
      <w:bodyDiv w:val="1"/>
      <w:marLeft w:val="0"/>
      <w:marRight w:val="0"/>
      <w:marTop w:val="0"/>
      <w:marBottom w:val="0"/>
      <w:divBdr>
        <w:top w:val="none" w:sz="0" w:space="0" w:color="auto"/>
        <w:left w:val="none" w:sz="0" w:space="0" w:color="auto"/>
        <w:bottom w:val="none" w:sz="0" w:space="0" w:color="auto"/>
        <w:right w:val="none" w:sz="0" w:space="0" w:color="auto"/>
      </w:divBdr>
    </w:div>
    <w:div w:id="1447234648">
      <w:bodyDiv w:val="1"/>
      <w:marLeft w:val="0"/>
      <w:marRight w:val="0"/>
      <w:marTop w:val="0"/>
      <w:marBottom w:val="0"/>
      <w:divBdr>
        <w:top w:val="none" w:sz="0" w:space="0" w:color="auto"/>
        <w:left w:val="none" w:sz="0" w:space="0" w:color="auto"/>
        <w:bottom w:val="none" w:sz="0" w:space="0" w:color="auto"/>
        <w:right w:val="none" w:sz="0" w:space="0" w:color="auto"/>
      </w:divBdr>
    </w:div>
    <w:div w:id="1457141262">
      <w:bodyDiv w:val="1"/>
      <w:marLeft w:val="0"/>
      <w:marRight w:val="0"/>
      <w:marTop w:val="0"/>
      <w:marBottom w:val="0"/>
      <w:divBdr>
        <w:top w:val="none" w:sz="0" w:space="0" w:color="auto"/>
        <w:left w:val="none" w:sz="0" w:space="0" w:color="auto"/>
        <w:bottom w:val="none" w:sz="0" w:space="0" w:color="auto"/>
        <w:right w:val="none" w:sz="0" w:space="0" w:color="auto"/>
      </w:divBdr>
      <w:divsChild>
        <w:div w:id="1691489543">
          <w:marLeft w:val="480"/>
          <w:marRight w:val="0"/>
          <w:marTop w:val="0"/>
          <w:marBottom w:val="0"/>
          <w:divBdr>
            <w:top w:val="none" w:sz="0" w:space="0" w:color="auto"/>
            <w:left w:val="none" w:sz="0" w:space="0" w:color="auto"/>
            <w:bottom w:val="none" w:sz="0" w:space="0" w:color="auto"/>
            <w:right w:val="none" w:sz="0" w:space="0" w:color="auto"/>
          </w:divBdr>
        </w:div>
        <w:div w:id="987975749">
          <w:marLeft w:val="480"/>
          <w:marRight w:val="0"/>
          <w:marTop w:val="0"/>
          <w:marBottom w:val="0"/>
          <w:divBdr>
            <w:top w:val="none" w:sz="0" w:space="0" w:color="auto"/>
            <w:left w:val="none" w:sz="0" w:space="0" w:color="auto"/>
            <w:bottom w:val="none" w:sz="0" w:space="0" w:color="auto"/>
            <w:right w:val="none" w:sz="0" w:space="0" w:color="auto"/>
          </w:divBdr>
        </w:div>
        <w:div w:id="2026205180">
          <w:marLeft w:val="480"/>
          <w:marRight w:val="0"/>
          <w:marTop w:val="0"/>
          <w:marBottom w:val="0"/>
          <w:divBdr>
            <w:top w:val="none" w:sz="0" w:space="0" w:color="auto"/>
            <w:left w:val="none" w:sz="0" w:space="0" w:color="auto"/>
            <w:bottom w:val="none" w:sz="0" w:space="0" w:color="auto"/>
            <w:right w:val="none" w:sz="0" w:space="0" w:color="auto"/>
          </w:divBdr>
        </w:div>
        <w:div w:id="1009530144">
          <w:marLeft w:val="480"/>
          <w:marRight w:val="0"/>
          <w:marTop w:val="0"/>
          <w:marBottom w:val="0"/>
          <w:divBdr>
            <w:top w:val="none" w:sz="0" w:space="0" w:color="auto"/>
            <w:left w:val="none" w:sz="0" w:space="0" w:color="auto"/>
            <w:bottom w:val="none" w:sz="0" w:space="0" w:color="auto"/>
            <w:right w:val="none" w:sz="0" w:space="0" w:color="auto"/>
          </w:divBdr>
        </w:div>
      </w:divsChild>
    </w:div>
    <w:div w:id="1462265723">
      <w:bodyDiv w:val="1"/>
      <w:marLeft w:val="0"/>
      <w:marRight w:val="0"/>
      <w:marTop w:val="0"/>
      <w:marBottom w:val="0"/>
      <w:divBdr>
        <w:top w:val="none" w:sz="0" w:space="0" w:color="auto"/>
        <w:left w:val="none" w:sz="0" w:space="0" w:color="auto"/>
        <w:bottom w:val="none" w:sz="0" w:space="0" w:color="auto"/>
        <w:right w:val="none" w:sz="0" w:space="0" w:color="auto"/>
      </w:divBdr>
      <w:divsChild>
        <w:div w:id="1112045409">
          <w:marLeft w:val="480"/>
          <w:marRight w:val="0"/>
          <w:marTop w:val="0"/>
          <w:marBottom w:val="0"/>
          <w:divBdr>
            <w:top w:val="none" w:sz="0" w:space="0" w:color="auto"/>
            <w:left w:val="none" w:sz="0" w:space="0" w:color="auto"/>
            <w:bottom w:val="none" w:sz="0" w:space="0" w:color="auto"/>
            <w:right w:val="none" w:sz="0" w:space="0" w:color="auto"/>
          </w:divBdr>
          <w:divsChild>
            <w:div w:id="1815370719">
              <w:marLeft w:val="0"/>
              <w:marRight w:val="0"/>
              <w:marTop w:val="0"/>
              <w:marBottom w:val="0"/>
              <w:divBdr>
                <w:top w:val="none" w:sz="0" w:space="0" w:color="auto"/>
                <w:left w:val="none" w:sz="0" w:space="0" w:color="auto"/>
                <w:bottom w:val="none" w:sz="0" w:space="0" w:color="auto"/>
                <w:right w:val="none" w:sz="0" w:space="0" w:color="auto"/>
              </w:divBdr>
              <w:divsChild>
                <w:div w:id="3022882">
                  <w:marLeft w:val="480"/>
                  <w:marRight w:val="0"/>
                  <w:marTop w:val="0"/>
                  <w:marBottom w:val="0"/>
                  <w:divBdr>
                    <w:top w:val="none" w:sz="0" w:space="0" w:color="auto"/>
                    <w:left w:val="none" w:sz="0" w:space="0" w:color="auto"/>
                    <w:bottom w:val="none" w:sz="0" w:space="0" w:color="auto"/>
                    <w:right w:val="none" w:sz="0" w:space="0" w:color="auto"/>
                  </w:divBdr>
                </w:div>
                <w:div w:id="940259868">
                  <w:marLeft w:val="480"/>
                  <w:marRight w:val="0"/>
                  <w:marTop w:val="0"/>
                  <w:marBottom w:val="0"/>
                  <w:divBdr>
                    <w:top w:val="none" w:sz="0" w:space="0" w:color="auto"/>
                    <w:left w:val="none" w:sz="0" w:space="0" w:color="auto"/>
                    <w:bottom w:val="none" w:sz="0" w:space="0" w:color="auto"/>
                    <w:right w:val="none" w:sz="0" w:space="0" w:color="auto"/>
                  </w:divBdr>
                </w:div>
                <w:div w:id="191115505">
                  <w:marLeft w:val="480"/>
                  <w:marRight w:val="0"/>
                  <w:marTop w:val="0"/>
                  <w:marBottom w:val="0"/>
                  <w:divBdr>
                    <w:top w:val="none" w:sz="0" w:space="0" w:color="auto"/>
                    <w:left w:val="none" w:sz="0" w:space="0" w:color="auto"/>
                    <w:bottom w:val="none" w:sz="0" w:space="0" w:color="auto"/>
                    <w:right w:val="none" w:sz="0" w:space="0" w:color="auto"/>
                  </w:divBdr>
                </w:div>
                <w:div w:id="2112890452">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216479337">
          <w:marLeft w:val="480"/>
          <w:marRight w:val="0"/>
          <w:marTop w:val="0"/>
          <w:marBottom w:val="0"/>
          <w:divBdr>
            <w:top w:val="none" w:sz="0" w:space="0" w:color="auto"/>
            <w:left w:val="none" w:sz="0" w:space="0" w:color="auto"/>
            <w:bottom w:val="none" w:sz="0" w:space="0" w:color="auto"/>
            <w:right w:val="none" w:sz="0" w:space="0" w:color="auto"/>
          </w:divBdr>
        </w:div>
        <w:div w:id="37750949">
          <w:marLeft w:val="480"/>
          <w:marRight w:val="0"/>
          <w:marTop w:val="0"/>
          <w:marBottom w:val="0"/>
          <w:divBdr>
            <w:top w:val="none" w:sz="0" w:space="0" w:color="auto"/>
            <w:left w:val="none" w:sz="0" w:space="0" w:color="auto"/>
            <w:bottom w:val="none" w:sz="0" w:space="0" w:color="auto"/>
            <w:right w:val="none" w:sz="0" w:space="0" w:color="auto"/>
          </w:divBdr>
        </w:div>
        <w:div w:id="1370109974">
          <w:marLeft w:val="480"/>
          <w:marRight w:val="0"/>
          <w:marTop w:val="0"/>
          <w:marBottom w:val="0"/>
          <w:divBdr>
            <w:top w:val="none" w:sz="0" w:space="0" w:color="auto"/>
            <w:left w:val="none" w:sz="0" w:space="0" w:color="auto"/>
            <w:bottom w:val="none" w:sz="0" w:space="0" w:color="auto"/>
            <w:right w:val="none" w:sz="0" w:space="0" w:color="auto"/>
          </w:divBdr>
        </w:div>
      </w:divsChild>
    </w:div>
    <w:div w:id="1466654787">
      <w:bodyDiv w:val="1"/>
      <w:marLeft w:val="0"/>
      <w:marRight w:val="0"/>
      <w:marTop w:val="0"/>
      <w:marBottom w:val="0"/>
      <w:divBdr>
        <w:top w:val="none" w:sz="0" w:space="0" w:color="auto"/>
        <w:left w:val="none" w:sz="0" w:space="0" w:color="auto"/>
        <w:bottom w:val="none" w:sz="0" w:space="0" w:color="auto"/>
        <w:right w:val="none" w:sz="0" w:space="0" w:color="auto"/>
      </w:divBdr>
    </w:div>
    <w:div w:id="1528252152">
      <w:bodyDiv w:val="1"/>
      <w:marLeft w:val="0"/>
      <w:marRight w:val="0"/>
      <w:marTop w:val="0"/>
      <w:marBottom w:val="0"/>
      <w:divBdr>
        <w:top w:val="none" w:sz="0" w:space="0" w:color="auto"/>
        <w:left w:val="none" w:sz="0" w:space="0" w:color="auto"/>
        <w:bottom w:val="none" w:sz="0" w:space="0" w:color="auto"/>
        <w:right w:val="none" w:sz="0" w:space="0" w:color="auto"/>
      </w:divBdr>
      <w:divsChild>
        <w:div w:id="1545606260">
          <w:marLeft w:val="480"/>
          <w:marRight w:val="0"/>
          <w:marTop w:val="0"/>
          <w:marBottom w:val="0"/>
          <w:divBdr>
            <w:top w:val="none" w:sz="0" w:space="0" w:color="auto"/>
            <w:left w:val="none" w:sz="0" w:space="0" w:color="auto"/>
            <w:bottom w:val="none" w:sz="0" w:space="0" w:color="auto"/>
            <w:right w:val="none" w:sz="0" w:space="0" w:color="auto"/>
          </w:divBdr>
        </w:div>
        <w:div w:id="1063142099">
          <w:marLeft w:val="480"/>
          <w:marRight w:val="0"/>
          <w:marTop w:val="0"/>
          <w:marBottom w:val="0"/>
          <w:divBdr>
            <w:top w:val="none" w:sz="0" w:space="0" w:color="auto"/>
            <w:left w:val="none" w:sz="0" w:space="0" w:color="auto"/>
            <w:bottom w:val="none" w:sz="0" w:space="0" w:color="auto"/>
            <w:right w:val="none" w:sz="0" w:space="0" w:color="auto"/>
          </w:divBdr>
        </w:div>
        <w:div w:id="496044190">
          <w:marLeft w:val="480"/>
          <w:marRight w:val="0"/>
          <w:marTop w:val="0"/>
          <w:marBottom w:val="0"/>
          <w:divBdr>
            <w:top w:val="none" w:sz="0" w:space="0" w:color="auto"/>
            <w:left w:val="none" w:sz="0" w:space="0" w:color="auto"/>
            <w:bottom w:val="none" w:sz="0" w:space="0" w:color="auto"/>
            <w:right w:val="none" w:sz="0" w:space="0" w:color="auto"/>
          </w:divBdr>
        </w:div>
        <w:div w:id="1306664066">
          <w:marLeft w:val="480"/>
          <w:marRight w:val="0"/>
          <w:marTop w:val="0"/>
          <w:marBottom w:val="0"/>
          <w:divBdr>
            <w:top w:val="none" w:sz="0" w:space="0" w:color="auto"/>
            <w:left w:val="none" w:sz="0" w:space="0" w:color="auto"/>
            <w:bottom w:val="none" w:sz="0" w:space="0" w:color="auto"/>
            <w:right w:val="none" w:sz="0" w:space="0" w:color="auto"/>
          </w:divBdr>
        </w:div>
      </w:divsChild>
    </w:div>
    <w:div w:id="1538002731">
      <w:bodyDiv w:val="1"/>
      <w:marLeft w:val="0"/>
      <w:marRight w:val="0"/>
      <w:marTop w:val="0"/>
      <w:marBottom w:val="0"/>
      <w:divBdr>
        <w:top w:val="none" w:sz="0" w:space="0" w:color="auto"/>
        <w:left w:val="none" w:sz="0" w:space="0" w:color="auto"/>
        <w:bottom w:val="none" w:sz="0" w:space="0" w:color="auto"/>
        <w:right w:val="none" w:sz="0" w:space="0" w:color="auto"/>
      </w:divBdr>
      <w:divsChild>
        <w:div w:id="421533855">
          <w:marLeft w:val="480"/>
          <w:marRight w:val="0"/>
          <w:marTop w:val="0"/>
          <w:marBottom w:val="0"/>
          <w:divBdr>
            <w:top w:val="none" w:sz="0" w:space="0" w:color="auto"/>
            <w:left w:val="none" w:sz="0" w:space="0" w:color="auto"/>
            <w:bottom w:val="none" w:sz="0" w:space="0" w:color="auto"/>
            <w:right w:val="none" w:sz="0" w:space="0" w:color="auto"/>
          </w:divBdr>
        </w:div>
        <w:div w:id="971136034">
          <w:marLeft w:val="480"/>
          <w:marRight w:val="0"/>
          <w:marTop w:val="0"/>
          <w:marBottom w:val="0"/>
          <w:divBdr>
            <w:top w:val="none" w:sz="0" w:space="0" w:color="auto"/>
            <w:left w:val="none" w:sz="0" w:space="0" w:color="auto"/>
            <w:bottom w:val="none" w:sz="0" w:space="0" w:color="auto"/>
            <w:right w:val="none" w:sz="0" w:space="0" w:color="auto"/>
          </w:divBdr>
        </w:div>
        <w:div w:id="504054375">
          <w:marLeft w:val="480"/>
          <w:marRight w:val="0"/>
          <w:marTop w:val="0"/>
          <w:marBottom w:val="0"/>
          <w:divBdr>
            <w:top w:val="none" w:sz="0" w:space="0" w:color="auto"/>
            <w:left w:val="none" w:sz="0" w:space="0" w:color="auto"/>
            <w:bottom w:val="none" w:sz="0" w:space="0" w:color="auto"/>
            <w:right w:val="none" w:sz="0" w:space="0" w:color="auto"/>
          </w:divBdr>
        </w:div>
      </w:divsChild>
    </w:div>
    <w:div w:id="1585185123">
      <w:bodyDiv w:val="1"/>
      <w:marLeft w:val="0"/>
      <w:marRight w:val="0"/>
      <w:marTop w:val="0"/>
      <w:marBottom w:val="0"/>
      <w:divBdr>
        <w:top w:val="none" w:sz="0" w:space="0" w:color="auto"/>
        <w:left w:val="none" w:sz="0" w:space="0" w:color="auto"/>
        <w:bottom w:val="none" w:sz="0" w:space="0" w:color="auto"/>
        <w:right w:val="none" w:sz="0" w:space="0" w:color="auto"/>
      </w:divBdr>
      <w:divsChild>
        <w:div w:id="2086494417">
          <w:marLeft w:val="0"/>
          <w:marRight w:val="0"/>
          <w:marTop w:val="0"/>
          <w:marBottom w:val="0"/>
          <w:divBdr>
            <w:top w:val="single" w:sz="2" w:space="0" w:color="auto"/>
            <w:left w:val="single" w:sz="18" w:space="0" w:color="auto"/>
            <w:bottom w:val="single" w:sz="2" w:space="0" w:color="auto"/>
            <w:right w:val="single" w:sz="2" w:space="0" w:color="auto"/>
          </w:divBdr>
          <w:divsChild>
            <w:div w:id="1898393116">
              <w:marLeft w:val="0"/>
              <w:marRight w:val="0"/>
              <w:marTop w:val="0"/>
              <w:marBottom w:val="0"/>
              <w:divBdr>
                <w:top w:val="none" w:sz="0" w:space="0" w:color="auto"/>
                <w:left w:val="none" w:sz="0" w:space="0" w:color="auto"/>
                <w:bottom w:val="none" w:sz="0" w:space="0" w:color="auto"/>
                <w:right w:val="none" w:sz="0" w:space="0" w:color="auto"/>
              </w:divBdr>
            </w:div>
          </w:divsChild>
        </w:div>
        <w:div w:id="1157570391">
          <w:marLeft w:val="0"/>
          <w:marRight w:val="0"/>
          <w:marTop w:val="0"/>
          <w:marBottom w:val="0"/>
          <w:divBdr>
            <w:top w:val="single" w:sz="2" w:space="0" w:color="auto"/>
            <w:left w:val="single" w:sz="18" w:space="0" w:color="auto"/>
            <w:bottom w:val="single" w:sz="2" w:space="0" w:color="auto"/>
            <w:right w:val="single" w:sz="2" w:space="0" w:color="auto"/>
          </w:divBdr>
          <w:divsChild>
            <w:div w:id="1698266616">
              <w:marLeft w:val="0"/>
              <w:marRight w:val="0"/>
              <w:marTop w:val="0"/>
              <w:marBottom w:val="0"/>
              <w:divBdr>
                <w:top w:val="none" w:sz="0" w:space="0" w:color="auto"/>
                <w:left w:val="none" w:sz="0" w:space="0" w:color="auto"/>
                <w:bottom w:val="none" w:sz="0" w:space="0" w:color="auto"/>
                <w:right w:val="none" w:sz="0" w:space="0" w:color="auto"/>
              </w:divBdr>
            </w:div>
          </w:divsChild>
        </w:div>
        <w:div w:id="1966429009">
          <w:marLeft w:val="0"/>
          <w:marRight w:val="0"/>
          <w:marTop w:val="0"/>
          <w:marBottom w:val="0"/>
          <w:divBdr>
            <w:top w:val="single" w:sz="2" w:space="0" w:color="auto"/>
            <w:left w:val="single" w:sz="18" w:space="0" w:color="auto"/>
            <w:bottom w:val="single" w:sz="2" w:space="0" w:color="auto"/>
            <w:right w:val="single" w:sz="2" w:space="0" w:color="auto"/>
          </w:divBdr>
          <w:divsChild>
            <w:div w:id="182681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566013">
      <w:bodyDiv w:val="1"/>
      <w:marLeft w:val="0"/>
      <w:marRight w:val="0"/>
      <w:marTop w:val="0"/>
      <w:marBottom w:val="0"/>
      <w:divBdr>
        <w:top w:val="none" w:sz="0" w:space="0" w:color="auto"/>
        <w:left w:val="none" w:sz="0" w:space="0" w:color="auto"/>
        <w:bottom w:val="none" w:sz="0" w:space="0" w:color="auto"/>
        <w:right w:val="none" w:sz="0" w:space="0" w:color="auto"/>
      </w:divBdr>
      <w:divsChild>
        <w:div w:id="2134248632">
          <w:marLeft w:val="480"/>
          <w:marRight w:val="0"/>
          <w:marTop w:val="0"/>
          <w:marBottom w:val="0"/>
          <w:divBdr>
            <w:top w:val="none" w:sz="0" w:space="0" w:color="auto"/>
            <w:left w:val="none" w:sz="0" w:space="0" w:color="auto"/>
            <w:bottom w:val="none" w:sz="0" w:space="0" w:color="auto"/>
            <w:right w:val="none" w:sz="0" w:space="0" w:color="auto"/>
          </w:divBdr>
        </w:div>
        <w:div w:id="329404835">
          <w:marLeft w:val="480"/>
          <w:marRight w:val="0"/>
          <w:marTop w:val="0"/>
          <w:marBottom w:val="0"/>
          <w:divBdr>
            <w:top w:val="none" w:sz="0" w:space="0" w:color="auto"/>
            <w:left w:val="none" w:sz="0" w:space="0" w:color="auto"/>
            <w:bottom w:val="none" w:sz="0" w:space="0" w:color="auto"/>
            <w:right w:val="none" w:sz="0" w:space="0" w:color="auto"/>
          </w:divBdr>
        </w:div>
        <w:div w:id="1376854766">
          <w:marLeft w:val="480"/>
          <w:marRight w:val="0"/>
          <w:marTop w:val="0"/>
          <w:marBottom w:val="0"/>
          <w:divBdr>
            <w:top w:val="none" w:sz="0" w:space="0" w:color="auto"/>
            <w:left w:val="none" w:sz="0" w:space="0" w:color="auto"/>
            <w:bottom w:val="none" w:sz="0" w:space="0" w:color="auto"/>
            <w:right w:val="none" w:sz="0" w:space="0" w:color="auto"/>
          </w:divBdr>
        </w:div>
        <w:div w:id="89787173">
          <w:marLeft w:val="480"/>
          <w:marRight w:val="0"/>
          <w:marTop w:val="0"/>
          <w:marBottom w:val="0"/>
          <w:divBdr>
            <w:top w:val="none" w:sz="0" w:space="0" w:color="auto"/>
            <w:left w:val="none" w:sz="0" w:space="0" w:color="auto"/>
            <w:bottom w:val="none" w:sz="0" w:space="0" w:color="auto"/>
            <w:right w:val="none" w:sz="0" w:space="0" w:color="auto"/>
          </w:divBdr>
        </w:div>
      </w:divsChild>
    </w:div>
    <w:div w:id="1625040561">
      <w:bodyDiv w:val="1"/>
      <w:marLeft w:val="0"/>
      <w:marRight w:val="0"/>
      <w:marTop w:val="0"/>
      <w:marBottom w:val="0"/>
      <w:divBdr>
        <w:top w:val="none" w:sz="0" w:space="0" w:color="auto"/>
        <w:left w:val="none" w:sz="0" w:space="0" w:color="auto"/>
        <w:bottom w:val="none" w:sz="0" w:space="0" w:color="auto"/>
        <w:right w:val="none" w:sz="0" w:space="0" w:color="auto"/>
      </w:divBdr>
      <w:divsChild>
        <w:div w:id="497186136">
          <w:marLeft w:val="480"/>
          <w:marRight w:val="0"/>
          <w:marTop w:val="0"/>
          <w:marBottom w:val="0"/>
          <w:divBdr>
            <w:top w:val="none" w:sz="0" w:space="0" w:color="auto"/>
            <w:left w:val="none" w:sz="0" w:space="0" w:color="auto"/>
            <w:bottom w:val="none" w:sz="0" w:space="0" w:color="auto"/>
            <w:right w:val="none" w:sz="0" w:space="0" w:color="auto"/>
          </w:divBdr>
        </w:div>
        <w:div w:id="262958927">
          <w:marLeft w:val="480"/>
          <w:marRight w:val="0"/>
          <w:marTop w:val="0"/>
          <w:marBottom w:val="0"/>
          <w:divBdr>
            <w:top w:val="none" w:sz="0" w:space="0" w:color="auto"/>
            <w:left w:val="none" w:sz="0" w:space="0" w:color="auto"/>
            <w:bottom w:val="none" w:sz="0" w:space="0" w:color="auto"/>
            <w:right w:val="none" w:sz="0" w:space="0" w:color="auto"/>
          </w:divBdr>
        </w:div>
        <w:div w:id="610936042">
          <w:marLeft w:val="480"/>
          <w:marRight w:val="0"/>
          <w:marTop w:val="0"/>
          <w:marBottom w:val="0"/>
          <w:divBdr>
            <w:top w:val="none" w:sz="0" w:space="0" w:color="auto"/>
            <w:left w:val="none" w:sz="0" w:space="0" w:color="auto"/>
            <w:bottom w:val="none" w:sz="0" w:space="0" w:color="auto"/>
            <w:right w:val="none" w:sz="0" w:space="0" w:color="auto"/>
          </w:divBdr>
        </w:div>
        <w:div w:id="2139294443">
          <w:marLeft w:val="480"/>
          <w:marRight w:val="0"/>
          <w:marTop w:val="0"/>
          <w:marBottom w:val="0"/>
          <w:divBdr>
            <w:top w:val="none" w:sz="0" w:space="0" w:color="auto"/>
            <w:left w:val="none" w:sz="0" w:space="0" w:color="auto"/>
            <w:bottom w:val="none" w:sz="0" w:space="0" w:color="auto"/>
            <w:right w:val="none" w:sz="0" w:space="0" w:color="auto"/>
          </w:divBdr>
        </w:div>
      </w:divsChild>
    </w:div>
    <w:div w:id="1625502070">
      <w:bodyDiv w:val="1"/>
      <w:marLeft w:val="0"/>
      <w:marRight w:val="0"/>
      <w:marTop w:val="0"/>
      <w:marBottom w:val="0"/>
      <w:divBdr>
        <w:top w:val="none" w:sz="0" w:space="0" w:color="auto"/>
        <w:left w:val="none" w:sz="0" w:space="0" w:color="auto"/>
        <w:bottom w:val="none" w:sz="0" w:space="0" w:color="auto"/>
        <w:right w:val="none" w:sz="0" w:space="0" w:color="auto"/>
      </w:divBdr>
      <w:divsChild>
        <w:div w:id="1977252410">
          <w:marLeft w:val="480"/>
          <w:marRight w:val="0"/>
          <w:marTop w:val="0"/>
          <w:marBottom w:val="0"/>
          <w:divBdr>
            <w:top w:val="none" w:sz="0" w:space="0" w:color="auto"/>
            <w:left w:val="none" w:sz="0" w:space="0" w:color="auto"/>
            <w:bottom w:val="none" w:sz="0" w:space="0" w:color="auto"/>
            <w:right w:val="none" w:sz="0" w:space="0" w:color="auto"/>
          </w:divBdr>
        </w:div>
        <w:div w:id="2018071531">
          <w:marLeft w:val="480"/>
          <w:marRight w:val="0"/>
          <w:marTop w:val="0"/>
          <w:marBottom w:val="0"/>
          <w:divBdr>
            <w:top w:val="none" w:sz="0" w:space="0" w:color="auto"/>
            <w:left w:val="none" w:sz="0" w:space="0" w:color="auto"/>
            <w:bottom w:val="none" w:sz="0" w:space="0" w:color="auto"/>
            <w:right w:val="none" w:sz="0" w:space="0" w:color="auto"/>
          </w:divBdr>
        </w:div>
        <w:div w:id="2130540338">
          <w:marLeft w:val="480"/>
          <w:marRight w:val="0"/>
          <w:marTop w:val="0"/>
          <w:marBottom w:val="0"/>
          <w:divBdr>
            <w:top w:val="none" w:sz="0" w:space="0" w:color="auto"/>
            <w:left w:val="none" w:sz="0" w:space="0" w:color="auto"/>
            <w:bottom w:val="none" w:sz="0" w:space="0" w:color="auto"/>
            <w:right w:val="none" w:sz="0" w:space="0" w:color="auto"/>
          </w:divBdr>
        </w:div>
        <w:div w:id="1751006754">
          <w:marLeft w:val="480"/>
          <w:marRight w:val="0"/>
          <w:marTop w:val="0"/>
          <w:marBottom w:val="0"/>
          <w:divBdr>
            <w:top w:val="none" w:sz="0" w:space="0" w:color="auto"/>
            <w:left w:val="none" w:sz="0" w:space="0" w:color="auto"/>
            <w:bottom w:val="none" w:sz="0" w:space="0" w:color="auto"/>
            <w:right w:val="none" w:sz="0" w:space="0" w:color="auto"/>
          </w:divBdr>
        </w:div>
      </w:divsChild>
    </w:div>
    <w:div w:id="1640573633">
      <w:bodyDiv w:val="1"/>
      <w:marLeft w:val="0"/>
      <w:marRight w:val="0"/>
      <w:marTop w:val="0"/>
      <w:marBottom w:val="0"/>
      <w:divBdr>
        <w:top w:val="none" w:sz="0" w:space="0" w:color="auto"/>
        <w:left w:val="none" w:sz="0" w:space="0" w:color="auto"/>
        <w:bottom w:val="none" w:sz="0" w:space="0" w:color="auto"/>
        <w:right w:val="none" w:sz="0" w:space="0" w:color="auto"/>
      </w:divBdr>
      <w:divsChild>
        <w:div w:id="800658119">
          <w:marLeft w:val="480"/>
          <w:marRight w:val="0"/>
          <w:marTop w:val="0"/>
          <w:marBottom w:val="0"/>
          <w:divBdr>
            <w:top w:val="none" w:sz="0" w:space="0" w:color="auto"/>
            <w:left w:val="none" w:sz="0" w:space="0" w:color="auto"/>
            <w:bottom w:val="none" w:sz="0" w:space="0" w:color="auto"/>
            <w:right w:val="none" w:sz="0" w:space="0" w:color="auto"/>
          </w:divBdr>
        </w:div>
        <w:div w:id="725683544">
          <w:marLeft w:val="480"/>
          <w:marRight w:val="0"/>
          <w:marTop w:val="0"/>
          <w:marBottom w:val="0"/>
          <w:divBdr>
            <w:top w:val="none" w:sz="0" w:space="0" w:color="auto"/>
            <w:left w:val="none" w:sz="0" w:space="0" w:color="auto"/>
            <w:bottom w:val="none" w:sz="0" w:space="0" w:color="auto"/>
            <w:right w:val="none" w:sz="0" w:space="0" w:color="auto"/>
          </w:divBdr>
        </w:div>
        <w:div w:id="1630669587">
          <w:marLeft w:val="480"/>
          <w:marRight w:val="0"/>
          <w:marTop w:val="0"/>
          <w:marBottom w:val="0"/>
          <w:divBdr>
            <w:top w:val="none" w:sz="0" w:space="0" w:color="auto"/>
            <w:left w:val="none" w:sz="0" w:space="0" w:color="auto"/>
            <w:bottom w:val="none" w:sz="0" w:space="0" w:color="auto"/>
            <w:right w:val="none" w:sz="0" w:space="0" w:color="auto"/>
          </w:divBdr>
        </w:div>
        <w:div w:id="170339327">
          <w:marLeft w:val="480"/>
          <w:marRight w:val="0"/>
          <w:marTop w:val="0"/>
          <w:marBottom w:val="0"/>
          <w:divBdr>
            <w:top w:val="none" w:sz="0" w:space="0" w:color="auto"/>
            <w:left w:val="none" w:sz="0" w:space="0" w:color="auto"/>
            <w:bottom w:val="none" w:sz="0" w:space="0" w:color="auto"/>
            <w:right w:val="none" w:sz="0" w:space="0" w:color="auto"/>
          </w:divBdr>
        </w:div>
      </w:divsChild>
    </w:div>
    <w:div w:id="1677459709">
      <w:bodyDiv w:val="1"/>
      <w:marLeft w:val="0"/>
      <w:marRight w:val="0"/>
      <w:marTop w:val="0"/>
      <w:marBottom w:val="0"/>
      <w:divBdr>
        <w:top w:val="none" w:sz="0" w:space="0" w:color="auto"/>
        <w:left w:val="none" w:sz="0" w:space="0" w:color="auto"/>
        <w:bottom w:val="none" w:sz="0" w:space="0" w:color="auto"/>
        <w:right w:val="none" w:sz="0" w:space="0" w:color="auto"/>
      </w:divBdr>
      <w:divsChild>
        <w:div w:id="448470841">
          <w:marLeft w:val="480"/>
          <w:marRight w:val="0"/>
          <w:marTop w:val="0"/>
          <w:marBottom w:val="0"/>
          <w:divBdr>
            <w:top w:val="none" w:sz="0" w:space="0" w:color="auto"/>
            <w:left w:val="none" w:sz="0" w:space="0" w:color="auto"/>
            <w:bottom w:val="none" w:sz="0" w:space="0" w:color="auto"/>
            <w:right w:val="none" w:sz="0" w:space="0" w:color="auto"/>
          </w:divBdr>
        </w:div>
        <w:div w:id="1052316177">
          <w:marLeft w:val="480"/>
          <w:marRight w:val="0"/>
          <w:marTop w:val="0"/>
          <w:marBottom w:val="0"/>
          <w:divBdr>
            <w:top w:val="none" w:sz="0" w:space="0" w:color="auto"/>
            <w:left w:val="none" w:sz="0" w:space="0" w:color="auto"/>
            <w:bottom w:val="none" w:sz="0" w:space="0" w:color="auto"/>
            <w:right w:val="none" w:sz="0" w:space="0" w:color="auto"/>
          </w:divBdr>
        </w:div>
        <w:div w:id="44648636">
          <w:marLeft w:val="480"/>
          <w:marRight w:val="0"/>
          <w:marTop w:val="0"/>
          <w:marBottom w:val="0"/>
          <w:divBdr>
            <w:top w:val="none" w:sz="0" w:space="0" w:color="auto"/>
            <w:left w:val="none" w:sz="0" w:space="0" w:color="auto"/>
            <w:bottom w:val="none" w:sz="0" w:space="0" w:color="auto"/>
            <w:right w:val="none" w:sz="0" w:space="0" w:color="auto"/>
          </w:divBdr>
        </w:div>
      </w:divsChild>
    </w:div>
    <w:div w:id="1684280007">
      <w:bodyDiv w:val="1"/>
      <w:marLeft w:val="0"/>
      <w:marRight w:val="0"/>
      <w:marTop w:val="0"/>
      <w:marBottom w:val="0"/>
      <w:divBdr>
        <w:top w:val="none" w:sz="0" w:space="0" w:color="auto"/>
        <w:left w:val="none" w:sz="0" w:space="0" w:color="auto"/>
        <w:bottom w:val="none" w:sz="0" w:space="0" w:color="auto"/>
        <w:right w:val="none" w:sz="0" w:space="0" w:color="auto"/>
      </w:divBdr>
    </w:div>
    <w:div w:id="1756705394">
      <w:bodyDiv w:val="1"/>
      <w:marLeft w:val="0"/>
      <w:marRight w:val="0"/>
      <w:marTop w:val="0"/>
      <w:marBottom w:val="0"/>
      <w:divBdr>
        <w:top w:val="none" w:sz="0" w:space="0" w:color="auto"/>
        <w:left w:val="none" w:sz="0" w:space="0" w:color="auto"/>
        <w:bottom w:val="none" w:sz="0" w:space="0" w:color="auto"/>
        <w:right w:val="none" w:sz="0" w:space="0" w:color="auto"/>
      </w:divBdr>
      <w:divsChild>
        <w:div w:id="1525437217">
          <w:marLeft w:val="480"/>
          <w:marRight w:val="0"/>
          <w:marTop w:val="0"/>
          <w:marBottom w:val="0"/>
          <w:divBdr>
            <w:top w:val="none" w:sz="0" w:space="0" w:color="auto"/>
            <w:left w:val="none" w:sz="0" w:space="0" w:color="auto"/>
            <w:bottom w:val="none" w:sz="0" w:space="0" w:color="auto"/>
            <w:right w:val="none" w:sz="0" w:space="0" w:color="auto"/>
          </w:divBdr>
        </w:div>
        <w:div w:id="1652369093">
          <w:marLeft w:val="480"/>
          <w:marRight w:val="0"/>
          <w:marTop w:val="0"/>
          <w:marBottom w:val="0"/>
          <w:divBdr>
            <w:top w:val="none" w:sz="0" w:space="0" w:color="auto"/>
            <w:left w:val="none" w:sz="0" w:space="0" w:color="auto"/>
            <w:bottom w:val="none" w:sz="0" w:space="0" w:color="auto"/>
            <w:right w:val="none" w:sz="0" w:space="0" w:color="auto"/>
          </w:divBdr>
        </w:div>
        <w:div w:id="248121795">
          <w:marLeft w:val="480"/>
          <w:marRight w:val="0"/>
          <w:marTop w:val="0"/>
          <w:marBottom w:val="0"/>
          <w:divBdr>
            <w:top w:val="none" w:sz="0" w:space="0" w:color="auto"/>
            <w:left w:val="none" w:sz="0" w:space="0" w:color="auto"/>
            <w:bottom w:val="none" w:sz="0" w:space="0" w:color="auto"/>
            <w:right w:val="none" w:sz="0" w:space="0" w:color="auto"/>
          </w:divBdr>
        </w:div>
        <w:div w:id="202329291">
          <w:marLeft w:val="480"/>
          <w:marRight w:val="0"/>
          <w:marTop w:val="0"/>
          <w:marBottom w:val="0"/>
          <w:divBdr>
            <w:top w:val="none" w:sz="0" w:space="0" w:color="auto"/>
            <w:left w:val="none" w:sz="0" w:space="0" w:color="auto"/>
            <w:bottom w:val="none" w:sz="0" w:space="0" w:color="auto"/>
            <w:right w:val="none" w:sz="0" w:space="0" w:color="auto"/>
          </w:divBdr>
        </w:div>
      </w:divsChild>
    </w:div>
    <w:div w:id="1784573552">
      <w:bodyDiv w:val="1"/>
      <w:marLeft w:val="0"/>
      <w:marRight w:val="0"/>
      <w:marTop w:val="0"/>
      <w:marBottom w:val="0"/>
      <w:divBdr>
        <w:top w:val="none" w:sz="0" w:space="0" w:color="auto"/>
        <w:left w:val="none" w:sz="0" w:space="0" w:color="auto"/>
        <w:bottom w:val="none" w:sz="0" w:space="0" w:color="auto"/>
        <w:right w:val="none" w:sz="0" w:space="0" w:color="auto"/>
      </w:divBdr>
      <w:divsChild>
        <w:div w:id="31612004">
          <w:marLeft w:val="480"/>
          <w:marRight w:val="0"/>
          <w:marTop w:val="0"/>
          <w:marBottom w:val="0"/>
          <w:divBdr>
            <w:top w:val="none" w:sz="0" w:space="0" w:color="auto"/>
            <w:left w:val="none" w:sz="0" w:space="0" w:color="auto"/>
            <w:bottom w:val="none" w:sz="0" w:space="0" w:color="auto"/>
            <w:right w:val="none" w:sz="0" w:space="0" w:color="auto"/>
          </w:divBdr>
        </w:div>
        <w:div w:id="744566478">
          <w:marLeft w:val="480"/>
          <w:marRight w:val="0"/>
          <w:marTop w:val="0"/>
          <w:marBottom w:val="0"/>
          <w:divBdr>
            <w:top w:val="none" w:sz="0" w:space="0" w:color="auto"/>
            <w:left w:val="none" w:sz="0" w:space="0" w:color="auto"/>
            <w:bottom w:val="none" w:sz="0" w:space="0" w:color="auto"/>
            <w:right w:val="none" w:sz="0" w:space="0" w:color="auto"/>
          </w:divBdr>
        </w:div>
        <w:div w:id="2031100340">
          <w:marLeft w:val="480"/>
          <w:marRight w:val="0"/>
          <w:marTop w:val="0"/>
          <w:marBottom w:val="0"/>
          <w:divBdr>
            <w:top w:val="none" w:sz="0" w:space="0" w:color="auto"/>
            <w:left w:val="none" w:sz="0" w:space="0" w:color="auto"/>
            <w:bottom w:val="none" w:sz="0" w:space="0" w:color="auto"/>
            <w:right w:val="none" w:sz="0" w:space="0" w:color="auto"/>
          </w:divBdr>
        </w:div>
        <w:div w:id="1114248538">
          <w:marLeft w:val="480"/>
          <w:marRight w:val="0"/>
          <w:marTop w:val="0"/>
          <w:marBottom w:val="0"/>
          <w:divBdr>
            <w:top w:val="none" w:sz="0" w:space="0" w:color="auto"/>
            <w:left w:val="none" w:sz="0" w:space="0" w:color="auto"/>
            <w:bottom w:val="none" w:sz="0" w:space="0" w:color="auto"/>
            <w:right w:val="none" w:sz="0" w:space="0" w:color="auto"/>
          </w:divBdr>
        </w:div>
      </w:divsChild>
    </w:div>
    <w:div w:id="1799496335">
      <w:bodyDiv w:val="1"/>
      <w:marLeft w:val="0"/>
      <w:marRight w:val="0"/>
      <w:marTop w:val="0"/>
      <w:marBottom w:val="0"/>
      <w:divBdr>
        <w:top w:val="none" w:sz="0" w:space="0" w:color="auto"/>
        <w:left w:val="none" w:sz="0" w:space="0" w:color="auto"/>
        <w:bottom w:val="none" w:sz="0" w:space="0" w:color="auto"/>
        <w:right w:val="none" w:sz="0" w:space="0" w:color="auto"/>
      </w:divBdr>
    </w:div>
    <w:div w:id="1802654217">
      <w:bodyDiv w:val="1"/>
      <w:marLeft w:val="0"/>
      <w:marRight w:val="0"/>
      <w:marTop w:val="0"/>
      <w:marBottom w:val="0"/>
      <w:divBdr>
        <w:top w:val="none" w:sz="0" w:space="0" w:color="auto"/>
        <w:left w:val="none" w:sz="0" w:space="0" w:color="auto"/>
        <w:bottom w:val="none" w:sz="0" w:space="0" w:color="auto"/>
        <w:right w:val="none" w:sz="0" w:space="0" w:color="auto"/>
      </w:divBdr>
    </w:div>
    <w:div w:id="1816415371">
      <w:bodyDiv w:val="1"/>
      <w:marLeft w:val="0"/>
      <w:marRight w:val="0"/>
      <w:marTop w:val="0"/>
      <w:marBottom w:val="0"/>
      <w:divBdr>
        <w:top w:val="none" w:sz="0" w:space="0" w:color="auto"/>
        <w:left w:val="none" w:sz="0" w:space="0" w:color="auto"/>
        <w:bottom w:val="none" w:sz="0" w:space="0" w:color="auto"/>
        <w:right w:val="none" w:sz="0" w:space="0" w:color="auto"/>
      </w:divBdr>
      <w:divsChild>
        <w:div w:id="1028681189">
          <w:marLeft w:val="480"/>
          <w:marRight w:val="0"/>
          <w:marTop w:val="0"/>
          <w:marBottom w:val="0"/>
          <w:divBdr>
            <w:top w:val="none" w:sz="0" w:space="0" w:color="auto"/>
            <w:left w:val="none" w:sz="0" w:space="0" w:color="auto"/>
            <w:bottom w:val="none" w:sz="0" w:space="0" w:color="auto"/>
            <w:right w:val="none" w:sz="0" w:space="0" w:color="auto"/>
          </w:divBdr>
        </w:div>
        <w:div w:id="241567308">
          <w:marLeft w:val="480"/>
          <w:marRight w:val="0"/>
          <w:marTop w:val="0"/>
          <w:marBottom w:val="0"/>
          <w:divBdr>
            <w:top w:val="none" w:sz="0" w:space="0" w:color="auto"/>
            <w:left w:val="none" w:sz="0" w:space="0" w:color="auto"/>
            <w:bottom w:val="none" w:sz="0" w:space="0" w:color="auto"/>
            <w:right w:val="none" w:sz="0" w:space="0" w:color="auto"/>
          </w:divBdr>
        </w:div>
        <w:div w:id="650719838">
          <w:marLeft w:val="480"/>
          <w:marRight w:val="0"/>
          <w:marTop w:val="0"/>
          <w:marBottom w:val="0"/>
          <w:divBdr>
            <w:top w:val="none" w:sz="0" w:space="0" w:color="auto"/>
            <w:left w:val="none" w:sz="0" w:space="0" w:color="auto"/>
            <w:bottom w:val="none" w:sz="0" w:space="0" w:color="auto"/>
            <w:right w:val="none" w:sz="0" w:space="0" w:color="auto"/>
          </w:divBdr>
        </w:div>
        <w:div w:id="2038122244">
          <w:marLeft w:val="480"/>
          <w:marRight w:val="0"/>
          <w:marTop w:val="0"/>
          <w:marBottom w:val="0"/>
          <w:divBdr>
            <w:top w:val="none" w:sz="0" w:space="0" w:color="auto"/>
            <w:left w:val="none" w:sz="0" w:space="0" w:color="auto"/>
            <w:bottom w:val="none" w:sz="0" w:space="0" w:color="auto"/>
            <w:right w:val="none" w:sz="0" w:space="0" w:color="auto"/>
          </w:divBdr>
        </w:div>
      </w:divsChild>
    </w:div>
    <w:div w:id="1819610648">
      <w:bodyDiv w:val="1"/>
      <w:marLeft w:val="0"/>
      <w:marRight w:val="0"/>
      <w:marTop w:val="0"/>
      <w:marBottom w:val="0"/>
      <w:divBdr>
        <w:top w:val="none" w:sz="0" w:space="0" w:color="auto"/>
        <w:left w:val="none" w:sz="0" w:space="0" w:color="auto"/>
        <w:bottom w:val="none" w:sz="0" w:space="0" w:color="auto"/>
        <w:right w:val="none" w:sz="0" w:space="0" w:color="auto"/>
      </w:divBdr>
      <w:divsChild>
        <w:div w:id="1209494211">
          <w:marLeft w:val="480"/>
          <w:marRight w:val="0"/>
          <w:marTop w:val="0"/>
          <w:marBottom w:val="0"/>
          <w:divBdr>
            <w:top w:val="none" w:sz="0" w:space="0" w:color="auto"/>
            <w:left w:val="none" w:sz="0" w:space="0" w:color="auto"/>
            <w:bottom w:val="none" w:sz="0" w:space="0" w:color="auto"/>
            <w:right w:val="none" w:sz="0" w:space="0" w:color="auto"/>
          </w:divBdr>
        </w:div>
        <w:div w:id="1006522139">
          <w:marLeft w:val="480"/>
          <w:marRight w:val="0"/>
          <w:marTop w:val="0"/>
          <w:marBottom w:val="0"/>
          <w:divBdr>
            <w:top w:val="none" w:sz="0" w:space="0" w:color="auto"/>
            <w:left w:val="none" w:sz="0" w:space="0" w:color="auto"/>
            <w:bottom w:val="none" w:sz="0" w:space="0" w:color="auto"/>
            <w:right w:val="none" w:sz="0" w:space="0" w:color="auto"/>
          </w:divBdr>
        </w:div>
        <w:div w:id="635136480">
          <w:marLeft w:val="480"/>
          <w:marRight w:val="0"/>
          <w:marTop w:val="0"/>
          <w:marBottom w:val="0"/>
          <w:divBdr>
            <w:top w:val="none" w:sz="0" w:space="0" w:color="auto"/>
            <w:left w:val="none" w:sz="0" w:space="0" w:color="auto"/>
            <w:bottom w:val="none" w:sz="0" w:space="0" w:color="auto"/>
            <w:right w:val="none" w:sz="0" w:space="0" w:color="auto"/>
          </w:divBdr>
        </w:div>
        <w:div w:id="1014186639">
          <w:marLeft w:val="480"/>
          <w:marRight w:val="0"/>
          <w:marTop w:val="0"/>
          <w:marBottom w:val="0"/>
          <w:divBdr>
            <w:top w:val="none" w:sz="0" w:space="0" w:color="auto"/>
            <w:left w:val="none" w:sz="0" w:space="0" w:color="auto"/>
            <w:bottom w:val="none" w:sz="0" w:space="0" w:color="auto"/>
            <w:right w:val="none" w:sz="0" w:space="0" w:color="auto"/>
          </w:divBdr>
        </w:div>
      </w:divsChild>
    </w:div>
    <w:div w:id="1837071316">
      <w:bodyDiv w:val="1"/>
      <w:marLeft w:val="0"/>
      <w:marRight w:val="0"/>
      <w:marTop w:val="0"/>
      <w:marBottom w:val="0"/>
      <w:divBdr>
        <w:top w:val="none" w:sz="0" w:space="0" w:color="auto"/>
        <w:left w:val="none" w:sz="0" w:space="0" w:color="auto"/>
        <w:bottom w:val="none" w:sz="0" w:space="0" w:color="auto"/>
        <w:right w:val="none" w:sz="0" w:space="0" w:color="auto"/>
      </w:divBdr>
      <w:divsChild>
        <w:div w:id="428232659">
          <w:marLeft w:val="480"/>
          <w:marRight w:val="0"/>
          <w:marTop w:val="0"/>
          <w:marBottom w:val="0"/>
          <w:divBdr>
            <w:top w:val="none" w:sz="0" w:space="0" w:color="auto"/>
            <w:left w:val="none" w:sz="0" w:space="0" w:color="auto"/>
            <w:bottom w:val="none" w:sz="0" w:space="0" w:color="auto"/>
            <w:right w:val="none" w:sz="0" w:space="0" w:color="auto"/>
          </w:divBdr>
        </w:div>
        <w:div w:id="640884182">
          <w:marLeft w:val="480"/>
          <w:marRight w:val="0"/>
          <w:marTop w:val="0"/>
          <w:marBottom w:val="0"/>
          <w:divBdr>
            <w:top w:val="none" w:sz="0" w:space="0" w:color="auto"/>
            <w:left w:val="none" w:sz="0" w:space="0" w:color="auto"/>
            <w:bottom w:val="none" w:sz="0" w:space="0" w:color="auto"/>
            <w:right w:val="none" w:sz="0" w:space="0" w:color="auto"/>
          </w:divBdr>
        </w:div>
        <w:div w:id="1935161031">
          <w:marLeft w:val="480"/>
          <w:marRight w:val="0"/>
          <w:marTop w:val="0"/>
          <w:marBottom w:val="0"/>
          <w:divBdr>
            <w:top w:val="none" w:sz="0" w:space="0" w:color="auto"/>
            <w:left w:val="none" w:sz="0" w:space="0" w:color="auto"/>
            <w:bottom w:val="none" w:sz="0" w:space="0" w:color="auto"/>
            <w:right w:val="none" w:sz="0" w:space="0" w:color="auto"/>
          </w:divBdr>
        </w:div>
        <w:div w:id="1734351651">
          <w:marLeft w:val="480"/>
          <w:marRight w:val="0"/>
          <w:marTop w:val="0"/>
          <w:marBottom w:val="0"/>
          <w:divBdr>
            <w:top w:val="none" w:sz="0" w:space="0" w:color="auto"/>
            <w:left w:val="none" w:sz="0" w:space="0" w:color="auto"/>
            <w:bottom w:val="none" w:sz="0" w:space="0" w:color="auto"/>
            <w:right w:val="none" w:sz="0" w:space="0" w:color="auto"/>
          </w:divBdr>
        </w:div>
      </w:divsChild>
    </w:div>
    <w:div w:id="1858081839">
      <w:bodyDiv w:val="1"/>
      <w:marLeft w:val="0"/>
      <w:marRight w:val="0"/>
      <w:marTop w:val="0"/>
      <w:marBottom w:val="0"/>
      <w:divBdr>
        <w:top w:val="none" w:sz="0" w:space="0" w:color="auto"/>
        <w:left w:val="none" w:sz="0" w:space="0" w:color="auto"/>
        <w:bottom w:val="none" w:sz="0" w:space="0" w:color="auto"/>
        <w:right w:val="none" w:sz="0" w:space="0" w:color="auto"/>
      </w:divBdr>
      <w:divsChild>
        <w:div w:id="1109088382">
          <w:marLeft w:val="480"/>
          <w:marRight w:val="0"/>
          <w:marTop w:val="0"/>
          <w:marBottom w:val="0"/>
          <w:divBdr>
            <w:top w:val="none" w:sz="0" w:space="0" w:color="auto"/>
            <w:left w:val="none" w:sz="0" w:space="0" w:color="auto"/>
            <w:bottom w:val="none" w:sz="0" w:space="0" w:color="auto"/>
            <w:right w:val="none" w:sz="0" w:space="0" w:color="auto"/>
          </w:divBdr>
        </w:div>
        <w:div w:id="605239488">
          <w:marLeft w:val="480"/>
          <w:marRight w:val="0"/>
          <w:marTop w:val="0"/>
          <w:marBottom w:val="0"/>
          <w:divBdr>
            <w:top w:val="none" w:sz="0" w:space="0" w:color="auto"/>
            <w:left w:val="none" w:sz="0" w:space="0" w:color="auto"/>
            <w:bottom w:val="none" w:sz="0" w:space="0" w:color="auto"/>
            <w:right w:val="none" w:sz="0" w:space="0" w:color="auto"/>
          </w:divBdr>
        </w:div>
        <w:div w:id="1237133084">
          <w:marLeft w:val="480"/>
          <w:marRight w:val="0"/>
          <w:marTop w:val="0"/>
          <w:marBottom w:val="0"/>
          <w:divBdr>
            <w:top w:val="none" w:sz="0" w:space="0" w:color="auto"/>
            <w:left w:val="none" w:sz="0" w:space="0" w:color="auto"/>
            <w:bottom w:val="none" w:sz="0" w:space="0" w:color="auto"/>
            <w:right w:val="none" w:sz="0" w:space="0" w:color="auto"/>
          </w:divBdr>
        </w:div>
        <w:div w:id="355158957">
          <w:marLeft w:val="480"/>
          <w:marRight w:val="0"/>
          <w:marTop w:val="0"/>
          <w:marBottom w:val="0"/>
          <w:divBdr>
            <w:top w:val="none" w:sz="0" w:space="0" w:color="auto"/>
            <w:left w:val="none" w:sz="0" w:space="0" w:color="auto"/>
            <w:bottom w:val="none" w:sz="0" w:space="0" w:color="auto"/>
            <w:right w:val="none" w:sz="0" w:space="0" w:color="auto"/>
          </w:divBdr>
        </w:div>
      </w:divsChild>
    </w:div>
    <w:div w:id="1863013960">
      <w:bodyDiv w:val="1"/>
      <w:marLeft w:val="0"/>
      <w:marRight w:val="0"/>
      <w:marTop w:val="0"/>
      <w:marBottom w:val="0"/>
      <w:divBdr>
        <w:top w:val="none" w:sz="0" w:space="0" w:color="auto"/>
        <w:left w:val="none" w:sz="0" w:space="0" w:color="auto"/>
        <w:bottom w:val="none" w:sz="0" w:space="0" w:color="auto"/>
        <w:right w:val="none" w:sz="0" w:space="0" w:color="auto"/>
      </w:divBdr>
      <w:divsChild>
        <w:div w:id="1480921088">
          <w:marLeft w:val="0"/>
          <w:marRight w:val="0"/>
          <w:marTop w:val="0"/>
          <w:marBottom w:val="0"/>
          <w:divBdr>
            <w:top w:val="single" w:sz="2" w:space="0" w:color="auto"/>
            <w:left w:val="single" w:sz="18" w:space="0" w:color="auto"/>
            <w:bottom w:val="single" w:sz="2" w:space="0" w:color="auto"/>
            <w:right w:val="single" w:sz="2" w:space="0" w:color="auto"/>
          </w:divBdr>
          <w:divsChild>
            <w:div w:id="988830018">
              <w:marLeft w:val="0"/>
              <w:marRight w:val="0"/>
              <w:marTop w:val="0"/>
              <w:marBottom w:val="0"/>
              <w:divBdr>
                <w:top w:val="none" w:sz="0" w:space="0" w:color="auto"/>
                <w:left w:val="none" w:sz="0" w:space="0" w:color="auto"/>
                <w:bottom w:val="none" w:sz="0" w:space="0" w:color="auto"/>
                <w:right w:val="none" w:sz="0" w:space="0" w:color="auto"/>
              </w:divBdr>
            </w:div>
          </w:divsChild>
        </w:div>
        <w:div w:id="1183518613">
          <w:marLeft w:val="0"/>
          <w:marRight w:val="0"/>
          <w:marTop w:val="0"/>
          <w:marBottom w:val="0"/>
          <w:divBdr>
            <w:top w:val="single" w:sz="2" w:space="0" w:color="auto"/>
            <w:left w:val="single" w:sz="18" w:space="0" w:color="auto"/>
            <w:bottom w:val="single" w:sz="2" w:space="0" w:color="auto"/>
            <w:right w:val="single" w:sz="2" w:space="0" w:color="auto"/>
          </w:divBdr>
          <w:divsChild>
            <w:div w:id="1540237657">
              <w:marLeft w:val="0"/>
              <w:marRight w:val="0"/>
              <w:marTop w:val="0"/>
              <w:marBottom w:val="0"/>
              <w:divBdr>
                <w:top w:val="none" w:sz="0" w:space="0" w:color="auto"/>
                <w:left w:val="none" w:sz="0" w:space="0" w:color="auto"/>
                <w:bottom w:val="none" w:sz="0" w:space="0" w:color="auto"/>
                <w:right w:val="none" w:sz="0" w:space="0" w:color="auto"/>
              </w:divBdr>
            </w:div>
          </w:divsChild>
        </w:div>
        <w:div w:id="157884956">
          <w:marLeft w:val="0"/>
          <w:marRight w:val="0"/>
          <w:marTop w:val="0"/>
          <w:marBottom w:val="0"/>
          <w:divBdr>
            <w:top w:val="single" w:sz="2" w:space="0" w:color="auto"/>
            <w:left w:val="single" w:sz="18" w:space="0" w:color="auto"/>
            <w:bottom w:val="single" w:sz="2" w:space="0" w:color="auto"/>
            <w:right w:val="single" w:sz="2" w:space="0" w:color="auto"/>
          </w:divBdr>
          <w:divsChild>
            <w:div w:id="1581330229">
              <w:marLeft w:val="0"/>
              <w:marRight w:val="0"/>
              <w:marTop w:val="0"/>
              <w:marBottom w:val="0"/>
              <w:divBdr>
                <w:top w:val="none" w:sz="0" w:space="0" w:color="auto"/>
                <w:left w:val="none" w:sz="0" w:space="0" w:color="auto"/>
                <w:bottom w:val="none" w:sz="0" w:space="0" w:color="auto"/>
                <w:right w:val="none" w:sz="0" w:space="0" w:color="auto"/>
              </w:divBdr>
            </w:div>
          </w:divsChild>
        </w:div>
        <w:div w:id="376902356">
          <w:marLeft w:val="0"/>
          <w:marRight w:val="0"/>
          <w:marTop w:val="0"/>
          <w:marBottom w:val="0"/>
          <w:divBdr>
            <w:top w:val="single" w:sz="2" w:space="0" w:color="auto"/>
            <w:left w:val="single" w:sz="18" w:space="0" w:color="auto"/>
            <w:bottom w:val="single" w:sz="2" w:space="0" w:color="auto"/>
            <w:right w:val="single" w:sz="2" w:space="0" w:color="auto"/>
          </w:divBdr>
          <w:divsChild>
            <w:div w:id="44927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168602">
      <w:bodyDiv w:val="1"/>
      <w:marLeft w:val="0"/>
      <w:marRight w:val="0"/>
      <w:marTop w:val="0"/>
      <w:marBottom w:val="0"/>
      <w:divBdr>
        <w:top w:val="none" w:sz="0" w:space="0" w:color="auto"/>
        <w:left w:val="none" w:sz="0" w:space="0" w:color="auto"/>
        <w:bottom w:val="none" w:sz="0" w:space="0" w:color="auto"/>
        <w:right w:val="none" w:sz="0" w:space="0" w:color="auto"/>
      </w:divBdr>
      <w:divsChild>
        <w:div w:id="538520016">
          <w:marLeft w:val="480"/>
          <w:marRight w:val="0"/>
          <w:marTop w:val="0"/>
          <w:marBottom w:val="0"/>
          <w:divBdr>
            <w:top w:val="none" w:sz="0" w:space="0" w:color="auto"/>
            <w:left w:val="none" w:sz="0" w:space="0" w:color="auto"/>
            <w:bottom w:val="none" w:sz="0" w:space="0" w:color="auto"/>
            <w:right w:val="none" w:sz="0" w:space="0" w:color="auto"/>
          </w:divBdr>
        </w:div>
        <w:div w:id="1918395287">
          <w:marLeft w:val="480"/>
          <w:marRight w:val="0"/>
          <w:marTop w:val="0"/>
          <w:marBottom w:val="0"/>
          <w:divBdr>
            <w:top w:val="none" w:sz="0" w:space="0" w:color="auto"/>
            <w:left w:val="none" w:sz="0" w:space="0" w:color="auto"/>
            <w:bottom w:val="none" w:sz="0" w:space="0" w:color="auto"/>
            <w:right w:val="none" w:sz="0" w:space="0" w:color="auto"/>
          </w:divBdr>
        </w:div>
        <w:div w:id="887424348">
          <w:marLeft w:val="480"/>
          <w:marRight w:val="0"/>
          <w:marTop w:val="0"/>
          <w:marBottom w:val="0"/>
          <w:divBdr>
            <w:top w:val="none" w:sz="0" w:space="0" w:color="auto"/>
            <w:left w:val="none" w:sz="0" w:space="0" w:color="auto"/>
            <w:bottom w:val="none" w:sz="0" w:space="0" w:color="auto"/>
            <w:right w:val="none" w:sz="0" w:space="0" w:color="auto"/>
          </w:divBdr>
        </w:div>
        <w:div w:id="703214112">
          <w:marLeft w:val="480"/>
          <w:marRight w:val="0"/>
          <w:marTop w:val="0"/>
          <w:marBottom w:val="0"/>
          <w:divBdr>
            <w:top w:val="none" w:sz="0" w:space="0" w:color="auto"/>
            <w:left w:val="none" w:sz="0" w:space="0" w:color="auto"/>
            <w:bottom w:val="none" w:sz="0" w:space="0" w:color="auto"/>
            <w:right w:val="none" w:sz="0" w:space="0" w:color="auto"/>
          </w:divBdr>
        </w:div>
      </w:divsChild>
    </w:div>
    <w:div w:id="1888565516">
      <w:bodyDiv w:val="1"/>
      <w:marLeft w:val="0"/>
      <w:marRight w:val="0"/>
      <w:marTop w:val="0"/>
      <w:marBottom w:val="0"/>
      <w:divBdr>
        <w:top w:val="none" w:sz="0" w:space="0" w:color="auto"/>
        <w:left w:val="none" w:sz="0" w:space="0" w:color="auto"/>
        <w:bottom w:val="none" w:sz="0" w:space="0" w:color="auto"/>
        <w:right w:val="none" w:sz="0" w:space="0" w:color="auto"/>
      </w:divBdr>
    </w:div>
    <w:div w:id="1895239836">
      <w:bodyDiv w:val="1"/>
      <w:marLeft w:val="0"/>
      <w:marRight w:val="0"/>
      <w:marTop w:val="0"/>
      <w:marBottom w:val="0"/>
      <w:divBdr>
        <w:top w:val="none" w:sz="0" w:space="0" w:color="auto"/>
        <w:left w:val="none" w:sz="0" w:space="0" w:color="auto"/>
        <w:bottom w:val="none" w:sz="0" w:space="0" w:color="auto"/>
        <w:right w:val="none" w:sz="0" w:space="0" w:color="auto"/>
      </w:divBdr>
      <w:divsChild>
        <w:div w:id="1468233456">
          <w:marLeft w:val="480"/>
          <w:marRight w:val="0"/>
          <w:marTop w:val="0"/>
          <w:marBottom w:val="0"/>
          <w:divBdr>
            <w:top w:val="none" w:sz="0" w:space="0" w:color="auto"/>
            <w:left w:val="none" w:sz="0" w:space="0" w:color="auto"/>
            <w:bottom w:val="none" w:sz="0" w:space="0" w:color="auto"/>
            <w:right w:val="none" w:sz="0" w:space="0" w:color="auto"/>
          </w:divBdr>
        </w:div>
        <w:div w:id="1174803575">
          <w:marLeft w:val="480"/>
          <w:marRight w:val="0"/>
          <w:marTop w:val="0"/>
          <w:marBottom w:val="0"/>
          <w:divBdr>
            <w:top w:val="none" w:sz="0" w:space="0" w:color="auto"/>
            <w:left w:val="none" w:sz="0" w:space="0" w:color="auto"/>
            <w:bottom w:val="none" w:sz="0" w:space="0" w:color="auto"/>
            <w:right w:val="none" w:sz="0" w:space="0" w:color="auto"/>
          </w:divBdr>
        </w:div>
        <w:div w:id="1698504964">
          <w:marLeft w:val="480"/>
          <w:marRight w:val="0"/>
          <w:marTop w:val="0"/>
          <w:marBottom w:val="0"/>
          <w:divBdr>
            <w:top w:val="none" w:sz="0" w:space="0" w:color="auto"/>
            <w:left w:val="none" w:sz="0" w:space="0" w:color="auto"/>
            <w:bottom w:val="none" w:sz="0" w:space="0" w:color="auto"/>
            <w:right w:val="none" w:sz="0" w:space="0" w:color="auto"/>
          </w:divBdr>
        </w:div>
      </w:divsChild>
    </w:div>
    <w:div w:id="1919898266">
      <w:bodyDiv w:val="1"/>
      <w:marLeft w:val="0"/>
      <w:marRight w:val="0"/>
      <w:marTop w:val="0"/>
      <w:marBottom w:val="0"/>
      <w:divBdr>
        <w:top w:val="none" w:sz="0" w:space="0" w:color="auto"/>
        <w:left w:val="none" w:sz="0" w:space="0" w:color="auto"/>
        <w:bottom w:val="none" w:sz="0" w:space="0" w:color="auto"/>
        <w:right w:val="none" w:sz="0" w:space="0" w:color="auto"/>
      </w:divBdr>
      <w:divsChild>
        <w:div w:id="781919610">
          <w:marLeft w:val="480"/>
          <w:marRight w:val="0"/>
          <w:marTop w:val="0"/>
          <w:marBottom w:val="0"/>
          <w:divBdr>
            <w:top w:val="none" w:sz="0" w:space="0" w:color="auto"/>
            <w:left w:val="none" w:sz="0" w:space="0" w:color="auto"/>
            <w:bottom w:val="none" w:sz="0" w:space="0" w:color="auto"/>
            <w:right w:val="none" w:sz="0" w:space="0" w:color="auto"/>
          </w:divBdr>
        </w:div>
        <w:div w:id="441532233">
          <w:marLeft w:val="480"/>
          <w:marRight w:val="0"/>
          <w:marTop w:val="0"/>
          <w:marBottom w:val="0"/>
          <w:divBdr>
            <w:top w:val="none" w:sz="0" w:space="0" w:color="auto"/>
            <w:left w:val="none" w:sz="0" w:space="0" w:color="auto"/>
            <w:bottom w:val="none" w:sz="0" w:space="0" w:color="auto"/>
            <w:right w:val="none" w:sz="0" w:space="0" w:color="auto"/>
          </w:divBdr>
        </w:div>
        <w:div w:id="1762335967">
          <w:marLeft w:val="480"/>
          <w:marRight w:val="0"/>
          <w:marTop w:val="0"/>
          <w:marBottom w:val="0"/>
          <w:divBdr>
            <w:top w:val="none" w:sz="0" w:space="0" w:color="auto"/>
            <w:left w:val="none" w:sz="0" w:space="0" w:color="auto"/>
            <w:bottom w:val="none" w:sz="0" w:space="0" w:color="auto"/>
            <w:right w:val="none" w:sz="0" w:space="0" w:color="auto"/>
          </w:divBdr>
        </w:div>
        <w:div w:id="856892060">
          <w:marLeft w:val="480"/>
          <w:marRight w:val="0"/>
          <w:marTop w:val="0"/>
          <w:marBottom w:val="0"/>
          <w:divBdr>
            <w:top w:val="none" w:sz="0" w:space="0" w:color="auto"/>
            <w:left w:val="none" w:sz="0" w:space="0" w:color="auto"/>
            <w:bottom w:val="none" w:sz="0" w:space="0" w:color="auto"/>
            <w:right w:val="none" w:sz="0" w:space="0" w:color="auto"/>
          </w:divBdr>
        </w:div>
      </w:divsChild>
    </w:div>
    <w:div w:id="1960405333">
      <w:bodyDiv w:val="1"/>
      <w:marLeft w:val="0"/>
      <w:marRight w:val="0"/>
      <w:marTop w:val="0"/>
      <w:marBottom w:val="0"/>
      <w:divBdr>
        <w:top w:val="none" w:sz="0" w:space="0" w:color="auto"/>
        <w:left w:val="none" w:sz="0" w:space="0" w:color="auto"/>
        <w:bottom w:val="none" w:sz="0" w:space="0" w:color="auto"/>
        <w:right w:val="none" w:sz="0" w:space="0" w:color="auto"/>
      </w:divBdr>
      <w:divsChild>
        <w:div w:id="954097076">
          <w:marLeft w:val="0"/>
          <w:marRight w:val="0"/>
          <w:marTop w:val="0"/>
          <w:marBottom w:val="0"/>
          <w:divBdr>
            <w:top w:val="none" w:sz="0" w:space="0" w:color="auto"/>
            <w:left w:val="none" w:sz="0" w:space="0" w:color="auto"/>
            <w:bottom w:val="none" w:sz="0" w:space="0" w:color="auto"/>
            <w:right w:val="none" w:sz="0" w:space="0" w:color="auto"/>
          </w:divBdr>
        </w:div>
      </w:divsChild>
    </w:div>
    <w:div w:id="1997878513">
      <w:bodyDiv w:val="1"/>
      <w:marLeft w:val="0"/>
      <w:marRight w:val="0"/>
      <w:marTop w:val="0"/>
      <w:marBottom w:val="0"/>
      <w:divBdr>
        <w:top w:val="none" w:sz="0" w:space="0" w:color="auto"/>
        <w:left w:val="none" w:sz="0" w:space="0" w:color="auto"/>
        <w:bottom w:val="none" w:sz="0" w:space="0" w:color="auto"/>
        <w:right w:val="none" w:sz="0" w:space="0" w:color="auto"/>
      </w:divBdr>
      <w:divsChild>
        <w:div w:id="1647316408">
          <w:marLeft w:val="480"/>
          <w:marRight w:val="0"/>
          <w:marTop w:val="0"/>
          <w:marBottom w:val="0"/>
          <w:divBdr>
            <w:top w:val="none" w:sz="0" w:space="0" w:color="auto"/>
            <w:left w:val="none" w:sz="0" w:space="0" w:color="auto"/>
            <w:bottom w:val="none" w:sz="0" w:space="0" w:color="auto"/>
            <w:right w:val="none" w:sz="0" w:space="0" w:color="auto"/>
          </w:divBdr>
        </w:div>
        <w:div w:id="76292453">
          <w:marLeft w:val="480"/>
          <w:marRight w:val="0"/>
          <w:marTop w:val="0"/>
          <w:marBottom w:val="0"/>
          <w:divBdr>
            <w:top w:val="none" w:sz="0" w:space="0" w:color="auto"/>
            <w:left w:val="none" w:sz="0" w:space="0" w:color="auto"/>
            <w:bottom w:val="none" w:sz="0" w:space="0" w:color="auto"/>
            <w:right w:val="none" w:sz="0" w:space="0" w:color="auto"/>
          </w:divBdr>
        </w:div>
        <w:div w:id="1046492680">
          <w:marLeft w:val="480"/>
          <w:marRight w:val="0"/>
          <w:marTop w:val="0"/>
          <w:marBottom w:val="0"/>
          <w:divBdr>
            <w:top w:val="none" w:sz="0" w:space="0" w:color="auto"/>
            <w:left w:val="none" w:sz="0" w:space="0" w:color="auto"/>
            <w:bottom w:val="none" w:sz="0" w:space="0" w:color="auto"/>
            <w:right w:val="none" w:sz="0" w:space="0" w:color="auto"/>
          </w:divBdr>
        </w:div>
        <w:div w:id="1216352056">
          <w:marLeft w:val="480"/>
          <w:marRight w:val="0"/>
          <w:marTop w:val="0"/>
          <w:marBottom w:val="0"/>
          <w:divBdr>
            <w:top w:val="none" w:sz="0" w:space="0" w:color="auto"/>
            <w:left w:val="none" w:sz="0" w:space="0" w:color="auto"/>
            <w:bottom w:val="none" w:sz="0" w:space="0" w:color="auto"/>
            <w:right w:val="none" w:sz="0" w:space="0" w:color="auto"/>
          </w:divBdr>
        </w:div>
      </w:divsChild>
    </w:div>
    <w:div w:id="2030988992">
      <w:bodyDiv w:val="1"/>
      <w:marLeft w:val="0"/>
      <w:marRight w:val="0"/>
      <w:marTop w:val="0"/>
      <w:marBottom w:val="0"/>
      <w:divBdr>
        <w:top w:val="none" w:sz="0" w:space="0" w:color="auto"/>
        <w:left w:val="none" w:sz="0" w:space="0" w:color="auto"/>
        <w:bottom w:val="none" w:sz="0" w:space="0" w:color="auto"/>
        <w:right w:val="none" w:sz="0" w:space="0" w:color="auto"/>
      </w:divBdr>
      <w:divsChild>
        <w:div w:id="1003824429">
          <w:marLeft w:val="480"/>
          <w:marRight w:val="0"/>
          <w:marTop w:val="0"/>
          <w:marBottom w:val="0"/>
          <w:divBdr>
            <w:top w:val="none" w:sz="0" w:space="0" w:color="auto"/>
            <w:left w:val="none" w:sz="0" w:space="0" w:color="auto"/>
            <w:bottom w:val="none" w:sz="0" w:space="0" w:color="auto"/>
            <w:right w:val="none" w:sz="0" w:space="0" w:color="auto"/>
          </w:divBdr>
        </w:div>
        <w:div w:id="1288703895">
          <w:marLeft w:val="480"/>
          <w:marRight w:val="0"/>
          <w:marTop w:val="0"/>
          <w:marBottom w:val="0"/>
          <w:divBdr>
            <w:top w:val="none" w:sz="0" w:space="0" w:color="auto"/>
            <w:left w:val="none" w:sz="0" w:space="0" w:color="auto"/>
            <w:bottom w:val="none" w:sz="0" w:space="0" w:color="auto"/>
            <w:right w:val="none" w:sz="0" w:space="0" w:color="auto"/>
          </w:divBdr>
        </w:div>
        <w:div w:id="1148859910">
          <w:marLeft w:val="480"/>
          <w:marRight w:val="0"/>
          <w:marTop w:val="0"/>
          <w:marBottom w:val="0"/>
          <w:divBdr>
            <w:top w:val="none" w:sz="0" w:space="0" w:color="auto"/>
            <w:left w:val="none" w:sz="0" w:space="0" w:color="auto"/>
            <w:bottom w:val="none" w:sz="0" w:space="0" w:color="auto"/>
            <w:right w:val="none" w:sz="0" w:space="0" w:color="auto"/>
          </w:divBdr>
        </w:div>
        <w:div w:id="1094860100">
          <w:marLeft w:val="480"/>
          <w:marRight w:val="0"/>
          <w:marTop w:val="0"/>
          <w:marBottom w:val="0"/>
          <w:divBdr>
            <w:top w:val="none" w:sz="0" w:space="0" w:color="auto"/>
            <w:left w:val="none" w:sz="0" w:space="0" w:color="auto"/>
            <w:bottom w:val="none" w:sz="0" w:space="0" w:color="auto"/>
            <w:right w:val="none" w:sz="0" w:space="0" w:color="auto"/>
          </w:divBdr>
        </w:div>
      </w:divsChild>
    </w:div>
    <w:div w:id="2074617326">
      <w:bodyDiv w:val="1"/>
      <w:marLeft w:val="0"/>
      <w:marRight w:val="0"/>
      <w:marTop w:val="0"/>
      <w:marBottom w:val="0"/>
      <w:divBdr>
        <w:top w:val="none" w:sz="0" w:space="0" w:color="auto"/>
        <w:left w:val="none" w:sz="0" w:space="0" w:color="auto"/>
        <w:bottom w:val="none" w:sz="0" w:space="0" w:color="auto"/>
        <w:right w:val="none" w:sz="0" w:space="0" w:color="auto"/>
      </w:divBdr>
      <w:divsChild>
        <w:div w:id="1977759491">
          <w:marLeft w:val="480"/>
          <w:marRight w:val="0"/>
          <w:marTop w:val="0"/>
          <w:marBottom w:val="0"/>
          <w:divBdr>
            <w:top w:val="none" w:sz="0" w:space="0" w:color="auto"/>
            <w:left w:val="none" w:sz="0" w:space="0" w:color="auto"/>
            <w:bottom w:val="none" w:sz="0" w:space="0" w:color="auto"/>
            <w:right w:val="none" w:sz="0" w:space="0" w:color="auto"/>
          </w:divBdr>
        </w:div>
        <w:div w:id="1093863917">
          <w:marLeft w:val="480"/>
          <w:marRight w:val="0"/>
          <w:marTop w:val="0"/>
          <w:marBottom w:val="0"/>
          <w:divBdr>
            <w:top w:val="none" w:sz="0" w:space="0" w:color="auto"/>
            <w:left w:val="none" w:sz="0" w:space="0" w:color="auto"/>
            <w:bottom w:val="none" w:sz="0" w:space="0" w:color="auto"/>
            <w:right w:val="none" w:sz="0" w:space="0" w:color="auto"/>
          </w:divBdr>
        </w:div>
        <w:div w:id="653800275">
          <w:marLeft w:val="480"/>
          <w:marRight w:val="0"/>
          <w:marTop w:val="0"/>
          <w:marBottom w:val="0"/>
          <w:divBdr>
            <w:top w:val="none" w:sz="0" w:space="0" w:color="auto"/>
            <w:left w:val="none" w:sz="0" w:space="0" w:color="auto"/>
            <w:bottom w:val="none" w:sz="0" w:space="0" w:color="auto"/>
            <w:right w:val="none" w:sz="0" w:space="0" w:color="auto"/>
          </w:divBdr>
        </w:div>
        <w:div w:id="328868342">
          <w:marLeft w:val="480"/>
          <w:marRight w:val="0"/>
          <w:marTop w:val="0"/>
          <w:marBottom w:val="0"/>
          <w:divBdr>
            <w:top w:val="none" w:sz="0" w:space="0" w:color="auto"/>
            <w:left w:val="none" w:sz="0" w:space="0" w:color="auto"/>
            <w:bottom w:val="none" w:sz="0" w:space="0" w:color="auto"/>
            <w:right w:val="none" w:sz="0" w:space="0" w:color="auto"/>
          </w:divBdr>
        </w:div>
      </w:divsChild>
    </w:div>
    <w:div w:id="2075202782">
      <w:bodyDiv w:val="1"/>
      <w:marLeft w:val="0"/>
      <w:marRight w:val="0"/>
      <w:marTop w:val="0"/>
      <w:marBottom w:val="0"/>
      <w:divBdr>
        <w:top w:val="none" w:sz="0" w:space="0" w:color="auto"/>
        <w:left w:val="none" w:sz="0" w:space="0" w:color="auto"/>
        <w:bottom w:val="none" w:sz="0" w:space="0" w:color="auto"/>
        <w:right w:val="none" w:sz="0" w:space="0" w:color="auto"/>
      </w:divBdr>
      <w:divsChild>
        <w:div w:id="1103381579">
          <w:marLeft w:val="0"/>
          <w:marRight w:val="0"/>
          <w:marTop w:val="0"/>
          <w:marBottom w:val="0"/>
          <w:divBdr>
            <w:top w:val="single" w:sz="2" w:space="0" w:color="auto"/>
            <w:left w:val="single" w:sz="18" w:space="0" w:color="auto"/>
            <w:bottom w:val="single" w:sz="2" w:space="0" w:color="auto"/>
            <w:right w:val="single" w:sz="2" w:space="0" w:color="auto"/>
          </w:divBdr>
          <w:divsChild>
            <w:div w:id="1029725686">
              <w:marLeft w:val="0"/>
              <w:marRight w:val="0"/>
              <w:marTop w:val="0"/>
              <w:marBottom w:val="0"/>
              <w:divBdr>
                <w:top w:val="none" w:sz="0" w:space="0" w:color="auto"/>
                <w:left w:val="none" w:sz="0" w:space="0" w:color="auto"/>
                <w:bottom w:val="none" w:sz="0" w:space="0" w:color="auto"/>
                <w:right w:val="none" w:sz="0" w:space="0" w:color="auto"/>
              </w:divBdr>
            </w:div>
          </w:divsChild>
        </w:div>
        <w:div w:id="2021082229">
          <w:marLeft w:val="0"/>
          <w:marRight w:val="0"/>
          <w:marTop w:val="0"/>
          <w:marBottom w:val="0"/>
          <w:divBdr>
            <w:top w:val="single" w:sz="2" w:space="0" w:color="auto"/>
            <w:left w:val="single" w:sz="18" w:space="0" w:color="auto"/>
            <w:bottom w:val="single" w:sz="2" w:space="0" w:color="auto"/>
            <w:right w:val="single" w:sz="2" w:space="0" w:color="auto"/>
          </w:divBdr>
          <w:divsChild>
            <w:div w:id="349794905">
              <w:marLeft w:val="0"/>
              <w:marRight w:val="0"/>
              <w:marTop w:val="0"/>
              <w:marBottom w:val="0"/>
              <w:divBdr>
                <w:top w:val="none" w:sz="0" w:space="0" w:color="auto"/>
                <w:left w:val="none" w:sz="0" w:space="0" w:color="auto"/>
                <w:bottom w:val="none" w:sz="0" w:space="0" w:color="auto"/>
                <w:right w:val="none" w:sz="0" w:space="0" w:color="auto"/>
              </w:divBdr>
            </w:div>
          </w:divsChild>
        </w:div>
        <w:div w:id="1893226453">
          <w:marLeft w:val="0"/>
          <w:marRight w:val="0"/>
          <w:marTop w:val="0"/>
          <w:marBottom w:val="0"/>
          <w:divBdr>
            <w:top w:val="single" w:sz="2" w:space="0" w:color="auto"/>
            <w:left w:val="single" w:sz="18" w:space="0" w:color="auto"/>
            <w:bottom w:val="single" w:sz="2" w:space="0" w:color="auto"/>
            <w:right w:val="single" w:sz="2" w:space="0" w:color="auto"/>
          </w:divBdr>
          <w:divsChild>
            <w:div w:id="1224760293">
              <w:marLeft w:val="0"/>
              <w:marRight w:val="0"/>
              <w:marTop w:val="0"/>
              <w:marBottom w:val="0"/>
              <w:divBdr>
                <w:top w:val="none" w:sz="0" w:space="0" w:color="auto"/>
                <w:left w:val="none" w:sz="0" w:space="0" w:color="auto"/>
                <w:bottom w:val="none" w:sz="0" w:space="0" w:color="auto"/>
                <w:right w:val="none" w:sz="0" w:space="0" w:color="auto"/>
              </w:divBdr>
            </w:div>
          </w:divsChild>
        </w:div>
        <w:div w:id="562527272">
          <w:marLeft w:val="0"/>
          <w:marRight w:val="0"/>
          <w:marTop w:val="0"/>
          <w:marBottom w:val="0"/>
          <w:divBdr>
            <w:top w:val="single" w:sz="2" w:space="0" w:color="auto"/>
            <w:left w:val="single" w:sz="18" w:space="0" w:color="auto"/>
            <w:bottom w:val="single" w:sz="2" w:space="0" w:color="auto"/>
            <w:right w:val="single" w:sz="2" w:space="0" w:color="auto"/>
          </w:divBdr>
          <w:divsChild>
            <w:div w:id="965432477">
              <w:marLeft w:val="0"/>
              <w:marRight w:val="0"/>
              <w:marTop w:val="0"/>
              <w:marBottom w:val="0"/>
              <w:divBdr>
                <w:top w:val="none" w:sz="0" w:space="0" w:color="auto"/>
                <w:left w:val="none" w:sz="0" w:space="0" w:color="auto"/>
                <w:bottom w:val="none" w:sz="0" w:space="0" w:color="auto"/>
                <w:right w:val="none" w:sz="0" w:space="0" w:color="auto"/>
              </w:divBdr>
            </w:div>
          </w:divsChild>
        </w:div>
        <w:div w:id="1496796089">
          <w:marLeft w:val="0"/>
          <w:marRight w:val="0"/>
          <w:marTop w:val="0"/>
          <w:marBottom w:val="0"/>
          <w:divBdr>
            <w:top w:val="single" w:sz="2" w:space="0" w:color="auto"/>
            <w:left w:val="single" w:sz="18" w:space="0" w:color="auto"/>
            <w:bottom w:val="single" w:sz="2" w:space="0" w:color="auto"/>
            <w:right w:val="single" w:sz="2" w:space="0" w:color="auto"/>
          </w:divBdr>
          <w:divsChild>
            <w:div w:id="1114401715">
              <w:marLeft w:val="0"/>
              <w:marRight w:val="0"/>
              <w:marTop w:val="0"/>
              <w:marBottom w:val="0"/>
              <w:divBdr>
                <w:top w:val="none" w:sz="0" w:space="0" w:color="auto"/>
                <w:left w:val="none" w:sz="0" w:space="0" w:color="auto"/>
                <w:bottom w:val="none" w:sz="0" w:space="0" w:color="auto"/>
                <w:right w:val="none" w:sz="0" w:space="0" w:color="auto"/>
              </w:divBdr>
            </w:div>
          </w:divsChild>
        </w:div>
        <w:div w:id="644044448">
          <w:marLeft w:val="0"/>
          <w:marRight w:val="0"/>
          <w:marTop w:val="0"/>
          <w:marBottom w:val="0"/>
          <w:divBdr>
            <w:top w:val="single" w:sz="2" w:space="0" w:color="auto"/>
            <w:left w:val="single" w:sz="18" w:space="0" w:color="auto"/>
            <w:bottom w:val="single" w:sz="2" w:space="0" w:color="auto"/>
            <w:right w:val="single" w:sz="2" w:space="0" w:color="auto"/>
          </w:divBdr>
          <w:divsChild>
            <w:div w:id="474446547">
              <w:marLeft w:val="0"/>
              <w:marRight w:val="0"/>
              <w:marTop w:val="0"/>
              <w:marBottom w:val="0"/>
              <w:divBdr>
                <w:top w:val="none" w:sz="0" w:space="0" w:color="auto"/>
                <w:left w:val="none" w:sz="0" w:space="0" w:color="auto"/>
                <w:bottom w:val="none" w:sz="0" w:space="0" w:color="auto"/>
                <w:right w:val="none" w:sz="0" w:space="0" w:color="auto"/>
              </w:divBdr>
            </w:div>
          </w:divsChild>
        </w:div>
        <w:div w:id="502941728">
          <w:marLeft w:val="0"/>
          <w:marRight w:val="0"/>
          <w:marTop w:val="0"/>
          <w:marBottom w:val="0"/>
          <w:divBdr>
            <w:top w:val="single" w:sz="2" w:space="0" w:color="auto"/>
            <w:left w:val="single" w:sz="18" w:space="0" w:color="auto"/>
            <w:bottom w:val="single" w:sz="2" w:space="0" w:color="auto"/>
            <w:right w:val="single" w:sz="2" w:space="0" w:color="auto"/>
          </w:divBdr>
          <w:divsChild>
            <w:div w:id="1492988936">
              <w:marLeft w:val="0"/>
              <w:marRight w:val="0"/>
              <w:marTop w:val="0"/>
              <w:marBottom w:val="0"/>
              <w:divBdr>
                <w:top w:val="none" w:sz="0" w:space="0" w:color="auto"/>
                <w:left w:val="none" w:sz="0" w:space="0" w:color="auto"/>
                <w:bottom w:val="none" w:sz="0" w:space="0" w:color="auto"/>
                <w:right w:val="none" w:sz="0" w:space="0" w:color="auto"/>
              </w:divBdr>
            </w:div>
          </w:divsChild>
        </w:div>
        <w:div w:id="2058972683">
          <w:marLeft w:val="0"/>
          <w:marRight w:val="0"/>
          <w:marTop w:val="0"/>
          <w:marBottom w:val="0"/>
          <w:divBdr>
            <w:top w:val="single" w:sz="2" w:space="0" w:color="auto"/>
            <w:left w:val="single" w:sz="18" w:space="0" w:color="auto"/>
            <w:bottom w:val="single" w:sz="2" w:space="0" w:color="auto"/>
            <w:right w:val="single" w:sz="2" w:space="0" w:color="auto"/>
          </w:divBdr>
          <w:divsChild>
            <w:div w:id="515118765">
              <w:marLeft w:val="0"/>
              <w:marRight w:val="0"/>
              <w:marTop w:val="0"/>
              <w:marBottom w:val="0"/>
              <w:divBdr>
                <w:top w:val="none" w:sz="0" w:space="0" w:color="auto"/>
                <w:left w:val="none" w:sz="0" w:space="0" w:color="auto"/>
                <w:bottom w:val="none" w:sz="0" w:space="0" w:color="auto"/>
                <w:right w:val="none" w:sz="0" w:space="0" w:color="auto"/>
              </w:divBdr>
            </w:div>
          </w:divsChild>
        </w:div>
        <w:div w:id="1470590378">
          <w:marLeft w:val="0"/>
          <w:marRight w:val="0"/>
          <w:marTop w:val="0"/>
          <w:marBottom w:val="0"/>
          <w:divBdr>
            <w:top w:val="single" w:sz="2" w:space="0" w:color="auto"/>
            <w:left w:val="single" w:sz="18" w:space="0" w:color="auto"/>
            <w:bottom w:val="single" w:sz="2" w:space="0" w:color="auto"/>
            <w:right w:val="single" w:sz="2" w:space="0" w:color="auto"/>
          </w:divBdr>
          <w:divsChild>
            <w:div w:id="1136340660">
              <w:marLeft w:val="0"/>
              <w:marRight w:val="0"/>
              <w:marTop w:val="0"/>
              <w:marBottom w:val="0"/>
              <w:divBdr>
                <w:top w:val="none" w:sz="0" w:space="0" w:color="auto"/>
                <w:left w:val="none" w:sz="0" w:space="0" w:color="auto"/>
                <w:bottom w:val="none" w:sz="0" w:space="0" w:color="auto"/>
                <w:right w:val="none" w:sz="0" w:space="0" w:color="auto"/>
              </w:divBdr>
            </w:div>
          </w:divsChild>
        </w:div>
        <w:div w:id="1157916334">
          <w:marLeft w:val="0"/>
          <w:marRight w:val="0"/>
          <w:marTop w:val="0"/>
          <w:marBottom w:val="0"/>
          <w:divBdr>
            <w:top w:val="single" w:sz="2" w:space="0" w:color="auto"/>
            <w:left w:val="single" w:sz="18" w:space="0" w:color="auto"/>
            <w:bottom w:val="single" w:sz="2" w:space="0" w:color="auto"/>
            <w:right w:val="single" w:sz="2" w:space="0" w:color="auto"/>
          </w:divBdr>
          <w:divsChild>
            <w:div w:id="1231580039">
              <w:marLeft w:val="0"/>
              <w:marRight w:val="0"/>
              <w:marTop w:val="0"/>
              <w:marBottom w:val="0"/>
              <w:divBdr>
                <w:top w:val="none" w:sz="0" w:space="0" w:color="auto"/>
                <w:left w:val="none" w:sz="0" w:space="0" w:color="auto"/>
                <w:bottom w:val="none" w:sz="0" w:space="0" w:color="auto"/>
                <w:right w:val="none" w:sz="0" w:space="0" w:color="auto"/>
              </w:divBdr>
            </w:div>
          </w:divsChild>
        </w:div>
        <w:div w:id="586882952">
          <w:marLeft w:val="0"/>
          <w:marRight w:val="0"/>
          <w:marTop w:val="0"/>
          <w:marBottom w:val="0"/>
          <w:divBdr>
            <w:top w:val="single" w:sz="2" w:space="0" w:color="auto"/>
            <w:left w:val="single" w:sz="18" w:space="0" w:color="auto"/>
            <w:bottom w:val="single" w:sz="2" w:space="0" w:color="auto"/>
            <w:right w:val="single" w:sz="2" w:space="0" w:color="auto"/>
          </w:divBdr>
          <w:divsChild>
            <w:div w:id="1068260052">
              <w:marLeft w:val="0"/>
              <w:marRight w:val="0"/>
              <w:marTop w:val="0"/>
              <w:marBottom w:val="0"/>
              <w:divBdr>
                <w:top w:val="none" w:sz="0" w:space="0" w:color="auto"/>
                <w:left w:val="none" w:sz="0" w:space="0" w:color="auto"/>
                <w:bottom w:val="none" w:sz="0" w:space="0" w:color="auto"/>
                <w:right w:val="none" w:sz="0" w:space="0" w:color="auto"/>
              </w:divBdr>
            </w:div>
          </w:divsChild>
        </w:div>
        <w:div w:id="595283495">
          <w:marLeft w:val="0"/>
          <w:marRight w:val="0"/>
          <w:marTop w:val="0"/>
          <w:marBottom w:val="0"/>
          <w:divBdr>
            <w:top w:val="single" w:sz="2" w:space="0" w:color="auto"/>
            <w:left w:val="single" w:sz="18" w:space="0" w:color="auto"/>
            <w:bottom w:val="single" w:sz="2" w:space="0" w:color="auto"/>
            <w:right w:val="single" w:sz="2" w:space="0" w:color="auto"/>
          </w:divBdr>
          <w:divsChild>
            <w:div w:id="955140202">
              <w:marLeft w:val="0"/>
              <w:marRight w:val="0"/>
              <w:marTop w:val="0"/>
              <w:marBottom w:val="0"/>
              <w:divBdr>
                <w:top w:val="none" w:sz="0" w:space="0" w:color="auto"/>
                <w:left w:val="none" w:sz="0" w:space="0" w:color="auto"/>
                <w:bottom w:val="none" w:sz="0" w:space="0" w:color="auto"/>
                <w:right w:val="none" w:sz="0" w:space="0" w:color="auto"/>
              </w:divBdr>
            </w:div>
          </w:divsChild>
        </w:div>
        <w:div w:id="234434151">
          <w:marLeft w:val="0"/>
          <w:marRight w:val="0"/>
          <w:marTop w:val="0"/>
          <w:marBottom w:val="0"/>
          <w:divBdr>
            <w:top w:val="single" w:sz="2" w:space="0" w:color="auto"/>
            <w:left w:val="single" w:sz="18" w:space="0" w:color="auto"/>
            <w:bottom w:val="single" w:sz="2" w:space="0" w:color="auto"/>
            <w:right w:val="single" w:sz="2" w:space="0" w:color="auto"/>
          </w:divBdr>
          <w:divsChild>
            <w:div w:id="1301567925">
              <w:marLeft w:val="0"/>
              <w:marRight w:val="0"/>
              <w:marTop w:val="0"/>
              <w:marBottom w:val="0"/>
              <w:divBdr>
                <w:top w:val="none" w:sz="0" w:space="0" w:color="auto"/>
                <w:left w:val="none" w:sz="0" w:space="0" w:color="auto"/>
                <w:bottom w:val="none" w:sz="0" w:space="0" w:color="auto"/>
                <w:right w:val="none" w:sz="0" w:space="0" w:color="auto"/>
              </w:divBdr>
            </w:div>
          </w:divsChild>
        </w:div>
        <w:div w:id="456871711">
          <w:marLeft w:val="0"/>
          <w:marRight w:val="0"/>
          <w:marTop w:val="0"/>
          <w:marBottom w:val="0"/>
          <w:divBdr>
            <w:top w:val="single" w:sz="2" w:space="0" w:color="auto"/>
            <w:left w:val="single" w:sz="18" w:space="0" w:color="auto"/>
            <w:bottom w:val="single" w:sz="2" w:space="0" w:color="auto"/>
            <w:right w:val="single" w:sz="2" w:space="0" w:color="auto"/>
          </w:divBdr>
          <w:divsChild>
            <w:div w:id="110376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194598">
      <w:bodyDiv w:val="1"/>
      <w:marLeft w:val="0"/>
      <w:marRight w:val="0"/>
      <w:marTop w:val="0"/>
      <w:marBottom w:val="0"/>
      <w:divBdr>
        <w:top w:val="none" w:sz="0" w:space="0" w:color="auto"/>
        <w:left w:val="none" w:sz="0" w:space="0" w:color="auto"/>
        <w:bottom w:val="none" w:sz="0" w:space="0" w:color="auto"/>
        <w:right w:val="none" w:sz="0" w:space="0" w:color="auto"/>
      </w:divBdr>
      <w:divsChild>
        <w:div w:id="959800102">
          <w:marLeft w:val="480"/>
          <w:marRight w:val="0"/>
          <w:marTop w:val="0"/>
          <w:marBottom w:val="0"/>
          <w:divBdr>
            <w:top w:val="none" w:sz="0" w:space="0" w:color="auto"/>
            <w:left w:val="none" w:sz="0" w:space="0" w:color="auto"/>
            <w:bottom w:val="none" w:sz="0" w:space="0" w:color="auto"/>
            <w:right w:val="none" w:sz="0" w:space="0" w:color="auto"/>
          </w:divBdr>
        </w:div>
        <w:div w:id="1377121238">
          <w:marLeft w:val="480"/>
          <w:marRight w:val="0"/>
          <w:marTop w:val="0"/>
          <w:marBottom w:val="0"/>
          <w:divBdr>
            <w:top w:val="none" w:sz="0" w:space="0" w:color="auto"/>
            <w:left w:val="none" w:sz="0" w:space="0" w:color="auto"/>
            <w:bottom w:val="none" w:sz="0" w:space="0" w:color="auto"/>
            <w:right w:val="none" w:sz="0" w:space="0" w:color="auto"/>
          </w:divBdr>
        </w:div>
        <w:div w:id="1231840680">
          <w:marLeft w:val="480"/>
          <w:marRight w:val="0"/>
          <w:marTop w:val="0"/>
          <w:marBottom w:val="0"/>
          <w:divBdr>
            <w:top w:val="none" w:sz="0" w:space="0" w:color="auto"/>
            <w:left w:val="none" w:sz="0" w:space="0" w:color="auto"/>
            <w:bottom w:val="none" w:sz="0" w:space="0" w:color="auto"/>
            <w:right w:val="none" w:sz="0" w:space="0" w:color="auto"/>
          </w:divBdr>
        </w:div>
      </w:divsChild>
    </w:div>
    <w:div w:id="2077703249">
      <w:bodyDiv w:val="1"/>
      <w:marLeft w:val="0"/>
      <w:marRight w:val="0"/>
      <w:marTop w:val="0"/>
      <w:marBottom w:val="0"/>
      <w:divBdr>
        <w:top w:val="none" w:sz="0" w:space="0" w:color="auto"/>
        <w:left w:val="none" w:sz="0" w:space="0" w:color="auto"/>
        <w:bottom w:val="none" w:sz="0" w:space="0" w:color="auto"/>
        <w:right w:val="none" w:sz="0" w:space="0" w:color="auto"/>
      </w:divBdr>
      <w:divsChild>
        <w:div w:id="1074819026">
          <w:marLeft w:val="480"/>
          <w:marRight w:val="0"/>
          <w:marTop w:val="0"/>
          <w:marBottom w:val="0"/>
          <w:divBdr>
            <w:top w:val="none" w:sz="0" w:space="0" w:color="auto"/>
            <w:left w:val="none" w:sz="0" w:space="0" w:color="auto"/>
            <w:bottom w:val="none" w:sz="0" w:space="0" w:color="auto"/>
            <w:right w:val="none" w:sz="0" w:space="0" w:color="auto"/>
          </w:divBdr>
        </w:div>
        <w:div w:id="2024626227">
          <w:marLeft w:val="480"/>
          <w:marRight w:val="0"/>
          <w:marTop w:val="0"/>
          <w:marBottom w:val="0"/>
          <w:divBdr>
            <w:top w:val="none" w:sz="0" w:space="0" w:color="auto"/>
            <w:left w:val="none" w:sz="0" w:space="0" w:color="auto"/>
            <w:bottom w:val="none" w:sz="0" w:space="0" w:color="auto"/>
            <w:right w:val="none" w:sz="0" w:space="0" w:color="auto"/>
          </w:divBdr>
        </w:div>
        <w:div w:id="1759672878">
          <w:marLeft w:val="480"/>
          <w:marRight w:val="0"/>
          <w:marTop w:val="0"/>
          <w:marBottom w:val="0"/>
          <w:divBdr>
            <w:top w:val="none" w:sz="0" w:space="0" w:color="auto"/>
            <w:left w:val="none" w:sz="0" w:space="0" w:color="auto"/>
            <w:bottom w:val="none" w:sz="0" w:space="0" w:color="auto"/>
            <w:right w:val="none" w:sz="0" w:space="0" w:color="auto"/>
          </w:divBdr>
        </w:div>
        <w:div w:id="1849445228">
          <w:marLeft w:val="480"/>
          <w:marRight w:val="0"/>
          <w:marTop w:val="0"/>
          <w:marBottom w:val="0"/>
          <w:divBdr>
            <w:top w:val="none" w:sz="0" w:space="0" w:color="auto"/>
            <w:left w:val="none" w:sz="0" w:space="0" w:color="auto"/>
            <w:bottom w:val="none" w:sz="0" w:space="0" w:color="auto"/>
            <w:right w:val="none" w:sz="0" w:space="0" w:color="auto"/>
          </w:divBdr>
        </w:div>
      </w:divsChild>
    </w:div>
    <w:div w:id="2132701471">
      <w:bodyDiv w:val="1"/>
      <w:marLeft w:val="0"/>
      <w:marRight w:val="0"/>
      <w:marTop w:val="0"/>
      <w:marBottom w:val="0"/>
      <w:divBdr>
        <w:top w:val="none" w:sz="0" w:space="0" w:color="auto"/>
        <w:left w:val="none" w:sz="0" w:space="0" w:color="auto"/>
        <w:bottom w:val="none" w:sz="0" w:space="0" w:color="auto"/>
        <w:right w:val="none" w:sz="0" w:space="0" w:color="auto"/>
      </w:divBdr>
    </w:div>
    <w:div w:id="2144611713">
      <w:bodyDiv w:val="1"/>
      <w:marLeft w:val="0"/>
      <w:marRight w:val="0"/>
      <w:marTop w:val="0"/>
      <w:marBottom w:val="0"/>
      <w:divBdr>
        <w:top w:val="none" w:sz="0" w:space="0" w:color="auto"/>
        <w:left w:val="none" w:sz="0" w:space="0" w:color="auto"/>
        <w:bottom w:val="none" w:sz="0" w:space="0" w:color="auto"/>
        <w:right w:val="none" w:sz="0" w:space="0" w:color="auto"/>
      </w:divBdr>
      <w:divsChild>
        <w:div w:id="10050904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sv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sv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glossaryDocument" Target="glossary/document.xml"/><Relationship Id="rId10" Type="http://schemas.openxmlformats.org/officeDocument/2006/relationships/image" Target="media/image3.png"/><Relationship Id="rId19" Type="http://schemas.openxmlformats.org/officeDocument/2006/relationships/image" Target="media/image12.sv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7.png"/><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93E182BB-24FC-4241-A02B-252E10509FA2}"/>
      </w:docPartPr>
      <w:docPartBody>
        <w:p w:rsidR="00C06A22" w:rsidRDefault="00C06A22">
          <w:r w:rsidRPr="00D061E5">
            <w:rPr>
              <w:rStyle w:val="Platzhaltertext"/>
            </w:rPr>
            <w:t>Klicken oder tippen Sie hier, um Text einzugeben.</w:t>
          </w:r>
        </w:p>
      </w:docPartBody>
    </w:docPart>
    <w:docPart>
      <w:docPartPr>
        <w:name w:val="4DD8A72AE9914837AA6F165D1E188E28"/>
        <w:category>
          <w:name w:val="Allgemein"/>
          <w:gallery w:val="placeholder"/>
        </w:category>
        <w:types>
          <w:type w:val="bbPlcHdr"/>
        </w:types>
        <w:behaviors>
          <w:behavior w:val="content"/>
        </w:behaviors>
        <w:guid w:val="{B157DC00-C90E-4FD7-B0CB-2C4FDBC7556D}"/>
      </w:docPartPr>
      <w:docPartBody>
        <w:p w:rsidR="003815E4" w:rsidRDefault="00031946" w:rsidP="00031946">
          <w:pPr>
            <w:pStyle w:val="4DD8A72AE9914837AA6F165D1E188E28"/>
          </w:pPr>
          <w:r w:rsidRPr="00D061E5">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AB5"/>
    <w:rsid w:val="00031946"/>
    <w:rsid w:val="002F7D43"/>
    <w:rsid w:val="0032543B"/>
    <w:rsid w:val="003815E4"/>
    <w:rsid w:val="00473715"/>
    <w:rsid w:val="004B588E"/>
    <w:rsid w:val="00605433"/>
    <w:rsid w:val="0068464C"/>
    <w:rsid w:val="006B63AA"/>
    <w:rsid w:val="006E2410"/>
    <w:rsid w:val="00707068"/>
    <w:rsid w:val="00796372"/>
    <w:rsid w:val="0088420F"/>
    <w:rsid w:val="0095240A"/>
    <w:rsid w:val="009A40EC"/>
    <w:rsid w:val="009B3A8F"/>
    <w:rsid w:val="009B49D0"/>
    <w:rsid w:val="009D79A3"/>
    <w:rsid w:val="00A35CDF"/>
    <w:rsid w:val="00A73AB5"/>
    <w:rsid w:val="00B37F8C"/>
    <w:rsid w:val="00B4578B"/>
    <w:rsid w:val="00C06A22"/>
    <w:rsid w:val="00C6264E"/>
    <w:rsid w:val="00C73C82"/>
    <w:rsid w:val="00CA2893"/>
    <w:rsid w:val="00EE7649"/>
    <w:rsid w:val="00F00718"/>
    <w:rsid w:val="00F474E4"/>
    <w:rsid w:val="00F74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31946"/>
    <w:rPr>
      <w:color w:val="808080"/>
    </w:rPr>
  </w:style>
  <w:style w:type="paragraph" w:customStyle="1" w:styleId="4DD8A72AE9914837AA6F165D1E188E28">
    <w:name w:val="4DD8A72AE9914837AA6F165D1E188E28"/>
    <w:rsid w:val="000319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02E45D2-F42E-4E97-BF5A-E9C9C89FD572}">
  <we:reference id="f78a3046-9e99-4300-aa2b-5814002b01a2" version="1.55.1.0" store="EXCatalog" storeType="EXCatalog"/>
  <we:alternateReferences>
    <we:reference id="WA104382081" version="1.55.1.0" store="de-AT" storeType="OMEX"/>
  </we:alternateReferences>
  <we:properties>
    <we:property name="MENDELEY_BIBLIOGRAPHY_IS_DIRTY" value="false"/>
    <we:property name="MENDELEY_BIBLIOGRAPHY_LAST_MODIFIED" value="1788773529343"/>
    <we:property name="MENDELEY_CITATIONS" value="[{&quot;citationID&quot;:&quot;MENDELEY_CITATION_fd150449-1e0e-43f0-9fe2-d8c3a2d728f4&quot;,&quot;properties&quot;:{&quot;noteIndex&quot;:0},&quot;isEdited&quot;:false,&quot;manualOverride&quot;:{&quot;isManuallyOverridden&quot;:false,&quot;citeprocText&quot;:&quot;(Hamburg et al., 2021)&quot;,&quot;manualOverrideText&quot;:&quot;&quot;},&quot;citationTag&quot;:&quot;MENDELEY_CITATION_v3_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&quot;,&quot;citationItems&quot;:[{&quot;id&quot;:&quot;71dc3b35-f716-3833-a64f-506971d43f67&quot;,&quot;itemData&quot;:{&quot;type&quot;:&quot;article-journal&quot;,&quot;id&quot;:&quot;71dc3b35-f716-3833-a64f-506971d43f67&quot;,&quot;title&quot;:&quot;Heat Loss Due to Domestic Hot Water Pipes&quot;,&quot;author&quot;:[{&quot;family&quot;:&quot;Hamburg&quot;,&quot;given&quot;:&quot;Anti&quot;,&quot;parse-names&quot;:false,&quot;dropping-particle&quot;:&quot;&quot;,&quot;non-dropping-particle&quot;:&quot;&quot;},{&quot;family&quot;:&quot;Mikola&quot;,&quot;given&quot;:&quot;Alo&quot;,&quot;parse-names&quot;:false,&quot;dropping-particle&quot;:&quot;&quot;,&quot;non-dropping-particle&quot;:&quot;&quot;},{&quot;family&quot;:&quot;Parts&quot;,&quot;given&quot;:&quot;Tuule Mall&quot;,&quot;parse-names&quot;:false,&quot;dropping-particle&quot;:&quot;&quot;,&quot;non-dropping-particle&quot;:&quot;&quot;},{&quot;family&quot;:&quot;Kalamees&quot;,&quot;given&quot;:&quot;Targo&quot;,&quot;parse-names&quot;:false,&quot;dropping-particle&quot;:&quot;&quot;,&quot;non-dropping-particle&quot;:&quot;&quot;}],&quot;container-title&quot;:&quot;Energies 2021, Vol. 14, Page 6446&quot;,&quot;accessed&quot;:{&quot;date-parts&quot;:[[2025,8,29]]},&quot;DOI&quot;:&quot;10.3390/EN14206446&quot;,&quot;ISSN&quot;:&quot;1996-1073&quot;,&quot;URL&quot;:&quot;https://www.mdpi.com/1996-1073/14/20/6446/htm&quot;,&quot;issued&quot;:{&quot;date-parts&quot;:[[2021,10,9]]},&quot;page&quot;:&quot;6446&quot;,&quot;abstract&quot;:&quot;Domestic hot water (DHW) system energy losses are an important part of energy consumption in newly built or in reconstructed apartment buildings. To reach nZEB or low energy building targets (renovation cases) we should take these losses into account during the design phase. These losses depend on room and water temperature, insulation and length of pipes and water circulation strategy. The target of our study is to develop a method which can be used in the early stages of design in primary energy calculations. We are also interested in how much of these losses cannot be utilised as internal heat gain and how much heat loss depends on the level of energy performance of the building. We used detailed DHW system heat loss measurements and simulations from an nZEB apartment building and annual heat loss data from a total of 22 apartment buildings. Our study showed that EN 15316-3 standard equations for pipe length give more than a twice the pipe length in basements. We recommend that for pipe length calculation in basements, a calculation based on the building’s gross area should be used and for pipe length in vertical shafts, a building’s heating area-based calculation should be used. Our study also showed that up to 33% of pipe heat losses can be utilised as internal heat gain in energy renovated apartment buildings but in unheated basements this figure drops to 30% and in shafts rises to 40% for an average loss (thermal pipe insulation thickness 40 mm) of 10.8 W/m and 5.1 W/m. Unutilised delivered energy loss from DHW systems in smaller apartment buildings can be up to 12.1 kWh/(m2·a) and in bigger apartment buildings not less than 5.5 kWh/(m2·a) (40 mm thermal pipe insulation).&quot;,&quot;publisher&quot;:&quot;Multidisciplinary Digital Publishing Institute&quot;,&quot;issue&quot;:&quot;20&quot;,&quot;volume&quot;:&quot;14&quot;,&quot;container-title-short&quot;:&quot;&quot;},&quot;isTemporary&quot;:false}]},{&quot;citationID&quot;:&quot;MENDELEY_CITATION_cc594db2-2651-4c65-bd6d-9ed5bc168263&quot;,&quot;properties&quot;:{&quot;noteIndex&quot;:0},&quot;isEdited&quot;:false,&quot;manualOverride&quot;:{&quot;isManuallyOverridden&quot;:false,&quot;citeprocText&quot;:&quot;(Kropp et al., 2025)&quot;,&quot;manualOverrideText&quot;:&quot;&quot;},&quot;citationTag&quot;:&quot;MENDELEY_CITATION_v3_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&quot;,&quot;citationItems&quot;:[{&quot;id&quot;:&quot;210e973f-067e-3d17-923f-b4d1c904b2de&quot;,&quot;itemData&quot;:{&quot;type&quot;:&quot;article-journal&quot;,&quot;id&quot;:&quot;210e973f-067e-3d17-923f-b4d1c904b2de&quot;,&quot;title&quot;:&quot;Enhancing heat pump performance for domestic hot water preparation: A comparative analysis in existing multi-family houses&quot;,&quot;author&quot;:[{&quot;family&quot;:&quot;Kropp&quot;,&quot;given&quot;:&quot;Michael&quot;,&quot;parse-names&quot;:false,&quot;dropping-particle&quot;:&quot;&quot;,&quot;non-dropping-particle&quot;:&quot;&quot;},{&quot;family&quot;:&quot;Lämmle&quot;,&quot;given&quot;:&quot;Manuel&quot;,&quot;parse-names&quot;:false,&quot;dropping-particle&quot;:&quot;&quot;,&quot;non-dropping-particle&quot;:&quot;&quot;},{&quot;family&quot;:&quot;Herkel&quot;,&quot;given&quot;:&quot;Sebastian&quot;,&quot;parse-names&quot;:false,&quot;dropping-particle&quot;:&quot;&quot;,&quot;non-dropping-particle&quot;:&quot;&quot;},{&quot;family&quot;:&quot;Henning&quot;,&quot;given&quot;:&quot;Hans Martin&quot;,&quot;parse-names&quot;:false,&quot;dropping-particle&quot;:&quot;&quot;,&quot;non-dropping-particle&quot;:&quot;&quot;},{&quot;family&quot;:&quot;Velte-Schäfer&quot;,&quot;given&quot;:&quot;Andreas&quot;,&quot;parse-names&quot;:false,&quot;dropping-particle&quot;:&quot;&quot;,&quot;non-dropping-particle&quot;:&quot;&quot;}],&quot;container-title&quot;:&quot;Energy and Buildings&quot;,&quot;container-title-short&quot;:&quot;Energy Build.&quot;,&quot;accessed&quot;:{&quot;date-parts&quot;:[[2026,2,27]]},&quot;DOI&quot;:&quot;10.1016/j.enbuild.2024.115155&quot;,&quot;ISSN&quot;:&quot;03787788&quot;,&quot;issued&quot;:{&quot;date-parts&quot;:[[2025,2,1]]},&quot;page&quot;:&quot;115155&quot;,&quot;abstract&quot;:&quot;The building sector is accountable for roughly one third of global energy- and process-related greenhouse gas emissions. Besides space heating, domestic hot water (DHW) heating contributes substantially to energy consumption and related greenhouse gas emissions in the building sector. Depending on the DHW system design and its required supply temperature, heat losses make up around 30…60 % of the energy required for DHW heating. To decrease energy consumption and reduce associated greenhouse gas emissions, it is essential to minimize heat losses and implement efficient DHW concepts. Heat pumps can potentially reduce energy consumption, but their efficiency strongly depends on the DHW system design and its required supply temperature. These aspects are evaluated by performing a comprehensive analysis of different DHW concepts utilizing heat pumps. Based on annual heat demands extracted from one year measurement data of a typical multi-family house in Germany, simulations of six different DHW concepts are performed. Our findings reveal that decentralized DHW systems or low system temperatures (48 °C), e.g. in combination with ultrafiltration for legionella treatment in centralized DHW systems, can lead to a substantial reduction in heat losses for DHW preparation of around 25 % and in final energy of 20 % compared to the reference case. In large systems the share of losses should be kept below 30 % by reducing pipe lengths and equipping the most distant tapping points with direct electric water heaters.&quot;,&quot;publisher&quot;:&quot;Elsevier&quot;,&quot;volume&quot;:&quot;328&quot;},&quot;isTemporary&quot;:false}]},{&quot;citationID&quot;:&quot;MENDELEY_CITATION_07bed29f-8650-4d2b-8bcd-b4999b5bdf27&quot;,&quot;properties&quot;:{&quot;noteIndex&quot;:0},&quot;isEdited&quot;:false,&quot;manualOverride&quot;:{&quot;isManuallyOverridden&quot;:true,&quot;citeprocText&quot;:&quot;(Pomianowski et al., 2020)&quot;,&quot;manualOverrideText&quot;:&quot;(Pomianowski et al., 2020),&quot;},&quot;citationTag&quot;:&quot;MENDELEY_CITATION_v3_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&quot;,&quot;citationItems&quot;:[{&quot;id&quot;:&quot;994f8cc1-cd82-3a26-adee-5474930738f9&quot;,&quot;itemData&quot;:{&quot;type&quot;:&quot;article-journal&quot;,&quot;id&quot;:&quot;994f8cc1-cd82-3a26-adee-5474930738f9&quot;,&quot;title&quot;:&quot;Sustainable and energy-efficient domestic hot water systems: A review&quot;,&quot;author&quot;:[{&quot;family&quot;:&quot;Pomianowski&quot;,&quot;given&quot;:&quot;M. Z.&quot;,&quot;parse-names&quot;:false,&quot;dropping-particle&quot;:&quot;&quot;,&quot;non-dropping-particle&quot;:&quot;&quot;},{&quot;family&quot;:&quot;Johra&quot;,&quot;given&quot;:&quot;H.&quot;,&quot;parse-names&quot;:false,&quot;dropping-particle&quot;:&quot;&quot;,&quot;non-dropping-particle&quot;:&quot;&quot;},{&quot;family&quot;:&quot;Marszal-Pomianowska&quot;,&quot;given&quot;:&quot;A.&quot;,&quot;parse-names&quot;:false,&quot;dropping-particle&quot;:&quot;&quot;,&quot;non-dropping-particle&quot;:&quot;&quot;},{&quot;family&quot;:&quot;Zhang&quot;,&quot;given&quot;:&quot;C.&quot;,&quot;parse-names&quot;:false,&quot;dropping-particle&quot;:&quot;&quot;,&quot;non-dropping-particle&quot;:&quot;&quot;}],&quot;container-title&quot;:&quot;Renewable and Sustainable Energy Reviews&quot;,&quot;accessed&quot;:{&quot;date-parts&quot;:[[2026,2,27]]},&quot;DOI&quot;:&quot;10.1016/j.rser.2020.109900&quot;,&quot;ISSN&quot;:&quot;18790690&quot;,&quot;URL&quot;:&quot;https://scholar.google.com/scholar?q=C.%20van%20Treeck%2C%20T.%20Kistemann%2C%20C.%20Schauer%2C%20S.%20Herkel%2C%20R.%20Elixmann%2C%20Geb%C3%A4udetechnik%20als%20Strukturgeber%20f%C3%BCr%20Bau-%20und%20Betriebsprozesse%3A%20Trinkwasserg%C3%BCte%20-%20Energieeffizienz%20-%20Digitalisierung%20(VDI-Buch).%20Berlin%2C%20Heidelberg%3A%20Springer%20Berlin%20Heidelberg%2C%202019.%20%5BOnline%5D.%20Available%3A%20https%3A%2F%2Fdoi.org%2F10.1007%2F978-3-662-58157-5.&quot;,&quot;issued&quot;:{&quot;date-parts&quot;:[[2020,8,1]]},&quot;page&quot;:&quot;115155&quot;,&quot;abstract&quot;:&quot;For a very long time activities related to efficient domestic hot water (DHW) production and distribution have been neglected and left behind due to an insignificant share in total energy use for buildings. It is in recent years that DHW has emerged as one of the key energy factors in the total energy use in buildings and its share is continuously increasing as energy use in other segments is continuously decreasing, for example space heating, ventilation, and energy for lighting. It becomes suddenly undeniable that efforts in the field of energy-efficient DHW must be strengthened, and as such, there is increased activity in the field. However, the work reported is very dispersed and fragmented. The objective of this review article is to collect and present recent works related to improve performance of a DHW system in terms of energy. The scope and content of the paper aims to address the topics of high relevance to the field, these are shift towards the new situation in which DHW becomes a significant energy use responsible factor in buildings, distribution and weighting of losses related to DHW systems and purpose of DHW use. The article focuses on novel actions to obtain energy-efficient DHW in the following domains: DHW production, DHW distribution and circulation, wastewater heat recovery, and control strategies. The article finishes with conclusions.&quot;,&quot;publisher&quot;:&quot;Elsevier Ltd&quot;,&quot;volume&quot;:&quot;128&quot;,&quot;container-title-short&quot;:&quot;&quot;},&quot;isTemporary&quot;:false}]},{&quot;citationID&quot;:&quot;MENDELEY_CITATION_be3ba40a-18c9-43a5-b234-621c9bebf418&quot;,&quot;properties&quot;:{&quot;noteIndex&quot;:0},&quot;isEdited&quot;:false,&quot;manualOverride&quot;:{&quot;isManuallyOverridden&quot;:false,&quot;citeprocText&quot;:&quot;(Ochs et al., 2025)&quot;,&quot;manualOverrideText&quot;:&quot;&quot;},&quot;citationTag&quot;:&quot;MENDELEY_CITATION_v3_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&quot;,&quot;citationItems&quot;:[{&quot;id&quot;:&quot;4a9adef7-a4a4-378e-ae2d-9104280a46ad&quot;,&quot;itemData&quot;:{&quot;type&quot;:&quot;article-journal&quot;,&quot;id&quot;:&quot;4a9adef7-a4a4-378e-ae2d-9104280a46ad&quot;,&quot;title&quot;:&quot;Characteristic load curves of positive energy districts&quot;,&quot;author&quot;:[{&quot;family&quot;:&quot;Ochs&quot;,&quot;given&quot;:&quot;Fabian&quot;,&quot;parse-names&quot;:false,&quot;dropping-particle&quot;:&quot;&quot;,&quot;non-dropping-particle&quot;:&quot;&quot;},{&quot;family&quot;:&quot;Tosatto&quot;,&quot;given&quot;:&quot;Alice&quot;,&quot;parse-names&quot;:false,&quot;dropping-particle&quot;:&quot;&quot;,&quot;non-dropping-particle&quot;:&quot;&quot;},{&quot;family&quot;:&quot;Venturi&quot;,&quot;given&quot;:&quot;Elisa&quot;,&quot;parse-names&quot;:false,&quot;dropping-particle&quot;:&quot;&quot;,&quot;non-dropping-particle&quot;:&quot;&quot;},{&quot;family&quot;:&quot;Breuss&quot;,&quot;given&quot;:&quot;Samuel&quot;,&quot;parse-names&quot;:false,&quot;dropping-particle&quot;:&quot;&quot;,&quot;non-dropping-particle&quot;:&quot;&quot;},{&quot;family&quot;:&quot;Magni&quot;,&quot;given&quot;:&quot;Mara&quot;,&quot;parse-names&quot;:false,&quot;dropping-particle&quot;:&quot;&quot;,&quot;non-dropping-particle&quot;:&quot;&quot;},{&quot;family&quot;:&quot;Dermentzis&quot;,&quot;given&quot;:&quot;Georgios&quot;,&quot;parse-names&quot;:false,&quot;dropping-particle&quot;:&quot;&quot;,&quot;non-dropping-particle&quot;:&quot;&quot;},{&quot;family&quot;:&quot;Wemhoener&quot;,&quot;given&quot;:&quot;Carsten&quot;,&quot;parse-names&quot;:false,&quot;dropping-particle&quot;:&quot;&quot;,&quot;non-dropping-particle&quot;:&quot;&quot;}],&quot;container-title&quot;:&quot;Solar Energy Advances&quot;,&quot;accessed&quot;:{&quot;date-parts&quot;:[[2026,3,9]]},&quot;DOI&quot;:&quot;10.1016/j.seja.2024.100081&quot;,&quot;ISSN&quot;:&quot;26671131&quot;,&quot;issued&quot;:{&quot;date-parts&quot;:[[2025,1,1]]},&quot;page&quot;:&quot;100081&quot;,&quot;abstract&quot;:&quot;The decarbonization of the building sector is linked to the electrification of buildings, thus, increasing the stress on the electric grid. The concept (or vision) of positive energy districts (PEDs) aims at supporting the energy transition in cities by fostering the development of both, planning processes and tools as well as technologies. Furthermore, the goal is to raise awareness about sustainable cities and to showcase the feasibility to reach a positive energy balance on the district level. While with improved efficiency of buildings, with heat pumps (HP) and on-site PV, a net positive energy balance is possible for new buildings, in existing or in high-density districts, reaching a positive energy balance on the footprint of the district is very challenging. Using a real case study from Austria and different archetype PEDs, electric load and supply curves are generated by means of dynamic simulation and are characterized with the aim to support decision-making in terms of minimum required energy efficiency level, HP system concepts and renewable energy integration. Even if the net energy balance is achieved, a significant gap in winter remains that has to be covered by the grid. Addressing the mismatch between energy demand in winter and RE generation in summer (so-called winter gap) is crucial for building a sustainable, affordable and resilient energy system. The grid stress cannot be relevantly reduced by increasing on-site PV and on-site storage but instead can be significantly limited by efficiency measures (electric peak load reduction by ca. 50 %) and is one of the most relevant KPIs to evaluate and optimize PEDs on the path to or transforming districts into PEDs.&quot;,&quot;publisher&quot;:&quot;Elsevier&quot;,&quot;volume&quot;:&quot;5&quot;,&quot;container-title-short&quot;:&quot;&quot;},&quot;isTemporary&quot;:false}]},{&quot;citationID&quot;:&quot;MENDELEY_CITATION_d9016325-c931-4ae5-ab1b-aa26dea72135&quot;,&quot;properties&quot;:{&quot;noteIndex&quot;:0},&quot;isEdited&quot;:false,&quot;manualOverride&quot;:{&quot;isManuallyOverridden&quot;:false,&quot;citeprocText&quot;:&quot;(GeoSphere Austria, 2026)&quot;,&quot;manualOverrideText&quot;:&quot;&quot;},&quot;citationTag&quot;:&quot;MENDELEY_CITATION_v3_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&quot;,&quot;citationItems&quot;:[{&quot;id&quot;:&quot;c78dbb02-a427-3b64-97d6-0787edd96678&quot;,&quot;itemData&quot;:{&quot;type&quot;:&quot;webpage&quot;,&quot;id&quot;:&quot;c78dbb02-a427-3b64-97d6-0787edd96678&quot;,&quot;title&quot;:&quot;historical station data&quot;,&quot;author&quot;:[{&quot;family&quot;:&quot;GeoSphere Austria&quot;,&quot;given&quot;:&quot;&quot;,&quot;parse-names&quot;:false,&quot;dropping-particle&quot;:&quot;&quot;,&quot;non-dropping-particle&quot;:&quot;&quot;}],&quot;accessed&quot;:{&quot;date-parts&quot;:[[2026,8,25]]},&quot;URL&quot;:&quot;https://dataset.api.hub.geosphere.at/app/frontend/station/historical/klima-v2-10min&quot;,&quot;issued&quot;:{&quot;date-parts&quot;:[[2026]]}},&quot;isTemporary&quot;:false}]},{&quot;citationID&quot;:&quot;MENDELEY_CITATION_60756962-7181-470a-9b1f-308b7611d234&quot;,&quot;properties&quot;:{&quot;noteIndex&quot;:0},&quot;isEdited&quot;:false,&quot;manualOverride&quot;:{&quot;isManuallyOverridden&quot;:false,&quot;citeprocText&quot;:&quot;(Bagge and Johansson, 2011)&quot;,&quot;manualOverrideText&quot;:&quot;&quot;},&quot;citationTag&quot;:&quot;MENDELEY_CITATION_v3_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&quot;,&quot;citationItems&quot;:[{&quot;id&quot;:&quot;cc4a9288-9986-387d-ab32-3004cfbec07c&quot;,&quot;itemData&quot;:{&quot;type&quot;:&quot;article-journal&quot;,&quot;id&quot;:&quot;cc4a9288-9986-387d-ab32-3004cfbec07c&quot;,&quot;title&quot;:&quot;Measurements of household electricity and domestic hot water use in dwellings and the effect of different monitoring time resolution&quot;,&quot;author&quot;:[{&quot;family&quot;:&quot;Bagge&quot;,&quot;given&quot;:&quot;Hans&quot;,&quot;parse-names&quot;:false,&quot;dropping-particle&quot;:&quot;&quot;,&quot;non-dropping-particle&quot;:&quot;&quot;},{&quot;family&quot;:&quot;Johansson&quot;,&quot;given&quot;:&quot;Dennis&quot;,&quot;parse-names&quot;:false,&quot;dropping-particle&quot;:&quot;&quot;,&quot;non-dropping-particle&quot;:&quot;&quot;}],&quot;container-title&quot;:&quot;Energy&quot;,&quot;accessed&quot;:{&quot;date-parts&quot;:[[2026,8,24]]},&quot;DOI&quot;:&quot;10.1016/J.ENERGY.2011.02.037&quot;,&quot;ISSN&quot;:&quot;0360-5442&quot;,&quot;URL&quot;:&quot;https://www.sciencedirect.com/science/article/pii/S0360544211001150&quot;,&quot;issued&quot;:{&quot;date-parts&quot;:[[2011,5,1]]},&quot;page&quot;:&quot;2943-2951&quot;,&quot;abstract&quot;:&quot;The use of household electricity and domestic hot water has been measured for 72 apartments in an apartment building located in the south of Sweden. The measurements were carried out with samples every 6. s, a tenfold increase in resolution compared to available published data, during a measurement period of five days, in the winter season, including a weekend. The influence of the time resolution on the distribution of data was analysed by integrating the 6. s data to represent longer logging intervals. Extreme values, especially the high values, are shown to be reduced if the time interval is increased. The maximum household electric power was 50% higher at a 6. s resolution compared to 60. s and the corresponding difference for domestic hot water flow was 40%. Daily variations has to be considered for photovoltaic installations and solar thermal collectors, energy simulations of buildings need at least hourly data and all kind of power design in a building or its services benefits from much more resolved data. © 2011 Elsevier Ltd.&quot;,&quot;publisher&quot;:&quot;Pergamon&quot;,&quot;issue&quot;:&quot;5&quot;,&quot;volume&quot;:&quot;36&quot;,&quot;container-title-short&quot;:&quot;&quot;},&quot;isTemporary&quot;:false}]}]"/>
    <we:property name="MENDELEY_CITATIONS_LOCALE_CODE" value="&quot;en-US&quot;"/>
    <we:property name="MENDELEY_CITATIONS_STYLE" value="{&quot;id&quot;:&quot;https://www.zotero.org/styles/solar-energy&quot;,&quot;title&quot;:&quot;Solar Energy&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6782</Words>
  <Characters>38662</Characters>
  <Application>Microsoft Office Word</Application>
  <DocSecurity>0</DocSecurity>
  <Lines>322</Lines>
  <Paragraphs>90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MODEL BASED ANALYSIS OF MONITORING DATA FOR PERFORMANCE OPTIMIZATION IN LARGE MULTI APARTMENT BUILDINGS</vt:lpstr>
      <vt:lpstr>MODEL BASED ANALYSIS OF MONITORING DATA FOR PERFORMANCE OPTIMIZATION IN LARGE MULTI APARTMENT BUILDINGS</vt:lpstr>
    </vt:vector>
  </TitlesOfParts>
  <Company>Oxford Brookes University</Company>
  <LinksUpToDate>false</LinksUpToDate>
  <CharactersWithSpaces>45354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BASED ANALYSIS OF MONITORING DATA FOR PERFORMANCE OPTIMIZATION IN LARGE MULTI APARTMENT BUILDINGS</dc:title>
  <dc:creator>ISES;Samuel Breuss</dc:creator>
  <cp:lastModifiedBy>Breuss, Samuel</cp:lastModifiedBy>
  <cp:revision>2</cp:revision>
  <cp:lastPrinted>2026-03-10T13:17:00Z</cp:lastPrinted>
  <dcterms:created xsi:type="dcterms:W3CDTF">2026-09-10T15:04:00Z</dcterms:created>
  <dcterms:modified xsi:type="dcterms:W3CDTF">2026-09-10T15:04:00Z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GrammarlyDocumentId">
    <vt:lpwstr>8098d33b-e1f9-4ab4-9bb4-41455db3f76f</vt:lpwstr>
  </property>
</Properties>
</file>