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3E7F7D" w14:textId="52CC3E4F" w:rsidR="006C4CA8" w:rsidRPr="005A75D9" w:rsidRDefault="006C4CA8" w:rsidP="006C4CA8">
      <w:pPr>
        <w:rPr>
          <w:rFonts w:ascii="Arial" w:hAnsi="Arial" w:cs="Arial"/>
          <w:b/>
          <w:bCs/>
          <w:sz w:val="28"/>
          <w:szCs w:val="28"/>
        </w:rPr>
      </w:pPr>
      <w:r w:rsidRPr="005A75D9">
        <w:rPr>
          <w:rFonts w:ascii="Arial" w:hAnsi="Arial" w:cs="Arial"/>
          <w:b/>
          <w:bCs/>
          <w:sz w:val="28"/>
          <w:szCs w:val="28"/>
        </w:rPr>
        <w:t>B</w:t>
      </w:r>
      <w:r w:rsidR="005A75D9">
        <w:rPr>
          <w:rFonts w:ascii="Arial" w:hAnsi="Arial" w:cs="Arial"/>
          <w:b/>
          <w:bCs/>
          <w:sz w:val="28"/>
          <w:szCs w:val="28"/>
        </w:rPr>
        <w:t xml:space="preserve">RIDGING CLIMATE SERVICES AND SOLAR ENERGY TRANSITION: INSIGHTS FROM </w:t>
      </w:r>
      <w:r w:rsidRPr="005A75D9">
        <w:rPr>
          <w:rFonts w:ascii="Arial" w:hAnsi="Arial" w:cs="Arial"/>
          <w:b/>
          <w:bCs/>
          <w:sz w:val="28"/>
          <w:szCs w:val="28"/>
        </w:rPr>
        <w:t>C3S NCP G</w:t>
      </w:r>
      <w:r w:rsidR="005A75D9">
        <w:rPr>
          <w:rFonts w:ascii="Arial" w:hAnsi="Arial" w:cs="Arial"/>
          <w:b/>
          <w:bCs/>
          <w:sz w:val="28"/>
          <w:szCs w:val="28"/>
        </w:rPr>
        <w:t>REECE AND</w:t>
      </w:r>
      <w:r w:rsidRPr="005A75D9">
        <w:rPr>
          <w:rFonts w:ascii="Arial" w:hAnsi="Arial" w:cs="Arial"/>
          <w:b/>
          <w:bCs/>
          <w:sz w:val="28"/>
          <w:szCs w:val="28"/>
        </w:rPr>
        <w:t xml:space="preserve"> R</w:t>
      </w:r>
      <w:r w:rsidR="005A75D9">
        <w:rPr>
          <w:rFonts w:ascii="Arial" w:hAnsi="Arial" w:cs="Arial"/>
          <w:b/>
          <w:bCs/>
          <w:sz w:val="28"/>
          <w:szCs w:val="28"/>
        </w:rPr>
        <w:t>E</w:t>
      </w:r>
      <w:r w:rsidRPr="005A75D9">
        <w:rPr>
          <w:rFonts w:ascii="Arial" w:hAnsi="Arial" w:cs="Arial"/>
          <w:b/>
          <w:bCs/>
          <w:sz w:val="28"/>
          <w:szCs w:val="28"/>
        </w:rPr>
        <w:t>E</w:t>
      </w:r>
      <w:r w:rsidR="005A75D9">
        <w:rPr>
          <w:rFonts w:ascii="Arial" w:hAnsi="Arial" w:cs="Arial"/>
          <w:b/>
          <w:bCs/>
          <w:sz w:val="28"/>
          <w:szCs w:val="28"/>
        </w:rPr>
        <w:t>NERGY</w:t>
      </w:r>
      <w:r w:rsidRPr="005A75D9">
        <w:rPr>
          <w:rFonts w:ascii="Arial" w:hAnsi="Arial" w:cs="Arial"/>
          <w:b/>
          <w:bCs/>
          <w:sz w:val="28"/>
          <w:szCs w:val="28"/>
        </w:rPr>
        <w:t xml:space="preserve">-MED </w:t>
      </w:r>
      <w:r w:rsidR="005A75D9">
        <w:rPr>
          <w:rFonts w:ascii="Arial" w:hAnsi="Arial" w:cs="Arial"/>
          <w:b/>
          <w:bCs/>
          <w:sz w:val="28"/>
          <w:szCs w:val="28"/>
        </w:rPr>
        <w:t>PROJECTS</w:t>
      </w:r>
    </w:p>
    <w:p w14:paraId="562BAF6A" w14:textId="63E703A0" w:rsidR="00CD637C" w:rsidRPr="00141EEA" w:rsidRDefault="006C4CA8" w:rsidP="006C4CA8">
      <w:pPr>
        <w:rPr>
          <w:rFonts w:ascii="Times New Roman" w:hAnsi="Times New Roman" w:cs="Times New Roman"/>
          <w:b/>
          <w:bCs/>
          <w:sz w:val="20"/>
          <w:szCs w:val="20"/>
        </w:rPr>
      </w:pPr>
      <w:r w:rsidRPr="00141EEA">
        <w:rPr>
          <w:rFonts w:ascii="Times New Roman" w:hAnsi="Times New Roman" w:cs="Times New Roman"/>
          <w:sz w:val="20"/>
          <w:szCs w:val="20"/>
        </w:rPr>
        <w:t>C. Giannakopoulos</w:t>
      </w:r>
      <w:r w:rsidRPr="00141EEA">
        <w:rPr>
          <w:rFonts w:ascii="Times New Roman" w:hAnsi="Times New Roman" w:cs="Times New Roman"/>
          <w:sz w:val="20"/>
          <w:szCs w:val="20"/>
          <w:vertAlign w:val="superscript"/>
        </w:rPr>
        <w:t>1</w:t>
      </w:r>
      <w:r w:rsidRPr="00141EEA">
        <w:rPr>
          <w:rFonts w:ascii="Times New Roman" w:hAnsi="Times New Roman" w:cs="Times New Roman"/>
          <w:sz w:val="20"/>
          <w:szCs w:val="20"/>
        </w:rPr>
        <w:t>, V. Amiridis</w:t>
      </w:r>
      <w:r w:rsidR="00FA19C3" w:rsidRPr="00141EEA">
        <w:rPr>
          <w:rFonts w:ascii="Times New Roman" w:hAnsi="Times New Roman" w:cs="Times New Roman"/>
          <w:sz w:val="20"/>
          <w:szCs w:val="20"/>
          <w:vertAlign w:val="superscript"/>
        </w:rPr>
        <w:t>2</w:t>
      </w:r>
      <w:r w:rsidRPr="00141EEA">
        <w:rPr>
          <w:rFonts w:ascii="Times New Roman" w:hAnsi="Times New Roman" w:cs="Times New Roman"/>
          <w:sz w:val="20"/>
          <w:szCs w:val="20"/>
        </w:rPr>
        <w:t>, I. Fountoulakis</w:t>
      </w:r>
      <w:r w:rsidR="00FA19C3" w:rsidRPr="00141EEA">
        <w:rPr>
          <w:rFonts w:ascii="Times New Roman" w:hAnsi="Times New Roman" w:cs="Times New Roman"/>
          <w:sz w:val="20"/>
          <w:szCs w:val="20"/>
          <w:vertAlign w:val="superscript"/>
        </w:rPr>
        <w:t>3</w:t>
      </w:r>
      <w:r w:rsidRPr="00141EEA">
        <w:rPr>
          <w:rFonts w:ascii="Times New Roman" w:hAnsi="Times New Roman" w:cs="Times New Roman"/>
          <w:sz w:val="20"/>
          <w:szCs w:val="20"/>
        </w:rPr>
        <w:t>, M. Gratsea</w:t>
      </w:r>
      <w:r w:rsidRPr="00141EEA">
        <w:rPr>
          <w:rFonts w:ascii="Times New Roman" w:hAnsi="Times New Roman" w:cs="Times New Roman"/>
          <w:sz w:val="20"/>
          <w:szCs w:val="20"/>
          <w:vertAlign w:val="superscript"/>
        </w:rPr>
        <w:t>1</w:t>
      </w:r>
      <w:r w:rsidRPr="00141EEA">
        <w:rPr>
          <w:rFonts w:ascii="Times New Roman" w:hAnsi="Times New Roman" w:cs="Times New Roman"/>
          <w:sz w:val="20"/>
          <w:szCs w:val="20"/>
        </w:rPr>
        <w:t>, S. Kartsios</w:t>
      </w:r>
      <w:r w:rsidR="00FA19C3" w:rsidRPr="00141EEA">
        <w:rPr>
          <w:rFonts w:ascii="Times New Roman" w:hAnsi="Times New Roman" w:cs="Times New Roman"/>
          <w:sz w:val="20"/>
          <w:szCs w:val="20"/>
          <w:vertAlign w:val="superscript"/>
        </w:rPr>
        <w:t>2</w:t>
      </w:r>
      <w:r w:rsidRPr="00141EEA">
        <w:rPr>
          <w:rFonts w:ascii="Times New Roman" w:hAnsi="Times New Roman" w:cs="Times New Roman"/>
          <w:sz w:val="20"/>
          <w:szCs w:val="20"/>
        </w:rPr>
        <w:t>, S. Misios</w:t>
      </w:r>
      <w:r w:rsidR="00FA19C3" w:rsidRPr="00141EEA">
        <w:rPr>
          <w:rFonts w:ascii="Times New Roman" w:hAnsi="Times New Roman" w:cs="Times New Roman"/>
          <w:sz w:val="20"/>
          <w:szCs w:val="20"/>
          <w:vertAlign w:val="superscript"/>
        </w:rPr>
        <w:t>3</w:t>
      </w:r>
      <w:r w:rsidRPr="00141EEA">
        <w:rPr>
          <w:rFonts w:ascii="Times New Roman" w:hAnsi="Times New Roman" w:cs="Times New Roman"/>
          <w:sz w:val="20"/>
          <w:szCs w:val="20"/>
        </w:rPr>
        <w:t>, N. Papadimitriou</w:t>
      </w:r>
      <w:r w:rsidR="00FA19C3" w:rsidRPr="00141EEA">
        <w:rPr>
          <w:rFonts w:ascii="Times New Roman" w:hAnsi="Times New Roman" w:cs="Times New Roman"/>
          <w:sz w:val="20"/>
          <w:szCs w:val="20"/>
          <w:vertAlign w:val="superscript"/>
        </w:rPr>
        <w:t>3</w:t>
      </w:r>
      <w:r w:rsidRPr="00141EEA">
        <w:rPr>
          <w:rFonts w:ascii="Times New Roman" w:hAnsi="Times New Roman" w:cs="Times New Roman"/>
          <w:sz w:val="20"/>
          <w:szCs w:val="20"/>
          <w:vertAlign w:val="superscript"/>
        </w:rPr>
        <w:t>,</w:t>
      </w:r>
      <w:r w:rsidR="00FA19C3" w:rsidRPr="00141EEA">
        <w:rPr>
          <w:rFonts w:ascii="Times New Roman" w:hAnsi="Times New Roman" w:cs="Times New Roman"/>
          <w:sz w:val="20"/>
          <w:szCs w:val="20"/>
          <w:vertAlign w:val="superscript"/>
        </w:rPr>
        <w:t>4</w:t>
      </w:r>
      <w:r w:rsidRPr="00141EEA">
        <w:rPr>
          <w:rFonts w:ascii="Times New Roman" w:hAnsi="Times New Roman" w:cs="Times New Roman"/>
          <w:sz w:val="20"/>
          <w:szCs w:val="20"/>
        </w:rPr>
        <w:t xml:space="preserve"> </w:t>
      </w:r>
    </w:p>
    <w:p w14:paraId="75BF3791" w14:textId="77777777" w:rsidR="006C4CA8" w:rsidRPr="00141EEA" w:rsidRDefault="006C4CA8" w:rsidP="006C4CA8">
      <w:pPr>
        <w:spacing w:after="0"/>
        <w:rPr>
          <w:rFonts w:ascii="Times New Roman" w:hAnsi="Times New Roman" w:cs="Times New Roman"/>
          <w:sz w:val="20"/>
          <w:szCs w:val="20"/>
        </w:rPr>
      </w:pPr>
      <w:r w:rsidRPr="00141EEA">
        <w:rPr>
          <w:rFonts w:ascii="Times New Roman" w:hAnsi="Times New Roman" w:cs="Times New Roman"/>
          <w:sz w:val="20"/>
          <w:szCs w:val="20"/>
        </w:rPr>
        <w:t>¹ Institute for Environmental Research and Sustainable Development (IERSD), National Observatory of Athens, Athens, Greece</w:t>
      </w:r>
    </w:p>
    <w:p w14:paraId="2EEBA240" w14:textId="5C24C0C3" w:rsidR="00141EEA" w:rsidRPr="00141EEA" w:rsidRDefault="00141EEA" w:rsidP="006C4CA8">
      <w:pPr>
        <w:spacing w:after="0"/>
        <w:rPr>
          <w:rFonts w:ascii="Times New Roman" w:hAnsi="Times New Roman" w:cs="Times New Roman"/>
          <w:sz w:val="20"/>
          <w:szCs w:val="20"/>
        </w:rPr>
      </w:pPr>
      <w:r w:rsidRPr="00141EEA">
        <w:rPr>
          <w:rFonts w:ascii="Times New Roman" w:hAnsi="Times New Roman" w:cs="Times New Roman"/>
          <w:sz w:val="20"/>
          <w:szCs w:val="20"/>
          <w:vertAlign w:val="superscript"/>
        </w:rPr>
        <w:t>2</w:t>
      </w:r>
      <w:r w:rsidRPr="00141EEA">
        <w:rPr>
          <w:rFonts w:ascii="Times New Roman" w:hAnsi="Times New Roman" w:cs="Times New Roman"/>
          <w:sz w:val="20"/>
          <w:szCs w:val="20"/>
        </w:rPr>
        <w:t xml:space="preserve"> Institute for Astronomy, Astrophysics, Space Applications and Remote Sensing, National Observatory of Athens, Greece</w:t>
      </w:r>
    </w:p>
    <w:p w14:paraId="43C39968" w14:textId="7528D2B0" w:rsidR="006C4CA8" w:rsidRPr="00141EEA" w:rsidRDefault="00141EEA" w:rsidP="006C4CA8">
      <w:pPr>
        <w:spacing w:after="0"/>
        <w:rPr>
          <w:rFonts w:ascii="Times New Roman" w:hAnsi="Times New Roman" w:cs="Times New Roman"/>
          <w:sz w:val="20"/>
          <w:szCs w:val="20"/>
        </w:rPr>
      </w:pPr>
      <w:r w:rsidRPr="00141EEA">
        <w:rPr>
          <w:rFonts w:ascii="Times New Roman" w:hAnsi="Times New Roman" w:cs="Times New Roman"/>
          <w:sz w:val="20"/>
          <w:szCs w:val="20"/>
          <w:vertAlign w:val="superscript"/>
        </w:rPr>
        <w:t>3</w:t>
      </w:r>
      <w:r w:rsidR="006C4CA8" w:rsidRPr="00141EEA">
        <w:rPr>
          <w:rFonts w:ascii="Times New Roman" w:hAnsi="Times New Roman" w:cs="Times New Roman"/>
          <w:sz w:val="20"/>
          <w:szCs w:val="20"/>
        </w:rPr>
        <w:t xml:space="preserve"> Research Centre for Atmospheric Physics and Climatology, Academy of Athens, Athens, Greece</w:t>
      </w:r>
    </w:p>
    <w:p w14:paraId="41E0FBA1" w14:textId="1C3E9547" w:rsidR="006C4CA8" w:rsidRPr="00141EEA" w:rsidRDefault="00141EEA" w:rsidP="006C4CA8">
      <w:pPr>
        <w:spacing w:after="0"/>
        <w:rPr>
          <w:rFonts w:ascii="Times New Roman" w:hAnsi="Times New Roman" w:cs="Times New Roman"/>
          <w:sz w:val="20"/>
          <w:szCs w:val="20"/>
        </w:rPr>
      </w:pPr>
      <w:r w:rsidRPr="00141EEA">
        <w:rPr>
          <w:rFonts w:ascii="Times New Roman" w:hAnsi="Times New Roman" w:cs="Times New Roman"/>
          <w:sz w:val="20"/>
          <w:szCs w:val="20"/>
          <w:vertAlign w:val="superscript"/>
        </w:rPr>
        <w:t>4</w:t>
      </w:r>
      <w:r w:rsidR="006C4CA8" w:rsidRPr="00141EEA">
        <w:rPr>
          <w:rFonts w:ascii="Times New Roman" w:hAnsi="Times New Roman" w:cs="Times New Roman"/>
          <w:sz w:val="20"/>
          <w:szCs w:val="20"/>
        </w:rPr>
        <w:t xml:space="preserve"> Department of Physics, University of Patras, Patras, Greece</w:t>
      </w:r>
    </w:p>
    <w:p w14:paraId="33E7E4DE" w14:textId="630F389C" w:rsidR="006C4CA8" w:rsidRDefault="00141EEA">
      <w:pPr>
        <w:rPr>
          <w:rFonts w:ascii="Times New Roman" w:hAnsi="Times New Roman" w:cs="Times New Roman"/>
          <w:sz w:val="20"/>
          <w:szCs w:val="20"/>
        </w:rPr>
      </w:pPr>
      <w:hyperlink r:id="rId6" w:history="1">
        <w:r w:rsidRPr="00141EEA">
          <w:rPr>
            <w:rFonts w:ascii="Times New Roman" w:hAnsi="Times New Roman" w:cs="Times New Roman"/>
            <w:sz w:val="20"/>
            <w:szCs w:val="20"/>
          </w:rPr>
          <w:t>cgiannak@noa.gr</w:t>
        </w:r>
      </w:hyperlink>
      <w:r w:rsidRPr="00141EEA">
        <w:rPr>
          <w:rFonts w:ascii="Times New Roman" w:hAnsi="Times New Roman" w:cs="Times New Roman"/>
          <w:sz w:val="20"/>
          <w:szCs w:val="20"/>
        </w:rPr>
        <w:t xml:space="preserve">, </w:t>
      </w:r>
      <w:hyperlink r:id="rId7" w:history="1">
        <w:r w:rsidRPr="00141EEA">
          <w:rPr>
            <w:rFonts w:ascii="Times New Roman" w:hAnsi="Times New Roman" w:cs="Times New Roman"/>
            <w:sz w:val="20"/>
            <w:szCs w:val="20"/>
          </w:rPr>
          <w:t>vamoir@noa.gr</w:t>
        </w:r>
      </w:hyperlink>
      <w:r w:rsidRPr="00141EEA">
        <w:rPr>
          <w:rFonts w:ascii="Times New Roman" w:hAnsi="Times New Roman" w:cs="Times New Roman"/>
          <w:sz w:val="20"/>
          <w:szCs w:val="20"/>
        </w:rPr>
        <w:t xml:space="preserve">, </w:t>
      </w:r>
      <w:hyperlink r:id="rId8" w:history="1">
        <w:r w:rsidRPr="00141EEA">
          <w:rPr>
            <w:rFonts w:ascii="Times New Roman" w:hAnsi="Times New Roman" w:cs="Times New Roman"/>
            <w:sz w:val="20"/>
            <w:szCs w:val="20"/>
          </w:rPr>
          <w:t>ifountoulakis@academyofathens.gr</w:t>
        </w:r>
      </w:hyperlink>
      <w:r w:rsidRPr="00141EEA">
        <w:rPr>
          <w:rFonts w:ascii="Times New Roman" w:hAnsi="Times New Roman" w:cs="Times New Roman"/>
          <w:sz w:val="20"/>
          <w:szCs w:val="20"/>
        </w:rPr>
        <w:t xml:space="preserve">, </w:t>
      </w:r>
      <w:hyperlink r:id="rId9" w:history="1">
        <w:r w:rsidRPr="00141EEA">
          <w:rPr>
            <w:rFonts w:ascii="Times New Roman" w:hAnsi="Times New Roman" w:cs="Times New Roman"/>
            <w:sz w:val="20"/>
            <w:szCs w:val="20"/>
          </w:rPr>
          <w:t>npapadimitriou@academyofathens.gr</w:t>
        </w:r>
      </w:hyperlink>
      <w:r w:rsidRPr="00141EEA">
        <w:rPr>
          <w:rFonts w:ascii="Times New Roman" w:hAnsi="Times New Roman" w:cs="Times New Roman"/>
          <w:sz w:val="20"/>
          <w:szCs w:val="20"/>
        </w:rPr>
        <w:t xml:space="preserve">, </w:t>
      </w:r>
      <w:hyperlink r:id="rId10" w:history="1">
        <w:r w:rsidRPr="00141EEA">
          <w:rPr>
            <w:rFonts w:ascii="Times New Roman" w:hAnsi="Times New Roman" w:cs="Times New Roman"/>
            <w:sz w:val="20"/>
            <w:szCs w:val="20"/>
          </w:rPr>
          <w:t>kartsios@noa.gr</w:t>
        </w:r>
      </w:hyperlink>
      <w:r w:rsidRPr="00141EEA">
        <w:rPr>
          <w:rFonts w:ascii="Times New Roman" w:hAnsi="Times New Roman" w:cs="Times New Roman"/>
          <w:sz w:val="20"/>
          <w:szCs w:val="20"/>
        </w:rPr>
        <w:t xml:space="preserve">, </w:t>
      </w:r>
      <w:hyperlink r:id="rId11" w:history="1">
        <w:r w:rsidR="00387D6D" w:rsidRPr="00387D6D">
          <w:rPr>
            <w:rFonts w:ascii="Times New Roman" w:hAnsi="Times New Roman" w:cs="Times New Roman"/>
            <w:sz w:val="20"/>
            <w:szCs w:val="20"/>
          </w:rPr>
          <w:t>missios@academyofathens.gr</w:t>
        </w:r>
      </w:hyperlink>
    </w:p>
    <w:p w14:paraId="759FFA36" w14:textId="77777777" w:rsidR="00387D6D" w:rsidRPr="00387D6D" w:rsidRDefault="00387D6D" w:rsidP="00387D6D">
      <w:pPr>
        <w:pStyle w:val="Normal1"/>
        <w:pBdr>
          <w:top w:val="nil"/>
          <w:left w:val="nil"/>
          <w:bottom w:val="nil"/>
          <w:right w:val="nil"/>
          <w:between w:val="nil"/>
        </w:pBdr>
        <w:spacing w:before="480" w:after="0" w:line="240" w:lineRule="auto"/>
        <w:jc w:val="both"/>
        <w:rPr>
          <w:rFonts w:ascii="Times New Roman" w:eastAsiaTheme="minorHAnsi" w:hAnsi="Times New Roman" w:cs="Times New Roman"/>
          <w:kern w:val="2"/>
          <w:sz w:val="20"/>
          <w:szCs w:val="20"/>
          <w:lang w:eastAsia="en-US" w:bidi="he-IL"/>
          <w14:ligatures w14:val="standardContextual"/>
        </w:rPr>
      </w:pPr>
      <w:r w:rsidRPr="00387D6D">
        <w:rPr>
          <w:rFonts w:ascii="Times New Roman" w:eastAsiaTheme="minorHAnsi" w:hAnsi="Times New Roman" w:cs="Times New Roman"/>
          <w:kern w:val="2"/>
          <w:sz w:val="20"/>
          <w:szCs w:val="20"/>
          <w:lang w:eastAsia="en-US" w:bidi="he-IL"/>
          <w14:ligatures w14:val="standardContextual"/>
        </w:rPr>
        <w:t>Keywords: solar energy, wind energy, Copernicus data, Mediterranean Region</w:t>
      </w:r>
    </w:p>
    <w:p w14:paraId="1A778116" w14:textId="77777777" w:rsidR="00387D6D" w:rsidRPr="00141EEA" w:rsidRDefault="00387D6D">
      <w:pPr>
        <w:rPr>
          <w:rFonts w:ascii="Times New Roman" w:hAnsi="Times New Roman" w:cs="Times New Roman"/>
          <w:sz w:val="20"/>
          <w:szCs w:val="20"/>
        </w:rPr>
      </w:pPr>
    </w:p>
    <w:p w14:paraId="78A9E6A9" w14:textId="62982CAC" w:rsidR="00A3457A" w:rsidRPr="00141EEA" w:rsidRDefault="00A3457A" w:rsidP="00141EEA">
      <w:pPr>
        <w:jc w:val="center"/>
        <w:rPr>
          <w:rFonts w:ascii="Arial" w:hAnsi="Arial" w:cs="Arial"/>
          <w:b/>
          <w:bCs/>
          <w:sz w:val="20"/>
          <w:szCs w:val="20"/>
        </w:rPr>
      </w:pPr>
      <w:r w:rsidRPr="00141EEA">
        <w:rPr>
          <w:rFonts w:ascii="Arial" w:hAnsi="Arial" w:cs="Arial"/>
          <w:b/>
          <w:bCs/>
          <w:sz w:val="20"/>
          <w:szCs w:val="20"/>
        </w:rPr>
        <w:t>Abstract</w:t>
      </w:r>
    </w:p>
    <w:p w14:paraId="1F16BBFC" w14:textId="7311B76A" w:rsidR="006C4CA8" w:rsidRPr="00141EEA" w:rsidRDefault="006C4CA8" w:rsidP="006C4CA8">
      <w:pPr>
        <w:jc w:val="both"/>
        <w:rPr>
          <w:rFonts w:ascii="Times New Roman" w:hAnsi="Times New Roman" w:cs="Times New Roman"/>
          <w:sz w:val="20"/>
          <w:szCs w:val="20"/>
        </w:rPr>
      </w:pPr>
      <w:r w:rsidRPr="00141EEA">
        <w:rPr>
          <w:rFonts w:ascii="Times New Roman" w:hAnsi="Times New Roman" w:cs="Times New Roman"/>
          <w:sz w:val="20"/>
          <w:szCs w:val="20"/>
        </w:rPr>
        <w:t>The Mediterranean region possesses exceptional solar and wind resources, making it one of Europe's most promising regions for renewable-energy deployment. However, maximizing the potential of these resources requires not only expanded renewable-energy infrastructure but also the effective integration of climate information into energy planning and operation. Renewable-energy production is inherently sensitive to weather and climate variability across timescales ranging from seasons to decades, while long-term climate change is expected to influence both energy generation and electricity demand. Consequently, climate services have become increasingly important for supporting climate-informed decision-making in the energy sector.</w:t>
      </w:r>
    </w:p>
    <w:p w14:paraId="4636766F" w14:textId="77777777" w:rsidR="006C4CA8" w:rsidRPr="006C4CA8" w:rsidRDefault="006C4CA8" w:rsidP="006C4CA8">
      <w:pPr>
        <w:jc w:val="both"/>
      </w:pPr>
      <w:r w:rsidRPr="00141EEA">
        <w:rPr>
          <w:rFonts w:ascii="Times New Roman" w:hAnsi="Times New Roman" w:cs="Times New Roman"/>
          <w:sz w:val="20"/>
          <w:szCs w:val="20"/>
        </w:rPr>
        <w:t xml:space="preserve">The Copernicus Climate Change Service (C3S) and the Copernicus Atmosphere Monitoring Service (CAMS) provide high-quality climate and atmospheric datasets that enable the development of operational services for renewable-energy applications. This paper presents the complementary roles of the C3S National Collaboration </w:t>
      </w:r>
      <w:proofErr w:type="spellStart"/>
      <w:r w:rsidRPr="00141EEA">
        <w:rPr>
          <w:rFonts w:ascii="Times New Roman" w:hAnsi="Times New Roman" w:cs="Times New Roman"/>
          <w:sz w:val="20"/>
          <w:szCs w:val="20"/>
        </w:rPr>
        <w:t>Programme</w:t>
      </w:r>
      <w:proofErr w:type="spellEnd"/>
      <w:r w:rsidRPr="00141EEA">
        <w:rPr>
          <w:rFonts w:ascii="Times New Roman" w:hAnsi="Times New Roman" w:cs="Times New Roman"/>
          <w:sz w:val="20"/>
          <w:szCs w:val="20"/>
        </w:rPr>
        <w:t xml:space="preserve"> (C3S NCP Greece) and the ReEnergy-MED project in transforming these datasets into decision-support tools for the Mediterranean region. </w:t>
      </w:r>
      <w:proofErr w:type="spellStart"/>
      <w:r w:rsidRPr="00141EEA">
        <w:rPr>
          <w:rFonts w:ascii="Times New Roman" w:hAnsi="Times New Roman" w:cs="Times New Roman"/>
          <w:sz w:val="20"/>
          <w:szCs w:val="20"/>
        </w:rPr>
        <w:t>ClimateHub</w:t>
      </w:r>
      <w:proofErr w:type="spellEnd"/>
      <w:r w:rsidRPr="00141EEA">
        <w:rPr>
          <w:rFonts w:ascii="Times New Roman" w:hAnsi="Times New Roman" w:cs="Times New Roman"/>
          <w:sz w:val="20"/>
          <w:szCs w:val="20"/>
        </w:rPr>
        <w:t>, developed within C3S NCP Greece, provides operational seasonal and decadal predictions of renewable-energy production and electricity demand for Greece, while ReEnergy-MED combines C3S and CAMS products with statistical downscaling, bias correction and photovoltaic energy modelling to deliver site-specific climate services for demonstration cases in Greece and Morocco. Together, the two initiatives illustrate a transferable framework for integrating Copernicus climate information into renewable-energy planning, operational management and long-term investment decisions across the Mediterranean.</w:t>
      </w:r>
    </w:p>
    <w:p w14:paraId="66A4E610" w14:textId="77777777" w:rsidR="006C4CA8" w:rsidRDefault="006C4CA8"/>
    <w:p w14:paraId="6CF854FC" w14:textId="77777777" w:rsidR="006C4CA8" w:rsidRDefault="006C4CA8"/>
    <w:p w14:paraId="609C2C94" w14:textId="77777777" w:rsidR="00141EEA" w:rsidRDefault="00141EEA"/>
    <w:p w14:paraId="272FC9E5" w14:textId="77777777" w:rsidR="00141EEA" w:rsidRDefault="00141EEA"/>
    <w:p w14:paraId="09E60CB2" w14:textId="77777777" w:rsidR="006C4CA8" w:rsidRPr="00141EEA" w:rsidRDefault="006C4CA8" w:rsidP="00141EEA">
      <w:pPr>
        <w:jc w:val="center"/>
        <w:rPr>
          <w:rFonts w:ascii="Arial" w:hAnsi="Arial" w:cs="Arial"/>
          <w:b/>
          <w:bCs/>
          <w:sz w:val="20"/>
          <w:szCs w:val="20"/>
        </w:rPr>
      </w:pPr>
      <w:r w:rsidRPr="00141EEA">
        <w:rPr>
          <w:rFonts w:ascii="Arial" w:hAnsi="Arial" w:cs="Arial"/>
          <w:b/>
          <w:bCs/>
          <w:sz w:val="20"/>
          <w:szCs w:val="20"/>
        </w:rPr>
        <w:lastRenderedPageBreak/>
        <w:t>1. Introduction</w:t>
      </w:r>
    </w:p>
    <w:p w14:paraId="5981BB77" w14:textId="5FEAEDCC" w:rsidR="006C4CA8" w:rsidRPr="00141EEA" w:rsidRDefault="006C4CA8" w:rsidP="006C4CA8">
      <w:pPr>
        <w:jc w:val="both"/>
        <w:rPr>
          <w:rFonts w:ascii="Times New Roman" w:hAnsi="Times New Roman" w:cs="Times New Roman"/>
          <w:sz w:val="20"/>
          <w:szCs w:val="20"/>
        </w:rPr>
      </w:pPr>
      <w:r w:rsidRPr="00141EEA">
        <w:rPr>
          <w:rFonts w:ascii="Times New Roman" w:hAnsi="Times New Roman" w:cs="Times New Roman"/>
          <w:sz w:val="20"/>
          <w:szCs w:val="20"/>
        </w:rPr>
        <w:t xml:space="preserve">The transition towards a low-carbon energy system has become a central pillar of European climate and energy policy, driven by the urgent need to mitigate climate change, enhance energy security, and reduce dependence on fossil fuels (European Commission, 2019; IPCC, 2023). Within this framework, renewable energy sources (RES), particularly solar and wind power, are expected to play a central role in achieving the European Union's climate-neutrality objectives. The Mediterranean region is particularly well suited to this transition owing to its abundant solar resources, </w:t>
      </w:r>
      <w:proofErr w:type="spellStart"/>
      <w:r w:rsidRPr="00141EEA">
        <w:rPr>
          <w:rFonts w:ascii="Times New Roman" w:hAnsi="Times New Roman" w:cs="Times New Roman"/>
          <w:sz w:val="20"/>
          <w:szCs w:val="20"/>
        </w:rPr>
        <w:t>favourable</w:t>
      </w:r>
      <w:proofErr w:type="spellEnd"/>
      <w:r w:rsidRPr="00141EEA">
        <w:rPr>
          <w:rFonts w:ascii="Times New Roman" w:hAnsi="Times New Roman" w:cs="Times New Roman"/>
          <w:sz w:val="20"/>
          <w:szCs w:val="20"/>
        </w:rPr>
        <w:t xml:space="preserve"> wind conditions, and rapidly expanding renewable-energy infrastructure (Pfenninger et al., 201</w:t>
      </w:r>
      <w:r w:rsidR="00A3457A" w:rsidRPr="00141EEA">
        <w:rPr>
          <w:rFonts w:ascii="Times New Roman" w:hAnsi="Times New Roman" w:cs="Times New Roman"/>
          <w:sz w:val="20"/>
          <w:szCs w:val="20"/>
        </w:rPr>
        <w:t>4</w:t>
      </w:r>
      <w:r w:rsidRPr="00141EEA">
        <w:rPr>
          <w:rFonts w:ascii="Times New Roman" w:hAnsi="Times New Roman" w:cs="Times New Roman"/>
          <w:sz w:val="20"/>
          <w:szCs w:val="20"/>
        </w:rPr>
        <w:t>; Jerez et al., 2015). Nevertheless, the full exploitation of these resources remains constrained by weather and climate variability, as well as by the limited integration of climate information into energy planning and operational decision-making.</w:t>
      </w:r>
    </w:p>
    <w:p w14:paraId="6101A3EA" w14:textId="77777777" w:rsidR="006C4CA8" w:rsidRPr="00141EEA" w:rsidRDefault="006C4CA8" w:rsidP="006C4CA8">
      <w:pPr>
        <w:jc w:val="both"/>
        <w:rPr>
          <w:rFonts w:ascii="Times New Roman" w:hAnsi="Times New Roman" w:cs="Times New Roman"/>
          <w:sz w:val="20"/>
          <w:szCs w:val="20"/>
        </w:rPr>
      </w:pPr>
      <w:r w:rsidRPr="00141EEA">
        <w:rPr>
          <w:rFonts w:ascii="Times New Roman" w:hAnsi="Times New Roman" w:cs="Times New Roman"/>
          <w:sz w:val="20"/>
          <w:szCs w:val="20"/>
        </w:rPr>
        <w:t>Renewable-energy production and electricity demand are strongly influenced by atmospheric conditions across timescales ranging from days to decades. Short-term weather variability affects electricity generation and grid stability, seasonal fluctuations influence energy availability, maintenance planning and demand, while long-term climate change is expected to alter renewable-energy resources through changes in temperature, cloudiness, wind regimes and the frequency of extreme events (Craig et al., 2019; IPCC, 2023). Consequently, reliable climate information—from seasonal forecasts and decadal predictions to long-term climate projections—is increasingly required to support renewable-energy planning, system operation and infrastructure investment.</w:t>
      </w:r>
    </w:p>
    <w:p w14:paraId="16FA2020" w14:textId="77777777" w:rsidR="006C4CA8" w:rsidRPr="00141EEA" w:rsidRDefault="006C4CA8" w:rsidP="006C4CA8">
      <w:pPr>
        <w:jc w:val="both"/>
        <w:rPr>
          <w:rFonts w:ascii="Times New Roman" w:hAnsi="Times New Roman" w:cs="Times New Roman"/>
          <w:sz w:val="20"/>
          <w:szCs w:val="20"/>
        </w:rPr>
      </w:pPr>
      <w:r w:rsidRPr="00141EEA">
        <w:rPr>
          <w:rFonts w:ascii="Times New Roman" w:hAnsi="Times New Roman" w:cs="Times New Roman"/>
          <w:sz w:val="20"/>
          <w:szCs w:val="20"/>
        </w:rPr>
        <w:t xml:space="preserve">The growing need for climate-informed decision-making has led to the development of climate services, which transform scientific knowledge into actionable information tailored to the needs of specific sectors (Vaughan and </w:t>
      </w:r>
      <w:proofErr w:type="spellStart"/>
      <w:r w:rsidRPr="00141EEA">
        <w:rPr>
          <w:rFonts w:ascii="Times New Roman" w:hAnsi="Times New Roman" w:cs="Times New Roman"/>
          <w:sz w:val="20"/>
          <w:szCs w:val="20"/>
        </w:rPr>
        <w:t>Dessai</w:t>
      </w:r>
      <w:proofErr w:type="spellEnd"/>
      <w:r w:rsidRPr="00141EEA">
        <w:rPr>
          <w:rFonts w:ascii="Times New Roman" w:hAnsi="Times New Roman" w:cs="Times New Roman"/>
          <w:sz w:val="20"/>
          <w:szCs w:val="20"/>
        </w:rPr>
        <w:t>, 2014; Hewitt et al., 2020). By translating complex climate datasets into user-oriented products and indicators, climate services support evidence-based decisions related to renewable-energy production, electricity demand, infrastructure design, system operation and climate-change adaptation.</w:t>
      </w:r>
    </w:p>
    <w:p w14:paraId="14AF367B" w14:textId="77777777" w:rsidR="006C4CA8" w:rsidRPr="00141EEA" w:rsidRDefault="006C4CA8" w:rsidP="006C4CA8">
      <w:pPr>
        <w:jc w:val="both"/>
        <w:rPr>
          <w:rFonts w:ascii="Times New Roman" w:hAnsi="Times New Roman" w:cs="Times New Roman"/>
          <w:sz w:val="20"/>
          <w:szCs w:val="20"/>
        </w:rPr>
      </w:pPr>
      <w:r w:rsidRPr="00141EEA">
        <w:rPr>
          <w:rFonts w:ascii="Times New Roman" w:hAnsi="Times New Roman" w:cs="Times New Roman"/>
          <w:sz w:val="20"/>
          <w:szCs w:val="20"/>
        </w:rPr>
        <w:t xml:space="preserve">The European Copernicus </w:t>
      </w:r>
      <w:proofErr w:type="spellStart"/>
      <w:r w:rsidRPr="00141EEA">
        <w:rPr>
          <w:rFonts w:ascii="Times New Roman" w:hAnsi="Times New Roman" w:cs="Times New Roman"/>
          <w:sz w:val="20"/>
          <w:szCs w:val="20"/>
        </w:rPr>
        <w:t>Programme</w:t>
      </w:r>
      <w:proofErr w:type="spellEnd"/>
      <w:r w:rsidRPr="00141EEA">
        <w:rPr>
          <w:rFonts w:ascii="Times New Roman" w:hAnsi="Times New Roman" w:cs="Times New Roman"/>
          <w:sz w:val="20"/>
          <w:szCs w:val="20"/>
        </w:rPr>
        <w:t xml:space="preserve"> provides one of the world's most comprehensive operational frameworks for environmental information through a suite of thematic services. Among these, the Copernicus Climate Change Service (C3S) delivers freely accessible climate observations, reanalysis datasets, seasonal forecasts and climate projections, together with tools that facilitate their application across a broad range of socio-economic sectors (Buontempo et al., 2022). These products underpin numerous applications, including climate adaptation, risk assessment and renewable-energy planning.</w:t>
      </w:r>
    </w:p>
    <w:p w14:paraId="20C9D1C5" w14:textId="54496606" w:rsidR="006C4CA8" w:rsidRPr="00141EEA" w:rsidRDefault="006C4CA8" w:rsidP="003511C7">
      <w:pPr>
        <w:jc w:val="both"/>
        <w:rPr>
          <w:rFonts w:ascii="Times New Roman" w:hAnsi="Times New Roman" w:cs="Times New Roman"/>
          <w:sz w:val="20"/>
          <w:szCs w:val="20"/>
        </w:rPr>
      </w:pPr>
      <w:r w:rsidRPr="00141EEA">
        <w:rPr>
          <w:rFonts w:ascii="Times New Roman" w:hAnsi="Times New Roman" w:cs="Times New Roman"/>
          <w:sz w:val="20"/>
          <w:szCs w:val="20"/>
        </w:rPr>
        <w:t>Complementing C3S, the Copernicus Atmosphere Monitoring Service (CAMS) provides operational information on atmospheric composition and surface solar radiation, both of which directly influence photovoltaic performance (</w:t>
      </w:r>
      <w:r w:rsidR="003511C7" w:rsidRPr="00141EEA">
        <w:rPr>
          <w:rFonts w:ascii="Times New Roman" w:hAnsi="Times New Roman" w:cs="Times New Roman"/>
          <w:sz w:val="20"/>
          <w:szCs w:val="20"/>
        </w:rPr>
        <w:t>Antonanzas-Torres et al., 2019</w:t>
      </w:r>
      <w:r w:rsidRPr="00141EEA">
        <w:rPr>
          <w:rFonts w:ascii="Times New Roman" w:hAnsi="Times New Roman" w:cs="Times New Roman"/>
          <w:sz w:val="20"/>
          <w:szCs w:val="20"/>
        </w:rPr>
        <w:t xml:space="preserve">; </w:t>
      </w:r>
      <w:r w:rsidR="003511C7" w:rsidRPr="00141EEA">
        <w:rPr>
          <w:rFonts w:ascii="Times New Roman" w:hAnsi="Times New Roman" w:cs="Times New Roman"/>
          <w:sz w:val="20"/>
          <w:szCs w:val="20"/>
        </w:rPr>
        <w:t>CAMS</w:t>
      </w:r>
      <w:r w:rsidRPr="00141EEA">
        <w:rPr>
          <w:rFonts w:ascii="Times New Roman" w:hAnsi="Times New Roman" w:cs="Times New Roman"/>
          <w:sz w:val="20"/>
          <w:szCs w:val="20"/>
        </w:rPr>
        <w:t>, 202</w:t>
      </w:r>
      <w:r w:rsidR="003511C7" w:rsidRPr="00141EEA">
        <w:rPr>
          <w:rFonts w:ascii="Times New Roman" w:hAnsi="Times New Roman" w:cs="Times New Roman"/>
          <w:sz w:val="20"/>
          <w:szCs w:val="20"/>
        </w:rPr>
        <w:t>0</w:t>
      </w:r>
      <w:r w:rsidRPr="00141EEA">
        <w:rPr>
          <w:rFonts w:ascii="Times New Roman" w:hAnsi="Times New Roman" w:cs="Times New Roman"/>
          <w:sz w:val="20"/>
          <w:szCs w:val="20"/>
        </w:rPr>
        <w:t>). The combination of C3S climate products with CAMS atmospheric information enables more realistic estimates of renewable-energy production by accounting for the effects of aerosols, clouds and other atmospheric constituents on solar-energy yield.</w:t>
      </w:r>
    </w:p>
    <w:p w14:paraId="7981382C" w14:textId="77777777" w:rsidR="006C4CA8" w:rsidRPr="00141EEA" w:rsidRDefault="006C4CA8" w:rsidP="006C4CA8">
      <w:pPr>
        <w:jc w:val="both"/>
        <w:rPr>
          <w:rFonts w:ascii="Times New Roman" w:hAnsi="Times New Roman" w:cs="Times New Roman"/>
          <w:sz w:val="20"/>
          <w:szCs w:val="20"/>
        </w:rPr>
      </w:pPr>
      <w:r w:rsidRPr="00141EEA">
        <w:rPr>
          <w:rFonts w:ascii="Times New Roman" w:hAnsi="Times New Roman" w:cs="Times New Roman"/>
          <w:sz w:val="20"/>
          <w:szCs w:val="20"/>
        </w:rPr>
        <w:t>Despite the availability of these high-quality datasets, transforming climate and atmospheric information into operational decision-support tools remains a significant challenge. Energy companies, system operators, investors, regional authorities and policy makers require climate information translated into sector-specific indicators at appropriate spatial and temporal scales. Bridging the gap between advanced Earth-system datasets and practical energy applications therefore requires climate services that combine scientific expertise with stakeholder needs and application-oriented methodologies (Bruno Soares et al., 2018).</w:t>
      </w:r>
    </w:p>
    <w:p w14:paraId="6D16A40C" w14:textId="6005A339" w:rsidR="006C4CA8" w:rsidRPr="00141EEA" w:rsidRDefault="006C4CA8" w:rsidP="006702EE">
      <w:pPr>
        <w:jc w:val="both"/>
        <w:rPr>
          <w:rFonts w:ascii="Times New Roman" w:hAnsi="Times New Roman" w:cs="Times New Roman"/>
          <w:sz w:val="20"/>
          <w:szCs w:val="20"/>
        </w:rPr>
      </w:pPr>
      <w:r w:rsidRPr="00141EEA">
        <w:rPr>
          <w:rFonts w:ascii="Times New Roman" w:hAnsi="Times New Roman" w:cs="Times New Roman"/>
          <w:sz w:val="20"/>
          <w:szCs w:val="20"/>
        </w:rPr>
        <w:t xml:space="preserve">In Greece, the Copernicus Climate Change Service National Collaboration </w:t>
      </w:r>
      <w:proofErr w:type="spellStart"/>
      <w:r w:rsidRPr="00141EEA">
        <w:rPr>
          <w:rFonts w:ascii="Times New Roman" w:hAnsi="Times New Roman" w:cs="Times New Roman"/>
          <w:sz w:val="20"/>
          <w:szCs w:val="20"/>
        </w:rPr>
        <w:t>Programme</w:t>
      </w:r>
      <w:proofErr w:type="spellEnd"/>
      <w:r w:rsidRPr="00141EEA">
        <w:rPr>
          <w:rFonts w:ascii="Times New Roman" w:hAnsi="Times New Roman" w:cs="Times New Roman"/>
          <w:sz w:val="20"/>
          <w:szCs w:val="20"/>
        </w:rPr>
        <w:t xml:space="preserve"> (C3S NCP Greece) addresses this challenge by promoting the uptake of Copernicus climate information through the development of operational climate services tailored to national stakeholders. One of its principal outcomes is </w:t>
      </w:r>
      <w:proofErr w:type="spellStart"/>
      <w:r w:rsidRPr="00141EEA">
        <w:rPr>
          <w:rFonts w:ascii="Times New Roman" w:hAnsi="Times New Roman" w:cs="Times New Roman"/>
          <w:sz w:val="20"/>
          <w:szCs w:val="20"/>
        </w:rPr>
        <w:t>ClimateHub</w:t>
      </w:r>
      <w:proofErr w:type="spellEnd"/>
      <w:r w:rsidRPr="00141EEA">
        <w:rPr>
          <w:rFonts w:ascii="Times New Roman" w:hAnsi="Times New Roman" w:cs="Times New Roman"/>
          <w:sz w:val="20"/>
          <w:szCs w:val="20"/>
        </w:rPr>
        <w:t xml:space="preserve">, an online platform that provides seasonal and decadal predictions of renewable-energy production and electricity </w:t>
      </w:r>
      <w:r w:rsidRPr="00141EEA">
        <w:rPr>
          <w:rFonts w:ascii="Times New Roman" w:hAnsi="Times New Roman" w:cs="Times New Roman"/>
          <w:sz w:val="20"/>
          <w:szCs w:val="20"/>
        </w:rPr>
        <w:lastRenderedPageBreak/>
        <w:t>demand, facilitating access to climate intelligence for decision-makers and supporting climate-informed energy planning at the national scale.</w:t>
      </w:r>
      <w:r w:rsidR="006702EE" w:rsidRPr="00141EEA">
        <w:rPr>
          <w:rFonts w:ascii="Times New Roman" w:hAnsi="Times New Roman" w:cs="Times New Roman"/>
          <w:sz w:val="20"/>
          <w:szCs w:val="20"/>
        </w:rPr>
        <w:t xml:space="preserve"> </w:t>
      </w:r>
      <w:r w:rsidRPr="00141EEA">
        <w:rPr>
          <w:rFonts w:ascii="Times New Roman" w:hAnsi="Times New Roman" w:cs="Times New Roman"/>
          <w:sz w:val="20"/>
          <w:szCs w:val="20"/>
        </w:rPr>
        <w:t xml:space="preserve">Building upon this operational framework, the ReEnergy-MED project extends the use of Copernicus climate and atmospheric products to site-specific renewable-energy applications across the Mediterranean. </w:t>
      </w:r>
    </w:p>
    <w:p w14:paraId="18A062F6" w14:textId="77777777" w:rsidR="006C4CA8" w:rsidRPr="00141EEA" w:rsidRDefault="006C4CA8" w:rsidP="006C4CA8">
      <w:pPr>
        <w:jc w:val="both"/>
        <w:rPr>
          <w:rFonts w:ascii="Times New Roman" w:hAnsi="Times New Roman" w:cs="Times New Roman"/>
          <w:sz w:val="20"/>
          <w:szCs w:val="20"/>
        </w:rPr>
      </w:pPr>
      <w:r w:rsidRPr="00141EEA">
        <w:rPr>
          <w:rFonts w:ascii="Times New Roman" w:hAnsi="Times New Roman" w:cs="Times New Roman"/>
          <w:sz w:val="20"/>
          <w:szCs w:val="20"/>
        </w:rPr>
        <w:t>This paper presents the complementary roles of C3S NCP Greece and ReEnergy-MED in advancing climate-informed renewable-energy services. While C3S NCP Greece provides operational climate services and facilitates user access to Copernicus climate information at the national level, ReEnergy-MED extends these capabilities through regional downscaling, atmospheric information and photovoltaic modelling for site-specific applications. Together, the two initiatives demonstrate a coherent and transferable framework that transforms Copernicus climate and atmospheric data into operational decision-support tools, supporting renewable-energy planning, strengthening climate resilience and accelerating the clean-energy transition across the Mediterranean region.</w:t>
      </w:r>
    </w:p>
    <w:p w14:paraId="1542B13E" w14:textId="77777777" w:rsidR="006C4CA8" w:rsidRDefault="006C4CA8"/>
    <w:p w14:paraId="70B773EF" w14:textId="15B3AD60" w:rsidR="006C4CA8" w:rsidRPr="00141EEA" w:rsidRDefault="006C4CA8" w:rsidP="00141EEA">
      <w:pPr>
        <w:jc w:val="center"/>
        <w:rPr>
          <w:rFonts w:ascii="Arial" w:hAnsi="Arial" w:cs="Arial"/>
          <w:b/>
          <w:bCs/>
          <w:sz w:val="20"/>
          <w:szCs w:val="20"/>
        </w:rPr>
      </w:pPr>
      <w:r w:rsidRPr="00141EEA">
        <w:rPr>
          <w:rFonts w:ascii="Arial" w:hAnsi="Arial" w:cs="Arial"/>
          <w:b/>
          <w:bCs/>
          <w:sz w:val="20"/>
          <w:szCs w:val="20"/>
        </w:rPr>
        <w:t>2. Data and methods</w:t>
      </w:r>
    </w:p>
    <w:p w14:paraId="2E8611C8" w14:textId="77777777" w:rsidR="006C4CA8" w:rsidRPr="00141EEA" w:rsidRDefault="006C4CA8" w:rsidP="00141EEA">
      <w:pPr>
        <w:jc w:val="center"/>
        <w:rPr>
          <w:rFonts w:ascii="Arial" w:hAnsi="Arial" w:cs="Arial"/>
          <w:i/>
          <w:iCs/>
          <w:sz w:val="20"/>
          <w:szCs w:val="20"/>
        </w:rPr>
      </w:pPr>
      <w:r w:rsidRPr="00141EEA">
        <w:rPr>
          <w:rFonts w:ascii="Arial" w:hAnsi="Arial" w:cs="Arial"/>
          <w:i/>
          <w:iCs/>
          <w:sz w:val="20"/>
          <w:szCs w:val="20"/>
        </w:rPr>
        <w:t>2.1. Climate information for renewable energy</w:t>
      </w:r>
    </w:p>
    <w:p w14:paraId="6864EF62" w14:textId="77777777" w:rsidR="006C4CA8" w:rsidRPr="00141EEA" w:rsidRDefault="006C4CA8" w:rsidP="00141EEA">
      <w:pPr>
        <w:jc w:val="center"/>
        <w:rPr>
          <w:rFonts w:ascii="Arial" w:hAnsi="Arial" w:cs="Arial"/>
          <w:i/>
          <w:iCs/>
          <w:sz w:val="20"/>
          <w:szCs w:val="20"/>
        </w:rPr>
      </w:pPr>
      <w:r w:rsidRPr="00141EEA">
        <w:rPr>
          <w:rFonts w:ascii="Arial" w:hAnsi="Arial" w:cs="Arial"/>
          <w:i/>
          <w:iCs/>
          <w:sz w:val="20"/>
          <w:szCs w:val="20"/>
        </w:rPr>
        <w:t>2.1.1. Climate and atmospheric variables relevant to renewable energy</w:t>
      </w:r>
    </w:p>
    <w:p w14:paraId="0340789E" w14:textId="77777777" w:rsidR="006C4CA8" w:rsidRPr="00141EEA" w:rsidRDefault="006C4CA8" w:rsidP="006C4CA8">
      <w:pPr>
        <w:jc w:val="both"/>
        <w:rPr>
          <w:rFonts w:ascii="Times New Roman" w:hAnsi="Times New Roman" w:cs="Times New Roman"/>
          <w:sz w:val="20"/>
          <w:szCs w:val="20"/>
        </w:rPr>
      </w:pPr>
      <w:r w:rsidRPr="00141EEA">
        <w:rPr>
          <w:rFonts w:ascii="Times New Roman" w:hAnsi="Times New Roman" w:cs="Times New Roman"/>
          <w:sz w:val="20"/>
          <w:szCs w:val="20"/>
        </w:rPr>
        <w:t>Renewable-energy production is strongly influenced by meteorological and atmospheric conditions across a wide range of temporal and spatial scales. The key variables controlling photovoltaic (PV) energy generation include surface solar radiation, air temperature, cloud cover and atmospheric aerosols, while wind speed is the primary driver of wind-power production. Air temperature also plays a major role in determining electricity demand through heating and cooling requirements, making it an essential variable for both energy production and consumption analyses.</w:t>
      </w:r>
    </w:p>
    <w:p w14:paraId="5B5FFC18" w14:textId="418354AB" w:rsidR="006C4CA8" w:rsidRPr="00141EEA" w:rsidRDefault="006C4CA8" w:rsidP="006C4CA8">
      <w:pPr>
        <w:jc w:val="both"/>
        <w:rPr>
          <w:rFonts w:ascii="Times New Roman" w:hAnsi="Times New Roman" w:cs="Times New Roman"/>
          <w:sz w:val="20"/>
          <w:szCs w:val="20"/>
        </w:rPr>
      </w:pPr>
      <w:r w:rsidRPr="00141EEA">
        <w:rPr>
          <w:rFonts w:ascii="Times New Roman" w:hAnsi="Times New Roman" w:cs="Times New Roman"/>
          <w:sz w:val="20"/>
          <w:szCs w:val="20"/>
        </w:rPr>
        <w:t xml:space="preserve">Surface solar radiation determines the amount of energy available for electricity generation and therefore represents the principal input to PV performance models. Air temperature affects photovoltaic conversion efficiency, with increasing module temperatures generally reducing electricity production. Cloud cover modifies incoming solar radiation </w:t>
      </w:r>
      <w:r w:rsidRPr="00AA410F">
        <w:rPr>
          <w:rFonts w:ascii="Times New Roman" w:hAnsi="Times New Roman" w:cs="Times New Roman"/>
          <w:sz w:val="20"/>
          <w:szCs w:val="20"/>
        </w:rPr>
        <w:t>through absorption and scattering processes, whereas atmospheric aerosols further influence solar irradiance by attenuating and redistributing solar radiation. These atmospheric effects are particularly important in the Mediterranean region, where aerosol concentrations frequently vary due to desert dust transport, biomass burning and anthropogenic emissions (</w:t>
      </w:r>
      <w:r w:rsidR="00A646AA" w:rsidRPr="00AA410F">
        <w:rPr>
          <w:rFonts w:ascii="Times New Roman" w:hAnsi="Times New Roman" w:cs="Times New Roman"/>
          <w:sz w:val="20"/>
          <w:szCs w:val="20"/>
        </w:rPr>
        <w:t>Gutiérrez et al.,</w:t>
      </w:r>
      <w:r w:rsidRPr="00AA410F">
        <w:rPr>
          <w:rFonts w:ascii="Times New Roman" w:hAnsi="Times New Roman" w:cs="Times New Roman"/>
          <w:sz w:val="20"/>
          <w:szCs w:val="20"/>
        </w:rPr>
        <w:t xml:space="preserve"> 20</w:t>
      </w:r>
      <w:r w:rsidR="00A646AA" w:rsidRPr="00AA410F">
        <w:rPr>
          <w:rFonts w:ascii="Times New Roman" w:hAnsi="Times New Roman" w:cs="Times New Roman"/>
          <w:sz w:val="20"/>
          <w:szCs w:val="20"/>
        </w:rPr>
        <w:t>18</w:t>
      </w:r>
      <w:r w:rsidRPr="00AA410F">
        <w:rPr>
          <w:rFonts w:ascii="Times New Roman" w:hAnsi="Times New Roman" w:cs="Times New Roman"/>
          <w:sz w:val="20"/>
          <w:szCs w:val="20"/>
        </w:rPr>
        <w:t>). For wind-energy applications, near-surface wind speed remains the dominant meteorological variable controlling power production</w:t>
      </w:r>
      <w:r w:rsidRPr="00141EEA">
        <w:rPr>
          <w:rFonts w:ascii="Times New Roman" w:hAnsi="Times New Roman" w:cs="Times New Roman"/>
          <w:sz w:val="20"/>
          <w:szCs w:val="20"/>
        </w:rPr>
        <w:t>.</w:t>
      </w:r>
    </w:p>
    <w:p w14:paraId="0C57157E" w14:textId="77777777" w:rsidR="006C4CA8" w:rsidRDefault="006C4CA8" w:rsidP="006C4CA8">
      <w:pPr>
        <w:jc w:val="both"/>
        <w:rPr>
          <w:rFonts w:ascii="Times New Roman" w:hAnsi="Times New Roman" w:cs="Times New Roman"/>
          <w:sz w:val="20"/>
          <w:szCs w:val="20"/>
        </w:rPr>
      </w:pPr>
      <w:r w:rsidRPr="00141EEA">
        <w:rPr>
          <w:rFonts w:ascii="Times New Roman" w:hAnsi="Times New Roman" w:cs="Times New Roman"/>
          <w:sz w:val="20"/>
          <w:szCs w:val="20"/>
        </w:rPr>
        <w:t xml:space="preserve">Given the strong dependence of renewable-energy systems on climate variability, reliable information is required over timescales ranging from seasonal forecasts to multi-decadal climate projections. Consequently, the climate services presented in this study combine observations, </w:t>
      </w:r>
      <w:proofErr w:type="spellStart"/>
      <w:r w:rsidRPr="00141EEA">
        <w:rPr>
          <w:rFonts w:ascii="Times New Roman" w:hAnsi="Times New Roman" w:cs="Times New Roman"/>
          <w:sz w:val="20"/>
          <w:szCs w:val="20"/>
        </w:rPr>
        <w:t>reanalyses</w:t>
      </w:r>
      <w:proofErr w:type="spellEnd"/>
      <w:r w:rsidRPr="00141EEA">
        <w:rPr>
          <w:rFonts w:ascii="Times New Roman" w:hAnsi="Times New Roman" w:cs="Times New Roman"/>
          <w:sz w:val="20"/>
          <w:szCs w:val="20"/>
        </w:rPr>
        <w:t>, seasonal prediction systems and climate projections to support operational energy management, infrastructure planning and long-term investment decisions.</w:t>
      </w:r>
    </w:p>
    <w:p w14:paraId="03E0350E" w14:textId="77777777" w:rsidR="006C4CA8" w:rsidRPr="00141EEA" w:rsidRDefault="006C4CA8" w:rsidP="00141EEA">
      <w:pPr>
        <w:jc w:val="center"/>
        <w:rPr>
          <w:rFonts w:ascii="Arial" w:hAnsi="Arial" w:cs="Arial"/>
          <w:i/>
          <w:iCs/>
          <w:sz w:val="20"/>
          <w:szCs w:val="20"/>
        </w:rPr>
      </w:pPr>
      <w:r w:rsidRPr="00141EEA">
        <w:rPr>
          <w:rFonts w:ascii="Arial" w:hAnsi="Arial" w:cs="Arial"/>
          <w:i/>
          <w:iCs/>
          <w:sz w:val="20"/>
          <w:szCs w:val="20"/>
        </w:rPr>
        <w:t>2.1.2. Copernicus datasets and ancillary data</w:t>
      </w:r>
    </w:p>
    <w:p w14:paraId="4B6008FE" w14:textId="77777777" w:rsidR="006C4CA8" w:rsidRPr="00141EEA" w:rsidRDefault="006C4CA8" w:rsidP="006C4CA8">
      <w:pPr>
        <w:jc w:val="both"/>
        <w:rPr>
          <w:rFonts w:ascii="Times New Roman" w:hAnsi="Times New Roman" w:cs="Times New Roman"/>
          <w:sz w:val="20"/>
          <w:szCs w:val="20"/>
        </w:rPr>
      </w:pPr>
      <w:r w:rsidRPr="00141EEA">
        <w:rPr>
          <w:rFonts w:ascii="Times New Roman" w:hAnsi="Times New Roman" w:cs="Times New Roman"/>
          <w:sz w:val="20"/>
          <w:szCs w:val="20"/>
        </w:rPr>
        <w:t xml:space="preserve">The climate services developed within the C3S National Collaboration </w:t>
      </w:r>
      <w:proofErr w:type="spellStart"/>
      <w:r w:rsidRPr="00141EEA">
        <w:rPr>
          <w:rFonts w:ascii="Times New Roman" w:hAnsi="Times New Roman" w:cs="Times New Roman"/>
          <w:sz w:val="20"/>
          <w:szCs w:val="20"/>
        </w:rPr>
        <w:t>Programme</w:t>
      </w:r>
      <w:proofErr w:type="spellEnd"/>
      <w:r w:rsidRPr="00141EEA">
        <w:rPr>
          <w:rFonts w:ascii="Times New Roman" w:hAnsi="Times New Roman" w:cs="Times New Roman"/>
          <w:sz w:val="20"/>
          <w:szCs w:val="20"/>
        </w:rPr>
        <w:t xml:space="preserve"> (C3S NCP Greece) and the ReEnergy-MED project are primarily based on datasets provided by the Copernicus Climate Change Service (C3S) and the Copernicus Atmosphere Monitoring Service (CAMS), complemented by electricity-demand records and ground-based observations.</w:t>
      </w:r>
    </w:p>
    <w:p w14:paraId="3E45C6E0" w14:textId="77777777" w:rsidR="006C4CA8" w:rsidRPr="00141EEA" w:rsidRDefault="006C4CA8" w:rsidP="006C4CA8">
      <w:pPr>
        <w:jc w:val="both"/>
        <w:rPr>
          <w:rFonts w:ascii="Times New Roman" w:hAnsi="Times New Roman" w:cs="Times New Roman"/>
          <w:sz w:val="20"/>
          <w:szCs w:val="20"/>
        </w:rPr>
      </w:pPr>
      <w:r w:rsidRPr="00141EEA">
        <w:rPr>
          <w:rFonts w:ascii="Times New Roman" w:hAnsi="Times New Roman" w:cs="Times New Roman"/>
          <w:sz w:val="20"/>
          <w:szCs w:val="20"/>
        </w:rPr>
        <w:t xml:space="preserve">Historical climate conditions are represented using the ERA5 and ERA5-Land reanalysis datasets, which provide spatially and temporally consistent meteorological variables for climatological analyses, model calibration and bias </w:t>
      </w:r>
      <w:r w:rsidRPr="00141EEA">
        <w:rPr>
          <w:rFonts w:ascii="Times New Roman" w:hAnsi="Times New Roman" w:cs="Times New Roman"/>
          <w:sz w:val="20"/>
          <w:szCs w:val="20"/>
        </w:rPr>
        <w:lastRenderedPageBreak/>
        <w:t>adjustment. Seasonal predictions are obtained from the ECMWF SEAS5 forecasting system, while future climate conditions are assessed using CMIP6 global climate model projections under multiple Shared Socioeconomic Pathways (SSPs). For applications requiring enhanced spatial detail, particularly over the complex terrain and small islands of the Mediterranean, ReEnergy-MED additionally employs the high-resolution CERRA regional reanalysis.</w:t>
      </w:r>
    </w:p>
    <w:p w14:paraId="15EB479C" w14:textId="77777777" w:rsidR="006C4CA8" w:rsidRPr="00141EEA" w:rsidRDefault="006C4CA8" w:rsidP="006C4CA8">
      <w:pPr>
        <w:jc w:val="both"/>
        <w:rPr>
          <w:rFonts w:ascii="Times New Roman" w:hAnsi="Times New Roman" w:cs="Times New Roman"/>
          <w:sz w:val="20"/>
          <w:szCs w:val="20"/>
        </w:rPr>
      </w:pPr>
      <w:r w:rsidRPr="00141EEA">
        <w:rPr>
          <w:rFonts w:ascii="Times New Roman" w:hAnsi="Times New Roman" w:cs="Times New Roman"/>
          <w:sz w:val="20"/>
          <w:szCs w:val="20"/>
        </w:rPr>
        <w:t xml:space="preserve">Unlike </w:t>
      </w:r>
      <w:proofErr w:type="spellStart"/>
      <w:r w:rsidRPr="00141EEA">
        <w:rPr>
          <w:rFonts w:ascii="Times New Roman" w:hAnsi="Times New Roman" w:cs="Times New Roman"/>
          <w:sz w:val="20"/>
          <w:szCs w:val="20"/>
        </w:rPr>
        <w:t>ClimateHub</w:t>
      </w:r>
      <w:proofErr w:type="spellEnd"/>
      <w:r w:rsidRPr="00141EEA">
        <w:rPr>
          <w:rFonts w:ascii="Times New Roman" w:hAnsi="Times New Roman" w:cs="Times New Roman"/>
          <w:sz w:val="20"/>
          <w:szCs w:val="20"/>
        </w:rPr>
        <w:t>, ReEnergy-MED also incorporates atmospheric information from CAMS, including surface solar radiation and aerosol products, allowing the explicit representation of atmospheric effects on photovoltaic performance. Electricity-demand analyses in both projects make use of ENTSO-E datasets, while ReEnergy-MED further exploits ground-based solar radiation and photovoltaic production measurements for model calibration and validation.</w:t>
      </w:r>
    </w:p>
    <w:p w14:paraId="7E26E30A" w14:textId="77777777" w:rsidR="006C4CA8" w:rsidRPr="00141EEA" w:rsidRDefault="006C4CA8" w:rsidP="006C4CA8">
      <w:pPr>
        <w:jc w:val="both"/>
        <w:rPr>
          <w:rFonts w:ascii="Times New Roman" w:hAnsi="Times New Roman" w:cs="Times New Roman"/>
          <w:sz w:val="20"/>
          <w:szCs w:val="20"/>
        </w:rPr>
      </w:pPr>
      <w:r w:rsidRPr="00141EEA">
        <w:rPr>
          <w:rFonts w:ascii="Times New Roman" w:hAnsi="Times New Roman" w:cs="Times New Roman"/>
          <w:sz w:val="20"/>
          <w:szCs w:val="20"/>
        </w:rPr>
        <w:t xml:space="preserve">Although both initiatives rely on a common Copernicus framework, they differ in their scope and implementation. </w:t>
      </w:r>
      <w:proofErr w:type="spellStart"/>
      <w:r w:rsidRPr="00141EEA">
        <w:rPr>
          <w:rFonts w:ascii="Times New Roman" w:hAnsi="Times New Roman" w:cs="Times New Roman"/>
          <w:sz w:val="20"/>
          <w:szCs w:val="20"/>
        </w:rPr>
        <w:t>ClimateHub</w:t>
      </w:r>
      <w:proofErr w:type="spellEnd"/>
      <w:r w:rsidRPr="00141EEA">
        <w:rPr>
          <w:rFonts w:ascii="Times New Roman" w:hAnsi="Times New Roman" w:cs="Times New Roman"/>
          <w:sz w:val="20"/>
          <w:szCs w:val="20"/>
        </w:rPr>
        <w:t xml:space="preserve"> focuses on the operational delivery of climate services at the national scale using </w:t>
      </w:r>
      <w:proofErr w:type="spellStart"/>
      <w:r w:rsidRPr="00141EEA">
        <w:rPr>
          <w:rFonts w:ascii="Times New Roman" w:hAnsi="Times New Roman" w:cs="Times New Roman"/>
          <w:sz w:val="20"/>
          <w:szCs w:val="20"/>
        </w:rPr>
        <w:t>harmonised</w:t>
      </w:r>
      <w:proofErr w:type="spellEnd"/>
      <w:r w:rsidRPr="00141EEA">
        <w:rPr>
          <w:rFonts w:ascii="Times New Roman" w:hAnsi="Times New Roman" w:cs="Times New Roman"/>
          <w:sz w:val="20"/>
          <w:szCs w:val="20"/>
        </w:rPr>
        <w:t xml:space="preserve"> Copernicus datasets, whereas ReEnergy-MED extends these capabilities through higher-resolution products, atmospheric information and site-specific validation to support renewable-energy applications across the Mediterranean.</w:t>
      </w:r>
    </w:p>
    <w:p w14:paraId="34E0FFC1" w14:textId="77777777" w:rsidR="006C4CA8" w:rsidRPr="00141EEA" w:rsidRDefault="006C4CA8" w:rsidP="006C4CA8">
      <w:pPr>
        <w:jc w:val="both"/>
        <w:rPr>
          <w:rFonts w:ascii="Times New Roman" w:hAnsi="Times New Roman" w:cs="Times New Roman"/>
          <w:b/>
          <w:bCs/>
          <w:sz w:val="16"/>
          <w:szCs w:val="16"/>
        </w:rPr>
      </w:pPr>
      <w:r w:rsidRPr="00141EEA">
        <w:rPr>
          <w:rFonts w:ascii="Times New Roman" w:hAnsi="Times New Roman" w:cs="Times New Roman"/>
          <w:b/>
          <w:bCs/>
          <w:sz w:val="16"/>
          <w:szCs w:val="16"/>
        </w:rPr>
        <w:t xml:space="preserve">Table 1. Main datasets used by the C3S NCP Greece </w:t>
      </w:r>
      <w:proofErr w:type="spellStart"/>
      <w:r w:rsidRPr="00141EEA">
        <w:rPr>
          <w:rFonts w:ascii="Times New Roman" w:hAnsi="Times New Roman" w:cs="Times New Roman"/>
          <w:b/>
          <w:bCs/>
          <w:sz w:val="16"/>
          <w:szCs w:val="16"/>
        </w:rPr>
        <w:t>ClimateHub</w:t>
      </w:r>
      <w:proofErr w:type="spellEnd"/>
      <w:r w:rsidRPr="00141EEA">
        <w:rPr>
          <w:rFonts w:ascii="Times New Roman" w:hAnsi="Times New Roman" w:cs="Times New Roman"/>
          <w:b/>
          <w:bCs/>
          <w:sz w:val="16"/>
          <w:szCs w:val="16"/>
        </w:rPr>
        <w:t xml:space="preserve"> and ReEnergy-MED climate services.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256"/>
        <w:gridCol w:w="1763"/>
        <w:gridCol w:w="1057"/>
        <w:gridCol w:w="4013"/>
      </w:tblGrid>
      <w:tr w:rsidR="00361478" w:rsidRPr="00361478" w14:paraId="34ACFD1B" w14:textId="77777777" w:rsidTr="00361478">
        <w:trPr>
          <w:tblHeader/>
          <w:tblCellSpacing w:w="15" w:type="dxa"/>
        </w:trPr>
        <w:tc>
          <w:tcPr>
            <w:tcW w:w="0" w:type="auto"/>
            <w:vAlign w:val="center"/>
            <w:hideMark/>
          </w:tcPr>
          <w:p w14:paraId="21AB3F61" w14:textId="77777777" w:rsidR="00361478" w:rsidRPr="00141EEA" w:rsidRDefault="00361478" w:rsidP="00361478">
            <w:pPr>
              <w:jc w:val="both"/>
              <w:rPr>
                <w:rFonts w:ascii="Times New Roman" w:hAnsi="Times New Roman" w:cs="Times New Roman"/>
                <w:b/>
                <w:bCs/>
                <w:sz w:val="16"/>
                <w:szCs w:val="16"/>
              </w:rPr>
            </w:pPr>
            <w:r w:rsidRPr="00141EEA">
              <w:rPr>
                <w:rFonts w:ascii="Times New Roman" w:hAnsi="Times New Roman" w:cs="Times New Roman"/>
                <w:b/>
                <w:bCs/>
                <w:sz w:val="16"/>
                <w:szCs w:val="16"/>
              </w:rPr>
              <w:t>Dataset</w:t>
            </w:r>
          </w:p>
        </w:tc>
        <w:tc>
          <w:tcPr>
            <w:tcW w:w="0" w:type="auto"/>
            <w:vAlign w:val="center"/>
            <w:hideMark/>
          </w:tcPr>
          <w:p w14:paraId="41AB1DD7" w14:textId="77777777" w:rsidR="00361478" w:rsidRPr="00141EEA" w:rsidRDefault="00361478" w:rsidP="00361478">
            <w:pPr>
              <w:jc w:val="both"/>
              <w:rPr>
                <w:rFonts w:ascii="Times New Roman" w:hAnsi="Times New Roman" w:cs="Times New Roman"/>
                <w:b/>
                <w:bCs/>
                <w:sz w:val="16"/>
                <w:szCs w:val="16"/>
              </w:rPr>
            </w:pPr>
            <w:proofErr w:type="spellStart"/>
            <w:r w:rsidRPr="00141EEA">
              <w:rPr>
                <w:rFonts w:ascii="Times New Roman" w:hAnsi="Times New Roman" w:cs="Times New Roman"/>
                <w:b/>
                <w:bCs/>
                <w:sz w:val="16"/>
                <w:szCs w:val="16"/>
              </w:rPr>
              <w:t>ClimateHub</w:t>
            </w:r>
            <w:proofErr w:type="spellEnd"/>
            <w:r w:rsidRPr="00141EEA">
              <w:rPr>
                <w:rFonts w:ascii="Times New Roman" w:hAnsi="Times New Roman" w:cs="Times New Roman"/>
                <w:b/>
                <w:bCs/>
                <w:sz w:val="16"/>
                <w:szCs w:val="16"/>
              </w:rPr>
              <w:t xml:space="preserve"> (C3S NCP Greece)</w:t>
            </w:r>
          </w:p>
        </w:tc>
        <w:tc>
          <w:tcPr>
            <w:tcW w:w="0" w:type="auto"/>
            <w:vAlign w:val="center"/>
            <w:hideMark/>
          </w:tcPr>
          <w:p w14:paraId="5CA4A462" w14:textId="77777777" w:rsidR="00361478" w:rsidRPr="00141EEA" w:rsidRDefault="00361478" w:rsidP="00361478">
            <w:pPr>
              <w:jc w:val="both"/>
              <w:rPr>
                <w:rFonts w:ascii="Times New Roman" w:hAnsi="Times New Roman" w:cs="Times New Roman"/>
                <w:b/>
                <w:bCs/>
                <w:sz w:val="16"/>
                <w:szCs w:val="16"/>
              </w:rPr>
            </w:pPr>
            <w:r w:rsidRPr="00141EEA">
              <w:rPr>
                <w:rFonts w:ascii="Times New Roman" w:hAnsi="Times New Roman" w:cs="Times New Roman"/>
                <w:b/>
                <w:bCs/>
                <w:sz w:val="16"/>
                <w:szCs w:val="16"/>
              </w:rPr>
              <w:t>ReEnergy-MED</w:t>
            </w:r>
          </w:p>
        </w:tc>
        <w:tc>
          <w:tcPr>
            <w:tcW w:w="0" w:type="auto"/>
            <w:vAlign w:val="center"/>
            <w:hideMark/>
          </w:tcPr>
          <w:p w14:paraId="3343374B" w14:textId="77777777" w:rsidR="00361478" w:rsidRPr="00141EEA" w:rsidRDefault="00361478" w:rsidP="00361478">
            <w:pPr>
              <w:jc w:val="both"/>
              <w:rPr>
                <w:rFonts w:ascii="Times New Roman" w:hAnsi="Times New Roman" w:cs="Times New Roman"/>
                <w:b/>
                <w:bCs/>
                <w:sz w:val="16"/>
                <w:szCs w:val="16"/>
              </w:rPr>
            </w:pPr>
            <w:r w:rsidRPr="00141EEA">
              <w:rPr>
                <w:rFonts w:ascii="Times New Roman" w:hAnsi="Times New Roman" w:cs="Times New Roman"/>
                <w:b/>
                <w:bCs/>
                <w:sz w:val="16"/>
                <w:szCs w:val="16"/>
              </w:rPr>
              <w:t>Purpose</w:t>
            </w:r>
          </w:p>
        </w:tc>
      </w:tr>
      <w:tr w:rsidR="00361478" w:rsidRPr="00361478" w14:paraId="5A3F1775" w14:textId="77777777" w:rsidTr="00361478">
        <w:trPr>
          <w:tblCellSpacing w:w="15" w:type="dxa"/>
        </w:trPr>
        <w:tc>
          <w:tcPr>
            <w:tcW w:w="0" w:type="auto"/>
            <w:vAlign w:val="center"/>
            <w:hideMark/>
          </w:tcPr>
          <w:p w14:paraId="6B76CBDF" w14:textId="77777777" w:rsidR="00361478" w:rsidRPr="00141EEA" w:rsidRDefault="00361478" w:rsidP="00361478">
            <w:pPr>
              <w:jc w:val="both"/>
              <w:rPr>
                <w:rFonts w:ascii="Times New Roman" w:hAnsi="Times New Roman" w:cs="Times New Roman"/>
                <w:sz w:val="16"/>
                <w:szCs w:val="16"/>
              </w:rPr>
            </w:pPr>
            <w:r w:rsidRPr="00141EEA">
              <w:rPr>
                <w:rFonts w:ascii="Times New Roman" w:hAnsi="Times New Roman" w:cs="Times New Roman"/>
                <w:sz w:val="16"/>
                <w:szCs w:val="16"/>
              </w:rPr>
              <w:t>ERA5</w:t>
            </w:r>
          </w:p>
        </w:tc>
        <w:tc>
          <w:tcPr>
            <w:tcW w:w="0" w:type="auto"/>
            <w:vAlign w:val="center"/>
            <w:hideMark/>
          </w:tcPr>
          <w:p w14:paraId="47782CC3" w14:textId="77777777" w:rsidR="00361478" w:rsidRPr="00141EEA" w:rsidRDefault="00361478" w:rsidP="00361478">
            <w:pPr>
              <w:jc w:val="both"/>
              <w:rPr>
                <w:rFonts w:ascii="Times New Roman" w:hAnsi="Times New Roman" w:cs="Times New Roman"/>
                <w:sz w:val="16"/>
                <w:szCs w:val="16"/>
              </w:rPr>
            </w:pPr>
            <w:r w:rsidRPr="00141EEA">
              <w:rPr>
                <w:rFonts w:ascii="Segoe UI Symbol" w:hAnsi="Segoe UI Symbol" w:cs="Segoe UI Symbol"/>
                <w:sz w:val="16"/>
                <w:szCs w:val="16"/>
              </w:rPr>
              <w:t>✓</w:t>
            </w:r>
          </w:p>
        </w:tc>
        <w:tc>
          <w:tcPr>
            <w:tcW w:w="0" w:type="auto"/>
            <w:vAlign w:val="center"/>
            <w:hideMark/>
          </w:tcPr>
          <w:p w14:paraId="685A0D54" w14:textId="77777777" w:rsidR="00361478" w:rsidRPr="00141EEA" w:rsidRDefault="00361478" w:rsidP="00361478">
            <w:pPr>
              <w:jc w:val="both"/>
              <w:rPr>
                <w:rFonts w:ascii="Times New Roman" w:hAnsi="Times New Roman" w:cs="Times New Roman"/>
                <w:sz w:val="16"/>
                <w:szCs w:val="16"/>
              </w:rPr>
            </w:pPr>
            <w:r w:rsidRPr="00141EEA">
              <w:rPr>
                <w:rFonts w:ascii="Segoe UI Symbol" w:hAnsi="Segoe UI Symbol" w:cs="Segoe UI Symbol"/>
                <w:sz w:val="16"/>
                <w:szCs w:val="16"/>
              </w:rPr>
              <w:t>✓</w:t>
            </w:r>
          </w:p>
        </w:tc>
        <w:tc>
          <w:tcPr>
            <w:tcW w:w="0" w:type="auto"/>
            <w:vAlign w:val="center"/>
            <w:hideMark/>
          </w:tcPr>
          <w:p w14:paraId="61BE3D35" w14:textId="77777777" w:rsidR="00361478" w:rsidRPr="00141EEA" w:rsidRDefault="00361478" w:rsidP="00361478">
            <w:pPr>
              <w:jc w:val="both"/>
              <w:rPr>
                <w:rFonts w:ascii="Times New Roman" w:hAnsi="Times New Roman" w:cs="Times New Roman"/>
                <w:sz w:val="16"/>
                <w:szCs w:val="16"/>
              </w:rPr>
            </w:pPr>
            <w:r w:rsidRPr="00141EEA">
              <w:rPr>
                <w:rFonts w:ascii="Times New Roman" w:hAnsi="Times New Roman" w:cs="Times New Roman"/>
                <w:sz w:val="16"/>
                <w:szCs w:val="16"/>
              </w:rPr>
              <w:t>Historical climatology, model evaluation and validation</w:t>
            </w:r>
          </w:p>
        </w:tc>
      </w:tr>
      <w:tr w:rsidR="00361478" w:rsidRPr="00361478" w14:paraId="21C0EB11" w14:textId="77777777" w:rsidTr="00361478">
        <w:trPr>
          <w:tblCellSpacing w:w="15" w:type="dxa"/>
        </w:trPr>
        <w:tc>
          <w:tcPr>
            <w:tcW w:w="0" w:type="auto"/>
            <w:vAlign w:val="center"/>
            <w:hideMark/>
          </w:tcPr>
          <w:p w14:paraId="4173D159" w14:textId="77777777" w:rsidR="00361478" w:rsidRPr="00141EEA" w:rsidRDefault="00361478" w:rsidP="00361478">
            <w:pPr>
              <w:jc w:val="both"/>
              <w:rPr>
                <w:rFonts w:ascii="Times New Roman" w:hAnsi="Times New Roman" w:cs="Times New Roman"/>
                <w:sz w:val="16"/>
                <w:szCs w:val="16"/>
              </w:rPr>
            </w:pPr>
            <w:r w:rsidRPr="00141EEA">
              <w:rPr>
                <w:rFonts w:ascii="Times New Roman" w:hAnsi="Times New Roman" w:cs="Times New Roman"/>
                <w:sz w:val="16"/>
                <w:szCs w:val="16"/>
              </w:rPr>
              <w:t>ERA5-Land</w:t>
            </w:r>
          </w:p>
        </w:tc>
        <w:tc>
          <w:tcPr>
            <w:tcW w:w="0" w:type="auto"/>
            <w:vAlign w:val="center"/>
            <w:hideMark/>
          </w:tcPr>
          <w:p w14:paraId="1333281D" w14:textId="77777777" w:rsidR="00361478" w:rsidRPr="00141EEA" w:rsidRDefault="00361478" w:rsidP="00361478">
            <w:pPr>
              <w:jc w:val="both"/>
              <w:rPr>
                <w:rFonts w:ascii="Times New Roman" w:hAnsi="Times New Roman" w:cs="Times New Roman"/>
                <w:sz w:val="16"/>
                <w:szCs w:val="16"/>
              </w:rPr>
            </w:pPr>
            <w:r w:rsidRPr="00141EEA">
              <w:rPr>
                <w:rFonts w:ascii="Segoe UI Symbol" w:hAnsi="Segoe UI Symbol" w:cs="Segoe UI Symbol"/>
                <w:sz w:val="16"/>
                <w:szCs w:val="16"/>
              </w:rPr>
              <w:t>✓</w:t>
            </w:r>
          </w:p>
        </w:tc>
        <w:tc>
          <w:tcPr>
            <w:tcW w:w="0" w:type="auto"/>
            <w:vAlign w:val="center"/>
            <w:hideMark/>
          </w:tcPr>
          <w:p w14:paraId="2C969FC7" w14:textId="77777777" w:rsidR="00361478" w:rsidRPr="00141EEA" w:rsidRDefault="00361478" w:rsidP="00361478">
            <w:pPr>
              <w:jc w:val="both"/>
              <w:rPr>
                <w:rFonts w:ascii="Times New Roman" w:hAnsi="Times New Roman" w:cs="Times New Roman"/>
                <w:sz w:val="16"/>
                <w:szCs w:val="16"/>
              </w:rPr>
            </w:pPr>
            <w:r w:rsidRPr="00141EEA">
              <w:rPr>
                <w:rFonts w:ascii="Segoe UI Symbol" w:hAnsi="Segoe UI Symbol" w:cs="Segoe UI Symbol"/>
                <w:sz w:val="16"/>
                <w:szCs w:val="16"/>
              </w:rPr>
              <w:t>✓</w:t>
            </w:r>
          </w:p>
        </w:tc>
        <w:tc>
          <w:tcPr>
            <w:tcW w:w="0" w:type="auto"/>
            <w:vAlign w:val="center"/>
            <w:hideMark/>
          </w:tcPr>
          <w:p w14:paraId="297C5476" w14:textId="77777777" w:rsidR="00361478" w:rsidRPr="00141EEA" w:rsidRDefault="00361478" w:rsidP="00361478">
            <w:pPr>
              <w:jc w:val="both"/>
              <w:rPr>
                <w:rFonts w:ascii="Times New Roman" w:hAnsi="Times New Roman" w:cs="Times New Roman"/>
                <w:sz w:val="16"/>
                <w:szCs w:val="16"/>
              </w:rPr>
            </w:pPr>
            <w:r w:rsidRPr="00141EEA">
              <w:rPr>
                <w:rFonts w:ascii="Times New Roman" w:hAnsi="Times New Roman" w:cs="Times New Roman"/>
                <w:sz w:val="16"/>
                <w:szCs w:val="16"/>
              </w:rPr>
              <w:t>Land-surface meteorological variables, climatology and bias correction</w:t>
            </w:r>
          </w:p>
        </w:tc>
      </w:tr>
      <w:tr w:rsidR="00361478" w:rsidRPr="00361478" w14:paraId="00D1D79D" w14:textId="77777777" w:rsidTr="00361478">
        <w:trPr>
          <w:tblCellSpacing w:w="15" w:type="dxa"/>
        </w:trPr>
        <w:tc>
          <w:tcPr>
            <w:tcW w:w="0" w:type="auto"/>
            <w:vAlign w:val="center"/>
            <w:hideMark/>
          </w:tcPr>
          <w:p w14:paraId="0106A77F" w14:textId="77777777" w:rsidR="00361478" w:rsidRPr="00141EEA" w:rsidRDefault="00361478" w:rsidP="00361478">
            <w:pPr>
              <w:jc w:val="both"/>
              <w:rPr>
                <w:rFonts w:ascii="Times New Roman" w:hAnsi="Times New Roman" w:cs="Times New Roman"/>
                <w:sz w:val="16"/>
                <w:szCs w:val="16"/>
              </w:rPr>
            </w:pPr>
            <w:r w:rsidRPr="00141EEA">
              <w:rPr>
                <w:rFonts w:ascii="Times New Roman" w:hAnsi="Times New Roman" w:cs="Times New Roman"/>
                <w:sz w:val="16"/>
                <w:szCs w:val="16"/>
              </w:rPr>
              <w:t>CERRA</w:t>
            </w:r>
          </w:p>
        </w:tc>
        <w:tc>
          <w:tcPr>
            <w:tcW w:w="0" w:type="auto"/>
            <w:vAlign w:val="center"/>
            <w:hideMark/>
          </w:tcPr>
          <w:p w14:paraId="77546F14" w14:textId="77777777" w:rsidR="00361478" w:rsidRPr="00141EEA" w:rsidRDefault="00361478" w:rsidP="00361478">
            <w:pPr>
              <w:jc w:val="both"/>
              <w:rPr>
                <w:rFonts w:ascii="Times New Roman" w:hAnsi="Times New Roman" w:cs="Times New Roman"/>
                <w:sz w:val="16"/>
                <w:szCs w:val="16"/>
              </w:rPr>
            </w:pPr>
            <w:r w:rsidRPr="00141EEA">
              <w:rPr>
                <w:rFonts w:ascii="Times New Roman" w:hAnsi="Times New Roman" w:cs="Times New Roman"/>
                <w:sz w:val="16"/>
                <w:szCs w:val="16"/>
              </w:rPr>
              <w:t>–</w:t>
            </w:r>
          </w:p>
        </w:tc>
        <w:tc>
          <w:tcPr>
            <w:tcW w:w="0" w:type="auto"/>
            <w:vAlign w:val="center"/>
            <w:hideMark/>
          </w:tcPr>
          <w:p w14:paraId="7D363817" w14:textId="77777777" w:rsidR="00361478" w:rsidRPr="00141EEA" w:rsidRDefault="00361478" w:rsidP="00361478">
            <w:pPr>
              <w:jc w:val="both"/>
              <w:rPr>
                <w:rFonts w:ascii="Times New Roman" w:hAnsi="Times New Roman" w:cs="Times New Roman"/>
                <w:sz w:val="16"/>
                <w:szCs w:val="16"/>
              </w:rPr>
            </w:pPr>
            <w:r w:rsidRPr="00141EEA">
              <w:rPr>
                <w:rFonts w:ascii="Segoe UI Symbol" w:hAnsi="Segoe UI Symbol" w:cs="Segoe UI Symbol"/>
                <w:sz w:val="16"/>
                <w:szCs w:val="16"/>
              </w:rPr>
              <w:t>✓</w:t>
            </w:r>
          </w:p>
        </w:tc>
        <w:tc>
          <w:tcPr>
            <w:tcW w:w="0" w:type="auto"/>
            <w:vAlign w:val="center"/>
            <w:hideMark/>
          </w:tcPr>
          <w:p w14:paraId="2412D067" w14:textId="77777777" w:rsidR="00361478" w:rsidRPr="00141EEA" w:rsidRDefault="00361478" w:rsidP="00361478">
            <w:pPr>
              <w:jc w:val="both"/>
              <w:rPr>
                <w:rFonts w:ascii="Times New Roman" w:hAnsi="Times New Roman" w:cs="Times New Roman"/>
                <w:sz w:val="16"/>
                <w:szCs w:val="16"/>
              </w:rPr>
            </w:pPr>
            <w:r w:rsidRPr="00141EEA">
              <w:rPr>
                <w:rFonts w:ascii="Times New Roman" w:hAnsi="Times New Roman" w:cs="Times New Roman"/>
                <w:sz w:val="16"/>
                <w:szCs w:val="16"/>
              </w:rPr>
              <w:t>High-resolution regional reference dataset, particularly for Mediterranean islands</w:t>
            </w:r>
          </w:p>
        </w:tc>
      </w:tr>
      <w:tr w:rsidR="00361478" w:rsidRPr="00361478" w14:paraId="0E77DD73" w14:textId="77777777" w:rsidTr="00361478">
        <w:trPr>
          <w:tblCellSpacing w:w="15" w:type="dxa"/>
        </w:trPr>
        <w:tc>
          <w:tcPr>
            <w:tcW w:w="0" w:type="auto"/>
            <w:vAlign w:val="center"/>
            <w:hideMark/>
          </w:tcPr>
          <w:p w14:paraId="0D494D7F" w14:textId="77777777" w:rsidR="00361478" w:rsidRPr="00141EEA" w:rsidRDefault="00361478" w:rsidP="00361478">
            <w:pPr>
              <w:jc w:val="both"/>
              <w:rPr>
                <w:rFonts w:ascii="Times New Roman" w:hAnsi="Times New Roman" w:cs="Times New Roman"/>
                <w:sz w:val="16"/>
                <w:szCs w:val="16"/>
              </w:rPr>
            </w:pPr>
            <w:r w:rsidRPr="00141EEA">
              <w:rPr>
                <w:rFonts w:ascii="Times New Roman" w:hAnsi="Times New Roman" w:cs="Times New Roman"/>
                <w:sz w:val="16"/>
                <w:szCs w:val="16"/>
              </w:rPr>
              <w:t>ECMWF SEAS5</w:t>
            </w:r>
          </w:p>
        </w:tc>
        <w:tc>
          <w:tcPr>
            <w:tcW w:w="0" w:type="auto"/>
            <w:vAlign w:val="center"/>
            <w:hideMark/>
          </w:tcPr>
          <w:p w14:paraId="502EC21A" w14:textId="77777777" w:rsidR="00361478" w:rsidRPr="00141EEA" w:rsidRDefault="00361478" w:rsidP="00361478">
            <w:pPr>
              <w:jc w:val="both"/>
              <w:rPr>
                <w:rFonts w:ascii="Times New Roman" w:hAnsi="Times New Roman" w:cs="Times New Roman"/>
                <w:sz w:val="16"/>
                <w:szCs w:val="16"/>
              </w:rPr>
            </w:pPr>
            <w:r w:rsidRPr="00141EEA">
              <w:rPr>
                <w:rFonts w:ascii="Segoe UI Symbol" w:hAnsi="Segoe UI Symbol" w:cs="Segoe UI Symbol"/>
                <w:sz w:val="16"/>
                <w:szCs w:val="16"/>
              </w:rPr>
              <w:t>✓</w:t>
            </w:r>
          </w:p>
        </w:tc>
        <w:tc>
          <w:tcPr>
            <w:tcW w:w="0" w:type="auto"/>
            <w:vAlign w:val="center"/>
            <w:hideMark/>
          </w:tcPr>
          <w:p w14:paraId="2CD930EE" w14:textId="77777777" w:rsidR="00361478" w:rsidRPr="00141EEA" w:rsidRDefault="00361478" w:rsidP="00361478">
            <w:pPr>
              <w:jc w:val="both"/>
              <w:rPr>
                <w:rFonts w:ascii="Times New Roman" w:hAnsi="Times New Roman" w:cs="Times New Roman"/>
                <w:sz w:val="16"/>
                <w:szCs w:val="16"/>
              </w:rPr>
            </w:pPr>
            <w:r w:rsidRPr="00141EEA">
              <w:rPr>
                <w:rFonts w:ascii="Segoe UI Symbol" w:hAnsi="Segoe UI Symbol" w:cs="Segoe UI Symbol"/>
                <w:sz w:val="16"/>
                <w:szCs w:val="16"/>
              </w:rPr>
              <w:t>✓</w:t>
            </w:r>
          </w:p>
        </w:tc>
        <w:tc>
          <w:tcPr>
            <w:tcW w:w="0" w:type="auto"/>
            <w:vAlign w:val="center"/>
            <w:hideMark/>
          </w:tcPr>
          <w:p w14:paraId="2336F593" w14:textId="77777777" w:rsidR="00361478" w:rsidRPr="00141EEA" w:rsidRDefault="00361478" w:rsidP="00361478">
            <w:pPr>
              <w:jc w:val="both"/>
              <w:rPr>
                <w:rFonts w:ascii="Times New Roman" w:hAnsi="Times New Roman" w:cs="Times New Roman"/>
                <w:sz w:val="16"/>
                <w:szCs w:val="16"/>
              </w:rPr>
            </w:pPr>
            <w:r w:rsidRPr="00141EEA">
              <w:rPr>
                <w:rFonts w:ascii="Times New Roman" w:hAnsi="Times New Roman" w:cs="Times New Roman"/>
                <w:sz w:val="16"/>
                <w:szCs w:val="16"/>
              </w:rPr>
              <w:t>Seasonal climate predictions</w:t>
            </w:r>
          </w:p>
        </w:tc>
      </w:tr>
      <w:tr w:rsidR="00361478" w:rsidRPr="00361478" w14:paraId="37113664" w14:textId="77777777" w:rsidTr="00361478">
        <w:trPr>
          <w:tblCellSpacing w:w="15" w:type="dxa"/>
        </w:trPr>
        <w:tc>
          <w:tcPr>
            <w:tcW w:w="0" w:type="auto"/>
            <w:vAlign w:val="center"/>
            <w:hideMark/>
          </w:tcPr>
          <w:p w14:paraId="27773E79" w14:textId="77777777" w:rsidR="00361478" w:rsidRPr="00141EEA" w:rsidRDefault="00361478" w:rsidP="00361478">
            <w:pPr>
              <w:jc w:val="both"/>
              <w:rPr>
                <w:rFonts w:ascii="Times New Roman" w:hAnsi="Times New Roman" w:cs="Times New Roman"/>
                <w:sz w:val="16"/>
                <w:szCs w:val="16"/>
              </w:rPr>
            </w:pPr>
            <w:r w:rsidRPr="00141EEA">
              <w:rPr>
                <w:rFonts w:ascii="Times New Roman" w:hAnsi="Times New Roman" w:cs="Times New Roman"/>
                <w:sz w:val="16"/>
                <w:szCs w:val="16"/>
              </w:rPr>
              <w:t>CMIP6 climate projections</w:t>
            </w:r>
          </w:p>
        </w:tc>
        <w:tc>
          <w:tcPr>
            <w:tcW w:w="0" w:type="auto"/>
            <w:vAlign w:val="center"/>
            <w:hideMark/>
          </w:tcPr>
          <w:p w14:paraId="24A47C8E" w14:textId="77777777" w:rsidR="00361478" w:rsidRPr="00141EEA" w:rsidRDefault="00361478" w:rsidP="00361478">
            <w:pPr>
              <w:jc w:val="both"/>
              <w:rPr>
                <w:rFonts w:ascii="Times New Roman" w:hAnsi="Times New Roman" w:cs="Times New Roman"/>
                <w:sz w:val="16"/>
                <w:szCs w:val="16"/>
              </w:rPr>
            </w:pPr>
            <w:r w:rsidRPr="00141EEA">
              <w:rPr>
                <w:rFonts w:ascii="Segoe UI Symbol" w:hAnsi="Segoe UI Symbol" w:cs="Segoe UI Symbol"/>
                <w:sz w:val="16"/>
                <w:szCs w:val="16"/>
              </w:rPr>
              <w:t>✓</w:t>
            </w:r>
          </w:p>
        </w:tc>
        <w:tc>
          <w:tcPr>
            <w:tcW w:w="0" w:type="auto"/>
            <w:vAlign w:val="center"/>
            <w:hideMark/>
          </w:tcPr>
          <w:p w14:paraId="554B09D5" w14:textId="77777777" w:rsidR="00361478" w:rsidRPr="00141EEA" w:rsidRDefault="00361478" w:rsidP="00361478">
            <w:pPr>
              <w:jc w:val="both"/>
              <w:rPr>
                <w:rFonts w:ascii="Times New Roman" w:hAnsi="Times New Roman" w:cs="Times New Roman"/>
                <w:sz w:val="16"/>
                <w:szCs w:val="16"/>
              </w:rPr>
            </w:pPr>
            <w:r w:rsidRPr="00141EEA">
              <w:rPr>
                <w:rFonts w:ascii="Segoe UI Symbol" w:hAnsi="Segoe UI Symbol" w:cs="Segoe UI Symbol"/>
                <w:sz w:val="16"/>
                <w:szCs w:val="16"/>
              </w:rPr>
              <w:t>✓</w:t>
            </w:r>
          </w:p>
        </w:tc>
        <w:tc>
          <w:tcPr>
            <w:tcW w:w="0" w:type="auto"/>
            <w:vAlign w:val="center"/>
            <w:hideMark/>
          </w:tcPr>
          <w:p w14:paraId="3AC51DB3" w14:textId="77777777" w:rsidR="00361478" w:rsidRPr="00141EEA" w:rsidRDefault="00361478" w:rsidP="00361478">
            <w:pPr>
              <w:jc w:val="both"/>
              <w:rPr>
                <w:rFonts w:ascii="Times New Roman" w:hAnsi="Times New Roman" w:cs="Times New Roman"/>
                <w:sz w:val="16"/>
                <w:szCs w:val="16"/>
              </w:rPr>
            </w:pPr>
            <w:r w:rsidRPr="00141EEA">
              <w:rPr>
                <w:rFonts w:ascii="Times New Roman" w:hAnsi="Times New Roman" w:cs="Times New Roman"/>
                <w:sz w:val="16"/>
                <w:szCs w:val="16"/>
              </w:rPr>
              <w:t>Long-term climate projections under multiple Shared Socioeconomic Pathways (SSPs)</w:t>
            </w:r>
          </w:p>
        </w:tc>
      </w:tr>
      <w:tr w:rsidR="00361478" w:rsidRPr="00361478" w14:paraId="7189AFDF" w14:textId="77777777" w:rsidTr="00361478">
        <w:trPr>
          <w:tblCellSpacing w:w="15" w:type="dxa"/>
        </w:trPr>
        <w:tc>
          <w:tcPr>
            <w:tcW w:w="0" w:type="auto"/>
            <w:vAlign w:val="center"/>
            <w:hideMark/>
          </w:tcPr>
          <w:p w14:paraId="2A60766B" w14:textId="77777777" w:rsidR="00361478" w:rsidRPr="00141EEA" w:rsidRDefault="00361478" w:rsidP="00361478">
            <w:pPr>
              <w:jc w:val="both"/>
              <w:rPr>
                <w:rFonts w:ascii="Times New Roman" w:hAnsi="Times New Roman" w:cs="Times New Roman"/>
                <w:sz w:val="16"/>
                <w:szCs w:val="16"/>
              </w:rPr>
            </w:pPr>
            <w:r w:rsidRPr="00141EEA">
              <w:rPr>
                <w:rFonts w:ascii="Times New Roman" w:hAnsi="Times New Roman" w:cs="Times New Roman"/>
                <w:sz w:val="16"/>
                <w:szCs w:val="16"/>
              </w:rPr>
              <w:t>CAMS surface solar radiation</w:t>
            </w:r>
          </w:p>
        </w:tc>
        <w:tc>
          <w:tcPr>
            <w:tcW w:w="0" w:type="auto"/>
            <w:vAlign w:val="center"/>
            <w:hideMark/>
          </w:tcPr>
          <w:p w14:paraId="51ABA36A" w14:textId="77777777" w:rsidR="00361478" w:rsidRPr="00141EEA" w:rsidRDefault="00361478" w:rsidP="00361478">
            <w:pPr>
              <w:jc w:val="both"/>
              <w:rPr>
                <w:rFonts w:ascii="Times New Roman" w:hAnsi="Times New Roman" w:cs="Times New Roman"/>
                <w:sz w:val="16"/>
                <w:szCs w:val="16"/>
              </w:rPr>
            </w:pPr>
            <w:r w:rsidRPr="00141EEA">
              <w:rPr>
                <w:rFonts w:ascii="Times New Roman" w:hAnsi="Times New Roman" w:cs="Times New Roman"/>
                <w:sz w:val="16"/>
                <w:szCs w:val="16"/>
              </w:rPr>
              <w:t>–</w:t>
            </w:r>
          </w:p>
        </w:tc>
        <w:tc>
          <w:tcPr>
            <w:tcW w:w="0" w:type="auto"/>
            <w:vAlign w:val="center"/>
            <w:hideMark/>
          </w:tcPr>
          <w:p w14:paraId="40A8EA5B" w14:textId="77777777" w:rsidR="00361478" w:rsidRPr="00141EEA" w:rsidRDefault="00361478" w:rsidP="00361478">
            <w:pPr>
              <w:jc w:val="both"/>
              <w:rPr>
                <w:rFonts w:ascii="Times New Roman" w:hAnsi="Times New Roman" w:cs="Times New Roman"/>
                <w:sz w:val="16"/>
                <w:szCs w:val="16"/>
              </w:rPr>
            </w:pPr>
            <w:r w:rsidRPr="00141EEA">
              <w:rPr>
                <w:rFonts w:ascii="Segoe UI Symbol" w:hAnsi="Segoe UI Symbol" w:cs="Segoe UI Symbol"/>
                <w:sz w:val="16"/>
                <w:szCs w:val="16"/>
              </w:rPr>
              <w:t>✓</w:t>
            </w:r>
          </w:p>
        </w:tc>
        <w:tc>
          <w:tcPr>
            <w:tcW w:w="0" w:type="auto"/>
            <w:vAlign w:val="center"/>
            <w:hideMark/>
          </w:tcPr>
          <w:p w14:paraId="2B337E86" w14:textId="77777777" w:rsidR="00361478" w:rsidRPr="00141EEA" w:rsidRDefault="00361478" w:rsidP="00361478">
            <w:pPr>
              <w:jc w:val="both"/>
              <w:rPr>
                <w:rFonts w:ascii="Times New Roman" w:hAnsi="Times New Roman" w:cs="Times New Roman"/>
                <w:sz w:val="16"/>
                <w:szCs w:val="16"/>
              </w:rPr>
            </w:pPr>
            <w:r w:rsidRPr="00141EEA">
              <w:rPr>
                <w:rFonts w:ascii="Times New Roman" w:hAnsi="Times New Roman" w:cs="Times New Roman"/>
                <w:sz w:val="16"/>
                <w:szCs w:val="16"/>
              </w:rPr>
              <w:t>Solar resource assessment and photovoltaic energy simulations</w:t>
            </w:r>
          </w:p>
        </w:tc>
      </w:tr>
      <w:tr w:rsidR="00361478" w:rsidRPr="00361478" w14:paraId="090B8BF0" w14:textId="77777777" w:rsidTr="00361478">
        <w:trPr>
          <w:tblCellSpacing w:w="15" w:type="dxa"/>
        </w:trPr>
        <w:tc>
          <w:tcPr>
            <w:tcW w:w="0" w:type="auto"/>
            <w:vAlign w:val="center"/>
            <w:hideMark/>
          </w:tcPr>
          <w:p w14:paraId="4A2CEC02" w14:textId="77777777" w:rsidR="00361478" w:rsidRPr="00141EEA" w:rsidRDefault="00361478" w:rsidP="00361478">
            <w:pPr>
              <w:jc w:val="both"/>
              <w:rPr>
                <w:rFonts w:ascii="Times New Roman" w:hAnsi="Times New Roman" w:cs="Times New Roman"/>
                <w:sz w:val="16"/>
                <w:szCs w:val="16"/>
              </w:rPr>
            </w:pPr>
            <w:r w:rsidRPr="00141EEA">
              <w:rPr>
                <w:rFonts w:ascii="Times New Roman" w:hAnsi="Times New Roman" w:cs="Times New Roman"/>
                <w:sz w:val="16"/>
                <w:szCs w:val="16"/>
              </w:rPr>
              <w:t>CAMS aerosol products</w:t>
            </w:r>
          </w:p>
        </w:tc>
        <w:tc>
          <w:tcPr>
            <w:tcW w:w="0" w:type="auto"/>
            <w:vAlign w:val="center"/>
            <w:hideMark/>
          </w:tcPr>
          <w:p w14:paraId="3866D514" w14:textId="77777777" w:rsidR="00361478" w:rsidRPr="00141EEA" w:rsidRDefault="00361478" w:rsidP="00361478">
            <w:pPr>
              <w:jc w:val="both"/>
              <w:rPr>
                <w:rFonts w:ascii="Times New Roman" w:hAnsi="Times New Roman" w:cs="Times New Roman"/>
                <w:sz w:val="16"/>
                <w:szCs w:val="16"/>
              </w:rPr>
            </w:pPr>
            <w:r w:rsidRPr="00141EEA">
              <w:rPr>
                <w:rFonts w:ascii="Times New Roman" w:hAnsi="Times New Roman" w:cs="Times New Roman"/>
                <w:sz w:val="16"/>
                <w:szCs w:val="16"/>
              </w:rPr>
              <w:t>–</w:t>
            </w:r>
          </w:p>
        </w:tc>
        <w:tc>
          <w:tcPr>
            <w:tcW w:w="0" w:type="auto"/>
            <w:vAlign w:val="center"/>
            <w:hideMark/>
          </w:tcPr>
          <w:p w14:paraId="5C093DA0" w14:textId="77777777" w:rsidR="00361478" w:rsidRPr="00141EEA" w:rsidRDefault="00361478" w:rsidP="00361478">
            <w:pPr>
              <w:jc w:val="both"/>
              <w:rPr>
                <w:rFonts w:ascii="Times New Roman" w:hAnsi="Times New Roman" w:cs="Times New Roman"/>
                <w:sz w:val="16"/>
                <w:szCs w:val="16"/>
              </w:rPr>
            </w:pPr>
            <w:r w:rsidRPr="00141EEA">
              <w:rPr>
                <w:rFonts w:ascii="Segoe UI Symbol" w:hAnsi="Segoe UI Symbol" w:cs="Segoe UI Symbol"/>
                <w:sz w:val="16"/>
                <w:szCs w:val="16"/>
              </w:rPr>
              <w:t>✓</w:t>
            </w:r>
          </w:p>
        </w:tc>
        <w:tc>
          <w:tcPr>
            <w:tcW w:w="0" w:type="auto"/>
            <w:vAlign w:val="center"/>
            <w:hideMark/>
          </w:tcPr>
          <w:p w14:paraId="698E0966" w14:textId="77777777" w:rsidR="00361478" w:rsidRPr="00141EEA" w:rsidRDefault="00361478" w:rsidP="00361478">
            <w:pPr>
              <w:jc w:val="both"/>
              <w:rPr>
                <w:rFonts w:ascii="Times New Roman" w:hAnsi="Times New Roman" w:cs="Times New Roman"/>
                <w:sz w:val="16"/>
                <w:szCs w:val="16"/>
              </w:rPr>
            </w:pPr>
            <w:r w:rsidRPr="00141EEA">
              <w:rPr>
                <w:rFonts w:ascii="Times New Roman" w:hAnsi="Times New Roman" w:cs="Times New Roman"/>
                <w:sz w:val="16"/>
                <w:szCs w:val="16"/>
              </w:rPr>
              <w:t>Quantification of aerosol effects on photovoltaic performance</w:t>
            </w:r>
          </w:p>
        </w:tc>
      </w:tr>
      <w:tr w:rsidR="00361478" w:rsidRPr="00361478" w14:paraId="68010601" w14:textId="77777777" w:rsidTr="00361478">
        <w:trPr>
          <w:tblCellSpacing w:w="15" w:type="dxa"/>
        </w:trPr>
        <w:tc>
          <w:tcPr>
            <w:tcW w:w="0" w:type="auto"/>
            <w:vAlign w:val="center"/>
            <w:hideMark/>
          </w:tcPr>
          <w:p w14:paraId="1B042FA9" w14:textId="77777777" w:rsidR="00361478" w:rsidRPr="00141EEA" w:rsidRDefault="00361478" w:rsidP="00361478">
            <w:pPr>
              <w:jc w:val="both"/>
              <w:rPr>
                <w:rFonts w:ascii="Times New Roman" w:hAnsi="Times New Roman" w:cs="Times New Roman"/>
                <w:sz w:val="16"/>
                <w:szCs w:val="16"/>
              </w:rPr>
            </w:pPr>
            <w:r w:rsidRPr="00141EEA">
              <w:rPr>
                <w:rFonts w:ascii="Times New Roman" w:hAnsi="Times New Roman" w:cs="Times New Roman"/>
                <w:sz w:val="16"/>
                <w:szCs w:val="16"/>
              </w:rPr>
              <w:t>ENTSO-E electricity data</w:t>
            </w:r>
          </w:p>
        </w:tc>
        <w:tc>
          <w:tcPr>
            <w:tcW w:w="0" w:type="auto"/>
            <w:vAlign w:val="center"/>
            <w:hideMark/>
          </w:tcPr>
          <w:p w14:paraId="0AA52616" w14:textId="77777777" w:rsidR="00361478" w:rsidRPr="00141EEA" w:rsidRDefault="00361478" w:rsidP="00361478">
            <w:pPr>
              <w:jc w:val="both"/>
              <w:rPr>
                <w:rFonts w:ascii="Times New Roman" w:hAnsi="Times New Roman" w:cs="Times New Roman"/>
                <w:sz w:val="16"/>
                <w:szCs w:val="16"/>
              </w:rPr>
            </w:pPr>
            <w:r w:rsidRPr="00141EEA">
              <w:rPr>
                <w:rFonts w:ascii="Segoe UI Symbol" w:hAnsi="Segoe UI Symbol" w:cs="Segoe UI Symbol"/>
                <w:sz w:val="16"/>
                <w:szCs w:val="16"/>
              </w:rPr>
              <w:t>✓</w:t>
            </w:r>
          </w:p>
        </w:tc>
        <w:tc>
          <w:tcPr>
            <w:tcW w:w="0" w:type="auto"/>
            <w:vAlign w:val="center"/>
            <w:hideMark/>
          </w:tcPr>
          <w:p w14:paraId="7CB2DC9A" w14:textId="77777777" w:rsidR="00361478" w:rsidRPr="00141EEA" w:rsidRDefault="00361478" w:rsidP="00361478">
            <w:pPr>
              <w:jc w:val="both"/>
              <w:rPr>
                <w:rFonts w:ascii="Times New Roman" w:hAnsi="Times New Roman" w:cs="Times New Roman"/>
                <w:sz w:val="16"/>
                <w:szCs w:val="16"/>
              </w:rPr>
            </w:pPr>
            <w:r w:rsidRPr="00141EEA">
              <w:rPr>
                <w:rFonts w:ascii="Segoe UI Symbol" w:hAnsi="Segoe UI Symbol" w:cs="Segoe UI Symbol"/>
                <w:sz w:val="16"/>
                <w:szCs w:val="16"/>
              </w:rPr>
              <w:t>✓</w:t>
            </w:r>
          </w:p>
        </w:tc>
        <w:tc>
          <w:tcPr>
            <w:tcW w:w="0" w:type="auto"/>
            <w:vAlign w:val="center"/>
            <w:hideMark/>
          </w:tcPr>
          <w:p w14:paraId="74C5EC24" w14:textId="77777777" w:rsidR="00361478" w:rsidRPr="00141EEA" w:rsidRDefault="00361478" w:rsidP="00361478">
            <w:pPr>
              <w:jc w:val="both"/>
              <w:rPr>
                <w:rFonts w:ascii="Times New Roman" w:hAnsi="Times New Roman" w:cs="Times New Roman"/>
                <w:sz w:val="16"/>
                <w:szCs w:val="16"/>
              </w:rPr>
            </w:pPr>
            <w:r w:rsidRPr="00141EEA">
              <w:rPr>
                <w:rFonts w:ascii="Times New Roman" w:hAnsi="Times New Roman" w:cs="Times New Roman"/>
                <w:sz w:val="16"/>
                <w:szCs w:val="16"/>
              </w:rPr>
              <w:t>Electricity-demand analysis, model development and evaluation</w:t>
            </w:r>
          </w:p>
        </w:tc>
      </w:tr>
      <w:tr w:rsidR="00361478" w:rsidRPr="00361478" w14:paraId="77025A15" w14:textId="77777777" w:rsidTr="00361478">
        <w:trPr>
          <w:tblCellSpacing w:w="15" w:type="dxa"/>
        </w:trPr>
        <w:tc>
          <w:tcPr>
            <w:tcW w:w="0" w:type="auto"/>
            <w:vAlign w:val="center"/>
            <w:hideMark/>
          </w:tcPr>
          <w:p w14:paraId="0A5047FB" w14:textId="77777777" w:rsidR="00361478" w:rsidRPr="00141EEA" w:rsidRDefault="00361478" w:rsidP="00361478">
            <w:pPr>
              <w:jc w:val="both"/>
              <w:rPr>
                <w:rFonts w:ascii="Times New Roman" w:hAnsi="Times New Roman" w:cs="Times New Roman"/>
                <w:sz w:val="16"/>
                <w:szCs w:val="16"/>
              </w:rPr>
            </w:pPr>
            <w:r w:rsidRPr="00141EEA">
              <w:rPr>
                <w:rFonts w:ascii="Times New Roman" w:hAnsi="Times New Roman" w:cs="Times New Roman"/>
                <w:sz w:val="16"/>
                <w:szCs w:val="16"/>
              </w:rPr>
              <w:t>Ground-based meteorological observations</w:t>
            </w:r>
          </w:p>
        </w:tc>
        <w:tc>
          <w:tcPr>
            <w:tcW w:w="0" w:type="auto"/>
            <w:vAlign w:val="center"/>
            <w:hideMark/>
          </w:tcPr>
          <w:p w14:paraId="44E62613" w14:textId="77777777" w:rsidR="00361478" w:rsidRPr="00141EEA" w:rsidRDefault="00361478" w:rsidP="00361478">
            <w:pPr>
              <w:jc w:val="both"/>
              <w:rPr>
                <w:rFonts w:ascii="Times New Roman" w:hAnsi="Times New Roman" w:cs="Times New Roman"/>
                <w:sz w:val="16"/>
                <w:szCs w:val="16"/>
              </w:rPr>
            </w:pPr>
            <w:r w:rsidRPr="00141EEA">
              <w:rPr>
                <w:rFonts w:ascii="Times New Roman" w:hAnsi="Times New Roman" w:cs="Times New Roman"/>
                <w:sz w:val="16"/>
                <w:szCs w:val="16"/>
              </w:rPr>
              <w:t>–</w:t>
            </w:r>
          </w:p>
        </w:tc>
        <w:tc>
          <w:tcPr>
            <w:tcW w:w="0" w:type="auto"/>
            <w:vAlign w:val="center"/>
            <w:hideMark/>
          </w:tcPr>
          <w:p w14:paraId="4C4F8217" w14:textId="77777777" w:rsidR="00361478" w:rsidRPr="00141EEA" w:rsidRDefault="00361478" w:rsidP="00361478">
            <w:pPr>
              <w:jc w:val="both"/>
              <w:rPr>
                <w:rFonts w:ascii="Times New Roman" w:hAnsi="Times New Roman" w:cs="Times New Roman"/>
                <w:sz w:val="16"/>
                <w:szCs w:val="16"/>
              </w:rPr>
            </w:pPr>
            <w:r w:rsidRPr="00141EEA">
              <w:rPr>
                <w:rFonts w:ascii="Segoe UI Symbol" w:hAnsi="Segoe UI Symbol" w:cs="Segoe UI Symbol"/>
                <w:sz w:val="16"/>
                <w:szCs w:val="16"/>
              </w:rPr>
              <w:t>✓</w:t>
            </w:r>
          </w:p>
        </w:tc>
        <w:tc>
          <w:tcPr>
            <w:tcW w:w="0" w:type="auto"/>
            <w:vAlign w:val="center"/>
            <w:hideMark/>
          </w:tcPr>
          <w:p w14:paraId="213E885F" w14:textId="77777777" w:rsidR="00361478" w:rsidRPr="00141EEA" w:rsidRDefault="00361478" w:rsidP="00361478">
            <w:pPr>
              <w:jc w:val="both"/>
              <w:rPr>
                <w:rFonts w:ascii="Times New Roman" w:hAnsi="Times New Roman" w:cs="Times New Roman"/>
                <w:sz w:val="16"/>
                <w:szCs w:val="16"/>
              </w:rPr>
            </w:pPr>
            <w:r w:rsidRPr="00141EEA">
              <w:rPr>
                <w:rFonts w:ascii="Times New Roman" w:hAnsi="Times New Roman" w:cs="Times New Roman"/>
                <w:sz w:val="16"/>
                <w:szCs w:val="16"/>
              </w:rPr>
              <w:t>Validation of downscaled climate variables</w:t>
            </w:r>
          </w:p>
        </w:tc>
      </w:tr>
      <w:tr w:rsidR="00361478" w:rsidRPr="00361478" w14:paraId="3FE32803" w14:textId="77777777" w:rsidTr="00361478">
        <w:trPr>
          <w:tblCellSpacing w:w="15" w:type="dxa"/>
        </w:trPr>
        <w:tc>
          <w:tcPr>
            <w:tcW w:w="0" w:type="auto"/>
            <w:vAlign w:val="center"/>
            <w:hideMark/>
          </w:tcPr>
          <w:p w14:paraId="3046D2F6" w14:textId="77777777" w:rsidR="00361478" w:rsidRPr="00141EEA" w:rsidRDefault="00361478" w:rsidP="00361478">
            <w:pPr>
              <w:jc w:val="both"/>
              <w:rPr>
                <w:rFonts w:ascii="Times New Roman" w:hAnsi="Times New Roman" w:cs="Times New Roman"/>
                <w:sz w:val="16"/>
                <w:szCs w:val="16"/>
              </w:rPr>
            </w:pPr>
            <w:r w:rsidRPr="00141EEA">
              <w:rPr>
                <w:rFonts w:ascii="Times New Roman" w:hAnsi="Times New Roman" w:cs="Times New Roman"/>
                <w:sz w:val="16"/>
                <w:szCs w:val="16"/>
              </w:rPr>
              <w:t>Ground-based solar radiation observations</w:t>
            </w:r>
          </w:p>
        </w:tc>
        <w:tc>
          <w:tcPr>
            <w:tcW w:w="0" w:type="auto"/>
            <w:vAlign w:val="center"/>
            <w:hideMark/>
          </w:tcPr>
          <w:p w14:paraId="2818009C" w14:textId="77777777" w:rsidR="00361478" w:rsidRPr="00141EEA" w:rsidRDefault="00361478" w:rsidP="00361478">
            <w:pPr>
              <w:jc w:val="both"/>
              <w:rPr>
                <w:rFonts w:ascii="Times New Roman" w:hAnsi="Times New Roman" w:cs="Times New Roman"/>
                <w:sz w:val="16"/>
                <w:szCs w:val="16"/>
              </w:rPr>
            </w:pPr>
            <w:r w:rsidRPr="00141EEA">
              <w:rPr>
                <w:rFonts w:ascii="Times New Roman" w:hAnsi="Times New Roman" w:cs="Times New Roman"/>
                <w:sz w:val="16"/>
                <w:szCs w:val="16"/>
              </w:rPr>
              <w:t>–</w:t>
            </w:r>
          </w:p>
        </w:tc>
        <w:tc>
          <w:tcPr>
            <w:tcW w:w="0" w:type="auto"/>
            <w:vAlign w:val="center"/>
            <w:hideMark/>
          </w:tcPr>
          <w:p w14:paraId="3BDC20F6" w14:textId="77777777" w:rsidR="00361478" w:rsidRPr="00141EEA" w:rsidRDefault="00361478" w:rsidP="00361478">
            <w:pPr>
              <w:jc w:val="both"/>
              <w:rPr>
                <w:rFonts w:ascii="Times New Roman" w:hAnsi="Times New Roman" w:cs="Times New Roman"/>
                <w:sz w:val="16"/>
                <w:szCs w:val="16"/>
              </w:rPr>
            </w:pPr>
            <w:r w:rsidRPr="00141EEA">
              <w:rPr>
                <w:rFonts w:ascii="Segoe UI Symbol" w:hAnsi="Segoe UI Symbol" w:cs="Segoe UI Symbol"/>
                <w:sz w:val="16"/>
                <w:szCs w:val="16"/>
              </w:rPr>
              <w:t>✓</w:t>
            </w:r>
          </w:p>
        </w:tc>
        <w:tc>
          <w:tcPr>
            <w:tcW w:w="0" w:type="auto"/>
            <w:vAlign w:val="center"/>
            <w:hideMark/>
          </w:tcPr>
          <w:p w14:paraId="06E9515E" w14:textId="77777777" w:rsidR="00361478" w:rsidRPr="00141EEA" w:rsidRDefault="00361478" w:rsidP="00361478">
            <w:pPr>
              <w:jc w:val="both"/>
              <w:rPr>
                <w:rFonts w:ascii="Times New Roman" w:hAnsi="Times New Roman" w:cs="Times New Roman"/>
                <w:sz w:val="16"/>
                <w:szCs w:val="16"/>
              </w:rPr>
            </w:pPr>
            <w:r w:rsidRPr="00141EEA">
              <w:rPr>
                <w:rFonts w:ascii="Times New Roman" w:hAnsi="Times New Roman" w:cs="Times New Roman"/>
                <w:sz w:val="16"/>
                <w:szCs w:val="16"/>
              </w:rPr>
              <w:t>Validation of solar radiation products</w:t>
            </w:r>
          </w:p>
        </w:tc>
      </w:tr>
      <w:tr w:rsidR="00361478" w:rsidRPr="00361478" w14:paraId="79AE105F" w14:textId="77777777" w:rsidTr="00361478">
        <w:trPr>
          <w:tblCellSpacing w:w="15" w:type="dxa"/>
        </w:trPr>
        <w:tc>
          <w:tcPr>
            <w:tcW w:w="0" w:type="auto"/>
            <w:vAlign w:val="center"/>
            <w:hideMark/>
          </w:tcPr>
          <w:p w14:paraId="0882E305" w14:textId="77777777" w:rsidR="00361478" w:rsidRPr="00141EEA" w:rsidRDefault="00361478" w:rsidP="00361478">
            <w:pPr>
              <w:jc w:val="both"/>
              <w:rPr>
                <w:rFonts w:ascii="Times New Roman" w:hAnsi="Times New Roman" w:cs="Times New Roman"/>
                <w:sz w:val="16"/>
                <w:szCs w:val="16"/>
              </w:rPr>
            </w:pPr>
            <w:r w:rsidRPr="00141EEA">
              <w:rPr>
                <w:rFonts w:ascii="Times New Roman" w:hAnsi="Times New Roman" w:cs="Times New Roman"/>
                <w:sz w:val="16"/>
                <w:szCs w:val="16"/>
              </w:rPr>
              <w:t>Ground-based PV production measurements</w:t>
            </w:r>
          </w:p>
        </w:tc>
        <w:tc>
          <w:tcPr>
            <w:tcW w:w="0" w:type="auto"/>
            <w:vAlign w:val="center"/>
            <w:hideMark/>
          </w:tcPr>
          <w:p w14:paraId="204BE7D2" w14:textId="77777777" w:rsidR="00361478" w:rsidRPr="00141EEA" w:rsidRDefault="00361478" w:rsidP="00361478">
            <w:pPr>
              <w:jc w:val="both"/>
              <w:rPr>
                <w:rFonts w:ascii="Times New Roman" w:hAnsi="Times New Roman" w:cs="Times New Roman"/>
                <w:sz w:val="16"/>
                <w:szCs w:val="16"/>
              </w:rPr>
            </w:pPr>
            <w:r w:rsidRPr="00141EEA">
              <w:rPr>
                <w:rFonts w:ascii="Times New Roman" w:hAnsi="Times New Roman" w:cs="Times New Roman"/>
                <w:sz w:val="16"/>
                <w:szCs w:val="16"/>
              </w:rPr>
              <w:t>–</w:t>
            </w:r>
          </w:p>
        </w:tc>
        <w:tc>
          <w:tcPr>
            <w:tcW w:w="0" w:type="auto"/>
            <w:vAlign w:val="center"/>
            <w:hideMark/>
          </w:tcPr>
          <w:p w14:paraId="1B093530" w14:textId="77777777" w:rsidR="00361478" w:rsidRPr="00141EEA" w:rsidRDefault="00361478" w:rsidP="00361478">
            <w:pPr>
              <w:jc w:val="both"/>
              <w:rPr>
                <w:rFonts w:ascii="Times New Roman" w:hAnsi="Times New Roman" w:cs="Times New Roman"/>
                <w:sz w:val="16"/>
                <w:szCs w:val="16"/>
              </w:rPr>
            </w:pPr>
            <w:r w:rsidRPr="00141EEA">
              <w:rPr>
                <w:rFonts w:ascii="Segoe UI Symbol" w:hAnsi="Segoe UI Symbol" w:cs="Segoe UI Symbol"/>
                <w:sz w:val="16"/>
                <w:szCs w:val="16"/>
              </w:rPr>
              <w:t>✓</w:t>
            </w:r>
          </w:p>
        </w:tc>
        <w:tc>
          <w:tcPr>
            <w:tcW w:w="0" w:type="auto"/>
            <w:vAlign w:val="center"/>
            <w:hideMark/>
          </w:tcPr>
          <w:p w14:paraId="4B4A3A5E" w14:textId="77777777" w:rsidR="00361478" w:rsidRPr="00141EEA" w:rsidRDefault="00361478" w:rsidP="00361478">
            <w:pPr>
              <w:jc w:val="both"/>
              <w:rPr>
                <w:rFonts w:ascii="Times New Roman" w:hAnsi="Times New Roman" w:cs="Times New Roman"/>
                <w:sz w:val="16"/>
                <w:szCs w:val="16"/>
              </w:rPr>
            </w:pPr>
            <w:r w:rsidRPr="00141EEA">
              <w:rPr>
                <w:rFonts w:ascii="Times New Roman" w:hAnsi="Times New Roman" w:cs="Times New Roman"/>
                <w:sz w:val="16"/>
                <w:szCs w:val="16"/>
              </w:rPr>
              <w:t>Calibration and validation of GSEE photovoltaic simulations</w:t>
            </w:r>
          </w:p>
        </w:tc>
      </w:tr>
    </w:tbl>
    <w:p w14:paraId="3C014CE1" w14:textId="77777777" w:rsidR="006C4CA8" w:rsidRPr="006C4CA8" w:rsidRDefault="006C4CA8" w:rsidP="006C4CA8">
      <w:pPr>
        <w:jc w:val="both"/>
      </w:pPr>
    </w:p>
    <w:p w14:paraId="1FDEBD23" w14:textId="77777777" w:rsidR="00361478" w:rsidRPr="00141EEA" w:rsidRDefault="00361478" w:rsidP="00141EEA">
      <w:pPr>
        <w:jc w:val="center"/>
        <w:rPr>
          <w:rFonts w:ascii="Arial" w:hAnsi="Arial" w:cs="Arial"/>
          <w:i/>
          <w:iCs/>
          <w:sz w:val="20"/>
          <w:szCs w:val="20"/>
        </w:rPr>
      </w:pPr>
      <w:r w:rsidRPr="00141EEA">
        <w:rPr>
          <w:rFonts w:ascii="Arial" w:hAnsi="Arial" w:cs="Arial"/>
          <w:i/>
          <w:iCs/>
          <w:sz w:val="20"/>
          <w:szCs w:val="20"/>
        </w:rPr>
        <w:lastRenderedPageBreak/>
        <w:t>2.2. From Copernicus data to climate services</w:t>
      </w:r>
    </w:p>
    <w:p w14:paraId="3F0AB1F8" w14:textId="77777777" w:rsidR="00361478" w:rsidRPr="00141EEA" w:rsidRDefault="00361478" w:rsidP="00361478">
      <w:pPr>
        <w:jc w:val="both"/>
        <w:rPr>
          <w:rFonts w:ascii="Times New Roman" w:hAnsi="Times New Roman" w:cs="Times New Roman"/>
          <w:sz w:val="20"/>
          <w:szCs w:val="20"/>
        </w:rPr>
      </w:pPr>
      <w:r w:rsidRPr="00141EEA">
        <w:rPr>
          <w:rFonts w:ascii="Times New Roman" w:hAnsi="Times New Roman" w:cs="Times New Roman"/>
          <w:sz w:val="20"/>
          <w:szCs w:val="20"/>
        </w:rPr>
        <w:t xml:space="preserve">Climate services transform large volumes of climate and environmental data into tailored information that supports evidence-based decision-making (Vaughan and </w:t>
      </w:r>
      <w:proofErr w:type="spellStart"/>
      <w:r w:rsidRPr="00141EEA">
        <w:rPr>
          <w:rFonts w:ascii="Times New Roman" w:hAnsi="Times New Roman" w:cs="Times New Roman"/>
          <w:sz w:val="20"/>
          <w:szCs w:val="20"/>
        </w:rPr>
        <w:t>Dessai</w:t>
      </w:r>
      <w:proofErr w:type="spellEnd"/>
      <w:r w:rsidRPr="00141EEA">
        <w:rPr>
          <w:rFonts w:ascii="Times New Roman" w:hAnsi="Times New Roman" w:cs="Times New Roman"/>
          <w:sz w:val="20"/>
          <w:szCs w:val="20"/>
        </w:rPr>
        <w:t xml:space="preserve">, 2014; </w:t>
      </w:r>
      <w:proofErr w:type="spellStart"/>
      <w:r w:rsidRPr="00141EEA">
        <w:rPr>
          <w:rFonts w:ascii="Times New Roman" w:hAnsi="Times New Roman" w:cs="Times New Roman"/>
          <w:sz w:val="20"/>
          <w:szCs w:val="20"/>
        </w:rPr>
        <w:t>Palutikof</w:t>
      </w:r>
      <w:proofErr w:type="spellEnd"/>
      <w:r w:rsidRPr="00141EEA">
        <w:rPr>
          <w:rFonts w:ascii="Times New Roman" w:hAnsi="Times New Roman" w:cs="Times New Roman"/>
          <w:sz w:val="20"/>
          <w:szCs w:val="20"/>
        </w:rPr>
        <w:t xml:space="preserve"> et al., 2019). Rather than simply providing access to climate datasets, they combine observations, model output, scientific expertise and user requirements to produce application-specific indicators, forecasts and decision-support products (</w:t>
      </w:r>
      <w:proofErr w:type="spellStart"/>
      <w:r w:rsidRPr="00141EEA">
        <w:rPr>
          <w:rFonts w:ascii="Times New Roman" w:hAnsi="Times New Roman" w:cs="Times New Roman"/>
          <w:sz w:val="20"/>
          <w:szCs w:val="20"/>
        </w:rPr>
        <w:t>Goodess</w:t>
      </w:r>
      <w:proofErr w:type="spellEnd"/>
      <w:r w:rsidRPr="00141EEA">
        <w:rPr>
          <w:rFonts w:ascii="Times New Roman" w:hAnsi="Times New Roman" w:cs="Times New Roman"/>
          <w:sz w:val="20"/>
          <w:szCs w:val="20"/>
        </w:rPr>
        <w:t xml:space="preserve"> et al., 2019; Dubus et al., 2023).</w:t>
      </w:r>
    </w:p>
    <w:p w14:paraId="185A5129" w14:textId="36D2A4EF" w:rsidR="00361478" w:rsidRPr="00141EEA" w:rsidRDefault="00361478" w:rsidP="00361478">
      <w:pPr>
        <w:jc w:val="both"/>
        <w:rPr>
          <w:rFonts w:ascii="Times New Roman" w:hAnsi="Times New Roman" w:cs="Times New Roman"/>
          <w:sz w:val="20"/>
          <w:szCs w:val="20"/>
        </w:rPr>
      </w:pPr>
      <w:r w:rsidRPr="00141EEA">
        <w:rPr>
          <w:rFonts w:ascii="Times New Roman" w:hAnsi="Times New Roman" w:cs="Times New Roman"/>
          <w:sz w:val="20"/>
          <w:szCs w:val="20"/>
        </w:rPr>
        <w:t>The development of a climate service typically involves a sequence of processing steps that convert raw climate information into products suitable for end users. These include data acquisition from operational services such as C3S and CAMS, quality control, statistical post-processing, spatial downscaling, bias adjustment, derivation of sector-specific indicators and visualization through interactive platforms. Continuous interaction with stakeholders is an equally important component, ensuring that the resulting products address operational needs and can be effectively integrated into planning and decision-making processes.</w:t>
      </w:r>
    </w:p>
    <w:p w14:paraId="5BE8521B" w14:textId="77777777" w:rsidR="00361478" w:rsidRPr="00141EEA" w:rsidRDefault="00361478" w:rsidP="00361478">
      <w:pPr>
        <w:jc w:val="both"/>
        <w:rPr>
          <w:rFonts w:ascii="Times New Roman" w:hAnsi="Times New Roman" w:cs="Times New Roman"/>
          <w:sz w:val="20"/>
          <w:szCs w:val="20"/>
        </w:rPr>
      </w:pPr>
      <w:r w:rsidRPr="00141EEA">
        <w:rPr>
          <w:rFonts w:ascii="Times New Roman" w:hAnsi="Times New Roman" w:cs="Times New Roman"/>
          <w:sz w:val="20"/>
          <w:szCs w:val="20"/>
        </w:rPr>
        <w:t xml:space="preserve">The climate services presented in this study follow this general framework but target different user communities and spatial scales. Within C3S NCP Greece, </w:t>
      </w:r>
      <w:proofErr w:type="spellStart"/>
      <w:r w:rsidRPr="00141EEA">
        <w:rPr>
          <w:rFonts w:ascii="Times New Roman" w:hAnsi="Times New Roman" w:cs="Times New Roman"/>
          <w:sz w:val="20"/>
          <w:szCs w:val="20"/>
        </w:rPr>
        <w:t>ClimateHub</w:t>
      </w:r>
      <w:proofErr w:type="spellEnd"/>
      <w:r w:rsidRPr="00141EEA">
        <w:rPr>
          <w:rFonts w:ascii="Times New Roman" w:hAnsi="Times New Roman" w:cs="Times New Roman"/>
          <w:sz w:val="20"/>
          <w:szCs w:val="20"/>
        </w:rPr>
        <w:t xml:space="preserve"> focuses on transforming Copernicus datasets into operational national-scale products, including seasonal forecasts and decadal outlooks of renewable-energy production and electricity demand. In contrast, ReEnergy-MED extends this workflow by incorporating higher-resolution regional datasets, atmospheric information from CAMS, statistical downscaling, bias correction and photovoltaic energy modelling to generate site-specific climate services for demonstration cases across the Mediterranean.</w:t>
      </w:r>
    </w:p>
    <w:p w14:paraId="7AA2C932" w14:textId="77777777" w:rsidR="00361478" w:rsidRPr="00141EEA" w:rsidRDefault="00361478" w:rsidP="00361478">
      <w:pPr>
        <w:jc w:val="both"/>
        <w:rPr>
          <w:rFonts w:ascii="Times New Roman" w:hAnsi="Times New Roman" w:cs="Times New Roman"/>
          <w:sz w:val="20"/>
          <w:szCs w:val="20"/>
        </w:rPr>
      </w:pPr>
      <w:r w:rsidRPr="00141EEA">
        <w:rPr>
          <w:rFonts w:ascii="Times New Roman" w:hAnsi="Times New Roman" w:cs="Times New Roman"/>
          <w:sz w:val="20"/>
          <w:szCs w:val="20"/>
        </w:rPr>
        <w:t>Together, these complementary approaches illustrate how Copernicus data can be translated into operational decision-support tools, providing stakeholders with scientifically robust, user-oriented information for renewable-energy planning, system operation and long-term investment.</w:t>
      </w:r>
    </w:p>
    <w:p w14:paraId="02596861" w14:textId="77777777" w:rsidR="00361478" w:rsidRPr="00141EEA" w:rsidRDefault="00361478" w:rsidP="00141EEA">
      <w:pPr>
        <w:jc w:val="center"/>
        <w:rPr>
          <w:rFonts w:ascii="Arial" w:hAnsi="Arial" w:cs="Arial"/>
          <w:i/>
          <w:iCs/>
          <w:sz w:val="20"/>
          <w:szCs w:val="20"/>
        </w:rPr>
      </w:pPr>
      <w:r w:rsidRPr="00141EEA">
        <w:rPr>
          <w:rFonts w:ascii="Arial" w:hAnsi="Arial" w:cs="Arial"/>
          <w:i/>
          <w:iCs/>
          <w:sz w:val="20"/>
          <w:szCs w:val="20"/>
        </w:rPr>
        <w:t>2.3. Photovoltaic energy modelling using GSEE</w:t>
      </w:r>
    </w:p>
    <w:p w14:paraId="3B0613DA" w14:textId="2872B0D6" w:rsidR="00361478" w:rsidRPr="00141EEA" w:rsidRDefault="00361478" w:rsidP="00361478">
      <w:pPr>
        <w:jc w:val="both"/>
        <w:rPr>
          <w:rFonts w:ascii="Times New Roman" w:hAnsi="Times New Roman" w:cs="Times New Roman"/>
          <w:sz w:val="20"/>
          <w:szCs w:val="20"/>
        </w:rPr>
      </w:pPr>
      <w:r w:rsidRPr="00141EEA">
        <w:rPr>
          <w:rFonts w:ascii="Times New Roman" w:hAnsi="Times New Roman" w:cs="Times New Roman"/>
          <w:sz w:val="20"/>
          <w:szCs w:val="20"/>
        </w:rPr>
        <w:t>To translate climate information into estimates of photovoltaic (PV) electricity production, this study employs the Global Solar Energy Estimator (GSEE), an open-source photovoltaic performance model specifically designed for applications based on meteorological and climate datasets (Pfenninger and Staffell, 2016). GSEE has been widely used to simulate PV energy production across temporal scales ranging from individual days to multi-decadal climate projections (</w:t>
      </w:r>
      <w:r w:rsidR="006702EE" w:rsidRPr="00141EEA">
        <w:rPr>
          <w:rFonts w:ascii="Times New Roman" w:hAnsi="Times New Roman" w:cs="Times New Roman"/>
          <w:sz w:val="20"/>
          <w:szCs w:val="20"/>
        </w:rPr>
        <w:t xml:space="preserve">e.g., </w:t>
      </w:r>
      <w:r w:rsidRPr="00141EEA">
        <w:rPr>
          <w:rFonts w:ascii="Times New Roman" w:hAnsi="Times New Roman" w:cs="Times New Roman"/>
          <w:sz w:val="20"/>
          <w:szCs w:val="20"/>
        </w:rPr>
        <w:t>Papadimitriou et al., 2026).</w:t>
      </w:r>
    </w:p>
    <w:p w14:paraId="73345807" w14:textId="12816223" w:rsidR="00361478" w:rsidRPr="00141EEA" w:rsidRDefault="00361478" w:rsidP="00361478">
      <w:pPr>
        <w:jc w:val="both"/>
        <w:rPr>
          <w:rFonts w:ascii="Times New Roman" w:hAnsi="Times New Roman" w:cs="Times New Roman"/>
          <w:sz w:val="20"/>
          <w:szCs w:val="20"/>
        </w:rPr>
      </w:pPr>
      <w:r w:rsidRPr="00141EEA">
        <w:rPr>
          <w:rFonts w:ascii="Times New Roman" w:hAnsi="Times New Roman" w:cs="Times New Roman"/>
          <w:sz w:val="20"/>
          <w:szCs w:val="20"/>
        </w:rPr>
        <w:t>GSEE estimates the electricity production of grid-connected PV systems using surface solar radiation and near-surface air temperature together with user-defined system characteristics, including installed capacity, module technology, panel orientation, tilt angle, tracking configuration and system losses. When direct and diffuse irradiance measurements are unavailable, the model derives the diffuse component from global solar radiation using physically based parameterizations, enabling robust simulations under a wide range of atmospheric conditions.</w:t>
      </w:r>
    </w:p>
    <w:p w14:paraId="3A22007A" w14:textId="62DB4E05" w:rsidR="00361478" w:rsidRPr="00141EEA" w:rsidRDefault="00361478" w:rsidP="00361478">
      <w:pPr>
        <w:jc w:val="both"/>
        <w:rPr>
          <w:rFonts w:ascii="Times New Roman" w:hAnsi="Times New Roman" w:cs="Times New Roman"/>
          <w:sz w:val="20"/>
          <w:szCs w:val="20"/>
        </w:rPr>
      </w:pPr>
      <w:r w:rsidRPr="00141EEA">
        <w:rPr>
          <w:rFonts w:ascii="Times New Roman" w:hAnsi="Times New Roman" w:cs="Times New Roman"/>
          <w:sz w:val="20"/>
          <w:szCs w:val="20"/>
        </w:rPr>
        <w:t xml:space="preserve">Within the present study, GSEE constitutes the common modelling framework used to transform Copernicus climate information into photovoltaic energy estimates. In </w:t>
      </w:r>
      <w:proofErr w:type="spellStart"/>
      <w:r w:rsidRPr="00141EEA">
        <w:rPr>
          <w:rFonts w:ascii="Times New Roman" w:hAnsi="Times New Roman" w:cs="Times New Roman"/>
          <w:sz w:val="20"/>
          <w:szCs w:val="20"/>
        </w:rPr>
        <w:t>ClimateHub</w:t>
      </w:r>
      <w:proofErr w:type="spellEnd"/>
      <w:r w:rsidRPr="00141EEA">
        <w:rPr>
          <w:rFonts w:ascii="Times New Roman" w:hAnsi="Times New Roman" w:cs="Times New Roman"/>
          <w:sz w:val="20"/>
          <w:szCs w:val="20"/>
        </w:rPr>
        <w:t>, the model is driven by seasonal forecasts and climate projections to generate national-scale outlooks of photovoltaic energy production. In ReEnergy-MED, GSEE is coupled with statistically downscaled and bias-adjusted climate datasets</w:t>
      </w:r>
      <w:r w:rsidR="006702EE" w:rsidRPr="00141EEA">
        <w:rPr>
          <w:rFonts w:ascii="Times New Roman" w:hAnsi="Times New Roman" w:cs="Times New Roman"/>
          <w:sz w:val="20"/>
          <w:szCs w:val="20"/>
        </w:rPr>
        <w:t xml:space="preserve"> and</w:t>
      </w:r>
      <w:r w:rsidRPr="00141EEA">
        <w:rPr>
          <w:rFonts w:ascii="Times New Roman" w:hAnsi="Times New Roman" w:cs="Times New Roman"/>
          <w:sz w:val="20"/>
          <w:szCs w:val="20"/>
        </w:rPr>
        <w:t xml:space="preserve"> high-resolution regional products to produce site-specific simulations for the demonstration sites in Greece and Morocco.</w:t>
      </w:r>
    </w:p>
    <w:p w14:paraId="45790C94" w14:textId="269797EF" w:rsidR="00361478" w:rsidRPr="00FF2226" w:rsidRDefault="00361478" w:rsidP="00361478">
      <w:pPr>
        <w:jc w:val="both"/>
        <w:rPr>
          <w:rFonts w:ascii="Times New Roman" w:hAnsi="Times New Roman" w:cs="Times New Roman"/>
          <w:sz w:val="20"/>
          <w:szCs w:val="20"/>
        </w:rPr>
      </w:pPr>
      <w:r w:rsidRPr="00141EEA">
        <w:rPr>
          <w:rFonts w:ascii="Times New Roman" w:hAnsi="Times New Roman" w:cs="Times New Roman"/>
          <w:sz w:val="20"/>
          <w:szCs w:val="20"/>
        </w:rPr>
        <w:t xml:space="preserve">Model performance is evaluated through comparisons with ground-based measurements of solar radiation and photovoltaic electricity production available at the demonstration sites. This validation strategy enables the </w:t>
      </w:r>
      <w:r w:rsidRPr="00141EEA">
        <w:rPr>
          <w:rFonts w:ascii="Times New Roman" w:hAnsi="Times New Roman" w:cs="Times New Roman"/>
          <w:sz w:val="20"/>
          <w:szCs w:val="20"/>
        </w:rPr>
        <w:lastRenderedPageBreak/>
        <w:t>quantification of modelling uncertainties and provides confidence in the operational application of the developed climate services. The validation methodology and preliminary results are presented in Section 3.3.</w:t>
      </w:r>
    </w:p>
    <w:p w14:paraId="6155FC99" w14:textId="77777777" w:rsidR="00C96E20" w:rsidRPr="00FF2226" w:rsidRDefault="00C96E20" w:rsidP="00361478">
      <w:pPr>
        <w:jc w:val="both"/>
        <w:rPr>
          <w:rFonts w:ascii="Times New Roman" w:hAnsi="Times New Roman" w:cs="Times New Roman"/>
          <w:sz w:val="20"/>
          <w:szCs w:val="20"/>
        </w:rPr>
      </w:pPr>
    </w:p>
    <w:p w14:paraId="162EC3AE" w14:textId="77777777" w:rsidR="00361478" w:rsidRPr="00141EEA" w:rsidRDefault="00361478" w:rsidP="00141EEA">
      <w:pPr>
        <w:jc w:val="center"/>
        <w:rPr>
          <w:rFonts w:ascii="Arial" w:hAnsi="Arial" w:cs="Arial"/>
          <w:b/>
          <w:bCs/>
          <w:sz w:val="20"/>
          <w:szCs w:val="20"/>
        </w:rPr>
      </w:pPr>
      <w:r w:rsidRPr="00141EEA">
        <w:rPr>
          <w:rFonts w:ascii="Arial" w:hAnsi="Arial" w:cs="Arial"/>
          <w:b/>
          <w:bCs/>
          <w:sz w:val="20"/>
          <w:szCs w:val="20"/>
        </w:rPr>
        <w:t>3. Services and preliminary results</w:t>
      </w:r>
    </w:p>
    <w:p w14:paraId="1B15B13F" w14:textId="77777777" w:rsidR="00361478" w:rsidRPr="00141EEA" w:rsidRDefault="00361478" w:rsidP="00141EEA">
      <w:pPr>
        <w:jc w:val="center"/>
        <w:rPr>
          <w:rFonts w:ascii="Arial" w:hAnsi="Arial" w:cs="Arial"/>
          <w:i/>
          <w:iCs/>
          <w:sz w:val="20"/>
          <w:szCs w:val="20"/>
        </w:rPr>
      </w:pPr>
      <w:r w:rsidRPr="00141EEA">
        <w:rPr>
          <w:rFonts w:ascii="Arial" w:hAnsi="Arial" w:cs="Arial"/>
          <w:i/>
          <w:iCs/>
          <w:sz w:val="20"/>
          <w:szCs w:val="20"/>
        </w:rPr>
        <w:t>3.1. From Climate Data to Climate Services: C3S NCP Greece</w:t>
      </w:r>
    </w:p>
    <w:p w14:paraId="3AB6426A" w14:textId="77777777" w:rsidR="00361478" w:rsidRPr="00141EEA" w:rsidRDefault="00361478" w:rsidP="00361478">
      <w:pPr>
        <w:jc w:val="both"/>
        <w:rPr>
          <w:rFonts w:ascii="Times New Roman" w:hAnsi="Times New Roman" w:cs="Times New Roman"/>
          <w:sz w:val="20"/>
          <w:szCs w:val="20"/>
        </w:rPr>
      </w:pPr>
      <w:r w:rsidRPr="00141EEA">
        <w:rPr>
          <w:rFonts w:ascii="Times New Roman" w:hAnsi="Times New Roman" w:cs="Times New Roman"/>
          <w:sz w:val="20"/>
          <w:szCs w:val="20"/>
        </w:rPr>
        <w:t xml:space="preserve">The </w:t>
      </w:r>
      <w:proofErr w:type="spellStart"/>
      <w:r w:rsidRPr="00141EEA">
        <w:rPr>
          <w:rFonts w:ascii="Times New Roman" w:hAnsi="Times New Roman" w:cs="Times New Roman"/>
          <w:b/>
          <w:bCs/>
          <w:sz w:val="20"/>
          <w:szCs w:val="20"/>
        </w:rPr>
        <w:t>ClimateHub</w:t>
      </w:r>
      <w:proofErr w:type="spellEnd"/>
      <w:r w:rsidRPr="00141EEA">
        <w:rPr>
          <w:rFonts w:ascii="Times New Roman" w:hAnsi="Times New Roman" w:cs="Times New Roman"/>
          <w:sz w:val="20"/>
          <w:szCs w:val="20"/>
        </w:rPr>
        <w:t xml:space="preserve"> platform, developed within the Copernicus Climate Change Service National Collaboration </w:t>
      </w:r>
      <w:proofErr w:type="spellStart"/>
      <w:r w:rsidRPr="00141EEA">
        <w:rPr>
          <w:rFonts w:ascii="Times New Roman" w:hAnsi="Times New Roman" w:cs="Times New Roman"/>
          <w:sz w:val="20"/>
          <w:szCs w:val="20"/>
        </w:rPr>
        <w:t>Programme</w:t>
      </w:r>
      <w:proofErr w:type="spellEnd"/>
      <w:r w:rsidRPr="00141EEA">
        <w:rPr>
          <w:rFonts w:ascii="Times New Roman" w:hAnsi="Times New Roman" w:cs="Times New Roman"/>
          <w:sz w:val="20"/>
          <w:szCs w:val="20"/>
        </w:rPr>
        <w:t xml:space="preserve"> (C3S NCP </w:t>
      </w:r>
      <w:r w:rsidRPr="00C96E20">
        <w:rPr>
          <w:rFonts w:ascii="Times New Roman" w:hAnsi="Times New Roman" w:cs="Times New Roman"/>
          <w:sz w:val="20"/>
          <w:szCs w:val="20"/>
        </w:rPr>
        <w:t>Greece), provides operational climate services that translate Copernicus climate information into decision-support products for the Greek energy sector (</w:t>
      </w:r>
      <w:proofErr w:type="spellStart"/>
      <w:r w:rsidRPr="00C96E20">
        <w:rPr>
          <w:rFonts w:ascii="Times New Roman" w:hAnsi="Times New Roman" w:cs="Times New Roman"/>
          <w:sz w:val="20"/>
          <w:szCs w:val="20"/>
        </w:rPr>
        <w:t>Kartsios</w:t>
      </w:r>
      <w:proofErr w:type="spellEnd"/>
      <w:r w:rsidRPr="00C96E20">
        <w:rPr>
          <w:rFonts w:ascii="Times New Roman" w:hAnsi="Times New Roman" w:cs="Times New Roman"/>
          <w:sz w:val="20"/>
          <w:szCs w:val="20"/>
        </w:rPr>
        <w:t xml:space="preserve"> et al., 2025). Building upon</w:t>
      </w:r>
      <w:r w:rsidRPr="00141EEA">
        <w:rPr>
          <w:rFonts w:ascii="Times New Roman" w:hAnsi="Times New Roman" w:cs="Times New Roman"/>
          <w:sz w:val="20"/>
          <w:szCs w:val="20"/>
        </w:rPr>
        <w:t xml:space="preserve"> C3S datasets and prediction systems, the platform delivers user-oriented products that support renewable-energy management and climate-informed planning through an interactive web portal (</w:t>
      </w:r>
      <w:hyperlink r:id="rId12" w:history="1">
        <w:r w:rsidRPr="00141EEA">
          <w:rPr>
            <w:rStyle w:val="Hyperlink"/>
            <w:rFonts w:ascii="Times New Roman" w:hAnsi="Times New Roman" w:cs="Times New Roman"/>
            <w:sz w:val="20"/>
            <w:szCs w:val="20"/>
          </w:rPr>
          <w:t>https://portal.climatehub.gr</w:t>
        </w:r>
      </w:hyperlink>
      <w:r w:rsidRPr="00141EEA">
        <w:rPr>
          <w:rFonts w:ascii="Times New Roman" w:hAnsi="Times New Roman" w:cs="Times New Roman"/>
          <w:sz w:val="20"/>
          <w:szCs w:val="20"/>
        </w:rPr>
        <w:t>).</w:t>
      </w:r>
    </w:p>
    <w:p w14:paraId="7D1EABB4" w14:textId="77777777" w:rsidR="00361478" w:rsidRPr="00141EEA" w:rsidRDefault="00361478" w:rsidP="00361478">
      <w:pPr>
        <w:jc w:val="both"/>
        <w:rPr>
          <w:rFonts w:ascii="Times New Roman" w:hAnsi="Times New Roman" w:cs="Times New Roman"/>
          <w:sz w:val="20"/>
          <w:szCs w:val="20"/>
        </w:rPr>
      </w:pPr>
      <w:proofErr w:type="spellStart"/>
      <w:r w:rsidRPr="00141EEA">
        <w:rPr>
          <w:rFonts w:ascii="Times New Roman" w:hAnsi="Times New Roman" w:cs="Times New Roman"/>
          <w:sz w:val="20"/>
          <w:szCs w:val="20"/>
        </w:rPr>
        <w:t>ClimateHub</w:t>
      </w:r>
      <w:proofErr w:type="spellEnd"/>
      <w:r w:rsidRPr="00141EEA">
        <w:rPr>
          <w:rFonts w:ascii="Times New Roman" w:hAnsi="Times New Roman" w:cs="Times New Roman"/>
          <w:sz w:val="20"/>
          <w:szCs w:val="20"/>
        </w:rPr>
        <w:t xml:space="preserve"> currently provides seasonal forecasts (up to three months ahead) and decadal outlooks of renewable-energy production and electricity demand at the national and regional scales. The services are based on ECMWF SEAS5 seasonal forecasts, CMIP6 decadal climate predictions, ERA5 reanalysis and ENTSO-E electricity-demand data, which are combined with the Global Solar Energy Estimator (GSEE) model and wind-power conversion algorithms to derive energy-specific indicators. The resulting products include probabilistic forecasts of photovoltaic and wind energy production, as well as climate-informed estimates of electricity demand, enabling users to assess both expected conditions and forecast uncertainty.</w:t>
      </w:r>
    </w:p>
    <w:p w14:paraId="1CAE185F" w14:textId="77777777" w:rsidR="00361478" w:rsidRPr="00141EEA" w:rsidRDefault="00361478" w:rsidP="00361478">
      <w:pPr>
        <w:jc w:val="both"/>
        <w:rPr>
          <w:rFonts w:ascii="Times New Roman" w:hAnsi="Times New Roman" w:cs="Times New Roman"/>
          <w:sz w:val="20"/>
          <w:szCs w:val="20"/>
        </w:rPr>
      </w:pPr>
      <w:r w:rsidRPr="00141EEA">
        <w:rPr>
          <w:rFonts w:ascii="Times New Roman" w:hAnsi="Times New Roman" w:cs="Times New Roman"/>
          <w:sz w:val="20"/>
          <w:szCs w:val="20"/>
        </w:rPr>
        <w:t xml:space="preserve">A key characteristic of </w:t>
      </w:r>
      <w:proofErr w:type="spellStart"/>
      <w:r w:rsidRPr="00141EEA">
        <w:rPr>
          <w:rFonts w:ascii="Times New Roman" w:hAnsi="Times New Roman" w:cs="Times New Roman"/>
          <w:sz w:val="20"/>
          <w:szCs w:val="20"/>
        </w:rPr>
        <w:t>ClimateHub</w:t>
      </w:r>
      <w:proofErr w:type="spellEnd"/>
      <w:r w:rsidRPr="00141EEA">
        <w:rPr>
          <w:rFonts w:ascii="Times New Roman" w:hAnsi="Times New Roman" w:cs="Times New Roman"/>
          <w:sz w:val="20"/>
          <w:szCs w:val="20"/>
        </w:rPr>
        <w:t xml:space="preserve"> is the transformation of complex climate datasets into intuitive products that are directly relevant to stakeholders. Forecasts are presented through interactive maps, regional time series, ensemble box plots and downloadable graphics, allowing users to explore both spatial variability and prediction uncertainty. The platform therefore provides information that is readily applicable by public authorities, energy companies, system operators and researchers involved in renewable-energy planning and climate adaptation.</w:t>
      </w:r>
    </w:p>
    <w:p w14:paraId="4D093F56" w14:textId="77777777" w:rsidR="00EB66AF" w:rsidRPr="00361478" w:rsidRDefault="00EB66AF" w:rsidP="00EB66AF">
      <w:pPr>
        <w:jc w:val="both"/>
        <w:rPr>
          <w:lang w:val="en"/>
        </w:rPr>
      </w:pPr>
      <w:r w:rsidRPr="00361478">
        <w:rPr>
          <w:noProof/>
          <w:lang w:val="en"/>
        </w:rPr>
        <w:drawing>
          <wp:inline distT="114300" distB="114300" distL="114300" distR="114300" wp14:anchorId="18DDB90B" wp14:editId="0D1088C8">
            <wp:extent cx="5283200" cy="1765300"/>
            <wp:effectExtent l="0" t="0" r="0" b="0"/>
            <wp:docPr id="2" name="image4.gif"/>
            <wp:cNvGraphicFramePr/>
            <a:graphic xmlns:a="http://schemas.openxmlformats.org/drawingml/2006/main">
              <a:graphicData uri="http://schemas.openxmlformats.org/drawingml/2006/picture">
                <pic:pic xmlns:pic="http://schemas.openxmlformats.org/drawingml/2006/picture">
                  <pic:nvPicPr>
                    <pic:cNvPr id="0" name="image4.gif"/>
                    <pic:cNvPicPr preferRelativeResize="0"/>
                  </pic:nvPicPr>
                  <pic:blipFill>
                    <a:blip r:embed="rId13"/>
                    <a:srcRect/>
                    <a:stretch>
                      <a:fillRect/>
                    </a:stretch>
                  </pic:blipFill>
                  <pic:spPr>
                    <a:xfrm>
                      <a:off x="0" y="0"/>
                      <a:ext cx="5283200" cy="1765300"/>
                    </a:xfrm>
                    <a:prstGeom prst="rect">
                      <a:avLst/>
                    </a:prstGeom>
                    <a:ln/>
                  </pic:spPr>
                </pic:pic>
              </a:graphicData>
            </a:graphic>
          </wp:inline>
        </w:drawing>
      </w:r>
    </w:p>
    <w:p w14:paraId="76CFB19D" w14:textId="366276FA" w:rsidR="00EB66AF" w:rsidRPr="00141EEA" w:rsidRDefault="00EB66AF" w:rsidP="00EB66AF">
      <w:pPr>
        <w:jc w:val="both"/>
        <w:rPr>
          <w:rFonts w:ascii="Times New Roman" w:hAnsi="Times New Roman" w:cs="Times New Roman"/>
          <w:b/>
          <w:bCs/>
          <w:sz w:val="16"/>
          <w:szCs w:val="16"/>
          <w:lang w:val="en"/>
        </w:rPr>
      </w:pPr>
      <w:r w:rsidRPr="00141EEA">
        <w:rPr>
          <w:rFonts w:ascii="Times New Roman" w:hAnsi="Times New Roman" w:cs="Times New Roman"/>
          <w:b/>
          <w:bCs/>
          <w:sz w:val="16"/>
          <w:szCs w:val="16"/>
          <w:lang w:val="en"/>
        </w:rPr>
        <w:t>Figure 1</w:t>
      </w:r>
      <w:r w:rsidR="00141EEA">
        <w:rPr>
          <w:rFonts w:ascii="Times New Roman" w:hAnsi="Times New Roman" w:cs="Times New Roman"/>
          <w:b/>
          <w:bCs/>
          <w:sz w:val="16"/>
          <w:szCs w:val="16"/>
          <w:lang w:val="en"/>
        </w:rPr>
        <w:t>.</w:t>
      </w:r>
      <w:r w:rsidRPr="00141EEA">
        <w:rPr>
          <w:rFonts w:ascii="Times New Roman" w:hAnsi="Times New Roman" w:cs="Times New Roman"/>
          <w:b/>
          <w:bCs/>
          <w:sz w:val="16"/>
          <w:szCs w:val="16"/>
          <w:lang w:val="en"/>
        </w:rPr>
        <w:t xml:space="preserve"> Workflow of the C3S-NCP </w:t>
      </w:r>
      <w:proofErr w:type="spellStart"/>
      <w:r w:rsidRPr="00141EEA">
        <w:rPr>
          <w:rFonts w:ascii="Times New Roman" w:hAnsi="Times New Roman" w:cs="Times New Roman"/>
          <w:b/>
          <w:bCs/>
          <w:sz w:val="16"/>
          <w:szCs w:val="16"/>
          <w:lang w:val="en"/>
        </w:rPr>
        <w:t>Climatehub</w:t>
      </w:r>
      <w:proofErr w:type="spellEnd"/>
      <w:r w:rsidRPr="00141EEA">
        <w:rPr>
          <w:rFonts w:ascii="Times New Roman" w:hAnsi="Times New Roman" w:cs="Times New Roman"/>
          <w:b/>
          <w:bCs/>
          <w:sz w:val="16"/>
          <w:szCs w:val="16"/>
          <w:lang w:val="en"/>
        </w:rPr>
        <w:t xml:space="preserve"> energy prediction system.</w:t>
      </w:r>
    </w:p>
    <w:p w14:paraId="5DE9B147" w14:textId="77777777" w:rsidR="00361478" w:rsidRPr="00141EEA" w:rsidRDefault="00361478" w:rsidP="00361478">
      <w:pPr>
        <w:jc w:val="both"/>
        <w:rPr>
          <w:rFonts w:ascii="Times New Roman" w:hAnsi="Times New Roman" w:cs="Times New Roman"/>
          <w:sz w:val="20"/>
          <w:szCs w:val="20"/>
        </w:rPr>
      </w:pPr>
      <w:r w:rsidRPr="00141EEA">
        <w:rPr>
          <w:rFonts w:ascii="Times New Roman" w:hAnsi="Times New Roman" w:cs="Times New Roman"/>
          <w:sz w:val="20"/>
          <w:szCs w:val="20"/>
        </w:rPr>
        <w:t xml:space="preserve">Figure 1 illustrates the overall workflow of the </w:t>
      </w:r>
      <w:proofErr w:type="spellStart"/>
      <w:r w:rsidRPr="00141EEA">
        <w:rPr>
          <w:rFonts w:ascii="Times New Roman" w:hAnsi="Times New Roman" w:cs="Times New Roman"/>
          <w:sz w:val="20"/>
          <w:szCs w:val="20"/>
        </w:rPr>
        <w:t>ClimateHub</w:t>
      </w:r>
      <w:proofErr w:type="spellEnd"/>
      <w:r w:rsidRPr="00141EEA">
        <w:rPr>
          <w:rFonts w:ascii="Times New Roman" w:hAnsi="Times New Roman" w:cs="Times New Roman"/>
          <w:sz w:val="20"/>
          <w:szCs w:val="20"/>
        </w:rPr>
        <w:t xml:space="preserve"> energy prediction system, from the acquisition of Copernicus climate information to the generation of renewable-energy indicators. An example of the operational products is presented in Figure 2, which shows the probabilistic forecast of the wind capacity factor for March 2026 over the Greek regions based on the ECMWF SEAS5 ensemble prediction system. In addition to the spatial distribution of the predicted capacity factor, the platform provides regional time series together with the full ensemble spread, enabling users to assess both the expected renewable-energy production and the associated forecast uncertainty.</w:t>
      </w:r>
    </w:p>
    <w:p w14:paraId="2F32DA23" w14:textId="77777777" w:rsidR="00EB66AF" w:rsidRPr="00EB66AF" w:rsidRDefault="00EB66AF" w:rsidP="00EB66AF">
      <w:pPr>
        <w:rPr>
          <w:lang w:val="en"/>
        </w:rPr>
      </w:pPr>
      <w:r w:rsidRPr="00EB66AF">
        <w:rPr>
          <w:noProof/>
          <w:lang w:val="en"/>
        </w:rPr>
        <w:lastRenderedPageBreak/>
        <w:drawing>
          <wp:inline distT="114300" distB="114300" distL="114300" distR="114300" wp14:anchorId="5D1BDE2D" wp14:editId="11273DE4">
            <wp:extent cx="5283200" cy="2654300"/>
            <wp:effectExtent l="0" t="0" r="0" b="0"/>
            <wp:docPr id="1" name="image6.gif"/>
            <wp:cNvGraphicFramePr/>
            <a:graphic xmlns:a="http://schemas.openxmlformats.org/drawingml/2006/main">
              <a:graphicData uri="http://schemas.openxmlformats.org/drawingml/2006/picture">
                <pic:pic xmlns:pic="http://schemas.openxmlformats.org/drawingml/2006/picture">
                  <pic:nvPicPr>
                    <pic:cNvPr id="0" name="image6.gif"/>
                    <pic:cNvPicPr preferRelativeResize="0"/>
                  </pic:nvPicPr>
                  <pic:blipFill>
                    <a:blip r:embed="rId14"/>
                    <a:srcRect/>
                    <a:stretch>
                      <a:fillRect/>
                    </a:stretch>
                  </pic:blipFill>
                  <pic:spPr>
                    <a:xfrm>
                      <a:off x="0" y="0"/>
                      <a:ext cx="5283200" cy="2654300"/>
                    </a:xfrm>
                    <a:prstGeom prst="rect">
                      <a:avLst/>
                    </a:prstGeom>
                    <a:ln/>
                  </pic:spPr>
                </pic:pic>
              </a:graphicData>
            </a:graphic>
          </wp:inline>
        </w:drawing>
      </w:r>
    </w:p>
    <w:p w14:paraId="4CE73653" w14:textId="7CABBC6E" w:rsidR="00EB66AF" w:rsidRPr="00141EEA" w:rsidRDefault="00EB66AF" w:rsidP="0000711E">
      <w:pPr>
        <w:jc w:val="both"/>
        <w:rPr>
          <w:rFonts w:ascii="Times New Roman" w:hAnsi="Times New Roman" w:cs="Times New Roman"/>
          <w:b/>
          <w:bCs/>
          <w:sz w:val="16"/>
          <w:szCs w:val="16"/>
          <w:lang w:val="en"/>
        </w:rPr>
      </w:pPr>
      <w:r w:rsidRPr="00141EEA">
        <w:rPr>
          <w:rFonts w:ascii="Times New Roman" w:hAnsi="Times New Roman" w:cs="Times New Roman"/>
          <w:b/>
          <w:bCs/>
          <w:sz w:val="16"/>
          <w:szCs w:val="16"/>
          <w:lang w:val="en"/>
        </w:rPr>
        <w:t>Figure 2</w:t>
      </w:r>
      <w:r w:rsidR="00141EEA">
        <w:rPr>
          <w:rFonts w:ascii="Times New Roman" w:hAnsi="Times New Roman" w:cs="Times New Roman"/>
          <w:b/>
          <w:bCs/>
          <w:sz w:val="16"/>
          <w:szCs w:val="16"/>
          <w:lang w:val="en"/>
        </w:rPr>
        <w:t>.</w:t>
      </w:r>
      <w:r w:rsidRPr="00141EEA">
        <w:rPr>
          <w:rFonts w:ascii="Times New Roman" w:hAnsi="Times New Roman" w:cs="Times New Roman"/>
          <w:b/>
          <w:bCs/>
          <w:sz w:val="16"/>
          <w:szCs w:val="16"/>
          <w:lang w:val="en"/>
        </w:rPr>
        <w:t xml:space="preserve"> Wind capacity factor in March 2026 based on ECMWF/SEAS5 seasonal forecasts (initialization 01 March 2026) for each Region in Greece. The pop-up window on the left depicts the timeseries of the average wind capacity factor for the period March-June 2026 (top) for the Region of Attica, while the box-plot time series (bottom) presents the spread of the ensemble members.</w:t>
      </w:r>
    </w:p>
    <w:p w14:paraId="00B09456" w14:textId="77777777" w:rsidR="00015FEB" w:rsidRDefault="00015FEB" w:rsidP="00141EEA">
      <w:pPr>
        <w:jc w:val="center"/>
        <w:rPr>
          <w:rFonts w:ascii="Arial" w:hAnsi="Arial" w:cs="Arial"/>
          <w:b/>
          <w:bCs/>
          <w:sz w:val="20"/>
          <w:szCs w:val="20"/>
        </w:rPr>
      </w:pPr>
    </w:p>
    <w:p w14:paraId="2D962535" w14:textId="7F6FD7A3" w:rsidR="00EB66AF" w:rsidRPr="00015FEB" w:rsidRDefault="00EB66AF" w:rsidP="00141EEA">
      <w:pPr>
        <w:jc w:val="center"/>
        <w:rPr>
          <w:rFonts w:ascii="Arial" w:hAnsi="Arial" w:cs="Arial"/>
          <w:i/>
          <w:iCs/>
          <w:sz w:val="20"/>
          <w:szCs w:val="20"/>
        </w:rPr>
      </w:pPr>
      <w:r w:rsidRPr="00015FEB">
        <w:rPr>
          <w:rFonts w:ascii="Arial" w:hAnsi="Arial" w:cs="Arial"/>
          <w:i/>
          <w:iCs/>
          <w:sz w:val="20"/>
          <w:szCs w:val="20"/>
        </w:rPr>
        <w:t>3.2. From Climate Services to Energy Applications: ReEnergy-MED</w:t>
      </w:r>
    </w:p>
    <w:p w14:paraId="741E25E9" w14:textId="77777777" w:rsidR="00EB66AF" w:rsidRPr="00015FEB" w:rsidRDefault="00EB66AF" w:rsidP="00EB66AF">
      <w:pPr>
        <w:jc w:val="both"/>
        <w:rPr>
          <w:rFonts w:ascii="Times New Roman" w:hAnsi="Times New Roman" w:cs="Times New Roman"/>
          <w:sz w:val="20"/>
          <w:szCs w:val="20"/>
        </w:rPr>
      </w:pPr>
      <w:r w:rsidRPr="00015FEB">
        <w:rPr>
          <w:rFonts w:ascii="Times New Roman" w:hAnsi="Times New Roman" w:cs="Times New Roman"/>
          <w:sz w:val="20"/>
          <w:szCs w:val="20"/>
        </w:rPr>
        <w:t xml:space="preserve">Building upon the operational climate services developed through </w:t>
      </w:r>
      <w:proofErr w:type="spellStart"/>
      <w:r w:rsidRPr="00015FEB">
        <w:rPr>
          <w:rFonts w:ascii="Times New Roman" w:hAnsi="Times New Roman" w:cs="Times New Roman"/>
          <w:sz w:val="20"/>
          <w:szCs w:val="20"/>
        </w:rPr>
        <w:t>ClimateHub</w:t>
      </w:r>
      <w:proofErr w:type="spellEnd"/>
      <w:r w:rsidRPr="00015FEB">
        <w:rPr>
          <w:rFonts w:ascii="Times New Roman" w:hAnsi="Times New Roman" w:cs="Times New Roman"/>
          <w:sz w:val="20"/>
          <w:szCs w:val="20"/>
        </w:rPr>
        <w:t xml:space="preserve">, the </w:t>
      </w:r>
      <w:r w:rsidRPr="00015FEB">
        <w:rPr>
          <w:rFonts w:ascii="Times New Roman" w:hAnsi="Times New Roman" w:cs="Times New Roman"/>
          <w:b/>
          <w:bCs/>
          <w:sz w:val="20"/>
          <w:szCs w:val="20"/>
        </w:rPr>
        <w:t>ReEnergy-MED</w:t>
      </w:r>
      <w:r w:rsidRPr="00015FEB">
        <w:rPr>
          <w:rFonts w:ascii="Times New Roman" w:hAnsi="Times New Roman" w:cs="Times New Roman"/>
          <w:sz w:val="20"/>
          <w:szCs w:val="20"/>
        </w:rPr>
        <w:t xml:space="preserve"> project extends the application of Copernicus climate information to site-specific solar-energy assessments across the Eastern and Southern Mediterranean. The project develops climate services tailored to the operational needs of renewable-energy stakeholders by combining products from the Copernicus Climate Change Service (C3S) and the Copernicus Atmosphere Monitoring Service (CAMS) with high-resolution regional modelling, statistical downscaling and photovoltaic energy simulations. The primary objective is to provide reliable seasonal forecasts and long-term climate projections of solar-energy production that support operational management, infrastructure planning and investment decisions in the renewable-energy sector.</w:t>
      </w:r>
    </w:p>
    <w:p w14:paraId="43A15CAC" w14:textId="77777777" w:rsidR="00EB66AF" w:rsidRPr="00015FEB" w:rsidRDefault="00EB66AF" w:rsidP="00EB66AF">
      <w:pPr>
        <w:jc w:val="both"/>
        <w:rPr>
          <w:rFonts w:ascii="Times New Roman" w:hAnsi="Times New Roman" w:cs="Times New Roman"/>
          <w:sz w:val="20"/>
          <w:szCs w:val="20"/>
        </w:rPr>
      </w:pPr>
      <w:r w:rsidRPr="00015FEB">
        <w:rPr>
          <w:rFonts w:ascii="Times New Roman" w:hAnsi="Times New Roman" w:cs="Times New Roman"/>
          <w:sz w:val="20"/>
          <w:szCs w:val="20"/>
        </w:rPr>
        <w:t xml:space="preserve">While </w:t>
      </w:r>
      <w:proofErr w:type="spellStart"/>
      <w:r w:rsidRPr="00015FEB">
        <w:rPr>
          <w:rFonts w:ascii="Times New Roman" w:hAnsi="Times New Roman" w:cs="Times New Roman"/>
          <w:sz w:val="20"/>
          <w:szCs w:val="20"/>
        </w:rPr>
        <w:t>ClimateHub</w:t>
      </w:r>
      <w:proofErr w:type="spellEnd"/>
      <w:r w:rsidRPr="00015FEB">
        <w:rPr>
          <w:rFonts w:ascii="Times New Roman" w:hAnsi="Times New Roman" w:cs="Times New Roman"/>
          <w:sz w:val="20"/>
          <w:szCs w:val="20"/>
        </w:rPr>
        <w:t xml:space="preserve"> provides national-scale seasonal forecasts and decadal outlooks for Greece, ReEnergy-MED advances this approach by delivering </w:t>
      </w:r>
      <w:r w:rsidRPr="00015FEB">
        <w:rPr>
          <w:rFonts w:ascii="Times New Roman" w:hAnsi="Times New Roman" w:cs="Times New Roman"/>
          <w:b/>
          <w:bCs/>
          <w:sz w:val="20"/>
          <w:szCs w:val="20"/>
        </w:rPr>
        <w:t>site-specific climate services</w:t>
      </w:r>
      <w:r w:rsidRPr="00015FEB">
        <w:rPr>
          <w:rFonts w:ascii="Times New Roman" w:hAnsi="Times New Roman" w:cs="Times New Roman"/>
          <w:sz w:val="20"/>
          <w:szCs w:val="20"/>
        </w:rPr>
        <w:t xml:space="preserve"> for selected photovoltaic installations in Greece and Morocco. The project employs the same photovoltaic modelling framework (GSEE) but complements it with bias-adjusted climate datasets, higher-resolution regional products (ERA5-Land and CERRA where appropriate), CAMS atmospheric information and local observations. This integrated approach enables a more accurate representation of the local climatic and atmospheric conditions affecting photovoltaic performance and allows the development of customized products for individual renewable-energy operators.</w:t>
      </w:r>
    </w:p>
    <w:p w14:paraId="0569F4EF" w14:textId="4E154DE6" w:rsidR="006D00E9" w:rsidRPr="00015FEB" w:rsidRDefault="00EB66AF" w:rsidP="006D00E9">
      <w:pPr>
        <w:jc w:val="both"/>
        <w:rPr>
          <w:rFonts w:ascii="Times New Roman" w:hAnsi="Times New Roman" w:cs="Times New Roman"/>
          <w:sz w:val="20"/>
          <w:szCs w:val="20"/>
        </w:rPr>
      </w:pPr>
      <w:r w:rsidRPr="00015FEB">
        <w:rPr>
          <w:rFonts w:ascii="Times New Roman" w:hAnsi="Times New Roman" w:cs="Times New Roman"/>
          <w:sz w:val="20"/>
          <w:szCs w:val="20"/>
        </w:rPr>
        <w:t xml:space="preserve">Three demonstration cases have been selected to represent different climatic, geographical and operational conditions across the Mediterranean (Figure 3). The first demonstration case focuses on photovoltaic parks operated by </w:t>
      </w:r>
      <w:proofErr w:type="spellStart"/>
      <w:r w:rsidRPr="00015FEB">
        <w:rPr>
          <w:rFonts w:ascii="Times New Roman" w:hAnsi="Times New Roman" w:cs="Times New Roman"/>
          <w:sz w:val="20"/>
          <w:szCs w:val="20"/>
        </w:rPr>
        <w:t>Zephiros</w:t>
      </w:r>
      <w:proofErr w:type="spellEnd"/>
      <w:r w:rsidRPr="00015FEB">
        <w:rPr>
          <w:rFonts w:ascii="Times New Roman" w:hAnsi="Times New Roman" w:cs="Times New Roman"/>
          <w:sz w:val="20"/>
          <w:szCs w:val="20"/>
        </w:rPr>
        <w:t xml:space="preserve"> S.A. in the Evros region of northern Greece, where seasonal climate information can support energy production forecasting and operational planning. The second demonstration case investigates three Greek islands that exhibit contrasting climatic conditions and rapidly increasing summer electricity demand driven by tourism. These islands provide an ideal environment for assessing the contribution of climate-informed solar-energy forecasts to future energy autonomy and adaptation planning. </w:t>
      </w:r>
      <w:r w:rsidR="006D00E9" w:rsidRPr="00015FEB">
        <w:rPr>
          <w:rFonts w:ascii="Times New Roman" w:hAnsi="Times New Roman" w:cs="Times New Roman"/>
          <w:sz w:val="20"/>
          <w:szCs w:val="20"/>
        </w:rPr>
        <w:t xml:space="preserve">The third demonstration case focuses on Morocco, where climate services are developed in collaboration with MASEN for both utility-scale photovoltaic </w:t>
      </w:r>
      <w:r w:rsidR="006D00E9" w:rsidRPr="00015FEB">
        <w:rPr>
          <w:rFonts w:ascii="Times New Roman" w:hAnsi="Times New Roman" w:cs="Times New Roman"/>
          <w:sz w:val="20"/>
          <w:szCs w:val="20"/>
        </w:rPr>
        <w:lastRenderedPageBreak/>
        <w:t>installations and earthquake-affected regions. In addition to supporting solar-energy planning and plant operation, the developed products are designed to quantify the local photovoltaic generation potential and future electricity demand, providing information that can support the deployment of resilient energy systems. This is particularly relevant for regions vulnerable to seismic hazards, where decentralized renewable-energy generation can contribute to maintaining electricity supply and improving energy autonomy in the event of damage to the transmission network.</w:t>
      </w:r>
    </w:p>
    <w:tbl>
      <w:tblPr>
        <w:tblW w:w="9329" w:type="dxa"/>
        <w:tblBorders>
          <w:top w:val="nil"/>
          <w:left w:val="nil"/>
          <w:bottom w:val="nil"/>
          <w:right w:val="nil"/>
          <w:insideH w:val="nil"/>
          <w:insideV w:val="nil"/>
        </w:tblBorders>
        <w:tblLayout w:type="fixed"/>
        <w:tblLook w:val="0600" w:firstRow="0" w:lastRow="0" w:firstColumn="0" w:lastColumn="0" w:noHBand="1" w:noVBand="1"/>
      </w:tblPr>
      <w:tblGrid>
        <w:gridCol w:w="3634"/>
        <w:gridCol w:w="2822"/>
        <w:gridCol w:w="2873"/>
      </w:tblGrid>
      <w:tr w:rsidR="00EB66AF" w:rsidRPr="00EB66AF" w14:paraId="0D6A0540" w14:textId="77777777" w:rsidTr="005135B7">
        <w:trPr>
          <w:trHeight w:val="2082"/>
        </w:trPr>
        <w:tc>
          <w:tcPr>
            <w:tcW w:w="3634"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399F560B" w14:textId="77777777" w:rsidR="00EB66AF" w:rsidRPr="00EB66AF" w:rsidRDefault="00EB66AF" w:rsidP="00EB66AF">
            <w:pPr>
              <w:jc w:val="both"/>
              <w:rPr>
                <w:lang w:val="en"/>
              </w:rPr>
            </w:pPr>
            <w:r w:rsidRPr="00EB66AF">
              <w:rPr>
                <w:noProof/>
                <w:lang w:val="en"/>
              </w:rPr>
              <w:drawing>
                <wp:inline distT="114300" distB="114300" distL="114300" distR="114300" wp14:anchorId="4A351FDB" wp14:editId="7313E195">
                  <wp:extent cx="2031558" cy="1264258"/>
                  <wp:effectExtent l="0" t="0" r="6985" b="0"/>
                  <wp:docPr id="4" name="image1.gif"/>
                  <wp:cNvGraphicFramePr/>
                  <a:graphic xmlns:a="http://schemas.openxmlformats.org/drawingml/2006/main">
                    <a:graphicData uri="http://schemas.openxmlformats.org/drawingml/2006/picture">
                      <pic:pic xmlns:pic="http://schemas.openxmlformats.org/drawingml/2006/picture">
                        <pic:nvPicPr>
                          <pic:cNvPr id="0" name="image1.gif"/>
                          <pic:cNvPicPr preferRelativeResize="0"/>
                        </pic:nvPicPr>
                        <pic:blipFill>
                          <a:blip r:embed="rId15"/>
                          <a:srcRect/>
                          <a:stretch>
                            <a:fillRect/>
                          </a:stretch>
                        </pic:blipFill>
                        <pic:spPr>
                          <a:xfrm>
                            <a:off x="0" y="0"/>
                            <a:ext cx="2038605" cy="1268643"/>
                          </a:xfrm>
                          <a:prstGeom prst="rect">
                            <a:avLst/>
                          </a:prstGeom>
                          <a:ln/>
                        </pic:spPr>
                      </pic:pic>
                    </a:graphicData>
                  </a:graphic>
                </wp:inline>
              </w:drawing>
            </w:r>
          </w:p>
        </w:tc>
        <w:tc>
          <w:tcPr>
            <w:tcW w:w="2822"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30B4C7E0" w14:textId="77777777" w:rsidR="00EB66AF" w:rsidRPr="00EB66AF" w:rsidRDefault="00EB66AF" w:rsidP="00EB66AF">
            <w:pPr>
              <w:jc w:val="both"/>
              <w:rPr>
                <w:lang w:val="en"/>
              </w:rPr>
            </w:pPr>
            <w:r w:rsidRPr="00EB66AF">
              <w:rPr>
                <w:noProof/>
                <w:lang w:val="en"/>
              </w:rPr>
              <w:drawing>
                <wp:inline distT="114300" distB="114300" distL="114300" distR="114300" wp14:anchorId="5CC206D7" wp14:editId="1A8D4DBC">
                  <wp:extent cx="1431235" cy="1284136"/>
                  <wp:effectExtent l="0" t="0" r="0" b="0"/>
                  <wp:docPr id="9" name="image3.gif"/>
                  <wp:cNvGraphicFramePr/>
                  <a:graphic xmlns:a="http://schemas.openxmlformats.org/drawingml/2006/main">
                    <a:graphicData uri="http://schemas.openxmlformats.org/drawingml/2006/picture">
                      <pic:pic xmlns:pic="http://schemas.openxmlformats.org/drawingml/2006/picture">
                        <pic:nvPicPr>
                          <pic:cNvPr id="0" name="image3.gif"/>
                          <pic:cNvPicPr preferRelativeResize="0"/>
                        </pic:nvPicPr>
                        <pic:blipFill>
                          <a:blip r:embed="rId16"/>
                          <a:srcRect/>
                          <a:stretch>
                            <a:fillRect/>
                          </a:stretch>
                        </pic:blipFill>
                        <pic:spPr>
                          <a:xfrm>
                            <a:off x="0" y="0"/>
                            <a:ext cx="1440560" cy="1292502"/>
                          </a:xfrm>
                          <a:prstGeom prst="rect">
                            <a:avLst/>
                          </a:prstGeom>
                          <a:ln/>
                        </pic:spPr>
                      </pic:pic>
                    </a:graphicData>
                  </a:graphic>
                </wp:inline>
              </w:drawing>
            </w:r>
          </w:p>
        </w:tc>
        <w:tc>
          <w:tcPr>
            <w:tcW w:w="2873"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2264BB16" w14:textId="77777777" w:rsidR="00EB66AF" w:rsidRPr="00EB66AF" w:rsidRDefault="00EB66AF" w:rsidP="00EB66AF">
            <w:pPr>
              <w:jc w:val="both"/>
              <w:rPr>
                <w:lang w:val="en"/>
              </w:rPr>
            </w:pPr>
            <w:r w:rsidRPr="00EB66AF">
              <w:rPr>
                <w:noProof/>
                <w:lang w:val="en"/>
              </w:rPr>
              <w:drawing>
                <wp:inline distT="114300" distB="114300" distL="114300" distR="114300" wp14:anchorId="39EBE0CA" wp14:editId="291B87C4">
                  <wp:extent cx="1467016" cy="1280160"/>
                  <wp:effectExtent l="0" t="0" r="0" b="0"/>
                  <wp:docPr id="5" name="image2.gif"/>
                  <wp:cNvGraphicFramePr/>
                  <a:graphic xmlns:a="http://schemas.openxmlformats.org/drawingml/2006/main">
                    <a:graphicData uri="http://schemas.openxmlformats.org/drawingml/2006/picture">
                      <pic:pic xmlns:pic="http://schemas.openxmlformats.org/drawingml/2006/picture">
                        <pic:nvPicPr>
                          <pic:cNvPr id="0" name="image2.gif"/>
                          <pic:cNvPicPr preferRelativeResize="0"/>
                        </pic:nvPicPr>
                        <pic:blipFill>
                          <a:blip r:embed="rId17"/>
                          <a:srcRect/>
                          <a:stretch>
                            <a:fillRect/>
                          </a:stretch>
                        </pic:blipFill>
                        <pic:spPr>
                          <a:xfrm>
                            <a:off x="0" y="0"/>
                            <a:ext cx="1472150" cy="1284640"/>
                          </a:xfrm>
                          <a:prstGeom prst="rect">
                            <a:avLst/>
                          </a:prstGeom>
                          <a:ln/>
                        </pic:spPr>
                      </pic:pic>
                    </a:graphicData>
                  </a:graphic>
                </wp:inline>
              </w:drawing>
            </w:r>
          </w:p>
        </w:tc>
      </w:tr>
    </w:tbl>
    <w:p w14:paraId="37581BF4" w14:textId="248CA91E" w:rsidR="00EB66AF" w:rsidRPr="00015FEB" w:rsidRDefault="00EB66AF" w:rsidP="00EB66AF">
      <w:pPr>
        <w:jc w:val="both"/>
        <w:rPr>
          <w:rFonts w:ascii="Times New Roman" w:hAnsi="Times New Roman" w:cs="Times New Roman"/>
          <w:b/>
          <w:bCs/>
          <w:sz w:val="16"/>
          <w:szCs w:val="16"/>
          <w:lang w:val="en"/>
        </w:rPr>
      </w:pPr>
      <w:r w:rsidRPr="00015FEB">
        <w:rPr>
          <w:rFonts w:ascii="Times New Roman" w:hAnsi="Times New Roman" w:cs="Times New Roman"/>
          <w:b/>
          <w:bCs/>
          <w:sz w:val="16"/>
          <w:szCs w:val="16"/>
          <w:lang w:val="en"/>
        </w:rPr>
        <w:t>Figure 3</w:t>
      </w:r>
      <w:r w:rsidR="00015FEB" w:rsidRPr="00015FEB">
        <w:rPr>
          <w:rFonts w:ascii="Times New Roman" w:hAnsi="Times New Roman" w:cs="Times New Roman"/>
          <w:b/>
          <w:bCs/>
          <w:sz w:val="16"/>
          <w:szCs w:val="16"/>
        </w:rPr>
        <w:t>.</w:t>
      </w:r>
      <w:r w:rsidRPr="00015FEB">
        <w:rPr>
          <w:rFonts w:ascii="Times New Roman" w:hAnsi="Times New Roman" w:cs="Times New Roman"/>
          <w:b/>
          <w:bCs/>
          <w:sz w:val="16"/>
          <w:szCs w:val="16"/>
          <w:lang w:val="en"/>
        </w:rPr>
        <w:t xml:space="preserve"> Demonstration cases in Greece and Morocco: (a) three Greek islands with different climatic conditions and touristic growth, (b) solar parks at Evros region in Northern Greece, and (c) three regions in Morocco.</w:t>
      </w:r>
    </w:p>
    <w:p w14:paraId="11482BCB" w14:textId="77777777" w:rsidR="00EB66AF" w:rsidRPr="00015FEB" w:rsidRDefault="00EB66AF" w:rsidP="00EB66AF">
      <w:pPr>
        <w:jc w:val="both"/>
        <w:rPr>
          <w:rFonts w:ascii="Times New Roman" w:hAnsi="Times New Roman" w:cs="Times New Roman"/>
          <w:sz w:val="20"/>
          <w:szCs w:val="20"/>
        </w:rPr>
      </w:pPr>
      <w:r w:rsidRPr="00015FEB">
        <w:rPr>
          <w:rFonts w:ascii="Times New Roman" w:hAnsi="Times New Roman" w:cs="Times New Roman"/>
          <w:sz w:val="20"/>
          <w:szCs w:val="20"/>
        </w:rPr>
        <w:t>An important component of ReEnergy-MED is the active involvement of end users throughout the development process. Renewable-energy companies, regional authorities and scientific institutions participate in defining user requirements, evaluating prototype products and assessing their operational value. Dedicated workshops, training activities and dissemination events promote the uptake of Copernicus climate services, particularly in the Southern Mediterranean, ensuring that the developed products address real operational needs and can be transferred to similar renewable-energy applications across the Mediterranean region.</w:t>
      </w:r>
    </w:p>
    <w:p w14:paraId="3CFA2D41" w14:textId="77777777" w:rsidR="00015FEB" w:rsidRPr="00FF2226" w:rsidRDefault="00015FEB" w:rsidP="00015FEB">
      <w:pPr>
        <w:jc w:val="center"/>
        <w:rPr>
          <w:rFonts w:ascii="Arial" w:hAnsi="Arial" w:cs="Arial"/>
          <w:i/>
          <w:iCs/>
          <w:sz w:val="20"/>
          <w:szCs w:val="20"/>
        </w:rPr>
      </w:pPr>
    </w:p>
    <w:p w14:paraId="2C603B3A" w14:textId="6C8B7451" w:rsidR="006D00E9" w:rsidRPr="00015FEB" w:rsidRDefault="006D00E9" w:rsidP="00015FEB">
      <w:pPr>
        <w:jc w:val="center"/>
        <w:rPr>
          <w:rFonts w:ascii="Arial" w:hAnsi="Arial" w:cs="Arial"/>
          <w:i/>
          <w:iCs/>
          <w:sz w:val="20"/>
          <w:szCs w:val="20"/>
        </w:rPr>
      </w:pPr>
      <w:r w:rsidRPr="00015FEB">
        <w:rPr>
          <w:rFonts w:ascii="Arial" w:hAnsi="Arial" w:cs="Arial"/>
          <w:i/>
          <w:iCs/>
          <w:sz w:val="20"/>
          <w:szCs w:val="20"/>
        </w:rPr>
        <w:t>3.3. Preliminary results from ReEnergy-MED</w:t>
      </w:r>
    </w:p>
    <w:p w14:paraId="391EAFC8" w14:textId="7665BEAF" w:rsidR="006D00E9" w:rsidRPr="00015FEB" w:rsidRDefault="006D00E9" w:rsidP="006D00E9">
      <w:pPr>
        <w:jc w:val="both"/>
        <w:rPr>
          <w:rFonts w:ascii="Times New Roman" w:hAnsi="Times New Roman" w:cs="Times New Roman"/>
          <w:sz w:val="20"/>
          <w:szCs w:val="20"/>
        </w:rPr>
      </w:pPr>
      <w:r w:rsidRPr="00015FEB">
        <w:rPr>
          <w:rFonts w:ascii="Times New Roman" w:hAnsi="Times New Roman" w:cs="Times New Roman"/>
          <w:sz w:val="20"/>
          <w:szCs w:val="20"/>
        </w:rPr>
        <w:t>The ReEnergy-MED energy prediction system combines Copernicus climate and atmospheric information with high-resolution regional datasets and photovoltaic modelling to produce seasonal forecasts and long-term projections of solar-energy production for the selected demonstration sites. Seasonal predictions are based on the ECMWF SEAS5 forecasting system, whereas long-term assessments employ statistically downscaled and bias-adjusted CMIP6 climate projections. ERA5-Land is used as the reference dataset for continental regions, while the higher-resolution CERRA reanalysis is employed for the Greek islands to better resolve local topographic features. Photovoltaic energy production is simulated using the Global Solar Energy Estimator (GSEE), driven by the processed climate datasets and validated against in situ observations available at the demonstration sites.</w:t>
      </w:r>
    </w:p>
    <w:p w14:paraId="694A5E4D" w14:textId="77777777" w:rsidR="006D00E9" w:rsidRPr="006D00E9" w:rsidRDefault="006D00E9" w:rsidP="006D00E9">
      <w:pPr>
        <w:jc w:val="both"/>
        <w:rPr>
          <w:b/>
          <w:bCs/>
          <w:lang w:val="en"/>
        </w:rPr>
      </w:pPr>
      <w:r w:rsidRPr="006D00E9">
        <w:rPr>
          <w:b/>
          <w:bCs/>
          <w:noProof/>
          <w:lang w:val="en"/>
        </w:rPr>
        <w:drawing>
          <wp:inline distT="114300" distB="114300" distL="114300" distR="114300" wp14:anchorId="2DC112D2" wp14:editId="62FBD934">
            <wp:extent cx="5943600" cy="1981200"/>
            <wp:effectExtent l="0" t="0" r="0" b="0"/>
            <wp:docPr id="3"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8"/>
                    <a:srcRect/>
                    <a:stretch>
                      <a:fillRect/>
                    </a:stretch>
                  </pic:blipFill>
                  <pic:spPr>
                    <a:xfrm>
                      <a:off x="0" y="0"/>
                      <a:ext cx="5943600" cy="1981200"/>
                    </a:xfrm>
                    <a:prstGeom prst="rect">
                      <a:avLst/>
                    </a:prstGeom>
                    <a:ln/>
                  </pic:spPr>
                </pic:pic>
              </a:graphicData>
            </a:graphic>
          </wp:inline>
        </w:drawing>
      </w:r>
    </w:p>
    <w:p w14:paraId="65109739" w14:textId="349A0CD9" w:rsidR="006D00E9" w:rsidRPr="00015FEB" w:rsidRDefault="006D00E9" w:rsidP="006D00E9">
      <w:pPr>
        <w:jc w:val="both"/>
        <w:rPr>
          <w:rFonts w:ascii="Times New Roman" w:hAnsi="Times New Roman" w:cs="Times New Roman"/>
          <w:b/>
          <w:bCs/>
          <w:sz w:val="16"/>
          <w:szCs w:val="16"/>
          <w:lang w:val="en"/>
        </w:rPr>
      </w:pPr>
      <w:r w:rsidRPr="00015FEB">
        <w:rPr>
          <w:rFonts w:ascii="Times New Roman" w:hAnsi="Times New Roman" w:cs="Times New Roman"/>
          <w:b/>
          <w:bCs/>
          <w:sz w:val="16"/>
          <w:szCs w:val="16"/>
          <w:lang w:val="en"/>
        </w:rPr>
        <w:lastRenderedPageBreak/>
        <w:t>Figure 4</w:t>
      </w:r>
      <w:r w:rsidR="00015FEB" w:rsidRPr="00015FEB">
        <w:rPr>
          <w:rFonts w:ascii="Times New Roman" w:hAnsi="Times New Roman" w:cs="Times New Roman"/>
          <w:b/>
          <w:bCs/>
          <w:sz w:val="16"/>
          <w:szCs w:val="16"/>
        </w:rPr>
        <w:t>.</w:t>
      </w:r>
      <w:r w:rsidRPr="00015FEB">
        <w:rPr>
          <w:rFonts w:ascii="Times New Roman" w:hAnsi="Times New Roman" w:cs="Times New Roman"/>
          <w:b/>
          <w:bCs/>
          <w:sz w:val="16"/>
          <w:szCs w:val="16"/>
          <w:lang w:val="en"/>
        </w:rPr>
        <w:t xml:space="preserve">  Measured versus simulated daily PV energy production at the </w:t>
      </w:r>
      <w:proofErr w:type="spellStart"/>
      <w:r w:rsidRPr="00015FEB">
        <w:rPr>
          <w:rFonts w:ascii="Times New Roman" w:hAnsi="Times New Roman" w:cs="Times New Roman"/>
          <w:b/>
          <w:bCs/>
          <w:sz w:val="16"/>
          <w:szCs w:val="16"/>
          <w:lang w:val="en"/>
        </w:rPr>
        <w:t>Poimeniko</w:t>
      </w:r>
      <w:proofErr w:type="spellEnd"/>
      <w:r w:rsidRPr="00015FEB">
        <w:rPr>
          <w:rFonts w:ascii="Times New Roman" w:hAnsi="Times New Roman" w:cs="Times New Roman"/>
          <w:b/>
          <w:bCs/>
          <w:sz w:val="16"/>
          <w:szCs w:val="16"/>
          <w:lang w:val="en"/>
        </w:rPr>
        <w:t xml:space="preserve"> (a) and </w:t>
      </w:r>
      <w:proofErr w:type="spellStart"/>
      <w:r w:rsidRPr="00015FEB">
        <w:rPr>
          <w:rFonts w:ascii="Times New Roman" w:hAnsi="Times New Roman" w:cs="Times New Roman"/>
          <w:b/>
          <w:bCs/>
          <w:sz w:val="16"/>
          <w:szCs w:val="16"/>
          <w:lang w:val="en"/>
        </w:rPr>
        <w:t>Doxipara</w:t>
      </w:r>
      <w:proofErr w:type="spellEnd"/>
      <w:r w:rsidRPr="00015FEB">
        <w:rPr>
          <w:rFonts w:ascii="Times New Roman" w:hAnsi="Times New Roman" w:cs="Times New Roman"/>
          <w:b/>
          <w:bCs/>
          <w:sz w:val="16"/>
          <w:szCs w:val="16"/>
          <w:lang w:val="en"/>
        </w:rPr>
        <w:t xml:space="preserve"> 2 (b) photovoltaic parks in Evros, Greece, using co-located ground-based solar radiation measurements </w:t>
      </w:r>
    </w:p>
    <w:p w14:paraId="48864B16" w14:textId="77777777" w:rsidR="006D00E9" w:rsidRPr="00015FEB" w:rsidRDefault="006D00E9" w:rsidP="006D00E9">
      <w:pPr>
        <w:jc w:val="both"/>
        <w:rPr>
          <w:rFonts w:ascii="Times New Roman" w:hAnsi="Times New Roman" w:cs="Times New Roman"/>
          <w:b/>
          <w:bCs/>
          <w:sz w:val="16"/>
          <w:szCs w:val="16"/>
          <w:lang w:val="en"/>
        </w:rPr>
      </w:pPr>
    </w:p>
    <w:p w14:paraId="62FB5B9D" w14:textId="77777777" w:rsidR="006D00E9" w:rsidRPr="00015FEB" w:rsidRDefault="006D00E9" w:rsidP="006D00E9">
      <w:pPr>
        <w:jc w:val="both"/>
        <w:rPr>
          <w:rFonts w:ascii="Times New Roman" w:hAnsi="Times New Roman" w:cs="Times New Roman"/>
          <w:b/>
          <w:bCs/>
          <w:sz w:val="16"/>
          <w:szCs w:val="16"/>
          <w:lang w:val="en"/>
        </w:rPr>
      </w:pPr>
      <w:r w:rsidRPr="00015FEB">
        <w:rPr>
          <w:rFonts w:ascii="Times New Roman" w:hAnsi="Times New Roman" w:cs="Times New Roman"/>
          <w:b/>
          <w:bCs/>
          <w:noProof/>
          <w:sz w:val="16"/>
          <w:szCs w:val="16"/>
          <w:lang w:val="en"/>
        </w:rPr>
        <w:drawing>
          <wp:inline distT="114300" distB="114300" distL="114300" distR="114300" wp14:anchorId="72C894B3" wp14:editId="13FD9E0D">
            <wp:extent cx="2732617" cy="2049462"/>
            <wp:effectExtent l="0" t="0" r="0" b="0"/>
            <wp:docPr id="6"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9"/>
                    <a:srcRect/>
                    <a:stretch>
                      <a:fillRect/>
                    </a:stretch>
                  </pic:blipFill>
                  <pic:spPr>
                    <a:xfrm>
                      <a:off x="0" y="0"/>
                      <a:ext cx="2732617" cy="2049462"/>
                    </a:xfrm>
                    <a:prstGeom prst="rect">
                      <a:avLst/>
                    </a:prstGeom>
                    <a:ln/>
                  </pic:spPr>
                </pic:pic>
              </a:graphicData>
            </a:graphic>
          </wp:inline>
        </w:drawing>
      </w:r>
    </w:p>
    <w:p w14:paraId="5FF680F5" w14:textId="2EC1D40F" w:rsidR="006D00E9" w:rsidRPr="00015FEB" w:rsidRDefault="006D00E9" w:rsidP="006D00E9">
      <w:pPr>
        <w:jc w:val="both"/>
        <w:rPr>
          <w:rFonts w:ascii="Times New Roman" w:hAnsi="Times New Roman" w:cs="Times New Roman"/>
          <w:b/>
          <w:bCs/>
          <w:sz w:val="16"/>
          <w:szCs w:val="16"/>
          <w:lang w:val="en"/>
        </w:rPr>
      </w:pPr>
      <w:r w:rsidRPr="00015FEB">
        <w:rPr>
          <w:rFonts w:ascii="Times New Roman" w:hAnsi="Times New Roman" w:cs="Times New Roman"/>
          <w:b/>
          <w:bCs/>
          <w:sz w:val="16"/>
          <w:szCs w:val="16"/>
          <w:lang w:val="en"/>
        </w:rPr>
        <w:t>Figure 5</w:t>
      </w:r>
      <w:r w:rsidR="00015FEB" w:rsidRPr="00015FEB">
        <w:rPr>
          <w:rFonts w:ascii="Times New Roman" w:hAnsi="Times New Roman" w:cs="Times New Roman"/>
          <w:b/>
          <w:bCs/>
          <w:sz w:val="16"/>
          <w:szCs w:val="16"/>
        </w:rPr>
        <w:t>.</w:t>
      </w:r>
      <w:r w:rsidRPr="00015FEB">
        <w:rPr>
          <w:rFonts w:ascii="Times New Roman" w:hAnsi="Times New Roman" w:cs="Times New Roman"/>
          <w:b/>
          <w:bCs/>
          <w:sz w:val="16"/>
          <w:szCs w:val="16"/>
          <w:lang w:val="en"/>
        </w:rPr>
        <w:t xml:space="preserve">  Measured versus simulated daily PV energy production at the </w:t>
      </w:r>
      <w:proofErr w:type="spellStart"/>
      <w:r w:rsidRPr="00015FEB">
        <w:rPr>
          <w:rFonts w:ascii="Times New Roman" w:hAnsi="Times New Roman" w:cs="Times New Roman"/>
          <w:b/>
          <w:bCs/>
          <w:sz w:val="16"/>
          <w:szCs w:val="16"/>
          <w:lang w:val="en"/>
        </w:rPr>
        <w:t>SiPV</w:t>
      </w:r>
      <w:proofErr w:type="spellEnd"/>
      <w:r w:rsidRPr="00015FEB">
        <w:rPr>
          <w:rFonts w:ascii="Times New Roman" w:hAnsi="Times New Roman" w:cs="Times New Roman"/>
          <w:b/>
          <w:bCs/>
          <w:sz w:val="16"/>
          <w:szCs w:val="16"/>
          <w:lang w:val="en"/>
        </w:rPr>
        <w:t xml:space="preserve"> facility in Ouarzazate, Morocco, using co-located ground-based solar radiation measurements.</w:t>
      </w:r>
    </w:p>
    <w:p w14:paraId="09AB1334" w14:textId="77777777" w:rsidR="006D00E9" w:rsidRPr="00015FEB" w:rsidRDefault="006D00E9" w:rsidP="006D00E9">
      <w:pPr>
        <w:jc w:val="both"/>
        <w:rPr>
          <w:rFonts w:ascii="Times New Roman" w:hAnsi="Times New Roman" w:cs="Times New Roman"/>
          <w:sz w:val="20"/>
          <w:szCs w:val="20"/>
        </w:rPr>
      </w:pPr>
      <w:r w:rsidRPr="00015FEB">
        <w:rPr>
          <w:rFonts w:ascii="Times New Roman" w:hAnsi="Times New Roman" w:cs="Times New Roman"/>
          <w:sz w:val="20"/>
          <w:szCs w:val="20"/>
        </w:rPr>
        <w:t>The first step in the evaluation of the modelling framework is the reproduction of the observed photovoltaic electricity production using co-located measurements of solar irradiance and air temperature as model input. Figures 4 and 5 compare measured and simulated daily PV energy production for two photovoltaic parks in Evros, Greece (</w:t>
      </w:r>
      <w:proofErr w:type="spellStart"/>
      <w:r w:rsidRPr="00015FEB">
        <w:rPr>
          <w:rFonts w:ascii="Times New Roman" w:hAnsi="Times New Roman" w:cs="Times New Roman"/>
          <w:sz w:val="20"/>
          <w:szCs w:val="20"/>
        </w:rPr>
        <w:t>Poimeniko</w:t>
      </w:r>
      <w:proofErr w:type="spellEnd"/>
      <w:r w:rsidRPr="00015FEB">
        <w:rPr>
          <w:rFonts w:ascii="Times New Roman" w:hAnsi="Times New Roman" w:cs="Times New Roman"/>
          <w:sz w:val="20"/>
          <w:szCs w:val="20"/>
        </w:rPr>
        <w:t xml:space="preserve"> and </w:t>
      </w:r>
      <w:proofErr w:type="spellStart"/>
      <w:r w:rsidRPr="00015FEB">
        <w:rPr>
          <w:rFonts w:ascii="Times New Roman" w:hAnsi="Times New Roman" w:cs="Times New Roman"/>
          <w:sz w:val="20"/>
          <w:szCs w:val="20"/>
        </w:rPr>
        <w:t>Doxipara</w:t>
      </w:r>
      <w:proofErr w:type="spellEnd"/>
      <w:r w:rsidRPr="00015FEB">
        <w:rPr>
          <w:rFonts w:ascii="Times New Roman" w:hAnsi="Times New Roman" w:cs="Times New Roman"/>
          <w:sz w:val="20"/>
          <w:szCs w:val="20"/>
        </w:rPr>
        <w:t xml:space="preserve"> 2), and the </w:t>
      </w:r>
      <w:proofErr w:type="spellStart"/>
      <w:r w:rsidRPr="00015FEB">
        <w:rPr>
          <w:rFonts w:ascii="Times New Roman" w:hAnsi="Times New Roman" w:cs="Times New Roman"/>
          <w:sz w:val="20"/>
          <w:szCs w:val="20"/>
        </w:rPr>
        <w:t>SiPV</w:t>
      </w:r>
      <w:proofErr w:type="spellEnd"/>
      <w:r w:rsidRPr="00015FEB">
        <w:rPr>
          <w:rFonts w:ascii="Times New Roman" w:hAnsi="Times New Roman" w:cs="Times New Roman"/>
          <w:sz w:val="20"/>
          <w:szCs w:val="20"/>
        </w:rPr>
        <w:t xml:space="preserve"> facility in Ouarzazate, Morocco. In all cases, the simulations successfully reproduce the observed temporal variability, demonstrating that GSEE captures the day-to-day fluctuations in photovoltaic production under diverse climatic conditions.</w:t>
      </w:r>
    </w:p>
    <w:p w14:paraId="030C6A78" w14:textId="38513EA7" w:rsidR="006D00E9" w:rsidRPr="00015FEB" w:rsidRDefault="006D00E9" w:rsidP="006D00E9">
      <w:pPr>
        <w:jc w:val="both"/>
        <w:rPr>
          <w:rFonts w:ascii="Times New Roman" w:hAnsi="Times New Roman" w:cs="Times New Roman"/>
          <w:sz w:val="20"/>
          <w:szCs w:val="20"/>
        </w:rPr>
      </w:pPr>
      <w:r w:rsidRPr="00015FEB">
        <w:rPr>
          <w:rFonts w:ascii="Times New Roman" w:hAnsi="Times New Roman" w:cs="Times New Roman"/>
          <w:sz w:val="20"/>
          <w:szCs w:val="20"/>
        </w:rPr>
        <w:t>Although the correlation between modelled and observed PV production is high, a systematic bias remains, with the model consistently underestimating the measured energy yield. Ongoing investigations indicate that this offset is primarily associated with assumptions regarding photovoltaic system and inverter losses rather than deficiencies in the representation of the available solar resource. Future work will refine these parameterizations and quantify the associated modelling uncertainties, including the effects of aerosols, clouds and diffuse radiation on photovoltaic performance.</w:t>
      </w:r>
    </w:p>
    <w:p w14:paraId="31F80175" w14:textId="77777777" w:rsidR="006D00E9" w:rsidRPr="006D00E9" w:rsidRDefault="006D00E9" w:rsidP="006D00E9">
      <w:pPr>
        <w:jc w:val="both"/>
        <w:rPr>
          <w:lang w:val="en"/>
        </w:rPr>
      </w:pPr>
      <w:r w:rsidRPr="006D00E9">
        <w:rPr>
          <w:noProof/>
          <w:lang w:val="en"/>
        </w:rPr>
        <w:drawing>
          <wp:inline distT="114300" distB="114300" distL="114300" distR="114300" wp14:anchorId="09033D37" wp14:editId="5C5029BD">
            <wp:extent cx="5943600" cy="2286000"/>
            <wp:effectExtent l="0" t="0" r="0" b="0"/>
            <wp:docPr id="7"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20"/>
                    <a:srcRect/>
                    <a:stretch>
                      <a:fillRect/>
                    </a:stretch>
                  </pic:blipFill>
                  <pic:spPr>
                    <a:xfrm>
                      <a:off x="0" y="0"/>
                      <a:ext cx="5943600" cy="2286000"/>
                    </a:xfrm>
                    <a:prstGeom prst="rect">
                      <a:avLst/>
                    </a:prstGeom>
                    <a:ln/>
                  </pic:spPr>
                </pic:pic>
              </a:graphicData>
            </a:graphic>
          </wp:inline>
        </w:drawing>
      </w:r>
    </w:p>
    <w:p w14:paraId="125CB11C" w14:textId="51242356" w:rsidR="006D00E9" w:rsidRPr="00015FEB" w:rsidRDefault="006D00E9" w:rsidP="006D00E9">
      <w:pPr>
        <w:jc w:val="both"/>
        <w:rPr>
          <w:rFonts w:ascii="Times New Roman" w:hAnsi="Times New Roman" w:cs="Times New Roman"/>
          <w:b/>
          <w:bCs/>
          <w:sz w:val="16"/>
          <w:szCs w:val="16"/>
          <w:lang w:val="en"/>
        </w:rPr>
      </w:pPr>
      <w:r w:rsidRPr="00015FEB">
        <w:rPr>
          <w:rFonts w:ascii="Times New Roman" w:hAnsi="Times New Roman" w:cs="Times New Roman"/>
          <w:b/>
          <w:bCs/>
          <w:sz w:val="16"/>
          <w:szCs w:val="16"/>
          <w:lang w:val="en"/>
        </w:rPr>
        <w:t xml:space="preserve">Figure 6. Difference in the annually averaged PV energy production between the future (2080 - 2100) and the past (1980 - 2000), for three different sites and two different scenarios (SSP2-4.5 and SSP5-8.5) </w:t>
      </w:r>
    </w:p>
    <w:p w14:paraId="0E5D2706" w14:textId="0C0E56C3" w:rsidR="006D00E9" w:rsidRPr="00015FEB" w:rsidRDefault="006D00E9" w:rsidP="006D00E9">
      <w:pPr>
        <w:jc w:val="both"/>
        <w:rPr>
          <w:rFonts w:ascii="Times New Roman" w:hAnsi="Times New Roman" w:cs="Times New Roman"/>
          <w:sz w:val="20"/>
          <w:szCs w:val="20"/>
        </w:rPr>
      </w:pPr>
      <w:r w:rsidRPr="00015FEB">
        <w:rPr>
          <w:rFonts w:ascii="Times New Roman" w:hAnsi="Times New Roman" w:cs="Times New Roman"/>
          <w:sz w:val="20"/>
          <w:szCs w:val="20"/>
        </w:rPr>
        <w:lastRenderedPageBreak/>
        <w:t xml:space="preserve">Long-term climate projections were subsequently used to assess future changes in photovoltaic energy production under the SSP2-4.5 and SSP5-8.5 emission scenarios. Figure 6 presents the projected difference in mean annual PV production between the late twenty-first century (2080–2100) and the historical reference period (1980–2000) for the MPI-ESM1-2-HR climate model. Both scenarios indicate an increase in annual photovoltaic production, with projected gains ranging from approximately 30 to 80 kWh kWp⁻¹ yr⁻¹ across the demonstration sites. The largest increases are found in Morocco, reflecting the region's high solar resource and </w:t>
      </w:r>
      <w:proofErr w:type="spellStart"/>
      <w:r w:rsidRPr="00015FEB">
        <w:rPr>
          <w:rFonts w:ascii="Times New Roman" w:hAnsi="Times New Roman" w:cs="Times New Roman"/>
          <w:sz w:val="20"/>
          <w:szCs w:val="20"/>
        </w:rPr>
        <w:t>favourable</w:t>
      </w:r>
      <w:proofErr w:type="spellEnd"/>
      <w:r w:rsidRPr="00015FEB">
        <w:rPr>
          <w:rFonts w:ascii="Times New Roman" w:hAnsi="Times New Roman" w:cs="Times New Roman"/>
          <w:sz w:val="20"/>
          <w:szCs w:val="20"/>
        </w:rPr>
        <w:t xml:space="preserve"> future climatic conditions. These preliminary results demonstrate the potential of climate-informed energy services to support long-term renewable-energy planning and investment decisions by providing quantitative estimates of future photovoltaic productivity under different climate scenarios.</w:t>
      </w:r>
    </w:p>
    <w:p w14:paraId="335AD961" w14:textId="77777777" w:rsidR="006D00E9" w:rsidRPr="002B72B9" w:rsidRDefault="006D00E9" w:rsidP="002B72B9">
      <w:pPr>
        <w:jc w:val="center"/>
        <w:rPr>
          <w:rFonts w:ascii="Arial" w:hAnsi="Arial" w:cs="Arial"/>
          <w:b/>
          <w:bCs/>
          <w:sz w:val="20"/>
          <w:szCs w:val="20"/>
        </w:rPr>
      </w:pPr>
      <w:r w:rsidRPr="002B72B9">
        <w:rPr>
          <w:rFonts w:ascii="Arial" w:hAnsi="Arial" w:cs="Arial"/>
          <w:b/>
          <w:bCs/>
          <w:sz w:val="20"/>
          <w:szCs w:val="20"/>
        </w:rPr>
        <w:t>4. Summary and Conclusions</w:t>
      </w:r>
    </w:p>
    <w:p w14:paraId="3F5221AD" w14:textId="77777777" w:rsidR="006D00E9" w:rsidRPr="00015FEB" w:rsidRDefault="006D00E9" w:rsidP="006D00E9">
      <w:pPr>
        <w:jc w:val="both"/>
        <w:rPr>
          <w:rFonts w:ascii="Times New Roman" w:hAnsi="Times New Roman" w:cs="Times New Roman"/>
          <w:sz w:val="20"/>
          <w:szCs w:val="20"/>
        </w:rPr>
      </w:pPr>
      <w:r w:rsidRPr="00015FEB">
        <w:rPr>
          <w:rFonts w:ascii="Times New Roman" w:hAnsi="Times New Roman" w:cs="Times New Roman"/>
          <w:sz w:val="20"/>
          <w:szCs w:val="20"/>
        </w:rPr>
        <w:t>The increasing penetration of renewable energy sources requires climate information to become an integral component of energy-system planning and operation. Seasonal climate predictions and long-term climate projections provide valuable information for anticipating fluctuations in renewable-energy production and electricity demand, thereby supporting more resilient and informed decision-making. The Copernicus Climate Change Service (C3S) and the Copernicus Atmosphere Monitoring Service (CAMS) offer a comprehensive and consistent suite of climate and atmospheric datasets that can be translated into operational climate services for the energy sector.</w:t>
      </w:r>
    </w:p>
    <w:p w14:paraId="4CE2AF9B" w14:textId="77777777" w:rsidR="006D00E9" w:rsidRPr="00015FEB" w:rsidRDefault="006D00E9" w:rsidP="006D00E9">
      <w:pPr>
        <w:jc w:val="both"/>
        <w:rPr>
          <w:rFonts w:ascii="Times New Roman" w:hAnsi="Times New Roman" w:cs="Times New Roman"/>
          <w:sz w:val="20"/>
          <w:szCs w:val="20"/>
        </w:rPr>
      </w:pPr>
      <w:r w:rsidRPr="00015FEB">
        <w:rPr>
          <w:rFonts w:ascii="Times New Roman" w:hAnsi="Times New Roman" w:cs="Times New Roman"/>
          <w:sz w:val="20"/>
          <w:szCs w:val="20"/>
        </w:rPr>
        <w:t>This paper presented the complementary roles of the C3S NCP Greece (</w:t>
      </w:r>
      <w:proofErr w:type="spellStart"/>
      <w:r w:rsidRPr="00015FEB">
        <w:rPr>
          <w:rFonts w:ascii="Times New Roman" w:hAnsi="Times New Roman" w:cs="Times New Roman"/>
          <w:sz w:val="20"/>
          <w:szCs w:val="20"/>
        </w:rPr>
        <w:t>ClimateHub</w:t>
      </w:r>
      <w:proofErr w:type="spellEnd"/>
      <w:r w:rsidRPr="00015FEB">
        <w:rPr>
          <w:rFonts w:ascii="Times New Roman" w:hAnsi="Times New Roman" w:cs="Times New Roman"/>
          <w:sz w:val="20"/>
          <w:szCs w:val="20"/>
        </w:rPr>
        <w:t xml:space="preserve">) and ReEnergy-MED initiatives in advancing climate-informed renewable-energy services. </w:t>
      </w:r>
      <w:proofErr w:type="spellStart"/>
      <w:r w:rsidRPr="00015FEB">
        <w:rPr>
          <w:rFonts w:ascii="Times New Roman" w:hAnsi="Times New Roman" w:cs="Times New Roman"/>
          <w:sz w:val="20"/>
          <w:szCs w:val="20"/>
        </w:rPr>
        <w:t>ClimateHub</w:t>
      </w:r>
      <w:proofErr w:type="spellEnd"/>
      <w:r w:rsidRPr="00015FEB">
        <w:rPr>
          <w:rFonts w:ascii="Times New Roman" w:hAnsi="Times New Roman" w:cs="Times New Roman"/>
          <w:sz w:val="20"/>
          <w:szCs w:val="20"/>
        </w:rPr>
        <w:t xml:space="preserve"> demonstrates how Copernicus datasets can be transformed into operational national-scale services, providing seasonal forecasts and decadal outlooks of photovoltaic and wind energy production together with electricity-demand indicators through an accessible web platform. ReEnergy-MED builds upon this foundation by integrating higher-resolution climate datasets, atmospheric information from CAMS, statistical downscaling and site-specific photovoltaic simulations to deliver tailored climate services for demonstration cases in Greece and Morocco.</w:t>
      </w:r>
    </w:p>
    <w:p w14:paraId="2F77AB45" w14:textId="77777777" w:rsidR="006D00E9" w:rsidRPr="00015FEB" w:rsidRDefault="006D00E9" w:rsidP="006D00E9">
      <w:pPr>
        <w:jc w:val="both"/>
        <w:rPr>
          <w:rFonts w:ascii="Times New Roman" w:hAnsi="Times New Roman" w:cs="Times New Roman"/>
          <w:sz w:val="20"/>
          <w:szCs w:val="20"/>
        </w:rPr>
      </w:pPr>
      <w:r w:rsidRPr="00015FEB">
        <w:rPr>
          <w:rFonts w:ascii="Times New Roman" w:hAnsi="Times New Roman" w:cs="Times New Roman"/>
          <w:sz w:val="20"/>
          <w:szCs w:val="20"/>
        </w:rPr>
        <w:t>The preliminary results demonstrate the ability of the developed framework to reproduce observed photovoltaic production with high temporal consistency and to quantify potential future changes in solar-energy production under different climate scenarios. Beyond supporting photovoltaic plant operation and renewable-energy investments, the developed services address broader societal challenges, including energy security, climate adaptation and infrastructure resilience. In particular, the Moroccan demonstration case illustrates how climate-informed assessments of photovoltaic generation potential can contribute to improving energy autonomy in regions where natural hazards, such as earthquakes, may disrupt the electricity transmission network.</w:t>
      </w:r>
    </w:p>
    <w:p w14:paraId="1CF2475E" w14:textId="77777777" w:rsidR="006D00E9" w:rsidRPr="00015FEB" w:rsidRDefault="006D00E9" w:rsidP="006D00E9">
      <w:pPr>
        <w:jc w:val="both"/>
        <w:rPr>
          <w:rFonts w:ascii="Times New Roman" w:hAnsi="Times New Roman" w:cs="Times New Roman"/>
          <w:sz w:val="20"/>
          <w:szCs w:val="20"/>
        </w:rPr>
      </w:pPr>
      <w:r w:rsidRPr="00015FEB">
        <w:rPr>
          <w:rFonts w:ascii="Times New Roman" w:hAnsi="Times New Roman" w:cs="Times New Roman"/>
          <w:sz w:val="20"/>
          <w:szCs w:val="20"/>
        </w:rPr>
        <w:t xml:space="preserve">Together, the two initiatives illustrate a coherent pathway from climate observations and predictions to user-oriented decision-support tools. </w:t>
      </w:r>
      <w:proofErr w:type="spellStart"/>
      <w:r w:rsidRPr="00015FEB">
        <w:rPr>
          <w:rFonts w:ascii="Times New Roman" w:hAnsi="Times New Roman" w:cs="Times New Roman"/>
          <w:sz w:val="20"/>
          <w:szCs w:val="20"/>
        </w:rPr>
        <w:t>ClimateHub</w:t>
      </w:r>
      <w:proofErr w:type="spellEnd"/>
      <w:r w:rsidRPr="00015FEB">
        <w:rPr>
          <w:rFonts w:ascii="Times New Roman" w:hAnsi="Times New Roman" w:cs="Times New Roman"/>
          <w:sz w:val="20"/>
          <w:szCs w:val="20"/>
        </w:rPr>
        <w:t xml:space="preserve"> provides the operational national framework for delivering climate services, whereas ReEnergy-MED demonstrates how these services can be adapted to local conditions and stakeholder requirements through higher-resolution modelling and application-specific methodologies. Their complementary nature provides a transferable approach that can be replicated across the Mediterranean and other climate-sensitive regions.</w:t>
      </w:r>
    </w:p>
    <w:p w14:paraId="15A897B3" w14:textId="77777777" w:rsidR="006D00E9" w:rsidRPr="00FF2226" w:rsidRDefault="006D00E9" w:rsidP="006D00E9">
      <w:pPr>
        <w:jc w:val="both"/>
        <w:rPr>
          <w:rFonts w:ascii="Times New Roman" w:hAnsi="Times New Roman" w:cs="Times New Roman"/>
          <w:sz w:val="20"/>
          <w:szCs w:val="20"/>
        </w:rPr>
      </w:pPr>
      <w:r w:rsidRPr="00015FEB">
        <w:rPr>
          <w:rFonts w:ascii="Times New Roman" w:hAnsi="Times New Roman" w:cs="Times New Roman"/>
          <w:sz w:val="20"/>
          <w:szCs w:val="20"/>
        </w:rPr>
        <w:t>Future work will focus on expanding the range of climate-informed energy indicators, improving the representation of photovoltaic-system performance through enhanced atmospheric information and additional validation datasets, and strengthening user engagement to ensure that climate services continue to evolve according to operational needs. As renewable-energy systems become increasingly climate-dependent, integrating Copernicus climate services into energy planning will be essential for supporting a resilient, secure and sustainable energy transition.</w:t>
      </w:r>
    </w:p>
    <w:p w14:paraId="742020D6" w14:textId="77777777" w:rsidR="009572DC" w:rsidRPr="00FF2226" w:rsidRDefault="009572DC" w:rsidP="006D00E9">
      <w:pPr>
        <w:jc w:val="both"/>
        <w:rPr>
          <w:rFonts w:ascii="Times New Roman" w:hAnsi="Times New Roman" w:cs="Times New Roman"/>
          <w:sz w:val="20"/>
          <w:szCs w:val="20"/>
        </w:rPr>
      </w:pPr>
    </w:p>
    <w:p w14:paraId="3296919B" w14:textId="77777777" w:rsidR="006702EE" w:rsidRPr="00FF2226" w:rsidRDefault="006702EE" w:rsidP="00015FEB">
      <w:pPr>
        <w:jc w:val="center"/>
        <w:rPr>
          <w:rFonts w:ascii="Arial" w:hAnsi="Arial" w:cs="Arial"/>
          <w:b/>
          <w:bCs/>
          <w:sz w:val="20"/>
          <w:szCs w:val="20"/>
          <w:lang w:val="it-IT"/>
        </w:rPr>
      </w:pPr>
      <w:r w:rsidRPr="00FF2226">
        <w:rPr>
          <w:rFonts w:ascii="Arial" w:hAnsi="Arial" w:cs="Arial"/>
          <w:b/>
          <w:bCs/>
          <w:sz w:val="20"/>
          <w:szCs w:val="20"/>
          <w:lang w:val="it-IT"/>
        </w:rPr>
        <w:lastRenderedPageBreak/>
        <w:t>References</w:t>
      </w:r>
    </w:p>
    <w:p w14:paraId="555CB0F6" w14:textId="77777777" w:rsidR="006702EE" w:rsidRPr="00015FEB" w:rsidRDefault="006702EE" w:rsidP="00015FEB">
      <w:pPr>
        <w:jc w:val="both"/>
        <w:rPr>
          <w:rFonts w:ascii="Times New Roman" w:hAnsi="Times New Roman" w:cs="Times New Roman"/>
          <w:sz w:val="20"/>
          <w:szCs w:val="20"/>
        </w:rPr>
      </w:pPr>
      <w:r w:rsidRPr="00FF2226">
        <w:rPr>
          <w:rFonts w:ascii="Times New Roman" w:hAnsi="Times New Roman" w:cs="Times New Roman"/>
          <w:sz w:val="20"/>
          <w:szCs w:val="20"/>
          <w:lang w:val="it-IT"/>
        </w:rPr>
        <w:t xml:space="preserve">Antonanzas-Torres, F., Urraca, R., Polo, J., Perpiñán-Lamigueiro, O., Escobar, R., 2019. </w:t>
      </w:r>
      <w:r w:rsidRPr="00015FEB">
        <w:rPr>
          <w:rFonts w:ascii="Times New Roman" w:hAnsi="Times New Roman" w:cs="Times New Roman"/>
          <w:sz w:val="20"/>
          <w:szCs w:val="20"/>
        </w:rPr>
        <w:t xml:space="preserve">Clear sky solar irradiance models: A review of seventy models. </w:t>
      </w:r>
      <w:r w:rsidRPr="00015FEB">
        <w:rPr>
          <w:rFonts w:ascii="Times New Roman" w:hAnsi="Times New Roman" w:cs="Times New Roman"/>
          <w:i/>
          <w:iCs/>
          <w:sz w:val="20"/>
          <w:szCs w:val="20"/>
        </w:rPr>
        <w:t>Renewable and Sustainable Energy Reviews</w:t>
      </w:r>
      <w:r w:rsidRPr="00015FEB">
        <w:rPr>
          <w:rFonts w:ascii="Times New Roman" w:hAnsi="Times New Roman" w:cs="Times New Roman"/>
          <w:sz w:val="20"/>
          <w:szCs w:val="20"/>
        </w:rPr>
        <w:t xml:space="preserve"> </w:t>
      </w:r>
      <w:r w:rsidRPr="00015FEB">
        <w:rPr>
          <w:rFonts w:ascii="Times New Roman" w:hAnsi="Times New Roman" w:cs="Times New Roman"/>
          <w:b/>
          <w:bCs/>
          <w:sz w:val="20"/>
          <w:szCs w:val="20"/>
        </w:rPr>
        <w:t>107</w:t>
      </w:r>
      <w:r w:rsidRPr="00015FEB">
        <w:rPr>
          <w:rFonts w:ascii="Times New Roman" w:hAnsi="Times New Roman" w:cs="Times New Roman"/>
          <w:sz w:val="20"/>
          <w:szCs w:val="20"/>
        </w:rPr>
        <w:t xml:space="preserve">, 374–387. </w:t>
      </w:r>
      <w:hyperlink r:id="rId21" w:tgtFrame="_new" w:history="1">
        <w:r w:rsidRPr="00015FEB">
          <w:rPr>
            <w:rStyle w:val="Hyperlink"/>
            <w:rFonts w:ascii="Times New Roman" w:hAnsi="Times New Roman" w:cs="Times New Roman"/>
            <w:sz w:val="20"/>
            <w:szCs w:val="20"/>
          </w:rPr>
          <w:t>https://doi.org/10.1016/j.rser.2019.02.032</w:t>
        </w:r>
      </w:hyperlink>
    </w:p>
    <w:p w14:paraId="5FFDBC69" w14:textId="77777777" w:rsidR="006702EE" w:rsidRPr="00015FEB" w:rsidRDefault="006702EE" w:rsidP="00015FEB">
      <w:pPr>
        <w:jc w:val="both"/>
        <w:rPr>
          <w:rFonts w:ascii="Times New Roman" w:hAnsi="Times New Roman" w:cs="Times New Roman"/>
          <w:sz w:val="20"/>
          <w:szCs w:val="20"/>
        </w:rPr>
      </w:pPr>
      <w:r w:rsidRPr="00015FEB">
        <w:rPr>
          <w:rFonts w:ascii="Times New Roman" w:hAnsi="Times New Roman" w:cs="Times New Roman"/>
          <w:sz w:val="20"/>
          <w:szCs w:val="20"/>
        </w:rPr>
        <w:t xml:space="preserve">Bruno Soares, M., Daly, M., Dessai, S., 2018. Assessing the value of seasonal climate forecasts for decision-making. </w:t>
      </w:r>
      <w:r w:rsidRPr="00015FEB">
        <w:rPr>
          <w:rFonts w:ascii="Times New Roman" w:hAnsi="Times New Roman" w:cs="Times New Roman"/>
          <w:i/>
          <w:iCs/>
          <w:sz w:val="20"/>
          <w:szCs w:val="20"/>
        </w:rPr>
        <w:t>Climatic Change</w:t>
      </w:r>
      <w:r w:rsidRPr="00015FEB">
        <w:rPr>
          <w:rFonts w:ascii="Times New Roman" w:hAnsi="Times New Roman" w:cs="Times New Roman"/>
          <w:sz w:val="20"/>
          <w:szCs w:val="20"/>
        </w:rPr>
        <w:t xml:space="preserve"> </w:t>
      </w:r>
      <w:r w:rsidRPr="00015FEB">
        <w:rPr>
          <w:rFonts w:ascii="Times New Roman" w:hAnsi="Times New Roman" w:cs="Times New Roman"/>
          <w:b/>
          <w:bCs/>
          <w:sz w:val="20"/>
          <w:szCs w:val="20"/>
        </w:rPr>
        <w:t>149</w:t>
      </w:r>
      <w:r w:rsidRPr="00015FEB">
        <w:rPr>
          <w:rFonts w:ascii="Times New Roman" w:hAnsi="Times New Roman" w:cs="Times New Roman"/>
          <w:sz w:val="20"/>
          <w:szCs w:val="20"/>
        </w:rPr>
        <w:t xml:space="preserve">, 151–164. </w:t>
      </w:r>
      <w:hyperlink r:id="rId22" w:tgtFrame="_new" w:history="1">
        <w:r w:rsidRPr="00015FEB">
          <w:rPr>
            <w:rStyle w:val="Hyperlink"/>
            <w:rFonts w:ascii="Times New Roman" w:hAnsi="Times New Roman" w:cs="Times New Roman"/>
            <w:sz w:val="20"/>
            <w:szCs w:val="20"/>
          </w:rPr>
          <w:t>https://doi.org/10.1007/s10584-018-2165-7</w:t>
        </w:r>
      </w:hyperlink>
    </w:p>
    <w:p w14:paraId="2431E954" w14:textId="77777777" w:rsidR="006702EE" w:rsidRPr="00015FEB" w:rsidRDefault="006702EE" w:rsidP="00015FEB">
      <w:pPr>
        <w:jc w:val="both"/>
        <w:rPr>
          <w:rFonts w:ascii="Times New Roman" w:hAnsi="Times New Roman" w:cs="Times New Roman"/>
          <w:sz w:val="20"/>
          <w:szCs w:val="20"/>
        </w:rPr>
      </w:pPr>
      <w:r w:rsidRPr="00015FEB">
        <w:rPr>
          <w:rFonts w:ascii="Times New Roman" w:hAnsi="Times New Roman" w:cs="Times New Roman"/>
          <w:sz w:val="20"/>
          <w:szCs w:val="20"/>
        </w:rPr>
        <w:t xml:space="preserve">Buontempo, C., </w:t>
      </w:r>
      <w:proofErr w:type="spellStart"/>
      <w:r w:rsidRPr="00015FEB">
        <w:rPr>
          <w:rFonts w:ascii="Times New Roman" w:hAnsi="Times New Roman" w:cs="Times New Roman"/>
          <w:sz w:val="20"/>
          <w:szCs w:val="20"/>
        </w:rPr>
        <w:t>Hutjes</w:t>
      </w:r>
      <w:proofErr w:type="spellEnd"/>
      <w:r w:rsidRPr="00015FEB">
        <w:rPr>
          <w:rFonts w:ascii="Times New Roman" w:hAnsi="Times New Roman" w:cs="Times New Roman"/>
          <w:sz w:val="20"/>
          <w:szCs w:val="20"/>
        </w:rPr>
        <w:t xml:space="preserve">, R., Beavis, P., et al., 2020. Fostering the development of climate services through Copernicus Climate Change Service (C3S) for agriculture applications. </w:t>
      </w:r>
      <w:r w:rsidRPr="00015FEB">
        <w:rPr>
          <w:rFonts w:ascii="Times New Roman" w:hAnsi="Times New Roman" w:cs="Times New Roman"/>
          <w:i/>
          <w:iCs/>
          <w:sz w:val="20"/>
          <w:szCs w:val="20"/>
        </w:rPr>
        <w:t>Weather and Climate Extremes</w:t>
      </w:r>
      <w:r w:rsidRPr="00015FEB">
        <w:rPr>
          <w:rFonts w:ascii="Times New Roman" w:hAnsi="Times New Roman" w:cs="Times New Roman"/>
          <w:sz w:val="20"/>
          <w:szCs w:val="20"/>
        </w:rPr>
        <w:t xml:space="preserve"> </w:t>
      </w:r>
      <w:r w:rsidRPr="00015FEB">
        <w:rPr>
          <w:rFonts w:ascii="Times New Roman" w:hAnsi="Times New Roman" w:cs="Times New Roman"/>
          <w:b/>
          <w:bCs/>
          <w:sz w:val="20"/>
          <w:szCs w:val="20"/>
        </w:rPr>
        <w:t>27</w:t>
      </w:r>
      <w:r w:rsidRPr="00015FEB">
        <w:rPr>
          <w:rFonts w:ascii="Times New Roman" w:hAnsi="Times New Roman" w:cs="Times New Roman"/>
          <w:sz w:val="20"/>
          <w:szCs w:val="20"/>
        </w:rPr>
        <w:t>, 100226. https://doi.org/10.1016/j.wace.2019.100226</w:t>
      </w:r>
    </w:p>
    <w:p w14:paraId="29D1058C" w14:textId="77777777" w:rsidR="006702EE" w:rsidRPr="00015FEB" w:rsidRDefault="006702EE" w:rsidP="00015FEB">
      <w:pPr>
        <w:jc w:val="both"/>
        <w:rPr>
          <w:rFonts w:ascii="Times New Roman" w:hAnsi="Times New Roman" w:cs="Times New Roman"/>
          <w:sz w:val="20"/>
          <w:szCs w:val="20"/>
        </w:rPr>
      </w:pPr>
      <w:r w:rsidRPr="00015FEB">
        <w:rPr>
          <w:rFonts w:ascii="Times New Roman" w:hAnsi="Times New Roman" w:cs="Times New Roman"/>
          <w:sz w:val="20"/>
          <w:szCs w:val="20"/>
        </w:rPr>
        <w:t xml:space="preserve">Copernicus Atmosphere Monitoring Service (CAMS), 2020. </w:t>
      </w:r>
      <w:r w:rsidRPr="00015FEB">
        <w:rPr>
          <w:rFonts w:ascii="Times New Roman" w:hAnsi="Times New Roman" w:cs="Times New Roman"/>
          <w:i/>
          <w:iCs/>
          <w:sz w:val="20"/>
          <w:szCs w:val="20"/>
        </w:rPr>
        <w:t>CAMS Solar Radiation Time Series</w:t>
      </w:r>
      <w:r w:rsidRPr="00015FEB">
        <w:rPr>
          <w:rFonts w:ascii="Times New Roman" w:hAnsi="Times New Roman" w:cs="Times New Roman"/>
          <w:sz w:val="20"/>
          <w:szCs w:val="20"/>
        </w:rPr>
        <w:t>. https://doi.org/10.24381/5cab0912</w:t>
      </w:r>
    </w:p>
    <w:p w14:paraId="52CE9104" w14:textId="77777777" w:rsidR="006702EE" w:rsidRPr="00015FEB" w:rsidRDefault="006702EE" w:rsidP="00015FEB">
      <w:pPr>
        <w:jc w:val="both"/>
        <w:rPr>
          <w:rFonts w:ascii="Times New Roman" w:hAnsi="Times New Roman" w:cs="Times New Roman"/>
          <w:sz w:val="20"/>
          <w:szCs w:val="20"/>
        </w:rPr>
      </w:pPr>
      <w:r w:rsidRPr="00015FEB">
        <w:rPr>
          <w:rFonts w:ascii="Times New Roman" w:hAnsi="Times New Roman" w:cs="Times New Roman"/>
          <w:sz w:val="20"/>
          <w:szCs w:val="20"/>
        </w:rPr>
        <w:t xml:space="preserve">Craig, M.T., Cohen, S., </w:t>
      </w:r>
      <w:proofErr w:type="spellStart"/>
      <w:r w:rsidRPr="00015FEB">
        <w:rPr>
          <w:rFonts w:ascii="Times New Roman" w:hAnsi="Times New Roman" w:cs="Times New Roman"/>
          <w:sz w:val="20"/>
          <w:szCs w:val="20"/>
        </w:rPr>
        <w:t>Macknick</w:t>
      </w:r>
      <w:proofErr w:type="spellEnd"/>
      <w:r w:rsidRPr="00015FEB">
        <w:rPr>
          <w:rFonts w:ascii="Times New Roman" w:hAnsi="Times New Roman" w:cs="Times New Roman"/>
          <w:sz w:val="20"/>
          <w:szCs w:val="20"/>
        </w:rPr>
        <w:t xml:space="preserve">, J., </w:t>
      </w:r>
      <w:proofErr w:type="spellStart"/>
      <w:r w:rsidRPr="00015FEB">
        <w:rPr>
          <w:rFonts w:ascii="Times New Roman" w:hAnsi="Times New Roman" w:cs="Times New Roman"/>
          <w:sz w:val="20"/>
          <w:szCs w:val="20"/>
        </w:rPr>
        <w:t>Draxl</w:t>
      </w:r>
      <w:proofErr w:type="spellEnd"/>
      <w:r w:rsidRPr="00015FEB">
        <w:rPr>
          <w:rFonts w:ascii="Times New Roman" w:hAnsi="Times New Roman" w:cs="Times New Roman"/>
          <w:sz w:val="20"/>
          <w:szCs w:val="20"/>
        </w:rPr>
        <w:t xml:space="preserve">, C., Guerra, O.J., Sengupta, M., Haupt, S.E., Hodge, B.-M., </w:t>
      </w:r>
      <w:proofErr w:type="spellStart"/>
      <w:r w:rsidRPr="00015FEB">
        <w:rPr>
          <w:rFonts w:ascii="Times New Roman" w:hAnsi="Times New Roman" w:cs="Times New Roman"/>
          <w:sz w:val="20"/>
          <w:szCs w:val="20"/>
        </w:rPr>
        <w:t>Brancucci</w:t>
      </w:r>
      <w:proofErr w:type="spellEnd"/>
      <w:r w:rsidRPr="00015FEB">
        <w:rPr>
          <w:rFonts w:ascii="Times New Roman" w:hAnsi="Times New Roman" w:cs="Times New Roman"/>
          <w:sz w:val="20"/>
          <w:szCs w:val="20"/>
        </w:rPr>
        <w:t xml:space="preserve"> Martinez-Anido, C., Hamann, H.F., 2019. A review of the potential impacts of climate change on bulk power system planning and operations in the United States. </w:t>
      </w:r>
      <w:r w:rsidRPr="00015FEB">
        <w:rPr>
          <w:rFonts w:ascii="Times New Roman" w:hAnsi="Times New Roman" w:cs="Times New Roman"/>
          <w:i/>
          <w:iCs/>
          <w:sz w:val="20"/>
          <w:szCs w:val="20"/>
        </w:rPr>
        <w:t>Renewable and Sustainable Energy Reviews</w:t>
      </w:r>
      <w:r w:rsidRPr="00015FEB">
        <w:rPr>
          <w:rFonts w:ascii="Times New Roman" w:hAnsi="Times New Roman" w:cs="Times New Roman"/>
          <w:sz w:val="20"/>
          <w:szCs w:val="20"/>
        </w:rPr>
        <w:t xml:space="preserve"> </w:t>
      </w:r>
      <w:r w:rsidRPr="00015FEB">
        <w:rPr>
          <w:rFonts w:ascii="Times New Roman" w:hAnsi="Times New Roman" w:cs="Times New Roman"/>
          <w:b/>
          <w:bCs/>
          <w:sz w:val="20"/>
          <w:szCs w:val="20"/>
        </w:rPr>
        <w:t>98</w:t>
      </w:r>
      <w:r w:rsidRPr="00015FEB">
        <w:rPr>
          <w:rFonts w:ascii="Times New Roman" w:hAnsi="Times New Roman" w:cs="Times New Roman"/>
          <w:sz w:val="20"/>
          <w:szCs w:val="20"/>
        </w:rPr>
        <w:t xml:space="preserve">, 255–267. </w:t>
      </w:r>
      <w:hyperlink r:id="rId23" w:tgtFrame="_new" w:history="1">
        <w:r w:rsidRPr="00015FEB">
          <w:rPr>
            <w:rStyle w:val="Hyperlink"/>
            <w:rFonts w:ascii="Times New Roman" w:hAnsi="Times New Roman" w:cs="Times New Roman"/>
            <w:sz w:val="20"/>
            <w:szCs w:val="20"/>
          </w:rPr>
          <w:t>https://doi.org/10.1016/j.rser.2018.09.022</w:t>
        </w:r>
      </w:hyperlink>
    </w:p>
    <w:p w14:paraId="599E3964" w14:textId="77777777" w:rsidR="006702EE" w:rsidRPr="00015FEB" w:rsidRDefault="006702EE" w:rsidP="00015FEB">
      <w:pPr>
        <w:jc w:val="both"/>
        <w:rPr>
          <w:rFonts w:ascii="Times New Roman" w:hAnsi="Times New Roman" w:cs="Times New Roman"/>
          <w:sz w:val="20"/>
          <w:szCs w:val="20"/>
        </w:rPr>
      </w:pPr>
      <w:r w:rsidRPr="00FF2226">
        <w:rPr>
          <w:rFonts w:ascii="Times New Roman" w:hAnsi="Times New Roman" w:cs="Times New Roman"/>
          <w:sz w:val="20"/>
          <w:szCs w:val="20"/>
          <w:lang w:val="it-IT"/>
        </w:rPr>
        <w:t xml:space="preserve">Dubus, L., Troccoli, A., et al., 2023. </w:t>
      </w:r>
      <w:r w:rsidRPr="00015FEB">
        <w:rPr>
          <w:rFonts w:ascii="Times New Roman" w:hAnsi="Times New Roman" w:cs="Times New Roman"/>
          <w:sz w:val="20"/>
          <w:szCs w:val="20"/>
        </w:rPr>
        <w:t xml:space="preserve">Climate services for the energy sector: Recent developments and future perspectives. </w:t>
      </w:r>
      <w:r w:rsidRPr="00015FEB">
        <w:rPr>
          <w:rFonts w:ascii="Times New Roman" w:hAnsi="Times New Roman" w:cs="Times New Roman"/>
          <w:i/>
          <w:iCs/>
          <w:sz w:val="20"/>
          <w:szCs w:val="20"/>
        </w:rPr>
        <w:t>Meteorological Applications</w:t>
      </w:r>
      <w:r w:rsidRPr="00015FEB">
        <w:rPr>
          <w:rFonts w:ascii="Times New Roman" w:hAnsi="Times New Roman" w:cs="Times New Roman"/>
          <w:sz w:val="20"/>
          <w:szCs w:val="20"/>
        </w:rPr>
        <w:t xml:space="preserve"> </w:t>
      </w:r>
      <w:r w:rsidRPr="00015FEB">
        <w:rPr>
          <w:rFonts w:ascii="Times New Roman" w:hAnsi="Times New Roman" w:cs="Times New Roman"/>
          <w:b/>
          <w:bCs/>
          <w:sz w:val="20"/>
          <w:szCs w:val="20"/>
        </w:rPr>
        <w:t>30</w:t>
      </w:r>
      <w:r w:rsidRPr="00015FEB">
        <w:rPr>
          <w:rFonts w:ascii="Times New Roman" w:hAnsi="Times New Roman" w:cs="Times New Roman"/>
          <w:sz w:val="20"/>
          <w:szCs w:val="20"/>
        </w:rPr>
        <w:t xml:space="preserve">, e2145. </w:t>
      </w:r>
      <w:hyperlink r:id="rId24" w:tgtFrame="_new" w:history="1">
        <w:r w:rsidRPr="00015FEB">
          <w:rPr>
            <w:rStyle w:val="Hyperlink"/>
            <w:rFonts w:ascii="Times New Roman" w:hAnsi="Times New Roman" w:cs="Times New Roman"/>
            <w:sz w:val="20"/>
            <w:szCs w:val="20"/>
          </w:rPr>
          <w:t>https://doi.org/10.1002/met.2145</w:t>
        </w:r>
      </w:hyperlink>
    </w:p>
    <w:p w14:paraId="260CA398" w14:textId="77777777" w:rsidR="006702EE" w:rsidRPr="00015FEB" w:rsidRDefault="006702EE" w:rsidP="00015FEB">
      <w:pPr>
        <w:jc w:val="both"/>
        <w:rPr>
          <w:rFonts w:ascii="Times New Roman" w:hAnsi="Times New Roman" w:cs="Times New Roman"/>
          <w:sz w:val="20"/>
          <w:szCs w:val="20"/>
        </w:rPr>
      </w:pPr>
      <w:r w:rsidRPr="00015FEB">
        <w:rPr>
          <w:rFonts w:ascii="Times New Roman" w:hAnsi="Times New Roman" w:cs="Times New Roman"/>
          <w:sz w:val="20"/>
          <w:szCs w:val="20"/>
        </w:rPr>
        <w:t xml:space="preserve">European Commission, 2019. </w:t>
      </w:r>
      <w:r w:rsidRPr="00015FEB">
        <w:rPr>
          <w:rFonts w:ascii="Times New Roman" w:hAnsi="Times New Roman" w:cs="Times New Roman"/>
          <w:i/>
          <w:iCs/>
          <w:sz w:val="20"/>
          <w:szCs w:val="20"/>
        </w:rPr>
        <w:t>The European Green Deal</w:t>
      </w:r>
      <w:r w:rsidRPr="00015FEB">
        <w:rPr>
          <w:rFonts w:ascii="Times New Roman" w:hAnsi="Times New Roman" w:cs="Times New Roman"/>
          <w:sz w:val="20"/>
          <w:szCs w:val="20"/>
        </w:rPr>
        <w:t xml:space="preserve">. </w:t>
      </w:r>
      <w:proofErr w:type="gramStart"/>
      <w:r w:rsidRPr="00015FEB">
        <w:rPr>
          <w:rFonts w:ascii="Times New Roman" w:hAnsi="Times New Roman" w:cs="Times New Roman"/>
          <w:sz w:val="20"/>
          <w:szCs w:val="20"/>
        </w:rPr>
        <w:t>COM(</w:t>
      </w:r>
      <w:proofErr w:type="gramEnd"/>
      <w:r w:rsidRPr="00015FEB">
        <w:rPr>
          <w:rFonts w:ascii="Times New Roman" w:hAnsi="Times New Roman" w:cs="Times New Roman"/>
          <w:sz w:val="20"/>
          <w:szCs w:val="20"/>
        </w:rPr>
        <w:t>2019) 640 final.</w:t>
      </w:r>
    </w:p>
    <w:p w14:paraId="4DECD822" w14:textId="77777777" w:rsidR="006702EE" w:rsidRPr="00015FEB" w:rsidRDefault="006702EE" w:rsidP="00015FEB">
      <w:pPr>
        <w:jc w:val="both"/>
        <w:rPr>
          <w:rFonts w:ascii="Times New Roman" w:hAnsi="Times New Roman" w:cs="Times New Roman"/>
          <w:sz w:val="20"/>
          <w:szCs w:val="20"/>
        </w:rPr>
      </w:pPr>
      <w:proofErr w:type="spellStart"/>
      <w:r w:rsidRPr="00015FEB">
        <w:rPr>
          <w:rFonts w:ascii="Times New Roman" w:hAnsi="Times New Roman" w:cs="Times New Roman"/>
          <w:sz w:val="20"/>
          <w:szCs w:val="20"/>
        </w:rPr>
        <w:t>Goodess</w:t>
      </w:r>
      <w:proofErr w:type="spellEnd"/>
      <w:r w:rsidRPr="00015FEB">
        <w:rPr>
          <w:rFonts w:ascii="Times New Roman" w:hAnsi="Times New Roman" w:cs="Times New Roman"/>
          <w:sz w:val="20"/>
          <w:szCs w:val="20"/>
        </w:rPr>
        <w:t xml:space="preserve">, C.M., et al., 2019. Advancing climate services for the energy sector. </w:t>
      </w:r>
      <w:r w:rsidRPr="00015FEB">
        <w:rPr>
          <w:rFonts w:ascii="Times New Roman" w:hAnsi="Times New Roman" w:cs="Times New Roman"/>
          <w:i/>
          <w:iCs/>
          <w:sz w:val="20"/>
          <w:szCs w:val="20"/>
        </w:rPr>
        <w:t>Climate Services</w:t>
      </w:r>
      <w:r w:rsidRPr="00015FEB">
        <w:rPr>
          <w:rFonts w:ascii="Times New Roman" w:hAnsi="Times New Roman" w:cs="Times New Roman"/>
          <w:sz w:val="20"/>
          <w:szCs w:val="20"/>
        </w:rPr>
        <w:t xml:space="preserve"> </w:t>
      </w:r>
      <w:r w:rsidRPr="00015FEB">
        <w:rPr>
          <w:rFonts w:ascii="Times New Roman" w:hAnsi="Times New Roman" w:cs="Times New Roman"/>
          <w:b/>
          <w:bCs/>
          <w:sz w:val="20"/>
          <w:szCs w:val="20"/>
        </w:rPr>
        <w:t>16</w:t>
      </w:r>
      <w:r w:rsidRPr="00015FEB">
        <w:rPr>
          <w:rFonts w:ascii="Times New Roman" w:hAnsi="Times New Roman" w:cs="Times New Roman"/>
          <w:sz w:val="20"/>
          <w:szCs w:val="20"/>
        </w:rPr>
        <w:t xml:space="preserve">, 100139. </w:t>
      </w:r>
      <w:hyperlink r:id="rId25" w:tgtFrame="_new" w:history="1">
        <w:r w:rsidRPr="00015FEB">
          <w:rPr>
            <w:rStyle w:val="Hyperlink"/>
            <w:rFonts w:ascii="Times New Roman" w:hAnsi="Times New Roman" w:cs="Times New Roman"/>
            <w:sz w:val="20"/>
            <w:szCs w:val="20"/>
          </w:rPr>
          <w:t>https://doi.org/10.1016/j.cliser.2019.100139</w:t>
        </w:r>
      </w:hyperlink>
    </w:p>
    <w:p w14:paraId="122C68FF" w14:textId="77777777" w:rsidR="006702EE" w:rsidRPr="00015FEB" w:rsidRDefault="006702EE" w:rsidP="00015FEB">
      <w:pPr>
        <w:jc w:val="both"/>
        <w:rPr>
          <w:rFonts w:ascii="Times New Roman" w:hAnsi="Times New Roman" w:cs="Times New Roman"/>
          <w:sz w:val="20"/>
          <w:szCs w:val="20"/>
        </w:rPr>
      </w:pPr>
      <w:r w:rsidRPr="00015FEB">
        <w:rPr>
          <w:rFonts w:ascii="Times New Roman" w:hAnsi="Times New Roman" w:cs="Times New Roman"/>
          <w:sz w:val="20"/>
          <w:szCs w:val="20"/>
        </w:rPr>
        <w:t xml:space="preserve">Gutiérrez, C., </w:t>
      </w:r>
      <w:proofErr w:type="spellStart"/>
      <w:r w:rsidRPr="00015FEB">
        <w:rPr>
          <w:rFonts w:ascii="Times New Roman" w:hAnsi="Times New Roman" w:cs="Times New Roman"/>
          <w:sz w:val="20"/>
          <w:szCs w:val="20"/>
        </w:rPr>
        <w:t>Somot</w:t>
      </w:r>
      <w:proofErr w:type="spellEnd"/>
      <w:r w:rsidRPr="00015FEB">
        <w:rPr>
          <w:rFonts w:ascii="Times New Roman" w:hAnsi="Times New Roman" w:cs="Times New Roman"/>
          <w:sz w:val="20"/>
          <w:szCs w:val="20"/>
        </w:rPr>
        <w:t xml:space="preserve">, S., Nabat, P., Mallet, M., Gaertner, M.Á., </w:t>
      </w:r>
      <w:proofErr w:type="spellStart"/>
      <w:r w:rsidRPr="00015FEB">
        <w:rPr>
          <w:rFonts w:ascii="Times New Roman" w:hAnsi="Times New Roman" w:cs="Times New Roman"/>
          <w:sz w:val="20"/>
          <w:szCs w:val="20"/>
        </w:rPr>
        <w:t>Perpiñán</w:t>
      </w:r>
      <w:proofErr w:type="spellEnd"/>
      <w:r w:rsidRPr="00015FEB">
        <w:rPr>
          <w:rFonts w:ascii="Times New Roman" w:hAnsi="Times New Roman" w:cs="Times New Roman"/>
          <w:sz w:val="20"/>
          <w:szCs w:val="20"/>
        </w:rPr>
        <w:t xml:space="preserve">, O., Khvorostyanov, D., 2018. Impact of aerosols on the spatiotemporal variability of photovoltaic energy production in the Euro-Mediterranean area. </w:t>
      </w:r>
      <w:r w:rsidRPr="00015FEB">
        <w:rPr>
          <w:rFonts w:ascii="Times New Roman" w:hAnsi="Times New Roman" w:cs="Times New Roman"/>
          <w:i/>
          <w:iCs/>
          <w:sz w:val="20"/>
          <w:szCs w:val="20"/>
        </w:rPr>
        <w:t>Solar Energy</w:t>
      </w:r>
      <w:r w:rsidRPr="00015FEB">
        <w:rPr>
          <w:rFonts w:ascii="Times New Roman" w:hAnsi="Times New Roman" w:cs="Times New Roman"/>
          <w:sz w:val="20"/>
          <w:szCs w:val="20"/>
        </w:rPr>
        <w:t xml:space="preserve"> </w:t>
      </w:r>
      <w:r w:rsidRPr="00015FEB">
        <w:rPr>
          <w:rFonts w:ascii="Times New Roman" w:hAnsi="Times New Roman" w:cs="Times New Roman"/>
          <w:b/>
          <w:bCs/>
          <w:sz w:val="20"/>
          <w:szCs w:val="20"/>
        </w:rPr>
        <w:t>174</w:t>
      </w:r>
      <w:r w:rsidRPr="00015FEB">
        <w:rPr>
          <w:rFonts w:ascii="Times New Roman" w:hAnsi="Times New Roman" w:cs="Times New Roman"/>
          <w:sz w:val="20"/>
          <w:szCs w:val="20"/>
        </w:rPr>
        <w:t xml:space="preserve">, 1142–1152. </w:t>
      </w:r>
      <w:hyperlink r:id="rId26" w:tgtFrame="_new" w:history="1">
        <w:r w:rsidRPr="00015FEB">
          <w:rPr>
            <w:rStyle w:val="Hyperlink"/>
            <w:rFonts w:ascii="Times New Roman" w:hAnsi="Times New Roman" w:cs="Times New Roman"/>
            <w:sz w:val="20"/>
            <w:szCs w:val="20"/>
          </w:rPr>
          <w:t>https://doi.org/10.1016/j.solener.2018.09.085</w:t>
        </w:r>
      </w:hyperlink>
    </w:p>
    <w:p w14:paraId="4CC4AD8B" w14:textId="77777777" w:rsidR="006702EE" w:rsidRPr="00015FEB" w:rsidRDefault="006702EE" w:rsidP="00015FEB">
      <w:pPr>
        <w:jc w:val="both"/>
        <w:rPr>
          <w:rFonts w:ascii="Times New Roman" w:hAnsi="Times New Roman" w:cs="Times New Roman"/>
          <w:sz w:val="20"/>
          <w:szCs w:val="20"/>
        </w:rPr>
      </w:pPr>
      <w:r w:rsidRPr="00015FEB">
        <w:rPr>
          <w:rFonts w:ascii="Times New Roman" w:hAnsi="Times New Roman" w:cs="Times New Roman"/>
          <w:sz w:val="20"/>
          <w:szCs w:val="20"/>
        </w:rPr>
        <w:t xml:space="preserve">Hewitt, C.D., Stone, R.C., 2021. Climate services for managing societal risks and opportunities. </w:t>
      </w:r>
      <w:r w:rsidRPr="00015FEB">
        <w:rPr>
          <w:rFonts w:ascii="Times New Roman" w:hAnsi="Times New Roman" w:cs="Times New Roman"/>
          <w:i/>
          <w:iCs/>
          <w:sz w:val="20"/>
          <w:szCs w:val="20"/>
        </w:rPr>
        <w:t>Climate Services</w:t>
      </w:r>
      <w:r w:rsidRPr="00015FEB">
        <w:rPr>
          <w:rFonts w:ascii="Times New Roman" w:hAnsi="Times New Roman" w:cs="Times New Roman"/>
          <w:sz w:val="20"/>
          <w:szCs w:val="20"/>
        </w:rPr>
        <w:t xml:space="preserve"> </w:t>
      </w:r>
      <w:r w:rsidRPr="00015FEB">
        <w:rPr>
          <w:rFonts w:ascii="Times New Roman" w:hAnsi="Times New Roman" w:cs="Times New Roman"/>
          <w:b/>
          <w:bCs/>
          <w:sz w:val="20"/>
          <w:szCs w:val="20"/>
        </w:rPr>
        <w:t>23</w:t>
      </w:r>
      <w:r w:rsidRPr="00015FEB">
        <w:rPr>
          <w:rFonts w:ascii="Times New Roman" w:hAnsi="Times New Roman" w:cs="Times New Roman"/>
          <w:sz w:val="20"/>
          <w:szCs w:val="20"/>
        </w:rPr>
        <w:t xml:space="preserve">, 100240. </w:t>
      </w:r>
      <w:hyperlink r:id="rId27" w:tgtFrame="_new" w:history="1">
        <w:r w:rsidRPr="00015FEB">
          <w:rPr>
            <w:rStyle w:val="Hyperlink"/>
            <w:rFonts w:ascii="Times New Roman" w:hAnsi="Times New Roman" w:cs="Times New Roman"/>
            <w:sz w:val="20"/>
            <w:szCs w:val="20"/>
          </w:rPr>
          <w:t>https://doi.org/10.1016/j.cliser.2021.100240</w:t>
        </w:r>
      </w:hyperlink>
    </w:p>
    <w:p w14:paraId="30427C19" w14:textId="77777777" w:rsidR="006702EE" w:rsidRPr="00015FEB" w:rsidRDefault="006702EE" w:rsidP="00015FEB">
      <w:pPr>
        <w:jc w:val="both"/>
        <w:rPr>
          <w:rFonts w:ascii="Times New Roman" w:hAnsi="Times New Roman" w:cs="Times New Roman"/>
          <w:sz w:val="20"/>
          <w:szCs w:val="20"/>
        </w:rPr>
      </w:pPr>
      <w:r w:rsidRPr="00015FEB">
        <w:rPr>
          <w:rFonts w:ascii="Times New Roman" w:hAnsi="Times New Roman" w:cs="Times New Roman"/>
          <w:sz w:val="20"/>
          <w:szCs w:val="20"/>
        </w:rPr>
        <w:t xml:space="preserve">IPCC, 2023. </w:t>
      </w:r>
      <w:r w:rsidRPr="00015FEB">
        <w:rPr>
          <w:rFonts w:ascii="Times New Roman" w:hAnsi="Times New Roman" w:cs="Times New Roman"/>
          <w:i/>
          <w:iCs/>
          <w:sz w:val="20"/>
          <w:szCs w:val="20"/>
        </w:rPr>
        <w:t>Climate Change 2023: Synthesis Report</w:t>
      </w:r>
      <w:r w:rsidRPr="00015FEB">
        <w:rPr>
          <w:rFonts w:ascii="Times New Roman" w:hAnsi="Times New Roman" w:cs="Times New Roman"/>
          <w:sz w:val="20"/>
          <w:szCs w:val="20"/>
        </w:rPr>
        <w:t>. Intergovernmental Panel on Climate Change.</w:t>
      </w:r>
    </w:p>
    <w:p w14:paraId="019F9351" w14:textId="77777777" w:rsidR="006702EE" w:rsidRPr="00015FEB" w:rsidRDefault="006702EE" w:rsidP="00015FEB">
      <w:pPr>
        <w:jc w:val="both"/>
        <w:rPr>
          <w:rFonts w:ascii="Times New Roman" w:hAnsi="Times New Roman" w:cs="Times New Roman"/>
          <w:sz w:val="20"/>
          <w:szCs w:val="20"/>
        </w:rPr>
      </w:pPr>
      <w:r w:rsidRPr="00FF2226">
        <w:rPr>
          <w:rFonts w:ascii="Times New Roman" w:hAnsi="Times New Roman" w:cs="Times New Roman"/>
          <w:sz w:val="20"/>
          <w:szCs w:val="20"/>
          <w:lang w:val="it-IT"/>
        </w:rPr>
        <w:t xml:space="preserve">Jerez, S., Tobin, I., Vautard, R., et al., 2015. </w:t>
      </w:r>
      <w:r w:rsidRPr="00015FEB">
        <w:rPr>
          <w:rFonts w:ascii="Times New Roman" w:hAnsi="Times New Roman" w:cs="Times New Roman"/>
          <w:sz w:val="20"/>
          <w:szCs w:val="20"/>
        </w:rPr>
        <w:t xml:space="preserve">The impact of climate change on photovoltaic power generation in Europe. </w:t>
      </w:r>
      <w:r w:rsidRPr="00015FEB">
        <w:rPr>
          <w:rFonts w:ascii="Times New Roman" w:hAnsi="Times New Roman" w:cs="Times New Roman"/>
          <w:i/>
          <w:iCs/>
          <w:sz w:val="20"/>
          <w:szCs w:val="20"/>
        </w:rPr>
        <w:t>Nature Communications</w:t>
      </w:r>
      <w:r w:rsidRPr="00015FEB">
        <w:rPr>
          <w:rFonts w:ascii="Times New Roman" w:hAnsi="Times New Roman" w:cs="Times New Roman"/>
          <w:sz w:val="20"/>
          <w:szCs w:val="20"/>
        </w:rPr>
        <w:t xml:space="preserve"> </w:t>
      </w:r>
      <w:r w:rsidRPr="00015FEB">
        <w:rPr>
          <w:rFonts w:ascii="Times New Roman" w:hAnsi="Times New Roman" w:cs="Times New Roman"/>
          <w:b/>
          <w:bCs/>
          <w:sz w:val="20"/>
          <w:szCs w:val="20"/>
        </w:rPr>
        <w:t>6</w:t>
      </w:r>
      <w:r w:rsidRPr="00015FEB">
        <w:rPr>
          <w:rFonts w:ascii="Times New Roman" w:hAnsi="Times New Roman" w:cs="Times New Roman"/>
          <w:sz w:val="20"/>
          <w:szCs w:val="20"/>
        </w:rPr>
        <w:t xml:space="preserve">, 10014. </w:t>
      </w:r>
      <w:hyperlink r:id="rId28" w:tgtFrame="_new" w:history="1">
        <w:r w:rsidRPr="00015FEB">
          <w:rPr>
            <w:rStyle w:val="Hyperlink"/>
            <w:rFonts w:ascii="Times New Roman" w:hAnsi="Times New Roman" w:cs="Times New Roman"/>
            <w:sz w:val="20"/>
            <w:szCs w:val="20"/>
          </w:rPr>
          <w:t>https://doi.org/10.1038/ncomms10014</w:t>
        </w:r>
      </w:hyperlink>
    </w:p>
    <w:p w14:paraId="61E341CC" w14:textId="77777777" w:rsidR="006702EE" w:rsidRPr="00015FEB" w:rsidRDefault="006702EE" w:rsidP="00015FEB">
      <w:pPr>
        <w:jc w:val="both"/>
        <w:rPr>
          <w:rFonts w:ascii="Times New Roman" w:hAnsi="Times New Roman" w:cs="Times New Roman"/>
          <w:sz w:val="20"/>
          <w:szCs w:val="20"/>
        </w:rPr>
      </w:pPr>
      <w:r w:rsidRPr="00015FEB">
        <w:rPr>
          <w:rFonts w:ascii="Times New Roman" w:hAnsi="Times New Roman" w:cs="Times New Roman"/>
          <w:sz w:val="20"/>
          <w:szCs w:val="20"/>
        </w:rPr>
        <w:t xml:space="preserve">Kartsios, S., Giannakopoulos, C., </w:t>
      </w:r>
      <w:proofErr w:type="spellStart"/>
      <w:r w:rsidRPr="00015FEB">
        <w:rPr>
          <w:rFonts w:ascii="Times New Roman" w:hAnsi="Times New Roman" w:cs="Times New Roman"/>
          <w:sz w:val="20"/>
          <w:szCs w:val="20"/>
        </w:rPr>
        <w:t>Gratsea</w:t>
      </w:r>
      <w:proofErr w:type="spellEnd"/>
      <w:r w:rsidRPr="00015FEB">
        <w:rPr>
          <w:rFonts w:ascii="Times New Roman" w:hAnsi="Times New Roman" w:cs="Times New Roman"/>
          <w:sz w:val="20"/>
          <w:szCs w:val="20"/>
        </w:rPr>
        <w:t xml:space="preserve">, M., et al., 2025. </w:t>
      </w:r>
      <w:proofErr w:type="spellStart"/>
      <w:r w:rsidRPr="00015FEB">
        <w:rPr>
          <w:rFonts w:ascii="Times New Roman" w:hAnsi="Times New Roman" w:cs="Times New Roman"/>
          <w:sz w:val="20"/>
          <w:szCs w:val="20"/>
        </w:rPr>
        <w:t>ClimateHub</w:t>
      </w:r>
      <w:proofErr w:type="spellEnd"/>
      <w:r w:rsidRPr="00015FEB">
        <w:rPr>
          <w:rFonts w:ascii="Times New Roman" w:hAnsi="Times New Roman" w:cs="Times New Roman"/>
          <w:sz w:val="20"/>
          <w:szCs w:val="20"/>
        </w:rPr>
        <w:t xml:space="preserve">: A national climate service for renewable energy and climate adaptation in Greece. </w:t>
      </w:r>
      <w:r w:rsidRPr="00015FEB">
        <w:rPr>
          <w:rFonts w:ascii="Times New Roman" w:hAnsi="Times New Roman" w:cs="Times New Roman"/>
          <w:i/>
          <w:iCs/>
          <w:sz w:val="20"/>
          <w:szCs w:val="20"/>
        </w:rPr>
        <w:t>Environmental Earth Sciences Proceedings</w:t>
      </w:r>
      <w:r w:rsidRPr="00015FEB">
        <w:rPr>
          <w:rFonts w:ascii="Times New Roman" w:hAnsi="Times New Roman" w:cs="Times New Roman"/>
          <w:sz w:val="20"/>
          <w:szCs w:val="20"/>
        </w:rPr>
        <w:t xml:space="preserve"> </w:t>
      </w:r>
      <w:r w:rsidRPr="00015FEB">
        <w:rPr>
          <w:rFonts w:ascii="Times New Roman" w:hAnsi="Times New Roman" w:cs="Times New Roman"/>
          <w:b/>
          <w:bCs/>
          <w:sz w:val="20"/>
          <w:szCs w:val="20"/>
        </w:rPr>
        <w:t>35</w:t>
      </w:r>
      <w:r w:rsidRPr="00015FEB">
        <w:rPr>
          <w:rFonts w:ascii="Times New Roman" w:hAnsi="Times New Roman" w:cs="Times New Roman"/>
          <w:sz w:val="20"/>
          <w:szCs w:val="20"/>
        </w:rPr>
        <w:t xml:space="preserve">, 28. </w:t>
      </w:r>
      <w:hyperlink r:id="rId29" w:tgtFrame="_new" w:history="1">
        <w:r w:rsidRPr="00015FEB">
          <w:rPr>
            <w:rStyle w:val="Hyperlink"/>
            <w:rFonts w:ascii="Times New Roman" w:hAnsi="Times New Roman" w:cs="Times New Roman"/>
            <w:sz w:val="20"/>
            <w:szCs w:val="20"/>
          </w:rPr>
          <w:t>https://doi.org/10.3390/eesp2025035028</w:t>
        </w:r>
      </w:hyperlink>
    </w:p>
    <w:p w14:paraId="666011DD" w14:textId="77777777" w:rsidR="006702EE" w:rsidRPr="00015FEB" w:rsidRDefault="006702EE" w:rsidP="00015FEB">
      <w:pPr>
        <w:jc w:val="both"/>
        <w:rPr>
          <w:rFonts w:ascii="Times New Roman" w:hAnsi="Times New Roman" w:cs="Times New Roman"/>
          <w:sz w:val="20"/>
          <w:szCs w:val="20"/>
        </w:rPr>
      </w:pPr>
      <w:proofErr w:type="spellStart"/>
      <w:r w:rsidRPr="00015FEB">
        <w:rPr>
          <w:rFonts w:ascii="Times New Roman" w:hAnsi="Times New Roman" w:cs="Times New Roman"/>
          <w:sz w:val="20"/>
          <w:szCs w:val="20"/>
        </w:rPr>
        <w:t>Palutikof</w:t>
      </w:r>
      <w:proofErr w:type="spellEnd"/>
      <w:r w:rsidRPr="00015FEB">
        <w:rPr>
          <w:rFonts w:ascii="Times New Roman" w:hAnsi="Times New Roman" w:cs="Times New Roman"/>
          <w:sz w:val="20"/>
          <w:szCs w:val="20"/>
        </w:rPr>
        <w:t xml:space="preserve">, J.P., Street, R.B., Gardiner, E.P., et al., 2019. Making climate services fit for purpose. </w:t>
      </w:r>
      <w:r w:rsidRPr="00015FEB">
        <w:rPr>
          <w:rFonts w:ascii="Times New Roman" w:hAnsi="Times New Roman" w:cs="Times New Roman"/>
          <w:i/>
          <w:iCs/>
          <w:sz w:val="20"/>
          <w:szCs w:val="20"/>
        </w:rPr>
        <w:t>Climatic Change</w:t>
      </w:r>
      <w:r w:rsidRPr="00015FEB">
        <w:rPr>
          <w:rFonts w:ascii="Times New Roman" w:hAnsi="Times New Roman" w:cs="Times New Roman"/>
          <w:sz w:val="20"/>
          <w:szCs w:val="20"/>
        </w:rPr>
        <w:t xml:space="preserve"> </w:t>
      </w:r>
      <w:r w:rsidRPr="00015FEB">
        <w:rPr>
          <w:rFonts w:ascii="Times New Roman" w:hAnsi="Times New Roman" w:cs="Times New Roman"/>
          <w:b/>
          <w:bCs/>
          <w:sz w:val="20"/>
          <w:szCs w:val="20"/>
        </w:rPr>
        <w:t>157</w:t>
      </w:r>
      <w:r w:rsidRPr="00015FEB">
        <w:rPr>
          <w:rFonts w:ascii="Times New Roman" w:hAnsi="Times New Roman" w:cs="Times New Roman"/>
          <w:sz w:val="20"/>
          <w:szCs w:val="20"/>
        </w:rPr>
        <w:t xml:space="preserve">, 527–543. </w:t>
      </w:r>
      <w:hyperlink r:id="rId30" w:tgtFrame="_new" w:history="1">
        <w:r w:rsidRPr="00015FEB">
          <w:rPr>
            <w:rStyle w:val="Hyperlink"/>
            <w:rFonts w:ascii="Times New Roman" w:hAnsi="Times New Roman" w:cs="Times New Roman"/>
            <w:sz w:val="20"/>
            <w:szCs w:val="20"/>
          </w:rPr>
          <w:t>https://doi.org/10.1007/s10584-019-02445-2</w:t>
        </w:r>
      </w:hyperlink>
    </w:p>
    <w:p w14:paraId="0E9A4007" w14:textId="77777777" w:rsidR="006702EE" w:rsidRPr="00015FEB" w:rsidRDefault="006702EE" w:rsidP="00015FEB">
      <w:pPr>
        <w:jc w:val="both"/>
        <w:rPr>
          <w:rFonts w:ascii="Times New Roman" w:hAnsi="Times New Roman" w:cs="Times New Roman"/>
          <w:sz w:val="20"/>
          <w:szCs w:val="20"/>
        </w:rPr>
      </w:pPr>
      <w:r w:rsidRPr="00015FEB">
        <w:rPr>
          <w:rFonts w:ascii="Times New Roman" w:hAnsi="Times New Roman" w:cs="Times New Roman"/>
          <w:sz w:val="20"/>
          <w:szCs w:val="20"/>
        </w:rPr>
        <w:t xml:space="preserve">Papadimitriou, N., </w:t>
      </w:r>
      <w:proofErr w:type="spellStart"/>
      <w:r w:rsidRPr="00015FEB">
        <w:rPr>
          <w:rFonts w:ascii="Times New Roman" w:hAnsi="Times New Roman" w:cs="Times New Roman"/>
          <w:sz w:val="20"/>
          <w:szCs w:val="20"/>
        </w:rPr>
        <w:t>Fountoulakis</w:t>
      </w:r>
      <w:proofErr w:type="spellEnd"/>
      <w:r w:rsidRPr="00015FEB">
        <w:rPr>
          <w:rFonts w:ascii="Times New Roman" w:hAnsi="Times New Roman" w:cs="Times New Roman"/>
          <w:sz w:val="20"/>
          <w:szCs w:val="20"/>
        </w:rPr>
        <w:t xml:space="preserve">, I., </w:t>
      </w:r>
      <w:proofErr w:type="spellStart"/>
      <w:r w:rsidRPr="00015FEB">
        <w:rPr>
          <w:rFonts w:ascii="Times New Roman" w:hAnsi="Times New Roman" w:cs="Times New Roman"/>
          <w:sz w:val="20"/>
          <w:szCs w:val="20"/>
        </w:rPr>
        <w:t>Gkikas</w:t>
      </w:r>
      <w:proofErr w:type="spellEnd"/>
      <w:r w:rsidRPr="00015FEB">
        <w:rPr>
          <w:rFonts w:ascii="Times New Roman" w:hAnsi="Times New Roman" w:cs="Times New Roman"/>
          <w:sz w:val="20"/>
          <w:szCs w:val="20"/>
        </w:rPr>
        <w:t xml:space="preserve">, A., </w:t>
      </w:r>
      <w:proofErr w:type="spellStart"/>
      <w:r w:rsidRPr="00015FEB">
        <w:rPr>
          <w:rFonts w:ascii="Times New Roman" w:hAnsi="Times New Roman" w:cs="Times New Roman"/>
          <w:sz w:val="20"/>
          <w:szCs w:val="20"/>
        </w:rPr>
        <w:t>Papachristopoulou</w:t>
      </w:r>
      <w:proofErr w:type="spellEnd"/>
      <w:r w:rsidRPr="00015FEB">
        <w:rPr>
          <w:rFonts w:ascii="Times New Roman" w:hAnsi="Times New Roman" w:cs="Times New Roman"/>
          <w:sz w:val="20"/>
          <w:szCs w:val="20"/>
        </w:rPr>
        <w:t xml:space="preserve">, K., </w:t>
      </w:r>
      <w:proofErr w:type="spellStart"/>
      <w:r w:rsidRPr="00015FEB">
        <w:rPr>
          <w:rFonts w:ascii="Times New Roman" w:hAnsi="Times New Roman" w:cs="Times New Roman"/>
          <w:sz w:val="20"/>
          <w:szCs w:val="20"/>
        </w:rPr>
        <w:t>Kazantzidis</w:t>
      </w:r>
      <w:proofErr w:type="spellEnd"/>
      <w:r w:rsidRPr="00015FEB">
        <w:rPr>
          <w:rFonts w:ascii="Times New Roman" w:hAnsi="Times New Roman" w:cs="Times New Roman"/>
          <w:sz w:val="20"/>
          <w:szCs w:val="20"/>
        </w:rPr>
        <w:t xml:space="preserve">, A., </w:t>
      </w:r>
      <w:proofErr w:type="spellStart"/>
      <w:r w:rsidRPr="00015FEB">
        <w:rPr>
          <w:rFonts w:ascii="Times New Roman" w:hAnsi="Times New Roman" w:cs="Times New Roman"/>
          <w:sz w:val="20"/>
          <w:szCs w:val="20"/>
        </w:rPr>
        <w:t>Kazadzis</w:t>
      </w:r>
      <w:proofErr w:type="spellEnd"/>
      <w:r w:rsidRPr="00015FEB">
        <w:rPr>
          <w:rFonts w:ascii="Times New Roman" w:hAnsi="Times New Roman" w:cs="Times New Roman"/>
          <w:sz w:val="20"/>
          <w:szCs w:val="20"/>
        </w:rPr>
        <w:t xml:space="preserve">, S., Pfenninger, S., </w:t>
      </w:r>
      <w:proofErr w:type="spellStart"/>
      <w:r w:rsidRPr="00015FEB">
        <w:rPr>
          <w:rFonts w:ascii="Times New Roman" w:hAnsi="Times New Roman" w:cs="Times New Roman"/>
          <w:sz w:val="20"/>
          <w:szCs w:val="20"/>
        </w:rPr>
        <w:t>Kapsomenakis</w:t>
      </w:r>
      <w:proofErr w:type="spellEnd"/>
      <w:r w:rsidRPr="00015FEB">
        <w:rPr>
          <w:rFonts w:ascii="Times New Roman" w:hAnsi="Times New Roman" w:cs="Times New Roman"/>
          <w:sz w:val="20"/>
          <w:szCs w:val="20"/>
        </w:rPr>
        <w:t xml:space="preserve">, J., </w:t>
      </w:r>
      <w:proofErr w:type="spellStart"/>
      <w:r w:rsidRPr="00015FEB">
        <w:rPr>
          <w:rFonts w:ascii="Times New Roman" w:hAnsi="Times New Roman" w:cs="Times New Roman"/>
          <w:sz w:val="20"/>
          <w:szCs w:val="20"/>
        </w:rPr>
        <w:t>Eleftheratos</w:t>
      </w:r>
      <w:proofErr w:type="spellEnd"/>
      <w:r w:rsidRPr="00015FEB">
        <w:rPr>
          <w:rFonts w:ascii="Times New Roman" w:hAnsi="Times New Roman" w:cs="Times New Roman"/>
          <w:sz w:val="20"/>
          <w:szCs w:val="20"/>
        </w:rPr>
        <w:t xml:space="preserve">, K., </w:t>
      </w:r>
      <w:proofErr w:type="spellStart"/>
      <w:r w:rsidRPr="00015FEB">
        <w:rPr>
          <w:rFonts w:ascii="Times New Roman" w:hAnsi="Times New Roman" w:cs="Times New Roman"/>
          <w:sz w:val="20"/>
          <w:szCs w:val="20"/>
        </w:rPr>
        <w:t>Argiriou</w:t>
      </w:r>
      <w:proofErr w:type="spellEnd"/>
      <w:r w:rsidRPr="00015FEB">
        <w:rPr>
          <w:rFonts w:ascii="Times New Roman" w:hAnsi="Times New Roman" w:cs="Times New Roman"/>
          <w:sz w:val="20"/>
          <w:szCs w:val="20"/>
        </w:rPr>
        <w:t xml:space="preserve">, A.A., Doppler, L., </w:t>
      </w:r>
      <w:proofErr w:type="spellStart"/>
      <w:r w:rsidRPr="00015FEB">
        <w:rPr>
          <w:rFonts w:ascii="Times New Roman" w:hAnsi="Times New Roman" w:cs="Times New Roman"/>
          <w:sz w:val="20"/>
          <w:szCs w:val="20"/>
        </w:rPr>
        <w:t>Zerefos</w:t>
      </w:r>
      <w:proofErr w:type="spellEnd"/>
      <w:r w:rsidRPr="00015FEB">
        <w:rPr>
          <w:rFonts w:ascii="Times New Roman" w:hAnsi="Times New Roman" w:cs="Times New Roman"/>
          <w:sz w:val="20"/>
          <w:szCs w:val="20"/>
        </w:rPr>
        <w:t xml:space="preserve">, C.S., 2026. PV power modelling using solar radiation from ground-based measurements and CAMS: Assessing the diffuse component related uncertainties leveraging the Global Solar Energy Estimator (GSEE). </w:t>
      </w:r>
      <w:r w:rsidRPr="00015FEB">
        <w:rPr>
          <w:rFonts w:ascii="Times New Roman" w:hAnsi="Times New Roman" w:cs="Times New Roman"/>
          <w:i/>
          <w:iCs/>
          <w:sz w:val="20"/>
          <w:szCs w:val="20"/>
        </w:rPr>
        <w:t>Atmospheric Measurement Techniques</w:t>
      </w:r>
      <w:r w:rsidRPr="00015FEB">
        <w:rPr>
          <w:rFonts w:ascii="Times New Roman" w:hAnsi="Times New Roman" w:cs="Times New Roman"/>
          <w:sz w:val="20"/>
          <w:szCs w:val="20"/>
        </w:rPr>
        <w:t xml:space="preserve"> </w:t>
      </w:r>
      <w:r w:rsidRPr="00015FEB">
        <w:rPr>
          <w:rFonts w:ascii="Times New Roman" w:hAnsi="Times New Roman" w:cs="Times New Roman"/>
          <w:b/>
          <w:bCs/>
          <w:sz w:val="20"/>
          <w:szCs w:val="20"/>
        </w:rPr>
        <w:t>19</w:t>
      </w:r>
      <w:r w:rsidRPr="00015FEB">
        <w:rPr>
          <w:rFonts w:ascii="Times New Roman" w:hAnsi="Times New Roman" w:cs="Times New Roman"/>
          <w:sz w:val="20"/>
          <w:szCs w:val="20"/>
        </w:rPr>
        <w:t xml:space="preserve">, 1227–1244. </w:t>
      </w:r>
      <w:hyperlink r:id="rId31" w:tgtFrame="_new" w:history="1">
        <w:r w:rsidRPr="00015FEB">
          <w:rPr>
            <w:rStyle w:val="Hyperlink"/>
            <w:rFonts w:ascii="Times New Roman" w:hAnsi="Times New Roman" w:cs="Times New Roman"/>
            <w:sz w:val="20"/>
            <w:szCs w:val="20"/>
          </w:rPr>
          <w:t>https://doi.org/10.5194/amt-19-1227-2026</w:t>
        </w:r>
      </w:hyperlink>
    </w:p>
    <w:p w14:paraId="4E96FFDE" w14:textId="77777777" w:rsidR="006702EE" w:rsidRPr="00015FEB" w:rsidRDefault="006702EE" w:rsidP="00015FEB">
      <w:pPr>
        <w:jc w:val="both"/>
        <w:rPr>
          <w:rFonts w:ascii="Times New Roman" w:hAnsi="Times New Roman" w:cs="Times New Roman"/>
          <w:sz w:val="20"/>
          <w:szCs w:val="20"/>
        </w:rPr>
      </w:pPr>
      <w:r w:rsidRPr="00015FEB">
        <w:rPr>
          <w:rFonts w:ascii="Times New Roman" w:hAnsi="Times New Roman" w:cs="Times New Roman"/>
          <w:sz w:val="20"/>
          <w:szCs w:val="20"/>
        </w:rPr>
        <w:lastRenderedPageBreak/>
        <w:t xml:space="preserve">Pfenninger, S., Hawkes, A., Keirstead, J., 2014. Energy systems modeling for twenty-first century energy challenges. </w:t>
      </w:r>
      <w:r w:rsidRPr="00015FEB">
        <w:rPr>
          <w:rFonts w:ascii="Times New Roman" w:hAnsi="Times New Roman" w:cs="Times New Roman"/>
          <w:i/>
          <w:iCs/>
          <w:sz w:val="20"/>
          <w:szCs w:val="20"/>
        </w:rPr>
        <w:t>Renewable and Sustainable Energy Reviews</w:t>
      </w:r>
      <w:r w:rsidRPr="00015FEB">
        <w:rPr>
          <w:rFonts w:ascii="Times New Roman" w:hAnsi="Times New Roman" w:cs="Times New Roman"/>
          <w:sz w:val="20"/>
          <w:szCs w:val="20"/>
        </w:rPr>
        <w:t xml:space="preserve"> </w:t>
      </w:r>
      <w:r w:rsidRPr="00015FEB">
        <w:rPr>
          <w:rFonts w:ascii="Times New Roman" w:hAnsi="Times New Roman" w:cs="Times New Roman"/>
          <w:b/>
          <w:bCs/>
          <w:sz w:val="20"/>
          <w:szCs w:val="20"/>
        </w:rPr>
        <w:t>33</w:t>
      </w:r>
      <w:r w:rsidRPr="00015FEB">
        <w:rPr>
          <w:rFonts w:ascii="Times New Roman" w:hAnsi="Times New Roman" w:cs="Times New Roman"/>
          <w:sz w:val="20"/>
          <w:szCs w:val="20"/>
        </w:rPr>
        <w:t xml:space="preserve">, 74–86. </w:t>
      </w:r>
      <w:hyperlink r:id="rId32" w:tgtFrame="_new" w:history="1">
        <w:r w:rsidRPr="00015FEB">
          <w:rPr>
            <w:rStyle w:val="Hyperlink"/>
            <w:rFonts w:ascii="Times New Roman" w:hAnsi="Times New Roman" w:cs="Times New Roman"/>
            <w:sz w:val="20"/>
            <w:szCs w:val="20"/>
          </w:rPr>
          <w:t>https://doi.org/10.1016/j.rser.2014.02.003</w:t>
        </w:r>
      </w:hyperlink>
    </w:p>
    <w:p w14:paraId="11E2D1C0" w14:textId="77777777" w:rsidR="006702EE" w:rsidRPr="00015FEB" w:rsidRDefault="006702EE" w:rsidP="00015FEB">
      <w:pPr>
        <w:jc w:val="both"/>
        <w:rPr>
          <w:rFonts w:ascii="Times New Roman" w:hAnsi="Times New Roman" w:cs="Times New Roman"/>
          <w:sz w:val="20"/>
          <w:szCs w:val="20"/>
        </w:rPr>
      </w:pPr>
      <w:r w:rsidRPr="00015FEB">
        <w:rPr>
          <w:rFonts w:ascii="Times New Roman" w:hAnsi="Times New Roman" w:cs="Times New Roman"/>
          <w:sz w:val="20"/>
          <w:szCs w:val="20"/>
        </w:rPr>
        <w:t xml:space="preserve">Pfenninger, S., </w:t>
      </w:r>
      <w:proofErr w:type="spellStart"/>
      <w:r w:rsidRPr="00015FEB">
        <w:rPr>
          <w:rFonts w:ascii="Times New Roman" w:hAnsi="Times New Roman" w:cs="Times New Roman"/>
          <w:sz w:val="20"/>
          <w:szCs w:val="20"/>
        </w:rPr>
        <w:t>Staffell</w:t>
      </w:r>
      <w:proofErr w:type="spellEnd"/>
      <w:r w:rsidRPr="00015FEB">
        <w:rPr>
          <w:rFonts w:ascii="Times New Roman" w:hAnsi="Times New Roman" w:cs="Times New Roman"/>
          <w:sz w:val="20"/>
          <w:szCs w:val="20"/>
        </w:rPr>
        <w:t xml:space="preserve">, I., 2016. Long-term patterns of European PV output using 30 years of validated hourly reanalysis and satellite data. </w:t>
      </w:r>
      <w:r w:rsidRPr="00015FEB">
        <w:rPr>
          <w:rFonts w:ascii="Times New Roman" w:hAnsi="Times New Roman" w:cs="Times New Roman"/>
          <w:i/>
          <w:iCs/>
          <w:sz w:val="20"/>
          <w:szCs w:val="20"/>
        </w:rPr>
        <w:t>Energy</w:t>
      </w:r>
      <w:r w:rsidRPr="00015FEB">
        <w:rPr>
          <w:rFonts w:ascii="Times New Roman" w:hAnsi="Times New Roman" w:cs="Times New Roman"/>
          <w:sz w:val="20"/>
          <w:szCs w:val="20"/>
        </w:rPr>
        <w:t xml:space="preserve"> </w:t>
      </w:r>
      <w:r w:rsidRPr="00015FEB">
        <w:rPr>
          <w:rFonts w:ascii="Times New Roman" w:hAnsi="Times New Roman" w:cs="Times New Roman"/>
          <w:b/>
          <w:bCs/>
          <w:sz w:val="20"/>
          <w:szCs w:val="20"/>
        </w:rPr>
        <w:t>114</w:t>
      </w:r>
      <w:r w:rsidRPr="00015FEB">
        <w:rPr>
          <w:rFonts w:ascii="Times New Roman" w:hAnsi="Times New Roman" w:cs="Times New Roman"/>
          <w:sz w:val="20"/>
          <w:szCs w:val="20"/>
        </w:rPr>
        <w:t xml:space="preserve">, 1251–1265. </w:t>
      </w:r>
      <w:hyperlink r:id="rId33" w:tgtFrame="_new" w:history="1">
        <w:r w:rsidRPr="00015FEB">
          <w:rPr>
            <w:rStyle w:val="Hyperlink"/>
            <w:rFonts w:ascii="Times New Roman" w:hAnsi="Times New Roman" w:cs="Times New Roman"/>
            <w:sz w:val="20"/>
            <w:szCs w:val="20"/>
          </w:rPr>
          <w:t>https://doi.org/10.1016/j.energy.2016.08.060</w:t>
        </w:r>
      </w:hyperlink>
    </w:p>
    <w:p w14:paraId="4912343E" w14:textId="27FE66ED" w:rsidR="006D00E9" w:rsidRPr="00015FEB" w:rsidRDefault="006702EE" w:rsidP="00015FEB">
      <w:pPr>
        <w:jc w:val="both"/>
        <w:rPr>
          <w:rFonts w:ascii="Times New Roman" w:hAnsi="Times New Roman" w:cs="Times New Roman"/>
          <w:sz w:val="20"/>
          <w:szCs w:val="20"/>
        </w:rPr>
      </w:pPr>
      <w:r w:rsidRPr="00015FEB">
        <w:rPr>
          <w:rFonts w:ascii="Times New Roman" w:hAnsi="Times New Roman" w:cs="Times New Roman"/>
          <w:sz w:val="20"/>
          <w:szCs w:val="20"/>
        </w:rPr>
        <w:t xml:space="preserve">Vaughan, C., </w:t>
      </w:r>
      <w:proofErr w:type="spellStart"/>
      <w:r w:rsidRPr="00015FEB">
        <w:rPr>
          <w:rFonts w:ascii="Times New Roman" w:hAnsi="Times New Roman" w:cs="Times New Roman"/>
          <w:sz w:val="20"/>
          <w:szCs w:val="20"/>
        </w:rPr>
        <w:t>Dessai</w:t>
      </w:r>
      <w:proofErr w:type="spellEnd"/>
      <w:r w:rsidRPr="00015FEB">
        <w:rPr>
          <w:rFonts w:ascii="Times New Roman" w:hAnsi="Times New Roman" w:cs="Times New Roman"/>
          <w:sz w:val="20"/>
          <w:szCs w:val="20"/>
        </w:rPr>
        <w:t xml:space="preserve">, S., 2014. Climate services for society: Origins, institutional arrangements, and design elements for an evaluation framework. </w:t>
      </w:r>
      <w:r w:rsidRPr="00015FEB">
        <w:rPr>
          <w:rFonts w:ascii="Times New Roman" w:hAnsi="Times New Roman" w:cs="Times New Roman"/>
          <w:i/>
          <w:iCs/>
          <w:sz w:val="20"/>
          <w:szCs w:val="20"/>
        </w:rPr>
        <w:t>WIREs Climate Change</w:t>
      </w:r>
      <w:r w:rsidRPr="00015FEB">
        <w:rPr>
          <w:rFonts w:ascii="Times New Roman" w:hAnsi="Times New Roman" w:cs="Times New Roman"/>
          <w:sz w:val="20"/>
          <w:szCs w:val="20"/>
        </w:rPr>
        <w:t xml:space="preserve"> </w:t>
      </w:r>
      <w:r w:rsidRPr="00015FEB">
        <w:rPr>
          <w:rFonts w:ascii="Times New Roman" w:hAnsi="Times New Roman" w:cs="Times New Roman"/>
          <w:b/>
          <w:bCs/>
          <w:sz w:val="20"/>
          <w:szCs w:val="20"/>
        </w:rPr>
        <w:t>5</w:t>
      </w:r>
      <w:r w:rsidRPr="00015FEB">
        <w:rPr>
          <w:rFonts w:ascii="Times New Roman" w:hAnsi="Times New Roman" w:cs="Times New Roman"/>
          <w:sz w:val="20"/>
          <w:szCs w:val="20"/>
        </w:rPr>
        <w:t xml:space="preserve">, 587–603. </w:t>
      </w:r>
      <w:hyperlink r:id="rId34" w:tgtFrame="_new" w:history="1">
        <w:r w:rsidRPr="00015FEB">
          <w:rPr>
            <w:rStyle w:val="Hyperlink"/>
            <w:rFonts w:ascii="Times New Roman" w:hAnsi="Times New Roman" w:cs="Times New Roman"/>
            <w:sz w:val="20"/>
            <w:szCs w:val="20"/>
          </w:rPr>
          <w:t>https://doi.org/10.1002/wcc.290</w:t>
        </w:r>
      </w:hyperlink>
    </w:p>
    <w:p w14:paraId="3AD404E1" w14:textId="77777777" w:rsidR="00361478" w:rsidRPr="00EB66AF" w:rsidRDefault="00361478"/>
    <w:sectPr w:rsidR="00361478" w:rsidRPr="00EB66AF" w:rsidSect="009572DC">
      <w:pgSz w:w="12240" w:h="15840"/>
      <w:pgMar w:top="1701" w:right="1440" w:bottom="1440"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9F1054"/>
    <w:multiLevelType w:val="hybridMultilevel"/>
    <w:tmpl w:val="4198C3A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860190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332D"/>
    <w:rsid w:val="0000711E"/>
    <w:rsid w:val="00015FEB"/>
    <w:rsid w:val="00141EEA"/>
    <w:rsid w:val="002B554E"/>
    <w:rsid w:val="002B72B9"/>
    <w:rsid w:val="003511C7"/>
    <w:rsid w:val="00361478"/>
    <w:rsid w:val="00387D6D"/>
    <w:rsid w:val="003D3004"/>
    <w:rsid w:val="004568A0"/>
    <w:rsid w:val="005364FA"/>
    <w:rsid w:val="005A75D9"/>
    <w:rsid w:val="005B212A"/>
    <w:rsid w:val="006702EE"/>
    <w:rsid w:val="006C4CA8"/>
    <w:rsid w:val="006D00E9"/>
    <w:rsid w:val="008E1783"/>
    <w:rsid w:val="009572DC"/>
    <w:rsid w:val="00A3457A"/>
    <w:rsid w:val="00A646AA"/>
    <w:rsid w:val="00AA410F"/>
    <w:rsid w:val="00B026DB"/>
    <w:rsid w:val="00B7715A"/>
    <w:rsid w:val="00C02E5D"/>
    <w:rsid w:val="00C47CE0"/>
    <w:rsid w:val="00C96E20"/>
    <w:rsid w:val="00CD637C"/>
    <w:rsid w:val="00D75D4F"/>
    <w:rsid w:val="00EB66AF"/>
    <w:rsid w:val="00F4332D"/>
    <w:rsid w:val="00FA19C3"/>
    <w:rsid w:val="00FF2226"/>
  </w:rsids>
  <m:mathPr>
    <m:mathFont m:val="Cambria Math"/>
    <m:brkBin m:val="before"/>
    <m:brkBinSub m:val="--"/>
    <m:smallFrac m:val="0"/>
    <m:dispDef/>
    <m:lMargin m:val="0"/>
    <m:rMargin m:val="0"/>
    <m:defJc m:val="centerGroup"/>
    <m:wrapIndent m:val="1440"/>
    <m:intLim m:val="subSup"/>
    <m:naryLim m:val="undOvr"/>
  </m:mathPr>
  <w:themeFontLang w:val="en-US" w:eastAsia="ko-KR"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84D6A3"/>
  <w15:chartTrackingRefBased/>
  <w15:docId w15:val="{6E422766-5AFA-471E-BC5F-F456AD4475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433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433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4332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4332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4332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4332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4332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4332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4332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332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4332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4332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4332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4332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4332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332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332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332D"/>
    <w:rPr>
      <w:rFonts w:eastAsiaTheme="majorEastAsia" w:cstheme="majorBidi"/>
      <w:color w:val="272727" w:themeColor="text1" w:themeTint="D8"/>
    </w:rPr>
  </w:style>
  <w:style w:type="paragraph" w:styleId="Title">
    <w:name w:val="Title"/>
    <w:basedOn w:val="Normal"/>
    <w:next w:val="Normal"/>
    <w:link w:val="TitleChar"/>
    <w:uiPriority w:val="10"/>
    <w:qFormat/>
    <w:rsid w:val="00F433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332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332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4332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332D"/>
    <w:pPr>
      <w:spacing w:before="160"/>
      <w:jc w:val="center"/>
    </w:pPr>
    <w:rPr>
      <w:i/>
      <w:iCs/>
      <w:color w:val="404040" w:themeColor="text1" w:themeTint="BF"/>
    </w:rPr>
  </w:style>
  <w:style w:type="character" w:customStyle="1" w:styleId="QuoteChar">
    <w:name w:val="Quote Char"/>
    <w:basedOn w:val="DefaultParagraphFont"/>
    <w:link w:val="Quote"/>
    <w:uiPriority w:val="29"/>
    <w:rsid w:val="00F4332D"/>
    <w:rPr>
      <w:i/>
      <w:iCs/>
      <w:color w:val="404040" w:themeColor="text1" w:themeTint="BF"/>
    </w:rPr>
  </w:style>
  <w:style w:type="paragraph" w:styleId="ListParagraph">
    <w:name w:val="List Paragraph"/>
    <w:basedOn w:val="Normal"/>
    <w:uiPriority w:val="34"/>
    <w:qFormat/>
    <w:rsid w:val="00F4332D"/>
    <w:pPr>
      <w:ind w:left="720"/>
      <w:contextualSpacing/>
    </w:pPr>
  </w:style>
  <w:style w:type="character" w:styleId="IntenseEmphasis">
    <w:name w:val="Intense Emphasis"/>
    <w:basedOn w:val="DefaultParagraphFont"/>
    <w:uiPriority w:val="21"/>
    <w:qFormat/>
    <w:rsid w:val="00F4332D"/>
    <w:rPr>
      <w:i/>
      <w:iCs/>
      <w:color w:val="0F4761" w:themeColor="accent1" w:themeShade="BF"/>
    </w:rPr>
  </w:style>
  <w:style w:type="paragraph" w:styleId="IntenseQuote">
    <w:name w:val="Intense Quote"/>
    <w:basedOn w:val="Normal"/>
    <w:next w:val="Normal"/>
    <w:link w:val="IntenseQuoteChar"/>
    <w:uiPriority w:val="30"/>
    <w:qFormat/>
    <w:rsid w:val="00F433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4332D"/>
    <w:rPr>
      <w:i/>
      <w:iCs/>
      <w:color w:val="0F4761" w:themeColor="accent1" w:themeShade="BF"/>
    </w:rPr>
  </w:style>
  <w:style w:type="character" w:styleId="IntenseReference">
    <w:name w:val="Intense Reference"/>
    <w:basedOn w:val="DefaultParagraphFont"/>
    <w:uiPriority w:val="32"/>
    <w:qFormat/>
    <w:rsid w:val="00F4332D"/>
    <w:rPr>
      <w:b/>
      <w:bCs/>
      <w:smallCaps/>
      <w:color w:val="0F4761" w:themeColor="accent1" w:themeShade="BF"/>
      <w:spacing w:val="5"/>
    </w:rPr>
  </w:style>
  <w:style w:type="character" w:styleId="Hyperlink">
    <w:name w:val="Hyperlink"/>
    <w:basedOn w:val="DefaultParagraphFont"/>
    <w:uiPriority w:val="99"/>
    <w:unhideWhenUsed/>
    <w:rsid w:val="00361478"/>
    <w:rPr>
      <w:color w:val="467886" w:themeColor="hyperlink"/>
      <w:u w:val="single"/>
    </w:rPr>
  </w:style>
  <w:style w:type="character" w:styleId="UnresolvedMention">
    <w:name w:val="Unresolved Mention"/>
    <w:basedOn w:val="DefaultParagraphFont"/>
    <w:uiPriority w:val="99"/>
    <w:semiHidden/>
    <w:unhideWhenUsed/>
    <w:rsid w:val="00361478"/>
    <w:rPr>
      <w:color w:val="605E5C"/>
      <w:shd w:val="clear" w:color="auto" w:fill="E1DFDD"/>
    </w:rPr>
  </w:style>
  <w:style w:type="character" w:styleId="CommentReference">
    <w:name w:val="annotation reference"/>
    <w:basedOn w:val="DefaultParagraphFont"/>
    <w:uiPriority w:val="99"/>
    <w:semiHidden/>
    <w:unhideWhenUsed/>
    <w:rsid w:val="006D00E9"/>
    <w:rPr>
      <w:sz w:val="16"/>
      <w:szCs w:val="16"/>
    </w:rPr>
  </w:style>
  <w:style w:type="paragraph" w:styleId="CommentText">
    <w:name w:val="annotation text"/>
    <w:basedOn w:val="Normal"/>
    <w:link w:val="CommentTextChar"/>
    <w:uiPriority w:val="99"/>
    <w:unhideWhenUsed/>
    <w:rsid w:val="006D00E9"/>
    <w:pPr>
      <w:spacing w:line="240" w:lineRule="auto"/>
    </w:pPr>
    <w:rPr>
      <w:sz w:val="20"/>
      <w:szCs w:val="20"/>
    </w:rPr>
  </w:style>
  <w:style w:type="character" w:customStyle="1" w:styleId="CommentTextChar">
    <w:name w:val="Comment Text Char"/>
    <w:basedOn w:val="DefaultParagraphFont"/>
    <w:link w:val="CommentText"/>
    <w:uiPriority w:val="99"/>
    <w:rsid w:val="006D00E9"/>
    <w:rPr>
      <w:sz w:val="20"/>
      <w:szCs w:val="20"/>
    </w:rPr>
  </w:style>
  <w:style w:type="paragraph" w:styleId="CommentSubject">
    <w:name w:val="annotation subject"/>
    <w:basedOn w:val="CommentText"/>
    <w:next w:val="CommentText"/>
    <w:link w:val="CommentSubjectChar"/>
    <w:uiPriority w:val="99"/>
    <w:semiHidden/>
    <w:unhideWhenUsed/>
    <w:rsid w:val="006D00E9"/>
    <w:rPr>
      <w:b/>
      <w:bCs/>
    </w:rPr>
  </w:style>
  <w:style w:type="character" w:customStyle="1" w:styleId="CommentSubjectChar">
    <w:name w:val="Comment Subject Char"/>
    <w:basedOn w:val="CommentTextChar"/>
    <w:link w:val="CommentSubject"/>
    <w:uiPriority w:val="99"/>
    <w:semiHidden/>
    <w:rsid w:val="006D00E9"/>
    <w:rPr>
      <w:b/>
      <w:bCs/>
      <w:sz w:val="20"/>
      <w:szCs w:val="20"/>
    </w:rPr>
  </w:style>
  <w:style w:type="paragraph" w:customStyle="1" w:styleId="Normal1">
    <w:name w:val="Normal1"/>
    <w:rsid w:val="00387D6D"/>
    <w:rPr>
      <w:rFonts w:ascii="Aptos" w:eastAsia="Aptos" w:hAnsi="Aptos" w:cs="Aptos"/>
      <w:kern w:val="0"/>
      <w:lang w:eastAsia="en-GB" w:bidi="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gif"/><Relationship Id="rId18" Type="http://schemas.openxmlformats.org/officeDocument/2006/relationships/image" Target="media/image6.png"/><Relationship Id="rId26" Type="http://schemas.openxmlformats.org/officeDocument/2006/relationships/hyperlink" Target="https://doi.org/10.1016/j.solener.2018.09.085" TargetMode="External"/><Relationship Id="rId3" Type="http://schemas.openxmlformats.org/officeDocument/2006/relationships/styles" Target="styles.xml"/><Relationship Id="rId21" Type="http://schemas.openxmlformats.org/officeDocument/2006/relationships/hyperlink" Target="https://doi.org/10.1016/j.rser.2019.02.032" TargetMode="External"/><Relationship Id="rId34" Type="http://schemas.openxmlformats.org/officeDocument/2006/relationships/hyperlink" Target="https://doi.org/10.1002/wcc.290" TargetMode="External"/><Relationship Id="rId7" Type="http://schemas.openxmlformats.org/officeDocument/2006/relationships/hyperlink" Target="mailto:vamoir@noa.gr" TargetMode="External"/><Relationship Id="rId12" Type="http://schemas.openxmlformats.org/officeDocument/2006/relationships/hyperlink" Target="https://portal.climatehub.gr" TargetMode="External"/><Relationship Id="rId17" Type="http://schemas.openxmlformats.org/officeDocument/2006/relationships/image" Target="media/image5.gif"/><Relationship Id="rId25" Type="http://schemas.openxmlformats.org/officeDocument/2006/relationships/hyperlink" Target="https://doi.org/10.1016/j.cliser.2019.100139" TargetMode="External"/><Relationship Id="rId33" Type="http://schemas.openxmlformats.org/officeDocument/2006/relationships/hyperlink" Target="https://doi.org/10.1016/j.energy.2016.08.060" TargetMode="External"/><Relationship Id="rId2" Type="http://schemas.openxmlformats.org/officeDocument/2006/relationships/numbering" Target="numbering.xml"/><Relationship Id="rId16" Type="http://schemas.openxmlformats.org/officeDocument/2006/relationships/image" Target="media/image4.gif"/><Relationship Id="rId20" Type="http://schemas.openxmlformats.org/officeDocument/2006/relationships/image" Target="media/image8.png"/><Relationship Id="rId29" Type="http://schemas.openxmlformats.org/officeDocument/2006/relationships/hyperlink" Target="https://doi.org/10.3390/eesp2025035028" TargetMode="External"/><Relationship Id="rId1" Type="http://schemas.openxmlformats.org/officeDocument/2006/relationships/customXml" Target="../customXml/item1.xml"/><Relationship Id="rId6" Type="http://schemas.openxmlformats.org/officeDocument/2006/relationships/hyperlink" Target="mailto:cgiannak@noa.gr" TargetMode="External"/><Relationship Id="rId11" Type="http://schemas.openxmlformats.org/officeDocument/2006/relationships/hyperlink" Target="mailto:missios@academyofathens.gr" TargetMode="External"/><Relationship Id="rId24" Type="http://schemas.openxmlformats.org/officeDocument/2006/relationships/hyperlink" Target="https://doi.org/10.1002/met.2145" TargetMode="External"/><Relationship Id="rId32" Type="http://schemas.openxmlformats.org/officeDocument/2006/relationships/hyperlink" Target="https://doi.org/10.1016/j.rser.2014.02.003" TargetMode="External"/><Relationship Id="rId5" Type="http://schemas.openxmlformats.org/officeDocument/2006/relationships/webSettings" Target="webSettings.xml"/><Relationship Id="rId15" Type="http://schemas.openxmlformats.org/officeDocument/2006/relationships/image" Target="media/image3.gif"/><Relationship Id="rId23" Type="http://schemas.openxmlformats.org/officeDocument/2006/relationships/hyperlink" Target="https://doi.org/10.1016/j.rser.2018.09.022" TargetMode="External"/><Relationship Id="rId28" Type="http://schemas.openxmlformats.org/officeDocument/2006/relationships/hyperlink" Target="https://doi.org/10.1038/ncomms10014" TargetMode="External"/><Relationship Id="rId36" Type="http://schemas.openxmlformats.org/officeDocument/2006/relationships/theme" Target="theme/theme1.xml"/><Relationship Id="rId10" Type="http://schemas.openxmlformats.org/officeDocument/2006/relationships/hyperlink" Target="mailto:kartsios@noa.gr" TargetMode="External"/><Relationship Id="rId19" Type="http://schemas.openxmlformats.org/officeDocument/2006/relationships/image" Target="media/image7.png"/><Relationship Id="rId31" Type="http://schemas.openxmlformats.org/officeDocument/2006/relationships/hyperlink" Target="https://doi.org/10.5194/amt-19-1227-2026" TargetMode="External"/><Relationship Id="rId4" Type="http://schemas.openxmlformats.org/officeDocument/2006/relationships/settings" Target="settings.xml"/><Relationship Id="rId9" Type="http://schemas.openxmlformats.org/officeDocument/2006/relationships/hyperlink" Target="mailto:npapadimitriou@academyofathens.gr" TargetMode="External"/><Relationship Id="rId14" Type="http://schemas.openxmlformats.org/officeDocument/2006/relationships/image" Target="media/image2.gif"/><Relationship Id="rId22" Type="http://schemas.openxmlformats.org/officeDocument/2006/relationships/hyperlink" Target="https://doi.org/10.1007/s10584-018-2165-7" TargetMode="External"/><Relationship Id="rId27" Type="http://schemas.openxmlformats.org/officeDocument/2006/relationships/hyperlink" Target="https://doi.org/10.1016/j.cliser.2021.100240" TargetMode="External"/><Relationship Id="rId30" Type="http://schemas.openxmlformats.org/officeDocument/2006/relationships/hyperlink" Target="https://doi.org/10.1007/s10584-019-02445-2" TargetMode="External"/><Relationship Id="rId35" Type="http://schemas.openxmlformats.org/officeDocument/2006/relationships/fontTable" Target="fontTable.xml"/><Relationship Id="rId8" Type="http://schemas.openxmlformats.org/officeDocument/2006/relationships/hyperlink" Target="mailto:ifountoulakis@academyofathens.g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700" row="2">
    <wetp:webextensionref xmlns:r="http://schemas.openxmlformats.org/officeDocument/2006/relationships" r:id="rId1"/>
  </wetp:taskpane>
  <wetp:taskpane dockstate="right" visibility="0" width="700" row="1">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4FF8019B-889C-4B1B-843D-E39B40C98810}">
  <we:reference id="wa104382081" version="1.21.0.0" store="en-001" storeType="OMEX"/>
  <we:alternateReferences>
    <we:reference id="WA104382081" version="1.21.0.0" store="" storeType="OMEX"/>
  </we:alternateReferences>
  <we:properties>
    <we:property name="MENDELEY_CITATIONS" value="[]"/>
  </we:properties>
  <we:bindings/>
  <we:snapshot xmlns:r="http://schemas.openxmlformats.org/officeDocument/2006/relationships"/>
</we:webextension>
</file>

<file path=word/webextensions/webextension2.xml><?xml version="1.0" encoding="utf-8"?>
<we:webextension xmlns:we="http://schemas.microsoft.com/office/webextensions/webextension/2010/11" id="{A05CAC60-9C38-4296-A2F7-C024E4FA7C34}">
  <we:reference id="wa200005983" version="2.3.0.0" store="el-GR" storeType="OMEX"/>
  <we:alternateReferences>
    <we:reference id="WA200005983" version="2.3.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BCC8C4-B2E6-46C1-918B-633234136A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5445</Words>
  <Characters>31037</Characters>
  <Application>Microsoft Office Word</Application>
  <DocSecurity>0</DocSecurity>
  <Lines>258</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Ilias Fountoulakis</dc:creator>
  <cp:keywords/>
  <dc:description/>
  <cp:lastModifiedBy>Christos Giannakopoulos</cp:lastModifiedBy>
  <cp:revision>2</cp:revision>
  <dcterms:created xsi:type="dcterms:W3CDTF">2026-09-03T12:49:00Z</dcterms:created>
  <dcterms:modified xsi:type="dcterms:W3CDTF">2026-09-03T12:49:00Z</dcterms:modified>
</cp:coreProperties>
</file>