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38BB355F" w:rsidR="00D32EF0" w:rsidRDefault="00F207DE" w:rsidP="00B32703">
      <w:pPr>
        <w:pStyle w:val="SWCTitle"/>
        <w:rPr>
          <w:sz w:val="28"/>
          <w:szCs w:val="28"/>
        </w:rPr>
      </w:pPr>
      <w:r w:rsidRPr="00B13E87">
        <w:rPr>
          <w:sz w:val="28"/>
          <w:szCs w:val="28"/>
        </w:rPr>
        <w:t>FULL-SPECTRUM SOLAR ENERGY UTILIZATION FOR HIGH-EFFICIENCY HYDROGEN PRODUCTION</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24FCDF0F" w:rsidR="006B3D49" w:rsidRPr="006B3D49" w:rsidRDefault="006673F0" w:rsidP="00E917F8">
      <w:pPr>
        <w:pStyle w:val="SWCTitle"/>
        <w:spacing w:before="0" w:after="0"/>
        <w:jc w:val="left"/>
        <w:rPr>
          <w:rFonts w:ascii="Times New Roman" w:hAnsi="Times New Roman"/>
          <w:b w:val="0"/>
          <w:sz w:val="20"/>
          <w:szCs w:val="20"/>
        </w:rPr>
      </w:pPr>
      <w:r>
        <w:rPr>
          <w:rFonts w:ascii="Times New Roman" w:hAnsi="Times New Roman" w:hint="eastAsia"/>
          <w:b w:val="0"/>
          <w:sz w:val="20"/>
          <w:szCs w:val="20"/>
          <w:lang w:eastAsia="zh-CN"/>
        </w:rPr>
        <w:t xml:space="preserve">Yu Tian </w:t>
      </w:r>
      <w:r w:rsidR="0C3545CD" w:rsidRPr="0C3545CD">
        <w:rPr>
          <w:rFonts w:ascii="Times New Roman" w:hAnsi="Times New Roman"/>
          <w:b w:val="0"/>
          <w:sz w:val="20"/>
          <w:szCs w:val="20"/>
        </w:rPr>
        <w:t xml:space="preserve">(corresponding author), </w:t>
      </w:r>
      <w:r>
        <w:rPr>
          <w:rFonts w:ascii="Times New Roman" w:hAnsi="Times New Roman" w:hint="eastAsia"/>
          <w:b w:val="0"/>
          <w:sz w:val="20"/>
          <w:szCs w:val="20"/>
          <w:lang w:eastAsia="zh-CN"/>
        </w:rPr>
        <w:t>Gan Huang</w:t>
      </w:r>
    </w:p>
    <w:p w14:paraId="311CE447" w14:textId="36E285BC" w:rsidR="006B3D49" w:rsidRPr="006B3D49" w:rsidRDefault="006B3D49" w:rsidP="00E917F8">
      <w:pPr>
        <w:pStyle w:val="SWCTitle"/>
        <w:spacing w:before="0" w:after="0"/>
        <w:jc w:val="left"/>
        <w:rPr>
          <w:rFonts w:ascii="Times New Roman" w:hAnsi="Times New Roman"/>
          <w:b w:val="0"/>
          <w:sz w:val="20"/>
          <w:szCs w:val="22"/>
        </w:rPr>
      </w:pPr>
      <w:r w:rsidRPr="006B3D49">
        <w:rPr>
          <w:rFonts w:ascii="Times New Roman" w:hAnsi="Times New Roman"/>
          <w:b w:val="0"/>
          <w:sz w:val="20"/>
          <w:szCs w:val="22"/>
        </w:rPr>
        <w:t>Affiliations</w:t>
      </w:r>
      <w:r w:rsidR="006673F0">
        <w:rPr>
          <w:rFonts w:ascii="Times New Roman" w:hAnsi="Times New Roman" w:hint="eastAsia"/>
          <w:b w:val="0"/>
          <w:sz w:val="20"/>
          <w:szCs w:val="22"/>
          <w:lang w:eastAsia="zh-CN"/>
        </w:rPr>
        <w:t>:</w:t>
      </w:r>
      <w:r w:rsidR="006F3136">
        <w:rPr>
          <w:rFonts w:ascii="Times New Roman" w:hAnsi="Times New Roman" w:hint="eastAsia"/>
          <w:b w:val="0"/>
          <w:sz w:val="20"/>
          <w:szCs w:val="22"/>
          <w:lang w:eastAsia="zh-CN"/>
        </w:rPr>
        <w:t xml:space="preserve"> </w:t>
      </w:r>
      <w:r w:rsidR="006F3136" w:rsidRPr="006F3136">
        <w:rPr>
          <w:rFonts w:ascii="Times New Roman" w:hAnsi="Times New Roman"/>
          <w:b w:val="0"/>
          <w:sz w:val="20"/>
          <w:szCs w:val="22"/>
          <w:lang w:eastAsia="zh-CN"/>
        </w:rPr>
        <w:t xml:space="preserve">Institute of Microstructure Technology, Karlsruhe Institute of Technology, Hermann-von-Helmholtz-Platz 1, 76344 </w:t>
      </w:r>
      <w:proofErr w:type="spellStart"/>
      <w:r w:rsidR="006F3136" w:rsidRPr="006F3136">
        <w:rPr>
          <w:rFonts w:ascii="Times New Roman" w:hAnsi="Times New Roman"/>
          <w:b w:val="0"/>
          <w:sz w:val="20"/>
          <w:szCs w:val="22"/>
          <w:lang w:eastAsia="zh-CN"/>
        </w:rPr>
        <w:t>Eggenstein-Leopoldshafen</w:t>
      </w:r>
      <w:proofErr w:type="spellEnd"/>
      <w:r w:rsidR="006F3136" w:rsidRPr="006F3136">
        <w:rPr>
          <w:rFonts w:ascii="Times New Roman" w:hAnsi="Times New Roman"/>
          <w:b w:val="0"/>
          <w:sz w:val="20"/>
          <w:szCs w:val="22"/>
          <w:lang w:eastAsia="zh-CN"/>
        </w:rPr>
        <w:t>, Germany.</w:t>
      </w:r>
      <w:r w:rsidR="006673F0">
        <w:rPr>
          <w:rFonts w:ascii="Times New Roman" w:hAnsi="Times New Roman" w:hint="eastAsia"/>
          <w:b w:val="0"/>
          <w:sz w:val="20"/>
          <w:szCs w:val="22"/>
          <w:lang w:eastAsia="zh-CN"/>
        </w:rPr>
        <w:t xml:space="preserve"> </w:t>
      </w:r>
    </w:p>
    <w:p w14:paraId="18FA38F1" w14:textId="1D282EEC" w:rsidR="006B3D49" w:rsidRDefault="006B3D49" w:rsidP="00E917F8">
      <w:pPr>
        <w:pStyle w:val="SWCTitle"/>
        <w:spacing w:before="0" w:after="0"/>
        <w:jc w:val="left"/>
        <w:rPr>
          <w:rFonts w:ascii="Times New Roman" w:hAnsi="Times New Roman"/>
          <w:b w:val="0"/>
          <w:sz w:val="20"/>
          <w:szCs w:val="22"/>
          <w:lang w:eastAsia="zh-CN"/>
        </w:rPr>
      </w:pPr>
      <w:r w:rsidRPr="006B3D49">
        <w:rPr>
          <w:rFonts w:ascii="Times New Roman" w:hAnsi="Times New Roman"/>
          <w:b w:val="0"/>
          <w:sz w:val="20"/>
          <w:szCs w:val="22"/>
        </w:rPr>
        <w:t>Email(s)</w:t>
      </w:r>
      <w:r w:rsidR="006673F0">
        <w:rPr>
          <w:rFonts w:ascii="Times New Roman" w:hAnsi="Times New Roman" w:hint="eastAsia"/>
          <w:b w:val="0"/>
          <w:sz w:val="20"/>
          <w:szCs w:val="22"/>
          <w:lang w:eastAsia="zh-CN"/>
        </w:rPr>
        <w:t>: yu.tian@kit.edu</w:t>
      </w:r>
    </w:p>
    <w:p w14:paraId="3A7DF4B5" w14:textId="6F51DBA9" w:rsidR="001A775B" w:rsidRDefault="0C3545CD" w:rsidP="0C3545CD">
      <w:pPr>
        <w:pStyle w:val="SWCSummary"/>
        <w:pBdr>
          <w:bottom w:val="single" w:sz="6" w:space="1" w:color="auto"/>
        </w:pBdr>
      </w:pPr>
      <w:r>
        <w:t>Summary</w:t>
      </w:r>
    </w:p>
    <w:p w14:paraId="2D9BF0A8" w14:textId="4F214CC3" w:rsidR="0031685E" w:rsidRDefault="00A20E85" w:rsidP="008A0437">
      <w:pPr>
        <w:pStyle w:val="SWCText"/>
        <w:pBdr>
          <w:bottom w:val="single" w:sz="6" w:space="1" w:color="auto"/>
        </w:pBdr>
      </w:pPr>
      <w:r w:rsidRPr="00A20E85">
        <w:t>This study evaluates the technical and economic performance of a spectral-splitting photovoltaic-thermal hydrogen (SSPVTH) system across ten European cities</w:t>
      </w:r>
      <w:r w:rsidR="004C53B4">
        <w:t xml:space="preserve">: </w:t>
      </w:r>
      <w:r w:rsidR="004C53B4" w:rsidRPr="00215199">
        <w:rPr>
          <w:szCs w:val="20"/>
        </w:rPr>
        <w:t>Helsinki, Copenhagen, London, Paris, Vienna, Bucharest, Lisbon, Madrid, Rome, and Athens</w:t>
      </w:r>
      <w:r w:rsidRPr="00A20E85">
        <w:t>. Hourly typical meteorological year</w:t>
      </w:r>
      <w:r w:rsidR="00DC2169">
        <w:rPr>
          <w:rFonts w:hint="eastAsia"/>
          <w:lang w:eastAsia="zh-CN"/>
        </w:rPr>
        <w:t xml:space="preserve"> (TMY)</w:t>
      </w:r>
      <w:r w:rsidRPr="00A20E85">
        <w:t xml:space="preserve"> data from the PVGIS-ERA5 database were used to represent the direct normal irradiance and ambient temperature at each location. Dual axis and single axis tracking configurations were compared using a coupled optical, thermal, electrical, and electrochemical model. Annual hydrogen production, solar-to-hydrogen efficiency, levelized cost of hydrogen, and discounted payback time were evaluated. Under dual axis tracking, annual </w:t>
      </w:r>
      <w:r w:rsidR="00FD5E06">
        <w:t>normalized</w:t>
      </w:r>
      <w:r w:rsidRPr="00A20E85">
        <w:t xml:space="preserve"> hydrogen production ranged from 5.0 kg H₂ m⁻² year⁻¹ in London to 11.2 kg H₂ m⁻² year⁻¹ in Madrid. The corresponding annual HHV-based solar-to-hydrogen efficiency ranged from 18.1% to 19.5%. Dual axis tracking increased annual hydrogen production by 31.3–45.0% relative to single axis tracking and achieved a lower levelized cost of hydrogen in every city. The lowest levelized cost was 6.9 EUR kg⁻¹ H₂ in Madrid, where the hydrogen-sales-only payback time was 6.6 years. Including oxygen-sales revenue further reduced the payback time to 5.8 years. The results identify high-DNI southern European locations combined with dual axis tracking as the most </w:t>
      </w:r>
      <w:proofErr w:type="spellStart"/>
      <w:r w:rsidRPr="00A20E85">
        <w:t>favourable</w:t>
      </w:r>
      <w:proofErr w:type="spellEnd"/>
      <w:r w:rsidRPr="00A20E85">
        <w:t xml:space="preserve"> conditions for efficient and economically competitive solar hydrogen production.</w:t>
      </w:r>
    </w:p>
    <w:p w14:paraId="054E77C1" w14:textId="77777777" w:rsidR="006F3136" w:rsidRDefault="006F3136" w:rsidP="006F3136">
      <w:pPr>
        <w:pStyle w:val="SWCText"/>
        <w:pBdr>
          <w:bottom w:val="single" w:sz="6" w:space="1" w:color="auto"/>
        </w:pBdr>
        <w:rPr>
          <w:i/>
          <w:iCs/>
        </w:rPr>
      </w:pPr>
      <w:r w:rsidRPr="0004545F">
        <w:rPr>
          <w:i/>
          <w:iCs/>
        </w:rPr>
        <w:t xml:space="preserve">Keywords: </w:t>
      </w:r>
      <w:r w:rsidRPr="0050267B">
        <w:rPr>
          <w:i/>
          <w:iCs/>
        </w:rPr>
        <w:t>solar hydrogen, spectral splitting, photovoltaic–thermal system, levelized cost of hydrogen</w:t>
      </w:r>
    </w:p>
    <w:p w14:paraId="2E54E6CE" w14:textId="77777777" w:rsidR="006F3136" w:rsidRDefault="006F3136" w:rsidP="006F3136">
      <w:pPr>
        <w:pStyle w:val="SWCText"/>
        <w:pBdr>
          <w:bottom w:val="single" w:sz="6" w:space="1" w:color="auto"/>
        </w:pBdr>
        <w:rPr>
          <w:i/>
          <w:iCs/>
        </w:rPr>
      </w:pPr>
      <w:r>
        <w:rPr>
          <w:i/>
          <w:iCs/>
        </w:rPr>
        <w:t>Field of application for the findings:</w:t>
      </w:r>
      <w:r w:rsidRPr="0050267B">
        <w:t xml:space="preserve"> </w:t>
      </w:r>
      <w:r w:rsidRPr="0050267B">
        <w:rPr>
          <w:i/>
          <w:iCs/>
        </w:rPr>
        <w:t>Electrical Energy Storage &amp; Hydrogen</w:t>
      </w:r>
    </w:p>
    <w:p w14:paraId="0A272F73" w14:textId="77777777" w:rsidR="006F3136" w:rsidRDefault="006F3136" w:rsidP="006F3136">
      <w:pPr>
        <w:pStyle w:val="SWCText"/>
        <w:pBdr>
          <w:bottom w:val="single" w:sz="6" w:space="1" w:color="auto"/>
        </w:pBdr>
      </w:pPr>
      <w:r>
        <w:rPr>
          <w:i/>
          <w:iCs/>
        </w:rPr>
        <w:t>Addressed audience:</w:t>
      </w:r>
      <w:r w:rsidRPr="00390A37">
        <w:t xml:space="preserve"> </w:t>
      </w:r>
      <w:r w:rsidRPr="00390A37">
        <w:rPr>
          <w:i/>
          <w:iCs/>
        </w:rPr>
        <w:t>Researchers and engineers in solar energy systems and techno-economic assessment of renewable hydrogen technologies</w:t>
      </w:r>
    </w:p>
    <w:p w14:paraId="5A60CA83" w14:textId="77777777" w:rsidR="00F207DE" w:rsidRPr="004C4EE9" w:rsidRDefault="00F207DE" w:rsidP="00F207DE">
      <w:pPr>
        <w:pStyle w:val="SWCHeading1"/>
      </w:pPr>
      <w:r w:rsidRPr="004C4EE9">
        <w:t>Introduction</w:t>
      </w:r>
    </w:p>
    <w:p w14:paraId="5958226D" w14:textId="0641807C" w:rsidR="00111FD4" w:rsidRPr="00111FD4" w:rsidRDefault="00D32EF0" w:rsidP="00111FD4">
      <w:pPr>
        <w:pStyle w:val="SWCText"/>
      </w:pPr>
      <w:r w:rsidRPr="006309AA">
        <w:t xml:space="preserve">The </w:t>
      </w:r>
      <w:r w:rsidR="00111FD4" w:rsidRPr="00111FD4">
        <w:t xml:space="preserve">Hydrogen produced using renewable electricity is expected to play an important role in the </w:t>
      </w:r>
      <w:proofErr w:type="spellStart"/>
      <w:r w:rsidR="00111FD4" w:rsidRPr="00111FD4">
        <w:t>decarbonisation</w:t>
      </w:r>
      <w:proofErr w:type="spellEnd"/>
      <w:r w:rsidR="00111FD4" w:rsidRPr="00111FD4">
        <w:t xml:space="preserve"> of hard-to-electrify industrial sectors and long-duration energy storage</w:t>
      </w:r>
      <w:r w:rsidR="000C59D7">
        <w:rPr>
          <w:rFonts w:hint="eastAsia"/>
          <w:lang w:eastAsia="zh-CN"/>
        </w:rPr>
        <w:t xml:space="preserve"> </w:t>
      </w:r>
      <w:r w:rsidR="000C59D7" w:rsidRPr="000C59D7">
        <w:rPr>
          <w:lang w:eastAsia="zh-CN"/>
        </w:rPr>
        <w:t>(Li et al., 2023)</w:t>
      </w:r>
      <w:r w:rsidR="00111FD4" w:rsidRPr="00111FD4">
        <w:t>. Solar-driven hydrogen production is particularly attractive because solar energy is abundant, broadly distributed, and can be converted directly into electricity and heat</w:t>
      </w:r>
      <w:r w:rsidR="000C59D7">
        <w:rPr>
          <w:rFonts w:hint="eastAsia"/>
          <w:lang w:eastAsia="zh-CN"/>
        </w:rPr>
        <w:t xml:space="preserve"> </w:t>
      </w:r>
      <w:r w:rsidR="000C59D7" w:rsidRPr="000C59D7">
        <w:rPr>
          <w:lang w:eastAsia="zh-CN"/>
        </w:rPr>
        <w:t>(</w:t>
      </w:r>
      <w:proofErr w:type="spellStart"/>
      <w:r w:rsidR="000C59D7" w:rsidRPr="000C59D7">
        <w:rPr>
          <w:lang w:eastAsia="zh-CN"/>
        </w:rPr>
        <w:t>Herrando</w:t>
      </w:r>
      <w:proofErr w:type="spellEnd"/>
      <w:r w:rsidR="000C59D7" w:rsidRPr="000C59D7">
        <w:rPr>
          <w:lang w:eastAsia="zh-CN"/>
        </w:rPr>
        <w:t xml:space="preserve"> et al., 2023; Huang et al., 2021)</w:t>
      </w:r>
      <w:r w:rsidR="00111FD4" w:rsidRPr="00111FD4">
        <w:t xml:space="preserve">. Conventional photovoltaic-electrolysis (PV-EC) systems, however, do not fully </w:t>
      </w:r>
      <w:proofErr w:type="spellStart"/>
      <w:r w:rsidR="00111FD4" w:rsidRPr="00111FD4">
        <w:t>utilise</w:t>
      </w:r>
      <w:proofErr w:type="spellEnd"/>
      <w:r w:rsidR="00111FD4" w:rsidRPr="00111FD4">
        <w:t xml:space="preserve"> the incident solar spectrum. Photons with energies below the photovoltaic bandgap cannot be converted into electricity and are mainly dissipated as heat, while excess energy of above-bandgap photons is lost through </w:t>
      </w:r>
      <w:proofErr w:type="spellStart"/>
      <w:r w:rsidR="00111FD4" w:rsidRPr="00111FD4">
        <w:t>thermalisation</w:t>
      </w:r>
      <w:proofErr w:type="spellEnd"/>
      <w:r w:rsidR="000C59D7" w:rsidRPr="000C59D7">
        <w:t xml:space="preserve"> (Huang et al., 2021</w:t>
      </w:r>
      <w:r w:rsidR="004C53B4">
        <w:rPr>
          <w:rFonts w:hint="eastAsia"/>
          <w:lang w:eastAsia="zh-CN"/>
        </w:rPr>
        <w:t xml:space="preserve">a, 2021b, </w:t>
      </w:r>
      <w:r w:rsidR="00771CE7" w:rsidRPr="00771CE7">
        <w:rPr>
          <w:rFonts w:ascii="Courier New" w:hAnsi="Courier New" w:cs="Courier New"/>
          <w:szCs w:val="20"/>
        </w:rPr>
        <w:t xml:space="preserve"> </w:t>
      </w:r>
      <w:r w:rsidR="00771CE7" w:rsidRPr="00771CE7">
        <w:t>Polito et al., 2025</w:t>
      </w:r>
      <w:r w:rsidR="000C59D7" w:rsidRPr="000C59D7">
        <w:t>)</w:t>
      </w:r>
      <w:r w:rsidR="00111FD4" w:rsidRPr="00111FD4">
        <w:t xml:space="preserve">. These spectral losses limit the solar-to-hydrogen (STH) efficiency and motivate integrated approaches that </w:t>
      </w:r>
      <w:proofErr w:type="spellStart"/>
      <w:r w:rsidR="00111FD4" w:rsidRPr="00111FD4">
        <w:t>utilise</w:t>
      </w:r>
      <w:proofErr w:type="spellEnd"/>
      <w:r w:rsidR="00111FD4" w:rsidRPr="00111FD4">
        <w:t xml:space="preserve"> both electrical and thermal solar energy</w:t>
      </w:r>
      <w:r w:rsidR="00215199">
        <w:rPr>
          <w:rFonts w:hint="eastAsia"/>
          <w:lang w:eastAsia="zh-CN"/>
        </w:rPr>
        <w:t xml:space="preserve"> </w:t>
      </w:r>
      <w:r w:rsidR="00215199" w:rsidRPr="00215199">
        <w:rPr>
          <w:lang w:eastAsia="zh-CN"/>
        </w:rPr>
        <w:t>(Curcio, 2025; Grube et al., 2020)</w:t>
      </w:r>
      <w:r w:rsidR="00111FD4" w:rsidRPr="00111FD4">
        <w:t>.</w:t>
      </w:r>
    </w:p>
    <w:p w14:paraId="252D8864" w14:textId="5A837198" w:rsidR="00111FD4" w:rsidRPr="00AA0376" w:rsidRDefault="00111FD4" w:rsidP="00C32131">
      <w:pPr>
        <w:pStyle w:val="SWCText"/>
        <w:rPr>
          <w:lang w:eastAsia="zh-CN"/>
        </w:rPr>
      </w:pPr>
      <w:r w:rsidRPr="00111FD4">
        <w:t>Spectral-splitting photovoltaic-thermal hydrogen (SSPVTH) systems provide one such full-spectrum solar-energy-</w:t>
      </w:r>
      <w:proofErr w:type="spellStart"/>
      <w:r w:rsidRPr="00111FD4">
        <w:t>utilisation</w:t>
      </w:r>
      <w:proofErr w:type="spellEnd"/>
      <w:r w:rsidRPr="00111FD4">
        <w:t xml:space="preserve"> pathway</w:t>
      </w:r>
      <w:r w:rsidR="00FB4CF3">
        <w:rPr>
          <w:rFonts w:hint="eastAsia"/>
          <w:lang w:eastAsia="zh-CN"/>
        </w:rPr>
        <w:t xml:space="preserve"> </w:t>
      </w:r>
      <w:r w:rsidR="00FB4CF3" w:rsidRPr="00FB4CF3">
        <w:rPr>
          <w:lang w:eastAsia="zh-CN"/>
        </w:rPr>
        <w:t>(Tian et al., 2025)</w:t>
      </w:r>
      <w:r w:rsidRPr="00111FD4">
        <w:t xml:space="preserve">. In this configuration, a concentrating optical system directs solar radiation to a spectral-selective filter. The short-wavelength portion of the spectrum is transmitted to a photovoltaic-thermal (PVT) receiver to generate electricity, whereas the long-wavelength portion is directed to a thermal absorber. The electrical output supplies the </w:t>
      </w:r>
      <w:proofErr w:type="spellStart"/>
      <w:r w:rsidRPr="00111FD4">
        <w:t>electrolyzer</w:t>
      </w:r>
      <w:proofErr w:type="spellEnd"/>
      <w:r w:rsidRPr="00111FD4">
        <w:t>, while the recovered thermal energy raises the electrolyte temperature and thereby reduces electrochemical losses</w:t>
      </w:r>
      <w:r w:rsidR="00037EAC">
        <w:rPr>
          <w:rFonts w:hint="eastAsia"/>
          <w:lang w:eastAsia="zh-CN"/>
        </w:rPr>
        <w:t xml:space="preserve"> </w:t>
      </w:r>
      <w:r w:rsidR="00037EAC" w:rsidRPr="00037EAC">
        <w:rPr>
          <w:lang w:eastAsia="zh-CN"/>
        </w:rPr>
        <w:t>(</w:t>
      </w:r>
      <w:proofErr w:type="spellStart"/>
      <w:r w:rsidR="00037EAC" w:rsidRPr="00037EAC">
        <w:rPr>
          <w:lang w:eastAsia="zh-CN"/>
        </w:rPr>
        <w:t>Hadikhani</w:t>
      </w:r>
      <w:proofErr w:type="spellEnd"/>
      <w:r w:rsidR="00037EAC" w:rsidRPr="00037EAC">
        <w:rPr>
          <w:lang w:eastAsia="zh-CN"/>
        </w:rPr>
        <w:t xml:space="preserve"> et al., 2021; Hashemi et al., 2019)</w:t>
      </w:r>
      <w:r w:rsidRPr="00111FD4">
        <w:t xml:space="preserve">. By thermally decoupling the photovoltaic and </w:t>
      </w:r>
      <w:proofErr w:type="spellStart"/>
      <w:r w:rsidRPr="00111FD4">
        <w:t>electrolyzer</w:t>
      </w:r>
      <w:proofErr w:type="spellEnd"/>
      <w:r w:rsidRPr="00111FD4">
        <w:t xml:space="preserve"> subsystems, the PV receiver can remain within a </w:t>
      </w:r>
      <w:proofErr w:type="spellStart"/>
      <w:r w:rsidRPr="00111FD4">
        <w:t>favourable</w:t>
      </w:r>
      <w:proofErr w:type="spellEnd"/>
      <w:r w:rsidRPr="00111FD4">
        <w:t xml:space="preserve"> operating-</w:t>
      </w:r>
      <w:r w:rsidRPr="00111FD4">
        <w:lastRenderedPageBreak/>
        <w:t xml:space="preserve">temperature range while the </w:t>
      </w:r>
      <w:proofErr w:type="spellStart"/>
      <w:r w:rsidRPr="00111FD4">
        <w:t>electrolyzer</w:t>
      </w:r>
      <w:proofErr w:type="spellEnd"/>
      <w:r w:rsidRPr="00111FD4">
        <w:t xml:space="preserve"> benefits from elevated-temperature operation. This combined optical, thermal, electrical, and electrochemical integration offers a route towards higher STH efficiency than conventional PV-EC systems.</w:t>
      </w:r>
      <w:r w:rsidR="00AA0376">
        <w:rPr>
          <w:rFonts w:hint="eastAsia"/>
          <w:lang w:eastAsia="zh-CN"/>
        </w:rPr>
        <w:t xml:space="preserve"> </w:t>
      </w:r>
      <w:r w:rsidR="00AA0376" w:rsidRPr="00C32131">
        <w:rPr>
          <w:lang w:eastAsia="zh-CN"/>
        </w:rPr>
        <w:t xml:space="preserve">The concept and integrated energy-flow pathway of the SSPVTH system are illustrated in </w:t>
      </w:r>
      <w:r w:rsidR="00AA0376" w:rsidRPr="00C32131">
        <w:rPr>
          <w:b/>
          <w:bCs/>
          <w:lang w:eastAsia="zh-CN"/>
        </w:rPr>
        <w:t>Fig. 1</w:t>
      </w:r>
      <w:r w:rsidR="00AA0376" w:rsidRPr="00C32131">
        <w:rPr>
          <w:lang w:eastAsia="zh-CN"/>
        </w:rPr>
        <w:t>.</w:t>
      </w:r>
    </w:p>
    <w:p w14:paraId="5ED6212B" w14:textId="183CB679" w:rsidR="00111FD4" w:rsidRPr="00111FD4" w:rsidRDefault="00111FD4" w:rsidP="00C32131">
      <w:pPr>
        <w:pStyle w:val="SWCText"/>
      </w:pPr>
      <w:r w:rsidRPr="00111FD4">
        <w:t>The performance of concentrating solar hydrogen systems is intrinsically location dependent. Direct normal irradiance (DNI), ambient temperature, seasonal daylight duration, and solar geometry influence the available solar energy, photovoltaic operating conditions, thermal output, and tracking losses</w:t>
      </w:r>
      <w:r w:rsidR="00037EAC" w:rsidRPr="00037EAC">
        <w:t xml:space="preserve"> (</w:t>
      </w:r>
      <w:proofErr w:type="spellStart"/>
      <w:r w:rsidR="00037EAC" w:rsidRPr="00037EAC">
        <w:t>Mostafaeipour</w:t>
      </w:r>
      <w:proofErr w:type="spellEnd"/>
      <w:r w:rsidR="00037EAC" w:rsidRPr="00037EAC">
        <w:t xml:space="preserve"> et al., 2020; Peacock et al., 2022)</w:t>
      </w:r>
      <w:r w:rsidRPr="00111FD4">
        <w:t>. These factors can alter not only annual hydrogen yield but also its seasonal distribution, which subsequently affects the economic feasibility of a project. In particular, the benefit of dual axis tracking relative to single axis tracking depends on the local solar path and the corresponding incidence-angle losses. Although dual axis tracking generally increases the capital cost, its enhanced collection of direct irradiance may increase annual hydrogen production sufficiently to reduce the levelized cost of hydrogen (LCOH) and shorten the discounted payback time (PBT).</w:t>
      </w:r>
    </w:p>
    <w:p w14:paraId="572D7B4A" w14:textId="32879660" w:rsidR="00F207DE" w:rsidRDefault="00F207DE" w:rsidP="00F207DE">
      <w:pPr>
        <w:pStyle w:val="SWCText"/>
        <w:jc w:val="center"/>
        <w:rPr>
          <w:lang w:eastAsia="zh-CN"/>
        </w:rPr>
      </w:pPr>
      <w:r>
        <w:rPr>
          <w:noProof/>
          <w:lang w:eastAsia="zh-CN"/>
        </w:rPr>
        <w:drawing>
          <wp:inline distT="0" distB="0" distL="0" distR="0" wp14:anchorId="50661B2F" wp14:editId="242F374D">
            <wp:extent cx="4788101" cy="1862441"/>
            <wp:effectExtent l="0" t="0" r="0" b="0"/>
            <wp:docPr id="11024916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13232" cy="1872216"/>
                    </a:xfrm>
                    <a:prstGeom prst="rect">
                      <a:avLst/>
                    </a:prstGeom>
                    <a:noFill/>
                  </pic:spPr>
                </pic:pic>
              </a:graphicData>
            </a:graphic>
          </wp:inline>
        </w:drawing>
      </w:r>
    </w:p>
    <w:p w14:paraId="06DFBD19" w14:textId="2D949A07" w:rsidR="00F207DE" w:rsidRDefault="00F207DE" w:rsidP="00F207DE">
      <w:pPr>
        <w:pStyle w:val="SWCTableFigureCaption"/>
        <w:spacing w:after="120"/>
        <w:jc w:val="both"/>
      </w:pPr>
      <w:r>
        <w:t xml:space="preserve">Fig. </w:t>
      </w:r>
      <w:r w:rsidRPr="006309AA">
        <w:t>1</w:t>
      </w:r>
      <w:r>
        <w:t xml:space="preserve">: </w:t>
      </w:r>
      <w:r w:rsidR="00111FD4" w:rsidRPr="00C32131">
        <w:t>Concept of full-spectrum solar energy utilization in the SSPVTH system. (a) Spectral-splitting configuration, in which short-wavelength photons are directed to the photovoltaic receiver and long-wavelength photons to the thermal absorber for high-temperature electrolysis. (b) Integrated SSPVTH system layout</w:t>
      </w:r>
      <w:r w:rsidRPr="00281CAB">
        <w:t>.</w:t>
      </w:r>
    </w:p>
    <w:p w14:paraId="1DF762ED" w14:textId="35FA5B56" w:rsidR="00EB25B2" w:rsidRPr="00111FD4" w:rsidRDefault="00EB25B2" w:rsidP="00EB25B2">
      <w:pPr>
        <w:pStyle w:val="SWCText"/>
      </w:pPr>
      <w:r w:rsidRPr="00111FD4">
        <w:t>Previous work by the authors established and validated the coupled modelling framework for the SSPVTH concept, including the spectral-splitting optical configuration, thermal management, high-temperature membrane-less alkaline electrolysis</w:t>
      </w:r>
      <w:r w:rsidR="00037EAC">
        <w:rPr>
          <w:rFonts w:hint="eastAsia"/>
          <w:lang w:eastAsia="zh-CN"/>
        </w:rPr>
        <w:t xml:space="preserve"> </w:t>
      </w:r>
      <w:r w:rsidR="00037EAC" w:rsidRPr="00FB4CF3">
        <w:rPr>
          <w:lang w:eastAsia="zh-CN"/>
        </w:rPr>
        <w:t>(Tian et al., 2025)</w:t>
      </w:r>
      <w:r w:rsidRPr="00111FD4">
        <w:t>. The present study extends this system-level analysis from a small number of representative climate zones to a Europe-wide comparison based on hourly typical meteorological year (TMY) data. Rather than reproducing the component-level physical model, the objective here is to investigate how the same SSPVTH system performs across the substantial solar-resource gradient within Europe.</w:t>
      </w:r>
    </w:p>
    <w:p w14:paraId="3C276402" w14:textId="7A38EDAD" w:rsidR="00453296" w:rsidRPr="006309AA" w:rsidRDefault="00EB25B2" w:rsidP="007C1632">
      <w:pPr>
        <w:pStyle w:val="SWCText"/>
      </w:pPr>
      <w:r w:rsidRPr="00111FD4">
        <w:t>Accordingly, annual simulations are performed for ten European cities spanning northern, central, western, southern, and southeastern climatic regions: Helsinki, Copenhagen, London, Paris, Vienna, Bucharest, Lisbon, Madrid, Rome, and Athens. For each city, 8760-hour DNI and ambient-temperature profiles from the PVGIS-ERA5 database are applied to evaluate dual axis and single axis tracking configurations. The resulting annual normalized hydrogen production and STH efficiency are compared, followed by an economic assessment based on LCOH and discounted PBT under hydrogen-only and hydrogen-plus-oxygen revenue scenarios. The analysis identifies the climatic conditions under which full-spectrum SSPVTH systems can provide the greatest technical and economic value in the European context.</w:t>
      </w:r>
    </w:p>
    <w:p w14:paraId="07882D6B" w14:textId="1D769025" w:rsidR="00D32EF0" w:rsidRPr="00C32131" w:rsidRDefault="00111FD4" w:rsidP="00FF3D52">
      <w:pPr>
        <w:pStyle w:val="SWCHeading1"/>
        <w:rPr>
          <w:bCs/>
        </w:rPr>
      </w:pPr>
      <w:bookmarkStart w:id="0" w:name="_Hlk238543238"/>
      <w:r w:rsidRPr="00C32131">
        <w:rPr>
          <w:bCs/>
        </w:rPr>
        <w:t>Methodology</w:t>
      </w:r>
      <w:bookmarkEnd w:id="0"/>
    </w:p>
    <w:p w14:paraId="0E431247" w14:textId="2BB84D7B" w:rsidR="009B4816" w:rsidRDefault="00627D6A" w:rsidP="00215199">
      <w:pPr>
        <w:pStyle w:val="SWCText"/>
      </w:pPr>
      <w:r w:rsidRPr="00C32131">
        <w:t>This study combines hourly climate-resolved performance simulations with a discounted-cash-flow assessment to evaluate the technical and economic potential of the SSPVTH system across ten European cities. The validated coupled system model was driven by 8760-hour PVGIS-ERA5 TMY data</w:t>
      </w:r>
      <w:r w:rsidR="00DE3295">
        <w:rPr>
          <w:rFonts w:hint="eastAsia"/>
          <w:lang w:eastAsia="zh-CN"/>
        </w:rPr>
        <w:t xml:space="preserve"> </w:t>
      </w:r>
      <w:r w:rsidR="00DE3295" w:rsidRPr="00DE3295">
        <w:rPr>
          <w:lang w:eastAsia="zh-CN"/>
        </w:rPr>
        <w:t>(European Commission Joint Research Centre, 2026)</w:t>
      </w:r>
      <w:r w:rsidRPr="00C32131">
        <w:t xml:space="preserve"> to calculate annual hydrogen production and STH efficiency for dual axis and single axis tracking configurations. The resulting annual hydrogen yields were subsequently used to determine the LCOH and discounted PBT under two revenue scenarios.</w:t>
      </w:r>
    </w:p>
    <w:p w14:paraId="20470CB3" w14:textId="64417523" w:rsidR="00627D6A" w:rsidRDefault="00627D6A" w:rsidP="00215199">
      <w:pPr>
        <w:pStyle w:val="SWCHeading11"/>
        <w:spacing w:after="120" w:line="276" w:lineRule="auto"/>
      </w:pPr>
      <w:r>
        <w:rPr>
          <w:rFonts w:hint="eastAsia"/>
          <w:lang w:eastAsia="zh-CN"/>
        </w:rPr>
        <w:t xml:space="preserve">2.1 </w:t>
      </w:r>
      <w:r w:rsidRPr="00C32131">
        <w:t>System configuration and annual performance simulation</w:t>
      </w:r>
    </w:p>
    <w:p w14:paraId="36977E41" w14:textId="0B896716" w:rsidR="00627D6A" w:rsidRPr="00215199" w:rsidRDefault="00627D6A" w:rsidP="00215199">
      <w:pPr>
        <w:spacing w:after="120" w:line="276" w:lineRule="auto"/>
        <w:jc w:val="both"/>
        <w:rPr>
          <w:color w:val="000000"/>
          <w:sz w:val="20"/>
          <w:szCs w:val="20"/>
        </w:rPr>
      </w:pPr>
      <w:r w:rsidRPr="00215199">
        <w:rPr>
          <w:color w:val="000000"/>
          <w:sz w:val="20"/>
          <w:szCs w:val="22"/>
        </w:rPr>
        <w:lastRenderedPageBreak/>
        <w:t xml:space="preserve">The full-spectrum solar energy utilization concept and the integrated SSPVTH configuration are shown in </w:t>
      </w:r>
      <w:r w:rsidRPr="00215199">
        <w:rPr>
          <w:b/>
          <w:bCs/>
          <w:color w:val="000000"/>
          <w:sz w:val="20"/>
          <w:szCs w:val="22"/>
        </w:rPr>
        <w:t>Fig. 1</w:t>
      </w:r>
      <w:r w:rsidRPr="00215199">
        <w:rPr>
          <w:color w:val="000000"/>
          <w:sz w:val="20"/>
          <w:szCs w:val="22"/>
        </w:rPr>
        <w:t xml:space="preserve">. The system combines a parabolic concentrator, a spectral-splitting filter, a GaAs photovoltaic-thermal </w:t>
      </w:r>
      <w:r w:rsidRPr="00215199">
        <w:rPr>
          <w:color w:val="000000"/>
          <w:sz w:val="20"/>
          <w:szCs w:val="20"/>
        </w:rPr>
        <w:t xml:space="preserve">receiver, a solar thermal absorber, and a membrane-less alkaline </w:t>
      </w:r>
      <w:proofErr w:type="spellStart"/>
      <w:r w:rsidRPr="00215199">
        <w:rPr>
          <w:color w:val="000000"/>
          <w:sz w:val="20"/>
          <w:szCs w:val="20"/>
        </w:rPr>
        <w:t>electrolyzer</w:t>
      </w:r>
      <w:proofErr w:type="spellEnd"/>
      <w:r w:rsidRPr="00215199">
        <w:rPr>
          <w:color w:val="000000"/>
          <w:sz w:val="20"/>
          <w:szCs w:val="20"/>
        </w:rPr>
        <w:t xml:space="preserve">. The short-wavelength portion of the concentrated solar spectrum is directed to the photovoltaic receiver to generate electricity, while the long-wavelength portion is </w:t>
      </w:r>
      <w:proofErr w:type="spellStart"/>
      <w:r w:rsidRPr="00215199">
        <w:rPr>
          <w:color w:val="000000"/>
          <w:sz w:val="20"/>
          <w:szCs w:val="20"/>
        </w:rPr>
        <w:t>utilised</w:t>
      </w:r>
      <w:proofErr w:type="spellEnd"/>
      <w:r w:rsidRPr="00215199">
        <w:rPr>
          <w:color w:val="000000"/>
          <w:sz w:val="20"/>
          <w:szCs w:val="20"/>
        </w:rPr>
        <w:t xml:space="preserve"> for thermal assistance of the </w:t>
      </w:r>
      <w:proofErr w:type="spellStart"/>
      <w:r w:rsidRPr="00215199">
        <w:rPr>
          <w:color w:val="000000"/>
          <w:sz w:val="20"/>
          <w:szCs w:val="20"/>
        </w:rPr>
        <w:t>electrolyzer</w:t>
      </w:r>
      <w:proofErr w:type="spellEnd"/>
      <w:r w:rsidRPr="00215199">
        <w:rPr>
          <w:color w:val="000000"/>
          <w:sz w:val="20"/>
          <w:szCs w:val="20"/>
        </w:rPr>
        <w:t>.</w:t>
      </w:r>
    </w:p>
    <w:p w14:paraId="6CD3500A" w14:textId="3A52E315" w:rsidR="00627D6A" w:rsidRPr="00215199" w:rsidRDefault="00627D6A" w:rsidP="00215199">
      <w:pPr>
        <w:spacing w:after="120" w:line="276" w:lineRule="auto"/>
        <w:jc w:val="both"/>
        <w:rPr>
          <w:color w:val="000000"/>
          <w:sz w:val="20"/>
          <w:szCs w:val="20"/>
        </w:rPr>
      </w:pPr>
      <w:r w:rsidRPr="00215199">
        <w:rPr>
          <w:color w:val="000000"/>
          <w:sz w:val="20"/>
          <w:szCs w:val="20"/>
        </w:rPr>
        <w:t>The coupled optical, thermal, electrical, and electrochemical model used in this work follows the framework established in our previous study. Therefore, the component-level governing equations and validation are not repeated here. The present study focuses on the annual climate-dependent performance of the validated system across Europe.</w:t>
      </w:r>
    </w:p>
    <w:p w14:paraId="7F0646BE" w14:textId="52FE8D2A" w:rsidR="00627D6A" w:rsidRPr="00215199" w:rsidRDefault="00627D6A" w:rsidP="00215199">
      <w:pPr>
        <w:spacing w:after="120" w:line="276" w:lineRule="auto"/>
        <w:jc w:val="both"/>
        <w:rPr>
          <w:color w:val="000000"/>
          <w:sz w:val="20"/>
          <w:szCs w:val="20"/>
        </w:rPr>
      </w:pPr>
      <w:r w:rsidRPr="00215199">
        <w:rPr>
          <w:color w:val="000000"/>
          <w:sz w:val="20"/>
          <w:szCs w:val="20"/>
        </w:rPr>
        <w:t>Hourly TMY data for Helsinki, Copenhagen, London, Paris, Vienna, Bucharest, Lisbon, Madrid, Rome, and Athens were obtained from the PVGIS-ERA5 database.</w:t>
      </w:r>
      <w:r w:rsidR="001324F1">
        <w:rPr>
          <w:rFonts w:eastAsiaTheme="minorEastAsia" w:hint="eastAsia"/>
          <w:color w:val="000000"/>
          <w:sz w:val="20"/>
          <w:szCs w:val="20"/>
        </w:rPr>
        <w:t xml:space="preserve"> </w:t>
      </w:r>
      <w:r w:rsidR="001324F1" w:rsidRPr="001324F1">
        <w:rPr>
          <w:rFonts w:eastAsiaTheme="minorEastAsia"/>
          <w:color w:val="000000"/>
          <w:sz w:val="20"/>
          <w:szCs w:val="20"/>
        </w:rPr>
        <w:t xml:space="preserve">Their codes, geographical coordinates, and regional classifications are listed in </w:t>
      </w:r>
      <w:r w:rsidR="001324F1" w:rsidRPr="001324F1">
        <w:rPr>
          <w:rFonts w:eastAsiaTheme="minorEastAsia"/>
          <w:b/>
          <w:bCs/>
          <w:color w:val="000000"/>
          <w:sz w:val="20"/>
          <w:szCs w:val="20"/>
        </w:rPr>
        <w:t>Table 1</w:t>
      </w:r>
      <w:r w:rsidR="001324F1" w:rsidRPr="001324F1">
        <w:rPr>
          <w:rFonts w:eastAsiaTheme="minorEastAsia"/>
          <w:color w:val="000000"/>
          <w:sz w:val="20"/>
          <w:szCs w:val="20"/>
        </w:rPr>
        <w:t xml:space="preserve">. </w:t>
      </w:r>
      <w:r w:rsidRPr="00215199">
        <w:rPr>
          <w:color w:val="000000"/>
          <w:sz w:val="20"/>
          <w:szCs w:val="20"/>
        </w:rPr>
        <w:t xml:space="preserve"> The input data comprise DNI and ambient temperature for 8760 hourly time steps. Two tracking configurations were evaluated. For the dual axis configuration, the DNI was directly applied to the optical model. For the single axis configuration, the DNI was projected onto the instantaneous tracking geometry, thereby accounting for the time-dependent incidence-angle loss. The system was considered inactive when the relevant irradiance input was below 45 W m⁻².</w:t>
      </w:r>
      <w:r w:rsidR="004C1962" w:rsidRPr="00215199">
        <w:rPr>
          <w:color w:val="000000"/>
          <w:sz w:val="20"/>
          <w:szCs w:val="20"/>
        </w:rPr>
        <w:t xml:space="preserve"> For each hour, the coupled model calculates the hydrogen production rate </w:t>
      </w:r>
      <m:oMath>
        <m:acc>
          <m:accPr>
            <m:chr m:val="̇"/>
            <m:ctrlPr>
              <w:rPr>
                <w:rFonts w:ascii="Cambria Math" w:hAnsi="Cambria Math"/>
                <w:i/>
                <w:sz w:val="20"/>
                <w:szCs w:val="20"/>
                <w:lang w:val="en-GB"/>
              </w:rPr>
            </m:ctrlPr>
          </m:accPr>
          <m:e>
            <m:r>
              <w:rPr>
                <w:rFonts w:ascii="Cambria Math" w:hAnsi="Cambria Math"/>
                <w:sz w:val="20"/>
                <w:szCs w:val="20"/>
                <w:lang w:val="en-GB"/>
              </w:rPr>
              <m:t>m</m:t>
            </m:r>
          </m:e>
        </m:acc>
      </m:oMath>
      <w:r w:rsidR="003705B2" w:rsidRPr="00215199">
        <w:rPr>
          <w:rFonts w:eastAsia="宋体"/>
          <w:iCs/>
          <w:sz w:val="20"/>
          <w:szCs w:val="20"/>
          <w:vertAlign w:val="subscript"/>
          <w:lang w:val="en-GB"/>
        </w:rPr>
        <w:t>H2</w:t>
      </w:r>
      <w:r w:rsidR="003705B2" w:rsidRPr="00215199">
        <w:rPr>
          <w:rFonts w:eastAsia="黑体"/>
          <w:sz w:val="20"/>
          <w:szCs w:val="20"/>
          <w:lang w:val="en-GB"/>
        </w:rPr>
        <w:t>(</w:t>
      </w:r>
      <w:r w:rsidR="003705B2" w:rsidRPr="00215199">
        <w:rPr>
          <w:rFonts w:eastAsia="黑体"/>
          <w:i/>
          <w:iCs/>
          <w:sz w:val="20"/>
          <w:szCs w:val="20"/>
          <w:lang w:val="en-GB"/>
        </w:rPr>
        <w:t>t</w:t>
      </w:r>
      <w:r w:rsidR="003705B2" w:rsidRPr="00215199">
        <w:rPr>
          <w:rFonts w:eastAsia="黑体"/>
          <w:sz w:val="20"/>
          <w:szCs w:val="20"/>
          <w:lang w:val="en-GB"/>
        </w:rPr>
        <w:t>)</w:t>
      </w:r>
      <w:r w:rsidR="00AB4B42">
        <w:rPr>
          <w:rFonts w:eastAsia="黑体" w:hint="eastAsia"/>
          <w:sz w:val="20"/>
          <w:szCs w:val="20"/>
          <w:lang w:val="en-GB"/>
        </w:rPr>
        <w:t xml:space="preserve"> in g h</w:t>
      </w:r>
      <w:r w:rsidR="00AB4B42">
        <w:rPr>
          <w:rFonts w:eastAsia="黑体" w:hint="eastAsia"/>
          <w:sz w:val="20"/>
          <w:szCs w:val="20"/>
          <w:vertAlign w:val="superscript"/>
          <w:lang w:val="en-GB"/>
        </w:rPr>
        <w:t>-1</w:t>
      </w:r>
      <w:r w:rsidR="004C1962" w:rsidRPr="00215199">
        <w:rPr>
          <w:color w:val="000000"/>
          <w:sz w:val="20"/>
          <w:szCs w:val="20"/>
        </w:rPr>
        <w:t>. The annual hydrogen production is obtained by summing all hourly values:</w:t>
      </w:r>
    </w:p>
    <w:tbl>
      <w:tblPr>
        <w:tblStyle w:val="TableGrid4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9"/>
        <w:gridCol w:w="6113"/>
        <w:gridCol w:w="1652"/>
      </w:tblGrid>
      <w:tr w:rsidR="00A04344" w:rsidRPr="00A04344" w14:paraId="78625C7E" w14:textId="77777777" w:rsidTr="00C31C86">
        <w:tc>
          <w:tcPr>
            <w:tcW w:w="1309" w:type="dxa"/>
          </w:tcPr>
          <w:p w14:paraId="1CE0C3A5" w14:textId="77777777" w:rsidR="003705B2" w:rsidRPr="00C32131" w:rsidRDefault="003705B2" w:rsidP="00215199">
            <w:pPr>
              <w:tabs>
                <w:tab w:val="center" w:pos="4820"/>
                <w:tab w:val="right" w:pos="9638"/>
              </w:tabs>
              <w:spacing w:after="120" w:line="276" w:lineRule="auto"/>
              <w:ind w:firstLine="425"/>
              <w:jc w:val="both"/>
              <w:rPr>
                <w:rFonts w:ascii="Times New Roman" w:eastAsia="宋体" w:hAnsi="Times New Roman"/>
                <w:sz w:val="20"/>
                <w:szCs w:val="20"/>
                <w:lang w:val="en-GB"/>
              </w:rPr>
            </w:pPr>
          </w:p>
        </w:tc>
        <w:tc>
          <w:tcPr>
            <w:tcW w:w="6113" w:type="dxa"/>
          </w:tcPr>
          <w:p w14:paraId="75BE5B6B" w14:textId="209F8428" w:rsidR="003705B2" w:rsidRPr="00C32131" w:rsidRDefault="00000000" w:rsidP="00215199">
            <w:pPr>
              <w:suppressAutoHyphens/>
              <w:spacing w:after="120" w:line="276" w:lineRule="auto"/>
              <w:ind w:firstLine="425"/>
              <w:jc w:val="both"/>
              <w:rPr>
                <w:rFonts w:ascii="Times New Roman" w:eastAsiaTheme="minorEastAsia" w:hAnsi="Times New Roman"/>
                <w:i/>
                <w:sz w:val="20"/>
                <w:szCs w:val="20"/>
                <w:lang w:val="en-GB"/>
              </w:rPr>
            </w:pPr>
            <m:oMathPara>
              <m:oMathParaPr>
                <m:jc m:val="center"/>
              </m:oMathParaPr>
              <m:oMath>
                <m:sSub>
                  <m:sSubPr>
                    <m:ctrlPr>
                      <w:rPr>
                        <w:rFonts w:ascii="Cambria Math" w:hAnsi="Cambria Math"/>
                        <w:i/>
                        <w:sz w:val="20"/>
                        <w:szCs w:val="20"/>
                        <w:lang w:val="en-GB"/>
                      </w:rPr>
                    </m:ctrlPr>
                  </m:sSubPr>
                  <m:e>
                    <m:r>
                      <w:rPr>
                        <w:rFonts w:ascii="Cambria Math" w:hAnsi="Cambria Math"/>
                        <w:sz w:val="20"/>
                        <w:szCs w:val="20"/>
                        <w:lang w:val="en-GB"/>
                      </w:rPr>
                      <m:t>Y</m:t>
                    </m:r>
                  </m:e>
                  <m:sub>
                    <m:sSub>
                      <m:sSubPr>
                        <m:ctrlPr>
                          <w:rPr>
                            <w:rFonts w:ascii="Cambria Math" w:hAnsi="Cambria Math"/>
                            <w:sz w:val="20"/>
                            <w:szCs w:val="20"/>
                            <w:lang w:val="en-GB"/>
                          </w:rPr>
                        </m:ctrlPr>
                      </m:sSubPr>
                      <m:e>
                        <m:r>
                          <m:rPr>
                            <m:sty m:val="p"/>
                          </m:rPr>
                          <w:rPr>
                            <w:rFonts w:ascii="Cambria Math" w:hAnsi="Cambria Math"/>
                            <w:sz w:val="20"/>
                            <w:szCs w:val="20"/>
                            <w:lang w:val="en-GB"/>
                          </w:rPr>
                          <m:t>H</m:t>
                        </m:r>
                      </m:e>
                      <m:sub>
                        <m:r>
                          <m:rPr>
                            <m:sty m:val="p"/>
                          </m:rPr>
                          <w:rPr>
                            <w:rFonts w:ascii="Cambria Math" w:hAnsi="Cambria Math"/>
                            <w:sz w:val="20"/>
                            <w:szCs w:val="20"/>
                            <w:lang w:val="en-GB"/>
                          </w:rPr>
                          <m:t>2,year</m:t>
                        </m:r>
                      </m:sub>
                    </m:sSub>
                  </m:sub>
                </m:sSub>
                <m:r>
                  <w:rPr>
                    <w:rFonts w:ascii="Cambria Math" w:hAnsi="Cambria Math"/>
                    <w:sz w:val="20"/>
                    <w:szCs w:val="20"/>
                    <w:lang w:val="en-GB"/>
                  </w:rPr>
                  <m:t>=</m:t>
                </m:r>
                <m:f>
                  <m:fPr>
                    <m:ctrlPr>
                      <w:rPr>
                        <w:rFonts w:ascii="Cambria Math" w:hAnsi="Cambria Math"/>
                        <w:i/>
                        <w:sz w:val="20"/>
                        <w:szCs w:val="20"/>
                        <w:lang w:val="en-GB"/>
                      </w:rPr>
                    </m:ctrlPr>
                  </m:fPr>
                  <m:num>
                    <m:sSup>
                      <m:sSupPr>
                        <m:ctrlPr>
                          <w:rPr>
                            <w:rFonts w:ascii="Cambria Math" w:hAnsi="Cambria Math"/>
                            <w:i/>
                            <w:sz w:val="20"/>
                            <w:szCs w:val="20"/>
                            <w:lang w:val="en-GB"/>
                          </w:rPr>
                        </m:ctrlPr>
                      </m:sSupPr>
                      <m:e>
                        <m:r>
                          <w:rPr>
                            <w:rFonts w:ascii="Cambria Math" w:hAnsi="Cambria Math"/>
                            <w:sz w:val="20"/>
                            <w:szCs w:val="20"/>
                            <w:lang w:val="en-GB"/>
                          </w:rPr>
                          <m:t>10</m:t>
                        </m:r>
                      </m:e>
                      <m:sup>
                        <m:r>
                          <w:rPr>
                            <w:rFonts w:ascii="Cambria Math" w:hAnsi="Cambria Math"/>
                            <w:sz w:val="20"/>
                            <w:szCs w:val="20"/>
                            <w:lang w:val="en-GB"/>
                          </w:rPr>
                          <m:t>-</m:t>
                        </m:r>
                        <m:r>
                          <w:rPr>
                            <w:rFonts w:ascii="Cambria Math" w:eastAsiaTheme="minorEastAsia" w:hAnsi="Cambria Math"/>
                            <w:sz w:val="20"/>
                            <w:szCs w:val="20"/>
                            <w:lang w:val="en-GB"/>
                          </w:rPr>
                          <m:t>3</m:t>
                        </m:r>
                      </m:sup>
                    </m:sSup>
                  </m:num>
                  <m:den>
                    <m:sSub>
                      <m:sSubPr>
                        <m:ctrlPr>
                          <w:rPr>
                            <w:rFonts w:ascii="Cambria Math" w:hAnsi="Cambria Math"/>
                            <w:i/>
                            <w:sz w:val="20"/>
                            <w:szCs w:val="20"/>
                            <w:lang w:val="en-GB"/>
                          </w:rPr>
                        </m:ctrlPr>
                      </m:sSubPr>
                      <m:e>
                        <m:r>
                          <w:rPr>
                            <w:rFonts w:ascii="Cambria Math" w:hAnsi="Cambria Math"/>
                            <w:sz w:val="20"/>
                            <w:szCs w:val="20"/>
                            <w:lang w:val="en-GB"/>
                          </w:rPr>
                          <m:t>A</m:t>
                        </m:r>
                      </m:e>
                      <m:sub>
                        <m:r>
                          <w:rPr>
                            <w:rFonts w:ascii="Cambria Math" w:hAnsi="Cambria Math"/>
                            <w:sz w:val="20"/>
                            <w:szCs w:val="20"/>
                            <w:lang w:val="en-GB"/>
                          </w:rPr>
                          <m:t>ap</m:t>
                        </m:r>
                      </m:sub>
                    </m:sSub>
                  </m:den>
                </m:f>
                <m:nary>
                  <m:naryPr>
                    <m:chr m:val="∑"/>
                    <m:limLoc m:val="undOvr"/>
                    <m:ctrlPr>
                      <w:rPr>
                        <w:rFonts w:ascii="Cambria Math" w:hAnsi="Cambria Math"/>
                        <w:i/>
                        <w:sz w:val="20"/>
                        <w:szCs w:val="20"/>
                        <w:lang w:val="en-GB"/>
                      </w:rPr>
                    </m:ctrlPr>
                  </m:naryPr>
                  <m:sub>
                    <m:r>
                      <w:rPr>
                        <w:rFonts w:ascii="Cambria Math" w:hAnsi="Cambria Math"/>
                        <w:sz w:val="20"/>
                        <w:szCs w:val="20"/>
                        <w:lang w:val="en-GB"/>
                      </w:rPr>
                      <m:t>t=1</m:t>
                    </m:r>
                  </m:sub>
                  <m:sup>
                    <m:r>
                      <w:rPr>
                        <w:rFonts w:ascii="Cambria Math" w:hAnsi="Cambria Math"/>
                        <w:sz w:val="20"/>
                        <w:szCs w:val="20"/>
                        <w:lang w:val="en-GB"/>
                      </w:rPr>
                      <m:t>8760</m:t>
                    </m:r>
                  </m:sup>
                  <m:e>
                    <m:sSub>
                      <m:sSubPr>
                        <m:ctrlPr>
                          <w:rPr>
                            <w:rFonts w:ascii="Cambria Math" w:hAnsi="Cambria Math"/>
                            <w:i/>
                            <w:sz w:val="20"/>
                            <w:szCs w:val="20"/>
                            <w:lang w:val="en-GB"/>
                          </w:rPr>
                        </m:ctrlPr>
                      </m:sSubPr>
                      <m:e>
                        <m:acc>
                          <m:accPr>
                            <m:chr m:val="̇"/>
                            <m:ctrlPr>
                              <w:rPr>
                                <w:rFonts w:ascii="Cambria Math" w:hAnsi="Cambria Math"/>
                                <w:i/>
                                <w:sz w:val="20"/>
                                <w:szCs w:val="20"/>
                                <w:lang w:val="en-GB"/>
                              </w:rPr>
                            </m:ctrlPr>
                          </m:accPr>
                          <m:e>
                            <m:r>
                              <w:rPr>
                                <w:rFonts w:ascii="Cambria Math" w:hAnsi="Cambria Math"/>
                                <w:sz w:val="20"/>
                                <w:szCs w:val="20"/>
                                <w:lang w:val="en-GB"/>
                              </w:rPr>
                              <m:t>m</m:t>
                            </m:r>
                          </m:e>
                        </m:acc>
                      </m:e>
                      <m:sub>
                        <m:sSub>
                          <m:sSubPr>
                            <m:ctrlPr>
                              <w:rPr>
                                <w:rFonts w:ascii="Cambria Math" w:hAnsi="Cambria Math"/>
                                <w:sz w:val="20"/>
                                <w:szCs w:val="20"/>
                                <w:lang w:val="en-GB"/>
                              </w:rPr>
                            </m:ctrlPr>
                          </m:sSubPr>
                          <m:e>
                            <m:r>
                              <m:rPr>
                                <m:sty m:val="p"/>
                              </m:rPr>
                              <w:rPr>
                                <w:rFonts w:ascii="Cambria Math" w:hAnsi="Cambria Math"/>
                                <w:sz w:val="20"/>
                                <w:szCs w:val="20"/>
                                <w:lang w:val="en-GB"/>
                              </w:rPr>
                              <m:t>H</m:t>
                            </m:r>
                          </m:e>
                          <m:sub>
                            <m:r>
                              <m:rPr>
                                <m:sty m:val="p"/>
                              </m:rPr>
                              <w:rPr>
                                <w:rFonts w:ascii="Cambria Math" w:hAnsi="Cambria Math"/>
                                <w:sz w:val="20"/>
                                <w:szCs w:val="20"/>
                                <w:lang w:val="en-GB"/>
                              </w:rPr>
                              <m:t>2</m:t>
                            </m:r>
                          </m:sub>
                        </m:sSub>
                      </m:sub>
                    </m:sSub>
                    <m:r>
                      <w:rPr>
                        <w:rFonts w:ascii="Cambria Math" w:hAnsi="Cambria Math"/>
                        <w:sz w:val="20"/>
                        <w:szCs w:val="20"/>
                        <w:lang w:val="en-GB"/>
                      </w:rPr>
                      <m:t>(t)∆t</m:t>
                    </m:r>
                  </m:e>
                </m:nary>
              </m:oMath>
            </m:oMathPara>
          </w:p>
        </w:tc>
        <w:tc>
          <w:tcPr>
            <w:tcW w:w="1652" w:type="dxa"/>
            <w:vAlign w:val="center"/>
            <w:hideMark/>
          </w:tcPr>
          <w:p w14:paraId="22C606D8" w14:textId="0444004B" w:rsidR="003705B2" w:rsidRPr="00C32131" w:rsidRDefault="003705B2" w:rsidP="00215199">
            <w:pPr>
              <w:tabs>
                <w:tab w:val="center" w:pos="4820"/>
                <w:tab w:val="right" w:pos="9638"/>
              </w:tabs>
              <w:spacing w:after="120" w:line="276" w:lineRule="auto"/>
              <w:ind w:firstLine="425"/>
              <w:jc w:val="right"/>
              <w:rPr>
                <w:rFonts w:ascii="Times New Roman" w:eastAsia="宋体" w:hAnsi="Times New Roman"/>
                <w:sz w:val="20"/>
                <w:szCs w:val="20"/>
                <w:lang w:val="en-GB"/>
              </w:rPr>
            </w:pPr>
            <w:r w:rsidRPr="00C32131">
              <w:rPr>
                <w:rFonts w:eastAsia="宋体"/>
                <w:sz w:val="20"/>
                <w:szCs w:val="20"/>
                <w:lang w:val="en-GB"/>
              </w:rPr>
              <w:t>(eq.1)</w:t>
            </w:r>
          </w:p>
        </w:tc>
      </w:tr>
    </w:tbl>
    <w:p w14:paraId="2E024F2F" w14:textId="34836A09" w:rsidR="003705B2" w:rsidRDefault="00C31C86" w:rsidP="00215199">
      <w:pPr>
        <w:spacing w:after="120" w:line="276" w:lineRule="auto"/>
        <w:jc w:val="both"/>
        <w:rPr>
          <w:color w:val="000000"/>
          <w:sz w:val="20"/>
          <w:szCs w:val="22"/>
        </w:rPr>
      </w:pPr>
      <w:r w:rsidRPr="00C32131">
        <w:rPr>
          <w:color w:val="000000"/>
          <w:sz w:val="20"/>
          <w:szCs w:val="22"/>
        </w:rPr>
        <w:t xml:space="preserve">where </w:t>
      </w:r>
      <w:proofErr w:type="spellStart"/>
      <w:r w:rsidRPr="00C32131">
        <w:rPr>
          <w:rFonts w:eastAsia="宋体"/>
          <w:i/>
          <w:iCs/>
          <w:spacing w:val="-4"/>
          <w:lang w:val="en-GB"/>
        </w:rPr>
        <w:t>Δt</w:t>
      </w:r>
      <w:proofErr w:type="spellEnd"/>
      <w:r w:rsidRPr="00C32131">
        <w:rPr>
          <w:color w:val="000000"/>
          <w:sz w:val="20"/>
          <w:szCs w:val="22"/>
        </w:rPr>
        <w:t>=1 h.</w:t>
      </w:r>
      <w:r>
        <w:rPr>
          <w:rFonts w:hint="eastAsia"/>
          <w:color w:val="000000"/>
          <w:sz w:val="20"/>
          <w:szCs w:val="22"/>
        </w:rPr>
        <w:t xml:space="preserve"> </w:t>
      </w:r>
      <w:r w:rsidR="000241D6" w:rsidRPr="00C32131">
        <w:rPr>
          <w:color w:val="000000"/>
          <w:sz w:val="20"/>
          <w:szCs w:val="22"/>
        </w:rPr>
        <w:t xml:space="preserve">All hydrogen-production results were normalized using the solar-energy receiving aperture area, </w:t>
      </w:r>
      <w:proofErr w:type="spellStart"/>
      <w:r w:rsidR="000241D6">
        <w:rPr>
          <w:rFonts w:hint="eastAsia"/>
          <w:color w:val="000000"/>
          <w:sz w:val="20"/>
          <w:szCs w:val="22"/>
        </w:rPr>
        <w:t>A</w:t>
      </w:r>
      <w:r w:rsidR="000241D6" w:rsidRPr="00C32131">
        <w:rPr>
          <w:color w:val="000000"/>
          <w:sz w:val="20"/>
          <w:szCs w:val="22"/>
          <w:vertAlign w:val="subscript"/>
        </w:rPr>
        <w:t>ap</w:t>
      </w:r>
      <w:proofErr w:type="spellEnd"/>
      <w:r w:rsidR="000241D6">
        <w:rPr>
          <w:rFonts w:hint="eastAsia"/>
          <w:color w:val="000000"/>
          <w:sz w:val="20"/>
          <w:szCs w:val="22"/>
        </w:rPr>
        <w:t>=5.04 m</w:t>
      </w:r>
      <w:r w:rsidR="000241D6" w:rsidRPr="00C32131">
        <w:rPr>
          <w:color w:val="000000"/>
          <w:sz w:val="20"/>
          <w:szCs w:val="22"/>
          <w:vertAlign w:val="superscript"/>
        </w:rPr>
        <w:t>2</w:t>
      </w:r>
      <w:r w:rsidR="000241D6" w:rsidRPr="00C32131">
        <w:rPr>
          <w:color w:val="000000"/>
          <w:sz w:val="20"/>
          <w:szCs w:val="22"/>
        </w:rPr>
        <w:t>.</w:t>
      </w:r>
      <w:r w:rsidR="000241D6">
        <w:rPr>
          <w:rFonts w:hint="eastAsia"/>
          <w:color w:val="000000"/>
          <w:sz w:val="20"/>
          <w:szCs w:val="22"/>
        </w:rPr>
        <w:t xml:space="preserve"> </w:t>
      </w:r>
      <w:r w:rsidR="000241D6" w:rsidRPr="00C32131">
        <w:rPr>
          <w:color w:val="000000"/>
          <w:sz w:val="20"/>
          <w:szCs w:val="22"/>
        </w:rPr>
        <w:t>The annual STH efficiency is reported on a hydrogen higher-heating-value (HHV) basis</w:t>
      </w:r>
      <w:r w:rsidR="00DE3295">
        <w:rPr>
          <w:rFonts w:eastAsiaTheme="minorEastAsia" w:hint="eastAsia"/>
          <w:color w:val="000000"/>
          <w:sz w:val="20"/>
          <w:szCs w:val="22"/>
        </w:rPr>
        <w:t xml:space="preserve"> </w:t>
      </w:r>
      <w:r w:rsidR="00DE3295" w:rsidRPr="00DE3295">
        <w:rPr>
          <w:rFonts w:eastAsiaTheme="minorEastAsia"/>
          <w:color w:val="000000"/>
          <w:sz w:val="20"/>
          <w:szCs w:val="22"/>
        </w:rPr>
        <w:t>(Holmes-Gentle et al., 2023)</w:t>
      </w:r>
      <w:r w:rsidR="000241D6" w:rsidRPr="00C32131">
        <w:rPr>
          <w:color w:val="000000"/>
          <w:sz w:val="20"/>
          <w:szCs w:val="22"/>
        </w:rPr>
        <w:t>:</w:t>
      </w:r>
    </w:p>
    <w:p w14:paraId="5EEE68B6" w14:textId="77777777" w:rsidR="000241D6" w:rsidRDefault="000241D6" w:rsidP="00215199">
      <w:pPr>
        <w:spacing w:after="120" w:line="276" w:lineRule="auto"/>
        <w:jc w:val="both"/>
        <w:rPr>
          <w:color w:val="000000"/>
          <w:sz w:val="20"/>
          <w:szCs w:val="22"/>
        </w:rPr>
      </w:pPr>
    </w:p>
    <w:tbl>
      <w:tblPr>
        <w:tblStyle w:val="TableGrid4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9"/>
        <w:gridCol w:w="6113"/>
        <w:gridCol w:w="1652"/>
      </w:tblGrid>
      <w:tr w:rsidR="000241D6" w:rsidRPr="00A04344" w14:paraId="767B8FDE" w14:textId="77777777" w:rsidTr="008B3AB2">
        <w:tc>
          <w:tcPr>
            <w:tcW w:w="1309" w:type="dxa"/>
          </w:tcPr>
          <w:p w14:paraId="098AC641" w14:textId="77777777" w:rsidR="000241D6" w:rsidRPr="00C32131" w:rsidRDefault="000241D6" w:rsidP="00215199">
            <w:pPr>
              <w:tabs>
                <w:tab w:val="center" w:pos="4820"/>
                <w:tab w:val="right" w:pos="9638"/>
              </w:tabs>
              <w:spacing w:after="120" w:line="276" w:lineRule="auto"/>
              <w:ind w:firstLine="425"/>
              <w:jc w:val="both"/>
              <w:rPr>
                <w:rFonts w:ascii="Times New Roman" w:eastAsia="宋体" w:hAnsi="Times New Roman"/>
                <w:sz w:val="20"/>
                <w:szCs w:val="20"/>
                <w:lang w:val="en-GB"/>
              </w:rPr>
            </w:pPr>
          </w:p>
        </w:tc>
        <w:tc>
          <w:tcPr>
            <w:tcW w:w="6113" w:type="dxa"/>
          </w:tcPr>
          <w:p w14:paraId="2BE463F6" w14:textId="20755EB1" w:rsidR="000241D6" w:rsidRPr="00C32131" w:rsidRDefault="00000000" w:rsidP="00215199">
            <w:pPr>
              <w:suppressAutoHyphens/>
              <w:spacing w:after="120" w:line="276" w:lineRule="auto"/>
              <w:ind w:firstLine="425"/>
              <w:jc w:val="both"/>
              <w:rPr>
                <w:rFonts w:ascii="Times New Roman" w:eastAsiaTheme="minorEastAsia" w:hAnsi="Times New Roman"/>
                <w:i/>
                <w:sz w:val="20"/>
                <w:szCs w:val="20"/>
                <w:lang w:val="en-GB"/>
              </w:rPr>
            </w:pPr>
            <m:oMathPara>
              <m:oMathParaPr>
                <m:jc m:val="center"/>
              </m:oMathParaPr>
              <m:oMath>
                <m:sSub>
                  <m:sSubPr>
                    <m:ctrlPr>
                      <w:rPr>
                        <w:rFonts w:ascii="Cambria Math" w:hAnsi="Cambria Math"/>
                        <w:i/>
                        <w:sz w:val="20"/>
                        <w:szCs w:val="20"/>
                        <w:lang w:val="en-GB"/>
                      </w:rPr>
                    </m:ctrlPr>
                  </m:sSubPr>
                  <m:e>
                    <m:r>
                      <w:rPr>
                        <w:rFonts w:ascii="Cambria Math" w:hAnsi="Cambria Math"/>
                        <w:sz w:val="20"/>
                        <w:szCs w:val="20"/>
                        <w:lang w:val="en-GB"/>
                      </w:rPr>
                      <m:t>η</m:t>
                    </m:r>
                  </m:e>
                  <m:sub>
                    <m:r>
                      <m:rPr>
                        <m:sty m:val="p"/>
                      </m:rPr>
                      <w:rPr>
                        <w:rFonts w:ascii="Cambria Math" w:hAnsi="Cambria Math"/>
                        <w:sz w:val="20"/>
                        <w:szCs w:val="20"/>
                        <w:lang w:val="en-GB"/>
                      </w:rPr>
                      <m:t>STH</m:t>
                    </m:r>
                  </m:sub>
                </m:sSub>
                <m:r>
                  <w:rPr>
                    <w:rFonts w:ascii="Cambria Math" w:hAnsi="Cambria Math"/>
                    <w:sz w:val="20"/>
                    <w:szCs w:val="20"/>
                    <w:lang w:val="en-GB"/>
                  </w:rPr>
                  <m:t>=</m:t>
                </m:r>
                <m:f>
                  <m:fPr>
                    <m:ctrlPr>
                      <w:rPr>
                        <w:rFonts w:ascii="Cambria Math" w:hAnsi="Cambria Math"/>
                        <w:i/>
                        <w:sz w:val="20"/>
                        <w:szCs w:val="20"/>
                        <w:lang w:val="en-GB"/>
                      </w:rPr>
                    </m:ctrlPr>
                  </m:fPr>
                  <m:num>
                    <m:sSub>
                      <m:sSubPr>
                        <m:ctrlPr>
                          <w:rPr>
                            <w:rFonts w:ascii="Cambria Math" w:hAnsi="Cambria Math"/>
                            <w:i/>
                            <w:sz w:val="20"/>
                            <w:szCs w:val="20"/>
                            <w:lang w:val="en-GB"/>
                          </w:rPr>
                        </m:ctrlPr>
                      </m:sSubPr>
                      <m:e>
                        <m:r>
                          <w:rPr>
                            <w:rFonts w:ascii="Cambria Math" w:hAnsi="Cambria Math"/>
                            <w:sz w:val="20"/>
                            <w:szCs w:val="20"/>
                            <w:lang w:val="en-GB"/>
                          </w:rPr>
                          <m:t>Y</m:t>
                        </m:r>
                      </m:e>
                      <m:sub>
                        <m:sSub>
                          <m:sSubPr>
                            <m:ctrlPr>
                              <w:rPr>
                                <w:rFonts w:ascii="Cambria Math" w:hAnsi="Cambria Math"/>
                                <w:iCs/>
                                <w:sz w:val="20"/>
                                <w:szCs w:val="20"/>
                                <w:lang w:val="en-GB"/>
                              </w:rPr>
                            </m:ctrlPr>
                          </m:sSubPr>
                          <m:e>
                            <m:r>
                              <m:rPr>
                                <m:sty m:val="p"/>
                              </m:rPr>
                              <w:rPr>
                                <w:rFonts w:ascii="Cambria Math" w:hAnsi="Cambria Math"/>
                                <w:sz w:val="20"/>
                                <w:szCs w:val="20"/>
                                <w:lang w:val="en-GB"/>
                              </w:rPr>
                              <m:t>H</m:t>
                            </m:r>
                          </m:e>
                          <m:sub>
                            <m:r>
                              <m:rPr>
                                <m:sty m:val="p"/>
                              </m:rPr>
                              <w:rPr>
                                <w:rFonts w:ascii="Cambria Math" w:hAnsi="Cambria Math"/>
                                <w:sz w:val="20"/>
                                <w:szCs w:val="20"/>
                                <w:lang w:val="en-GB"/>
                              </w:rPr>
                              <m:t>2</m:t>
                            </m:r>
                          </m:sub>
                        </m:sSub>
                        <m:r>
                          <w:rPr>
                            <w:rFonts w:ascii="Cambria Math" w:hAnsi="Cambria Math"/>
                            <w:sz w:val="20"/>
                            <w:szCs w:val="20"/>
                            <w:lang w:val="en-GB"/>
                          </w:rPr>
                          <m:t>,</m:t>
                        </m:r>
                        <m:r>
                          <m:rPr>
                            <m:sty m:val="p"/>
                          </m:rPr>
                          <w:rPr>
                            <w:rFonts w:ascii="Cambria Math" w:hAnsi="Cambria Math"/>
                            <w:sz w:val="20"/>
                            <w:szCs w:val="20"/>
                            <w:lang w:val="en-GB"/>
                          </w:rPr>
                          <m:t>year</m:t>
                        </m:r>
                      </m:sub>
                    </m:sSub>
                    <m:r>
                      <w:rPr>
                        <w:rFonts w:ascii="Cambria Math" w:hAnsi="Cambria Math"/>
                        <w:sz w:val="20"/>
                        <w:szCs w:val="20"/>
                        <w:lang w:val="en-GB"/>
                      </w:rPr>
                      <m:t>HH</m:t>
                    </m:r>
                    <m:sSub>
                      <m:sSubPr>
                        <m:ctrlPr>
                          <w:rPr>
                            <w:rFonts w:ascii="Cambria Math" w:hAnsi="Cambria Math"/>
                            <w:i/>
                            <w:sz w:val="20"/>
                            <w:szCs w:val="20"/>
                            <w:lang w:val="en-GB"/>
                          </w:rPr>
                        </m:ctrlPr>
                      </m:sSubPr>
                      <m:e>
                        <m:r>
                          <w:rPr>
                            <w:rFonts w:ascii="Cambria Math" w:hAnsi="Cambria Math"/>
                            <w:sz w:val="20"/>
                            <w:szCs w:val="20"/>
                            <w:lang w:val="en-GB"/>
                          </w:rPr>
                          <m:t>V</m:t>
                        </m:r>
                      </m:e>
                      <m:sub>
                        <m:sSub>
                          <m:sSubPr>
                            <m:ctrlPr>
                              <w:rPr>
                                <w:rFonts w:ascii="Cambria Math" w:hAnsi="Cambria Math"/>
                                <w:i/>
                                <w:sz w:val="20"/>
                                <w:szCs w:val="20"/>
                                <w:lang w:val="en-GB"/>
                              </w:rPr>
                            </m:ctrlPr>
                          </m:sSubPr>
                          <m:e>
                            <m:r>
                              <m:rPr>
                                <m:sty m:val="p"/>
                              </m:rPr>
                              <w:rPr>
                                <w:rFonts w:ascii="Cambria Math" w:hAnsi="Cambria Math"/>
                                <w:sz w:val="20"/>
                                <w:szCs w:val="20"/>
                                <w:lang w:val="en-GB"/>
                              </w:rPr>
                              <m:t>H</m:t>
                            </m:r>
                          </m:e>
                          <m:sub>
                            <m:r>
                              <w:rPr>
                                <w:rFonts w:ascii="Cambria Math" w:hAnsi="Cambria Math"/>
                                <w:sz w:val="20"/>
                                <w:szCs w:val="20"/>
                                <w:lang w:val="en-GB"/>
                              </w:rPr>
                              <m:t>2</m:t>
                            </m:r>
                          </m:sub>
                        </m:sSub>
                      </m:sub>
                    </m:sSub>
                  </m:num>
                  <m:den>
                    <m:sSup>
                      <m:sSupPr>
                        <m:ctrlPr>
                          <w:rPr>
                            <w:rFonts w:ascii="Cambria Math" w:hAnsi="Cambria Math"/>
                            <w:i/>
                            <w:sz w:val="20"/>
                            <w:szCs w:val="20"/>
                            <w:lang w:val="en-GB"/>
                          </w:rPr>
                        </m:ctrlPr>
                      </m:sSupPr>
                      <m:e>
                        <m:r>
                          <w:rPr>
                            <w:rFonts w:ascii="Cambria Math" w:hAnsi="Cambria Math"/>
                            <w:sz w:val="20"/>
                            <w:szCs w:val="20"/>
                            <w:lang w:val="en-GB"/>
                          </w:rPr>
                          <m:t>10</m:t>
                        </m:r>
                      </m:e>
                      <m:sup>
                        <m:r>
                          <w:rPr>
                            <w:rFonts w:ascii="Cambria Math" w:hAnsi="Cambria Math"/>
                            <w:sz w:val="20"/>
                            <w:szCs w:val="20"/>
                            <w:lang w:val="en-GB"/>
                          </w:rPr>
                          <m:t>-</m:t>
                        </m:r>
                        <m:r>
                          <w:rPr>
                            <w:rFonts w:ascii="Cambria Math" w:eastAsiaTheme="minorEastAsia" w:hAnsi="Cambria Math"/>
                            <w:sz w:val="20"/>
                            <w:szCs w:val="20"/>
                            <w:lang w:val="en-GB"/>
                          </w:rPr>
                          <m:t>3</m:t>
                        </m:r>
                      </m:sup>
                    </m:sSup>
                    <m:nary>
                      <m:naryPr>
                        <m:chr m:val="∑"/>
                        <m:limLoc m:val="undOvr"/>
                        <m:grow m:val="1"/>
                        <m:ctrlPr>
                          <w:rPr>
                            <w:rFonts w:ascii="Cambria Math" w:hAnsi="Cambria Math"/>
                            <w:i/>
                            <w:sz w:val="20"/>
                            <w:szCs w:val="20"/>
                            <w:lang w:val="en-GB"/>
                          </w:rPr>
                        </m:ctrlPr>
                      </m:naryPr>
                      <m:sub>
                        <m:r>
                          <w:rPr>
                            <w:rFonts w:ascii="Cambria Math" w:hAnsi="Cambria Math"/>
                            <w:sz w:val="20"/>
                            <w:szCs w:val="20"/>
                            <w:lang w:val="en-GB"/>
                          </w:rPr>
                          <m:t>t=1</m:t>
                        </m:r>
                      </m:sub>
                      <m:sup>
                        <m:r>
                          <w:rPr>
                            <w:rFonts w:ascii="Cambria Math" w:hAnsi="Cambria Math"/>
                            <w:sz w:val="20"/>
                            <w:szCs w:val="20"/>
                            <w:lang w:val="en-GB"/>
                          </w:rPr>
                          <m:t>8760</m:t>
                        </m:r>
                      </m:sup>
                      <m:e>
                        <m:r>
                          <w:rPr>
                            <w:rFonts w:ascii="Cambria Math" w:hAnsi="Cambria Math"/>
                            <w:sz w:val="20"/>
                            <w:szCs w:val="20"/>
                            <w:lang w:val="en-GB"/>
                          </w:rPr>
                          <m:t> </m:t>
                        </m:r>
                      </m:e>
                    </m:nary>
                    <m:sSub>
                      <m:sSubPr>
                        <m:ctrlPr>
                          <w:rPr>
                            <w:rFonts w:ascii="Cambria Math" w:hAnsi="Cambria Math"/>
                            <w:i/>
                            <w:sz w:val="20"/>
                            <w:szCs w:val="20"/>
                            <w:lang w:val="en-GB"/>
                          </w:rPr>
                        </m:ctrlPr>
                      </m:sSubPr>
                      <m:e>
                        <m:r>
                          <w:rPr>
                            <w:rFonts w:ascii="Cambria Math" w:hAnsi="Cambria Math"/>
                            <w:sz w:val="20"/>
                            <w:szCs w:val="20"/>
                            <w:lang w:val="en-GB"/>
                          </w:rPr>
                          <m:t>G</m:t>
                        </m:r>
                      </m:e>
                      <m:sub>
                        <m:r>
                          <w:rPr>
                            <w:rFonts w:ascii="Cambria Math" w:hAnsi="Cambria Math"/>
                            <w:sz w:val="20"/>
                            <w:szCs w:val="20"/>
                            <w:lang w:val="en-GB"/>
                          </w:rPr>
                          <m:t>b</m:t>
                        </m:r>
                      </m:sub>
                    </m:sSub>
                    <m:r>
                      <w:rPr>
                        <w:rFonts w:ascii="Cambria Math" w:hAnsi="Cambria Math"/>
                        <w:sz w:val="20"/>
                        <w:szCs w:val="20"/>
                        <w:lang w:val="en-GB"/>
                      </w:rPr>
                      <m:t>(t)Δt</m:t>
                    </m:r>
                  </m:den>
                </m:f>
              </m:oMath>
            </m:oMathPara>
          </w:p>
        </w:tc>
        <w:tc>
          <w:tcPr>
            <w:tcW w:w="1652" w:type="dxa"/>
            <w:vAlign w:val="center"/>
            <w:hideMark/>
          </w:tcPr>
          <w:p w14:paraId="73DB9E9E" w14:textId="1AA263E3" w:rsidR="000241D6" w:rsidRPr="00C32131" w:rsidRDefault="000241D6" w:rsidP="00215199">
            <w:pPr>
              <w:tabs>
                <w:tab w:val="center" w:pos="4820"/>
                <w:tab w:val="right" w:pos="9638"/>
              </w:tabs>
              <w:spacing w:after="120" w:line="276" w:lineRule="auto"/>
              <w:ind w:firstLine="425"/>
              <w:jc w:val="right"/>
              <w:rPr>
                <w:rFonts w:ascii="Times New Roman" w:eastAsia="宋体" w:hAnsi="Times New Roman"/>
                <w:sz w:val="20"/>
                <w:szCs w:val="20"/>
                <w:lang w:val="en-GB"/>
              </w:rPr>
            </w:pPr>
            <w:r w:rsidRPr="00C32131">
              <w:rPr>
                <w:rFonts w:eastAsia="宋体"/>
                <w:sz w:val="20"/>
                <w:szCs w:val="20"/>
                <w:lang w:val="en-GB"/>
              </w:rPr>
              <w:t>(eq.2)</w:t>
            </w:r>
          </w:p>
        </w:tc>
      </w:tr>
    </w:tbl>
    <w:p w14:paraId="31EE9012" w14:textId="6AED3721" w:rsidR="000241D6" w:rsidRDefault="000241D6" w:rsidP="00215199">
      <w:pPr>
        <w:spacing w:after="120" w:line="276" w:lineRule="auto"/>
        <w:jc w:val="both"/>
        <w:rPr>
          <w:color w:val="000000"/>
          <w:sz w:val="20"/>
          <w:szCs w:val="22"/>
        </w:rPr>
      </w:pPr>
      <w:r>
        <w:rPr>
          <w:rFonts w:hint="eastAsia"/>
          <w:color w:val="000000"/>
          <w:sz w:val="20"/>
          <w:szCs w:val="22"/>
        </w:rPr>
        <w:t xml:space="preserve">where </w:t>
      </w:r>
      <w:r w:rsidRPr="000241D6">
        <w:rPr>
          <w:color w:val="000000"/>
          <w:sz w:val="20"/>
          <w:szCs w:val="22"/>
        </w:rPr>
        <w:t>G</w:t>
      </w:r>
      <w:r w:rsidRPr="00C32131">
        <w:rPr>
          <w:i/>
          <w:iCs/>
          <w:color w:val="000000"/>
          <w:sz w:val="20"/>
          <w:szCs w:val="22"/>
          <w:vertAlign w:val="subscript"/>
        </w:rPr>
        <w:t>b</w:t>
      </w:r>
      <w:r w:rsidRPr="000241D6">
        <w:rPr>
          <w:color w:val="000000"/>
          <w:sz w:val="20"/>
          <w:szCs w:val="22"/>
        </w:rPr>
        <w:t xml:space="preserve"> is the original DNI from the TMY dataset and </w:t>
      </w:r>
      <w:r w:rsidRPr="00C32131">
        <w:rPr>
          <w:i/>
          <w:iCs/>
          <w:color w:val="000000"/>
          <w:sz w:val="20"/>
          <w:szCs w:val="22"/>
        </w:rPr>
        <w:t>HHV</w:t>
      </w:r>
      <w:r w:rsidRPr="00C32131">
        <w:rPr>
          <w:color w:val="000000"/>
          <w:sz w:val="20"/>
          <w:szCs w:val="22"/>
          <w:vertAlign w:val="subscript"/>
        </w:rPr>
        <w:t>H2</w:t>
      </w:r>
      <w:r w:rsidRPr="000241D6">
        <w:rPr>
          <w:color w:val="000000"/>
          <w:sz w:val="20"/>
          <w:szCs w:val="22"/>
        </w:rPr>
        <w:t xml:space="preserve"> is the higher heating value of hydrogen. For both tracking configurations, the denominator uses the full annual unprojected DNI, including hours below the operating threshold, to provide a consistent solar-resource basis for comparison.</w:t>
      </w:r>
    </w:p>
    <w:p w14:paraId="5668A581" w14:textId="77777777" w:rsidR="002B0C68" w:rsidRPr="006309AA" w:rsidRDefault="002B0C68" w:rsidP="00215199">
      <w:pPr>
        <w:pStyle w:val="SWCTableFigureCaption"/>
        <w:spacing w:after="120"/>
      </w:pPr>
      <w:r>
        <w:t xml:space="preserve">Tab. </w:t>
      </w:r>
      <w:r w:rsidRPr="006309AA">
        <w:t>1</w:t>
      </w:r>
      <w:r>
        <w:t>:</w:t>
      </w:r>
      <w:r w:rsidRPr="006309AA">
        <w:t xml:space="preserve"> </w:t>
      </w:r>
      <w:r w:rsidRPr="004C1962">
        <w:t>European cities included in the TMY-based screening.</w:t>
      </w:r>
    </w:p>
    <w:tbl>
      <w:tblPr>
        <w:tblStyle w:val="TableGrid"/>
        <w:tblW w:w="0" w:type="auto"/>
        <w:tblLook w:val="04A0" w:firstRow="1" w:lastRow="0" w:firstColumn="1" w:lastColumn="0" w:noHBand="0" w:noVBand="1"/>
      </w:tblPr>
      <w:tblGrid>
        <w:gridCol w:w="985"/>
        <w:gridCol w:w="1260"/>
        <w:gridCol w:w="1350"/>
        <w:gridCol w:w="1440"/>
        <w:gridCol w:w="1620"/>
        <w:gridCol w:w="2409"/>
      </w:tblGrid>
      <w:tr w:rsidR="002B0C68" w:rsidRPr="00FB4CF3" w14:paraId="5EEEC58E" w14:textId="77777777" w:rsidTr="00DC3D2E">
        <w:tc>
          <w:tcPr>
            <w:tcW w:w="985" w:type="dxa"/>
          </w:tcPr>
          <w:p w14:paraId="07A21E82" w14:textId="77777777" w:rsidR="002B0C68" w:rsidRPr="00FB4CF3" w:rsidRDefault="002B0C68" w:rsidP="00FB4CF3">
            <w:pPr>
              <w:spacing w:after="80"/>
              <w:jc w:val="center"/>
              <w:rPr>
                <w:b/>
                <w:sz w:val="20"/>
                <w:szCs w:val="20"/>
              </w:rPr>
            </w:pPr>
            <w:r w:rsidRPr="00FB4CF3">
              <w:rPr>
                <w:rFonts w:eastAsia="Arial"/>
                <w:b/>
                <w:sz w:val="20"/>
                <w:szCs w:val="20"/>
              </w:rPr>
              <w:t>Code</w:t>
            </w:r>
          </w:p>
        </w:tc>
        <w:tc>
          <w:tcPr>
            <w:tcW w:w="1260" w:type="dxa"/>
          </w:tcPr>
          <w:p w14:paraId="71791021" w14:textId="77777777" w:rsidR="002B0C68" w:rsidRPr="00FB4CF3" w:rsidRDefault="002B0C68" w:rsidP="00FB4CF3">
            <w:pPr>
              <w:spacing w:after="80"/>
              <w:jc w:val="center"/>
              <w:rPr>
                <w:b/>
                <w:sz w:val="20"/>
                <w:szCs w:val="20"/>
              </w:rPr>
            </w:pPr>
            <w:r w:rsidRPr="00FB4CF3">
              <w:rPr>
                <w:rFonts w:eastAsia="Arial"/>
                <w:b/>
                <w:sz w:val="20"/>
                <w:szCs w:val="20"/>
              </w:rPr>
              <w:t>City</w:t>
            </w:r>
          </w:p>
        </w:tc>
        <w:tc>
          <w:tcPr>
            <w:tcW w:w="1350" w:type="dxa"/>
          </w:tcPr>
          <w:p w14:paraId="4C6CB6F3" w14:textId="77777777" w:rsidR="002B0C68" w:rsidRPr="00FB4CF3" w:rsidRDefault="002B0C68" w:rsidP="00FB4CF3">
            <w:pPr>
              <w:spacing w:after="80"/>
              <w:jc w:val="center"/>
              <w:rPr>
                <w:sz w:val="20"/>
                <w:szCs w:val="20"/>
              </w:rPr>
            </w:pPr>
            <w:r w:rsidRPr="00FB4CF3">
              <w:rPr>
                <w:rFonts w:eastAsia="Arial"/>
                <w:b/>
                <w:sz w:val="20"/>
                <w:szCs w:val="20"/>
              </w:rPr>
              <w:t>Country</w:t>
            </w:r>
          </w:p>
        </w:tc>
        <w:tc>
          <w:tcPr>
            <w:tcW w:w="1440" w:type="dxa"/>
          </w:tcPr>
          <w:p w14:paraId="01B376F3" w14:textId="77777777" w:rsidR="002B0C68" w:rsidRPr="00FB4CF3" w:rsidRDefault="002B0C68" w:rsidP="00FB4CF3">
            <w:pPr>
              <w:spacing w:after="80"/>
              <w:jc w:val="center"/>
              <w:rPr>
                <w:sz w:val="20"/>
                <w:szCs w:val="20"/>
              </w:rPr>
            </w:pPr>
            <w:r w:rsidRPr="00FB4CF3">
              <w:rPr>
                <w:rFonts w:eastAsia="Arial"/>
                <w:b/>
                <w:sz w:val="20"/>
                <w:szCs w:val="20"/>
              </w:rPr>
              <w:t>Latitude</w:t>
            </w:r>
          </w:p>
        </w:tc>
        <w:tc>
          <w:tcPr>
            <w:tcW w:w="1620" w:type="dxa"/>
          </w:tcPr>
          <w:p w14:paraId="5CE7069E" w14:textId="77777777" w:rsidR="002B0C68" w:rsidRPr="00FB4CF3" w:rsidRDefault="002B0C68" w:rsidP="00FB4CF3">
            <w:pPr>
              <w:spacing w:after="80"/>
              <w:jc w:val="center"/>
              <w:rPr>
                <w:sz w:val="20"/>
                <w:szCs w:val="20"/>
              </w:rPr>
            </w:pPr>
            <w:r w:rsidRPr="00FB4CF3">
              <w:rPr>
                <w:rFonts w:eastAsia="Arial"/>
                <w:b/>
                <w:sz w:val="20"/>
                <w:szCs w:val="20"/>
              </w:rPr>
              <w:t>Longitude</w:t>
            </w:r>
          </w:p>
        </w:tc>
        <w:tc>
          <w:tcPr>
            <w:tcW w:w="2409" w:type="dxa"/>
          </w:tcPr>
          <w:p w14:paraId="25F5BA0A" w14:textId="77777777" w:rsidR="002B0C68" w:rsidRPr="00FB4CF3" w:rsidRDefault="002B0C68" w:rsidP="00FB4CF3">
            <w:pPr>
              <w:spacing w:after="80"/>
              <w:jc w:val="center"/>
              <w:rPr>
                <w:sz w:val="20"/>
                <w:szCs w:val="20"/>
              </w:rPr>
            </w:pPr>
            <w:r w:rsidRPr="00FB4CF3">
              <w:rPr>
                <w:rFonts w:eastAsia="Arial"/>
                <w:b/>
                <w:sz w:val="20"/>
                <w:szCs w:val="20"/>
              </w:rPr>
              <w:t>Region</w:t>
            </w:r>
          </w:p>
        </w:tc>
      </w:tr>
      <w:tr w:rsidR="002B0C68" w:rsidRPr="00FB4CF3" w14:paraId="1EB80A3E" w14:textId="77777777" w:rsidTr="00DC3D2E">
        <w:tc>
          <w:tcPr>
            <w:tcW w:w="985" w:type="dxa"/>
          </w:tcPr>
          <w:p w14:paraId="091DD412" w14:textId="77777777" w:rsidR="002B0C68" w:rsidRPr="00FB4CF3" w:rsidRDefault="002B0C68" w:rsidP="00FB4CF3">
            <w:pPr>
              <w:spacing w:after="80"/>
              <w:jc w:val="center"/>
              <w:rPr>
                <w:sz w:val="20"/>
                <w:szCs w:val="20"/>
              </w:rPr>
            </w:pPr>
            <w:r w:rsidRPr="00FB4CF3">
              <w:rPr>
                <w:rFonts w:eastAsia="Arial"/>
                <w:sz w:val="20"/>
                <w:szCs w:val="20"/>
              </w:rPr>
              <w:t>HEL</w:t>
            </w:r>
          </w:p>
        </w:tc>
        <w:tc>
          <w:tcPr>
            <w:tcW w:w="1260" w:type="dxa"/>
          </w:tcPr>
          <w:p w14:paraId="585D7733" w14:textId="77777777" w:rsidR="002B0C68" w:rsidRPr="00FB4CF3" w:rsidRDefault="002B0C68" w:rsidP="00FB4CF3">
            <w:pPr>
              <w:spacing w:after="80"/>
              <w:jc w:val="center"/>
              <w:rPr>
                <w:sz w:val="20"/>
                <w:szCs w:val="20"/>
              </w:rPr>
            </w:pPr>
            <w:r w:rsidRPr="00FB4CF3">
              <w:rPr>
                <w:rFonts w:eastAsia="Arial"/>
                <w:sz w:val="20"/>
                <w:szCs w:val="20"/>
              </w:rPr>
              <w:t>Helsinki</w:t>
            </w:r>
          </w:p>
        </w:tc>
        <w:tc>
          <w:tcPr>
            <w:tcW w:w="1350" w:type="dxa"/>
          </w:tcPr>
          <w:p w14:paraId="14B2D65E" w14:textId="77777777" w:rsidR="002B0C68" w:rsidRPr="00FB4CF3" w:rsidRDefault="002B0C68" w:rsidP="00FB4CF3">
            <w:pPr>
              <w:spacing w:after="80"/>
              <w:jc w:val="center"/>
              <w:rPr>
                <w:sz w:val="20"/>
                <w:szCs w:val="20"/>
              </w:rPr>
            </w:pPr>
            <w:r w:rsidRPr="00FB4CF3">
              <w:rPr>
                <w:rFonts w:eastAsia="Arial"/>
                <w:sz w:val="20"/>
                <w:szCs w:val="20"/>
              </w:rPr>
              <w:t>Finland</w:t>
            </w:r>
          </w:p>
        </w:tc>
        <w:tc>
          <w:tcPr>
            <w:tcW w:w="1440" w:type="dxa"/>
          </w:tcPr>
          <w:p w14:paraId="2BD68AC6" w14:textId="77777777" w:rsidR="002B0C68" w:rsidRPr="00FB4CF3" w:rsidRDefault="002B0C68" w:rsidP="00FB4CF3">
            <w:pPr>
              <w:spacing w:after="80"/>
              <w:jc w:val="center"/>
              <w:rPr>
                <w:sz w:val="20"/>
                <w:szCs w:val="20"/>
              </w:rPr>
            </w:pPr>
            <w:r w:rsidRPr="00FB4CF3">
              <w:rPr>
                <w:rFonts w:eastAsia="Arial"/>
                <w:sz w:val="20"/>
                <w:szCs w:val="20"/>
              </w:rPr>
              <w:t>60.17</w:t>
            </w:r>
          </w:p>
        </w:tc>
        <w:tc>
          <w:tcPr>
            <w:tcW w:w="1620" w:type="dxa"/>
          </w:tcPr>
          <w:p w14:paraId="6096915D" w14:textId="77777777" w:rsidR="002B0C68" w:rsidRPr="00FB4CF3" w:rsidRDefault="002B0C68" w:rsidP="00FB4CF3">
            <w:pPr>
              <w:spacing w:after="80"/>
              <w:jc w:val="center"/>
              <w:rPr>
                <w:sz w:val="20"/>
                <w:szCs w:val="20"/>
              </w:rPr>
            </w:pPr>
            <w:r w:rsidRPr="00FB4CF3">
              <w:rPr>
                <w:rFonts w:eastAsia="Arial"/>
                <w:sz w:val="20"/>
                <w:szCs w:val="20"/>
              </w:rPr>
              <w:t>24.94</w:t>
            </w:r>
          </w:p>
        </w:tc>
        <w:tc>
          <w:tcPr>
            <w:tcW w:w="2409" w:type="dxa"/>
          </w:tcPr>
          <w:p w14:paraId="0B5388E9" w14:textId="77777777" w:rsidR="002B0C68" w:rsidRPr="00FB4CF3" w:rsidRDefault="002B0C68" w:rsidP="00FB4CF3">
            <w:pPr>
              <w:spacing w:after="80"/>
              <w:jc w:val="center"/>
              <w:rPr>
                <w:sz w:val="20"/>
                <w:szCs w:val="20"/>
              </w:rPr>
            </w:pPr>
            <w:r w:rsidRPr="00FB4CF3">
              <w:rPr>
                <w:rFonts w:eastAsia="Arial"/>
                <w:sz w:val="20"/>
                <w:szCs w:val="20"/>
              </w:rPr>
              <w:t>Northern Europe</w:t>
            </w:r>
          </w:p>
        </w:tc>
      </w:tr>
      <w:tr w:rsidR="002B0C68" w:rsidRPr="00FB4CF3" w14:paraId="4FCA65B8" w14:textId="77777777" w:rsidTr="00DC3D2E">
        <w:tc>
          <w:tcPr>
            <w:tcW w:w="985" w:type="dxa"/>
          </w:tcPr>
          <w:p w14:paraId="156DBDD3" w14:textId="77777777" w:rsidR="002B0C68" w:rsidRPr="00FB4CF3" w:rsidRDefault="002B0C68" w:rsidP="00FB4CF3">
            <w:pPr>
              <w:spacing w:after="80"/>
              <w:jc w:val="center"/>
              <w:rPr>
                <w:sz w:val="20"/>
                <w:szCs w:val="20"/>
              </w:rPr>
            </w:pPr>
            <w:r w:rsidRPr="00FB4CF3">
              <w:rPr>
                <w:rFonts w:eastAsia="Arial"/>
                <w:sz w:val="20"/>
                <w:szCs w:val="20"/>
              </w:rPr>
              <w:t>CPH</w:t>
            </w:r>
          </w:p>
        </w:tc>
        <w:tc>
          <w:tcPr>
            <w:tcW w:w="1260" w:type="dxa"/>
          </w:tcPr>
          <w:p w14:paraId="2E17FE34" w14:textId="77777777" w:rsidR="002B0C68" w:rsidRPr="00FB4CF3" w:rsidRDefault="002B0C68" w:rsidP="00FB4CF3">
            <w:pPr>
              <w:spacing w:after="80"/>
              <w:jc w:val="center"/>
              <w:rPr>
                <w:sz w:val="20"/>
                <w:szCs w:val="20"/>
              </w:rPr>
            </w:pPr>
            <w:r w:rsidRPr="00FB4CF3">
              <w:rPr>
                <w:rFonts w:eastAsia="Arial"/>
                <w:sz w:val="20"/>
                <w:szCs w:val="20"/>
              </w:rPr>
              <w:t>Copenhagen</w:t>
            </w:r>
          </w:p>
        </w:tc>
        <w:tc>
          <w:tcPr>
            <w:tcW w:w="1350" w:type="dxa"/>
          </w:tcPr>
          <w:p w14:paraId="697FCD5B" w14:textId="77777777" w:rsidR="002B0C68" w:rsidRPr="00FB4CF3" w:rsidRDefault="002B0C68" w:rsidP="00FB4CF3">
            <w:pPr>
              <w:spacing w:after="80"/>
              <w:jc w:val="center"/>
              <w:rPr>
                <w:sz w:val="20"/>
                <w:szCs w:val="20"/>
              </w:rPr>
            </w:pPr>
            <w:r w:rsidRPr="00FB4CF3">
              <w:rPr>
                <w:rFonts w:eastAsia="Arial"/>
                <w:sz w:val="20"/>
                <w:szCs w:val="20"/>
              </w:rPr>
              <w:t>Denmark</w:t>
            </w:r>
          </w:p>
        </w:tc>
        <w:tc>
          <w:tcPr>
            <w:tcW w:w="1440" w:type="dxa"/>
          </w:tcPr>
          <w:p w14:paraId="66F60C4D" w14:textId="77777777" w:rsidR="002B0C68" w:rsidRPr="00FB4CF3" w:rsidRDefault="002B0C68" w:rsidP="00FB4CF3">
            <w:pPr>
              <w:spacing w:after="80"/>
              <w:jc w:val="center"/>
              <w:rPr>
                <w:sz w:val="20"/>
                <w:szCs w:val="20"/>
              </w:rPr>
            </w:pPr>
            <w:r w:rsidRPr="00FB4CF3">
              <w:rPr>
                <w:rFonts w:eastAsia="Arial"/>
                <w:sz w:val="20"/>
                <w:szCs w:val="20"/>
              </w:rPr>
              <w:t>55.68</w:t>
            </w:r>
          </w:p>
        </w:tc>
        <w:tc>
          <w:tcPr>
            <w:tcW w:w="1620" w:type="dxa"/>
          </w:tcPr>
          <w:p w14:paraId="0842C390" w14:textId="77777777" w:rsidR="002B0C68" w:rsidRPr="00FB4CF3" w:rsidRDefault="002B0C68" w:rsidP="00FB4CF3">
            <w:pPr>
              <w:spacing w:after="80"/>
              <w:jc w:val="center"/>
              <w:rPr>
                <w:sz w:val="20"/>
                <w:szCs w:val="20"/>
              </w:rPr>
            </w:pPr>
            <w:r w:rsidRPr="00FB4CF3">
              <w:rPr>
                <w:rFonts w:eastAsia="Arial"/>
                <w:sz w:val="20"/>
                <w:szCs w:val="20"/>
              </w:rPr>
              <w:t>12.57</w:t>
            </w:r>
          </w:p>
        </w:tc>
        <w:tc>
          <w:tcPr>
            <w:tcW w:w="2409" w:type="dxa"/>
          </w:tcPr>
          <w:p w14:paraId="045519C6" w14:textId="77777777" w:rsidR="002B0C68" w:rsidRPr="00FB4CF3" w:rsidRDefault="002B0C68" w:rsidP="00FB4CF3">
            <w:pPr>
              <w:spacing w:after="80"/>
              <w:jc w:val="center"/>
              <w:rPr>
                <w:sz w:val="20"/>
                <w:szCs w:val="20"/>
              </w:rPr>
            </w:pPr>
            <w:r w:rsidRPr="00FB4CF3">
              <w:rPr>
                <w:rFonts w:eastAsia="Arial"/>
                <w:sz w:val="20"/>
                <w:szCs w:val="20"/>
              </w:rPr>
              <w:t>Northern Europe</w:t>
            </w:r>
          </w:p>
        </w:tc>
      </w:tr>
      <w:tr w:rsidR="002B0C68" w:rsidRPr="00FB4CF3" w14:paraId="43776D03" w14:textId="77777777" w:rsidTr="00DC3D2E">
        <w:tc>
          <w:tcPr>
            <w:tcW w:w="985" w:type="dxa"/>
          </w:tcPr>
          <w:p w14:paraId="22AD24CE" w14:textId="77777777" w:rsidR="002B0C68" w:rsidRPr="00FB4CF3" w:rsidRDefault="002B0C68" w:rsidP="00FB4CF3">
            <w:pPr>
              <w:spacing w:after="80"/>
              <w:jc w:val="center"/>
              <w:rPr>
                <w:sz w:val="20"/>
                <w:szCs w:val="20"/>
              </w:rPr>
            </w:pPr>
            <w:r w:rsidRPr="00FB4CF3">
              <w:rPr>
                <w:rFonts w:eastAsia="Arial"/>
                <w:sz w:val="20"/>
                <w:szCs w:val="20"/>
              </w:rPr>
              <w:t>LON</w:t>
            </w:r>
          </w:p>
        </w:tc>
        <w:tc>
          <w:tcPr>
            <w:tcW w:w="1260" w:type="dxa"/>
          </w:tcPr>
          <w:p w14:paraId="6769A7F5" w14:textId="77777777" w:rsidR="002B0C68" w:rsidRPr="00FB4CF3" w:rsidRDefault="002B0C68" w:rsidP="00FB4CF3">
            <w:pPr>
              <w:spacing w:after="80"/>
              <w:jc w:val="center"/>
              <w:rPr>
                <w:sz w:val="20"/>
                <w:szCs w:val="20"/>
              </w:rPr>
            </w:pPr>
            <w:r w:rsidRPr="00FB4CF3">
              <w:rPr>
                <w:rFonts w:eastAsia="Arial"/>
                <w:sz w:val="20"/>
                <w:szCs w:val="20"/>
              </w:rPr>
              <w:t>London</w:t>
            </w:r>
          </w:p>
        </w:tc>
        <w:tc>
          <w:tcPr>
            <w:tcW w:w="1350" w:type="dxa"/>
          </w:tcPr>
          <w:p w14:paraId="5B5D59E3" w14:textId="77777777" w:rsidR="002B0C68" w:rsidRPr="00FB4CF3" w:rsidRDefault="002B0C68" w:rsidP="00FB4CF3">
            <w:pPr>
              <w:spacing w:after="80"/>
              <w:jc w:val="center"/>
              <w:rPr>
                <w:sz w:val="20"/>
                <w:szCs w:val="20"/>
              </w:rPr>
            </w:pPr>
            <w:r w:rsidRPr="00FB4CF3">
              <w:rPr>
                <w:rFonts w:eastAsia="Arial"/>
                <w:sz w:val="20"/>
                <w:szCs w:val="20"/>
              </w:rPr>
              <w:t>United Kingdom</w:t>
            </w:r>
          </w:p>
        </w:tc>
        <w:tc>
          <w:tcPr>
            <w:tcW w:w="1440" w:type="dxa"/>
          </w:tcPr>
          <w:p w14:paraId="274E4B48" w14:textId="77777777" w:rsidR="002B0C68" w:rsidRPr="00FB4CF3" w:rsidRDefault="002B0C68" w:rsidP="00FB4CF3">
            <w:pPr>
              <w:spacing w:after="80"/>
              <w:jc w:val="center"/>
              <w:rPr>
                <w:sz w:val="20"/>
                <w:szCs w:val="20"/>
              </w:rPr>
            </w:pPr>
            <w:r w:rsidRPr="00FB4CF3">
              <w:rPr>
                <w:rFonts w:eastAsia="Arial"/>
                <w:sz w:val="20"/>
                <w:szCs w:val="20"/>
              </w:rPr>
              <w:t>51.51</w:t>
            </w:r>
          </w:p>
        </w:tc>
        <w:tc>
          <w:tcPr>
            <w:tcW w:w="1620" w:type="dxa"/>
          </w:tcPr>
          <w:p w14:paraId="01AADFA1" w14:textId="77777777" w:rsidR="002B0C68" w:rsidRPr="00FB4CF3" w:rsidRDefault="002B0C68" w:rsidP="00FB4CF3">
            <w:pPr>
              <w:spacing w:after="80"/>
              <w:jc w:val="center"/>
              <w:rPr>
                <w:sz w:val="20"/>
                <w:szCs w:val="20"/>
              </w:rPr>
            </w:pPr>
            <w:r w:rsidRPr="00FB4CF3">
              <w:rPr>
                <w:rFonts w:eastAsia="Arial"/>
                <w:sz w:val="20"/>
                <w:szCs w:val="20"/>
              </w:rPr>
              <w:t>-0.13</w:t>
            </w:r>
          </w:p>
        </w:tc>
        <w:tc>
          <w:tcPr>
            <w:tcW w:w="2409" w:type="dxa"/>
          </w:tcPr>
          <w:p w14:paraId="1351C822" w14:textId="77777777" w:rsidR="002B0C68" w:rsidRPr="00FB4CF3" w:rsidRDefault="002B0C68" w:rsidP="00FB4CF3">
            <w:pPr>
              <w:spacing w:after="80"/>
              <w:jc w:val="center"/>
              <w:rPr>
                <w:sz w:val="20"/>
                <w:szCs w:val="20"/>
              </w:rPr>
            </w:pPr>
            <w:r w:rsidRPr="00FB4CF3">
              <w:rPr>
                <w:rFonts w:eastAsia="Arial"/>
                <w:sz w:val="20"/>
                <w:szCs w:val="20"/>
              </w:rPr>
              <w:t>Atlantic Europe</w:t>
            </w:r>
          </w:p>
        </w:tc>
      </w:tr>
      <w:tr w:rsidR="002B0C68" w:rsidRPr="00FB4CF3" w14:paraId="77117B1A" w14:textId="77777777" w:rsidTr="00DC3D2E">
        <w:tc>
          <w:tcPr>
            <w:tcW w:w="985" w:type="dxa"/>
          </w:tcPr>
          <w:p w14:paraId="579DE075" w14:textId="77777777" w:rsidR="002B0C68" w:rsidRPr="00FB4CF3" w:rsidRDefault="002B0C68" w:rsidP="00FB4CF3">
            <w:pPr>
              <w:spacing w:after="80"/>
              <w:jc w:val="center"/>
              <w:rPr>
                <w:sz w:val="20"/>
                <w:szCs w:val="20"/>
              </w:rPr>
            </w:pPr>
            <w:r w:rsidRPr="00FB4CF3">
              <w:rPr>
                <w:rFonts w:eastAsia="Arial"/>
                <w:sz w:val="20"/>
                <w:szCs w:val="20"/>
              </w:rPr>
              <w:t>PAR</w:t>
            </w:r>
          </w:p>
        </w:tc>
        <w:tc>
          <w:tcPr>
            <w:tcW w:w="1260" w:type="dxa"/>
          </w:tcPr>
          <w:p w14:paraId="5EB8D692" w14:textId="77777777" w:rsidR="002B0C68" w:rsidRPr="00FB4CF3" w:rsidRDefault="002B0C68" w:rsidP="00FB4CF3">
            <w:pPr>
              <w:spacing w:after="80"/>
              <w:jc w:val="center"/>
              <w:rPr>
                <w:sz w:val="20"/>
                <w:szCs w:val="20"/>
              </w:rPr>
            </w:pPr>
            <w:r w:rsidRPr="00FB4CF3">
              <w:rPr>
                <w:rFonts w:eastAsia="Arial"/>
                <w:sz w:val="20"/>
                <w:szCs w:val="20"/>
              </w:rPr>
              <w:t>Paris</w:t>
            </w:r>
          </w:p>
        </w:tc>
        <w:tc>
          <w:tcPr>
            <w:tcW w:w="1350" w:type="dxa"/>
          </w:tcPr>
          <w:p w14:paraId="740C98B8" w14:textId="77777777" w:rsidR="002B0C68" w:rsidRPr="00FB4CF3" w:rsidRDefault="002B0C68" w:rsidP="00FB4CF3">
            <w:pPr>
              <w:spacing w:after="80"/>
              <w:jc w:val="center"/>
              <w:rPr>
                <w:sz w:val="20"/>
                <w:szCs w:val="20"/>
              </w:rPr>
            </w:pPr>
            <w:r w:rsidRPr="00FB4CF3">
              <w:rPr>
                <w:rFonts w:eastAsia="Arial"/>
                <w:sz w:val="20"/>
                <w:szCs w:val="20"/>
              </w:rPr>
              <w:t>France</w:t>
            </w:r>
          </w:p>
        </w:tc>
        <w:tc>
          <w:tcPr>
            <w:tcW w:w="1440" w:type="dxa"/>
          </w:tcPr>
          <w:p w14:paraId="224BCA73" w14:textId="77777777" w:rsidR="002B0C68" w:rsidRPr="00FB4CF3" w:rsidRDefault="002B0C68" w:rsidP="00FB4CF3">
            <w:pPr>
              <w:spacing w:after="80"/>
              <w:jc w:val="center"/>
              <w:rPr>
                <w:sz w:val="20"/>
                <w:szCs w:val="20"/>
              </w:rPr>
            </w:pPr>
            <w:r w:rsidRPr="00FB4CF3">
              <w:rPr>
                <w:rFonts w:eastAsia="Arial"/>
                <w:sz w:val="20"/>
                <w:szCs w:val="20"/>
              </w:rPr>
              <w:t>48.86</w:t>
            </w:r>
          </w:p>
        </w:tc>
        <w:tc>
          <w:tcPr>
            <w:tcW w:w="1620" w:type="dxa"/>
          </w:tcPr>
          <w:p w14:paraId="50A25E24" w14:textId="77777777" w:rsidR="002B0C68" w:rsidRPr="00FB4CF3" w:rsidRDefault="002B0C68" w:rsidP="00FB4CF3">
            <w:pPr>
              <w:spacing w:after="80"/>
              <w:jc w:val="center"/>
              <w:rPr>
                <w:sz w:val="20"/>
                <w:szCs w:val="20"/>
              </w:rPr>
            </w:pPr>
            <w:r w:rsidRPr="00FB4CF3">
              <w:rPr>
                <w:rFonts w:eastAsia="Arial"/>
                <w:sz w:val="20"/>
                <w:szCs w:val="20"/>
              </w:rPr>
              <w:t>2.35</w:t>
            </w:r>
          </w:p>
        </w:tc>
        <w:tc>
          <w:tcPr>
            <w:tcW w:w="2409" w:type="dxa"/>
          </w:tcPr>
          <w:p w14:paraId="0002660C" w14:textId="77777777" w:rsidR="002B0C68" w:rsidRPr="00FB4CF3" w:rsidRDefault="002B0C68" w:rsidP="00FB4CF3">
            <w:pPr>
              <w:spacing w:after="80"/>
              <w:jc w:val="center"/>
              <w:rPr>
                <w:sz w:val="20"/>
                <w:szCs w:val="20"/>
              </w:rPr>
            </w:pPr>
            <w:r w:rsidRPr="00FB4CF3">
              <w:rPr>
                <w:rFonts w:eastAsia="Arial"/>
                <w:sz w:val="20"/>
                <w:szCs w:val="20"/>
              </w:rPr>
              <w:t>Atlantic Europe</w:t>
            </w:r>
          </w:p>
        </w:tc>
      </w:tr>
      <w:tr w:rsidR="002B0C68" w:rsidRPr="00FB4CF3" w14:paraId="0DC46F28" w14:textId="77777777" w:rsidTr="00DC3D2E">
        <w:tc>
          <w:tcPr>
            <w:tcW w:w="985" w:type="dxa"/>
          </w:tcPr>
          <w:p w14:paraId="74AC7CBE" w14:textId="77777777" w:rsidR="002B0C68" w:rsidRPr="00FB4CF3" w:rsidRDefault="002B0C68" w:rsidP="00FB4CF3">
            <w:pPr>
              <w:spacing w:after="80"/>
              <w:jc w:val="center"/>
              <w:rPr>
                <w:sz w:val="20"/>
                <w:szCs w:val="20"/>
              </w:rPr>
            </w:pPr>
            <w:r w:rsidRPr="00FB4CF3">
              <w:rPr>
                <w:rFonts w:eastAsia="Arial"/>
                <w:sz w:val="20"/>
                <w:szCs w:val="20"/>
              </w:rPr>
              <w:t>VIE</w:t>
            </w:r>
          </w:p>
        </w:tc>
        <w:tc>
          <w:tcPr>
            <w:tcW w:w="1260" w:type="dxa"/>
          </w:tcPr>
          <w:p w14:paraId="183A8D2C" w14:textId="77777777" w:rsidR="002B0C68" w:rsidRPr="00FB4CF3" w:rsidRDefault="002B0C68" w:rsidP="00FB4CF3">
            <w:pPr>
              <w:spacing w:after="80"/>
              <w:jc w:val="center"/>
              <w:rPr>
                <w:sz w:val="20"/>
                <w:szCs w:val="20"/>
              </w:rPr>
            </w:pPr>
            <w:r w:rsidRPr="00FB4CF3">
              <w:rPr>
                <w:rFonts w:eastAsia="Arial"/>
                <w:sz w:val="20"/>
                <w:szCs w:val="20"/>
              </w:rPr>
              <w:t>Vienna</w:t>
            </w:r>
          </w:p>
        </w:tc>
        <w:tc>
          <w:tcPr>
            <w:tcW w:w="1350" w:type="dxa"/>
          </w:tcPr>
          <w:p w14:paraId="1946861C" w14:textId="77777777" w:rsidR="002B0C68" w:rsidRPr="00FB4CF3" w:rsidRDefault="002B0C68" w:rsidP="00FB4CF3">
            <w:pPr>
              <w:spacing w:after="80"/>
              <w:jc w:val="center"/>
              <w:rPr>
                <w:sz w:val="20"/>
                <w:szCs w:val="20"/>
              </w:rPr>
            </w:pPr>
            <w:r w:rsidRPr="00FB4CF3">
              <w:rPr>
                <w:rFonts w:eastAsia="Arial"/>
                <w:sz w:val="20"/>
                <w:szCs w:val="20"/>
              </w:rPr>
              <w:t>Austria</w:t>
            </w:r>
          </w:p>
        </w:tc>
        <w:tc>
          <w:tcPr>
            <w:tcW w:w="1440" w:type="dxa"/>
          </w:tcPr>
          <w:p w14:paraId="4193B1B2" w14:textId="77777777" w:rsidR="002B0C68" w:rsidRPr="00FB4CF3" w:rsidRDefault="002B0C68" w:rsidP="00FB4CF3">
            <w:pPr>
              <w:spacing w:after="80"/>
              <w:jc w:val="center"/>
              <w:rPr>
                <w:sz w:val="20"/>
                <w:szCs w:val="20"/>
              </w:rPr>
            </w:pPr>
            <w:r w:rsidRPr="00FB4CF3">
              <w:rPr>
                <w:rFonts w:eastAsia="Arial"/>
                <w:sz w:val="20"/>
                <w:szCs w:val="20"/>
              </w:rPr>
              <w:t>48.21</w:t>
            </w:r>
          </w:p>
        </w:tc>
        <w:tc>
          <w:tcPr>
            <w:tcW w:w="1620" w:type="dxa"/>
          </w:tcPr>
          <w:p w14:paraId="5A14C51E" w14:textId="77777777" w:rsidR="002B0C68" w:rsidRPr="00FB4CF3" w:rsidRDefault="002B0C68" w:rsidP="00FB4CF3">
            <w:pPr>
              <w:spacing w:after="80"/>
              <w:jc w:val="center"/>
              <w:rPr>
                <w:sz w:val="20"/>
                <w:szCs w:val="20"/>
              </w:rPr>
            </w:pPr>
            <w:r w:rsidRPr="00FB4CF3">
              <w:rPr>
                <w:rFonts w:eastAsia="Arial"/>
                <w:sz w:val="20"/>
                <w:szCs w:val="20"/>
              </w:rPr>
              <w:t>16.37</w:t>
            </w:r>
          </w:p>
        </w:tc>
        <w:tc>
          <w:tcPr>
            <w:tcW w:w="2409" w:type="dxa"/>
          </w:tcPr>
          <w:p w14:paraId="69DAE65D" w14:textId="77777777" w:rsidR="002B0C68" w:rsidRPr="00FB4CF3" w:rsidRDefault="002B0C68" w:rsidP="00FB4CF3">
            <w:pPr>
              <w:spacing w:after="80"/>
              <w:jc w:val="center"/>
              <w:rPr>
                <w:sz w:val="20"/>
                <w:szCs w:val="20"/>
              </w:rPr>
            </w:pPr>
            <w:r w:rsidRPr="00FB4CF3">
              <w:rPr>
                <w:rFonts w:eastAsia="Arial"/>
                <w:sz w:val="20"/>
                <w:szCs w:val="20"/>
              </w:rPr>
              <w:t>Central Europe</w:t>
            </w:r>
          </w:p>
        </w:tc>
      </w:tr>
      <w:tr w:rsidR="002B0C68" w:rsidRPr="00FB4CF3" w14:paraId="134FD763" w14:textId="77777777" w:rsidTr="00DC3D2E">
        <w:tc>
          <w:tcPr>
            <w:tcW w:w="985" w:type="dxa"/>
          </w:tcPr>
          <w:p w14:paraId="43E8FE30" w14:textId="77777777" w:rsidR="002B0C68" w:rsidRPr="00FB4CF3" w:rsidRDefault="002B0C68" w:rsidP="00FB4CF3">
            <w:pPr>
              <w:spacing w:after="80"/>
              <w:jc w:val="center"/>
              <w:rPr>
                <w:sz w:val="20"/>
                <w:szCs w:val="20"/>
              </w:rPr>
            </w:pPr>
            <w:r w:rsidRPr="00FB4CF3">
              <w:rPr>
                <w:rFonts w:eastAsia="Arial"/>
                <w:sz w:val="20"/>
                <w:szCs w:val="20"/>
              </w:rPr>
              <w:t>BUC</w:t>
            </w:r>
          </w:p>
        </w:tc>
        <w:tc>
          <w:tcPr>
            <w:tcW w:w="1260" w:type="dxa"/>
          </w:tcPr>
          <w:p w14:paraId="5C6C5B2A" w14:textId="77777777" w:rsidR="002B0C68" w:rsidRPr="00FB4CF3" w:rsidRDefault="002B0C68" w:rsidP="00FB4CF3">
            <w:pPr>
              <w:spacing w:after="80"/>
              <w:jc w:val="center"/>
              <w:rPr>
                <w:sz w:val="20"/>
                <w:szCs w:val="20"/>
              </w:rPr>
            </w:pPr>
            <w:r w:rsidRPr="00FB4CF3">
              <w:rPr>
                <w:rFonts w:eastAsia="Arial"/>
                <w:sz w:val="20"/>
                <w:szCs w:val="20"/>
              </w:rPr>
              <w:t>Bucharest</w:t>
            </w:r>
          </w:p>
        </w:tc>
        <w:tc>
          <w:tcPr>
            <w:tcW w:w="1350" w:type="dxa"/>
          </w:tcPr>
          <w:p w14:paraId="43F25165" w14:textId="77777777" w:rsidR="002B0C68" w:rsidRPr="00FB4CF3" w:rsidRDefault="002B0C68" w:rsidP="00FB4CF3">
            <w:pPr>
              <w:spacing w:after="80"/>
              <w:jc w:val="center"/>
              <w:rPr>
                <w:sz w:val="20"/>
                <w:szCs w:val="20"/>
              </w:rPr>
            </w:pPr>
            <w:r w:rsidRPr="00FB4CF3">
              <w:rPr>
                <w:rFonts w:eastAsia="Arial"/>
                <w:sz w:val="20"/>
                <w:szCs w:val="20"/>
              </w:rPr>
              <w:t>Romania</w:t>
            </w:r>
          </w:p>
        </w:tc>
        <w:tc>
          <w:tcPr>
            <w:tcW w:w="1440" w:type="dxa"/>
          </w:tcPr>
          <w:p w14:paraId="42296230" w14:textId="77777777" w:rsidR="002B0C68" w:rsidRPr="00FB4CF3" w:rsidRDefault="002B0C68" w:rsidP="00FB4CF3">
            <w:pPr>
              <w:spacing w:after="80"/>
              <w:jc w:val="center"/>
              <w:rPr>
                <w:sz w:val="20"/>
                <w:szCs w:val="20"/>
              </w:rPr>
            </w:pPr>
            <w:r w:rsidRPr="00FB4CF3">
              <w:rPr>
                <w:rFonts w:eastAsia="Arial"/>
                <w:sz w:val="20"/>
                <w:szCs w:val="20"/>
              </w:rPr>
              <w:t>44.43</w:t>
            </w:r>
          </w:p>
        </w:tc>
        <w:tc>
          <w:tcPr>
            <w:tcW w:w="1620" w:type="dxa"/>
          </w:tcPr>
          <w:p w14:paraId="48A8A4C0" w14:textId="77777777" w:rsidR="002B0C68" w:rsidRPr="00FB4CF3" w:rsidRDefault="002B0C68" w:rsidP="00FB4CF3">
            <w:pPr>
              <w:spacing w:after="80"/>
              <w:jc w:val="center"/>
              <w:rPr>
                <w:sz w:val="20"/>
                <w:szCs w:val="20"/>
              </w:rPr>
            </w:pPr>
            <w:r w:rsidRPr="00FB4CF3">
              <w:rPr>
                <w:rFonts w:eastAsia="Arial"/>
                <w:sz w:val="20"/>
                <w:szCs w:val="20"/>
              </w:rPr>
              <w:t>26.10</w:t>
            </w:r>
          </w:p>
        </w:tc>
        <w:tc>
          <w:tcPr>
            <w:tcW w:w="2409" w:type="dxa"/>
          </w:tcPr>
          <w:p w14:paraId="08C54760" w14:textId="77777777" w:rsidR="002B0C68" w:rsidRPr="00FB4CF3" w:rsidRDefault="002B0C68" w:rsidP="00FB4CF3">
            <w:pPr>
              <w:spacing w:after="80"/>
              <w:jc w:val="center"/>
              <w:rPr>
                <w:sz w:val="20"/>
                <w:szCs w:val="20"/>
              </w:rPr>
            </w:pPr>
            <w:r w:rsidRPr="00FB4CF3">
              <w:rPr>
                <w:rFonts w:eastAsia="Arial"/>
                <w:sz w:val="20"/>
                <w:szCs w:val="20"/>
              </w:rPr>
              <w:t>Eastern Europe</w:t>
            </w:r>
          </w:p>
        </w:tc>
      </w:tr>
      <w:tr w:rsidR="002B0C68" w:rsidRPr="00FB4CF3" w14:paraId="2DE39904" w14:textId="77777777" w:rsidTr="00DC3D2E">
        <w:tc>
          <w:tcPr>
            <w:tcW w:w="985" w:type="dxa"/>
          </w:tcPr>
          <w:p w14:paraId="7906BC90" w14:textId="77777777" w:rsidR="002B0C68" w:rsidRPr="00FB4CF3" w:rsidRDefault="002B0C68" w:rsidP="00FB4CF3">
            <w:pPr>
              <w:spacing w:after="80"/>
              <w:jc w:val="center"/>
              <w:rPr>
                <w:sz w:val="20"/>
                <w:szCs w:val="20"/>
              </w:rPr>
            </w:pPr>
            <w:r w:rsidRPr="00FB4CF3">
              <w:rPr>
                <w:rFonts w:eastAsia="Arial"/>
                <w:sz w:val="20"/>
                <w:szCs w:val="20"/>
              </w:rPr>
              <w:t>LIS</w:t>
            </w:r>
          </w:p>
        </w:tc>
        <w:tc>
          <w:tcPr>
            <w:tcW w:w="1260" w:type="dxa"/>
          </w:tcPr>
          <w:p w14:paraId="127CEB15" w14:textId="77777777" w:rsidR="002B0C68" w:rsidRPr="00FB4CF3" w:rsidRDefault="002B0C68" w:rsidP="00FB4CF3">
            <w:pPr>
              <w:spacing w:after="80"/>
              <w:jc w:val="center"/>
              <w:rPr>
                <w:sz w:val="20"/>
                <w:szCs w:val="20"/>
              </w:rPr>
            </w:pPr>
            <w:r w:rsidRPr="00FB4CF3">
              <w:rPr>
                <w:rFonts w:eastAsia="Arial"/>
                <w:sz w:val="20"/>
                <w:szCs w:val="20"/>
              </w:rPr>
              <w:t>Lisbon</w:t>
            </w:r>
          </w:p>
        </w:tc>
        <w:tc>
          <w:tcPr>
            <w:tcW w:w="1350" w:type="dxa"/>
          </w:tcPr>
          <w:p w14:paraId="5D534763" w14:textId="77777777" w:rsidR="002B0C68" w:rsidRPr="00FB4CF3" w:rsidRDefault="002B0C68" w:rsidP="00FB4CF3">
            <w:pPr>
              <w:spacing w:after="80"/>
              <w:jc w:val="center"/>
              <w:rPr>
                <w:sz w:val="20"/>
                <w:szCs w:val="20"/>
              </w:rPr>
            </w:pPr>
            <w:r w:rsidRPr="00FB4CF3">
              <w:rPr>
                <w:rFonts w:eastAsia="Arial"/>
                <w:sz w:val="20"/>
                <w:szCs w:val="20"/>
              </w:rPr>
              <w:t>Portugal</w:t>
            </w:r>
          </w:p>
        </w:tc>
        <w:tc>
          <w:tcPr>
            <w:tcW w:w="1440" w:type="dxa"/>
          </w:tcPr>
          <w:p w14:paraId="5EE69B19" w14:textId="77777777" w:rsidR="002B0C68" w:rsidRPr="00FB4CF3" w:rsidRDefault="002B0C68" w:rsidP="00FB4CF3">
            <w:pPr>
              <w:spacing w:after="80"/>
              <w:jc w:val="center"/>
              <w:rPr>
                <w:sz w:val="20"/>
                <w:szCs w:val="20"/>
              </w:rPr>
            </w:pPr>
            <w:r w:rsidRPr="00FB4CF3">
              <w:rPr>
                <w:rFonts w:eastAsia="Arial"/>
                <w:sz w:val="20"/>
                <w:szCs w:val="20"/>
              </w:rPr>
              <w:t>38.72</w:t>
            </w:r>
          </w:p>
        </w:tc>
        <w:tc>
          <w:tcPr>
            <w:tcW w:w="1620" w:type="dxa"/>
          </w:tcPr>
          <w:p w14:paraId="4FD8EAC5" w14:textId="77777777" w:rsidR="002B0C68" w:rsidRPr="00FB4CF3" w:rsidRDefault="002B0C68" w:rsidP="00FB4CF3">
            <w:pPr>
              <w:spacing w:after="80"/>
              <w:jc w:val="center"/>
              <w:rPr>
                <w:sz w:val="20"/>
                <w:szCs w:val="20"/>
              </w:rPr>
            </w:pPr>
            <w:r w:rsidRPr="00FB4CF3">
              <w:rPr>
                <w:rFonts w:eastAsia="Arial"/>
                <w:sz w:val="20"/>
                <w:szCs w:val="20"/>
              </w:rPr>
              <w:t>-9.14</w:t>
            </w:r>
          </w:p>
        </w:tc>
        <w:tc>
          <w:tcPr>
            <w:tcW w:w="2409" w:type="dxa"/>
          </w:tcPr>
          <w:p w14:paraId="4FB3557E" w14:textId="77777777" w:rsidR="002B0C68" w:rsidRPr="00FB4CF3" w:rsidRDefault="002B0C68" w:rsidP="00FB4CF3">
            <w:pPr>
              <w:spacing w:after="80"/>
              <w:jc w:val="center"/>
              <w:rPr>
                <w:sz w:val="20"/>
                <w:szCs w:val="20"/>
              </w:rPr>
            </w:pPr>
            <w:r w:rsidRPr="00FB4CF3">
              <w:rPr>
                <w:rFonts w:eastAsia="Arial"/>
                <w:sz w:val="20"/>
                <w:szCs w:val="20"/>
              </w:rPr>
              <w:t>Atlantic Europe</w:t>
            </w:r>
          </w:p>
        </w:tc>
      </w:tr>
      <w:tr w:rsidR="002B0C68" w:rsidRPr="00FB4CF3" w14:paraId="3B800CFA" w14:textId="77777777" w:rsidTr="00DC3D2E">
        <w:tc>
          <w:tcPr>
            <w:tcW w:w="985" w:type="dxa"/>
          </w:tcPr>
          <w:p w14:paraId="0F720AEB" w14:textId="77777777" w:rsidR="002B0C68" w:rsidRPr="00FB4CF3" w:rsidRDefault="002B0C68" w:rsidP="00FB4CF3">
            <w:pPr>
              <w:spacing w:after="80"/>
              <w:jc w:val="center"/>
              <w:rPr>
                <w:sz w:val="20"/>
                <w:szCs w:val="20"/>
              </w:rPr>
            </w:pPr>
            <w:r w:rsidRPr="00FB4CF3">
              <w:rPr>
                <w:rFonts w:eastAsia="Arial"/>
                <w:sz w:val="20"/>
                <w:szCs w:val="20"/>
              </w:rPr>
              <w:t>MAD</w:t>
            </w:r>
          </w:p>
        </w:tc>
        <w:tc>
          <w:tcPr>
            <w:tcW w:w="1260" w:type="dxa"/>
          </w:tcPr>
          <w:p w14:paraId="25199265" w14:textId="77777777" w:rsidR="002B0C68" w:rsidRPr="00FB4CF3" w:rsidRDefault="002B0C68" w:rsidP="00FB4CF3">
            <w:pPr>
              <w:spacing w:after="80"/>
              <w:jc w:val="center"/>
              <w:rPr>
                <w:sz w:val="20"/>
                <w:szCs w:val="20"/>
              </w:rPr>
            </w:pPr>
            <w:r w:rsidRPr="00FB4CF3">
              <w:rPr>
                <w:rFonts w:eastAsia="Arial"/>
                <w:sz w:val="20"/>
                <w:szCs w:val="20"/>
              </w:rPr>
              <w:t>Madrid</w:t>
            </w:r>
          </w:p>
        </w:tc>
        <w:tc>
          <w:tcPr>
            <w:tcW w:w="1350" w:type="dxa"/>
          </w:tcPr>
          <w:p w14:paraId="6111E8EF" w14:textId="77777777" w:rsidR="002B0C68" w:rsidRPr="00FB4CF3" w:rsidRDefault="002B0C68" w:rsidP="00FB4CF3">
            <w:pPr>
              <w:spacing w:after="80"/>
              <w:jc w:val="center"/>
              <w:rPr>
                <w:sz w:val="20"/>
                <w:szCs w:val="20"/>
              </w:rPr>
            </w:pPr>
            <w:r w:rsidRPr="00FB4CF3">
              <w:rPr>
                <w:rFonts w:eastAsia="Arial"/>
                <w:sz w:val="20"/>
                <w:szCs w:val="20"/>
              </w:rPr>
              <w:t>Spain</w:t>
            </w:r>
          </w:p>
        </w:tc>
        <w:tc>
          <w:tcPr>
            <w:tcW w:w="1440" w:type="dxa"/>
          </w:tcPr>
          <w:p w14:paraId="0721F42A" w14:textId="77777777" w:rsidR="002B0C68" w:rsidRPr="00FB4CF3" w:rsidRDefault="002B0C68" w:rsidP="00FB4CF3">
            <w:pPr>
              <w:spacing w:after="80"/>
              <w:jc w:val="center"/>
              <w:rPr>
                <w:sz w:val="20"/>
                <w:szCs w:val="20"/>
              </w:rPr>
            </w:pPr>
            <w:r w:rsidRPr="00FB4CF3">
              <w:rPr>
                <w:rFonts w:eastAsia="Arial"/>
                <w:sz w:val="20"/>
                <w:szCs w:val="20"/>
              </w:rPr>
              <w:t>40.42</w:t>
            </w:r>
          </w:p>
        </w:tc>
        <w:tc>
          <w:tcPr>
            <w:tcW w:w="1620" w:type="dxa"/>
          </w:tcPr>
          <w:p w14:paraId="3CA0B2D8" w14:textId="77777777" w:rsidR="002B0C68" w:rsidRPr="00FB4CF3" w:rsidRDefault="002B0C68" w:rsidP="00FB4CF3">
            <w:pPr>
              <w:spacing w:after="80"/>
              <w:jc w:val="center"/>
              <w:rPr>
                <w:sz w:val="20"/>
                <w:szCs w:val="20"/>
              </w:rPr>
            </w:pPr>
            <w:r w:rsidRPr="00FB4CF3">
              <w:rPr>
                <w:rFonts w:eastAsia="Arial"/>
                <w:sz w:val="20"/>
                <w:szCs w:val="20"/>
              </w:rPr>
              <w:t>-3.70</w:t>
            </w:r>
          </w:p>
        </w:tc>
        <w:tc>
          <w:tcPr>
            <w:tcW w:w="2409" w:type="dxa"/>
          </w:tcPr>
          <w:p w14:paraId="7BF9DC29" w14:textId="77777777" w:rsidR="002B0C68" w:rsidRPr="00FB4CF3" w:rsidRDefault="002B0C68" w:rsidP="00FB4CF3">
            <w:pPr>
              <w:spacing w:after="80"/>
              <w:jc w:val="center"/>
              <w:rPr>
                <w:sz w:val="20"/>
                <w:szCs w:val="20"/>
              </w:rPr>
            </w:pPr>
            <w:r w:rsidRPr="00FB4CF3">
              <w:rPr>
                <w:rFonts w:eastAsia="Arial"/>
                <w:sz w:val="20"/>
                <w:szCs w:val="20"/>
              </w:rPr>
              <w:t>Mediterranean Europe</w:t>
            </w:r>
          </w:p>
        </w:tc>
      </w:tr>
      <w:tr w:rsidR="002B0C68" w:rsidRPr="00FB4CF3" w14:paraId="2DDA24B0" w14:textId="77777777" w:rsidTr="00DC3D2E">
        <w:tc>
          <w:tcPr>
            <w:tcW w:w="985" w:type="dxa"/>
          </w:tcPr>
          <w:p w14:paraId="3A7EA4DE" w14:textId="77777777" w:rsidR="002B0C68" w:rsidRPr="00FB4CF3" w:rsidRDefault="002B0C68" w:rsidP="00FB4CF3">
            <w:pPr>
              <w:spacing w:after="80"/>
              <w:jc w:val="center"/>
              <w:rPr>
                <w:sz w:val="20"/>
                <w:szCs w:val="20"/>
              </w:rPr>
            </w:pPr>
            <w:r w:rsidRPr="00FB4CF3">
              <w:rPr>
                <w:rFonts w:eastAsia="Arial"/>
                <w:sz w:val="20"/>
                <w:szCs w:val="20"/>
              </w:rPr>
              <w:t>ROM</w:t>
            </w:r>
          </w:p>
        </w:tc>
        <w:tc>
          <w:tcPr>
            <w:tcW w:w="1260" w:type="dxa"/>
          </w:tcPr>
          <w:p w14:paraId="2787AE85" w14:textId="77777777" w:rsidR="002B0C68" w:rsidRPr="00FB4CF3" w:rsidRDefault="002B0C68" w:rsidP="00FB4CF3">
            <w:pPr>
              <w:spacing w:after="80"/>
              <w:jc w:val="center"/>
              <w:rPr>
                <w:sz w:val="20"/>
                <w:szCs w:val="20"/>
              </w:rPr>
            </w:pPr>
            <w:r w:rsidRPr="00FB4CF3">
              <w:rPr>
                <w:rFonts w:eastAsia="Arial"/>
                <w:sz w:val="20"/>
                <w:szCs w:val="20"/>
              </w:rPr>
              <w:t>Rome</w:t>
            </w:r>
          </w:p>
        </w:tc>
        <w:tc>
          <w:tcPr>
            <w:tcW w:w="1350" w:type="dxa"/>
          </w:tcPr>
          <w:p w14:paraId="1B3EDDF0" w14:textId="77777777" w:rsidR="002B0C68" w:rsidRPr="00FB4CF3" w:rsidRDefault="002B0C68" w:rsidP="00FB4CF3">
            <w:pPr>
              <w:spacing w:after="80"/>
              <w:jc w:val="center"/>
              <w:rPr>
                <w:sz w:val="20"/>
                <w:szCs w:val="20"/>
              </w:rPr>
            </w:pPr>
            <w:r w:rsidRPr="00FB4CF3">
              <w:rPr>
                <w:rFonts w:eastAsia="Arial"/>
                <w:sz w:val="20"/>
                <w:szCs w:val="20"/>
              </w:rPr>
              <w:t>Italy</w:t>
            </w:r>
          </w:p>
        </w:tc>
        <w:tc>
          <w:tcPr>
            <w:tcW w:w="1440" w:type="dxa"/>
          </w:tcPr>
          <w:p w14:paraId="55D50DD0" w14:textId="77777777" w:rsidR="002B0C68" w:rsidRPr="00FB4CF3" w:rsidRDefault="002B0C68" w:rsidP="00FB4CF3">
            <w:pPr>
              <w:spacing w:after="80"/>
              <w:jc w:val="center"/>
              <w:rPr>
                <w:sz w:val="20"/>
                <w:szCs w:val="20"/>
              </w:rPr>
            </w:pPr>
            <w:r w:rsidRPr="00FB4CF3">
              <w:rPr>
                <w:rFonts w:eastAsia="Arial"/>
                <w:sz w:val="20"/>
                <w:szCs w:val="20"/>
              </w:rPr>
              <w:t>41.90</w:t>
            </w:r>
          </w:p>
        </w:tc>
        <w:tc>
          <w:tcPr>
            <w:tcW w:w="1620" w:type="dxa"/>
          </w:tcPr>
          <w:p w14:paraId="697FC54B" w14:textId="77777777" w:rsidR="002B0C68" w:rsidRPr="00FB4CF3" w:rsidRDefault="002B0C68" w:rsidP="00FB4CF3">
            <w:pPr>
              <w:spacing w:after="80"/>
              <w:jc w:val="center"/>
              <w:rPr>
                <w:sz w:val="20"/>
                <w:szCs w:val="20"/>
              </w:rPr>
            </w:pPr>
            <w:r w:rsidRPr="00FB4CF3">
              <w:rPr>
                <w:rFonts w:eastAsia="Arial"/>
                <w:sz w:val="20"/>
                <w:szCs w:val="20"/>
              </w:rPr>
              <w:t>12.50</w:t>
            </w:r>
          </w:p>
        </w:tc>
        <w:tc>
          <w:tcPr>
            <w:tcW w:w="2409" w:type="dxa"/>
          </w:tcPr>
          <w:p w14:paraId="65C0BB31" w14:textId="77777777" w:rsidR="002B0C68" w:rsidRPr="00FB4CF3" w:rsidRDefault="002B0C68" w:rsidP="00FB4CF3">
            <w:pPr>
              <w:spacing w:after="80"/>
              <w:jc w:val="center"/>
              <w:rPr>
                <w:sz w:val="20"/>
                <w:szCs w:val="20"/>
              </w:rPr>
            </w:pPr>
            <w:r w:rsidRPr="00FB4CF3">
              <w:rPr>
                <w:rFonts w:eastAsia="Arial"/>
                <w:sz w:val="20"/>
                <w:szCs w:val="20"/>
              </w:rPr>
              <w:t>Mediterranean Europe</w:t>
            </w:r>
          </w:p>
        </w:tc>
      </w:tr>
      <w:tr w:rsidR="002B0C68" w:rsidRPr="00FB4CF3" w14:paraId="467F3A78" w14:textId="77777777" w:rsidTr="00DC3D2E">
        <w:trPr>
          <w:trHeight w:val="193"/>
        </w:trPr>
        <w:tc>
          <w:tcPr>
            <w:tcW w:w="985" w:type="dxa"/>
          </w:tcPr>
          <w:p w14:paraId="24BE3E45" w14:textId="77777777" w:rsidR="002B0C68" w:rsidRPr="00FB4CF3" w:rsidRDefault="002B0C68" w:rsidP="00FB4CF3">
            <w:pPr>
              <w:spacing w:after="80"/>
              <w:jc w:val="center"/>
              <w:rPr>
                <w:sz w:val="20"/>
                <w:szCs w:val="20"/>
              </w:rPr>
            </w:pPr>
            <w:r w:rsidRPr="00FB4CF3">
              <w:rPr>
                <w:rFonts w:eastAsia="Arial"/>
                <w:sz w:val="20"/>
                <w:szCs w:val="20"/>
              </w:rPr>
              <w:t>ATH</w:t>
            </w:r>
          </w:p>
        </w:tc>
        <w:tc>
          <w:tcPr>
            <w:tcW w:w="1260" w:type="dxa"/>
          </w:tcPr>
          <w:p w14:paraId="316797BD" w14:textId="77777777" w:rsidR="002B0C68" w:rsidRPr="00FB4CF3" w:rsidRDefault="002B0C68" w:rsidP="00FB4CF3">
            <w:pPr>
              <w:spacing w:after="80"/>
              <w:jc w:val="center"/>
              <w:rPr>
                <w:sz w:val="20"/>
                <w:szCs w:val="20"/>
              </w:rPr>
            </w:pPr>
            <w:r w:rsidRPr="00FB4CF3">
              <w:rPr>
                <w:rFonts w:eastAsia="Arial"/>
                <w:sz w:val="20"/>
                <w:szCs w:val="20"/>
              </w:rPr>
              <w:t>Athens</w:t>
            </w:r>
          </w:p>
        </w:tc>
        <w:tc>
          <w:tcPr>
            <w:tcW w:w="1350" w:type="dxa"/>
          </w:tcPr>
          <w:p w14:paraId="6E34E9C0" w14:textId="77777777" w:rsidR="002B0C68" w:rsidRPr="00FB4CF3" w:rsidRDefault="002B0C68" w:rsidP="00FB4CF3">
            <w:pPr>
              <w:spacing w:after="80"/>
              <w:jc w:val="center"/>
              <w:rPr>
                <w:sz w:val="20"/>
                <w:szCs w:val="20"/>
              </w:rPr>
            </w:pPr>
            <w:r w:rsidRPr="00FB4CF3">
              <w:rPr>
                <w:rFonts w:eastAsia="Arial"/>
                <w:sz w:val="20"/>
                <w:szCs w:val="20"/>
              </w:rPr>
              <w:t>Greece</w:t>
            </w:r>
          </w:p>
        </w:tc>
        <w:tc>
          <w:tcPr>
            <w:tcW w:w="1440" w:type="dxa"/>
          </w:tcPr>
          <w:p w14:paraId="7EF85E83" w14:textId="77777777" w:rsidR="002B0C68" w:rsidRPr="00FB4CF3" w:rsidRDefault="002B0C68" w:rsidP="00FB4CF3">
            <w:pPr>
              <w:spacing w:after="80"/>
              <w:jc w:val="center"/>
              <w:rPr>
                <w:sz w:val="20"/>
                <w:szCs w:val="20"/>
              </w:rPr>
            </w:pPr>
            <w:r w:rsidRPr="00FB4CF3">
              <w:rPr>
                <w:rFonts w:eastAsia="Arial"/>
                <w:sz w:val="20"/>
                <w:szCs w:val="20"/>
              </w:rPr>
              <w:t>37.98</w:t>
            </w:r>
          </w:p>
        </w:tc>
        <w:tc>
          <w:tcPr>
            <w:tcW w:w="1620" w:type="dxa"/>
          </w:tcPr>
          <w:p w14:paraId="194EB9DC" w14:textId="77777777" w:rsidR="002B0C68" w:rsidRPr="00FB4CF3" w:rsidRDefault="002B0C68" w:rsidP="00FB4CF3">
            <w:pPr>
              <w:spacing w:after="80"/>
              <w:jc w:val="center"/>
              <w:rPr>
                <w:sz w:val="20"/>
                <w:szCs w:val="20"/>
              </w:rPr>
            </w:pPr>
            <w:r w:rsidRPr="00FB4CF3">
              <w:rPr>
                <w:rFonts w:eastAsia="Arial"/>
                <w:sz w:val="20"/>
                <w:szCs w:val="20"/>
              </w:rPr>
              <w:t>23.73</w:t>
            </w:r>
          </w:p>
        </w:tc>
        <w:tc>
          <w:tcPr>
            <w:tcW w:w="2409" w:type="dxa"/>
          </w:tcPr>
          <w:p w14:paraId="7C3CE08B" w14:textId="77777777" w:rsidR="002B0C68" w:rsidRPr="00FB4CF3" w:rsidRDefault="002B0C68" w:rsidP="00FB4CF3">
            <w:pPr>
              <w:spacing w:after="80"/>
              <w:jc w:val="center"/>
              <w:rPr>
                <w:sz w:val="20"/>
                <w:szCs w:val="20"/>
              </w:rPr>
            </w:pPr>
            <w:r w:rsidRPr="00FB4CF3">
              <w:rPr>
                <w:rFonts w:eastAsia="Arial"/>
                <w:sz w:val="20"/>
                <w:szCs w:val="20"/>
              </w:rPr>
              <w:t>Mediterranean Europe</w:t>
            </w:r>
          </w:p>
        </w:tc>
      </w:tr>
    </w:tbl>
    <w:p w14:paraId="662A3D36" w14:textId="2E3EB54D" w:rsidR="004C1962" w:rsidRDefault="000241D6" w:rsidP="00215199">
      <w:pPr>
        <w:pStyle w:val="SWCHeading11"/>
        <w:spacing w:after="120" w:line="276" w:lineRule="auto"/>
        <w:rPr>
          <w:i w:val="0"/>
        </w:rPr>
      </w:pPr>
      <w:r w:rsidRPr="00C32131">
        <w:rPr>
          <w:lang w:eastAsia="zh-CN"/>
        </w:rPr>
        <w:t>2.2</w:t>
      </w:r>
      <w:r w:rsidR="00015209" w:rsidRPr="00015209">
        <w:rPr>
          <w:rFonts w:hint="eastAsia"/>
          <w:lang w:eastAsia="zh-CN"/>
        </w:rPr>
        <w:t xml:space="preserve"> </w:t>
      </w:r>
      <w:r w:rsidRPr="00C32131">
        <w:rPr>
          <w:lang w:eastAsia="zh-CN"/>
        </w:rPr>
        <w:t>Techno-economic assessment</w:t>
      </w:r>
    </w:p>
    <w:p w14:paraId="60E9038C" w14:textId="19173065" w:rsidR="00A04344" w:rsidRPr="00C32131" w:rsidRDefault="00A04344" w:rsidP="00215199">
      <w:pPr>
        <w:spacing w:after="120" w:line="276" w:lineRule="auto"/>
        <w:jc w:val="both"/>
        <w:rPr>
          <w:rFonts w:eastAsia="黑体"/>
          <w:sz w:val="20"/>
          <w:szCs w:val="20"/>
          <w:lang w:val="en-GB"/>
        </w:rPr>
      </w:pPr>
      <w:r w:rsidRPr="00C32131">
        <w:rPr>
          <w:rFonts w:eastAsia="黑体"/>
          <w:sz w:val="20"/>
          <w:szCs w:val="20"/>
          <w:lang w:val="en-GB"/>
        </w:rPr>
        <w:t xml:space="preserve">A nominal discounting approach is adopted to ensure consistency between cost escalation and discounting. The </w:t>
      </w:r>
      <w:r w:rsidRPr="002B0C68">
        <w:rPr>
          <w:rFonts w:eastAsia="黑体"/>
          <w:i/>
          <w:iCs/>
          <w:sz w:val="20"/>
          <w:szCs w:val="20"/>
          <w:lang w:val="en-GB"/>
        </w:rPr>
        <w:t>LCOH</w:t>
      </w:r>
      <w:r w:rsidRPr="00C32131">
        <w:rPr>
          <w:rFonts w:eastAsia="黑体"/>
          <w:sz w:val="20"/>
          <w:szCs w:val="20"/>
          <w:lang w:val="en-GB"/>
        </w:rPr>
        <w:t xml:space="preserve"> (in €/kg) is then defined as</w:t>
      </w:r>
      <w:r w:rsidR="00DE3295">
        <w:rPr>
          <w:rFonts w:eastAsia="黑体" w:hint="eastAsia"/>
          <w:sz w:val="20"/>
          <w:szCs w:val="20"/>
          <w:lang w:val="en-GB"/>
        </w:rPr>
        <w:t xml:space="preserve"> </w:t>
      </w:r>
      <w:r w:rsidR="00DE3295" w:rsidRPr="00DE3295">
        <w:rPr>
          <w:rFonts w:eastAsia="黑体"/>
          <w:sz w:val="20"/>
          <w:szCs w:val="20"/>
          <w:lang w:val="en-GB"/>
        </w:rPr>
        <w:t>(Grimm et al., 2020)</w:t>
      </w:r>
      <w:r w:rsidRPr="00C32131">
        <w:rPr>
          <w:rFonts w:eastAsia="黑体"/>
          <w:sz w:val="20"/>
          <w:szCs w:val="20"/>
          <w:lang w:val="en-GB"/>
        </w:rPr>
        <w:t>:</w:t>
      </w:r>
    </w:p>
    <w:tbl>
      <w:tblPr>
        <w:tblStyle w:val="TableGrid4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9"/>
        <w:gridCol w:w="6226"/>
        <w:gridCol w:w="1609"/>
      </w:tblGrid>
      <w:tr w:rsidR="00A04344" w:rsidRPr="00A04344" w14:paraId="6423C80C" w14:textId="77777777" w:rsidTr="008B3AB2">
        <w:tc>
          <w:tcPr>
            <w:tcW w:w="1413" w:type="dxa"/>
          </w:tcPr>
          <w:p w14:paraId="6639F54A" w14:textId="77777777" w:rsidR="00A04344" w:rsidRPr="00C32131" w:rsidRDefault="00A04344" w:rsidP="00215199">
            <w:pPr>
              <w:tabs>
                <w:tab w:val="center" w:pos="4820"/>
                <w:tab w:val="right" w:pos="9638"/>
              </w:tabs>
              <w:spacing w:after="120" w:line="276" w:lineRule="auto"/>
              <w:ind w:firstLine="425"/>
              <w:jc w:val="both"/>
              <w:rPr>
                <w:rFonts w:ascii="Times New Roman" w:eastAsia="宋体" w:hAnsi="Times New Roman"/>
                <w:sz w:val="20"/>
                <w:szCs w:val="20"/>
                <w:lang w:val="en-GB"/>
              </w:rPr>
            </w:pPr>
          </w:p>
        </w:tc>
        <w:tc>
          <w:tcPr>
            <w:tcW w:w="6520" w:type="dxa"/>
          </w:tcPr>
          <w:p w14:paraId="5883F325" w14:textId="1B12E57C" w:rsidR="00A04344" w:rsidRPr="00C32131" w:rsidRDefault="002B0C68" w:rsidP="00215199">
            <w:pPr>
              <w:suppressAutoHyphens/>
              <w:spacing w:after="120" w:line="276" w:lineRule="auto"/>
              <w:ind w:firstLine="425"/>
              <w:jc w:val="both"/>
              <w:rPr>
                <w:rFonts w:ascii="Times New Roman" w:eastAsiaTheme="minorEastAsia" w:hAnsi="Times New Roman"/>
                <w:i/>
                <w:sz w:val="20"/>
                <w:szCs w:val="20"/>
                <w:lang w:val="en-GB"/>
              </w:rPr>
            </w:pPr>
            <m:oMathPara>
              <m:oMath>
                <m:r>
                  <w:rPr>
                    <w:rFonts w:ascii="Cambria Math" w:hAnsi="Cambria Math"/>
                    <w:sz w:val="20"/>
                    <w:szCs w:val="20"/>
                    <w:lang w:val="en-GB"/>
                  </w:rPr>
                  <m:t>LCOH=</m:t>
                </m:r>
                <m:f>
                  <m:fPr>
                    <m:ctrlPr>
                      <w:rPr>
                        <w:rFonts w:ascii="Cambria Math" w:eastAsiaTheme="minorEastAsia" w:hAnsi="Cambria Math"/>
                        <w:sz w:val="20"/>
                        <w:szCs w:val="20"/>
                        <w:lang w:val="en-GB"/>
                      </w:rPr>
                    </m:ctrlPr>
                  </m:fPr>
                  <m:num>
                    <m:sSub>
                      <m:sSubPr>
                        <m:ctrlPr>
                          <w:rPr>
                            <w:rFonts w:ascii="Cambria Math" w:hAnsi="Cambria Math"/>
                            <w:i/>
                            <w:sz w:val="20"/>
                            <w:szCs w:val="20"/>
                            <w:lang w:val="en-GB"/>
                          </w:rPr>
                        </m:ctrlPr>
                      </m:sSubPr>
                      <m:e>
                        <m:r>
                          <w:rPr>
                            <w:rFonts w:ascii="Cambria Math" w:eastAsiaTheme="minorEastAsia" w:hAnsi="Cambria Math"/>
                            <w:sz w:val="20"/>
                            <w:szCs w:val="20"/>
                            <w:lang w:val="en-GB"/>
                          </w:rPr>
                          <m:t>I</m:t>
                        </m:r>
                      </m:e>
                      <m:sub>
                        <m:r>
                          <w:rPr>
                            <w:rFonts w:ascii="Cambria Math" w:hAnsi="Cambria Math"/>
                            <w:sz w:val="20"/>
                            <w:szCs w:val="20"/>
                            <w:lang w:val="en-GB"/>
                          </w:rPr>
                          <m:t>0</m:t>
                        </m:r>
                      </m:sub>
                    </m:sSub>
                    <m:r>
                      <w:rPr>
                        <w:rFonts w:ascii="Cambria Math" w:eastAsiaTheme="minorEastAsia" w:hAnsi="Cambria Math"/>
                        <w:sz w:val="20"/>
                        <w:szCs w:val="20"/>
                        <w:lang w:val="en-GB"/>
                      </w:rPr>
                      <m:t>+</m:t>
                    </m:r>
                    <m:nary>
                      <m:naryPr>
                        <m:chr m:val="∑"/>
                        <m:limLoc m:val="undOvr"/>
                        <m:grow m:val="1"/>
                        <m:ctrlPr>
                          <w:rPr>
                            <w:rFonts w:ascii="Cambria Math" w:eastAsiaTheme="minorEastAsia" w:hAnsi="Cambria Math"/>
                            <w:sz w:val="20"/>
                            <w:szCs w:val="20"/>
                            <w:lang w:val="en-GB"/>
                          </w:rPr>
                        </m:ctrlPr>
                      </m:naryPr>
                      <m:sub>
                        <m:r>
                          <w:rPr>
                            <w:rFonts w:ascii="Cambria Math" w:eastAsiaTheme="minorEastAsia" w:hAnsi="Cambria Math"/>
                            <w:sz w:val="20"/>
                            <w:szCs w:val="20"/>
                            <w:lang w:val="en-GB"/>
                          </w:rPr>
                          <m:t>t=1</m:t>
                        </m:r>
                      </m:sub>
                      <m:sup>
                        <m:r>
                          <w:rPr>
                            <w:rFonts w:ascii="Cambria Math" w:eastAsiaTheme="minorEastAsia" w:hAnsi="Cambria Math"/>
                            <w:sz w:val="20"/>
                            <w:szCs w:val="20"/>
                            <w:lang w:val="en-GB"/>
                          </w:rPr>
                          <m:t>N</m:t>
                        </m:r>
                      </m:sup>
                      <m:e>
                        <m:r>
                          <w:rPr>
                            <w:rFonts w:ascii="Cambria Math" w:eastAsiaTheme="minorEastAsia" w:hAnsi="Cambria Math"/>
                            <w:sz w:val="20"/>
                            <w:szCs w:val="20"/>
                            <w:lang w:val="en-GB"/>
                          </w:rPr>
                          <m:t> </m:t>
                        </m:r>
                      </m:e>
                    </m:nary>
                    <m:f>
                      <m:fPr>
                        <m:ctrlPr>
                          <w:rPr>
                            <w:rFonts w:ascii="Cambria Math" w:eastAsiaTheme="minorEastAsia" w:hAnsi="Cambria Math"/>
                            <w:sz w:val="20"/>
                            <w:szCs w:val="20"/>
                            <w:lang w:val="en-GB"/>
                          </w:rPr>
                        </m:ctrlPr>
                      </m:fPr>
                      <m:num>
                        <m:r>
                          <w:rPr>
                            <w:rFonts w:ascii="Cambria Math" w:eastAsiaTheme="minorEastAsia" w:hAnsi="Cambria Math"/>
                            <w:sz w:val="20"/>
                            <w:szCs w:val="20"/>
                            <w:lang w:val="en-GB"/>
                          </w:rPr>
                          <m:t>OPE</m:t>
                        </m:r>
                        <m:sSub>
                          <m:sSubPr>
                            <m:ctrlPr>
                              <w:rPr>
                                <w:rFonts w:ascii="Cambria Math" w:eastAsiaTheme="minorEastAsia" w:hAnsi="Cambria Math"/>
                                <w:sz w:val="20"/>
                                <w:szCs w:val="20"/>
                                <w:lang w:val="en-GB"/>
                              </w:rPr>
                            </m:ctrlPr>
                          </m:sSubPr>
                          <m:e>
                            <m:r>
                              <w:rPr>
                                <w:rFonts w:ascii="Cambria Math" w:eastAsiaTheme="minorEastAsia" w:hAnsi="Cambria Math"/>
                                <w:sz w:val="20"/>
                                <w:szCs w:val="20"/>
                                <w:lang w:val="en-GB"/>
                              </w:rPr>
                              <m:t>X</m:t>
                            </m:r>
                          </m:e>
                          <m:sub>
                            <m:r>
                              <w:rPr>
                                <w:rFonts w:ascii="Cambria Math" w:eastAsiaTheme="minorEastAsia" w:hAnsi="Cambria Math"/>
                                <w:sz w:val="20"/>
                                <w:szCs w:val="20"/>
                                <w:lang w:val="en-GB"/>
                              </w:rPr>
                              <m:t>0</m:t>
                            </m:r>
                          </m:sub>
                        </m:sSub>
                        <m:r>
                          <w:rPr>
                            <w:rFonts w:ascii="Cambria Math" w:eastAsiaTheme="minorEastAsia" w:hAnsi="Cambria Math"/>
                            <w:sz w:val="20"/>
                            <w:szCs w:val="20"/>
                            <w:lang w:val="en-GB"/>
                          </w:rPr>
                          <m:t>(1+i</m:t>
                        </m:r>
                        <m:sSup>
                          <m:sSupPr>
                            <m:ctrlPr>
                              <w:rPr>
                                <w:rFonts w:ascii="Cambria Math" w:eastAsiaTheme="minorEastAsia" w:hAnsi="Cambria Math"/>
                                <w:sz w:val="20"/>
                                <w:szCs w:val="20"/>
                                <w:lang w:val="en-GB"/>
                              </w:rPr>
                            </m:ctrlPr>
                          </m:sSupPr>
                          <m:e>
                            <m:r>
                              <w:rPr>
                                <w:rFonts w:ascii="Cambria Math" w:eastAsiaTheme="minorEastAsia" w:hAnsi="Cambria Math"/>
                                <w:sz w:val="20"/>
                                <w:szCs w:val="20"/>
                                <w:lang w:val="en-GB"/>
                              </w:rPr>
                              <m:t>)</m:t>
                            </m:r>
                          </m:e>
                          <m:sup>
                            <m:r>
                              <w:rPr>
                                <w:rFonts w:ascii="Cambria Math" w:eastAsiaTheme="minorEastAsia" w:hAnsi="Cambria Math"/>
                                <w:sz w:val="20"/>
                                <w:szCs w:val="20"/>
                                <w:lang w:val="en-GB"/>
                              </w:rPr>
                              <m:t>t-1</m:t>
                            </m:r>
                          </m:sup>
                        </m:sSup>
                      </m:num>
                      <m:den>
                        <m:d>
                          <m:dPr>
                            <m:sepChr m:val="+"/>
                            <m:endChr m:val=""/>
                            <m:ctrlPr>
                              <w:rPr>
                                <w:rFonts w:ascii="Cambria Math" w:eastAsiaTheme="minorEastAsia" w:hAnsi="Cambria Math"/>
                                <w:sz w:val="20"/>
                                <w:szCs w:val="20"/>
                                <w:lang w:val="en-GB"/>
                              </w:rPr>
                            </m:ctrlPr>
                          </m:dPr>
                          <m:e>
                            <m:r>
                              <w:rPr>
                                <w:rFonts w:ascii="Cambria Math" w:eastAsiaTheme="minorEastAsia" w:hAnsi="Cambria Math"/>
                                <w:sz w:val="20"/>
                                <w:szCs w:val="20"/>
                                <w:lang w:val="en-GB"/>
                              </w:rPr>
                              <m:t>1</m:t>
                            </m:r>
                          </m:e>
                          <m:e>
                            <m:sSub>
                              <m:sSubPr>
                                <m:ctrlPr>
                                  <w:rPr>
                                    <w:rFonts w:ascii="Cambria Math" w:eastAsiaTheme="minorEastAsia" w:hAnsi="Cambria Math"/>
                                    <w:sz w:val="20"/>
                                    <w:szCs w:val="20"/>
                                    <w:lang w:val="en-GB"/>
                                  </w:rPr>
                                </m:ctrlPr>
                              </m:sSubPr>
                              <m:e>
                                <m:r>
                                  <w:rPr>
                                    <w:rFonts w:ascii="Cambria Math" w:eastAsiaTheme="minorEastAsia" w:hAnsi="Cambria Math"/>
                                    <w:sz w:val="20"/>
                                    <w:szCs w:val="20"/>
                                    <w:lang w:val="en-GB"/>
                                  </w:rPr>
                                  <m:t>r</m:t>
                                </m:r>
                              </m:e>
                              <m:sub>
                                <m:r>
                                  <m:rPr>
                                    <m:sty m:val="p"/>
                                  </m:rPr>
                                  <w:rPr>
                                    <w:rFonts w:ascii="Cambria Math" w:eastAsiaTheme="minorEastAsia" w:hAnsi="Cambria Math"/>
                                    <w:sz w:val="20"/>
                                    <w:szCs w:val="20"/>
                                    <w:lang w:val="en-GB"/>
                                  </w:rPr>
                                  <m:t>nom</m:t>
                                </m:r>
                              </m:sub>
                            </m:sSub>
                            <m:sSup>
                              <m:sSupPr>
                                <m:ctrlPr>
                                  <w:rPr>
                                    <w:rFonts w:ascii="Cambria Math" w:eastAsiaTheme="minorEastAsia" w:hAnsi="Cambria Math"/>
                                    <w:sz w:val="20"/>
                                    <w:szCs w:val="20"/>
                                    <w:lang w:val="en-GB"/>
                                  </w:rPr>
                                </m:ctrlPr>
                              </m:sSupPr>
                              <m:e>
                                <m:r>
                                  <w:rPr>
                                    <w:rFonts w:ascii="Cambria Math" w:eastAsiaTheme="minorEastAsia" w:hAnsi="Cambria Math"/>
                                    <w:sz w:val="20"/>
                                    <w:szCs w:val="20"/>
                                    <w:lang w:val="en-GB"/>
                                  </w:rPr>
                                  <m:t>)</m:t>
                                </m:r>
                              </m:e>
                              <m:sup>
                                <m:r>
                                  <w:rPr>
                                    <w:rFonts w:ascii="Cambria Math" w:eastAsiaTheme="minorEastAsia" w:hAnsi="Cambria Math"/>
                                    <w:sz w:val="20"/>
                                    <w:szCs w:val="20"/>
                                    <w:lang w:val="en-GB"/>
                                  </w:rPr>
                                  <m:t>t</m:t>
                                </m:r>
                              </m:sup>
                            </m:sSup>
                          </m:e>
                        </m:d>
                      </m:den>
                    </m:f>
                    <m:r>
                      <w:rPr>
                        <w:rFonts w:ascii="Cambria Math" w:eastAsiaTheme="minorEastAsia" w:hAnsi="Cambria Math"/>
                        <w:sz w:val="20"/>
                        <w:szCs w:val="20"/>
                        <w:lang w:val="en-GB"/>
                      </w:rPr>
                      <m:t>+</m:t>
                    </m:r>
                    <m:nary>
                      <m:naryPr>
                        <m:chr m:val="∑"/>
                        <m:limLoc m:val="undOvr"/>
                        <m:grow m:val="1"/>
                        <m:supHide m:val="1"/>
                        <m:ctrlPr>
                          <w:rPr>
                            <w:rFonts w:ascii="Cambria Math" w:eastAsiaTheme="minorEastAsia" w:hAnsi="Cambria Math"/>
                            <w:sz w:val="20"/>
                            <w:szCs w:val="20"/>
                            <w:lang w:val="en-GB"/>
                          </w:rPr>
                        </m:ctrlPr>
                      </m:naryPr>
                      <m:sub>
                        <m:r>
                          <w:rPr>
                            <w:rFonts w:ascii="Cambria Math" w:eastAsiaTheme="minorEastAsia" w:hAnsi="Cambria Math"/>
                            <w:sz w:val="20"/>
                            <w:szCs w:val="20"/>
                            <w:lang w:val="en-GB"/>
                          </w:rPr>
                          <m:t>k</m:t>
                        </m:r>
                      </m:sub>
                      <m:sup/>
                      <m:e>
                        <m:r>
                          <w:rPr>
                            <w:rFonts w:ascii="Cambria Math" w:eastAsiaTheme="minorEastAsia" w:hAnsi="Cambria Math"/>
                            <w:sz w:val="20"/>
                            <w:szCs w:val="20"/>
                            <w:lang w:val="en-GB"/>
                          </w:rPr>
                          <m:t> </m:t>
                        </m:r>
                      </m:e>
                    </m:nary>
                    <m:f>
                      <m:fPr>
                        <m:ctrlPr>
                          <w:rPr>
                            <w:rFonts w:ascii="Cambria Math" w:eastAsiaTheme="minorEastAsia" w:hAnsi="Cambria Math"/>
                            <w:sz w:val="20"/>
                            <w:szCs w:val="20"/>
                            <w:lang w:val="en-GB"/>
                          </w:rPr>
                        </m:ctrlPr>
                      </m:fPr>
                      <m:num>
                        <m:sSub>
                          <m:sSubPr>
                            <m:ctrlPr>
                              <w:rPr>
                                <w:rFonts w:ascii="Cambria Math" w:eastAsiaTheme="minorEastAsia" w:hAnsi="Cambria Math"/>
                                <w:sz w:val="20"/>
                                <w:szCs w:val="20"/>
                                <w:lang w:val="en-GB"/>
                              </w:rPr>
                            </m:ctrlPr>
                          </m:sSubPr>
                          <m:e>
                            <m:r>
                              <w:rPr>
                                <w:rFonts w:ascii="Cambria Math" w:eastAsiaTheme="minorEastAsia" w:hAnsi="Cambria Math"/>
                                <w:sz w:val="20"/>
                                <w:szCs w:val="20"/>
                                <w:lang w:val="en-GB"/>
                              </w:rPr>
                              <m:t>C</m:t>
                            </m:r>
                          </m:e>
                          <m:sub>
                            <m:r>
                              <w:rPr>
                                <w:rFonts w:ascii="Cambria Math" w:eastAsiaTheme="minorEastAsia" w:hAnsi="Cambria Math"/>
                                <w:sz w:val="20"/>
                                <w:szCs w:val="20"/>
                                <w:lang w:val="en-GB"/>
                              </w:rPr>
                              <m:t>k,0</m:t>
                            </m:r>
                          </m:sub>
                        </m:sSub>
                        <m:r>
                          <w:rPr>
                            <w:rFonts w:ascii="Cambria Math" w:eastAsiaTheme="minorEastAsia" w:hAnsi="Cambria Math"/>
                            <w:sz w:val="20"/>
                            <w:szCs w:val="20"/>
                            <w:lang w:val="en-GB"/>
                          </w:rPr>
                          <m:t>(1+i</m:t>
                        </m:r>
                        <m:sSup>
                          <m:sSupPr>
                            <m:ctrlPr>
                              <w:rPr>
                                <w:rFonts w:ascii="Cambria Math" w:eastAsiaTheme="minorEastAsia" w:hAnsi="Cambria Math"/>
                                <w:sz w:val="20"/>
                                <w:szCs w:val="20"/>
                                <w:lang w:val="en-GB"/>
                              </w:rPr>
                            </m:ctrlPr>
                          </m:sSupPr>
                          <m:e>
                            <m:r>
                              <w:rPr>
                                <w:rFonts w:ascii="Cambria Math" w:eastAsiaTheme="minorEastAsia" w:hAnsi="Cambria Math"/>
                                <w:sz w:val="20"/>
                                <w:szCs w:val="20"/>
                                <w:lang w:val="en-GB"/>
                              </w:rPr>
                              <m:t>)</m:t>
                            </m:r>
                          </m:e>
                          <m:sup>
                            <m:sSub>
                              <m:sSubPr>
                                <m:ctrlPr>
                                  <w:rPr>
                                    <w:rFonts w:ascii="Cambria Math" w:eastAsiaTheme="minorEastAsia" w:hAnsi="Cambria Math"/>
                                    <w:sz w:val="20"/>
                                    <w:szCs w:val="20"/>
                                    <w:lang w:val="en-GB"/>
                                  </w:rPr>
                                </m:ctrlPr>
                              </m:sSubPr>
                              <m:e>
                                <m:r>
                                  <w:rPr>
                                    <w:rFonts w:ascii="Cambria Math" w:eastAsiaTheme="minorEastAsia" w:hAnsi="Cambria Math"/>
                                    <w:sz w:val="20"/>
                                    <w:szCs w:val="20"/>
                                    <w:lang w:val="en-GB"/>
                                  </w:rPr>
                                  <m:t>t</m:t>
                                </m:r>
                              </m:e>
                              <m:sub>
                                <m:r>
                                  <w:rPr>
                                    <w:rFonts w:ascii="Cambria Math" w:eastAsiaTheme="minorEastAsia" w:hAnsi="Cambria Math"/>
                                    <w:sz w:val="20"/>
                                    <w:szCs w:val="20"/>
                                    <w:lang w:val="en-GB"/>
                                  </w:rPr>
                                  <m:t>k</m:t>
                                </m:r>
                              </m:sub>
                            </m:sSub>
                            <m:r>
                              <w:rPr>
                                <w:rFonts w:ascii="Cambria Math" w:eastAsiaTheme="minorEastAsia" w:hAnsi="Cambria Math"/>
                                <w:sz w:val="20"/>
                                <w:szCs w:val="20"/>
                                <w:lang w:val="en-GB"/>
                              </w:rPr>
                              <m:t>-1</m:t>
                            </m:r>
                          </m:sup>
                        </m:sSup>
                      </m:num>
                      <m:den>
                        <m:d>
                          <m:dPr>
                            <m:sepChr m:val="+"/>
                            <m:endChr m:val=""/>
                            <m:ctrlPr>
                              <w:rPr>
                                <w:rFonts w:ascii="Cambria Math" w:eastAsiaTheme="minorEastAsia" w:hAnsi="Cambria Math"/>
                                <w:sz w:val="20"/>
                                <w:szCs w:val="20"/>
                                <w:lang w:val="en-GB"/>
                              </w:rPr>
                            </m:ctrlPr>
                          </m:dPr>
                          <m:e>
                            <m:r>
                              <w:rPr>
                                <w:rFonts w:ascii="Cambria Math" w:eastAsiaTheme="minorEastAsia" w:hAnsi="Cambria Math"/>
                                <w:sz w:val="20"/>
                                <w:szCs w:val="20"/>
                                <w:lang w:val="en-GB"/>
                              </w:rPr>
                              <m:t>1</m:t>
                            </m:r>
                          </m:e>
                          <m:e>
                            <m:sSub>
                              <m:sSubPr>
                                <m:ctrlPr>
                                  <w:rPr>
                                    <w:rFonts w:ascii="Cambria Math" w:eastAsiaTheme="minorEastAsia" w:hAnsi="Cambria Math"/>
                                    <w:sz w:val="20"/>
                                    <w:szCs w:val="20"/>
                                    <w:lang w:val="en-GB"/>
                                  </w:rPr>
                                </m:ctrlPr>
                              </m:sSubPr>
                              <m:e>
                                <m:r>
                                  <w:rPr>
                                    <w:rFonts w:ascii="Cambria Math" w:eastAsiaTheme="minorEastAsia" w:hAnsi="Cambria Math"/>
                                    <w:sz w:val="20"/>
                                    <w:szCs w:val="20"/>
                                    <w:lang w:val="en-GB"/>
                                  </w:rPr>
                                  <m:t>r</m:t>
                                </m:r>
                              </m:e>
                              <m:sub>
                                <m:r>
                                  <m:rPr>
                                    <m:sty m:val="p"/>
                                  </m:rPr>
                                  <w:rPr>
                                    <w:rFonts w:ascii="Cambria Math" w:eastAsiaTheme="minorEastAsia" w:hAnsi="Cambria Math"/>
                                    <w:sz w:val="20"/>
                                    <w:szCs w:val="20"/>
                                    <w:lang w:val="en-GB"/>
                                  </w:rPr>
                                  <m:t>nom</m:t>
                                </m:r>
                              </m:sub>
                            </m:sSub>
                            <m:sSup>
                              <m:sSupPr>
                                <m:ctrlPr>
                                  <w:rPr>
                                    <w:rFonts w:ascii="Cambria Math" w:eastAsiaTheme="minorEastAsia" w:hAnsi="Cambria Math"/>
                                    <w:sz w:val="20"/>
                                    <w:szCs w:val="20"/>
                                    <w:lang w:val="en-GB"/>
                                  </w:rPr>
                                </m:ctrlPr>
                              </m:sSupPr>
                              <m:e>
                                <m:r>
                                  <w:rPr>
                                    <w:rFonts w:ascii="Cambria Math" w:eastAsiaTheme="minorEastAsia" w:hAnsi="Cambria Math"/>
                                    <w:sz w:val="20"/>
                                    <w:szCs w:val="20"/>
                                    <w:lang w:val="en-GB"/>
                                  </w:rPr>
                                  <m:t>)</m:t>
                                </m:r>
                              </m:e>
                              <m:sup>
                                <m:sSub>
                                  <m:sSubPr>
                                    <m:ctrlPr>
                                      <w:rPr>
                                        <w:rFonts w:ascii="Cambria Math" w:eastAsiaTheme="minorEastAsia" w:hAnsi="Cambria Math"/>
                                        <w:sz w:val="20"/>
                                        <w:szCs w:val="20"/>
                                        <w:lang w:val="en-GB"/>
                                      </w:rPr>
                                    </m:ctrlPr>
                                  </m:sSubPr>
                                  <m:e>
                                    <m:r>
                                      <w:rPr>
                                        <w:rFonts w:ascii="Cambria Math" w:eastAsiaTheme="minorEastAsia" w:hAnsi="Cambria Math"/>
                                        <w:sz w:val="20"/>
                                        <w:szCs w:val="20"/>
                                        <w:lang w:val="en-GB"/>
                                      </w:rPr>
                                      <m:t>t</m:t>
                                    </m:r>
                                  </m:e>
                                  <m:sub>
                                    <m:r>
                                      <w:rPr>
                                        <w:rFonts w:ascii="Cambria Math" w:eastAsiaTheme="minorEastAsia" w:hAnsi="Cambria Math"/>
                                        <w:sz w:val="20"/>
                                        <w:szCs w:val="20"/>
                                        <w:lang w:val="en-GB"/>
                                      </w:rPr>
                                      <m:t>k</m:t>
                                    </m:r>
                                  </m:sub>
                                </m:sSub>
                              </m:sup>
                            </m:sSup>
                          </m:e>
                        </m:d>
                      </m:den>
                    </m:f>
                  </m:num>
                  <m:den>
                    <m:nary>
                      <m:naryPr>
                        <m:chr m:val="∑"/>
                        <m:limLoc m:val="undOvr"/>
                        <m:grow m:val="1"/>
                        <m:ctrlPr>
                          <w:rPr>
                            <w:rFonts w:ascii="Cambria Math" w:eastAsiaTheme="minorEastAsia" w:hAnsi="Cambria Math"/>
                            <w:sz w:val="20"/>
                            <w:szCs w:val="20"/>
                            <w:lang w:val="en-GB"/>
                          </w:rPr>
                        </m:ctrlPr>
                      </m:naryPr>
                      <m:sub>
                        <m:r>
                          <w:rPr>
                            <w:rFonts w:ascii="Cambria Math" w:hAnsi="Cambria Math"/>
                            <w:sz w:val="20"/>
                            <w:szCs w:val="20"/>
                            <w:lang w:val="en-GB"/>
                          </w:rPr>
                          <m:t>t=1</m:t>
                        </m:r>
                      </m:sub>
                      <m:sup>
                        <m:r>
                          <w:rPr>
                            <w:rFonts w:ascii="Cambria Math" w:hAnsi="Cambria Math"/>
                            <w:sz w:val="20"/>
                            <w:szCs w:val="20"/>
                            <w:lang w:val="en-GB"/>
                          </w:rPr>
                          <m:t>N</m:t>
                        </m:r>
                      </m:sup>
                      <m:e>
                        <m:r>
                          <w:rPr>
                            <w:rFonts w:ascii="Cambria Math" w:hAnsi="Cambria Math"/>
                            <w:sz w:val="20"/>
                            <w:szCs w:val="20"/>
                            <w:lang w:val="en-GB"/>
                          </w:rPr>
                          <m:t> </m:t>
                        </m:r>
                      </m:e>
                    </m:nary>
                    <m:f>
                      <m:fPr>
                        <m:ctrlPr>
                          <w:rPr>
                            <w:rFonts w:ascii="Cambria Math" w:eastAsiaTheme="minorEastAsia" w:hAnsi="Cambria Math"/>
                            <w:sz w:val="20"/>
                            <w:szCs w:val="20"/>
                            <w:lang w:val="en-GB"/>
                          </w:rPr>
                        </m:ctrlPr>
                      </m:fPr>
                      <m:num>
                        <m:sSub>
                          <m:sSubPr>
                            <m:ctrlPr>
                              <w:rPr>
                                <w:rFonts w:ascii="Cambria Math" w:eastAsiaTheme="minorEastAsia" w:hAnsi="Cambria Math"/>
                                <w:i/>
                                <w:sz w:val="20"/>
                                <w:szCs w:val="20"/>
                                <w:lang w:val="en-GB"/>
                              </w:rPr>
                            </m:ctrlPr>
                          </m:sSubPr>
                          <m:e>
                            <m:r>
                              <w:rPr>
                                <w:rFonts w:ascii="Cambria Math" w:hAnsi="Cambria Math"/>
                                <w:sz w:val="20"/>
                                <w:szCs w:val="20"/>
                                <w:lang w:val="en-GB"/>
                              </w:rPr>
                              <m:t>Y</m:t>
                            </m:r>
                          </m:e>
                          <m:sub>
                            <m:sSub>
                              <m:sSubPr>
                                <m:ctrlPr>
                                  <w:rPr>
                                    <w:rFonts w:ascii="Cambria Math" w:eastAsiaTheme="minorEastAsia" w:hAnsi="Cambria Math"/>
                                    <w:sz w:val="20"/>
                                    <w:szCs w:val="20"/>
                                    <w:lang w:val="en-GB"/>
                                  </w:rPr>
                                </m:ctrlPr>
                              </m:sSubPr>
                              <m:e>
                                <m:r>
                                  <m:rPr>
                                    <m:sty m:val="p"/>
                                  </m:rPr>
                                  <w:rPr>
                                    <w:rFonts w:ascii="Cambria Math" w:hAnsi="Cambria Math"/>
                                    <w:sz w:val="20"/>
                                    <w:szCs w:val="20"/>
                                    <w:lang w:val="en-GB"/>
                                  </w:rPr>
                                  <m:t>H</m:t>
                                </m:r>
                              </m:e>
                              <m:sub>
                                <m:r>
                                  <m:rPr>
                                    <m:sty m:val="p"/>
                                  </m:rPr>
                                  <w:rPr>
                                    <w:rFonts w:ascii="Cambria Math" w:hAnsi="Cambria Math"/>
                                    <w:sz w:val="20"/>
                                    <w:szCs w:val="20"/>
                                    <w:lang w:val="en-GB"/>
                                  </w:rPr>
                                  <m:t>2,year</m:t>
                                </m:r>
                              </m:sub>
                            </m:sSub>
                          </m:sub>
                        </m:sSub>
                        <m:r>
                          <w:rPr>
                            <w:rFonts w:ascii="Cambria Math" w:hAnsi="Cambria Math"/>
                            <w:sz w:val="20"/>
                            <w:szCs w:val="20"/>
                            <w:lang w:val="en-GB"/>
                          </w:rPr>
                          <m:t xml:space="preserve"> </m:t>
                        </m:r>
                        <m:sSub>
                          <m:sSubPr>
                            <m:ctrlPr>
                              <w:rPr>
                                <w:rFonts w:ascii="Cambria Math" w:eastAsiaTheme="minorEastAsia" w:hAnsi="Cambria Math"/>
                                <w:iCs/>
                                <w:sz w:val="20"/>
                                <w:szCs w:val="20"/>
                                <w:lang w:val="en-GB"/>
                              </w:rPr>
                            </m:ctrlPr>
                          </m:sSubPr>
                          <m:e>
                            <m:r>
                              <w:rPr>
                                <w:rFonts w:ascii="Cambria Math" w:hAnsi="Cambria Math"/>
                                <w:sz w:val="20"/>
                                <w:szCs w:val="20"/>
                                <w:lang w:val="en-GB"/>
                              </w:rPr>
                              <m:t>A</m:t>
                            </m:r>
                          </m:e>
                          <m:sub>
                            <m:r>
                              <m:rPr>
                                <m:sty m:val="p"/>
                              </m:rPr>
                              <w:rPr>
                                <w:rFonts w:ascii="Cambria Math" w:hAnsi="Cambria Math"/>
                                <w:sz w:val="20"/>
                                <w:szCs w:val="20"/>
                                <w:lang w:val="en-GB"/>
                              </w:rPr>
                              <m:t>ap</m:t>
                            </m:r>
                          </m:sub>
                        </m:sSub>
                      </m:num>
                      <m:den>
                        <m:d>
                          <m:dPr>
                            <m:sepChr m:val="+"/>
                            <m:endChr m:val=""/>
                            <m:ctrlPr>
                              <w:rPr>
                                <w:rFonts w:ascii="Cambria Math" w:eastAsiaTheme="minorEastAsia" w:hAnsi="Cambria Math"/>
                                <w:sz w:val="20"/>
                                <w:szCs w:val="20"/>
                                <w:lang w:val="en-GB"/>
                              </w:rPr>
                            </m:ctrlPr>
                          </m:dPr>
                          <m:e>
                            <m:r>
                              <w:rPr>
                                <w:rFonts w:ascii="Cambria Math" w:hAnsi="Cambria Math"/>
                                <w:sz w:val="20"/>
                                <w:szCs w:val="20"/>
                                <w:lang w:val="en-GB"/>
                              </w:rPr>
                              <m:t>1</m:t>
                            </m:r>
                          </m:e>
                          <m:e>
                            <m:sSub>
                              <m:sSubPr>
                                <m:ctrlPr>
                                  <w:rPr>
                                    <w:rFonts w:ascii="Cambria Math" w:eastAsiaTheme="minorEastAsia" w:hAnsi="Cambria Math"/>
                                    <w:sz w:val="20"/>
                                    <w:szCs w:val="20"/>
                                    <w:lang w:val="en-GB"/>
                                  </w:rPr>
                                </m:ctrlPr>
                              </m:sSubPr>
                              <m:e>
                                <m:r>
                                  <w:rPr>
                                    <w:rFonts w:ascii="Cambria Math" w:hAnsi="Cambria Math"/>
                                    <w:sz w:val="20"/>
                                    <w:szCs w:val="20"/>
                                    <w:lang w:val="en-GB"/>
                                  </w:rPr>
                                  <m:t>r</m:t>
                                </m:r>
                              </m:e>
                              <m:sub>
                                <m:r>
                                  <m:rPr>
                                    <m:sty m:val="p"/>
                                  </m:rPr>
                                  <w:rPr>
                                    <w:rFonts w:ascii="Cambria Math" w:hAnsi="Cambria Math"/>
                                    <w:sz w:val="20"/>
                                    <w:szCs w:val="20"/>
                                    <w:lang w:val="en-GB"/>
                                  </w:rPr>
                                  <m:t>nom</m:t>
                                </m:r>
                              </m:sub>
                            </m:sSub>
                            <m:sSup>
                              <m:sSupPr>
                                <m:ctrlPr>
                                  <w:rPr>
                                    <w:rFonts w:ascii="Cambria Math" w:eastAsiaTheme="minorEastAsia" w:hAnsi="Cambria Math"/>
                                    <w:sz w:val="20"/>
                                    <w:szCs w:val="20"/>
                                    <w:lang w:val="en-GB"/>
                                  </w:rPr>
                                </m:ctrlPr>
                              </m:sSupPr>
                              <m:e>
                                <m:r>
                                  <w:rPr>
                                    <w:rFonts w:ascii="Cambria Math" w:hAnsi="Cambria Math"/>
                                    <w:sz w:val="20"/>
                                    <w:szCs w:val="20"/>
                                    <w:lang w:val="en-GB"/>
                                  </w:rPr>
                                  <m:t>)</m:t>
                                </m:r>
                              </m:e>
                              <m:sup>
                                <m:r>
                                  <w:rPr>
                                    <w:rFonts w:ascii="Cambria Math" w:hAnsi="Cambria Math"/>
                                    <w:sz w:val="20"/>
                                    <w:szCs w:val="20"/>
                                    <w:lang w:val="en-GB"/>
                                  </w:rPr>
                                  <m:t>t</m:t>
                                </m:r>
                              </m:sup>
                            </m:sSup>
                          </m:e>
                        </m:d>
                      </m:den>
                    </m:f>
                  </m:den>
                </m:f>
              </m:oMath>
            </m:oMathPara>
          </w:p>
        </w:tc>
        <w:tc>
          <w:tcPr>
            <w:tcW w:w="1695" w:type="dxa"/>
            <w:vAlign w:val="center"/>
            <w:hideMark/>
          </w:tcPr>
          <w:p w14:paraId="5913B56C" w14:textId="357C165B" w:rsidR="00A04344" w:rsidRPr="00C32131" w:rsidRDefault="00A04344" w:rsidP="00215199">
            <w:pPr>
              <w:tabs>
                <w:tab w:val="center" w:pos="4820"/>
                <w:tab w:val="right" w:pos="9638"/>
              </w:tabs>
              <w:spacing w:after="120" w:line="276" w:lineRule="auto"/>
              <w:ind w:firstLine="425"/>
              <w:jc w:val="right"/>
              <w:rPr>
                <w:rFonts w:ascii="Times New Roman" w:eastAsia="宋体" w:hAnsi="Times New Roman"/>
                <w:sz w:val="20"/>
                <w:szCs w:val="20"/>
                <w:lang w:val="en-GB"/>
              </w:rPr>
            </w:pPr>
            <w:r w:rsidRPr="00C32131">
              <w:rPr>
                <w:rFonts w:eastAsia="宋体"/>
                <w:sz w:val="20"/>
                <w:szCs w:val="20"/>
                <w:lang w:val="en-GB"/>
              </w:rPr>
              <w:t>(</w:t>
            </w:r>
            <w:r w:rsidR="00524EEF" w:rsidRPr="008B3AB2">
              <w:rPr>
                <w:rFonts w:ascii="Times New Roman" w:eastAsia="宋体" w:hAnsi="Times New Roman" w:hint="eastAsia"/>
                <w:sz w:val="20"/>
                <w:szCs w:val="20"/>
                <w:lang w:val="en-GB"/>
              </w:rPr>
              <w:t>eq.</w:t>
            </w:r>
            <w:r w:rsidR="00524EEF">
              <w:rPr>
                <w:rFonts w:ascii="Times New Roman" w:eastAsia="宋体" w:hAnsi="Times New Roman" w:hint="eastAsia"/>
                <w:sz w:val="20"/>
                <w:szCs w:val="20"/>
                <w:lang w:val="en-GB"/>
              </w:rPr>
              <w:t>3</w:t>
            </w:r>
            <w:r w:rsidRPr="00C32131">
              <w:rPr>
                <w:rFonts w:eastAsia="宋体"/>
                <w:sz w:val="20"/>
                <w:szCs w:val="20"/>
                <w:lang w:val="en-GB"/>
              </w:rPr>
              <w:t>)</w:t>
            </w:r>
          </w:p>
        </w:tc>
      </w:tr>
    </w:tbl>
    <w:p w14:paraId="2BDCED88" w14:textId="138324E8" w:rsidR="00A04344" w:rsidRPr="00C32131" w:rsidRDefault="00A04344" w:rsidP="00215199">
      <w:pPr>
        <w:spacing w:after="120" w:line="276" w:lineRule="auto"/>
        <w:jc w:val="both"/>
        <w:rPr>
          <w:rFonts w:eastAsia="黑体"/>
          <w:sz w:val="20"/>
          <w:szCs w:val="20"/>
          <w:lang w:val="en-GB"/>
        </w:rPr>
      </w:pPr>
      <w:r w:rsidRPr="00C32131">
        <w:rPr>
          <w:rFonts w:eastAsia="黑体"/>
          <w:spacing w:val="-4"/>
          <w:sz w:val="20"/>
          <w:szCs w:val="20"/>
          <w:lang w:val="en-GB"/>
        </w:rPr>
        <w:t xml:space="preserve">where </w:t>
      </w:r>
      <w:r w:rsidRPr="00C32131">
        <w:rPr>
          <w:rFonts w:eastAsia="黑体"/>
          <w:i/>
          <w:iCs/>
          <w:spacing w:val="-4"/>
          <w:sz w:val="20"/>
          <w:szCs w:val="20"/>
          <w:lang w:val="en-GB"/>
        </w:rPr>
        <w:t>I</w:t>
      </w:r>
      <w:r w:rsidRPr="00C32131">
        <w:rPr>
          <w:rFonts w:eastAsia="黑体"/>
          <w:spacing w:val="-4"/>
          <w:sz w:val="20"/>
          <w:szCs w:val="20"/>
          <w:vertAlign w:val="subscript"/>
          <w:lang w:val="en-GB"/>
        </w:rPr>
        <w:t>0</w:t>
      </w:r>
      <w:r w:rsidRPr="00C32131">
        <w:rPr>
          <w:rFonts w:eastAsia="黑体"/>
          <w:spacing w:val="-4"/>
          <w:sz w:val="20"/>
          <w:szCs w:val="20"/>
          <w:lang w:val="en-GB"/>
        </w:rPr>
        <w:t xml:space="preserve"> is the initial investment CAPEX</w:t>
      </w:r>
      <w:r w:rsidR="00524EEF">
        <w:rPr>
          <w:rFonts w:eastAsia="黑体" w:hint="eastAsia"/>
          <w:spacing w:val="-4"/>
          <w:sz w:val="20"/>
          <w:szCs w:val="20"/>
          <w:lang w:val="en-GB"/>
        </w:rPr>
        <w:t>,</w:t>
      </w:r>
      <w:r w:rsidR="00524EEF" w:rsidRPr="008B3AB2">
        <w:rPr>
          <w:rFonts w:eastAsia="黑体"/>
          <w:spacing w:val="-4"/>
          <w:sz w:val="20"/>
          <w:szCs w:val="20"/>
          <w:lang w:val="en-GB"/>
        </w:rPr>
        <w:t xml:space="preserve"> </w:t>
      </w:r>
      <w:r w:rsidR="00524EEF" w:rsidRPr="008B3AB2">
        <w:rPr>
          <w:rFonts w:eastAsia="黑体"/>
          <w:i/>
          <w:iCs/>
          <w:sz w:val="20"/>
          <w:szCs w:val="20"/>
          <w:lang w:val="en-GB"/>
        </w:rPr>
        <w:t xml:space="preserve">t </w:t>
      </w:r>
      <w:r w:rsidR="00524EEF" w:rsidRPr="008B3AB2">
        <w:rPr>
          <w:rFonts w:eastAsia="黑体"/>
          <w:sz w:val="20"/>
          <w:szCs w:val="20"/>
          <w:lang w:val="en-GB"/>
        </w:rPr>
        <w:t xml:space="preserve">represents the year index. The design lifetime for the whole system is 25 years. </w:t>
      </w:r>
      <w:r w:rsidR="00524EEF" w:rsidRPr="008B3AB2">
        <w:rPr>
          <w:rFonts w:eastAsia="黑体"/>
          <w:spacing w:val="-2"/>
          <w:sz w:val="20"/>
          <w:szCs w:val="20"/>
          <w:lang w:val="en-GB"/>
        </w:rPr>
        <w:t xml:space="preserve">The annual operating expenditure is represented by a single equivalent operating cost term, </w:t>
      </w:r>
      <w:r w:rsidR="00524EEF" w:rsidRPr="008B3AB2">
        <w:rPr>
          <w:rFonts w:eastAsia="黑体"/>
          <w:i/>
          <w:iCs/>
          <w:spacing w:val="-2"/>
          <w:sz w:val="20"/>
          <w:szCs w:val="20"/>
          <w:lang w:val="en-GB"/>
        </w:rPr>
        <w:t>OPEX</w:t>
      </w:r>
      <w:r w:rsidR="00524EEF" w:rsidRPr="008B3AB2">
        <w:rPr>
          <w:rFonts w:eastAsia="黑体"/>
          <w:spacing w:val="-2"/>
          <w:sz w:val="20"/>
          <w:szCs w:val="20"/>
          <w:vertAlign w:val="subscript"/>
          <w:lang w:val="en-GB"/>
        </w:rPr>
        <w:t>0</w:t>
      </w:r>
      <w:r w:rsidR="00524EEF" w:rsidRPr="008B3AB2">
        <w:rPr>
          <w:rFonts w:eastAsia="黑体"/>
          <w:spacing w:val="-2"/>
          <w:sz w:val="20"/>
          <w:szCs w:val="20"/>
          <w:lang w:val="en-GB"/>
        </w:rPr>
        <w:t xml:space="preserve">. This term is modelled as a fixed percentage of the total CAPEX to capture all recurring costs associated with normal system operation, including auxiliary electricity consumption, insurance, and routine maintenance. Specifically, </w:t>
      </w:r>
      <w:r w:rsidR="00524EEF" w:rsidRPr="008B3AB2">
        <w:rPr>
          <w:rFonts w:eastAsia="黑体"/>
          <w:i/>
          <w:iCs/>
          <w:spacing w:val="-2"/>
          <w:sz w:val="20"/>
          <w:szCs w:val="20"/>
          <w:lang w:val="en-GB"/>
        </w:rPr>
        <w:t>OPEX</w:t>
      </w:r>
      <w:r w:rsidR="00524EEF" w:rsidRPr="008B3AB2">
        <w:rPr>
          <w:rFonts w:eastAsia="黑体"/>
          <w:spacing w:val="-2"/>
          <w:sz w:val="20"/>
          <w:szCs w:val="20"/>
          <w:vertAlign w:val="subscript"/>
          <w:lang w:val="en-GB"/>
        </w:rPr>
        <w:t>0</w:t>
      </w:r>
      <w:r w:rsidR="00524EEF" w:rsidRPr="008B3AB2">
        <w:rPr>
          <w:rFonts w:eastAsia="黑体"/>
          <w:spacing w:val="-2"/>
          <w:sz w:val="20"/>
          <w:szCs w:val="20"/>
          <w:lang w:val="en-GB"/>
        </w:rPr>
        <w:t xml:space="preserve"> is set to 1.5% of </w:t>
      </w:r>
      <w:r w:rsidR="00524EEF" w:rsidRPr="008B3AB2">
        <w:rPr>
          <w:rFonts w:eastAsia="黑体"/>
          <w:i/>
          <w:iCs/>
          <w:spacing w:val="-2"/>
          <w:sz w:val="20"/>
          <w:szCs w:val="20"/>
          <w:lang w:val="en-GB"/>
        </w:rPr>
        <w:t>I</w:t>
      </w:r>
      <w:r w:rsidR="00524EEF" w:rsidRPr="008B3AB2">
        <w:rPr>
          <w:rFonts w:eastAsia="黑体"/>
          <w:spacing w:val="-2"/>
          <w:sz w:val="20"/>
          <w:szCs w:val="20"/>
          <w:vertAlign w:val="subscript"/>
          <w:lang w:val="en-GB"/>
        </w:rPr>
        <w:t>0</w:t>
      </w:r>
      <w:r w:rsidR="00524EEF" w:rsidRPr="008B3AB2">
        <w:rPr>
          <w:rFonts w:eastAsia="黑体"/>
          <w:spacing w:val="-2"/>
          <w:sz w:val="20"/>
          <w:szCs w:val="20"/>
          <w:lang w:val="en-GB"/>
        </w:rPr>
        <w:t xml:space="preserve"> for the single axis tracking system. For the dual axis configuration, this rate is increased to 2.0% to account for the higher complexity and maintenance requirements of the dual axis tracking mechanism.</w:t>
      </w:r>
      <w:r w:rsidR="00524EEF">
        <w:rPr>
          <w:rFonts w:eastAsia="黑体" w:hint="eastAsia"/>
          <w:spacing w:val="-2"/>
          <w:sz w:val="20"/>
          <w:szCs w:val="20"/>
          <w:lang w:val="en-GB"/>
        </w:rPr>
        <w:t xml:space="preserve"> </w:t>
      </w:r>
      <w:r w:rsidR="00524EEF" w:rsidRPr="00C32131">
        <w:rPr>
          <w:rFonts w:eastAsia="黑体"/>
          <w:sz w:val="20"/>
          <w:szCs w:val="20"/>
        </w:rPr>
        <w:t xml:space="preserve">For each investigated site, the annual hydrogen production </w:t>
      </w:r>
      <w:r w:rsidR="00524EEF" w:rsidRPr="00C32131">
        <w:rPr>
          <w:rFonts w:eastAsia="宋体"/>
          <w:i/>
          <w:iCs/>
          <w:sz w:val="20"/>
          <w:szCs w:val="20"/>
          <w:lang w:val="en-GB"/>
        </w:rPr>
        <w:t>Y</w:t>
      </w:r>
      <w:r w:rsidR="00524EEF" w:rsidRPr="00C32131">
        <w:rPr>
          <w:rFonts w:eastAsia="宋体"/>
          <w:sz w:val="20"/>
          <w:szCs w:val="20"/>
          <w:vertAlign w:val="subscript"/>
          <w:lang w:val="en-GB"/>
        </w:rPr>
        <w:t>H2,year</w:t>
      </w:r>
      <w:r w:rsidR="00524EEF" w:rsidRPr="00C32131">
        <w:rPr>
          <w:rFonts w:eastAsia="黑体"/>
          <w:sz w:val="20"/>
          <w:szCs w:val="20"/>
          <w:lang w:val="en-GB"/>
        </w:rPr>
        <w:t xml:space="preserve"> </w:t>
      </w:r>
      <w:r w:rsidR="00524EEF" w:rsidRPr="00C32131">
        <w:rPr>
          <w:rFonts w:eastAsia="黑体"/>
          <w:sz w:val="20"/>
          <w:szCs w:val="20"/>
        </w:rPr>
        <w:t>is obtained from the system-performance model outputs and used as the basis for the economic calculations.</w:t>
      </w:r>
      <w:r w:rsidR="00524EEF" w:rsidRPr="00524EEF">
        <w:rPr>
          <w:rFonts w:eastAsia="黑体" w:hint="eastAsia"/>
          <w:spacing w:val="-2"/>
          <w:sz w:val="20"/>
          <w:szCs w:val="20"/>
          <w:lang w:val="en-GB"/>
        </w:rPr>
        <w:t xml:space="preserve"> </w:t>
      </w:r>
      <w:proofErr w:type="spellStart"/>
      <w:r w:rsidRPr="00C32131">
        <w:rPr>
          <w:rFonts w:eastAsia="黑体"/>
          <w:i/>
          <w:iCs/>
          <w:sz w:val="20"/>
          <w:szCs w:val="20"/>
          <w:lang w:val="en-GB"/>
        </w:rPr>
        <w:t>r</w:t>
      </w:r>
      <w:r w:rsidRPr="00C32131">
        <w:rPr>
          <w:rFonts w:eastAsia="黑体"/>
          <w:sz w:val="20"/>
          <w:szCs w:val="20"/>
          <w:vertAlign w:val="subscript"/>
          <w:lang w:val="en-GB"/>
        </w:rPr>
        <w:t>nom</w:t>
      </w:r>
      <w:proofErr w:type="spellEnd"/>
      <w:r w:rsidRPr="00C32131">
        <w:rPr>
          <w:rFonts w:eastAsia="黑体"/>
          <w:sz w:val="20"/>
          <w:szCs w:val="20"/>
          <w:lang w:val="en-GB"/>
        </w:rPr>
        <w:t xml:space="preserve"> is the nominal discount rate, </w:t>
      </w:r>
      <w:r w:rsidRPr="00C32131">
        <w:rPr>
          <w:rFonts w:eastAsia="黑体"/>
          <w:i/>
          <w:iCs/>
          <w:sz w:val="20"/>
          <w:szCs w:val="20"/>
          <w:lang w:val="en-GB"/>
        </w:rPr>
        <w:t>C</w:t>
      </w:r>
      <w:r w:rsidRPr="00C32131">
        <w:rPr>
          <w:rFonts w:eastAsia="黑体"/>
          <w:i/>
          <w:iCs/>
          <w:sz w:val="20"/>
          <w:szCs w:val="20"/>
          <w:vertAlign w:val="subscript"/>
          <w:lang w:val="en-GB"/>
        </w:rPr>
        <w:t>k</w:t>
      </w:r>
      <w:r w:rsidRPr="00C32131">
        <w:rPr>
          <w:rFonts w:eastAsia="黑体"/>
          <w:sz w:val="20"/>
          <w:szCs w:val="20"/>
          <w:vertAlign w:val="subscript"/>
          <w:lang w:val="en-GB"/>
        </w:rPr>
        <w:t>,0</w:t>
      </w:r>
      <w:r w:rsidRPr="00C32131">
        <w:rPr>
          <w:rFonts w:eastAsia="黑体"/>
          <w:sz w:val="20"/>
          <w:szCs w:val="20"/>
          <w:lang w:val="en-GB"/>
        </w:rPr>
        <w:t xml:space="preserve"> is the base-year cost, </w:t>
      </w:r>
      <w:r w:rsidRPr="00C32131">
        <w:rPr>
          <w:rFonts w:eastAsia="黑体"/>
          <w:i/>
          <w:iCs/>
          <w:sz w:val="20"/>
          <w:szCs w:val="20"/>
          <w:lang w:val="en-GB"/>
        </w:rPr>
        <w:t>k</w:t>
      </w:r>
      <w:r w:rsidRPr="00C32131">
        <w:rPr>
          <w:rFonts w:eastAsia="黑体"/>
          <w:sz w:val="20"/>
          <w:szCs w:val="20"/>
          <w:lang w:val="en-GB"/>
        </w:rPr>
        <w:t xml:space="preserve"> is the identical number of a replacement event, </w:t>
      </w:r>
      <w:proofErr w:type="spellStart"/>
      <w:r w:rsidRPr="00C32131">
        <w:rPr>
          <w:rFonts w:eastAsia="黑体"/>
          <w:i/>
          <w:iCs/>
          <w:sz w:val="20"/>
          <w:szCs w:val="20"/>
          <w:lang w:val="en-GB"/>
        </w:rPr>
        <w:t>t</w:t>
      </w:r>
      <w:r w:rsidRPr="00C32131">
        <w:rPr>
          <w:rFonts w:eastAsia="黑体"/>
          <w:i/>
          <w:iCs/>
          <w:sz w:val="20"/>
          <w:szCs w:val="20"/>
          <w:vertAlign w:val="subscript"/>
          <w:lang w:val="en-GB"/>
        </w:rPr>
        <w:t>k</w:t>
      </w:r>
      <w:proofErr w:type="spellEnd"/>
      <w:r w:rsidRPr="00C32131">
        <w:rPr>
          <w:rFonts w:eastAsia="黑体"/>
          <w:i/>
          <w:iCs/>
          <w:sz w:val="20"/>
          <w:szCs w:val="20"/>
          <w:vertAlign w:val="subscript"/>
          <w:lang w:val="en-GB"/>
        </w:rPr>
        <w:t xml:space="preserve"> </w:t>
      </w:r>
      <w:r w:rsidRPr="00C32131">
        <w:rPr>
          <w:rFonts w:eastAsia="黑体"/>
          <w:sz w:val="20"/>
          <w:szCs w:val="20"/>
          <w:lang w:val="en-GB"/>
        </w:rPr>
        <w:t xml:space="preserve">is the replacement year, and </w:t>
      </w:r>
      <w:proofErr w:type="spellStart"/>
      <w:r w:rsidRPr="00C32131">
        <w:rPr>
          <w:rFonts w:eastAsia="黑体"/>
          <w:i/>
          <w:iCs/>
          <w:sz w:val="20"/>
          <w:szCs w:val="20"/>
          <w:lang w:val="en-GB"/>
        </w:rPr>
        <w:t>i</w:t>
      </w:r>
      <w:proofErr w:type="spellEnd"/>
      <w:r w:rsidRPr="00C32131">
        <w:rPr>
          <w:rFonts w:eastAsia="黑体"/>
          <w:sz w:val="20"/>
          <w:szCs w:val="20"/>
          <w:lang w:val="en-GB"/>
        </w:rPr>
        <w:t xml:space="preserve"> is the annual inflation rate. Component replacement costs are modelled as discrete expenditures occurring at specific intervals. In this study, a scheduled system overhaul is assumed to occur every 10 years of operation</w:t>
      </w:r>
      <w:r w:rsidR="00DE3295" w:rsidRPr="00DE3295">
        <w:t xml:space="preserve"> </w:t>
      </w:r>
      <w:r w:rsidR="00DE3295" w:rsidRPr="00DE3295">
        <w:rPr>
          <w:rFonts w:eastAsia="黑体"/>
          <w:sz w:val="20"/>
          <w:szCs w:val="20"/>
          <w:lang w:val="en-GB"/>
        </w:rPr>
        <w:t>(Li et al., 2022)</w:t>
      </w:r>
      <w:r w:rsidRPr="00C32131">
        <w:rPr>
          <w:rFonts w:eastAsia="黑体"/>
          <w:sz w:val="20"/>
          <w:szCs w:val="20"/>
          <w:lang w:val="en-GB"/>
        </w:rPr>
        <w:t xml:space="preserve">. Each replacement event </w:t>
      </w:r>
      <w:r w:rsidRPr="00C32131">
        <w:rPr>
          <w:rFonts w:eastAsia="黑体"/>
          <w:i/>
          <w:iCs/>
          <w:sz w:val="20"/>
          <w:szCs w:val="20"/>
          <w:lang w:val="en-GB"/>
        </w:rPr>
        <w:t xml:space="preserve">k </w:t>
      </w:r>
      <w:r w:rsidRPr="00C32131">
        <w:rPr>
          <w:rFonts w:eastAsia="黑体"/>
          <w:sz w:val="20"/>
          <w:szCs w:val="20"/>
          <w:lang w:val="en-GB"/>
        </w:rPr>
        <w:t xml:space="preserve">is defined by its base-year cost </w:t>
      </w:r>
      <w:r w:rsidRPr="00C32131">
        <w:rPr>
          <w:rFonts w:eastAsia="黑体"/>
          <w:i/>
          <w:iCs/>
          <w:sz w:val="20"/>
          <w:szCs w:val="20"/>
          <w:lang w:val="en-GB"/>
        </w:rPr>
        <w:t>C</w:t>
      </w:r>
      <w:r w:rsidRPr="00C32131">
        <w:rPr>
          <w:rFonts w:eastAsia="黑体"/>
          <w:i/>
          <w:iCs/>
          <w:sz w:val="20"/>
          <w:szCs w:val="20"/>
          <w:vertAlign w:val="subscript"/>
          <w:lang w:val="en-GB"/>
        </w:rPr>
        <w:t>k</w:t>
      </w:r>
      <w:r w:rsidRPr="00C32131">
        <w:rPr>
          <w:rFonts w:eastAsia="黑体"/>
          <w:sz w:val="20"/>
          <w:szCs w:val="20"/>
          <w:vertAlign w:val="subscript"/>
          <w:lang w:val="en-GB"/>
        </w:rPr>
        <w:t xml:space="preserve">,0 </w:t>
      </w:r>
      <w:r w:rsidRPr="00C32131">
        <w:rPr>
          <w:rFonts w:eastAsia="黑体"/>
          <w:sz w:val="20"/>
          <w:szCs w:val="20"/>
          <w:lang w:val="en-GB"/>
        </w:rPr>
        <w:t xml:space="preserve">and also the replacement year </w:t>
      </w:r>
      <w:r w:rsidRPr="00C32131">
        <w:rPr>
          <w:rFonts w:eastAsia="黑体"/>
          <w:i/>
          <w:iCs/>
          <w:sz w:val="20"/>
          <w:szCs w:val="20"/>
          <w:lang w:val="en-GB"/>
        </w:rPr>
        <w:t>t</w:t>
      </w:r>
      <w:r w:rsidRPr="00C32131">
        <w:rPr>
          <w:rFonts w:eastAsia="黑体"/>
          <w:i/>
          <w:iCs/>
          <w:sz w:val="20"/>
          <w:szCs w:val="20"/>
          <w:vertAlign w:val="subscript"/>
          <w:lang w:val="en-GB"/>
        </w:rPr>
        <w:t>k</w:t>
      </w:r>
      <w:r w:rsidRPr="00C32131">
        <w:rPr>
          <w:rFonts w:eastAsia="黑体"/>
          <w:sz w:val="20"/>
          <w:szCs w:val="20"/>
          <w:lang w:val="en-GB"/>
        </w:rPr>
        <w:t xml:space="preserve">. The overhaul strategy involves a partial replacement (50%) of the electrolyzer stack and spectral-splitting filters to account for performance degradation, along with a general system refurbishment cost estimated at 5% of the total direct capital cost to cover balance-of-plant maintenance. The nominal discount rate </w:t>
      </w:r>
      <w:proofErr w:type="spellStart"/>
      <w:r w:rsidRPr="00C32131">
        <w:rPr>
          <w:rFonts w:eastAsia="黑体"/>
          <w:i/>
          <w:iCs/>
          <w:sz w:val="20"/>
          <w:szCs w:val="20"/>
          <w:lang w:val="en-GB"/>
        </w:rPr>
        <w:t>r</w:t>
      </w:r>
      <w:r w:rsidRPr="00C32131">
        <w:rPr>
          <w:rFonts w:eastAsia="黑体"/>
          <w:sz w:val="20"/>
          <w:szCs w:val="20"/>
          <w:vertAlign w:val="subscript"/>
          <w:lang w:val="en-GB"/>
        </w:rPr>
        <w:t>nom</w:t>
      </w:r>
      <w:proofErr w:type="spellEnd"/>
      <w:r w:rsidRPr="00C32131">
        <w:rPr>
          <w:rFonts w:eastAsia="黑体"/>
          <w:sz w:val="20"/>
          <w:szCs w:val="20"/>
          <w:lang w:val="en-GB"/>
        </w:rPr>
        <w:t xml:space="preserve"> is defined with the Fisher </w:t>
      </w:r>
      <w:r w:rsidR="008702AA" w:rsidRPr="00C32131">
        <w:rPr>
          <w:rFonts w:eastAsia="黑体"/>
          <w:sz w:val="20"/>
          <w:szCs w:val="20"/>
          <w:lang w:val="en-GB"/>
        </w:rPr>
        <w:t>equation</w:t>
      </w:r>
      <w:r w:rsidR="008702AA" w:rsidRPr="00DE3295">
        <w:rPr>
          <w:rFonts w:eastAsia="黑体"/>
          <w:sz w:val="20"/>
          <w:szCs w:val="20"/>
          <w:lang w:val="en-GB"/>
        </w:rPr>
        <w:t xml:space="preserve"> (</w:t>
      </w:r>
      <w:r w:rsidR="00DE3295" w:rsidRPr="00DE3295">
        <w:rPr>
          <w:rFonts w:eastAsia="黑体"/>
          <w:sz w:val="20"/>
          <w:szCs w:val="20"/>
          <w:lang w:val="en-GB"/>
        </w:rPr>
        <w:t>Short et al., 1995)</w:t>
      </w:r>
      <w:r w:rsidRPr="00C32131">
        <w:rPr>
          <w:rFonts w:eastAsia="黑体"/>
          <w:sz w:val="20"/>
          <w:szCs w:val="20"/>
          <w:lang w:val="en-GB"/>
        </w:rPr>
        <w:t>:</w:t>
      </w:r>
    </w:p>
    <w:tbl>
      <w:tblPr>
        <w:tblStyle w:val="TableGrid4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2"/>
        <w:gridCol w:w="6102"/>
        <w:gridCol w:w="1650"/>
      </w:tblGrid>
      <w:tr w:rsidR="00A04344" w:rsidRPr="00A04344" w14:paraId="36705592" w14:textId="77777777" w:rsidTr="008B3AB2">
        <w:tc>
          <w:tcPr>
            <w:tcW w:w="1413" w:type="dxa"/>
          </w:tcPr>
          <w:p w14:paraId="55914D20" w14:textId="77777777" w:rsidR="00A04344" w:rsidRPr="00C32131" w:rsidRDefault="00A04344" w:rsidP="00215199">
            <w:pPr>
              <w:tabs>
                <w:tab w:val="center" w:pos="4820"/>
                <w:tab w:val="right" w:pos="9638"/>
              </w:tabs>
              <w:spacing w:after="120" w:line="276" w:lineRule="auto"/>
              <w:ind w:firstLine="425"/>
              <w:jc w:val="both"/>
              <w:rPr>
                <w:rFonts w:ascii="Times New Roman" w:eastAsia="宋体" w:hAnsi="Times New Roman"/>
                <w:sz w:val="20"/>
                <w:szCs w:val="20"/>
                <w:lang w:val="en-GB"/>
              </w:rPr>
            </w:pPr>
          </w:p>
        </w:tc>
        <w:tc>
          <w:tcPr>
            <w:tcW w:w="6520" w:type="dxa"/>
          </w:tcPr>
          <w:p w14:paraId="4248B2D8" w14:textId="77777777" w:rsidR="00A04344" w:rsidRPr="00C32131" w:rsidRDefault="00000000" w:rsidP="00215199">
            <w:pPr>
              <w:suppressAutoHyphens/>
              <w:spacing w:after="120" w:line="276" w:lineRule="auto"/>
              <w:ind w:firstLine="425"/>
              <w:jc w:val="both"/>
              <w:rPr>
                <w:rFonts w:ascii="Times New Roman" w:eastAsiaTheme="minorEastAsia" w:hAnsi="Times New Roman"/>
                <w:i/>
                <w:sz w:val="20"/>
                <w:szCs w:val="20"/>
                <w:lang w:val="en-GB"/>
              </w:rPr>
            </w:pPr>
            <m:oMathPara>
              <m:oMathParaPr>
                <m:jc m:val="center"/>
              </m:oMathParaPr>
              <m:oMath>
                <m:sSub>
                  <m:sSubPr>
                    <m:ctrlPr>
                      <w:rPr>
                        <w:rFonts w:ascii="Cambria Math" w:hAnsi="Cambria Math"/>
                        <w:i/>
                        <w:sz w:val="20"/>
                        <w:szCs w:val="20"/>
                        <w:lang w:val="en-GB"/>
                      </w:rPr>
                    </m:ctrlPr>
                  </m:sSubPr>
                  <m:e>
                    <m:r>
                      <w:rPr>
                        <w:rFonts w:ascii="Cambria Math" w:hAnsi="Cambria Math"/>
                        <w:sz w:val="20"/>
                        <w:szCs w:val="20"/>
                        <w:lang w:val="en-GB"/>
                      </w:rPr>
                      <m:t>r</m:t>
                    </m:r>
                  </m:e>
                  <m:sub>
                    <m:r>
                      <m:rPr>
                        <m:sty m:val="p"/>
                      </m:rPr>
                      <w:rPr>
                        <w:rFonts w:ascii="Cambria Math" w:hAnsi="Cambria Math"/>
                        <w:sz w:val="20"/>
                        <w:szCs w:val="20"/>
                        <w:lang w:val="en-GB"/>
                      </w:rPr>
                      <m:t>nom</m:t>
                    </m:r>
                  </m:sub>
                </m:sSub>
                <m:r>
                  <w:rPr>
                    <w:rFonts w:ascii="Cambria Math" w:hAnsi="Cambria Math"/>
                    <w:sz w:val="20"/>
                    <w:szCs w:val="20"/>
                    <w:lang w:val="en-GB"/>
                  </w:rPr>
                  <m:t>=</m:t>
                </m:r>
                <m:d>
                  <m:dPr>
                    <m:ctrlPr>
                      <w:rPr>
                        <w:rFonts w:ascii="Cambria Math" w:hAnsi="Cambria Math"/>
                        <w:i/>
                        <w:sz w:val="20"/>
                        <w:szCs w:val="20"/>
                        <w:lang w:val="en-GB"/>
                      </w:rPr>
                    </m:ctrlPr>
                  </m:dPr>
                  <m:e>
                    <m:r>
                      <w:rPr>
                        <w:rFonts w:ascii="Cambria Math" w:hAnsi="Cambria Math"/>
                        <w:sz w:val="20"/>
                        <w:szCs w:val="20"/>
                        <w:lang w:val="en-GB"/>
                      </w:rPr>
                      <m:t>1+</m:t>
                    </m:r>
                    <m:sSub>
                      <m:sSubPr>
                        <m:ctrlPr>
                          <w:rPr>
                            <w:rFonts w:ascii="Cambria Math" w:eastAsiaTheme="minorEastAsia" w:hAnsi="Cambria Math"/>
                            <w:i/>
                            <w:sz w:val="20"/>
                            <w:szCs w:val="20"/>
                            <w:lang w:val="en-GB"/>
                          </w:rPr>
                        </m:ctrlPr>
                      </m:sSubPr>
                      <m:e>
                        <m:r>
                          <w:rPr>
                            <w:rFonts w:ascii="Cambria Math" w:hAnsi="Cambria Math"/>
                            <w:sz w:val="20"/>
                            <w:szCs w:val="20"/>
                            <w:lang w:val="en-GB"/>
                          </w:rPr>
                          <m:t>r</m:t>
                        </m:r>
                      </m:e>
                      <m:sub>
                        <m:r>
                          <m:rPr>
                            <m:sty m:val="p"/>
                          </m:rPr>
                          <w:rPr>
                            <w:rFonts w:ascii="Cambria Math" w:hAnsi="Cambria Math"/>
                            <w:sz w:val="20"/>
                            <w:szCs w:val="20"/>
                            <w:lang w:val="en-GB"/>
                          </w:rPr>
                          <m:t>real</m:t>
                        </m:r>
                      </m:sub>
                    </m:sSub>
                  </m:e>
                </m:d>
                <m:d>
                  <m:dPr>
                    <m:ctrlPr>
                      <w:rPr>
                        <w:rFonts w:ascii="Cambria Math" w:hAnsi="Cambria Math"/>
                        <w:i/>
                        <w:sz w:val="20"/>
                        <w:szCs w:val="20"/>
                        <w:lang w:val="en-GB"/>
                      </w:rPr>
                    </m:ctrlPr>
                  </m:dPr>
                  <m:e>
                    <m:r>
                      <w:rPr>
                        <w:rFonts w:ascii="Cambria Math" w:hAnsi="Cambria Math"/>
                        <w:sz w:val="20"/>
                        <w:szCs w:val="20"/>
                        <w:lang w:val="en-GB"/>
                      </w:rPr>
                      <m:t>1+i</m:t>
                    </m:r>
                  </m:e>
                </m:d>
                <m:r>
                  <w:rPr>
                    <w:rFonts w:ascii="Cambria Math" w:hAnsi="Cambria Math"/>
                    <w:sz w:val="20"/>
                    <w:szCs w:val="20"/>
                    <w:lang w:val="en-GB"/>
                  </w:rPr>
                  <m:t>-1</m:t>
                </m:r>
              </m:oMath>
            </m:oMathPara>
          </w:p>
        </w:tc>
        <w:tc>
          <w:tcPr>
            <w:tcW w:w="1695" w:type="dxa"/>
            <w:vAlign w:val="center"/>
            <w:hideMark/>
          </w:tcPr>
          <w:p w14:paraId="7A01E9B9" w14:textId="2437A01B" w:rsidR="00A04344" w:rsidRPr="00C32131" w:rsidRDefault="00A04344" w:rsidP="00215199">
            <w:pPr>
              <w:tabs>
                <w:tab w:val="center" w:pos="4820"/>
                <w:tab w:val="right" w:pos="9638"/>
              </w:tabs>
              <w:spacing w:after="120" w:line="276" w:lineRule="auto"/>
              <w:ind w:firstLine="425"/>
              <w:jc w:val="right"/>
              <w:rPr>
                <w:rFonts w:ascii="Times New Roman" w:eastAsia="宋体" w:hAnsi="Times New Roman"/>
                <w:sz w:val="20"/>
                <w:szCs w:val="20"/>
                <w:lang w:val="en-GB"/>
              </w:rPr>
            </w:pPr>
            <w:r w:rsidRPr="00C32131">
              <w:rPr>
                <w:rFonts w:eastAsia="宋体"/>
                <w:sz w:val="20"/>
                <w:szCs w:val="20"/>
                <w:lang w:val="en-GB"/>
              </w:rPr>
              <w:t>(</w:t>
            </w:r>
            <w:r w:rsidR="00524EEF" w:rsidRPr="008B3AB2">
              <w:rPr>
                <w:rFonts w:ascii="Times New Roman" w:eastAsia="宋体" w:hAnsi="Times New Roman" w:hint="eastAsia"/>
                <w:sz w:val="20"/>
                <w:szCs w:val="20"/>
                <w:lang w:val="en-GB"/>
              </w:rPr>
              <w:t>eq.</w:t>
            </w:r>
            <w:r w:rsidR="00524EEF">
              <w:rPr>
                <w:rFonts w:ascii="Times New Roman" w:eastAsia="宋体" w:hAnsi="Times New Roman" w:hint="eastAsia"/>
                <w:sz w:val="20"/>
                <w:szCs w:val="20"/>
                <w:lang w:val="en-GB"/>
              </w:rPr>
              <w:t>4</w:t>
            </w:r>
            <w:r w:rsidRPr="00C32131">
              <w:rPr>
                <w:rFonts w:eastAsia="宋体"/>
                <w:sz w:val="20"/>
                <w:szCs w:val="20"/>
                <w:lang w:val="en-GB"/>
              </w:rPr>
              <w:t>)</w:t>
            </w:r>
          </w:p>
        </w:tc>
      </w:tr>
    </w:tbl>
    <w:p w14:paraId="65A55E3F" w14:textId="5B5DDEA6" w:rsidR="00A04344" w:rsidRPr="00C32131" w:rsidRDefault="00A04344" w:rsidP="00215199">
      <w:pPr>
        <w:spacing w:after="120" w:line="276" w:lineRule="auto"/>
        <w:jc w:val="both"/>
        <w:rPr>
          <w:rFonts w:eastAsia="黑体"/>
          <w:sz w:val="20"/>
          <w:szCs w:val="20"/>
          <w:lang w:val="en-GB"/>
        </w:rPr>
      </w:pPr>
      <w:r w:rsidRPr="00C32131">
        <w:rPr>
          <w:rFonts w:eastAsia="黑体"/>
          <w:spacing w:val="-4"/>
          <w:sz w:val="20"/>
          <w:szCs w:val="20"/>
          <w:lang w:val="en-GB"/>
        </w:rPr>
        <w:t xml:space="preserve">where </w:t>
      </w:r>
      <w:proofErr w:type="spellStart"/>
      <w:r w:rsidRPr="00C32131">
        <w:rPr>
          <w:rFonts w:eastAsia="黑体"/>
          <w:i/>
          <w:iCs/>
          <w:spacing w:val="-4"/>
          <w:sz w:val="20"/>
          <w:szCs w:val="20"/>
          <w:lang w:val="en-GB"/>
        </w:rPr>
        <w:t>r</w:t>
      </w:r>
      <w:r w:rsidRPr="00C32131">
        <w:rPr>
          <w:rFonts w:eastAsia="黑体"/>
          <w:spacing w:val="-4"/>
          <w:sz w:val="20"/>
          <w:szCs w:val="20"/>
          <w:vertAlign w:val="subscript"/>
          <w:lang w:val="en-GB"/>
        </w:rPr>
        <w:t>real</w:t>
      </w:r>
      <w:proofErr w:type="spellEnd"/>
      <w:r w:rsidRPr="00C32131">
        <w:rPr>
          <w:rFonts w:eastAsia="黑体"/>
          <w:spacing w:val="-4"/>
          <w:sz w:val="20"/>
          <w:szCs w:val="20"/>
          <w:lang w:val="en-GB"/>
        </w:rPr>
        <w:t xml:space="preserve"> is the real discount rate, and </w:t>
      </w:r>
      <w:proofErr w:type="spellStart"/>
      <w:r w:rsidRPr="00C32131">
        <w:rPr>
          <w:rFonts w:eastAsia="黑体"/>
          <w:i/>
          <w:iCs/>
          <w:spacing w:val="-4"/>
          <w:sz w:val="20"/>
          <w:szCs w:val="20"/>
          <w:lang w:val="en-GB"/>
        </w:rPr>
        <w:t>i</w:t>
      </w:r>
      <w:proofErr w:type="spellEnd"/>
      <w:r w:rsidRPr="00C32131">
        <w:rPr>
          <w:rFonts w:eastAsia="黑体"/>
          <w:spacing w:val="-4"/>
          <w:sz w:val="20"/>
          <w:szCs w:val="20"/>
          <w:lang w:val="en-GB"/>
        </w:rPr>
        <w:t xml:space="preserve"> is the annual inflation rate</w:t>
      </w:r>
      <w:r w:rsidR="00524EEF">
        <w:rPr>
          <w:rFonts w:eastAsia="黑体" w:hint="eastAsia"/>
          <w:spacing w:val="-4"/>
          <w:sz w:val="20"/>
          <w:szCs w:val="20"/>
          <w:lang w:val="en-GB"/>
        </w:rPr>
        <w:t xml:space="preserve">. </w:t>
      </w:r>
      <w:r w:rsidRPr="00C32131">
        <w:rPr>
          <w:rFonts w:eastAsia="黑体"/>
          <w:sz w:val="20"/>
          <w:szCs w:val="20"/>
          <w:lang w:val="en-GB"/>
        </w:rPr>
        <w:t xml:space="preserve">The total CAPEX </w:t>
      </w:r>
      <w:r w:rsidRPr="00C32131">
        <w:rPr>
          <w:rFonts w:eastAsia="黑体"/>
          <w:i/>
          <w:iCs/>
          <w:sz w:val="20"/>
          <w:szCs w:val="20"/>
          <w:lang w:val="en-GB"/>
        </w:rPr>
        <w:t>I</w:t>
      </w:r>
      <w:r w:rsidRPr="00C32131">
        <w:rPr>
          <w:rFonts w:eastAsia="黑体"/>
          <w:sz w:val="20"/>
          <w:szCs w:val="20"/>
          <w:vertAlign w:val="subscript"/>
          <w:lang w:val="en-GB"/>
        </w:rPr>
        <w:t>0</w:t>
      </w:r>
      <w:r w:rsidRPr="00C32131">
        <w:rPr>
          <w:rFonts w:eastAsia="黑体"/>
          <w:sz w:val="20"/>
          <w:szCs w:val="20"/>
          <w:lang w:val="en-GB"/>
        </w:rPr>
        <w:t xml:space="preserve"> is calculated as:</w:t>
      </w:r>
    </w:p>
    <w:tbl>
      <w:tblPr>
        <w:tblStyle w:val="TableGrid4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4"/>
        <w:gridCol w:w="6100"/>
        <w:gridCol w:w="1650"/>
      </w:tblGrid>
      <w:tr w:rsidR="00A04344" w:rsidRPr="00A04344" w14:paraId="02E81119" w14:textId="77777777" w:rsidTr="008B3AB2">
        <w:tc>
          <w:tcPr>
            <w:tcW w:w="1413" w:type="dxa"/>
          </w:tcPr>
          <w:p w14:paraId="141D7D3E" w14:textId="77777777" w:rsidR="00A04344" w:rsidRPr="00C32131" w:rsidRDefault="00A04344" w:rsidP="00215199">
            <w:pPr>
              <w:tabs>
                <w:tab w:val="center" w:pos="4820"/>
                <w:tab w:val="right" w:pos="9638"/>
              </w:tabs>
              <w:spacing w:after="120" w:line="276" w:lineRule="auto"/>
              <w:ind w:firstLine="425"/>
              <w:jc w:val="both"/>
              <w:rPr>
                <w:rFonts w:ascii="Times New Roman" w:eastAsia="宋体" w:hAnsi="Times New Roman"/>
                <w:sz w:val="20"/>
                <w:szCs w:val="20"/>
                <w:lang w:val="en-GB"/>
              </w:rPr>
            </w:pPr>
          </w:p>
        </w:tc>
        <w:tc>
          <w:tcPr>
            <w:tcW w:w="6520" w:type="dxa"/>
          </w:tcPr>
          <w:p w14:paraId="4A5A6BA5" w14:textId="77777777" w:rsidR="00A04344" w:rsidRPr="00C32131" w:rsidRDefault="00000000" w:rsidP="00215199">
            <w:pPr>
              <w:suppressAutoHyphens/>
              <w:spacing w:after="120" w:line="276" w:lineRule="auto"/>
              <w:ind w:firstLine="425"/>
              <w:jc w:val="both"/>
              <w:rPr>
                <w:rFonts w:ascii="Times New Roman" w:eastAsiaTheme="minorEastAsia" w:hAnsi="Times New Roman"/>
                <w:i/>
                <w:sz w:val="20"/>
                <w:szCs w:val="20"/>
                <w:lang w:val="en-GB"/>
              </w:rPr>
            </w:pPr>
            <m:oMathPara>
              <m:oMathParaPr>
                <m:jc m:val="center"/>
              </m:oMathParaPr>
              <m:oMath>
                <m:sSub>
                  <m:sSubPr>
                    <m:ctrlPr>
                      <w:rPr>
                        <w:rFonts w:ascii="Cambria Math"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0</m:t>
                    </m:r>
                  </m:sub>
                </m:sSub>
                <m:r>
                  <w:rPr>
                    <w:rFonts w:ascii="Cambria Math" w:hAnsi="Cambria Math"/>
                    <w:sz w:val="20"/>
                    <w:szCs w:val="20"/>
                    <w:lang w:val="en-GB"/>
                  </w:rPr>
                  <m:t>=</m:t>
                </m:r>
                <m:sSub>
                  <m:sSubPr>
                    <m:ctrlPr>
                      <w:rPr>
                        <w:rFonts w:ascii="Cambria Math" w:hAnsi="Cambria Math"/>
                        <w:i/>
                        <w:sz w:val="20"/>
                        <w:szCs w:val="20"/>
                        <w:lang w:val="en-GB"/>
                      </w:rPr>
                    </m:ctrlPr>
                  </m:sSubPr>
                  <m:e>
                    <m:r>
                      <w:rPr>
                        <w:rFonts w:ascii="Cambria Math" w:hAnsi="Cambria Math"/>
                        <w:sz w:val="20"/>
                        <w:szCs w:val="20"/>
                        <w:lang w:val="en-GB"/>
                      </w:rPr>
                      <m:t>C</m:t>
                    </m:r>
                  </m:e>
                  <m:sub>
                    <m:r>
                      <m:rPr>
                        <m:sty m:val="p"/>
                      </m:rPr>
                      <w:rPr>
                        <w:rFonts w:ascii="Cambria Math" w:hAnsi="Cambria Math"/>
                        <w:sz w:val="20"/>
                        <w:szCs w:val="20"/>
                        <w:lang w:val="en-GB"/>
                      </w:rPr>
                      <m:t>direct</m:t>
                    </m:r>
                  </m:sub>
                </m:sSub>
                <m:r>
                  <w:rPr>
                    <w:rFonts w:ascii="Cambria Math" w:hAnsi="Cambria Math"/>
                    <w:sz w:val="20"/>
                    <w:szCs w:val="20"/>
                    <w:lang w:val="en-GB"/>
                  </w:rPr>
                  <m:t>+</m:t>
                </m:r>
                <m:sSub>
                  <m:sSubPr>
                    <m:ctrlPr>
                      <w:rPr>
                        <w:rFonts w:ascii="Cambria Math" w:hAnsi="Cambria Math"/>
                        <w:i/>
                        <w:sz w:val="20"/>
                        <w:szCs w:val="20"/>
                        <w:lang w:val="en-GB"/>
                      </w:rPr>
                    </m:ctrlPr>
                  </m:sSubPr>
                  <m:e>
                    <m:r>
                      <w:rPr>
                        <w:rFonts w:ascii="Cambria Math" w:hAnsi="Cambria Math"/>
                        <w:sz w:val="20"/>
                        <w:szCs w:val="20"/>
                        <w:lang w:val="en-GB"/>
                      </w:rPr>
                      <m:t>C</m:t>
                    </m:r>
                  </m:e>
                  <m:sub>
                    <m:r>
                      <m:rPr>
                        <m:sty m:val="p"/>
                      </m:rPr>
                      <w:rPr>
                        <w:rFonts w:ascii="Cambria Math" w:hAnsi="Cambria Math"/>
                        <w:sz w:val="20"/>
                        <w:szCs w:val="20"/>
                        <w:lang w:val="en-GB"/>
                      </w:rPr>
                      <m:t>add</m:t>
                    </m:r>
                  </m:sub>
                </m:sSub>
              </m:oMath>
            </m:oMathPara>
          </w:p>
        </w:tc>
        <w:tc>
          <w:tcPr>
            <w:tcW w:w="1695" w:type="dxa"/>
            <w:vAlign w:val="center"/>
            <w:hideMark/>
          </w:tcPr>
          <w:p w14:paraId="09E074A8" w14:textId="7735EB43" w:rsidR="00A04344" w:rsidRPr="00C32131" w:rsidRDefault="00A04344" w:rsidP="00215199">
            <w:pPr>
              <w:tabs>
                <w:tab w:val="center" w:pos="4820"/>
                <w:tab w:val="right" w:pos="9638"/>
              </w:tabs>
              <w:spacing w:after="120" w:line="276" w:lineRule="auto"/>
              <w:ind w:firstLine="425"/>
              <w:jc w:val="right"/>
              <w:rPr>
                <w:rFonts w:ascii="Times New Roman" w:eastAsia="宋体" w:hAnsi="Times New Roman"/>
                <w:sz w:val="20"/>
                <w:szCs w:val="20"/>
                <w:lang w:val="en-GB"/>
              </w:rPr>
            </w:pPr>
            <w:r w:rsidRPr="00C32131">
              <w:rPr>
                <w:rFonts w:eastAsia="宋体"/>
                <w:sz w:val="20"/>
                <w:szCs w:val="20"/>
                <w:lang w:val="en-GB"/>
              </w:rPr>
              <w:t>(</w:t>
            </w:r>
            <w:r w:rsidR="00524EEF" w:rsidRPr="008B3AB2">
              <w:rPr>
                <w:rFonts w:ascii="Times New Roman" w:eastAsia="宋体" w:hAnsi="Times New Roman" w:hint="eastAsia"/>
                <w:sz w:val="20"/>
                <w:szCs w:val="20"/>
                <w:lang w:val="en-GB"/>
              </w:rPr>
              <w:t>eq.</w:t>
            </w:r>
            <w:r w:rsidR="00524EEF">
              <w:rPr>
                <w:rFonts w:ascii="Times New Roman" w:eastAsia="宋体" w:hAnsi="Times New Roman" w:hint="eastAsia"/>
                <w:sz w:val="20"/>
                <w:szCs w:val="20"/>
                <w:lang w:val="en-GB"/>
              </w:rPr>
              <w:t>5</w:t>
            </w:r>
            <w:r w:rsidRPr="00C32131">
              <w:rPr>
                <w:rFonts w:eastAsia="宋体"/>
                <w:sz w:val="20"/>
                <w:szCs w:val="20"/>
                <w:lang w:val="en-GB"/>
              </w:rPr>
              <w:t>)</w:t>
            </w:r>
          </w:p>
        </w:tc>
      </w:tr>
    </w:tbl>
    <w:p w14:paraId="3A644A68" w14:textId="635D77F1" w:rsidR="002B20C5" w:rsidRPr="001970D9" w:rsidRDefault="00A04344" w:rsidP="00215199">
      <w:pPr>
        <w:spacing w:after="120" w:line="276" w:lineRule="auto"/>
        <w:jc w:val="both"/>
        <w:rPr>
          <w:rFonts w:eastAsiaTheme="minorEastAsia"/>
          <w:color w:val="365F91" w:themeColor="accent1" w:themeShade="BF"/>
          <w:sz w:val="20"/>
          <w:szCs w:val="20"/>
          <w:lang w:val="en-GB" w:eastAsia="de-DE"/>
        </w:rPr>
      </w:pPr>
      <w:r w:rsidRPr="00C32131">
        <w:rPr>
          <w:rFonts w:eastAsia="黑体"/>
          <w:sz w:val="20"/>
          <w:szCs w:val="20"/>
          <w:lang w:val="en-GB"/>
        </w:rPr>
        <w:t xml:space="preserve">where </w:t>
      </w:r>
      <w:proofErr w:type="spellStart"/>
      <w:r w:rsidRPr="00C32131">
        <w:rPr>
          <w:rFonts w:eastAsia="黑体"/>
          <w:i/>
          <w:iCs/>
          <w:sz w:val="20"/>
          <w:szCs w:val="20"/>
          <w:lang w:val="en-GB"/>
        </w:rPr>
        <w:t>C</w:t>
      </w:r>
      <w:r w:rsidRPr="00C32131">
        <w:rPr>
          <w:rFonts w:eastAsia="黑体"/>
          <w:sz w:val="20"/>
          <w:szCs w:val="20"/>
          <w:vertAlign w:val="subscript"/>
          <w:lang w:val="en-GB"/>
        </w:rPr>
        <w:t>direct</w:t>
      </w:r>
      <w:proofErr w:type="spellEnd"/>
      <w:r w:rsidRPr="00C32131">
        <w:rPr>
          <w:rFonts w:eastAsia="黑体"/>
          <w:sz w:val="20"/>
          <w:szCs w:val="20"/>
          <w:lang w:val="en-GB"/>
        </w:rPr>
        <w:t xml:space="preserve"> is the total direct component costs, and </w:t>
      </w:r>
      <w:r w:rsidRPr="00C32131">
        <w:rPr>
          <w:rFonts w:eastAsia="黑体"/>
          <w:i/>
          <w:iCs/>
          <w:sz w:val="20"/>
          <w:szCs w:val="20"/>
          <w:lang w:val="en-GB"/>
        </w:rPr>
        <w:t>C</w:t>
      </w:r>
      <w:r w:rsidRPr="00C32131">
        <w:rPr>
          <w:rFonts w:eastAsia="黑体"/>
          <w:sz w:val="20"/>
          <w:szCs w:val="20"/>
          <w:vertAlign w:val="subscript"/>
          <w:lang w:val="en-GB"/>
        </w:rPr>
        <w:t>add</w:t>
      </w:r>
      <w:r w:rsidRPr="00C32131">
        <w:rPr>
          <w:rFonts w:eastAsia="黑体"/>
          <w:sz w:val="20"/>
          <w:szCs w:val="20"/>
          <w:lang w:val="en-GB"/>
        </w:rPr>
        <w:t xml:space="preserve"> is a cost adder. The CAPEX </w:t>
      </w:r>
      <w:r w:rsidRPr="00C32131">
        <w:rPr>
          <w:rFonts w:eastAsia="黑体"/>
          <w:i/>
          <w:iCs/>
          <w:sz w:val="20"/>
          <w:szCs w:val="20"/>
          <w:lang w:val="en-GB"/>
        </w:rPr>
        <w:t>I</w:t>
      </w:r>
      <w:r w:rsidRPr="00C32131">
        <w:rPr>
          <w:rFonts w:eastAsia="黑体"/>
          <w:sz w:val="20"/>
          <w:szCs w:val="20"/>
          <w:vertAlign w:val="subscript"/>
          <w:lang w:val="en-GB"/>
        </w:rPr>
        <w:t>0</w:t>
      </w:r>
      <w:r w:rsidRPr="00C32131">
        <w:rPr>
          <w:rFonts w:eastAsia="黑体"/>
          <w:sz w:val="20"/>
          <w:szCs w:val="20"/>
          <w:lang w:val="en-GB"/>
        </w:rPr>
        <w:t xml:space="preserve"> is incurred at the beginning of the project (</w:t>
      </w:r>
      <w:r w:rsidRPr="00C32131">
        <w:rPr>
          <w:rFonts w:eastAsia="黑体"/>
          <w:i/>
          <w:iCs/>
          <w:sz w:val="20"/>
          <w:szCs w:val="20"/>
          <w:lang w:val="en-GB"/>
        </w:rPr>
        <w:t xml:space="preserve">t </w:t>
      </w:r>
      <w:r w:rsidRPr="00C32131">
        <w:rPr>
          <w:rFonts w:eastAsia="黑体"/>
          <w:sz w:val="20"/>
          <w:szCs w:val="20"/>
          <w:lang w:val="en-GB"/>
        </w:rPr>
        <w:t xml:space="preserve">= 0) and comprises the total direct component costs </w:t>
      </w:r>
      <w:proofErr w:type="spellStart"/>
      <w:r w:rsidRPr="00C32131">
        <w:rPr>
          <w:rFonts w:eastAsia="黑体"/>
          <w:i/>
          <w:iCs/>
          <w:sz w:val="20"/>
          <w:szCs w:val="20"/>
          <w:lang w:val="en-GB"/>
        </w:rPr>
        <w:t>C</w:t>
      </w:r>
      <w:r w:rsidRPr="00C32131">
        <w:rPr>
          <w:rFonts w:eastAsia="黑体"/>
          <w:sz w:val="20"/>
          <w:szCs w:val="20"/>
          <w:vertAlign w:val="subscript"/>
          <w:lang w:val="en-GB"/>
        </w:rPr>
        <w:t>direct</w:t>
      </w:r>
      <w:proofErr w:type="spellEnd"/>
      <w:r w:rsidRPr="00C32131">
        <w:rPr>
          <w:rFonts w:eastAsia="黑体"/>
          <w:sz w:val="20"/>
          <w:szCs w:val="20"/>
          <w:lang w:val="en-GB"/>
        </w:rPr>
        <w:t xml:space="preserve">, including PV modules, optical concentrators, spectral filters, absorbers, electrolyzers, power electronics, and tracking structures. To account for balance-of-system expenses, a cost adder </w:t>
      </w:r>
      <w:r w:rsidRPr="00C32131">
        <w:rPr>
          <w:rFonts w:eastAsia="黑体"/>
          <w:i/>
          <w:iCs/>
          <w:sz w:val="20"/>
          <w:szCs w:val="20"/>
          <w:lang w:val="en-GB"/>
        </w:rPr>
        <w:t>C</w:t>
      </w:r>
      <w:r w:rsidRPr="00C32131">
        <w:rPr>
          <w:rFonts w:eastAsia="黑体"/>
          <w:sz w:val="20"/>
          <w:szCs w:val="20"/>
          <w:vertAlign w:val="subscript"/>
          <w:lang w:val="en-GB"/>
        </w:rPr>
        <w:t>add</w:t>
      </w:r>
      <w:r w:rsidRPr="00C32131">
        <w:rPr>
          <w:rFonts w:eastAsia="黑体"/>
          <w:sz w:val="20"/>
          <w:szCs w:val="20"/>
          <w:lang w:val="en-GB"/>
        </w:rPr>
        <w:t xml:space="preserve"> covering installation, commissioning, and contingency is applied as a fixed fraction of the direct costs. In this study, </w:t>
      </w:r>
      <w:r w:rsidRPr="00C32131">
        <w:rPr>
          <w:rFonts w:eastAsia="黑体"/>
          <w:i/>
          <w:iCs/>
          <w:sz w:val="20"/>
          <w:szCs w:val="20"/>
          <w:lang w:val="en-GB"/>
        </w:rPr>
        <w:t>C</w:t>
      </w:r>
      <w:r w:rsidRPr="00C32131">
        <w:rPr>
          <w:rFonts w:eastAsia="黑体"/>
          <w:sz w:val="20"/>
          <w:szCs w:val="20"/>
          <w:vertAlign w:val="subscript"/>
          <w:lang w:val="en-GB"/>
        </w:rPr>
        <w:t>add</w:t>
      </w:r>
      <w:r w:rsidRPr="00C32131">
        <w:rPr>
          <w:rFonts w:eastAsia="黑体"/>
          <w:sz w:val="20"/>
          <w:szCs w:val="20"/>
          <w:lang w:val="en-GB"/>
        </w:rPr>
        <w:t xml:space="preserve"> is set to 10% of </w:t>
      </w:r>
      <w:proofErr w:type="spellStart"/>
      <w:r w:rsidRPr="00C32131">
        <w:rPr>
          <w:rFonts w:eastAsia="黑体"/>
          <w:i/>
          <w:iCs/>
          <w:sz w:val="20"/>
          <w:szCs w:val="20"/>
          <w:lang w:val="en-GB"/>
        </w:rPr>
        <w:t>C</w:t>
      </w:r>
      <w:r w:rsidRPr="00C32131">
        <w:rPr>
          <w:rFonts w:eastAsia="黑体"/>
          <w:sz w:val="20"/>
          <w:szCs w:val="20"/>
          <w:vertAlign w:val="subscript"/>
          <w:lang w:val="en-GB"/>
        </w:rPr>
        <w:t>direct</w:t>
      </w:r>
      <w:proofErr w:type="spellEnd"/>
      <w:r w:rsidRPr="00C32131">
        <w:rPr>
          <w:rFonts w:eastAsia="黑体"/>
          <w:sz w:val="20"/>
          <w:szCs w:val="20"/>
          <w:lang w:val="en-GB"/>
        </w:rPr>
        <w:t>.</w:t>
      </w:r>
      <w:r w:rsidRPr="00C32131">
        <w:rPr>
          <w:sz w:val="20"/>
          <w:szCs w:val="20"/>
        </w:rPr>
        <w:t xml:space="preserve"> </w:t>
      </w:r>
    </w:p>
    <w:p w14:paraId="2D8A2E2B" w14:textId="28A2C248" w:rsidR="00553731" w:rsidRDefault="00AF23BD" w:rsidP="00215199">
      <w:pPr>
        <w:pStyle w:val="SWCText"/>
        <w:jc w:val="center"/>
        <w:rPr>
          <w:b/>
          <w:sz w:val="16"/>
          <w:szCs w:val="20"/>
        </w:rPr>
      </w:pPr>
      <w:r w:rsidRPr="00AF23BD">
        <w:rPr>
          <w:b/>
          <w:sz w:val="16"/>
          <w:szCs w:val="20"/>
        </w:rPr>
        <w:t>Tab. 2: Key component-cost and economic assumptions used in the techno-economic assessment.</w:t>
      </w:r>
    </w:p>
    <w:tbl>
      <w:tblPr>
        <w:tblStyle w:val="TableGrid"/>
        <w:tblW w:w="0" w:type="auto"/>
        <w:tblLook w:val="04A0" w:firstRow="1" w:lastRow="0" w:firstColumn="1" w:lastColumn="0" w:noHBand="0" w:noVBand="1"/>
      </w:tblPr>
      <w:tblGrid>
        <w:gridCol w:w="1260"/>
        <w:gridCol w:w="2742"/>
        <w:gridCol w:w="1961"/>
        <w:gridCol w:w="1633"/>
        <w:gridCol w:w="1468"/>
      </w:tblGrid>
      <w:tr w:rsidR="00E15373" w14:paraId="3507F7B3" w14:textId="179250B0" w:rsidTr="00E15373">
        <w:trPr>
          <w:tblHeader/>
        </w:trPr>
        <w:tc>
          <w:tcPr>
            <w:tcW w:w="1260" w:type="dxa"/>
            <w:hideMark/>
          </w:tcPr>
          <w:p w14:paraId="40F8D980" w14:textId="77777777" w:rsidR="00E15373" w:rsidRPr="00553731" w:rsidRDefault="00E15373" w:rsidP="00FB4CF3">
            <w:pPr>
              <w:spacing w:after="80"/>
              <w:jc w:val="center"/>
              <w:rPr>
                <w:b/>
                <w:bCs/>
                <w:sz w:val="20"/>
                <w:szCs w:val="20"/>
              </w:rPr>
            </w:pPr>
            <w:r w:rsidRPr="00553731">
              <w:rPr>
                <w:b/>
                <w:bCs/>
                <w:sz w:val="20"/>
                <w:szCs w:val="20"/>
              </w:rPr>
              <w:t>Category</w:t>
            </w:r>
          </w:p>
        </w:tc>
        <w:tc>
          <w:tcPr>
            <w:tcW w:w="2742" w:type="dxa"/>
            <w:hideMark/>
          </w:tcPr>
          <w:p w14:paraId="25BCD7F2" w14:textId="77777777" w:rsidR="00E15373" w:rsidRPr="00553731" w:rsidRDefault="00E15373" w:rsidP="00FB4CF3">
            <w:pPr>
              <w:spacing w:after="80"/>
              <w:jc w:val="center"/>
              <w:rPr>
                <w:b/>
                <w:bCs/>
                <w:sz w:val="20"/>
                <w:szCs w:val="20"/>
              </w:rPr>
            </w:pPr>
            <w:r w:rsidRPr="00553731">
              <w:rPr>
                <w:b/>
                <w:bCs/>
                <w:sz w:val="20"/>
                <w:szCs w:val="20"/>
              </w:rPr>
              <w:t>Parameter</w:t>
            </w:r>
          </w:p>
        </w:tc>
        <w:tc>
          <w:tcPr>
            <w:tcW w:w="1961" w:type="dxa"/>
            <w:hideMark/>
          </w:tcPr>
          <w:p w14:paraId="0B3D540B" w14:textId="00136C9D" w:rsidR="00E15373" w:rsidRPr="00E15373" w:rsidRDefault="00E15373" w:rsidP="00E15373">
            <w:pPr>
              <w:spacing w:after="80"/>
              <w:jc w:val="center"/>
              <w:rPr>
                <w:rFonts w:eastAsiaTheme="minorEastAsia"/>
                <w:b/>
                <w:bCs/>
                <w:sz w:val="20"/>
                <w:szCs w:val="20"/>
              </w:rPr>
            </w:pPr>
            <w:r w:rsidRPr="00553731">
              <w:rPr>
                <w:b/>
                <w:bCs/>
                <w:sz w:val="20"/>
                <w:szCs w:val="20"/>
              </w:rPr>
              <w:t>Assumption</w:t>
            </w:r>
            <w:r>
              <w:rPr>
                <w:rFonts w:eastAsiaTheme="minorEastAsia" w:hint="eastAsia"/>
                <w:b/>
                <w:bCs/>
                <w:sz w:val="20"/>
                <w:szCs w:val="20"/>
              </w:rPr>
              <w:t xml:space="preserve"> </w:t>
            </w:r>
            <w:r w:rsidRPr="00127A90">
              <w:rPr>
                <w:b/>
                <w:bCs/>
                <w:sz w:val="20"/>
                <w:szCs w:val="20"/>
              </w:rPr>
              <w:t>(unit cost; basis quantity)</w:t>
            </w:r>
          </w:p>
          <w:p w14:paraId="58B52D96" w14:textId="4ACDE830" w:rsidR="00E15373" w:rsidRPr="00553731" w:rsidRDefault="00E15373" w:rsidP="00FB4CF3">
            <w:pPr>
              <w:spacing w:after="80"/>
              <w:jc w:val="center"/>
              <w:rPr>
                <w:b/>
                <w:bCs/>
                <w:sz w:val="20"/>
                <w:szCs w:val="20"/>
              </w:rPr>
            </w:pPr>
          </w:p>
        </w:tc>
        <w:tc>
          <w:tcPr>
            <w:tcW w:w="1633" w:type="dxa"/>
            <w:hideMark/>
          </w:tcPr>
          <w:p w14:paraId="39A2C90E" w14:textId="77777777" w:rsidR="00E15373" w:rsidRPr="00553731" w:rsidRDefault="00E15373" w:rsidP="00FB4CF3">
            <w:pPr>
              <w:spacing w:after="80"/>
              <w:jc w:val="center"/>
              <w:rPr>
                <w:b/>
                <w:bCs/>
                <w:sz w:val="20"/>
                <w:szCs w:val="20"/>
              </w:rPr>
            </w:pPr>
            <w:r w:rsidRPr="00553731">
              <w:rPr>
                <w:b/>
                <w:bCs/>
                <w:sz w:val="20"/>
                <w:szCs w:val="20"/>
              </w:rPr>
              <w:t>Unit</w:t>
            </w:r>
          </w:p>
        </w:tc>
        <w:tc>
          <w:tcPr>
            <w:tcW w:w="1468" w:type="dxa"/>
          </w:tcPr>
          <w:p w14:paraId="632E3133" w14:textId="292B94C0" w:rsidR="00E15373" w:rsidRPr="008702AA" w:rsidRDefault="00E15373" w:rsidP="00FB4CF3">
            <w:pPr>
              <w:spacing w:after="80"/>
              <w:jc w:val="center"/>
              <w:rPr>
                <w:rFonts w:eastAsiaTheme="minorEastAsia"/>
                <w:b/>
                <w:bCs/>
                <w:sz w:val="20"/>
                <w:szCs w:val="20"/>
              </w:rPr>
            </w:pPr>
            <w:r w:rsidRPr="00E15373">
              <w:rPr>
                <w:b/>
                <w:bCs/>
                <w:spacing w:val="-2"/>
                <w:sz w:val="20"/>
                <w:szCs w:val="20"/>
                <w:lang w:val="en-GB"/>
              </w:rPr>
              <w:t>Ref</w:t>
            </w:r>
            <w:r w:rsidR="008702AA">
              <w:rPr>
                <w:rFonts w:eastAsiaTheme="minorEastAsia" w:hint="eastAsia"/>
                <w:b/>
                <w:bCs/>
                <w:spacing w:val="-2"/>
                <w:sz w:val="20"/>
                <w:szCs w:val="20"/>
                <w:lang w:val="en-GB"/>
              </w:rPr>
              <w:t>.</w:t>
            </w:r>
          </w:p>
        </w:tc>
      </w:tr>
      <w:tr w:rsidR="00E15373" w14:paraId="0BED8DEE" w14:textId="7E225361" w:rsidTr="00E15373">
        <w:tc>
          <w:tcPr>
            <w:tcW w:w="1260" w:type="dxa"/>
            <w:vMerge w:val="restart"/>
            <w:hideMark/>
          </w:tcPr>
          <w:p w14:paraId="0DB67129" w14:textId="77777777" w:rsidR="00E15373" w:rsidRPr="00553731" w:rsidRDefault="00E15373" w:rsidP="00FB4CF3">
            <w:pPr>
              <w:spacing w:after="80"/>
              <w:jc w:val="center"/>
              <w:rPr>
                <w:sz w:val="20"/>
                <w:szCs w:val="20"/>
              </w:rPr>
            </w:pPr>
            <w:r w:rsidRPr="00553731">
              <w:rPr>
                <w:sz w:val="20"/>
                <w:szCs w:val="20"/>
              </w:rPr>
              <w:t>Solar collection and conversion</w:t>
            </w:r>
          </w:p>
          <w:p w14:paraId="2B1FF149" w14:textId="77777777" w:rsidR="00E15373" w:rsidRPr="00AF23BD" w:rsidRDefault="00E15373" w:rsidP="00FB4CF3">
            <w:pPr>
              <w:spacing w:after="80"/>
              <w:jc w:val="center"/>
              <w:rPr>
                <w:rFonts w:eastAsiaTheme="minorEastAsia"/>
                <w:sz w:val="20"/>
                <w:szCs w:val="20"/>
              </w:rPr>
            </w:pPr>
          </w:p>
        </w:tc>
        <w:tc>
          <w:tcPr>
            <w:tcW w:w="2742" w:type="dxa"/>
            <w:hideMark/>
          </w:tcPr>
          <w:p w14:paraId="03784AA0" w14:textId="77777777" w:rsidR="00E15373" w:rsidRPr="00553731" w:rsidRDefault="00E15373" w:rsidP="00FB4CF3">
            <w:pPr>
              <w:spacing w:after="80"/>
              <w:jc w:val="center"/>
              <w:rPr>
                <w:sz w:val="20"/>
                <w:szCs w:val="20"/>
              </w:rPr>
            </w:pPr>
            <w:r w:rsidRPr="00553731">
              <w:rPr>
                <w:sz w:val="20"/>
                <w:szCs w:val="20"/>
              </w:rPr>
              <w:t>Concentrated PV module cost</w:t>
            </w:r>
          </w:p>
        </w:tc>
        <w:tc>
          <w:tcPr>
            <w:tcW w:w="1961" w:type="dxa"/>
            <w:hideMark/>
          </w:tcPr>
          <w:p w14:paraId="38D38C14" w14:textId="77777777" w:rsidR="00E15373" w:rsidRPr="00553731" w:rsidRDefault="00E15373" w:rsidP="00FB4CF3">
            <w:pPr>
              <w:spacing w:after="80"/>
              <w:jc w:val="center"/>
              <w:rPr>
                <w:sz w:val="20"/>
                <w:szCs w:val="20"/>
              </w:rPr>
            </w:pPr>
            <w:r w:rsidRPr="00553731">
              <w:rPr>
                <w:sz w:val="20"/>
                <w:szCs w:val="20"/>
              </w:rPr>
              <w:t>1200; 0.24</w:t>
            </w:r>
          </w:p>
        </w:tc>
        <w:tc>
          <w:tcPr>
            <w:tcW w:w="1633" w:type="dxa"/>
            <w:hideMark/>
          </w:tcPr>
          <w:p w14:paraId="26B1BEB3" w14:textId="77777777" w:rsidR="00E15373" w:rsidRPr="00553731" w:rsidRDefault="00E15373" w:rsidP="00FB4CF3">
            <w:pPr>
              <w:spacing w:after="80"/>
              <w:jc w:val="center"/>
              <w:rPr>
                <w:sz w:val="20"/>
                <w:szCs w:val="20"/>
              </w:rPr>
            </w:pPr>
            <w:r w:rsidRPr="00553731">
              <w:rPr>
                <w:sz w:val="20"/>
                <w:szCs w:val="20"/>
              </w:rPr>
              <w:t>EUR m⁻²; m²</w:t>
            </w:r>
          </w:p>
        </w:tc>
        <w:tc>
          <w:tcPr>
            <w:tcW w:w="1468" w:type="dxa"/>
          </w:tcPr>
          <w:p w14:paraId="05E5B8FC" w14:textId="4757996E" w:rsidR="00E15373" w:rsidRPr="00553731" w:rsidRDefault="00E15373" w:rsidP="00FB4CF3">
            <w:pPr>
              <w:spacing w:after="80"/>
              <w:jc w:val="center"/>
              <w:rPr>
                <w:sz w:val="20"/>
                <w:szCs w:val="20"/>
              </w:rPr>
            </w:pPr>
            <w:r w:rsidRPr="00E15373">
              <w:rPr>
                <w:sz w:val="20"/>
                <w:szCs w:val="20"/>
              </w:rPr>
              <w:t>(Lee et al., 2020)</w:t>
            </w:r>
          </w:p>
        </w:tc>
      </w:tr>
      <w:tr w:rsidR="00E15373" w14:paraId="7BBABBA6" w14:textId="58F6620E" w:rsidTr="00E15373">
        <w:tc>
          <w:tcPr>
            <w:tcW w:w="1260" w:type="dxa"/>
            <w:vMerge/>
            <w:hideMark/>
          </w:tcPr>
          <w:p w14:paraId="336AA014" w14:textId="77777777" w:rsidR="00E15373" w:rsidRPr="00AF23BD" w:rsidRDefault="00E15373" w:rsidP="00FB4CF3">
            <w:pPr>
              <w:spacing w:after="80"/>
              <w:jc w:val="center"/>
              <w:rPr>
                <w:rFonts w:eastAsiaTheme="minorEastAsia"/>
                <w:sz w:val="20"/>
                <w:szCs w:val="20"/>
              </w:rPr>
            </w:pPr>
          </w:p>
        </w:tc>
        <w:tc>
          <w:tcPr>
            <w:tcW w:w="2742" w:type="dxa"/>
            <w:hideMark/>
          </w:tcPr>
          <w:p w14:paraId="1C8BF716" w14:textId="77777777" w:rsidR="00E15373" w:rsidRPr="00553731" w:rsidRDefault="00E15373" w:rsidP="00FB4CF3">
            <w:pPr>
              <w:spacing w:after="80"/>
              <w:jc w:val="center"/>
              <w:rPr>
                <w:sz w:val="20"/>
                <w:szCs w:val="20"/>
              </w:rPr>
            </w:pPr>
            <w:r w:rsidRPr="00553731">
              <w:rPr>
                <w:sz w:val="20"/>
                <w:szCs w:val="20"/>
              </w:rPr>
              <w:t>Parabolic reflector cost</w:t>
            </w:r>
          </w:p>
        </w:tc>
        <w:tc>
          <w:tcPr>
            <w:tcW w:w="1961" w:type="dxa"/>
            <w:hideMark/>
          </w:tcPr>
          <w:p w14:paraId="4092B5F9" w14:textId="77777777" w:rsidR="00E15373" w:rsidRPr="00553731" w:rsidRDefault="00E15373" w:rsidP="00FB4CF3">
            <w:pPr>
              <w:spacing w:after="80"/>
              <w:jc w:val="center"/>
              <w:rPr>
                <w:sz w:val="20"/>
                <w:szCs w:val="20"/>
              </w:rPr>
            </w:pPr>
            <w:r w:rsidRPr="00553731">
              <w:rPr>
                <w:sz w:val="20"/>
                <w:szCs w:val="20"/>
              </w:rPr>
              <w:t>100; 5.04</w:t>
            </w:r>
          </w:p>
        </w:tc>
        <w:tc>
          <w:tcPr>
            <w:tcW w:w="1633" w:type="dxa"/>
            <w:hideMark/>
          </w:tcPr>
          <w:p w14:paraId="575BE706" w14:textId="77777777" w:rsidR="00E15373" w:rsidRPr="00553731" w:rsidRDefault="00E15373" w:rsidP="00FB4CF3">
            <w:pPr>
              <w:spacing w:after="80"/>
              <w:jc w:val="center"/>
              <w:rPr>
                <w:sz w:val="20"/>
                <w:szCs w:val="20"/>
              </w:rPr>
            </w:pPr>
            <w:r w:rsidRPr="00553731">
              <w:rPr>
                <w:sz w:val="20"/>
                <w:szCs w:val="20"/>
              </w:rPr>
              <w:t>EUR m⁻²; m²</w:t>
            </w:r>
          </w:p>
        </w:tc>
        <w:tc>
          <w:tcPr>
            <w:tcW w:w="1468" w:type="dxa"/>
          </w:tcPr>
          <w:p w14:paraId="7F1C8A00" w14:textId="35FBF91C" w:rsidR="00E15373" w:rsidRPr="00553731" w:rsidRDefault="00E15373" w:rsidP="00FB4CF3">
            <w:pPr>
              <w:spacing w:after="80"/>
              <w:jc w:val="center"/>
              <w:rPr>
                <w:sz w:val="20"/>
                <w:szCs w:val="20"/>
              </w:rPr>
            </w:pPr>
            <w:r w:rsidRPr="00E15373">
              <w:rPr>
                <w:sz w:val="20"/>
                <w:szCs w:val="20"/>
              </w:rPr>
              <w:t>(Peacock et al., 2022)</w:t>
            </w:r>
          </w:p>
        </w:tc>
      </w:tr>
      <w:tr w:rsidR="00E15373" w14:paraId="49D7F9DD" w14:textId="04E716D1" w:rsidTr="00E15373">
        <w:tc>
          <w:tcPr>
            <w:tcW w:w="1260" w:type="dxa"/>
            <w:vMerge/>
            <w:hideMark/>
          </w:tcPr>
          <w:p w14:paraId="45BDD3C7" w14:textId="77777777" w:rsidR="00E15373" w:rsidRPr="00AF23BD" w:rsidRDefault="00E15373" w:rsidP="00FB4CF3">
            <w:pPr>
              <w:spacing w:after="80"/>
              <w:jc w:val="center"/>
              <w:rPr>
                <w:rFonts w:eastAsiaTheme="minorEastAsia"/>
                <w:sz w:val="20"/>
                <w:szCs w:val="20"/>
              </w:rPr>
            </w:pPr>
          </w:p>
        </w:tc>
        <w:tc>
          <w:tcPr>
            <w:tcW w:w="2742" w:type="dxa"/>
            <w:hideMark/>
          </w:tcPr>
          <w:p w14:paraId="1E725887" w14:textId="77777777" w:rsidR="00E15373" w:rsidRPr="00553731" w:rsidRDefault="00E15373" w:rsidP="00FB4CF3">
            <w:pPr>
              <w:spacing w:after="80"/>
              <w:jc w:val="center"/>
              <w:rPr>
                <w:sz w:val="20"/>
                <w:szCs w:val="20"/>
              </w:rPr>
            </w:pPr>
            <w:r w:rsidRPr="00553731">
              <w:rPr>
                <w:sz w:val="20"/>
                <w:szCs w:val="20"/>
              </w:rPr>
              <w:t>Spectral-splitting filter cost</w:t>
            </w:r>
          </w:p>
        </w:tc>
        <w:tc>
          <w:tcPr>
            <w:tcW w:w="1961" w:type="dxa"/>
            <w:hideMark/>
          </w:tcPr>
          <w:p w14:paraId="23BB07B7" w14:textId="77777777" w:rsidR="00E15373" w:rsidRPr="00553731" w:rsidRDefault="00E15373" w:rsidP="00FB4CF3">
            <w:pPr>
              <w:spacing w:after="80"/>
              <w:jc w:val="center"/>
              <w:rPr>
                <w:sz w:val="20"/>
                <w:szCs w:val="20"/>
              </w:rPr>
            </w:pPr>
            <w:r w:rsidRPr="00553731">
              <w:rPr>
                <w:sz w:val="20"/>
                <w:szCs w:val="20"/>
              </w:rPr>
              <w:t>800; 0.32</w:t>
            </w:r>
          </w:p>
        </w:tc>
        <w:tc>
          <w:tcPr>
            <w:tcW w:w="1633" w:type="dxa"/>
            <w:hideMark/>
          </w:tcPr>
          <w:p w14:paraId="5923B4B2" w14:textId="77777777" w:rsidR="00E15373" w:rsidRPr="00553731" w:rsidRDefault="00E15373" w:rsidP="00FB4CF3">
            <w:pPr>
              <w:spacing w:after="80"/>
              <w:jc w:val="center"/>
              <w:rPr>
                <w:sz w:val="20"/>
                <w:szCs w:val="20"/>
              </w:rPr>
            </w:pPr>
            <w:r w:rsidRPr="00553731">
              <w:rPr>
                <w:sz w:val="20"/>
                <w:szCs w:val="20"/>
              </w:rPr>
              <w:t>EUR m⁻²; m²</w:t>
            </w:r>
          </w:p>
        </w:tc>
        <w:tc>
          <w:tcPr>
            <w:tcW w:w="1468" w:type="dxa"/>
          </w:tcPr>
          <w:p w14:paraId="30630A4C" w14:textId="1DD185F2" w:rsidR="00E15373" w:rsidRPr="00553731" w:rsidRDefault="00E15373" w:rsidP="00FB4CF3">
            <w:pPr>
              <w:spacing w:after="80"/>
              <w:jc w:val="center"/>
              <w:rPr>
                <w:sz w:val="20"/>
                <w:szCs w:val="20"/>
              </w:rPr>
            </w:pPr>
            <w:r w:rsidRPr="00E15373">
              <w:rPr>
                <w:sz w:val="20"/>
                <w:szCs w:val="20"/>
              </w:rPr>
              <w:t>(Peacock et al., 2022)</w:t>
            </w:r>
          </w:p>
        </w:tc>
      </w:tr>
      <w:tr w:rsidR="00E15373" w14:paraId="4595491C" w14:textId="628ECC31" w:rsidTr="00E15373">
        <w:tc>
          <w:tcPr>
            <w:tcW w:w="1260" w:type="dxa"/>
            <w:vMerge/>
            <w:hideMark/>
          </w:tcPr>
          <w:p w14:paraId="7D996E05" w14:textId="77777777" w:rsidR="00E15373" w:rsidRPr="00AF23BD" w:rsidRDefault="00E15373" w:rsidP="00FB4CF3">
            <w:pPr>
              <w:spacing w:after="80"/>
              <w:jc w:val="center"/>
              <w:rPr>
                <w:rFonts w:eastAsiaTheme="minorEastAsia"/>
                <w:sz w:val="20"/>
                <w:szCs w:val="20"/>
              </w:rPr>
            </w:pPr>
          </w:p>
        </w:tc>
        <w:tc>
          <w:tcPr>
            <w:tcW w:w="2742" w:type="dxa"/>
            <w:hideMark/>
          </w:tcPr>
          <w:p w14:paraId="021EB4C0" w14:textId="77777777" w:rsidR="00E15373" w:rsidRPr="00553731" w:rsidRDefault="00E15373" w:rsidP="00FB4CF3">
            <w:pPr>
              <w:spacing w:after="80"/>
              <w:jc w:val="center"/>
              <w:rPr>
                <w:sz w:val="20"/>
                <w:szCs w:val="20"/>
              </w:rPr>
            </w:pPr>
            <w:r w:rsidRPr="00553731">
              <w:rPr>
                <w:sz w:val="20"/>
                <w:szCs w:val="20"/>
              </w:rPr>
              <w:t>Evacuated-tube absorber cost</w:t>
            </w:r>
          </w:p>
        </w:tc>
        <w:tc>
          <w:tcPr>
            <w:tcW w:w="1961" w:type="dxa"/>
            <w:hideMark/>
          </w:tcPr>
          <w:p w14:paraId="6F08D1D6" w14:textId="77777777" w:rsidR="00E15373" w:rsidRPr="00553731" w:rsidRDefault="00E15373" w:rsidP="00FB4CF3">
            <w:pPr>
              <w:spacing w:after="80"/>
              <w:jc w:val="center"/>
              <w:rPr>
                <w:sz w:val="20"/>
                <w:szCs w:val="20"/>
              </w:rPr>
            </w:pPr>
            <w:r w:rsidRPr="00553731">
              <w:rPr>
                <w:sz w:val="20"/>
                <w:szCs w:val="20"/>
              </w:rPr>
              <w:t>100; 0.24</w:t>
            </w:r>
          </w:p>
        </w:tc>
        <w:tc>
          <w:tcPr>
            <w:tcW w:w="1633" w:type="dxa"/>
            <w:hideMark/>
          </w:tcPr>
          <w:p w14:paraId="4066DF67" w14:textId="77777777" w:rsidR="00E15373" w:rsidRPr="00553731" w:rsidRDefault="00E15373" w:rsidP="00FB4CF3">
            <w:pPr>
              <w:spacing w:after="80"/>
              <w:jc w:val="center"/>
              <w:rPr>
                <w:sz w:val="20"/>
                <w:szCs w:val="20"/>
              </w:rPr>
            </w:pPr>
            <w:r w:rsidRPr="00553731">
              <w:rPr>
                <w:sz w:val="20"/>
                <w:szCs w:val="20"/>
              </w:rPr>
              <w:t>EUR m⁻²; m²</w:t>
            </w:r>
          </w:p>
        </w:tc>
        <w:tc>
          <w:tcPr>
            <w:tcW w:w="1468" w:type="dxa"/>
          </w:tcPr>
          <w:p w14:paraId="1B3C51B0" w14:textId="03C5FBF4" w:rsidR="00E15373" w:rsidRPr="00553731" w:rsidRDefault="00E15373" w:rsidP="00FB4CF3">
            <w:pPr>
              <w:spacing w:after="80"/>
              <w:jc w:val="center"/>
              <w:rPr>
                <w:sz w:val="20"/>
                <w:szCs w:val="20"/>
              </w:rPr>
            </w:pPr>
            <w:r w:rsidRPr="00E15373">
              <w:rPr>
                <w:sz w:val="20"/>
                <w:szCs w:val="20"/>
              </w:rPr>
              <w:t>(Peacock et al., 2022)</w:t>
            </w:r>
          </w:p>
        </w:tc>
      </w:tr>
      <w:tr w:rsidR="00E15373" w14:paraId="22A90C0A" w14:textId="74169743" w:rsidTr="00E15373">
        <w:tc>
          <w:tcPr>
            <w:tcW w:w="1260" w:type="dxa"/>
            <w:hideMark/>
          </w:tcPr>
          <w:p w14:paraId="0B229715" w14:textId="77777777" w:rsidR="00E15373" w:rsidRPr="00553731" w:rsidRDefault="00E15373" w:rsidP="00FB4CF3">
            <w:pPr>
              <w:spacing w:after="80"/>
              <w:jc w:val="center"/>
              <w:rPr>
                <w:sz w:val="20"/>
                <w:szCs w:val="20"/>
              </w:rPr>
            </w:pPr>
            <w:r w:rsidRPr="00553731">
              <w:rPr>
                <w:sz w:val="20"/>
                <w:szCs w:val="20"/>
              </w:rPr>
              <w:t>Electrolysis</w:t>
            </w:r>
          </w:p>
        </w:tc>
        <w:tc>
          <w:tcPr>
            <w:tcW w:w="2742" w:type="dxa"/>
            <w:hideMark/>
          </w:tcPr>
          <w:p w14:paraId="490AC749" w14:textId="77777777" w:rsidR="00E15373" w:rsidRPr="00553731" w:rsidRDefault="00E15373" w:rsidP="00FB4CF3">
            <w:pPr>
              <w:spacing w:after="80"/>
              <w:jc w:val="center"/>
              <w:rPr>
                <w:sz w:val="20"/>
                <w:szCs w:val="20"/>
              </w:rPr>
            </w:pPr>
            <w:proofErr w:type="spellStart"/>
            <w:r w:rsidRPr="00553731">
              <w:rPr>
                <w:sz w:val="20"/>
                <w:szCs w:val="20"/>
              </w:rPr>
              <w:t>Electrolyzer</w:t>
            </w:r>
            <w:proofErr w:type="spellEnd"/>
            <w:r w:rsidRPr="00553731">
              <w:rPr>
                <w:sz w:val="20"/>
                <w:szCs w:val="20"/>
              </w:rPr>
              <w:t xml:space="preserve"> stack cost</w:t>
            </w:r>
          </w:p>
        </w:tc>
        <w:tc>
          <w:tcPr>
            <w:tcW w:w="1961" w:type="dxa"/>
            <w:hideMark/>
          </w:tcPr>
          <w:p w14:paraId="3D8C2060" w14:textId="77777777" w:rsidR="00E15373" w:rsidRPr="00553731" w:rsidRDefault="00E15373" w:rsidP="00FB4CF3">
            <w:pPr>
              <w:spacing w:after="80"/>
              <w:jc w:val="center"/>
              <w:rPr>
                <w:sz w:val="20"/>
                <w:szCs w:val="20"/>
              </w:rPr>
            </w:pPr>
            <w:r w:rsidRPr="00553731">
              <w:rPr>
                <w:sz w:val="20"/>
                <w:szCs w:val="20"/>
              </w:rPr>
              <w:t>350; 1.0</w:t>
            </w:r>
          </w:p>
        </w:tc>
        <w:tc>
          <w:tcPr>
            <w:tcW w:w="1633" w:type="dxa"/>
            <w:hideMark/>
          </w:tcPr>
          <w:p w14:paraId="43C2C915" w14:textId="77777777" w:rsidR="00E15373" w:rsidRPr="00553731" w:rsidRDefault="00E15373" w:rsidP="00FB4CF3">
            <w:pPr>
              <w:spacing w:after="80"/>
              <w:jc w:val="center"/>
              <w:rPr>
                <w:sz w:val="20"/>
                <w:szCs w:val="20"/>
              </w:rPr>
            </w:pPr>
            <w:r w:rsidRPr="00553731">
              <w:rPr>
                <w:sz w:val="20"/>
                <w:szCs w:val="20"/>
              </w:rPr>
              <w:t>EUR kW⁻¹; kW</w:t>
            </w:r>
          </w:p>
        </w:tc>
        <w:tc>
          <w:tcPr>
            <w:tcW w:w="1468" w:type="dxa"/>
          </w:tcPr>
          <w:p w14:paraId="21B5ECBD" w14:textId="5845BAE7" w:rsidR="00E15373" w:rsidRPr="00553731" w:rsidRDefault="00E15373" w:rsidP="00FB4CF3">
            <w:pPr>
              <w:spacing w:after="80"/>
              <w:jc w:val="center"/>
              <w:rPr>
                <w:sz w:val="20"/>
                <w:szCs w:val="20"/>
              </w:rPr>
            </w:pPr>
            <w:r w:rsidRPr="00E15373">
              <w:rPr>
                <w:sz w:val="20"/>
                <w:szCs w:val="20"/>
              </w:rPr>
              <w:t>(Esposito, 2017)</w:t>
            </w:r>
          </w:p>
        </w:tc>
      </w:tr>
      <w:tr w:rsidR="00E15373" w14:paraId="0BD035BE" w14:textId="7A84CCAB" w:rsidTr="00E15373">
        <w:tc>
          <w:tcPr>
            <w:tcW w:w="1260" w:type="dxa"/>
            <w:vMerge w:val="restart"/>
            <w:hideMark/>
          </w:tcPr>
          <w:p w14:paraId="637DC790" w14:textId="77777777" w:rsidR="00E15373" w:rsidRPr="00553731" w:rsidRDefault="00E15373" w:rsidP="00FB4CF3">
            <w:pPr>
              <w:spacing w:after="80"/>
              <w:jc w:val="center"/>
              <w:rPr>
                <w:sz w:val="20"/>
                <w:szCs w:val="20"/>
              </w:rPr>
            </w:pPr>
            <w:r w:rsidRPr="00553731">
              <w:rPr>
                <w:sz w:val="20"/>
                <w:szCs w:val="20"/>
              </w:rPr>
              <w:t>Tracking</w:t>
            </w:r>
          </w:p>
          <w:p w14:paraId="6B5DCC7B" w14:textId="77777777" w:rsidR="00E15373" w:rsidRPr="00553731" w:rsidRDefault="00E15373" w:rsidP="00FB4CF3">
            <w:pPr>
              <w:spacing w:after="80"/>
              <w:jc w:val="center"/>
              <w:rPr>
                <w:sz w:val="20"/>
                <w:szCs w:val="20"/>
              </w:rPr>
            </w:pPr>
          </w:p>
        </w:tc>
        <w:tc>
          <w:tcPr>
            <w:tcW w:w="2742" w:type="dxa"/>
            <w:hideMark/>
          </w:tcPr>
          <w:p w14:paraId="087A7D7A" w14:textId="77777777" w:rsidR="00E15373" w:rsidRPr="00553731" w:rsidRDefault="00E15373" w:rsidP="00FB4CF3">
            <w:pPr>
              <w:spacing w:after="80"/>
              <w:jc w:val="center"/>
              <w:rPr>
                <w:sz w:val="20"/>
                <w:szCs w:val="20"/>
              </w:rPr>
            </w:pPr>
            <w:r w:rsidRPr="00553731">
              <w:rPr>
                <w:sz w:val="20"/>
                <w:szCs w:val="20"/>
              </w:rPr>
              <w:t>Single axis tracker cost</w:t>
            </w:r>
          </w:p>
        </w:tc>
        <w:tc>
          <w:tcPr>
            <w:tcW w:w="1961" w:type="dxa"/>
            <w:hideMark/>
          </w:tcPr>
          <w:p w14:paraId="5E2C6F49" w14:textId="77777777" w:rsidR="00E15373" w:rsidRPr="00553731" w:rsidRDefault="00E15373" w:rsidP="00FB4CF3">
            <w:pPr>
              <w:spacing w:after="80"/>
              <w:jc w:val="center"/>
              <w:rPr>
                <w:sz w:val="20"/>
                <w:szCs w:val="20"/>
              </w:rPr>
            </w:pPr>
            <w:r w:rsidRPr="00553731">
              <w:rPr>
                <w:sz w:val="20"/>
                <w:szCs w:val="20"/>
              </w:rPr>
              <w:t>40; 5.04</w:t>
            </w:r>
          </w:p>
        </w:tc>
        <w:tc>
          <w:tcPr>
            <w:tcW w:w="1633" w:type="dxa"/>
            <w:hideMark/>
          </w:tcPr>
          <w:p w14:paraId="69B625AC" w14:textId="77777777" w:rsidR="00E15373" w:rsidRPr="00553731" w:rsidRDefault="00E15373" w:rsidP="00FB4CF3">
            <w:pPr>
              <w:spacing w:after="80"/>
              <w:jc w:val="center"/>
              <w:rPr>
                <w:sz w:val="20"/>
                <w:szCs w:val="20"/>
              </w:rPr>
            </w:pPr>
            <w:r w:rsidRPr="00553731">
              <w:rPr>
                <w:sz w:val="20"/>
                <w:szCs w:val="20"/>
              </w:rPr>
              <w:t>EUR m⁻²; m²</w:t>
            </w:r>
          </w:p>
        </w:tc>
        <w:tc>
          <w:tcPr>
            <w:tcW w:w="1468" w:type="dxa"/>
            <w:vMerge w:val="restart"/>
          </w:tcPr>
          <w:p w14:paraId="53ACB5E1" w14:textId="2D107D93" w:rsidR="00E15373" w:rsidRPr="00553731" w:rsidRDefault="00E15373" w:rsidP="00FB4CF3">
            <w:pPr>
              <w:spacing w:after="80"/>
              <w:jc w:val="center"/>
              <w:rPr>
                <w:sz w:val="20"/>
                <w:szCs w:val="20"/>
              </w:rPr>
            </w:pPr>
            <w:r w:rsidRPr="00E15373">
              <w:rPr>
                <w:sz w:val="20"/>
                <w:szCs w:val="20"/>
              </w:rPr>
              <w:t>(Ramasamy et al., 2023)</w:t>
            </w:r>
          </w:p>
        </w:tc>
      </w:tr>
      <w:tr w:rsidR="00E15373" w14:paraId="6541F75F" w14:textId="23CA5906" w:rsidTr="00E15373">
        <w:tc>
          <w:tcPr>
            <w:tcW w:w="1260" w:type="dxa"/>
            <w:vMerge/>
            <w:hideMark/>
          </w:tcPr>
          <w:p w14:paraId="4DAA6FF9" w14:textId="77777777" w:rsidR="00E15373" w:rsidRPr="00AF23BD" w:rsidRDefault="00E15373" w:rsidP="00FB4CF3">
            <w:pPr>
              <w:spacing w:after="80"/>
              <w:jc w:val="center"/>
              <w:rPr>
                <w:rFonts w:eastAsiaTheme="minorEastAsia"/>
                <w:sz w:val="20"/>
                <w:szCs w:val="20"/>
              </w:rPr>
            </w:pPr>
          </w:p>
        </w:tc>
        <w:tc>
          <w:tcPr>
            <w:tcW w:w="2742" w:type="dxa"/>
            <w:hideMark/>
          </w:tcPr>
          <w:p w14:paraId="1E9674E8" w14:textId="77777777" w:rsidR="00E15373" w:rsidRPr="00553731" w:rsidRDefault="00E15373" w:rsidP="00FB4CF3">
            <w:pPr>
              <w:spacing w:after="80"/>
              <w:jc w:val="center"/>
              <w:rPr>
                <w:sz w:val="20"/>
                <w:szCs w:val="20"/>
              </w:rPr>
            </w:pPr>
            <w:r w:rsidRPr="00553731">
              <w:rPr>
                <w:sz w:val="20"/>
                <w:szCs w:val="20"/>
              </w:rPr>
              <w:t>Dual axis tracker cost</w:t>
            </w:r>
          </w:p>
        </w:tc>
        <w:tc>
          <w:tcPr>
            <w:tcW w:w="1961" w:type="dxa"/>
            <w:hideMark/>
          </w:tcPr>
          <w:p w14:paraId="0D0FACC5" w14:textId="77777777" w:rsidR="00E15373" w:rsidRPr="00553731" w:rsidRDefault="00E15373" w:rsidP="00FB4CF3">
            <w:pPr>
              <w:spacing w:after="80"/>
              <w:jc w:val="center"/>
              <w:rPr>
                <w:sz w:val="20"/>
                <w:szCs w:val="20"/>
              </w:rPr>
            </w:pPr>
            <w:r w:rsidRPr="00553731">
              <w:rPr>
                <w:sz w:val="20"/>
                <w:szCs w:val="20"/>
              </w:rPr>
              <w:t>100; 5.04</w:t>
            </w:r>
          </w:p>
        </w:tc>
        <w:tc>
          <w:tcPr>
            <w:tcW w:w="1633" w:type="dxa"/>
            <w:hideMark/>
          </w:tcPr>
          <w:p w14:paraId="2D63B5CB" w14:textId="77777777" w:rsidR="00E15373" w:rsidRPr="00553731" w:rsidRDefault="00E15373" w:rsidP="00FB4CF3">
            <w:pPr>
              <w:spacing w:after="80"/>
              <w:jc w:val="center"/>
              <w:rPr>
                <w:sz w:val="20"/>
                <w:szCs w:val="20"/>
              </w:rPr>
            </w:pPr>
            <w:r w:rsidRPr="00553731">
              <w:rPr>
                <w:sz w:val="20"/>
                <w:szCs w:val="20"/>
              </w:rPr>
              <w:t>EUR m⁻²; m²</w:t>
            </w:r>
          </w:p>
        </w:tc>
        <w:tc>
          <w:tcPr>
            <w:tcW w:w="1468" w:type="dxa"/>
            <w:vMerge/>
          </w:tcPr>
          <w:p w14:paraId="24C5FE51" w14:textId="77777777" w:rsidR="00E15373" w:rsidRPr="00553731" w:rsidRDefault="00E15373" w:rsidP="00FB4CF3">
            <w:pPr>
              <w:spacing w:after="80"/>
              <w:jc w:val="center"/>
              <w:rPr>
                <w:sz w:val="20"/>
                <w:szCs w:val="20"/>
              </w:rPr>
            </w:pPr>
          </w:p>
        </w:tc>
      </w:tr>
      <w:tr w:rsidR="00E15373" w14:paraId="3F3207BC" w14:textId="5ABA39AC" w:rsidTr="00E15373">
        <w:tc>
          <w:tcPr>
            <w:tcW w:w="1260" w:type="dxa"/>
            <w:hideMark/>
          </w:tcPr>
          <w:p w14:paraId="2EBBF46B" w14:textId="77777777" w:rsidR="00E15373" w:rsidRPr="00553731" w:rsidRDefault="00E15373" w:rsidP="00FB4CF3">
            <w:pPr>
              <w:spacing w:after="80"/>
              <w:jc w:val="center"/>
              <w:rPr>
                <w:sz w:val="20"/>
                <w:szCs w:val="20"/>
              </w:rPr>
            </w:pPr>
            <w:r w:rsidRPr="00553731">
              <w:rPr>
                <w:sz w:val="20"/>
                <w:szCs w:val="20"/>
              </w:rPr>
              <w:t>CAPEX</w:t>
            </w:r>
          </w:p>
        </w:tc>
        <w:tc>
          <w:tcPr>
            <w:tcW w:w="2742" w:type="dxa"/>
            <w:hideMark/>
          </w:tcPr>
          <w:p w14:paraId="7B9C7ED7" w14:textId="77777777" w:rsidR="00E15373" w:rsidRPr="00553731" w:rsidRDefault="00E15373" w:rsidP="00FB4CF3">
            <w:pPr>
              <w:spacing w:after="80"/>
              <w:jc w:val="center"/>
              <w:rPr>
                <w:sz w:val="20"/>
                <w:szCs w:val="20"/>
              </w:rPr>
            </w:pPr>
            <w:r w:rsidRPr="00553731">
              <w:rPr>
                <w:sz w:val="20"/>
                <w:szCs w:val="20"/>
              </w:rPr>
              <w:t>Installation, integration, commissioning, and contingency adder</w:t>
            </w:r>
          </w:p>
        </w:tc>
        <w:tc>
          <w:tcPr>
            <w:tcW w:w="1961" w:type="dxa"/>
            <w:hideMark/>
          </w:tcPr>
          <w:p w14:paraId="3DBAF35E" w14:textId="77777777" w:rsidR="00E15373" w:rsidRPr="00553731" w:rsidRDefault="00E15373" w:rsidP="00FB4CF3">
            <w:pPr>
              <w:spacing w:after="80"/>
              <w:jc w:val="center"/>
              <w:rPr>
                <w:sz w:val="20"/>
                <w:szCs w:val="20"/>
              </w:rPr>
            </w:pPr>
            <w:r w:rsidRPr="00553731">
              <w:rPr>
                <w:sz w:val="20"/>
                <w:szCs w:val="20"/>
              </w:rPr>
              <w:t>10</w:t>
            </w:r>
          </w:p>
        </w:tc>
        <w:tc>
          <w:tcPr>
            <w:tcW w:w="1633" w:type="dxa"/>
            <w:hideMark/>
          </w:tcPr>
          <w:p w14:paraId="48174154" w14:textId="77777777" w:rsidR="00E15373" w:rsidRPr="00553731" w:rsidRDefault="00E15373" w:rsidP="00FB4CF3">
            <w:pPr>
              <w:spacing w:after="80"/>
              <w:jc w:val="center"/>
              <w:rPr>
                <w:sz w:val="20"/>
                <w:szCs w:val="20"/>
              </w:rPr>
            </w:pPr>
            <w:r w:rsidRPr="00553731">
              <w:rPr>
                <w:sz w:val="20"/>
                <w:szCs w:val="20"/>
              </w:rPr>
              <w:t>% of direct CAPEX</w:t>
            </w:r>
          </w:p>
        </w:tc>
        <w:tc>
          <w:tcPr>
            <w:tcW w:w="1468" w:type="dxa"/>
          </w:tcPr>
          <w:p w14:paraId="354369EE" w14:textId="3024FB53" w:rsidR="00E15373" w:rsidRPr="00553731" w:rsidRDefault="00D85C80" w:rsidP="00FB4CF3">
            <w:pPr>
              <w:spacing w:after="80"/>
              <w:jc w:val="center"/>
              <w:rPr>
                <w:sz w:val="20"/>
                <w:szCs w:val="20"/>
              </w:rPr>
            </w:pPr>
            <w:r w:rsidRPr="00E15373">
              <w:rPr>
                <w:sz w:val="20"/>
                <w:szCs w:val="20"/>
              </w:rPr>
              <w:t>(Peacock et al., 2022)</w:t>
            </w:r>
          </w:p>
        </w:tc>
      </w:tr>
      <w:tr w:rsidR="00E15373" w14:paraId="6E615AB1" w14:textId="76439F42" w:rsidTr="00E15373">
        <w:tc>
          <w:tcPr>
            <w:tcW w:w="1260" w:type="dxa"/>
            <w:vMerge w:val="restart"/>
            <w:hideMark/>
          </w:tcPr>
          <w:p w14:paraId="7D5F976D" w14:textId="77777777" w:rsidR="00E15373" w:rsidRPr="00553731" w:rsidRDefault="00E15373" w:rsidP="00FB4CF3">
            <w:pPr>
              <w:spacing w:after="80"/>
              <w:jc w:val="center"/>
              <w:rPr>
                <w:sz w:val="20"/>
                <w:szCs w:val="20"/>
              </w:rPr>
            </w:pPr>
            <w:r w:rsidRPr="00553731">
              <w:rPr>
                <w:sz w:val="20"/>
                <w:szCs w:val="20"/>
              </w:rPr>
              <w:t>OPEX</w:t>
            </w:r>
          </w:p>
          <w:p w14:paraId="57413286" w14:textId="77777777" w:rsidR="00E15373" w:rsidRPr="00553731" w:rsidRDefault="00E15373" w:rsidP="00FB4CF3">
            <w:pPr>
              <w:spacing w:after="80"/>
              <w:jc w:val="center"/>
              <w:rPr>
                <w:sz w:val="20"/>
                <w:szCs w:val="20"/>
              </w:rPr>
            </w:pPr>
          </w:p>
        </w:tc>
        <w:tc>
          <w:tcPr>
            <w:tcW w:w="2742" w:type="dxa"/>
            <w:hideMark/>
          </w:tcPr>
          <w:p w14:paraId="7B3C1751" w14:textId="77777777" w:rsidR="00E15373" w:rsidRPr="00553731" w:rsidRDefault="00E15373" w:rsidP="00FB4CF3">
            <w:pPr>
              <w:spacing w:after="80"/>
              <w:jc w:val="center"/>
              <w:rPr>
                <w:sz w:val="20"/>
                <w:szCs w:val="20"/>
              </w:rPr>
            </w:pPr>
            <w:r w:rsidRPr="00553731">
              <w:rPr>
                <w:sz w:val="20"/>
                <w:szCs w:val="20"/>
              </w:rPr>
              <w:t>Single axis configuration</w:t>
            </w:r>
          </w:p>
        </w:tc>
        <w:tc>
          <w:tcPr>
            <w:tcW w:w="1961" w:type="dxa"/>
            <w:hideMark/>
          </w:tcPr>
          <w:p w14:paraId="4B577A0F" w14:textId="77777777" w:rsidR="00E15373" w:rsidRPr="00553731" w:rsidRDefault="00E15373" w:rsidP="00FB4CF3">
            <w:pPr>
              <w:spacing w:after="80"/>
              <w:jc w:val="center"/>
              <w:rPr>
                <w:sz w:val="20"/>
                <w:szCs w:val="20"/>
              </w:rPr>
            </w:pPr>
            <w:r w:rsidRPr="00553731">
              <w:rPr>
                <w:sz w:val="20"/>
                <w:szCs w:val="20"/>
              </w:rPr>
              <w:t>1.5</w:t>
            </w:r>
          </w:p>
        </w:tc>
        <w:tc>
          <w:tcPr>
            <w:tcW w:w="1633" w:type="dxa"/>
            <w:hideMark/>
          </w:tcPr>
          <w:p w14:paraId="75F26032" w14:textId="77777777" w:rsidR="00E15373" w:rsidRPr="00553731" w:rsidRDefault="00E15373" w:rsidP="00FB4CF3">
            <w:pPr>
              <w:spacing w:after="80"/>
              <w:jc w:val="center"/>
              <w:rPr>
                <w:sz w:val="20"/>
                <w:szCs w:val="20"/>
              </w:rPr>
            </w:pPr>
            <w:r w:rsidRPr="00553731">
              <w:rPr>
                <w:sz w:val="20"/>
                <w:szCs w:val="20"/>
              </w:rPr>
              <w:t>% of CAPEX year⁻¹</w:t>
            </w:r>
          </w:p>
        </w:tc>
        <w:tc>
          <w:tcPr>
            <w:tcW w:w="1468" w:type="dxa"/>
          </w:tcPr>
          <w:p w14:paraId="1B4191FA" w14:textId="23D98A9E" w:rsidR="00E15373" w:rsidRPr="00553731" w:rsidRDefault="00D85C80" w:rsidP="00FB4CF3">
            <w:pPr>
              <w:spacing w:after="80"/>
              <w:jc w:val="center"/>
              <w:rPr>
                <w:sz w:val="20"/>
                <w:szCs w:val="20"/>
              </w:rPr>
            </w:pPr>
            <w:r>
              <w:rPr>
                <w:rFonts w:eastAsiaTheme="minorEastAsia" w:hint="eastAsia"/>
                <w:sz w:val="20"/>
                <w:szCs w:val="20"/>
              </w:rPr>
              <w:t>Assumption</w:t>
            </w:r>
          </w:p>
        </w:tc>
      </w:tr>
      <w:tr w:rsidR="00E15373" w14:paraId="45AC8AA1" w14:textId="3D89E5FC" w:rsidTr="00E15373">
        <w:tc>
          <w:tcPr>
            <w:tcW w:w="1260" w:type="dxa"/>
            <w:vMerge/>
            <w:hideMark/>
          </w:tcPr>
          <w:p w14:paraId="27E1344F" w14:textId="77777777" w:rsidR="00E15373" w:rsidRPr="00AF23BD" w:rsidRDefault="00E15373" w:rsidP="00FB4CF3">
            <w:pPr>
              <w:spacing w:after="80"/>
              <w:jc w:val="center"/>
              <w:rPr>
                <w:rFonts w:eastAsiaTheme="minorEastAsia"/>
                <w:sz w:val="20"/>
                <w:szCs w:val="20"/>
              </w:rPr>
            </w:pPr>
          </w:p>
        </w:tc>
        <w:tc>
          <w:tcPr>
            <w:tcW w:w="2742" w:type="dxa"/>
            <w:hideMark/>
          </w:tcPr>
          <w:p w14:paraId="05A085DB" w14:textId="77777777" w:rsidR="00E15373" w:rsidRPr="00553731" w:rsidRDefault="00E15373" w:rsidP="00FB4CF3">
            <w:pPr>
              <w:spacing w:after="80"/>
              <w:jc w:val="center"/>
              <w:rPr>
                <w:sz w:val="20"/>
                <w:szCs w:val="20"/>
              </w:rPr>
            </w:pPr>
            <w:r w:rsidRPr="00553731">
              <w:rPr>
                <w:sz w:val="20"/>
                <w:szCs w:val="20"/>
              </w:rPr>
              <w:t>Dual axis configuration</w:t>
            </w:r>
          </w:p>
        </w:tc>
        <w:tc>
          <w:tcPr>
            <w:tcW w:w="1961" w:type="dxa"/>
            <w:hideMark/>
          </w:tcPr>
          <w:p w14:paraId="7A3BDD26" w14:textId="77777777" w:rsidR="00E15373" w:rsidRPr="00553731" w:rsidRDefault="00E15373" w:rsidP="00FB4CF3">
            <w:pPr>
              <w:spacing w:after="80"/>
              <w:jc w:val="center"/>
              <w:rPr>
                <w:sz w:val="20"/>
                <w:szCs w:val="20"/>
              </w:rPr>
            </w:pPr>
            <w:r w:rsidRPr="00553731">
              <w:rPr>
                <w:sz w:val="20"/>
                <w:szCs w:val="20"/>
              </w:rPr>
              <w:t>2.0</w:t>
            </w:r>
          </w:p>
        </w:tc>
        <w:tc>
          <w:tcPr>
            <w:tcW w:w="1633" w:type="dxa"/>
            <w:hideMark/>
          </w:tcPr>
          <w:p w14:paraId="659FFCA7" w14:textId="77777777" w:rsidR="00E15373" w:rsidRPr="00553731" w:rsidRDefault="00E15373" w:rsidP="00FB4CF3">
            <w:pPr>
              <w:spacing w:after="80"/>
              <w:jc w:val="center"/>
              <w:rPr>
                <w:sz w:val="20"/>
                <w:szCs w:val="20"/>
              </w:rPr>
            </w:pPr>
            <w:r w:rsidRPr="00553731">
              <w:rPr>
                <w:sz w:val="20"/>
                <w:szCs w:val="20"/>
              </w:rPr>
              <w:t>% of CAPEX year⁻¹</w:t>
            </w:r>
          </w:p>
        </w:tc>
        <w:tc>
          <w:tcPr>
            <w:tcW w:w="1468" w:type="dxa"/>
          </w:tcPr>
          <w:p w14:paraId="6E48B6EE" w14:textId="6BA788DE" w:rsidR="00E15373" w:rsidRPr="00553731" w:rsidRDefault="00D85C80" w:rsidP="00FB4CF3">
            <w:pPr>
              <w:spacing w:after="80"/>
              <w:jc w:val="center"/>
              <w:rPr>
                <w:sz w:val="20"/>
                <w:szCs w:val="20"/>
              </w:rPr>
            </w:pPr>
            <w:r>
              <w:rPr>
                <w:rFonts w:eastAsiaTheme="minorEastAsia" w:hint="eastAsia"/>
                <w:sz w:val="20"/>
                <w:szCs w:val="20"/>
              </w:rPr>
              <w:t>Assumption</w:t>
            </w:r>
          </w:p>
        </w:tc>
      </w:tr>
      <w:tr w:rsidR="00E15373" w14:paraId="2C7FD2D1" w14:textId="769EC61D" w:rsidTr="00E15373">
        <w:tc>
          <w:tcPr>
            <w:tcW w:w="1260" w:type="dxa"/>
            <w:vMerge w:val="restart"/>
            <w:hideMark/>
          </w:tcPr>
          <w:p w14:paraId="074F14EA" w14:textId="77777777" w:rsidR="00E15373" w:rsidRPr="00553731" w:rsidRDefault="00E15373" w:rsidP="00FB4CF3">
            <w:pPr>
              <w:spacing w:after="80"/>
              <w:jc w:val="center"/>
              <w:rPr>
                <w:sz w:val="20"/>
                <w:szCs w:val="20"/>
              </w:rPr>
            </w:pPr>
            <w:r w:rsidRPr="00553731">
              <w:rPr>
                <w:sz w:val="20"/>
                <w:szCs w:val="20"/>
              </w:rPr>
              <w:lastRenderedPageBreak/>
              <w:t>Replacement</w:t>
            </w:r>
          </w:p>
          <w:p w14:paraId="7FE200FD" w14:textId="77777777" w:rsidR="00E15373" w:rsidRPr="00553731" w:rsidRDefault="00E15373" w:rsidP="00FB4CF3">
            <w:pPr>
              <w:spacing w:after="80"/>
              <w:jc w:val="center"/>
              <w:rPr>
                <w:sz w:val="20"/>
                <w:szCs w:val="20"/>
              </w:rPr>
            </w:pPr>
          </w:p>
        </w:tc>
        <w:tc>
          <w:tcPr>
            <w:tcW w:w="2742" w:type="dxa"/>
            <w:hideMark/>
          </w:tcPr>
          <w:p w14:paraId="1C4CDBA7" w14:textId="77777777" w:rsidR="00E15373" w:rsidRPr="00553731" w:rsidRDefault="00E15373" w:rsidP="00FB4CF3">
            <w:pPr>
              <w:spacing w:after="80"/>
              <w:jc w:val="center"/>
              <w:rPr>
                <w:sz w:val="20"/>
                <w:szCs w:val="20"/>
              </w:rPr>
            </w:pPr>
            <w:r w:rsidRPr="00553731">
              <w:rPr>
                <w:sz w:val="20"/>
                <w:szCs w:val="20"/>
              </w:rPr>
              <w:t>Replacement interval</w:t>
            </w:r>
          </w:p>
        </w:tc>
        <w:tc>
          <w:tcPr>
            <w:tcW w:w="1961" w:type="dxa"/>
            <w:hideMark/>
          </w:tcPr>
          <w:p w14:paraId="4B936551" w14:textId="77777777" w:rsidR="00E15373" w:rsidRPr="00553731" w:rsidRDefault="00E15373" w:rsidP="00FB4CF3">
            <w:pPr>
              <w:spacing w:after="80"/>
              <w:jc w:val="center"/>
              <w:rPr>
                <w:sz w:val="20"/>
                <w:szCs w:val="20"/>
              </w:rPr>
            </w:pPr>
            <w:r w:rsidRPr="00553731">
              <w:rPr>
                <w:sz w:val="20"/>
                <w:szCs w:val="20"/>
              </w:rPr>
              <w:t>10</w:t>
            </w:r>
          </w:p>
        </w:tc>
        <w:tc>
          <w:tcPr>
            <w:tcW w:w="1633" w:type="dxa"/>
            <w:hideMark/>
          </w:tcPr>
          <w:p w14:paraId="70A2B17C" w14:textId="77777777" w:rsidR="00E15373" w:rsidRPr="00553731" w:rsidRDefault="00E15373" w:rsidP="00FB4CF3">
            <w:pPr>
              <w:spacing w:after="80"/>
              <w:jc w:val="center"/>
              <w:rPr>
                <w:sz w:val="20"/>
                <w:szCs w:val="20"/>
              </w:rPr>
            </w:pPr>
            <w:r w:rsidRPr="00553731">
              <w:rPr>
                <w:sz w:val="20"/>
                <w:szCs w:val="20"/>
              </w:rPr>
              <w:t>years</w:t>
            </w:r>
          </w:p>
        </w:tc>
        <w:tc>
          <w:tcPr>
            <w:tcW w:w="1468" w:type="dxa"/>
          </w:tcPr>
          <w:p w14:paraId="442337E7" w14:textId="219EF1DA" w:rsidR="00E15373" w:rsidRPr="00553731" w:rsidRDefault="00D85C80" w:rsidP="00FB4CF3">
            <w:pPr>
              <w:spacing w:after="80"/>
              <w:jc w:val="center"/>
              <w:rPr>
                <w:sz w:val="20"/>
                <w:szCs w:val="20"/>
              </w:rPr>
            </w:pPr>
            <w:r w:rsidRPr="00DE3295">
              <w:rPr>
                <w:rFonts w:eastAsia="黑体"/>
                <w:sz w:val="20"/>
                <w:szCs w:val="20"/>
                <w:lang w:val="en-GB"/>
              </w:rPr>
              <w:t>(Li et al., 2022</w:t>
            </w:r>
            <w:r>
              <w:rPr>
                <w:rFonts w:eastAsia="黑体" w:hint="eastAsia"/>
                <w:sz w:val="20"/>
                <w:szCs w:val="20"/>
                <w:lang w:val="en-GB"/>
              </w:rPr>
              <w:t>)</w:t>
            </w:r>
          </w:p>
        </w:tc>
      </w:tr>
      <w:tr w:rsidR="00E15373" w14:paraId="45BE765C" w14:textId="16246C04" w:rsidTr="00E15373">
        <w:tc>
          <w:tcPr>
            <w:tcW w:w="1260" w:type="dxa"/>
            <w:vMerge/>
            <w:hideMark/>
          </w:tcPr>
          <w:p w14:paraId="3EC75DA3" w14:textId="77777777" w:rsidR="00E15373" w:rsidRPr="00AF23BD" w:rsidRDefault="00E15373" w:rsidP="00FB4CF3">
            <w:pPr>
              <w:spacing w:after="80"/>
              <w:jc w:val="center"/>
              <w:rPr>
                <w:rFonts w:eastAsiaTheme="minorEastAsia"/>
                <w:sz w:val="20"/>
                <w:szCs w:val="20"/>
              </w:rPr>
            </w:pPr>
          </w:p>
        </w:tc>
        <w:tc>
          <w:tcPr>
            <w:tcW w:w="2742" w:type="dxa"/>
            <w:hideMark/>
          </w:tcPr>
          <w:p w14:paraId="01601B86" w14:textId="77777777" w:rsidR="00E15373" w:rsidRPr="00553731" w:rsidRDefault="00E15373" w:rsidP="00FB4CF3">
            <w:pPr>
              <w:spacing w:after="80"/>
              <w:jc w:val="center"/>
              <w:rPr>
                <w:sz w:val="20"/>
                <w:szCs w:val="20"/>
              </w:rPr>
            </w:pPr>
            <w:r w:rsidRPr="00553731">
              <w:rPr>
                <w:sz w:val="20"/>
                <w:szCs w:val="20"/>
              </w:rPr>
              <w:t>Scheduled overhaul</w:t>
            </w:r>
          </w:p>
        </w:tc>
        <w:tc>
          <w:tcPr>
            <w:tcW w:w="1961" w:type="dxa"/>
            <w:hideMark/>
          </w:tcPr>
          <w:p w14:paraId="5F0C86F8" w14:textId="77777777" w:rsidR="00E15373" w:rsidRPr="00553731" w:rsidRDefault="00E15373" w:rsidP="00FB4CF3">
            <w:pPr>
              <w:spacing w:after="80"/>
              <w:jc w:val="center"/>
              <w:rPr>
                <w:sz w:val="20"/>
                <w:szCs w:val="20"/>
              </w:rPr>
            </w:pPr>
            <w:r w:rsidRPr="00553731">
              <w:rPr>
                <w:sz w:val="20"/>
                <w:szCs w:val="20"/>
              </w:rPr>
              <w:t xml:space="preserve">50% </w:t>
            </w:r>
            <w:proofErr w:type="spellStart"/>
            <w:r w:rsidRPr="00553731">
              <w:rPr>
                <w:sz w:val="20"/>
                <w:szCs w:val="20"/>
              </w:rPr>
              <w:t>electrolyzer</w:t>
            </w:r>
            <w:proofErr w:type="spellEnd"/>
            <w:r w:rsidRPr="00553731">
              <w:rPr>
                <w:sz w:val="20"/>
                <w:szCs w:val="20"/>
              </w:rPr>
              <w:t xml:space="preserve"> stack + 50% filter + 5% direct CAPEX for refurbishment</w:t>
            </w:r>
          </w:p>
        </w:tc>
        <w:tc>
          <w:tcPr>
            <w:tcW w:w="1633" w:type="dxa"/>
            <w:hideMark/>
          </w:tcPr>
          <w:p w14:paraId="7EA2C723" w14:textId="77777777" w:rsidR="00E15373" w:rsidRPr="00553731" w:rsidRDefault="00E15373" w:rsidP="00FB4CF3">
            <w:pPr>
              <w:spacing w:after="80"/>
              <w:jc w:val="center"/>
              <w:rPr>
                <w:sz w:val="20"/>
                <w:szCs w:val="20"/>
              </w:rPr>
            </w:pPr>
            <w:r w:rsidRPr="00553731">
              <w:rPr>
                <w:sz w:val="20"/>
                <w:szCs w:val="20"/>
              </w:rPr>
              <w:t>—</w:t>
            </w:r>
          </w:p>
        </w:tc>
        <w:tc>
          <w:tcPr>
            <w:tcW w:w="1468" w:type="dxa"/>
          </w:tcPr>
          <w:p w14:paraId="0E5099CB" w14:textId="533B47A0" w:rsidR="00E15373" w:rsidRPr="00D85C80" w:rsidRDefault="00D85C80" w:rsidP="00FB4CF3">
            <w:pPr>
              <w:spacing w:after="80"/>
              <w:jc w:val="center"/>
              <w:rPr>
                <w:rFonts w:eastAsiaTheme="minorEastAsia"/>
                <w:sz w:val="20"/>
                <w:szCs w:val="20"/>
              </w:rPr>
            </w:pPr>
            <w:r>
              <w:rPr>
                <w:rFonts w:eastAsiaTheme="minorEastAsia" w:hint="eastAsia"/>
                <w:sz w:val="20"/>
                <w:szCs w:val="20"/>
              </w:rPr>
              <w:t>Assumption</w:t>
            </w:r>
          </w:p>
        </w:tc>
      </w:tr>
      <w:tr w:rsidR="00E15373" w14:paraId="4B390DB2" w14:textId="4528A709" w:rsidTr="00E15373">
        <w:tc>
          <w:tcPr>
            <w:tcW w:w="1260" w:type="dxa"/>
            <w:vMerge w:val="restart"/>
            <w:hideMark/>
          </w:tcPr>
          <w:p w14:paraId="36CF8FF3" w14:textId="77777777" w:rsidR="00E15373" w:rsidRPr="00553731" w:rsidRDefault="00E15373" w:rsidP="00FB4CF3">
            <w:pPr>
              <w:spacing w:after="80"/>
              <w:jc w:val="center"/>
              <w:rPr>
                <w:sz w:val="20"/>
                <w:szCs w:val="20"/>
              </w:rPr>
            </w:pPr>
            <w:r w:rsidRPr="00553731">
              <w:rPr>
                <w:sz w:val="20"/>
                <w:szCs w:val="20"/>
              </w:rPr>
              <w:t>Financial parameters</w:t>
            </w:r>
          </w:p>
          <w:p w14:paraId="53D21FAA" w14:textId="77777777" w:rsidR="00E15373" w:rsidRPr="00AF23BD" w:rsidRDefault="00E15373" w:rsidP="00FB4CF3">
            <w:pPr>
              <w:spacing w:after="80"/>
              <w:jc w:val="center"/>
              <w:rPr>
                <w:rFonts w:eastAsiaTheme="minorEastAsia"/>
                <w:sz w:val="20"/>
                <w:szCs w:val="20"/>
              </w:rPr>
            </w:pPr>
          </w:p>
        </w:tc>
        <w:tc>
          <w:tcPr>
            <w:tcW w:w="2742" w:type="dxa"/>
            <w:hideMark/>
          </w:tcPr>
          <w:p w14:paraId="3F15940D" w14:textId="77777777" w:rsidR="00E15373" w:rsidRPr="00553731" w:rsidRDefault="00E15373" w:rsidP="00FB4CF3">
            <w:pPr>
              <w:spacing w:after="80"/>
              <w:jc w:val="center"/>
              <w:rPr>
                <w:sz w:val="20"/>
                <w:szCs w:val="20"/>
              </w:rPr>
            </w:pPr>
            <w:r w:rsidRPr="00553731">
              <w:rPr>
                <w:sz w:val="20"/>
                <w:szCs w:val="20"/>
              </w:rPr>
              <w:t>Project lifetime</w:t>
            </w:r>
          </w:p>
        </w:tc>
        <w:tc>
          <w:tcPr>
            <w:tcW w:w="1961" w:type="dxa"/>
            <w:hideMark/>
          </w:tcPr>
          <w:p w14:paraId="39DD81A7" w14:textId="77777777" w:rsidR="00E15373" w:rsidRPr="00553731" w:rsidRDefault="00E15373" w:rsidP="00FB4CF3">
            <w:pPr>
              <w:spacing w:after="80"/>
              <w:jc w:val="center"/>
              <w:rPr>
                <w:sz w:val="20"/>
                <w:szCs w:val="20"/>
              </w:rPr>
            </w:pPr>
            <w:r w:rsidRPr="00553731">
              <w:rPr>
                <w:sz w:val="20"/>
                <w:szCs w:val="20"/>
              </w:rPr>
              <w:t>25</w:t>
            </w:r>
          </w:p>
        </w:tc>
        <w:tc>
          <w:tcPr>
            <w:tcW w:w="1633" w:type="dxa"/>
            <w:hideMark/>
          </w:tcPr>
          <w:p w14:paraId="01C3AFB9" w14:textId="77777777" w:rsidR="00E15373" w:rsidRPr="00553731" w:rsidRDefault="00E15373" w:rsidP="00FB4CF3">
            <w:pPr>
              <w:spacing w:after="80"/>
              <w:jc w:val="center"/>
              <w:rPr>
                <w:sz w:val="20"/>
                <w:szCs w:val="20"/>
              </w:rPr>
            </w:pPr>
            <w:r w:rsidRPr="00553731">
              <w:rPr>
                <w:sz w:val="20"/>
                <w:szCs w:val="20"/>
              </w:rPr>
              <w:t>years</w:t>
            </w:r>
          </w:p>
        </w:tc>
        <w:tc>
          <w:tcPr>
            <w:tcW w:w="1468" w:type="dxa"/>
          </w:tcPr>
          <w:p w14:paraId="439CD724" w14:textId="3ACF78E9" w:rsidR="00E15373" w:rsidRPr="00553731" w:rsidRDefault="00D85C80" w:rsidP="00FB4CF3">
            <w:pPr>
              <w:spacing w:after="80"/>
              <w:jc w:val="center"/>
              <w:rPr>
                <w:sz w:val="20"/>
                <w:szCs w:val="20"/>
              </w:rPr>
            </w:pPr>
            <w:r>
              <w:rPr>
                <w:rFonts w:eastAsiaTheme="minorEastAsia" w:hint="eastAsia"/>
                <w:sz w:val="20"/>
                <w:szCs w:val="20"/>
              </w:rPr>
              <w:t>Assumption</w:t>
            </w:r>
          </w:p>
        </w:tc>
      </w:tr>
      <w:tr w:rsidR="00E15373" w14:paraId="6C0E3BC5" w14:textId="72F655DE" w:rsidTr="00E15373">
        <w:tc>
          <w:tcPr>
            <w:tcW w:w="1260" w:type="dxa"/>
            <w:vMerge/>
            <w:hideMark/>
          </w:tcPr>
          <w:p w14:paraId="66CF3610" w14:textId="77777777" w:rsidR="00E15373" w:rsidRPr="00AF23BD" w:rsidRDefault="00E15373" w:rsidP="00FB4CF3">
            <w:pPr>
              <w:spacing w:after="80"/>
              <w:jc w:val="center"/>
              <w:rPr>
                <w:rFonts w:eastAsiaTheme="minorEastAsia"/>
                <w:sz w:val="20"/>
                <w:szCs w:val="20"/>
              </w:rPr>
            </w:pPr>
          </w:p>
        </w:tc>
        <w:tc>
          <w:tcPr>
            <w:tcW w:w="2742" w:type="dxa"/>
            <w:hideMark/>
          </w:tcPr>
          <w:p w14:paraId="3659F0D6" w14:textId="77777777" w:rsidR="00E15373" w:rsidRPr="00553731" w:rsidRDefault="00E15373" w:rsidP="00FB4CF3">
            <w:pPr>
              <w:spacing w:after="80"/>
              <w:jc w:val="center"/>
              <w:rPr>
                <w:sz w:val="20"/>
                <w:szCs w:val="20"/>
              </w:rPr>
            </w:pPr>
            <w:r w:rsidRPr="00553731">
              <w:rPr>
                <w:sz w:val="20"/>
                <w:szCs w:val="20"/>
              </w:rPr>
              <w:t>Real discount rate</w:t>
            </w:r>
          </w:p>
        </w:tc>
        <w:tc>
          <w:tcPr>
            <w:tcW w:w="1961" w:type="dxa"/>
            <w:hideMark/>
          </w:tcPr>
          <w:p w14:paraId="3379003C" w14:textId="77777777" w:rsidR="00E15373" w:rsidRPr="00553731" w:rsidRDefault="00E15373" w:rsidP="00FB4CF3">
            <w:pPr>
              <w:spacing w:after="80"/>
              <w:jc w:val="center"/>
              <w:rPr>
                <w:sz w:val="20"/>
                <w:szCs w:val="20"/>
              </w:rPr>
            </w:pPr>
            <w:r w:rsidRPr="00553731">
              <w:rPr>
                <w:sz w:val="20"/>
                <w:szCs w:val="20"/>
              </w:rPr>
              <w:t>4.0</w:t>
            </w:r>
          </w:p>
        </w:tc>
        <w:tc>
          <w:tcPr>
            <w:tcW w:w="1633" w:type="dxa"/>
            <w:hideMark/>
          </w:tcPr>
          <w:p w14:paraId="440AC401" w14:textId="77777777" w:rsidR="00E15373" w:rsidRPr="00553731" w:rsidRDefault="00E15373" w:rsidP="00FB4CF3">
            <w:pPr>
              <w:spacing w:after="80"/>
              <w:jc w:val="center"/>
              <w:rPr>
                <w:sz w:val="20"/>
                <w:szCs w:val="20"/>
              </w:rPr>
            </w:pPr>
            <w:r w:rsidRPr="00553731">
              <w:rPr>
                <w:sz w:val="20"/>
                <w:szCs w:val="20"/>
              </w:rPr>
              <w:t>%</w:t>
            </w:r>
          </w:p>
        </w:tc>
        <w:tc>
          <w:tcPr>
            <w:tcW w:w="1468" w:type="dxa"/>
          </w:tcPr>
          <w:p w14:paraId="6F492506" w14:textId="31F9A901" w:rsidR="00E15373" w:rsidRPr="00553731" w:rsidRDefault="00D85C80" w:rsidP="00FB4CF3">
            <w:pPr>
              <w:spacing w:after="80"/>
              <w:jc w:val="center"/>
              <w:rPr>
                <w:sz w:val="20"/>
                <w:szCs w:val="20"/>
              </w:rPr>
            </w:pPr>
            <w:r w:rsidRPr="00E15373">
              <w:rPr>
                <w:sz w:val="20"/>
                <w:szCs w:val="20"/>
              </w:rPr>
              <w:t>(Peacock et al., 2022)</w:t>
            </w:r>
          </w:p>
        </w:tc>
      </w:tr>
      <w:tr w:rsidR="00E15373" w14:paraId="061B98CB" w14:textId="641E4F4A" w:rsidTr="00E15373">
        <w:tc>
          <w:tcPr>
            <w:tcW w:w="1260" w:type="dxa"/>
            <w:vMerge/>
            <w:hideMark/>
          </w:tcPr>
          <w:p w14:paraId="7917D37F" w14:textId="77777777" w:rsidR="00E15373" w:rsidRPr="00AF23BD" w:rsidRDefault="00E15373" w:rsidP="00FB4CF3">
            <w:pPr>
              <w:spacing w:after="80"/>
              <w:jc w:val="center"/>
              <w:rPr>
                <w:rFonts w:eastAsiaTheme="minorEastAsia"/>
                <w:sz w:val="20"/>
                <w:szCs w:val="20"/>
              </w:rPr>
            </w:pPr>
          </w:p>
        </w:tc>
        <w:tc>
          <w:tcPr>
            <w:tcW w:w="2742" w:type="dxa"/>
            <w:hideMark/>
          </w:tcPr>
          <w:p w14:paraId="2219B4BC" w14:textId="77777777" w:rsidR="00E15373" w:rsidRPr="00553731" w:rsidRDefault="00E15373" w:rsidP="00FB4CF3">
            <w:pPr>
              <w:spacing w:after="80"/>
              <w:jc w:val="center"/>
              <w:rPr>
                <w:sz w:val="20"/>
                <w:szCs w:val="20"/>
              </w:rPr>
            </w:pPr>
            <w:r w:rsidRPr="00553731">
              <w:rPr>
                <w:sz w:val="20"/>
                <w:szCs w:val="20"/>
              </w:rPr>
              <w:t>Inflation rate</w:t>
            </w:r>
          </w:p>
        </w:tc>
        <w:tc>
          <w:tcPr>
            <w:tcW w:w="1961" w:type="dxa"/>
            <w:hideMark/>
          </w:tcPr>
          <w:p w14:paraId="4F37650A" w14:textId="77777777" w:rsidR="00E15373" w:rsidRPr="00553731" w:rsidRDefault="00E15373" w:rsidP="00FB4CF3">
            <w:pPr>
              <w:spacing w:after="80"/>
              <w:jc w:val="center"/>
              <w:rPr>
                <w:sz w:val="20"/>
                <w:szCs w:val="20"/>
              </w:rPr>
            </w:pPr>
            <w:r w:rsidRPr="00553731">
              <w:rPr>
                <w:sz w:val="20"/>
                <w:szCs w:val="20"/>
              </w:rPr>
              <w:t>2.0</w:t>
            </w:r>
          </w:p>
        </w:tc>
        <w:tc>
          <w:tcPr>
            <w:tcW w:w="1633" w:type="dxa"/>
            <w:hideMark/>
          </w:tcPr>
          <w:p w14:paraId="1B2C1B2F" w14:textId="77777777" w:rsidR="00E15373" w:rsidRPr="00553731" w:rsidRDefault="00E15373" w:rsidP="00FB4CF3">
            <w:pPr>
              <w:spacing w:after="80"/>
              <w:jc w:val="center"/>
              <w:rPr>
                <w:sz w:val="20"/>
                <w:szCs w:val="20"/>
              </w:rPr>
            </w:pPr>
            <w:r w:rsidRPr="00553731">
              <w:rPr>
                <w:sz w:val="20"/>
                <w:szCs w:val="20"/>
              </w:rPr>
              <w:t>%</w:t>
            </w:r>
          </w:p>
        </w:tc>
        <w:tc>
          <w:tcPr>
            <w:tcW w:w="1468" w:type="dxa"/>
          </w:tcPr>
          <w:p w14:paraId="79D4AA50" w14:textId="010E44D2" w:rsidR="00E15373" w:rsidRPr="00553731" w:rsidRDefault="00D85C80" w:rsidP="00FB4CF3">
            <w:pPr>
              <w:spacing w:after="80"/>
              <w:jc w:val="center"/>
              <w:rPr>
                <w:sz w:val="20"/>
                <w:szCs w:val="20"/>
              </w:rPr>
            </w:pPr>
            <w:r w:rsidRPr="00E15373">
              <w:rPr>
                <w:sz w:val="20"/>
                <w:szCs w:val="20"/>
              </w:rPr>
              <w:t>(Peacock et al., 2022)</w:t>
            </w:r>
          </w:p>
        </w:tc>
      </w:tr>
      <w:tr w:rsidR="00E15373" w14:paraId="1DDC0A45" w14:textId="6E96B67F" w:rsidTr="00E15373">
        <w:tc>
          <w:tcPr>
            <w:tcW w:w="1260" w:type="dxa"/>
            <w:vMerge/>
            <w:hideMark/>
          </w:tcPr>
          <w:p w14:paraId="6BC1587E" w14:textId="77777777" w:rsidR="00E15373" w:rsidRPr="00AF23BD" w:rsidRDefault="00E15373" w:rsidP="00FB4CF3">
            <w:pPr>
              <w:spacing w:after="80"/>
              <w:jc w:val="center"/>
              <w:rPr>
                <w:rFonts w:eastAsiaTheme="minorEastAsia"/>
                <w:sz w:val="20"/>
                <w:szCs w:val="20"/>
              </w:rPr>
            </w:pPr>
          </w:p>
        </w:tc>
        <w:tc>
          <w:tcPr>
            <w:tcW w:w="2742" w:type="dxa"/>
            <w:hideMark/>
          </w:tcPr>
          <w:p w14:paraId="736CD52D" w14:textId="77777777" w:rsidR="00E15373" w:rsidRPr="00553731" w:rsidRDefault="00E15373" w:rsidP="00FB4CF3">
            <w:pPr>
              <w:spacing w:after="80"/>
              <w:jc w:val="center"/>
              <w:rPr>
                <w:sz w:val="20"/>
                <w:szCs w:val="20"/>
              </w:rPr>
            </w:pPr>
            <w:r w:rsidRPr="00553731">
              <w:rPr>
                <w:sz w:val="20"/>
                <w:szCs w:val="20"/>
              </w:rPr>
              <w:t>Nominal discount rate</w:t>
            </w:r>
          </w:p>
        </w:tc>
        <w:tc>
          <w:tcPr>
            <w:tcW w:w="1961" w:type="dxa"/>
            <w:hideMark/>
          </w:tcPr>
          <w:p w14:paraId="313B25D8" w14:textId="77777777" w:rsidR="00E15373" w:rsidRPr="00553731" w:rsidRDefault="00E15373" w:rsidP="00FB4CF3">
            <w:pPr>
              <w:spacing w:after="80"/>
              <w:jc w:val="center"/>
              <w:rPr>
                <w:sz w:val="20"/>
                <w:szCs w:val="20"/>
              </w:rPr>
            </w:pPr>
            <w:r w:rsidRPr="00553731">
              <w:rPr>
                <w:sz w:val="20"/>
                <w:szCs w:val="20"/>
              </w:rPr>
              <w:t>6.08</w:t>
            </w:r>
          </w:p>
        </w:tc>
        <w:tc>
          <w:tcPr>
            <w:tcW w:w="1633" w:type="dxa"/>
            <w:hideMark/>
          </w:tcPr>
          <w:p w14:paraId="4527AB1B" w14:textId="77777777" w:rsidR="00E15373" w:rsidRPr="00553731" w:rsidRDefault="00E15373" w:rsidP="00FB4CF3">
            <w:pPr>
              <w:spacing w:after="80"/>
              <w:jc w:val="center"/>
              <w:rPr>
                <w:sz w:val="20"/>
                <w:szCs w:val="20"/>
              </w:rPr>
            </w:pPr>
            <w:r w:rsidRPr="00553731">
              <w:rPr>
                <w:sz w:val="20"/>
                <w:szCs w:val="20"/>
              </w:rPr>
              <w:t>%</w:t>
            </w:r>
          </w:p>
        </w:tc>
        <w:tc>
          <w:tcPr>
            <w:tcW w:w="1468" w:type="dxa"/>
          </w:tcPr>
          <w:p w14:paraId="26E414A8" w14:textId="77777777" w:rsidR="00E15373" w:rsidRPr="00553731" w:rsidRDefault="00E15373" w:rsidP="00FB4CF3">
            <w:pPr>
              <w:spacing w:after="80"/>
              <w:jc w:val="center"/>
              <w:rPr>
                <w:sz w:val="20"/>
                <w:szCs w:val="20"/>
              </w:rPr>
            </w:pPr>
          </w:p>
        </w:tc>
      </w:tr>
    </w:tbl>
    <w:p w14:paraId="4F460164" w14:textId="360E7400" w:rsidR="001970D9" w:rsidRDefault="001970D9" w:rsidP="00215199">
      <w:pPr>
        <w:pStyle w:val="SWCText"/>
        <w:jc w:val="left"/>
        <w:rPr>
          <w:bCs/>
          <w:szCs w:val="20"/>
        </w:rPr>
      </w:pPr>
      <w:r w:rsidRPr="001970D9">
        <w:rPr>
          <w:bCs/>
          <w:szCs w:val="20"/>
        </w:rPr>
        <w:t>The discounted PBT was evaluated:</w:t>
      </w:r>
    </w:p>
    <w:tbl>
      <w:tblPr>
        <w:tblStyle w:val="TableGrid4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8"/>
        <w:gridCol w:w="6138"/>
        <w:gridCol w:w="1638"/>
      </w:tblGrid>
      <w:tr w:rsidR="001970D9" w:rsidRPr="000F491B" w14:paraId="32F2908E" w14:textId="77777777" w:rsidTr="00DC3D2E">
        <w:tc>
          <w:tcPr>
            <w:tcW w:w="1413" w:type="dxa"/>
          </w:tcPr>
          <w:p w14:paraId="6C3B09F4" w14:textId="77777777" w:rsidR="001970D9" w:rsidRPr="000F491B" w:rsidRDefault="001970D9" w:rsidP="00215199">
            <w:pPr>
              <w:tabs>
                <w:tab w:val="center" w:pos="4820"/>
                <w:tab w:val="right" w:pos="9638"/>
              </w:tabs>
              <w:spacing w:after="120" w:line="276" w:lineRule="auto"/>
              <w:ind w:firstLine="425"/>
              <w:jc w:val="both"/>
              <w:rPr>
                <w:rFonts w:ascii="Times New Roman" w:eastAsia="宋体" w:hAnsi="Times New Roman"/>
                <w:lang w:val="en-GB"/>
              </w:rPr>
            </w:pPr>
          </w:p>
        </w:tc>
        <w:tc>
          <w:tcPr>
            <w:tcW w:w="6520" w:type="dxa"/>
          </w:tcPr>
          <w:p w14:paraId="2FF9B566" w14:textId="5A135E77" w:rsidR="001970D9" w:rsidRPr="001970D9" w:rsidRDefault="001970D9" w:rsidP="00215199">
            <w:pPr>
              <w:suppressAutoHyphens/>
              <w:spacing w:after="120" w:line="276" w:lineRule="auto"/>
              <w:ind w:firstLine="425"/>
              <w:jc w:val="both"/>
              <w:rPr>
                <w:rFonts w:ascii="Times New Roman" w:eastAsiaTheme="minorEastAsia" w:hAnsi="Times New Roman"/>
                <w:i/>
                <w:sz w:val="20"/>
                <w:szCs w:val="20"/>
                <w:lang w:val="en-GB"/>
              </w:rPr>
            </w:pPr>
            <m:oMathPara>
              <m:oMathParaPr>
                <m:jc m:val="center"/>
              </m:oMathParaPr>
              <m:oMath>
                <m:r>
                  <w:rPr>
                    <w:rFonts w:ascii="Cambria Math" w:eastAsiaTheme="minorEastAsia" w:hAnsi="Cambria Math"/>
                    <w:sz w:val="20"/>
                    <w:szCs w:val="20"/>
                    <w:lang w:val="en-GB"/>
                  </w:rPr>
                  <m:t>PBT=</m:t>
                </m:r>
                <m:r>
                  <m:rPr>
                    <m:sty m:val="p"/>
                  </m:rPr>
                  <w:rPr>
                    <w:rFonts w:ascii="Cambria Math" w:eastAsiaTheme="minorEastAsia" w:hAnsi="Cambria Math"/>
                    <w:sz w:val="20"/>
                    <w:szCs w:val="20"/>
                    <w:lang w:val="en-GB"/>
                  </w:rPr>
                  <m:t>min</m:t>
                </m:r>
                <m:d>
                  <m:dPr>
                    <m:begChr m:val="{"/>
                    <m:endChr m:val="}"/>
                    <m:ctrlPr>
                      <w:rPr>
                        <w:rFonts w:ascii="Cambria Math" w:eastAsiaTheme="minorEastAsia" w:hAnsi="Cambria Math"/>
                        <w:sz w:val="20"/>
                        <w:szCs w:val="20"/>
                        <w:lang w:val="en-GB"/>
                      </w:rPr>
                    </m:ctrlPr>
                  </m:dPr>
                  <m:e>
                    <m:r>
                      <w:rPr>
                        <w:rFonts w:ascii="Cambria Math" w:eastAsiaTheme="minorEastAsia" w:hAnsi="Cambria Math"/>
                        <w:sz w:val="20"/>
                        <w:szCs w:val="20"/>
                        <w:lang w:val="en-GB"/>
                      </w:rPr>
                      <m:t>τ∈{1,…,</m:t>
                    </m:r>
                    <m:sSub>
                      <m:sSubPr>
                        <m:ctrlPr>
                          <w:rPr>
                            <w:rFonts w:ascii="Cambria Math" w:eastAsiaTheme="minorEastAsia" w:hAnsi="Cambria Math"/>
                            <w:i/>
                            <w:sz w:val="20"/>
                            <w:szCs w:val="20"/>
                            <w:lang w:val="en-GB"/>
                          </w:rPr>
                        </m:ctrlPr>
                      </m:sSubPr>
                      <m:e>
                        <m:r>
                          <w:rPr>
                            <w:rFonts w:ascii="Cambria Math" w:eastAsiaTheme="minorEastAsia" w:hAnsi="Cambria Math" w:hint="eastAsia"/>
                            <w:sz w:val="20"/>
                            <w:szCs w:val="20"/>
                            <w:lang w:val="en-GB"/>
                          </w:rPr>
                          <m:t>N</m:t>
                        </m:r>
                      </m:e>
                      <m:sub>
                        <m:r>
                          <m:rPr>
                            <m:sty m:val="p"/>
                          </m:rPr>
                          <w:rPr>
                            <w:rFonts w:ascii="Cambria Math" w:eastAsiaTheme="minorEastAsia" w:hAnsi="Cambria Math"/>
                            <w:sz w:val="20"/>
                            <w:szCs w:val="20"/>
                            <w:lang w:val="en-GB"/>
                          </w:rPr>
                          <m:t>search</m:t>
                        </m:r>
                      </m:sub>
                    </m:sSub>
                    <m:r>
                      <w:rPr>
                        <w:rFonts w:ascii="Cambria Math" w:eastAsiaTheme="minorEastAsia" w:hAnsi="Cambria Math"/>
                        <w:sz w:val="20"/>
                        <w:szCs w:val="20"/>
                        <w:lang w:val="en-GB"/>
                      </w:rPr>
                      <m:t>}∣</m:t>
                    </m:r>
                    <m:nary>
                      <m:naryPr>
                        <m:chr m:val="∑"/>
                        <m:limLoc m:val="undOvr"/>
                        <m:grow m:val="1"/>
                        <m:ctrlPr>
                          <w:rPr>
                            <w:rFonts w:ascii="Cambria Math" w:eastAsiaTheme="minorEastAsia" w:hAnsi="Cambria Math"/>
                            <w:sz w:val="20"/>
                            <w:szCs w:val="20"/>
                            <w:lang w:val="en-GB"/>
                          </w:rPr>
                        </m:ctrlPr>
                      </m:naryPr>
                      <m:sub>
                        <m:r>
                          <w:rPr>
                            <w:rFonts w:ascii="Cambria Math" w:eastAsiaTheme="minorEastAsia" w:hAnsi="Cambria Math"/>
                            <w:sz w:val="20"/>
                            <w:szCs w:val="20"/>
                            <w:lang w:val="en-GB"/>
                          </w:rPr>
                          <m:t>t=1</m:t>
                        </m:r>
                      </m:sub>
                      <m:sup>
                        <m:r>
                          <w:rPr>
                            <w:rFonts w:ascii="Cambria Math" w:eastAsiaTheme="minorEastAsia" w:hAnsi="Cambria Math"/>
                            <w:sz w:val="20"/>
                            <w:szCs w:val="20"/>
                            <w:lang w:val="en-GB"/>
                          </w:rPr>
                          <m:t>τ</m:t>
                        </m:r>
                      </m:sup>
                      <m:e>
                        <m:r>
                          <w:rPr>
                            <w:rFonts w:ascii="Cambria Math" w:eastAsiaTheme="minorEastAsia" w:hAnsi="Cambria Math"/>
                            <w:sz w:val="20"/>
                            <w:szCs w:val="20"/>
                            <w:lang w:val="en-GB"/>
                          </w:rPr>
                          <m:t> </m:t>
                        </m:r>
                      </m:e>
                    </m:nary>
                    <m:f>
                      <m:fPr>
                        <m:ctrlPr>
                          <w:rPr>
                            <w:rFonts w:ascii="Cambria Math" w:eastAsiaTheme="minorEastAsia" w:hAnsi="Cambria Math"/>
                            <w:sz w:val="20"/>
                            <w:szCs w:val="20"/>
                            <w:lang w:val="en-GB"/>
                          </w:rPr>
                        </m:ctrlPr>
                      </m:fPr>
                      <m:num>
                        <m:sSub>
                          <m:sSubPr>
                            <m:ctrlPr>
                              <w:rPr>
                                <w:rFonts w:ascii="Cambria Math" w:eastAsiaTheme="minorEastAsia" w:hAnsi="Cambria Math"/>
                                <w:sz w:val="20"/>
                                <w:szCs w:val="20"/>
                                <w:lang w:val="en-GB"/>
                              </w:rPr>
                            </m:ctrlPr>
                          </m:sSubPr>
                          <m:e>
                            <m:r>
                              <w:rPr>
                                <w:rFonts w:ascii="Cambria Math" w:eastAsiaTheme="minorEastAsia" w:hAnsi="Cambria Math"/>
                                <w:sz w:val="20"/>
                                <w:szCs w:val="20"/>
                                <w:lang w:val="en-GB"/>
                              </w:rPr>
                              <m:t>R</m:t>
                            </m:r>
                          </m:e>
                          <m:sub>
                            <m:r>
                              <w:rPr>
                                <w:rFonts w:ascii="Cambria Math" w:eastAsiaTheme="minorEastAsia" w:hAnsi="Cambria Math"/>
                                <w:sz w:val="20"/>
                                <w:szCs w:val="20"/>
                                <w:lang w:val="en-GB"/>
                              </w:rPr>
                              <m:t>t</m:t>
                            </m:r>
                          </m:sub>
                        </m:sSub>
                        <m:r>
                          <w:rPr>
                            <w:rFonts w:ascii="Cambria Math" w:eastAsiaTheme="minorEastAsia" w:hAnsi="Cambria Math"/>
                            <w:sz w:val="20"/>
                            <w:szCs w:val="20"/>
                            <w:lang w:val="en-GB"/>
                          </w:rPr>
                          <m:t>-(OPE</m:t>
                        </m:r>
                        <m:sSub>
                          <m:sSubPr>
                            <m:ctrlPr>
                              <w:rPr>
                                <w:rFonts w:ascii="Cambria Math" w:eastAsiaTheme="minorEastAsia" w:hAnsi="Cambria Math"/>
                                <w:sz w:val="20"/>
                                <w:szCs w:val="20"/>
                                <w:lang w:val="en-GB"/>
                              </w:rPr>
                            </m:ctrlPr>
                          </m:sSubPr>
                          <m:e>
                            <m:r>
                              <w:rPr>
                                <w:rFonts w:ascii="Cambria Math" w:eastAsiaTheme="minorEastAsia" w:hAnsi="Cambria Math"/>
                                <w:sz w:val="20"/>
                                <w:szCs w:val="20"/>
                                <w:lang w:val="en-GB"/>
                              </w:rPr>
                              <m:t>X</m:t>
                            </m:r>
                          </m:e>
                          <m:sub>
                            <m:r>
                              <w:rPr>
                                <w:rFonts w:ascii="Cambria Math" w:eastAsiaTheme="minorEastAsia" w:hAnsi="Cambria Math"/>
                                <w:sz w:val="20"/>
                                <w:szCs w:val="20"/>
                                <w:lang w:val="en-GB"/>
                              </w:rPr>
                              <m:t>t</m:t>
                            </m:r>
                          </m:sub>
                        </m:sSub>
                        <m:r>
                          <w:rPr>
                            <w:rFonts w:ascii="Cambria Math" w:eastAsiaTheme="minorEastAsia" w:hAnsi="Cambria Math"/>
                            <w:sz w:val="20"/>
                            <w:szCs w:val="20"/>
                            <w:lang w:val="en-GB"/>
                          </w:rPr>
                          <m:t>+</m:t>
                        </m:r>
                        <m:sSub>
                          <m:sSubPr>
                            <m:ctrlPr>
                              <w:rPr>
                                <w:rFonts w:ascii="Cambria Math" w:eastAsiaTheme="minorEastAsia" w:hAnsi="Cambria Math"/>
                                <w:sz w:val="20"/>
                                <w:szCs w:val="20"/>
                                <w:lang w:val="en-GB"/>
                              </w:rPr>
                            </m:ctrlPr>
                          </m:sSubPr>
                          <m:e>
                            <m:r>
                              <w:rPr>
                                <w:rFonts w:ascii="Cambria Math" w:eastAsiaTheme="minorEastAsia" w:hAnsi="Cambria Math"/>
                                <w:sz w:val="20"/>
                                <w:szCs w:val="20"/>
                                <w:lang w:val="en-GB"/>
                              </w:rPr>
                              <m:t>C</m:t>
                            </m:r>
                          </m:e>
                          <m:sub>
                            <m:r>
                              <w:rPr>
                                <w:rFonts w:ascii="Cambria Math" w:eastAsiaTheme="minorEastAsia" w:hAnsi="Cambria Math"/>
                                <w:sz w:val="20"/>
                                <w:szCs w:val="20"/>
                                <w:lang w:val="en-GB"/>
                              </w:rPr>
                              <m:t>rep,t</m:t>
                            </m:r>
                          </m:sub>
                        </m:sSub>
                        <m:r>
                          <w:rPr>
                            <w:rFonts w:ascii="Cambria Math" w:eastAsiaTheme="minorEastAsia" w:hAnsi="Cambria Math"/>
                            <w:sz w:val="20"/>
                            <w:szCs w:val="20"/>
                            <w:lang w:val="en-GB"/>
                          </w:rPr>
                          <m:t>)</m:t>
                        </m:r>
                      </m:num>
                      <m:den>
                        <m:d>
                          <m:dPr>
                            <m:sepChr m:val="+"/>
                            <m:endChr m:val=""/>
                            <m:ctrlPr>
                              <w:rPr>
                                <w:rFonts w:ascii="Cambria Math" w:eastAsiaTheme="minorEastAsia" w:hAnsi="Cambria Math"/>
                                <w:sz w:val="20"/>
                                <w:szCs w:val="20"/>
                                <w:lang w:val="en-GB"/>
                              </w:rPr>
                            </m:ctrlPr>
                          </m:dPr>
                          <m:e>
                            <m:r>
                              <w:rPr>
                                <w:rFonts w:ascii="Cambria Math" w:eastAsiaTheme="minorEastAsia" w:hAnsi="Cambria Math"/>
                                <w:sz w:val="20"/>
                                <w:szCs w:val="20"/>
                                <w:lang w:val="en-GB"/>
                              </w:rPr>
                              <m:t>1</m:t>
                            </m:r>
                          </m:e>
                          <m:e>
                            <m:sSub>
                              <m:sSubPr>
                                <m:ctrlPr>
                                  <w:rPr>
                                    <w:rFonts w:ascii="Cambria Math" w:eastAsiaTheme="minorEastAsia" w:hAnsi="Cambria Math"/>
                                    <w:sz w:val="20"/>
                                    <w:szCs w:val="20"/>
                                    <w:lang w:val="en-GB"/>
                                  </w:rPr>
                                </m:ctrlPr>
                              </m:sSubPr>
                              <m:e>
                                <m:r>
                                  <w:rPr>
                                    <w:rFonts w:ascii="Cambria Math" w:eastAsiaTheme="minorEastAsia" w:hAnsi="Cambria Math"/>
                                    <w:sz w:val="20"/>
                                    <w:szCs w:val="20"/>
                                    <w:lang w:val="en-GB"/>
                                  </w:rPr>
                                  <m:t>r</m:t>
                                </m:r>
                              </m:e>
                              <m:sub>
                                <m:r>
                                  <w:rPr>
                                    <w:rFonts w:ascii="Cambria Math" w:eastAsiaTheme="minorEastAsia" w:hAnsi="Cambria Math"/>
                                    <w:sz w:val="20"/>
                                    <w:szCs w:val="20"/>
                                    <w:lang w:val="en-GB"/>
                                  </w:rPr>
                                  <m:t>nom</m:t>
                                </m:r>
                              </m:sub>
                            </m:sSub>
                            <m:sSup>
                              <m:sSupPr>
                                <m:ctrlPr>
                                  <w:rPr>
                                    <w:rFonts w:ascii="Cambria Math" w:eastAsiaTheme="minorEastAsia" w:hAnsi="Cambria Math"/>
                                    <w:sz w:val="20"/>
                                    <w:szCs w:val="20"/>
                                    <w:lang w:val="en-GB"/>
                                  </w:rPr>
                                </m:ctrlPr>
                              </m:sSupPr>
                              <m:e>
                                <m:r>
                                  <w:rPr>
                                    <w:rFonts w:ascii="Cambria Math" w:eastAsiaTheme="minorEastAsia" w:hAnsi="Cambria Math"/>
                                    <w:sz w:val="20"/>
                                    <w:szCs w:val="20"/>
                                    <w:lang w:val="en-GB"/>
                                  </w:rPr>
                                  <m:t>)</m:t>
                                </m:r>
                              </m:e>
                              <m:sup>
                                <m:r>
                                  <w:rPr>
                                    <w:rFonts w:ascii="Cambria Math" w:eastAsiaTheme="minorEastAsia" w:hAnsi="Cambria Math"/>
                                    <w:sz w:val="20"/>
                                    <w:szCs w:val="20"/>
                                    <w:lang w:val="en-GB"/>
                                  </w:rPr>
                                  <m:t>t</m:t>
                                </m:r>
                              </m:sup>
                            </m:sSup>
                          </m:e>
                        </m:d>
                      </m:den>
                    </m:f>
                    <m:r>
                      <w:rPr>
                        <w:rFonts w:ascii="Cambria Math" w:eastAsiaTheme="minorEastAsia" w:hAnsi="Cambria Math"/>
                        <w:sz w:val="20"/>
                        <w:szCs w:val="20"/>
                        <w:lang w:val="en-GB"/>
                      </w:rPr>
                      <m:t>≥</m:t>
                    </m:r>
                    <m:sSub>
                      <m:sSubPr>
                        <m:ctrlPr>
                          <w:rPr>
                            <w:rFonts w:ascii="Cambria Math" w:eastAsiaTheme="minorEastAsia" w:hAnsi="Cambria Math"/>
                            <w:sz w:val="20"/>
                            <w:szCs w:val="20"/>
                            <w:lang w:val="en-GB"/>
                          </w:rPr>
                        </m:ctrlPr>
                      </m:sSubPr>
                      <m:e>
                        <m:r>
                          <w:rPr>
                            <w:rFonts w:ascii="Cambria Math" w:eastAsiaTheme="minorEastAsia" w:hAnsi="Cambria Math"/>
                            <w:sz w:val="20"/>
                            <w:szCs w:val="20"/>
                            <w:lang w:val="en-GB"/>
                          </w:rPr>
                          <m:t>I</m:t>
                        </m:r>
                      </m:e>
                      <m:sub>
                        <m:r>
                          <w:rPr>
                            <w:rFonts w:ascii="Cambria Math" w:eastAsiaTheme="minorEastAsia" w:hAnsi="Cambria Math"/>
                            <w:sz w:val="20"/>
                            <w:szCs w:val="20"/>
                            <w:lang w:val="en-GB"/>
                          </w:rPr>
                          <m:t>0</m:t>
                        </m:r>
                      </m:sub>
                    </m:sSub>
                  </m:e>
                </m:d>
              </m:oMath>
            </m:oMathPara>
          </w:p>
        </w:tc>
        <w:tc>
          <w:tcPr>
            <w:tcW w:w="1695" w:type="dxa"/>
            <w:vAlign w:val="center"/>
            <w:hideMark/>
          </w:tcPr>
          <w:p w14:paraId="19B0E94B" w14:textId="1A9491BE" w:rsidR="001970D9" w:rsidRPr="000F491B" w:rsidRDefault="00545750" w:rsidP="00215199">
            <w:pPr>
              <w:tabs>
                <w:tab w:val="center" w:pos="4820"/>
                <w:tab w:val="right" w:pos="9638"/>
              </w:tabs>
              <w:spacing w:after="120" w:line="276" w:lineRule="auto"/>
              <w:ind w:firstLine="425"/>
              <w:jc w:val="right"/>
              <w:rPr>
                <w:rFonts w:ascii="Times New Roman" w:eastAsia="宋体" w:hAnsi="Times New Roman"/>
                <w:lang w:val="en-GB"/>
              </w:rPr>
            </w:pPr>
            <w:r w:rsidRPr="00C32131">
              <w:rPr>
                <w:rFonts w:eastAsia="宋体"/>
                <w:sz w:val="20"/>
                <w:szCs w:val="20"/>
                <w:lang w:val="en-GB"/>
              </w:rPr>
              <w:t>(</w:t>
            </w:r>
            <w:r w:rsidRPr="008B3AB2">
              <w:rPr>
                <w:rFonts w:ascii="Times New Roman" w:eastAsia="宋体" w:hAnsi="Times New Roman" w:hint="eastAsia"/>
                <w:sz w:val="20"/>
                <w:szCs w:val="20"/>
                <w:lang w:val="en-GB"/>
              </w:rPr>
              <w:t>eq.</w:t>
            </w:r>
            <w:r>
              <w:rPr>
                <w:rFonts w:ascii="Times New Roman" w:eastAsia="宋体" w:hAnsi="Times New Roman" w:hint="eastAsia"/>
                <w:sz w:val="20"/>
                <w:szCs w:val="20"/>
                <w:lang w:val="en-GB"/>
              </w:rPr>
              <w:t>6</w:t>
            </w:r>
            <w:r w:rsidRPr="00C32131">
              <w:rPr>
                <w:rFonts w:eastAsia="宋体"/>
                <w:sz w:val="20"/>
                <w:szCs w:val="20"/>
                <w:lang w:val="en-GB"/>
              </w:rPr>
              <w:t>)</w:t>
            </w:r>
          </w:p>
        </w:tc>
      </w:tr>
    </w:tbl>
    <w:p w14:paraId="323DB4A6" w14:textId="2E3848FA" w:rsidR="001970D9" w:rsidRPr="00545750" w:rsidRDefault="00545750" w:rsidP="00215199">
      <w:pPr>
        <w:pStyle w:val="SWCText"/>
        <w:rPr>
          <w:bCs/>
          <w:szCs w:val="20"/>
          <w:lang w:eastAsia="zh-CN"/>
        </w:rPr>
      </w:pPr>
      <w:r w:rsidRPr="00545750">
        <w:rPr>
          <w:bCs/>
          <w:szCs w:val="20"/>
        </w:rPr>
        <w:t xml:space="preserve">The discounted PBT was calculated as the earliest year at which the cumulative discounted net cash flow </w:t>
      </w:r>
      <w:proofErr w:type="spellStart"/>
      <w:r w:rsidRPr="00545750">
        <w:rPr>
          <w:bCs/>
          <w:szCs w:val="20"/>
        </w:rPr>
        <w:t>equalled</w:t>
      </w:r>
      <w:proofErr w:type="spellEnd"/>
      <w:r w:rsidRPr="00545750">
        <w:rPr>
          <w:bCs/>
          <w:szCs w:val="20"/>
        </w:rPr>
        <w:t xml:space="preserve"> or exceeded the initial investment, as expressed in Eq. (6). Here, </w:t>
      </w:r>
      <w:r w:rsidRPr="00545750">
        <w:rPr>
          <w:bCs/>
          <w:i/>
          <w:iCs/>
          <w:szCs w:val="20"/>
        </w:rPr>
        <w:t>R</w:t>
      </w:r>
      <w:r w:rsidRPr="00545750">
        <w:rPr>
          <w:rFonts w:hint="eastAsia"/>
          <w:bCs/>
          <w:i/>
          <w:iCs/>
          <w:szCs w:val="20"/>
          <w:vertAlign w:val="subscript"/>
          <w:lang w:eastAsia="zh-CN"/>
        </w:rPr>
        <w:t>t</w:t>
      </w:r>
      <w:r w:rsidRPr="00545750">
        <w:rPr>
          <w:bCs/>
          <w:szCs w:val="20"/>
        </w:rPr>
        <w:t xml:space="preserve"> is the revenue in year</w:t>
      </w:r>
      <w:r w:rsidRPr="00545750">
        <w:rPr>
          <w:bCs/>
          <w:i/>
          <w:iCs/>
          <w:szCs w:val="20"/>
        </w:rPr>
        <w:t xml:space="preserve"> </w:t>
      </w:r>
      <w:r w:rsidRPr="00545750">
        <w:rPr>
          <w:rFonts w:hint="eastAsia"/>
          <w:bCs/>
          <w:i/>
          <w:iCs/>
          <w:szCs w:val="20"/>
          <w:lang w:eastAsia="zh-CN"/>
        </w:rPr>
        <w:t>t</w:t>
      </w:r>
      <w:r w:rsidRPr="00545750">
        <w:rPr>
          <w:bCs/>
          <w:szCs w:val="20"/>
        </w:rPr>
        <w:t xml:space="preserve">, </w:t>
      </w:r>
      <w:proofErr w:type="spellStart"/>
      <w:r w:rsidRPr="00545750">
        <w:rPr>
          <w:bCs/>
          <w:i/>
          <w:iCs/>
          <w:szCs w:val="20"/>
        </w:rPr>
        <w:t>OPEX</w:t>
      </w:r>
      <w:r w:rsidRPr="00545750">
        <w:rPr>
          <w:rFonts w:hint="eastAsia"/>
          <w:bCs/>
          <w:i/>
          <w:iCs/>
          <w:szCs w:val="20"/>
          <w:vertAlign w:val="subscript"/>
          <w:lang w:eastAsia="zh-CN"/>
        </w:rPr>
        <w:t>t</w:t>
      </w:r>
      <w:proofErr w:type="spellEnd"/>
      <w:r w:rsidRPr="00545750">
        <w:rPr>
          <w:bCs/>
          <w:szCs w:val="20"/>
        </w:rPr>
        <w:t xml:space="preserve"> is the annual operating expenditure, and </w:t>
      </w:r>
      <w:proofErr w:type="spellStart"/>
      <w:r w:rsidRPr="00545750">
        <w:rPr>
          <w:bCs/>
          <w:i/>
          <w:iCs/>
          <w:szCs w:val="20"/>
        </w:rPr>
        <w:t>C</w:t>
      </w:r>
      <w:r w:rsidRPr="00545750">
        <w:rPr>
          <w:bCs/>
          <w:i/>
          <w:iCs/>
          <w:szCs w:val="20"/>
          <w:vertAlign w:val="subscript"/>
        </w:rPr>
        <w:t>rep,t</w:t>
      </w:r>
      <w:proofErr w:type="spellEnd"/>
      <w:r w:rsidRPr="00545750">
        <w:rPr>
          <w:bCs/>
          <w:i/>
          <w:iCs/>
          <w:szCs w:val="20"/>
          <w:vertAlign w:val="subscript"/>
        </w:rPr>
        <w:t xml:space="preserve"> </w:t>
      </w:r>
      <w:r w:rsidRPr="00545750">
        <w:rPr>
          <w:bCs/>
          <w:szCs w:val="20"/>
        </w:rPr>
        <w:t>is the scheduled replacement expenditure. Two revenue scenarios were considered: hydrogen sales only and combined hydrogen and oxygen sales. The base-year selling prices were 12.0 EUR kg⁻¹ H₂ and 0.15 EUR kg⁻¹ O₂, respectively, with an oxygen-to-hydrogen mass ratio of 8:1. The project lifetime was N=25 years. Thus, PBT values exceeding 25 years indicate that the system does not achieve capital recovery within its assumed project lifetime. Linear interpolation was applied within the year in which the cumulative discounted cash flow crossed the initial investment.</w:t>
      </w:r>
      <w:r w:rsidR="001324F1">
        <w:rPr>
          <w:rFonts w:hint="eastAsia"/>
          <w:bCs/>
          <w:szCs w:val="20"/>
          <w:lang w:eastAsia="zh-CN"/>
        </w:rPr>
        <w:t xml:space="preserve"> </w:t>
      </w:r>
      <w:r w:rsidR="001324F1" w:rsidRPr="001324F1">
        <w:rPr>
          <w:bCs/>
          <w:szCs w:val="20"/>
          <w:lang w:eastAsia="zh-CN"/>
        </w:rPr>
        <w:t xml:space="preserve">The principal component-cost and economic assumptions used in the techno-economic assessment are summarized in </w:t>
      </w:r>
      <w:r w:rsidR="001324F1" w:rsidRPr="001324F1">
        <w:rPr>
          <w:b/>
          <w:szCs w:val="20"/>
          <w:lang w:eastAsia="zh-CN"/>
        </w:rPr>
        <w:t>Table 2</w:t>
      </w:r>
      <w:r w:rsidR="001324F1" w:rsidRPr="001324F1">
        <w:rPr>
          <w:bCs/>
          <w:szCs w:val="20"/>
          <w:lang w:eastAsia="zh-CN"/>
        </w:rPr>
        <w:t>. All costs are expressed in base-year values and are applied consistently to every location. The table distinguishes the two tracking configurations through their respective tracker costs and annual operating-expenditure rates, while the remaining component and financial assumptions are identical.</w:t>
      </w:r>
    </w:p>
    <w:p w14:paraId="32968CD7" w14:textId="0E0E7166" w:rsidR="00C32131" w:rsidRDefault="00C32131" w:rsidP="0084100F">
      <w:pPr>
        <w:pStyle w:val="SWCHeading1"/>
      </w:pPr>
      <w:proofErr w:type="spellStart"/>
      <w:r w:rsidRPr="00C32131">
        <w:rPr>
          <w:lang w:val="de-DE"/>
        </w:rPr>
        <w:t>Results</w:t>
      </w:r>
      <w:proofErr w:type="spellEnd"/>
      <w:r w:rsidRPr="00C32131">
        <w:rPr>
          <w:lang w:val="de-DE"/>
        </w:rPr>
        <w:t xml:space="preserve"> and </w:t>
      </w:r>
      <w:r w:rsidRPr="00C32131">
        <w:t>discussion</w:t>
      </w:r>
    </w:p>
    <w:p w14:paraId="7E0B799F" w14:textId="63AAA1E5" w:rsidR="00A92044" w:rsidRDefault="006038A7" w:rsidP="008702AA">
      <w:pPr>
        <w:pStyle w:val="SWCText"/>
      </w:pPr>
      <w:r w:rsidRPr="006038A7">
        <w:t xml:space="preserve">This section compares the hourly operation, annual technical performance, and economic feasibility of the SSPVTH system across the ten selected European cities. </w:t>
      </w:r>
      <w:r w:rsidRPr="006038A7">
        <w:rPr>
          <w:b/>
          <w:bCs/>
        </w:rPr>
        <w:t>Fig</w:t>
      </w:r>
      <w:r w:rsidRPr="006038A7">
        <w:rPr>
          <w:rFonts w:hint="eastAsia"/>
          <w:b/>
          <w:bCs/>
          <w:lang w:eastAsia="zh-CN"/>
        </w:rPr>
        <w:t>.</w:t>
      </w:r>
      <w:r w:rsidRPr="006038A7">
        <w:rPr>
          <w:b/>
          <w:bCs/>
        </w:rPr>
        <w:t xml:space="preserve"> 2</w:t>
      </w:r>
      <w:r w:rsidRPr="006038A7">
        <w:t xml:space="preserve"> illustrates the hourly meteorological input and hydrogen-production </w:t>
      </w:r>
      <w:proofErr w:type="spellStart"/>
      <w:r w:rsidRPr="006038A7">
        <w:t>behaviour</w:t>
      </w:r>
      <w:proofErr w:type="spellEnd"/>
      <w:r w:rsidRPr="006038A7">
        <w:t xml:space="preserve"> at two representative locations, Vienna and Athens. </w:t>
      </w:r>
      <w:r w:rsidR="00C709F3" w:rsidRPr="00C709F3">
        <w:rPr>
          <w:rFonts w:eastAsia="Times New Roman"/>
          <w:noProof/>
          <w:color w:val="auto"/>
          <w:sz w:val="24"/>
          <w:szCs w:val="24"/>
          <w:lang w:eastAsia="zh-CN"/>
        </w:rPr>
        <w:t xml:space="preserve"> </w:t>
      </w:r>
      <w:r w:rsidR="00C709F3" w:rsidRPr="00C709F3">
        <w:rPr>
          <w:noProof/>
          <w:color w:val="auto"/>
          <w:sz w:val="24"/>
          <w:szCs w:val="24"/>
        </w:rPr>
        <w:lastRenderedPageBreak/>
        <w:drawing>
          <wp:inline distT="0" distB="0" distL="0" distR="0" wp14:anchorId="02D278BD" wp14:editId="12E55BF8">
            <wp:extent cx="6012611" cy="3491343"/>
            <wp:effectExtent l="0" t="0" r="7620" b="0"/>
            <wp:docPr id="1" name="Picture 1">
              <a:extLst xmlns:a="http://schemas.openxmlformats.org/drawingml/2006/main">
                <a:ext uri="{FF2B5EF4-FFF2-40B4-BE49-F238E27FC236}">
                  <a16:creationId xmlns:a16="http://schemas.microsoft.com/office/drawing/2014/main" id="{C62AD78B-047B-86C4-0D18-2AE9118466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C62AD78B-047B-86C4-0D18-2AE911846615}"/>
                        </a:ext>
                      </a:extLst>
                    </pic:cNvPr>
                    <pic:cNvPicPr>
                      <a:picLocks noChangeAspect="1"/>
                    </pic:cNvPicPr>
                  </pic:nvPicPr>
                  <pic:blipFill>
                    <a:blip r:embed="rId9"/>
                    <a:stretch>
                      <a:fillRect/>
                    </a:stretch>
                  </pic:blipFill>
                  <pic:spPr>
                    <a:xfrm>
                      <a:off x="0" y="0"/>
                      <a:ext cx="6019718" cy="3495470"/>
                    </a:xfrm>
                    <a:prstGeom prst="rect">
                      <a:avLst/>
                    </a:prstGeom>
                  </pic:spPr>
                </pic:pic>
              </a:graphicData>
            </a:graphic>
          </wp:inline>
        </w:drawing>
      </w:r>
    </w:p>
    <w:p w14:paraId="7CEB8738" w14:textId="37DE596C" w:rsidR="006038A7" w:rsidRDefault="00837104" w:rsidP="008702AA">
      <w:pPr>
        <w:pStyle w:val="SWCTableFigureCaption"/>
        <w:spacing w:after="120"/>
      </w:pPr>
      <w:r>
        <w:t xml:space="preserve">Fig. </w:t>
      </w:r>
      <w:r w:rsidR="00EB25B2">
        <w:rPr>
          <w:rFonts w:hint="eastAsia"/>
          <w:lang w:eastAsia="zh-CN"/>
        </w:rPr>
        <w:t>2</w:t>
      </w:r>
      <w:r>
        <w:t>:</w:t>
      </w:r>
      <w:r w:rsidR="002E5D62">
        <w:t xml:space="preserve"> </w:t>
      </w:r>
      <w:r w:rsidR="00EB25B2" w:rsidRPr="00C32131">
        <w:t>Hourly TMY direct normal irradiance and corresponding normalized hydrogen production rates in Vienna and Athens: (a) DNI in Vienna, (b) dual axis hydrogen production in Vienna, (c) single axis hydrogen production in Vienna, (d) DNI in Athens, (e) dual axis hydrogen production in Athens, and (f) single axis hydrogen production in Athens.</w:t>
      </w:r>
    </w:p>
    <w:p w14:paraId="4A6AC671" w14:textId="3DC2D944" w:rsidR="006038A7" w:rsidRPr="006038A7" w:rsidRDefault="006038A7" w:rsidP="00215199">
      <w:pPr>
        <w:pStyle w:val="SWCTableFigureCaption"/>
        <w:spacing w:after="120"/>
        <w:jc w:val="both"/>
        <w:rPr>
          <w:b w:val="0"/>
          <w:bCs/>
          <w:sz w:val="20"/>
        </w:rPr>
      </w:pPr>
      <w:r w:rsidRPr="006038A7">
        <w:rPr>
          <w:sz w:val="20"/>
        </w:rPr>
        <w:t>Fig</w:t>
      </w:r>
      <w:r w:rsidRPr="006038A7">
        <w:rPr>
          <w:rFonts w:hint="eastAsia"/>
          <w:sz w:val="20"/>
          <w:lang w:eastAsia="zh-CN"/>
        </w:rPr>
        <w:t>.</w:t>
      </w:r>
      <w:r w:rsidRPr="006038A7">
        <w:rPr>
          <w:sz w:val="20"/>
        </w:rPr>
        <w:t xml:space="preserve"> 2</w:t>
      </w:r>
      <w:r w:rsidRPr="006038A7">
        <w:rPr>
          <w:b w:val="0"/>
          <w:bCs/>
          <w:sz w:val="20"/>
        </w:rPr>
        <w:t xml:space="preserve"> shows clear differences between the hourly DNI characteristics of Vienna and Athens. Vienna exhibits considerable irradiance intermittency and a pronounced seasonal variation, with lower and less frequent DNI events during the winter months. Athens presents a stronger and more regular solar resource throughout the year, with frequent high-DNI periods extending beyond the summer season. These contrasting profiles illustrate the geographical variation in the direct solar resource available to a concentrating solar-hydrogen system.</w:t>
      </w:r>
    </w:p>
    <w:p w14:paraId="7D4BCCB1" w14:textId="77777777" w:rsidR="006038A7" w:rsidRPr="006038A7" w:rsidRDefault="006038A7" w:rsidP="00215199">
      <w:pPr>
        <w:pStyle w:val="SWCTableFigureCaption"/>
        <w:spacing w:after="120"/>
        <w:jc w:val="both"/>
        <w:rPr>
          <w:b w:val="0"/>
          <w:bCs/>
          <w:sz w:val="20"/>
        </w:rPr>
      </w:pPr>
      <w:r w:rsidRPr="006038A7">
        <w:rPr>
          <w:b w:val="0"/>
          <w:bCs/>
          <w:sz w:val="20"/>
        </w:rPr>
        <w:t xml:space="preserve">The hourly hydrogen-production profiles closely follow the corresponding DNI patterns because the system operates without importing electricity from the utility grid. Hours with insufficient irradiance result in zero hydrogen production, while fluctuations in DNI lead directly to part-load operation of the PV receiver and </w:t>
      </w:r>
      <w:proofErr w:type="spellStart"/>
      <w:r w:rsidRPr="006038A7">
        <w:rPr>
          <w:b w:val="0"/>
          <w:bCs/>
          <w:sz w:val="20"/>
        </w:rPr>
        <w:t>electrolyzer</w:t>
      </w:r>
      <w:proofErr w:type="spellEnd"/>
      <w:r w:rsidRPr="006038A7">
        <w:rPr>
          <w:b w:val="0"/>
          <w:bCs/>
          <w:sz w:val="20"/>
        </w:rPr>
        <w:t>. Consequently, Vienna exhibits more frequent interruptions and lower hourly production during winter, whereas Athens maintains a longer and more consistent production window over the year. Nevertheless, the hourly results also demonstrate that high instantaneous production rates can occur at both locations when sufficiently strong DNI is available. The principal geographical difference therefore lies not only in the maximum production rate but also in the frequency and duration of productive operating periods.</w:t>
      </w:r>
    </w:p>
    <w:p w14:paraId="4CA53EA5" w14:textId="5FF894DD" w:rsidR="006038A7" w:rsidRDefault="006038A7" w:rsidP="00215199">
      <w:pPr>
        <w:pStyle w:val="SWCTableFigureCaption"/>
        <w:spacing w:after="120"/>
        <w:jc w:val="both"/>
        <w:rPr>
          <w:b w:val="0"/>
          <w:bCs/>
          <w:sz w:val="20"/>
        </w:rPr>
      </w:pPr>
      <w:r w:rsidRPr="006038A7">
        <w:rPr>
          <w:b w:val="0"/>
          <w:bCs/>
          <w:sz w:val="20"/>
        </w:rPr>
        <w:t>Under both climatic conditions, the dual axis configuration produces more hydrogen than the single axis configuration. Dual axis tracking continuously aligns the concentrator with the solar beam and therefore minimizes incidence-angle losses. In contrast, the projected irradiance available to the single axis system is reduced during periods of optical misalignment, particularly in the morning and afternoon. This effect narrows the productive operating window and decreases the hydrogen-production rate at many hourly time steps. The difference between the two configurations is therefore accumulated throughout the year and becomes substantial in the annual yield.</w:t>
      </w:r>
    </w:p>
    <w:p w14:paraId="22072F1C" w14:textId="56B850D8" w:rsidR="006038A7" w:rsidRPr="006038A7" w:rsidRDefault="006038A7" w:rsidP="00215199">
      <w:pPr>
        <w:pStyle w:val="SWCTableFigureCaption"/>
        <w:spacing w:after="120"/>
        <w:jc w:val="both"/>
        <w:rPr>
          <w:b w:val="0"/>
          <w:bCs/>
          <w:sz w:val="20"/>
        </w:rPr>
      </w:pPr>
      <w:r w:rsidRPr="006038A7">
        <w:rPr>
          <w:sz w:val="20"/>
        </w:rPr>
        <w:t>Fig</w:t>
      </w:r>
      <w:r w:rsidRPr="006038A7">
        <w:rPr>
          <w:rFonts w:hint="eastAsia"/>
          <w:sz w:val="20"/>
          <w:lang w:eastAsia="zh-CN"/>
        </w:rPr>
        <w:t>.</w:t>
      </w:r>
      <w:r w:rsidRPr="006038A7">
        <w:rPr>
          <w:sz w:val="20"/>
        </w:rPr>
        <w:t xml:space="preserve"> 3(a)</w:t>
      </w:r>
      <w:r w:rsidRPr="006038A7">
        <w:rPr>
          <w:b w:val="0"/>
          <w:bCs/>
          <w:sz w:val="20"/>
        </w:rPr>
        <w:t xml:space="preserve"> compares the annual </w:t>
      </w:r>
      <w:r w:rsidR="00FD5E06">
        <w:rPr>
          <w:b w:val="0"/>
          <w:bCs/>
          <w:sz w:val="20"/>
        </w:rPr>
        <w:t>normalized</w:t>
      </w:r>
      <w:r w:rsidRPr="006038A7">
        <w:rPr>
          <w:b w:val="0"/>
          <w:bCs/>
          <w:sz w:val="20"/>
        </w:rPr>
        <w:t xml:space="preserve"> hydrogen production across the ten cities. A clear geographical gradient is observed, although the ranking is governed by the local DNI resource rather than latitude alone. Under dual axis tracking, annual hydrogen production ranges from 5.0 kg H₂ m⁻² year⁻¹ in London to 11.2 kg H₂ m⁻² year⁻¹ in Madrid. Athens provides a similarly high yield of 11.1 kg H₂ m⁻² year⁻¹, followed by Lisbon and Rome at 10.3 and 9.9 kg H₂ m⁻² year⁻¹, respectively. Bucharest reaches 8.8 kg H₂ m⁻² year⁻¹, while Vienna, Helsinki, Copenhagen, and Paris produce between 5.9 and 7.2 kg H₂ m⁻² year⁻¹. These results confirm the strong advantage of southern European locations with abundant direct solar irradiation.</w:t>
      </w:r>
    </w:p>
    <w:p w14:paraId="76A4BD6F" w14:textId="08A70803" w:rsidR="006038A7" w:rsidRDefault="006038A7" w:rsidP="00215199">
      <w:pPr>
        <w:pStyle w:val="SWCTableFigureCaption"/>
        <w:spacing w:after="120"/>
        <w:jc w:val="both"/>
        <w:rPr>
          <w:b w:val="0"/>
          <w:bCs/>
          <w:sz w:val="20"/>
        </w:rPr>
      </w:pPr>
      <w:r w:rsidRPr="006038A7">
        <w:rPr>
          <w:b w:val="0"/>
          <w:bCs/>
          <w:sz w:val="20"/>
        </w:rPr>
        <w:lastRenderedPageBreak/>
        <w:t>The same geographical tendency is retained under single axis tracking, but the annual yields are consistently lower. The single axis production ranges from 3.6 kg H₂ m⁻² year⁻¹ in London to 8.5 kg H₂ m⁻² year⁻¹ in Madrid. Athens and Lisbon achieve 8.2 and 7.9 kg H₂ m⁻² year⁻¹, respectively. Depending on location, dual axis tracking increases annual hydrogen production by approximately 31.3–45.0% relative to single axis tracking. The largest relative improvement occurs in Helsinki, whereas the smallest occurs in Lisbon. The results indicate that the additional degree of tracking remains beneficial throughout the investigated European climatic range and is particularly valuable where the usable DNI resource is already limited.</w:t>
      </w:r>
    </w:p>
    <w:p w14:paraId="74B1BE6A" w14:textId="4F8CAF34" w:rsidR="00653551" w:rsidRPr="006038A7" w:rsidRDefault="006038A7" w:rsidP="00215199">
      <w:pPr>
        <w:pStyle w:val="SWCText"/>
        <w:rPr>
          <w:lang w:eastAsia="zh-CN"/>
        </w:rPr>
      </w:pPr>
      <w:r w:rsidRPr="006038A7">
        <w:t xml:space="preserve">The annual HHV-based STH efficiencies are presented in </w:t>
      </w:r>
      <w:r w:rsidRPr="006038A7">
        <w:rPr>
          <w:b/>
          <w:bCs/>
        </w:rPr>
        <w:t>Fig. 3(b).</w:t>
      </w:r>
      <w:r w:rsidRPr="006038A7">
        <w:t xml:space="preserve"> Under dual axis tracking, the efficiency varies from 18.1% in London to 19.5% in Athens. The relatively narrow range indicates that the coupled SSPVTH system maintains comparable energy-conversion performance under different European climates, while the absolute hydrogen yield is primarily determined by the amount and temporal distribution of the available DNI. Under single axis tracking, the annual STH efficiency decreases to between 12.9% and 14.4%. In this calculation, the solar-energy denominator is based on the original DNI before single axis projection and includes irradiance below the 45 W m⁻² operating threshold. Consequently, the single axis STH values account for incidence-angle losses and unavailable low-irradiance energy at the overall system level. The consistently lower single axis efficiency therefore directly quantifies the annual energetic penalty associated with the reduced tracking capability</w:t>
      </w:r>
      <w:r>
        <w:rPr>
          <w:rFonts w:hint="eastAsia"/>
          <w:lang w:eastAsia="zh-CN"/>
        </w:rPr>
        <w:t>.</w:t>
      </w:r>
    </w:p>
    <w:p w14:paraId="3FD72306" w14:textId="2F8F9ED4" w:rsidR="00166C42" w:rsidRDefault="00BB0C01" w:rsidP="00215199">
      <w:pPr>
        <w:pStyle w:val="SWCText"/>
        <w:jc w:val="center"/>
      </w:pPr>
      <w:r w:rsidRPr="00BB0C01">
        <w:rPr>
          <w:rFonts w:ascii="Arial" w:hAnsi="Arial" w:cs="Arial"/>
          <w:noProof/>
          <w:sz w:val="32"/>
          <w:lang w:val="de-DE"/>
        </w:rPr>
        <w:drawing>
          <wp:inline distT="0" distB="0" distL="0" distR="0" wp14:anchorId="43059C5A" wp14:editId="349BEEA1">
            <wp:extent cx="3790950" cy="3779671"/>
            <wp:effectExtent l="0" t="0" r="0" b="0"/>
            <wp:docPr id="3" name="Picture 2">
              <a:extLst xmlns:a="http://schemas.openxmlformats.org/drawingml/2006/main">
                <a:ext uri="{FF2B5EF4-FFF2-40B4-BE49-F238E27FC236}">
                  <a16:creationId xmlns:a16="http://schemas.microsoft.com/office/drawing/2014/main" id="{1B5BE968-963A-691C-FB1A-B4FEA195C4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B5BE968-963A-691C-FB1A-B4FEA195C4BF}"/>
                        </a:ext>
                      </a:extLst>
                    </pic:cNvPr>
                    <pic:cNvPicPr>
                      <a:picLocks noChangeAspect="1"/>
                    </pic:cNvPicPr>
                  </pic:nvPicPr>
                  <pic:blipFill>
                    <a:blip r:embed="rId10"/>
                    <a:stretch>
                      <a:fillRect/>
                    </a:stretch>
                  </pic:blipFill>
                  <pic:spPr>
                    <a:xfrm>
                      <a:off x="0" y="0"/>
                      <a:ext cx="3801668" cy="3790357"/>
                    </a:xfrm>
                    <a:prstGeom prst="rect">
                      <a:avLst/>
                    </a:prstGeom>
                  </pic:spPr>
                </pic:pic>
              </a:graphicData>
            </a:graphic>
          </wp:inline>
        </w:drawing>
      </w:r>
    </w:p>
    <w:p w14:paraId="72D08399" w14:textId="0CF2B57A" w:rsidR="00F16B99" w:rsidRDefault="00BB0C01" w:rsidP="008702AA">
      <w:pPr>
        <w:pStyle w:val="SWCText"/>
        <w:ind w:left="360"/>
        <w:rPr>
          <w:bCs/>
          <w:sz w:val="16"/>
          <w:szCs w:val="16"/>
        </w:rPr>
      </w:pPr>
      <w:r w:rsidRPr="00BB0C01">
        <w:rPr>
          <w:b/>
          <w:sz w:val="16"/>
          <w:szCs w:val="16"/>
        </w:rPr>
        <w:t xml:space="preserve">Fig. 3. Annual technical performance of the SSPVTH system across ten European cities under dual axis and single axis tracking configurations: (a) </w:t>
      </w:r>
      <w:r w:rsidR="00FD5E06">
        <w:rPr>
          <w:b/>
          <w:sz w:val="16"/>
          <w:szCs w:val="16"/>
        </w:rPr>
        <w:t>normalized</w:t>
      </w:r>
      <w:r w:rsidRPr="00BB0C01">
        <w:rPr>
          <w:b/>
          <w:sz w:val="16"/>
          <w:szCs w:val="16"/>
        </w:rPr>
        <w:t xml:space="preserve"> hydrogen production and (b) annual HHV-based STH efficiency. </w:t>
      </w:r>
      <w:r w:rsidRPr="00BB0C01">
        <w:rPr>
          <w:bCs/>
          <w:sz w:val="16"/>
          <w:szCs w:val="16"/>
        </w:rPr>
        <w:t>HEL: Helsinki; CPH: Copenhagen; LON: London; PAR: Paris; VIE: Vienna; BUC: Bucharest; LIS: Lisbon; MAD: Madrid; ROM: Rome; ATH: Athens.</w:t>
      </w:r>
    </w:p>
    <w:p w14:paraId="2060BE5B" w14:textId="63D19A83" w:rsidR="00F16B99" w:rsidRDefault="00F16B99" w:rsidP="00215199">
      <w:pPr>
        <w:pStyle w:val="SWCText"/>
        <w:ind w:left="360"/>
        <w:rPr>
          <w:bCs/>
          <w:szCs w:val="20"/>
        </w:rPr>
      </w:pPr>
      <w:r w:rsidRPr="00F16B99">
        <w:rPr>
          <w:bCs/>
          <w:szCs w:val="20"/>
        </w:rPr>
        <w:t xml:space="preserve">The technical advantages of dual axis tracking must be assessed against its higher initial and operating costs. </w:t>
      </w:r>
      <w:r w:rsidRPr="00F16B99">
        <w:rPr>
          <w:b/>
          <w:szCs w:val="20"/>
        </w:rPr>
        <w:t>Fig</w:t>
      </w:r>
      <w:r w:rsidRPr="00F16B99">
        <w:rPr>
          <w:rFonts w:hint="eastAsia"/>
          <w:b/>
          <w:szCs w:val="20"/>
          <w:lang w:eastAsia="zh-CN"/>
        </w:rPr>
        <w:t>.</w:t>
      </w:r>
      <w:r w:rsidRPr="00F16B99">
        <w:rPr>
          <w:b/>
          <w:szCs w:val="20"/>
        </w:rPr>
        <w:t xml:space="preserve"> 4</w:t>
      </w:r>
      <w:r w:rsidRPr="00F16B99">
        <w:rPr>
          <w:bCs/>
          <w:szCs w:val="20"/>
        </w:rPr>
        <w:t xml:space="preserve"> presents the resulting LCOH for the ten cities. A strong inverse relationship between annual hydrogen yield and LCOH is evident. Under dual axis tracking, the LCOH decreases from 15.6 EUR kg⁻¹ H₂ in London to 6.9 EUR kg⁻¹ H₂ in Madrid. Athens, Lisbon, and Rome achieve values of 7.0, 7.5, and 7.9 EUR kg⁻¹ H₂, respectively. By comparison, the corresponding single axis LCOH ranges from 18.6 EUR kg⁻¹ H₂ in London to 7.8 EUR kg⁻¹ H₂ in Madrid.</w:t>
      </w:r>
    </w:p>
    <w:p w14:paraId="4DA098EC" w14:textId="6380C6B9" w:rsidR="00F16B99" w:rsidRPr="00F16B99" w:rsidRDefault="00F16B99" w:rsidP="00215199">
      <w:pPr>
        <w:pStyle w:val="SWCText"/>
        <w:ind w:left="360"/>
        <w:rPr>
          <w:bCs/>
          <w:szCs w:val="20"/>
        </w:rPr>
      </w:pPr>
      <w:r w:rsidRPr="00F16B99">
        <w:rPr>
          <w:bCs/>
          <w:szCs w:val="20"/>
        </w:rPr>
        <w:t xml:space="preserve">Despite its higher tracker cost and OPEX assumption, the dual axis configuration achieves a lower LCOH in every investigated city. Relative to single axis tracking, the reduction ranges from approximately 11.6% in Lisbon to 19.9% in Helsinki. The higher investment associated with dual axis tracking is therefore more than compensated for by the increase in lifetime hydrogen production. This result is especially relevant for a </w:t>
      </w:r>
      <w:r w:rsidRPr="00F16B99">
        <w:rPr>
          <w:bCs/>
          <w:szCs w:val="20"/>
        </w:rPr>
        <w:lastRenderedPageBreak/>
        <w:t xml:space="preserve">concentrating system because the optical losses caused by incomplete solar alignment reduce not only the electricity supplied to the </w:t>
      </w:r>
      <w:proofErr w:type="spellStart"/>
      <w:r w:rsidRPr="00F16B99">
        <w:rPr>
          <w:bCs/>
          <w:szCs w:val="20"/>
        </w:rPr>
        <w:t>electrolyzer</w:t>
      </w:r>
      <w:proofErr w:type="spellEnd"/>
      <w:r w:rsidRPr="00F16B99">
        <w:rPr>
          <w:bCs/>
          <w:szCs w:val="20"/>
        </w:rPr>
        <w:t xml:space="preserve"> but also the effective utilization of the remaining system components.</w:t>
      </w:r>
    </w:p>
    <w:p w14:paraId="7ABC413B" w14:textId="77777777" w:rsidR="00BF1326" w:rsidRDefault="00BF1326" w:rsidP="00215199">
      <w:pPr>
        <w:pStyle w:val="SWCText"/>
        <w:ind w:left="360"/>
        <w:rPr>
          <w:bCs/>
          <w:sz w:val="16"/>
          <w:szCs w:val="16"/>
        </w:rPr>
      </w:pPr>
    </w:p>
    <w:p w14:paraId="6F71ECE7" w14:textId="17D161A1" w:rsidR="00BF1326" w:rsidRDefault="00BF1326" w:rsidP="00215199">
      <w:pPr>
        <w:pStyle w:val="SWCText"/>
        <w:jc w:val="center"/>
      </w:pPr>
      <w:r w:rsidRPr="00BF1326">
        <w:rPr>
          <w:noProof/>
          <w:lang w:val="de-DE"/>
        </w:rPr>
        <w:drawing>
          <wp:inline distT="0" distB="0" distL="0" distR="0" wp14:anchorId="569B29EA" wp14:editId="39115FF8">
            <wp:extent cx="4038600" cy="1912481"/>
            <wp:effectExtent l="0" t="0" r="0" b="0"/>
            <wp:docPr id="10" name="Picture 3">
              <a:extLst xmlns:a="http://schemas.openxmlformats.org/drawingml/2006/main">
                <a:ext uri="{FF2B5EF4-FFF2-40B4-BE49-F238E27FC236}">
                  <a16:creationId xmlns:a16="http://schemas.microsoft.com/office/drawing/2014/main" id="{0B4BDA40-8D9C-795B-8958-73E1295470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B4BDA40-8D9C-795B-8958-73E129547024}"/>
                        </a:ext>
                      </a:extLst>
                    </pic:cNvPr>
                    <pic:cNvPicPr>
                      <a:picLocks noChangeAspect="1"/>
                    </pic:cNvPicPr>
                  </pic:nvPicPr>
                  <pic:blipFill>
                    <a:blip r:embed="rId11" cstate="print">
                      <a:extLst>
                        <a:ext uri="{28A0092B-C50C-407E-A947-70E740481C1C}">
                          <a14:useLocalDpi xmlns:a14="http://schemas.microsoft.com/office/drawing/2010/main" val="0"/>
                        </a:ext>
                      </a:extLst>
                    </a:blip>
                    <a:srcRect b="6063"/>
                    <a:stretch/>
                  </pic:blipFill>
                  <pic:spPr>
                    <a:xfrm>
                      <a:off x="0" y="0"/>
                      <a:ext cx="4061264" cy="1923214"/>
                    </a:xfrm>
                    <a:prstGeom prst="rect">
                      <a:avLst/>
                    </a:prstGeom>
                  </pic:spPr>
                </pic:pic>
              </a:graphicData>
            </a:graphic>
          </wp:inline>
        </w:drawing>
      </w:r>
    </w:p>
    <w:p w14:paraId="009A4AD7" w14:textId="73901AC1" w:rsidR="00BF1326" w:rsidRDefault="00BF1326" w:rsidP="00215199">
      <w:pPr>
        <w:pStyle w:val="SWCText"/>
        <w:ind w:left="360"/>
        <w:rPr>
          <w:b/>
          <w:sz w:val="16"/>
          <w:szCs w:val="16"/>
        </w:rPr>
      </w:pPr>
      <w:r w:rsidRPr="00BB0C01">
        <w:rPr>
          <w:b/>
          <w:sz w:val="16"/>
          <w:szCs w:val="16"/>
        </w:rPr>
        <w:t xml:space="preserve">Fig. </w:t>
      </w:r>
      <w:r>
        <w:rPr>
          <w:rFonts w:hint="eastAsia"/>
          <w:b/>
          <w:sz w:val="16"/>
          <w:szCs w:val="16"/>
          <w:lang w:eastAsia="zh-CN"/>
        </w:rPr>
        <w:t>4</w:t>
      </w:r>
      <w:r w:rsidRPr="00BB0C01">
        <w:rPr>
          <w:b/>
          <w:sz w:val="16"/>
          <w:szCs w:val="16"/>
        </w:rPr>
        <w:t xml:space="preserve">. </w:t>
      </w:r>
      <w:r w:rsidR="006038A7" w:rsidRPr="006038A7">
        <w:rPr>
          <w:b/>
          <w:sz w:val="16"/>
          <w:szCs w:val="16"/>
        </w:rPr>
        <w:t>LCOH of the SSPVTH system across ten European cities under dual axis and single axis tracking configurations.</w:t>
      </w:r>
      <w:r w:rsidR="00552407">
        <w:rPr>
          <w:b/>
          <w:sz w:val="16"/>
          <w:szCs w:val="16"/>
        </w:rPr>
        <w:t xml:space="preserve"> </w:t>
      </w:r>
      <w:r w:rsidR="00552407" w:rsidRPr="00BB0C01">
        <w:rPr>
          <w:bCs/>
          <w:sz w:val="16"/>
          <w:szCs w:val="16"/>
        </w:rPr>
        <w:t>HEL: Helsinki; CPH: Copenhagen; LON: London; PAR: Paris; VIE: Vienna; BUC: Bucharest; LIS: Lisbon; MAD: Madrid; ROM: Rome; ATH: Athens.</w:t>
      </w:r>
    </w:p>
    <w:p w14:paraId="03D8ACA4" w14:textId="3878AE82" w:rsidR="00F16B99" w:rsidRPr="00F16B99" w:rsidRDefault="00F16B99" w:rsidP="00215199">
      <w:pPr>
        <w:pStyle w:val="SWCText"/>
        <w:ind w:left="360"/>
        <w:rPr>
          <w:bCs/>
          <w:szCs w:val="20"/>
        </w:rPr>
      </w:pPr>
      <w:r w:rsidRPr="00F16B99">
        <w:rPr>
          <w:b/>
          <w:szCs w:val="20"/>
        </w:rPr>
        <w:t>Fig</w:t>
      </w:r>
      <w:r w:rsidRPr="00F16B99">
        <w:rPr>
          <w:rFonts w:hint="eastAsia"/>
          <w:b/>
          <w:szCs w:val="20"/>
          <w:lang w:eastAsia="zh-CN"/>
        </w:rPr>
        <w:t>.</w:t>
      </w:r>
      <w:r w:rsidRPr="00F16B99">
        <w:rPr>
          <w:b/>
          <w:szCs w:val="20"/>
        </w:rPr>
        <w:t xml:space="preserve"> 5</w:t>
      </w:r>
      <w:r w:rsidRPr="00F16B99">
        <w:rPr>
          <w:bCs/>
          <w:szCs w:val="20"/>
        </w:rPr>
        <w:t xml:space="preserve"> compares the discounted PBT under two revenue scenarios. In the hydrogen-sales-only scenario shown in </w:t>
      </w:r>
      <w:r w:rsidRPr="00F16B99">
        <w:rPr>
          <w:b/>
          <w:szCs w:val="20"/>
        </w:rPr>
        <w:t>Fig. 5(a)</w:t>
      </w:r>
      <w:r w:rsidRPr="00F16B99">
        <w:rPr>
          <w:bCs/>
          <w:szCs w:val="20"/>
        </w:rPr>
        <w:t>, Madrid achieves the shortest PBT, at 6.6 years for dual axis tracking and 7.9 years for single axis tracking. Athens follows closely, with corresponding values of 6.7 and 8.3 years. Lisbon, Rome, and Bucharest also exhibit substantially shorter recovery periods than the northern and western European cities because their higher annual yields generate greater hydrogen-sales revenue from the same installed collection area.</w:t>
      </w:r>
    </w:p>
    <w:p w14:paraId="2A63D2B7" w14:textId="77777777" w:rsidR="00F16B99" w:rsidRPr="00F16B99" w:rsidRDefault="00F16B99" w:rsidP="00215199">
      <w:pPr>
        <w:pStyle w:val="SWCText"/>
        <w:ind w:left="360"/>
        <w:rPr>
          <w:bCs/>
          <w:szCs w:val="20"/>
        </w:rPr>
      </w:pPr>
      <w:r w:rsidRPr="00F16B99">
        <w:rPr>
          <w:bCs/>
          <w:szCs w:val="20"/>
        </w:rPr>
        <w:t>The economic limitations of low-DNI locations are particularly evident in London. Its PBT reaches 31.5 years under dual axis tracking and 66.7 years under single axis tracking, both exceeding the assumed 25-year project lifetime. The values shown beyond 25 years represent the extrapolated time required for the cumulative discounted cash flow to become positive and indicate that the corresponding configuration does not recover its initial investment within the project lifetime. Under the same hydrogen-only scenario, the single axis configuration in Copenhagen also slightly exceeds the project lifetime, with a PBT of 26.7 years. These findings demonstrate that tracking selection alone cannot completely overcome an insufficient local direct solar resource.</w:t>
      </w:r>
    </w:p>
    <w:p w14:paraId="529786BA" w14:textId="2A80C64A" w:rsidR="00F16B99" w:rsidRPr="00F16B99" w:rsidRDefault="00F16B99" w:rsidP="00215199">
      <w:pPr>
        <w:pStyle w:val="SWCText"/>
        <w:ind w:left="360"/>
        <w:rPr>
          <w:bCs/>
          <w:szCs w:val="20"/>
        </w:rPr>
      </w:pPr>
      <w:r w:rsidRPr="00F16B99">
        <w:rPr>
          <w:b/>
          <w:szCs w:val="20"/>
        </w:rPr>
        <w:t>Fig</w:t>
      </w:r>
      <w:r w:rsidRPr="00F16B99">
        <w:rPr>
          <w:rFonts w:hint="eastAsia"/>
          <w:b/>
          <w:szCs w:val="20"/>
          <w:lang w:eastAsia="zh-CN"/>
        </w:rPr>
        <w:t>.</w:t>
      </w:r>
      <w:r w:rsidRPr="00F16B99">
        <w:rPr>
          <w:b/>
          <w:szCs w:val="20"/>
        </w:rPr>
        <w:t xml:space="preserve"> 5(b)</w:t>
      </w:r>
      <w:r w:rsidRPr="00F16B99">
        <w:rPr>
          <w:bCs/>
          <w:szCs w:val="20"/>
        </w:rPr>
        <w:t xml:space="preserve"> includes revenue from both hydrogen and the stoichiometrically produced oxygen. Oxygen valorization shortens the PBT in every city and tracking configuration. For example, the dual axis PBT decreases from 6.6 to 5.8 years in Madrid and from 6.7 to 6.0 years in Athens. In London, it decreases from 31.5 to 23.8 years for dual axis tracking, bringing capital recovery within the assumed project lifetime, whereas the single axis PBT remains longer than the project lifetime at 38.8 years. The magnitude of the improvement depends on the initial production level and cash-flow trajectory. These results represent the potential economic benefit of oxygen utilization under the assumed selling price and full byproduct offtake; practical benefits would additionally depend on local demand and any required oxygen conditioning, storage, and delivery costs.</w:t>
      </w:r>
    </w:p>
    <w:p w14:paraId="7704FCB1" w14:textId="5FDD5329" w:rsidR="00F16B99" w:rsidRPr="00F16B99" w:rsidRDefault="00F16B99" w:rsidP="00215199">
      <w:pPr>
        <w:pStyle w:val="SWCText"/>
        <w:ind w:left="360"/>
        <w:rPr>
          <w:bCs/>
          <w:szCs w:val="20"/>
        </w:rPr>
      </w:pPr>
      <w:r w:rsidRPr="00F16B99">
        <w:rPr>
          <w:bCs/>
          <w:szCs w:val="20"/>
        </w:rPr>
        <w:t xml:space="preserve">Across both revenue scenarios, dual axis tracking consistently produces a shorter PBT than single axis tracking. This agrees with the LCOH results and confirms that maximizing annual solar-energy capture is more economically important than minimizing tracker cost for the investigated SSPVTH system. Overall, Madrid and Athens provide the strongest combination of hydrogen yield, STH efficiency, LCOH, and PBT among the selected cities, while London presents the least </w:t>
      </w:r>
      <w:proofErr w:type="spellStart"/>
      <w:r w:rsidRPr="00F16B99">
        <w:rPr>
          <w:bCs/>
          <w:szCs w:val="20"/>
        </w:rPr>
        <w:t>favourable</w:t>
      </w:r>
      <w:proofErr w:type="spellEnd"/>
      <w:r w:rsidRPr="00F16B99">
        <w:rPr>
          <w:bCs/>
          <w:szCs w:val="20"/>
        </w:rPr>
        <w:t xml:space="preserve"> conditions. The comparison demonstrates that both geographical site selection and tracking strategy are decisive for SSPVTH deployment: high-DNI southern European locations combined with dual axis tracking offer the greatest potential for technically productive and economically competitive solar hydrogen generation.</w:t>
      </w:r>
    </w:p>
    <w:p w14:paraId="56F92725" w14:textId="7EDDC717" w:rsidR="00BF1326" w:rsidRDefault="006038A7" w:rsidP="00215199">
      <w:pPr>
        <w:pStyle w:val="SWCText"/>
        <w:jc w:val="center"/>
      </w:pPr>
      <w:r w:rsidRPr="006038A7">
        <w:rPr>
          <w:noProof/>
          <w:lang w:val="de-DE"/>
        </w:rPr>
        <w:lastRenderedPageBreak/>
        <w:drawing>
          <wp:inline distT="0" distB="0" distL="0" distR="0" wp14:anchorId="1D2BCC79" wp14:editId="1EBE511F">
            <wp:extent cx="3937000" cy="3928757"/>
            <wp:effectExtent l="0" t="0" r="6350" b="0"/>
            <wp:docPr id="2" name="Picture 1">
              <a:extLst xmlns:a="http://schemas.openxmlformats.org/drawingml/2006/main">
                <a:ext uri="{FF2B5EF4-FFF2-40B4-BE49-F238E27FC236}">
                  <a16:creationId xmlns:a16="http://schemas.microsoft.com/office/drawing/2014/main" id="{92F4E704-624E-F33C-B8C6-00F0E4A245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2F4E704-624E-F33C-B8C6-00F0E4A24568}"/>
                        </a:ext>
                      </a:extLst>
                    </pic:cNvPr>
                    <pic:cNvPicPr>
                      <a:picLocks noChangeAspect="1"/>
                    </pic:cNvPicPr>
                  </pic:nvPicPr>
                  <pic:blipFill>
                    <a:blip r:embed="rId12"/>
                    <a:stretch>
                      <a:fillRect/>
                    </a:stretch>
                  </pic:blipFill>
                  <pic:spPr>
                    <a:xfrm>
                      <a:off x="0" y="0"/>
                      <a:ext cx="3965587" cy="3957284"/>
                    </a:xfrm>
                    <a:prstGeom prst="rect">
                      <a:avLst/>
                    </a:prstGeom>
                  </pic:spPr>
                </pic:pic>
              </a:graphicData>
            </a:graphic>
          </wp:inline>
        </w:drawing>
      </w:r>
    </w:p>
    <w:p w14:paraId="725947F9" w14:textId="44EC7C83" w:rsidR="00BF1326" w:rsidRPr="008702AA" w:rsidRDefault="00BF1326" w:rsidP="008702AA">
      <w:pPr>
        <w:pStyle w:val="SWCText"/>
        <w:ind w:left="360"/>
        <w:rPr>
          <w:rFonts w:hint="eastAsia"/>
          <w:bCs/>
          <w:sz w:val="16"/>
          <w:szCs w:val="16"/>
          <w:lang w:eastAsia="zh-CN"/>
        </w:rPr>
      </w:pPr>
      <w:r w:rsidRPr="00BB0C01">
        <w:rPr>
          <w:b/>
          <w:sz w:val="16"/>
          <w:szCs w:val="16"/>
        </w:rPr>
        <w:t xml:space="preserve">Fig. </w:t>
      </w:r>
      <w:r>
        <w:rPr>
          <w:rFonts w:hint="eastAsia"/>
          <w:b/>
          <w:sz w:val="16"/>
          <w:szCs w:val="16"/>
          <w:lang w:eastAsia="zh-CN"/>
        </w:rPr>
        <w:t>5</w:t>
      </w:r>
      <w:r w:rsidRPr="00BB0C01">
        <w:rPr>
          <w:b/>
          <w:sz w:val="16"/>
          <w:szCs w:val="16"/>
        </w:rPr>
        <w:t xml:space="preserve">. </w:t>
      </w:r>
      <w:r w:rsidR="006038A7" w:rsidRPr="006038A7">
        <w:rPr>
          <w:b/>
          <w:sz w:val="16"/>
          <w:szCs w:val="16"/>
        </w:rPr>
        <w:t>PBT of the SSPVTH system across ten European cities under two revenue scenarios: (a) hydrogen sales only and (b) combined hydrogen and oxygen sales.</w:t>
      </w:r>
      <w:r w:rsidR="004B6DC6">
        <w:rPr>
          <w:rFonts w:hint="eastAsia"/>
          <w:b/>
          <w:sz w:val="16"/>
          <w:szCs w:val="16"/>
          <w:lang w:eastAsia="zh-CN"/>
        </w:rPr>
        <w:t xml:space="preserve"> </w:t>
      </w:r>
      <w:r w:rsidR="004B6DC6" w:rsidRPr="00BB0C01">
        <w:rPr>
          <w:bCs/>
          <w:sz w:val="16"/>
          <w:szCs w:val="16"/>
        </w:rPr>
        <w:t>HEL: Helsinki; CPH: Copenhagen; LON: London; PAR: Paris; VIE: Vienna; BUC: Bucharest; LIS: Lisbon; MAD: Madrid; ROM: Rome; ATH: Athens.</w:t>
      </w:r>
    </w:p>
    <w:p w14:paraId="6C842A91" w14:textId="7A04BA66" w:rsidR="003869E8" w:rsidRPr="00C97946" w:rsidRDefault="00F16B99" w:rsidP="00215199">
      <w:pPr>
        <w:pStyle w:val="SWCHeading1"/>
        <w:spacing w:line="276" w:lineRule="auto"/>
      </w:pPr>
      <w:r>
        <w:rPr>
          <w:rFonts w:hint="eastAsia"/>
          <w:lang w:val="en-GB" w:eastAsia="zh-CN"/>
        </w:rPr>
        <w:t>Conclusion</w:t>
      </w:r>
      <w:r w:rsidR="004E5D79" w:rsidRPr="00C97946">
        <w:rPr>
          <w:lang w:val="en-GB"/>
        </w:rPr>
        <w:t xml:space="preserve"> </w:t>
      </w:r>
    </w:p>
    <w:p w14:paraId="339C463E" w14:textId="71DA470F" w:rsidR="00A20E85" w:rsidRDefault="00A20E85" w:rsidP="00215199">
      <w:pPr>
        <w:pStyle w:val="SWCText"/>
      </w:pPr>
      <w:r>
        <w:t xml:space="preserve">This study evaluated the technical and economic performance of a solar-driven SSPVTH system in ten European cities using hourly TMY data. The results demonstrate that geographical DNI availability and tracking strategy are the principal factors governing annual hydrogen production. Under dual axis tracking, the annual </w:t>
      </w:r>
      <w:r w:rsidR="00FD5E06">
        <w:t>normalized</w:t>
      </w:r>
      <w:r>
        <w:t xml:space="preserve"> hydrogen yield ranged from 5.0 kg H₂ m⁻² year⁻¹ in London to 11.2 kg H₂ m⁻² year⁻¹ in Madrid, while the corresponding single axis values ranged from 3.6 to 8.5 kg H₂ m⁻² year⁻¹. Dual axis tracking increased annual hydrogen production by 31.3–45.0% relative to single axis tracking across the investigated locations.</w:t>
      </w:r>
    </w:p>
    <w:p w14:paraId="0D3F94C3" w14:textId="77777777" w:rsidR="00A20E85" w:rsidRDefault="00A20E85" w:rsidP="00215199">
      <w:pPr>
        <w:pStyle w:val="SWCText"/>
      </w:pPr>
      <w:r>
        <w:t xml:space="preserve">The annual HHV-based STH efficiency reached 18.1–19.5% under dual axis tracking, compared with 12.9–14.4% under single axis tracking. The relatively narrow variation in efficiency within each tracking configuration indicates that the system </w:t>
      </w:r>
      <w:proofErr w:type="spellStart"/>
      <w:r>
        <w:t>retains</w:t>
      </w:r>
      <w:proofErr w:type="spellEnd"/>
      <w:r>
        <w:t xml:space="preserve"> stable conversion performance across different European climates, whereas the absolute hydrogen yield is primarily controlled by the magnitude and temporal distribution of DNI. Among the selected cities, Madrid and Athens offered the most </w:t>
      </w:r>
      <w:proofErr w:type="spellStart"/>
      <w:r>
        <w:t>favourable</w:t>
      </w:r>
      <w:proofErr w:type="spellEnd"/>
      <w:r>
        <w:t xml:space="preserve"> technical performance, while London presented the lowest annual yield because of its limited direct solar resource.</w:t>
      </w:r>
    </w:p>
    <w:p w14:paraId="5B3AC751" w14:textId="77777777" w:rsidR="00A20E85" w:rsidRDefault="00A20E85" w:rsidP="00215199">
      <w:pPr>
        <w:pStyle w:val="SWCText"/>
      </w:pPr>
      <w:r>
        <w:t>The higher yield obtained using dual axis tracking also outweighed its additional capital and operating costs. The dual axis LCOH ranged from 6.9 to 15.6 EUR kg⁻¹ H₂, remaining below the corresponding single axis range of 7.8–18.6 EUR kg⁻¹ H₂ in every city. Under the hydrogen-sales-only scenario, the shortest dual axis PBT values were obtained in Madrid and Athens at 6.6 and 6.7 years, respectively. In contrast, the PBT in London exceeded the assumed 25-year project lifetime. Including oxygen-sales revenue shortened the PBT across all cities and reduced it to 5.8 years in Madrid and 6.0 years in Athens under dual axis tracking. However, this improvement depends on sufficient local oxygen demand and does not include additional downstream conditioning, storage, or delivery costs.</w:t>
      </w:r>
    </w:p>
    <w:p w14:paraId="60D2449F" w14:textId="48C4D80B" w:rsidR="00F16B99" w:rsidRDefault="00A20E85" w:rsidP="00215199">
      <w:pPr>
        <w:pStyle w:val="SWCText"/>
      </w:pPr>
      <w:r>
        <w:t xml:space="preserve">Overall, high-DNI southern European locations combined with dual axis tracking provide the strongest prospects for efficient and economically competitive solar hydrogen production. The findings demonstrate the importance of considering local hourly solar conditions rather than relying solely on latitude or annual average irradiation </w:t>
      </w:r>
      <w:r>
        <w:lastRenderedPageBreak/>
        <w:t>when selecting deployment sites. Future work should extend the assessment to include site-specific installation costs, long-term component degradation, water availability, hydrogen and oxygen handling infrastructure, and local market conditions.</w:t>
      </w:r>
    </w:p>
    <w:p w14:paraId="65D00DE7" w14:textId="36185FE9" w:rsidR="000C59D7" w:rsidRDefault="00F16B99" w:rsidP="000C59D7">
      <w:pPr>
        <w:pStyle w:val="SWCHeading1"/>
      </w:pPr>
      <w:r>
        <w:rPr>
          <w:rFonts w:hint="eastAsia"/>
          <w:lang w:eastAsia="zh-CN"/>
        </w:rPr>
        <w:t>References</w:t>
      </w:r>
      <w:r w:rsidRPr="00F16B99">
        <w:t xml:space="preserve"> </w:t>
      </w:r>
    </w:p>
    <w:p w14:paraId="488A522B" w14:textId="5DCEA656" w:rsidR="006010CA" w:rsidRPr="006010CA" w:rsidRDefault="006010CA" w:rsidP="006010CA">
      <w:pPr>
        <w:pStyle w:val="SWCText"/>
        <w:rPr>
          <w:lang w:eastAsia="zh-CN"/>
        </w:rPr>
      </w:pPr>
      <w:r w:rsidRPr="006010CA">
        <w:rPr>
          <w:lang w:eastAsia="zh-CN"/>
        </w:rPr>
        <w:t>Curcio, E., 2025. Techno-economic analysis of hydrogen production: Costs, policies, and scalability in the transition to net-zero. International Journal of Hydrogen Energy 128, 473–487. https://doi.org/10.1016/j.ijhydene.2025.04.013.</w:t>
      </w:r>
    </w:p>
    <w:p w14:paraId="0F27E463" w14:textId="5BD02514" w:rsidR="006010CA" w:rsidRPr="006010CA" w:rsidRDefault="006010CA" w:rsidP="006010CA">
      <w:pPr>
        <w:pStyle w:val="SWCText"/>
        <w:rPr>
          <w:lang w:eastAsia="zh-CN"/>
        </w:rPr>
      </w:pPr>
      <w:r w:rsidRPr="006010CA">
        <w:rPr>
          <w:lang w:eastAsia="zh-CN"/>
        </w:rPr>
        <w:t xml:space="preserve">Esposito, D.V., 2017. </w:t>
      </w:r>
      <w:proofErr w:type="spellStart"/>
      <w:r w:rsidRPr="006010CA">
        <w:rPr>
          <w:lang w:eastAsia="zh-CN"/>
        </w:rPr>
        <w:t>Membraneless</w:t>
      </w:r>
      <w:proofErr w:type="spellEnd"/>
      <w:r w:rsidRPr="006010CA">
        <w:rPr>
          <w:lang w:eastAsia="zh-CN"/>
        </w:rPr>
        <w:t xml:space="preserve"> </w:t>
      </w:r>
      <w:proofErr w:type="spellStart"/>
      <w:r w:rsidRPr="006010CA">
        <w:rPr>
          <w:lang w:eastAsia="zh-CN"/>
        </w:rPr>
        <w:t>electrolyzers</w:t>
      </w:r>
      <w:proofErr w:type="spellEnd"/>
      <w:r w:rsidRPr="006010CA">
        <w:rPr>
          <w:lang w:eastAsia="zh-CN"/>
        </w:rPr>
        <w:t xml:space="preserve"> for low-cost hydrogen production in a renewable energy future. Joule 1, 651–658. https://doi.org/10.1016/j.joule.2017.07.003.</w:t>
      </w:r>
    </w:p>
    <w:p w14:paraId="021FF273" w14:textId="5B2B696C" w:rsidR="006010CA" w:rsidRPr="006010CA" w:rsidRDefault="006010CA" w:rsidP="006010CA">
      <w:pPr>
        <w:pStyle w:val="SWCText"/>
        <w:rPr>
          <w:lang w:eastAsia="zh-CN"/>
        </w:rPr>
      </w:pPr>
      <w:r w:rsidRPr="006010CA">
        <w:rPr>
          <w:lang w:eastAsia="zh-CN"/>
        </w:rPr>
        <w:t>European Commission Joint Research Centre (JRC), 2026. PVGIS: Photovoltaic Geographical Information System. https://re.jrc.ec.europa.eu/pvg_tools/en/#MR (accessed 6 February 2026).</w:t>
      </w:r>
    </w:p>
    <w:p w14:paraId="332FBB4F" w14:textId="2B78496C" w:rsidR="006010CA" w:rsidRPr="006010CA" w:rsidRDefault="006010CA" w:rsidP="006010CA">
      <w:pPr>
        <w:pStyle w:val="SWCText"/>
        <w:rPr>
          <w:lang w:val="de-DE" w:eastAsia="zh-CN"/>
        </w:rPr>
      </w:pPr>
      <w:r w:rsidRPr="006010CA">
        <w:rPr>
          <w:lang w:eastAsia="zh-CN"/>
        </w:rPr>
        <w:t xml:space="preserve">Grimm, A., de Jong, W.A., Kramer, G.J., 2020. Renewable hydrogen production: A techno-economic comparison of photoelectrochemical cells and photovoltaic-electrolysis. </w:t>
      </w:r>
      <w:r w:rsidRPr="006010CA">
        <w:rPr>
          <w:lang w:val="de-DE" w:eastAsia="zh-CN"/>
        </w:rPr>
        <w:t>International Journal of Hydrogen Energy 45, 22545–22555. https://doi.org/10.1016/j.ijhydene.2020.06.092.</w:t>
      </w:r>
    </w:p>
    <w:p w14:paraId="0E15F614" w14:textId="40A5915F" w:rsidR="006010CA" w:rsidRPr="006010CA" w:rsidRDefault="006010CA" w:rsidP="006010CA">
      <w:pPr>
        <w:pStyle w:val="SWCText"/>
        <w:rPr>
          <w:lang w:eastAsia="zh-CN"/>
        </w:rPr>
      </w:pPr>
      <w:r w:rsidRPr="006010CA">
        <w:rPr>
          <w:lang w:val="de-DE" w:eastAsia="zh-CN"/>
        </w:rPr>
        <w:t xml:space="preserve">Grube, T., Reul, J., Reuß, M., Calnan, S., </w:t>
      </w:r>
      <w:proofErr w:type="spellStart"/>
      <w:r w:rsidRPr="006010CA">
        <w:rPr>
          <w:lang w:val="de-DE" w:eastAsia="zh-CN"/>
        </w:rPr>
        <w:t>Monnerie</w:t>
      </w:r>
      <w:proofErr w:type="spellEnd"/>
      <w:r w:rsidRPr="006010CA">
        <w:rPr>
          <w:lang w:val="de-DE" w:eastAsia="zh-CN"/>
        </w:rPr>
        <w:t xml:space="preserve">, N., </w:t>
      </w:r>
      <w:proofErr w:type="spellStart"/>
      <w:r w:rsidRPr="006010CA">
        <w:rPr>
          <w:lang w:val="de-DE" w:eastAsia="zh-CN"/>
        </w:rPr>
        <w:t>Schlatmann</w:t>
      </w:r>
      <w:proofErr w:type="spellEnd"/>
      <w:r w:rsidRPr="006010CA">
        <w:rPr>
          <w:lang w:val="de-DE" w:eastAsia="zh-CN"/>
        </w:rPr>
        <w:t xml:space="preserve">, R., et al., 2020. </w:t>
      </w:r>
      <w:r w:rsidRPr="006010CA">
        <w:rPr>
          <w:lang w:eastAsia="zh-CN"/>
        </w:rPr>
        <w:t>A techno-economic perspective on solar-to-hydrogen concepts through 2025. Sustainable Energy &amp; Fuels 4, 5818–5834. https://doi.org/10.1039/D0SE00896F.</w:t>
      </w:r>
    </w:p>
    <w:p w14:paraId="141C7B16" w14:textId="2AC6BAE3" w:rsidR="006010CA" w:rsidRPr="006010CA" w:rsidRDefault="006010CA" w:rsidP="006010CA">
      <w:pPr>
        <w:pStyle w:val="SWCText"/>
        <w:rPr>
          <w:lang w:eastAsia="zh-CN"/>
        </w:rPr>
      </w:pPr>
      <w:proofErr w:type="spellStart"/>
      <w:r w:rsidRPr="006010CA">
        <w:rPr>
          <w:lang w:eastAsia="zh-CN"/>
        </w:rPr>
        <w:t>Hadikhani</w:t>
      </w:r>
      <w:proofErr w:type="spellEnd"/>
      <w:r w:rsidRPr="006010CA">
        <w:rPr>
          <w:lang w:eastAsia="zh-CN"/>
        </w:rPr>
        <w:t xml:space="preserve">, P., Hashemi, S.M.H., Schenk, S.A., Psaltis, D., 2021. A membrane-less </w:t>
      </w:r>
      <w:proofErr w:type="spellStart"/>
      <w:r w:rsidRPr="006010CA">
        <w:rPr>
          <w:lang w:eastAsia="zh-CN"/>
        </w:rPr>
        <w:t>electrolyzer</w:t>
      </w:r>
      <w:proofErr w:type="spellEnd"/>
      <w:r w:rsidRPr="006010CA">
        <w:rPr>
          <w:lang w:eastAsia="zh-CN"/>
        </w:rPr>
        <w:t xml:space="preserve"> with porous walls for high throughput and pure hydrogen production. Sustainable Energy &amp; Fuels 5, 2419–2432. https://doi.org/10.1039/D1SE00255D.</w:t>
      </w:r>
    </w:p>
    <w:p w14:paraId="67BFEE92" w14:textId="24FC53FC" w:rsidR="006010CA" w:rsidRPr="006010CA" w:rsidRDefault="006010CA" w:rsidP="006010CA">
      <w:pPr>
        <w:pStyle w:val="SWCText"/>
        <w:rPr>
          <w:lang w:eastAsia="zh-CN"/>
        </w:rPr>
      </w:pPr>
      <w:r w:rsidRPr="006010CA">
        <w:rPr>
          <w:lang w:eastAsia="zh-CN"/>
        </w:rPr>
        <w:t xml:space="preserve">Hashemi, S.M.H., Karnakov, P., Hadikhani, P., </w:t>
      </w:r>
      <w:proofErr w:type="spellStart"/>
      <w:r w:rsidRPr="006010CA">
        <w:rPr>
          <w:lang w:eastAsia="zh-CN"/>
        </w:rPr>
        <w:t>Chinello</w:t>
      </w:r>
      <w:proofErr w:type="spellEnd"/>
      <w:r w:rsidRPr="006010CA">
        <w:rPr>
          <w:lang w:eastAsia="zh-CN"/>
        </w:rPr>
        <w:t>, E., Litvinov, S., Moser, C., et al., 2019. A versatile and membrane-less electrochemical reactor for the electrolysis of water and brine. Energy &amp; Environmental Science 12, 1592–1604. https://doi.org/10.1039/C9EE00219G.</w:t>
      </w:r>
    </w:p>
    <w:p w14:paraId="5D6A8463" w14:textId="7F2EA2E4" w:rsidR="006010CA" w:rsidRPr="006010CA" w:rsidRDefault="006010CA" w:rsidP="006010CA">
      <w:pPr>
        <w:pStyle w:val="SWCText"/>
        <w:rPr>
          <w:lang w:eastAsia="zh-CN"/>
        </w:rPr>
      </w:pPr>
      <w:proofErr w:type="spellStart"/>
      <w:r w:rsidRPr="006010CA">
        <w:rPr>
          <w:lang w:eastAsia="zh-CN"/>
        </w:rPr>
        <w:t>Herrando</w:t>
      </w:r>
      <w:proofErr w:type="spellEnd"/>
      <w:r w:rsidRPr="006010CA">
        <w:rPr>
          <w:lang w:eastAsia="zh-CN"/>
        </w:rPr>
        <w:t>, M., Wang, K., Huang, G., Otanicar, T., Mousa, O.B., Agathokleous, R.A., et al., 2023. A review of solar hybrid photovoltaic-thermal (PV-T) collectors and systems. Progress in Energy and Combustion Science 97, 101072. https://doi.org/10.1016/j.pecs.2023.101072.</w:t>
      </w:r>
    </w:p>
    <w:p w14:paraId="07F96B22" w14:textId="4D2EB842" w:rsidR="006010CA" w:rsidRDefault="006010CA" w:rsidP="006010CA">
      <w:pPr>
        <w:pStyle w:val="SWCText"/>
        <w:rPr>
          <w:lang w:eastAsia="zh-CN"/>
        </w:rPr>
      </w:pPr>
      <w:r w:rsidRPr="006010CA">
        <w:rPr>
          <w:lang w:val="de-DE" w:eastAsia="zh-CN"/>
        </w:rPr>
        <w:t xml:space="preserve">Holmes-Gentle, I., </w:t>
      </w:r>
      <w:proofErr w:type="spellStart"/>
      <w:r w:rsidRPr="006010CA">
        <w:rPr>
          <w:lang w:val="de-DE" w:eastAsia="zh-CN"/>
        </w:rPr>
        <w:t>Tembhurne</w:t>
      </w:r>
      <w:proofErr w:type="spellEnd"/>
      <w:r w:rsidRPr="006010CA">
        <w:rPr>
          <w:lang w:val="de-DE" w:eastAsia="zh-CN"/>
        </w:rPr>
        <w:t xml:space="preserve">, S., Suter, C., </w:t>
      </w:r>
      <w:proofErr w:type="spellStart"/>
      <w:r w:rsidRPr="006010CA">
        <w:rPr>
          <w:lang w:val="de-DE" w:eastAsia="zh-CN"/>
        </w:rPr>
        <w:t>Haussener</w:t>
      </w:r>
      <w:proofErr w:type="spellEnd"/>
      <w:r w:rsidRPr="006010CA">
        <w:rPr>
          <w:lang w:val="de-DE" w:eastAsia="zh-CN"/>
        </w:rPr>
        <w:t xml:space="preserve">, S., 2023. </w:t>
      </w:r>
      <w:r w:rsidRPr="006010CA">
        <w:rPr>
          <w:lang w:eastAsia="zh-CN"/>
        </w:rPr>
        <w:t xml:space="preserve">Kilowatt-scale solar hydrogen production system using a concentrated integrated photoelectrochemical device. Nature Energy 8, 586–596. </w:t>
      </w:r>
      <w:r w:rsidR="00771CE7" w:rsidRPr="00B768A5">
        <w:t>https://doi.org/10.1038/s41560-023-01247-2</w:t>
      </w:r>
      <w:r w:rsidRPr="006010CA">
        <w:rPr>
          <w:lang w:eastAsia="zh-CN"/>
        </w:rPr>
        <w:t>.</w:t>
      </w:r>
    </w:p>
    <w:p w14:paraId="1AC10D7D" w14:textId="7775293E" w:rsidR="00771CE7" w:rsidRPr="006010CA" w:rsidRDefault="00771CE7" w:rsidP="006010CA">
      <w:pPr>
        <w:pStyle w:val="SWCText"/>
        <w:rPr>
          <w:lang w:eastAsia="zh-CN"/>
        </w:rPr>
      </w:pPr>
      <w:r w:rsidRPr="00771CE7">
        <w:rPr>
          <w:lang w:eastAsia="zh-CN"/>
        </w:rPr>
        <w:t xml:space="preserve">Huang, G., Wang, K., Curt, S.R., Franchetti, B., </w:t>
      </w:r>
      <w:proofErr w:type="spellStart"/>
      <w:r w:rsidRPr="00771CE7">
        <w:rPr>
          <w:lang w:eastAsia="zh-CN"/>
        </w:rPr>
        <w:t>Pesmazoglou</w:t>
      </w:r>
      <w:proofErr w:type="spellEnd"/>
      <w:r w:rsidRPr="00771CE7">
        <w:rPr>
          <w:lang w:eastAsia="zh-CN"/>
        </w:rPr>
        <w:t>, I., Markides, C.N., 2021a. On the performance of concentrating fluid-based spectral-splitting hybrid PV-thermal (PV-T) solar collectors. Renewable Energy 174, 590–605. https://doi.org/10.1016/j.renene.2021.04.070.</w:t>
      </w:r>
    </w:p>
    <w:p w14:paraId="509398F2" w14:textId="3B2BF572" w:rsidR="006010CA" w:rsidRPr="006010CA" w:rsidRDefault="006010CA" w:rsidP="006010CA">
      <w:pPr>
        <w:pStyle w:val="SWCText"/>
        <w:rPr>
          <w:lang w:eastAsia="zh-CN"/>
        </w:rPr>
      </w:pPr>
      <w:r w:rsidRPr="006010CA">
        <w:rPr>
          <w:lang w:eastAsia="zh-CN"/>
        </w:rPr>
        <w:t>Huang, G., Wang, K., Markides, C.N., 2021. Efficiency limits of concentrating spectral-splitting hybrid photovoltaic-thermal (PV-T) solar collectors and systems. Light: Science &amp; Applications 10, 28. https://doi.org/10.1038/s41377-021-00465-1.</w:t>
      </w:r>
    </w:p>
    <w:p w14:paraId="6A949155" w14:textId="2073F08E" w:rsidR="006010CA" w:rsidRPr="006010CA" w:rsidRDefault="006010CA" w:rsidP="006010CA">
      <w:pPr>
        <w:pStyle w:val="SWCText"/>
        <w:rPr>
          <w:lang w:eastAsia="zh-CN"/>
        </w:rPr>
      </w:pPr>
      <w:r w:rsidRPr="006010CA">
        <w:rPr>
          <w:lang w:eastAsia="zh-CN"/>
        </w:rPr>
        <w:t>Lee, B., Fan, D., Forrest, S.R., 2020. A high throughput, linear molecular beam epitaxy system for reduced cost manufacturing of GaAs photovoltaic cells: Will GaAs ever be inexpensive enough? Sustainable Energy &amp; Fuels 4, 2035–2042. https://doi.org/10.1039/C9SE01255A.</w:t>
      </w:r>
    </w:p>
    <w:p w14:paraId="511C4575" w14:textId="1AE03EC5" w:rsidR="006010CA" w:rsidRPr="006010CA" w:rsidRDefault="006010CA" w:rsidP="006010CA">
      <w:pPr>
        <w:pStyle w:val="SWCText"/>
        <w:rPr>
          <w:lang w:eastAsia="zh-CN"/>
        </w:rPr>
      </w:pPr>
      <w:r w:rsidRPr="00B768A5">
        <w:rPr>
          <w:lang w:val="en-GB" w:eastAsia="zh-CN"/>
        </w:rPr>
        <w:t xml:space="preserve">Li, W., Tian, H., Ma, L., Wang, Y., Liu, X., Gao, X., 2022. </w:t>
      </w:r>
      <w:r w:rsidRPr="006010CA">
        <w:rPr>
          <w:lang w:eastAsia="zh-CN"/>
        </w:rPr>
        <w:t>Low-temperature water electrolysis: Fundamentals, progress, and new strategies. Materials Advances 3, 5598–5644. https://doi.org/10.1039/D2MA00185C.</w:t>
      </w:r>
    </w:p>
    <w:p w14:paraId="015142F4" w14:textId="27D4D479" w:rsidR="006010CA" w:rsidRPr="006010CA" w:rsidRDefault="006010CA" w:rsidP="006010CA">
      <w:pPr>
        <w:pStyle w:val="SWCText"/>
        <w:rPr>
          <w:lang w:eastAsia="zh-CN"/>
        </w:rPr>
      </w:pPr>
      <w:r w:rsidRPr="00B768A5">
        <w:rPr>
          <w:lang w:val="en-GB" w:eastAsia="zh-CN"/>
        </w:rPr>
        <w:t xml:space="preserve">Li, Z., Fang, S., Sun, H., Chung, R.J., Fang, X., He, J.H., 2023. Solar hydrogen. </w:t>
      </w:r>
      <w:r w:rsidRPr="006010CA">
        <w:rPr>
          <w:lang w:eastAsia="zh-CN"/>
        </w:rPr>
        <w:t>Advanced Energy Materials 13, 2203019. https://doi.org/10.1002/aenm.202203019.</w:t>
      </w:r>
    </w:p>
    <w:p w14:paraId="1217053F" w14:textId="2AE7F5AF" w:rsidR="006010CA" w:rsidRPr="006010CA" w:rsidRDefault="006010CA" w:rsidP="006010CA">
      <w:pPr>
        <w:pStyle w:val="SWCText"/>
        <w:rPr>
          <w:lang w:eastAsia="zh-CN"/>
        </w:rPr>
      </w:pPr>
      <w:proofErr w:type="spellStart"/>
      <w:r w:rsidRPr="006010CA">
        <w:rPr>
          <w:lang w:eastAsia="zh-CN"/>
        </w:rPr>
        <w:t>Mostafaeipour</w:t>
      </w:r>
      <w:proofErr w:type="spellEnd"/>
      <w:r w:rsidRPr="006010CA">
        <w:rPr>
          <w:lang w:eastAsia="zh-CN"/>
        </w:rPr>
        <w:t>, A., Rezayat, H., Rezaei, M., 2020. A thorough investigation of solar-powered hydrogen potential and accurate location planning for big cities: A case study. International Journal of Hydrogen Energy 45, 31599–31611. https://doi.org/10.1016/j.ijhydene.2020.08.211.</w:t>
      </w:r>
    </w:p>
    <w:p w14:paraId="28A51982" w14:textId="1FC8F83E" w:rsidR="006010CA" w:rsidRPr="006010CA" w:rsidRDefault="006010CA" w:rsidP="006010CA">
      <w:pPr>
        <w:pStyle w:val="SWCText"/>
        <w:rPr>
          <w:lang w:eastAsia="zh-CN"/>
        </w:rPr>
      </w:pPr>
      <w:r w:rsidRPr="006010CA">
        <w:rPr>
          <w:lang w:eastAsia="zh-CN"/>
        </w:rPr>
        <w:lastRenderedPageBreak/>
        <w:t>Park, J., Ryu, K.H., Kim, C.H., Cho, W.C., Kim, M., Lee, J.H., et al., 2023. Green hydrogen to tackle the power curtailment: Meteorological data-based capacity factor and techno-economic analysis. Applied Energy 340, 121016. https://doi.org/10.1016/j.apenergy.2023.121016.</w:t>
      </w:r>
    </w:p>
    <w:p w14:paraId="32BA9B5E" w14:textId="41D91F44" w:rsidR="006010CA" w:rsidRDefault="006010CA" w:rsidP="006010CA">
      <w:pPr>
        <w:pStyle w:val="SWCText"/>
        <w:rPr>
          <w:lang w:eastAsia="zh-CN"/>
        </w:rPr>
      </w:pPr>
      <w:r w:rsidRPr="006010CA">
        <w:rPr>
          <w:lang w:eastAsia="zh-CN"/>
        </w:rPr>
        <w:t xml:space="preserve">Peacock, J., Huang, G., Song, J., Markides, C.N., 2022. Techno-economic assessment of integrated spectral-beam-splitting photovoltaic-thermal (PV-T) and organic Rankine cycle (ORC) systems. Energy Conversion and Management 269, 116071. </w:t>
      </w:r>
      <w:r w:rsidR="00771CE7" w:rsidRPr="00B768A5">
        <w:t>https://doi.org/10.1016/j.enconman.2022.116071</w:t>
      </w:r>
      <w:r w:rsidRPr="006010CA">
        <w:rPr>
          <w:lang w:eastAsia="zh-CN"/>
        </w:rPr>
        <w:t>.</w:t>
      </w:r>
    </w:p>
    <w:p w14:paraId="5AF9234F" w14:textId="03FA2082" w:rsidR="00771CE7" w:rsidRPr="006010CA" w:rsidRDefault="00771CE7" w:rsidP="006010CA">
      <w:pPr>
        <w:pStyle w:val="SWCText"/>
        <w:rPr>
          <w:lang w:eastAsia="zh-CN"/>
        </w:rPr>
      </w:pPr>
      <w:r w:rsidRPr="00771CE7">
        <w:rPr>
          <w:lang w:eastAsia="zh-CN"/>
        </w:rPr>
        <w:t>Polito, F., Huang, G., Markides, C.N., 2025. A building-integrated hybrid photovoltaic-thermal (PV-T) window for synergistic light management, electricity and heat generation. Advanced Science 12, 2408057. https://doi.org/10.1002/advs.202408057.</w:t>
      </w:r>
    </w:p>
    <w:p w14:paraId="2F4EB9C4" w14:textId="14724F37" w:rsidR="006010CA" w:rsidRPr="006010CA" w:rsidRDefault="006010CA" w:rsidP="006010CA">
      <w:pPr>
        <w:pStyle w:val="SWCText"/>
        <w:rPr>
          <w:lang w:eastAsia="zh-CN"/>
        </w:rPr>
      </w:pPr>
      <w:r w:rsidRPr="006010CA">
        <w:rPr>
          <w:lang w:eastAsia="zh-CN"/>
        </w:rPr>
        <w:t>Ramasamy, V., Zuboy, J., Woodhouse, M., O'Shaughnessy, E., Feldman, D., Desai, J., et al., 2023. U.S. solar photovoltaic system and energy storage cost benchmarks, with minimum sustainable price analysis: Q1 2023. National Renewable Energy Laboratory, Golden, CO. Report No. NREL/TP-7A40-87303. https://doi.org/10.2172/2005540.</w:t>
      </w:r>
    </w:p>
    <w:p w14:paraId="08AF88A1" w14:textId="0055A582" w:rsidR="006010CA" w:rsidRPr="006010CA" w:rsidRDefault="006010CA" w:rsidP="006010CA">
      <w:pPr>
        <w:pStyle w:val="SWCText"/>
        <w:rPr>
          <w:lang w:eastAsia="zh-CN"/>
        </w:rPr>
      </w:pPr>
      <w:r w:rsidRPr="006010CA">
        <w:rPr>
          <w:lang w:eastAsia="zh-CN"/>
        </w:rPr>
        <w:t>Short, W., Packey, D.J., Holt, T., 1995. A manual for the economic evaluation of energy efficiency and renewable energy technologies. National Renewable Energy Laboratory, Golden, CO. Report No. NREL/TP-462-5173. https://doi.org/10.2172/35391.</w:t>
      </w:r>
    </w:p>
    <w:p w14:paraId="39BBE586" w14:textId="51193452" w:rsidR="006010CA" w:rsidRDefault="006010CA" w:rsidP="006010CA">
      <w:pPr>
        <w:pStyle w:val="SWCText"/>
        <w:rPr>
          <w:lang w:eastAsia="zh-CN"/>
        </w:rPr>
      </w:pPr>
      <w:r w:rsidRPr="006010CA">
        <w:rPr>
          <w:lang w:eastAsia="zh-CN"/>
        </w:rPr>
        <w:t xml:space="preserve">Tian, Y., </w:t>
      </w:r>
      <w:proofErr w:type="spellStart"/>
      <w:r w:rsidRPr="006010CA">
        <w:rPr>
          <w:lang w:eastAsia="zh-CN"/>
        </w:rPr>
        <w:t>Hadikhani</w:t>
      </w:r>
      <w:proofErr w:type="spellEnd"/>
      <w:r w:rsidRPr="006010CA">
        <w:rPr>
          <w:lang w:eastAsia="zh-CN"/>
        </w:rPr>
        <w:t>, P., Alati, N., Richards, B.S., Huang, G., 2025. Hybrid solar spectral-splitting photovoltaic-thermal hydrogen production systems. Advanced Science 12, 2503205. https://doi.org/10.1002/advs.202503205.</w:t>
      </w:r>
    </w:p>
    <w:p w14:paraId="0342C042" w14:textId="77777777" w:rsidR="006010CA" w:rsidRDefault="006010CA" w:rsidP="00D63D44">
      <w:pPr>
        <w:pStyle w:val="SWCText"/>
        <w:jc w:val="left"/>
        <w:rPr>
          <w:lang w:eastAsia="zh-CN"/>
        </w:rPr>
      </w:pPr>
    </w:p>
    <w:p w14:paraId="55693616" w14:textId="77777777" w:rsidR="00DE3295" w:rsidRDefault="00DE3295" w:rsidP="00D63D44">
      <w:pPr>
        <w:pStyle w:val="SWCText"/>
        <w:jc w:val="left"/>
        <w:rPr>
          <w:lang w:eastAsia="zh-CN"/>
        </w:rPr>
      </w:pPr>
    </w:p>
    <w:p w14:paraId="77AC7021" w14:textId="77777777" w:rsidR="00DE3295" w:rsidRDefault="00DE3295" w:rsidP="00D63D44">
      <w:pPr>
        <w:pStyle w:val="SWCText"/>
        <w:jc w:val="left"/>
        <w:rPr>
          <w:lang w:eastAsia="zh-CN"/>
        </w:rPr>
      </w:pPr>
    </w:p>
    <w:p w14:paraId="74664A09" w14:textId="77777777" w:rsidR="00215199" w:rsidRDefault="00215199" w:rsidP="00D63D44">
      <w:pPr>
        <w:pStyle w:val="SWCText"/>
        <w:jc w:val="left"/>
        <w:rPr>
          <w:lang w:eastAsia="zh-CN"/>
        </w:rPr>
      </w:pPr>
    </w:p>
    <w:p w14:paraId="263188FC" w14:textId="4522604D" w:rsidR="008F54F8" w:rsidRPr="000C59D7" w:rsidRDefault="008F54F8" w:rsidP="00D26ADF">
      <w:pPr>
        <w:rPr>
          <w:rFonts w:eastAsiaTheme="minorEastAsia"/>
          <w:sz w:val="18"/>
          <w:lang w:val="en-GB"/>
        </w:rPr>
      </w:pPr>
    </w:p>
    <w:sectPr w:rsidR="008F54F8" w:rsidRPr="000C59D7" w:rsidSect="00D26ADF">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6D869" w14:textId="77777777" w:rsidR="001001FB" w:rsidRDefault="001001FB">
      <w:r>
        <w:separator/>
      </w:r>
    </w:p>
  </w:endnote>
  <w:endnote w:type="continuationSeparator" w:id="0">
    <w:p w14:paraId="2C1FAC8A" w14:textId="77777777" w:rsidR="001001FB" w:rsidRDefault="00100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94BA6" w14:textId="77777777" w:rsidR="001001FB" w:rsidRDefault="001001FB">
      <w:r>
        <w:separator/>
      </w:r>
    </w:p>
  </w:footnote>
  <w:footnote w:type="continuationSeparator" w:id="0">
    <w:p w14:paraId="5F16D558" w14:textId="77777777" w:rsidR="001001FB" w:rsidRDefault="001001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multilevel"/>
    <w:tmpl w:val="5D388DD4"/>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 w:numId="25" w16cid:durableId="8667925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700126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15209"/>
    <w:rsid w:val="0002379F"/>
    <w:rsid w:val="000241D6"/>
    <w:rsid w:val="00031F13"/>
    <w:rsid w:val="00037EAC"/>
    <w:rsid w:val="0004235D"/>
    <w:rsid w:val="0005003E"/>
    <w:rsid w:val="000533E4"/>
    <w:rsid w:val="000534F5"/>
    <w:rsid w:val="00053E02"/>
    <w:rsid w:val="00055DB9"/>
    <w:rsid w:val="00057B5E"/>
    <w:rsid w:val="00066B26"/>
    <w:rsid w:val="00066F72"/>
    <w:rsid w:val="000678AC"/>
    <w:rsid w:val="000712A1"/>
    <w:rsid w:val="00074DBF"/>
    <w:rsid w:val="00092ED5"/>
    <w:rsid w:val="000A0ADB"/>
    <w:rsid w:val="000A1CC8"/>
    <w:rsid w:val="000A30A5"/>
    <w:rsid w:val="000A36B5"/>
    <w:rsid w:val="000A45E1"/>
    <w:rsid w:val="000A52A1"/>
    <w:rsid w:val="000B04BE"/>
    <w:rsid w:val="000B09B5"/>
    <w:rsid w:val="000B1F4D"/>
    <w:rsid w:val="000C2344"/>
    <w:rsid w:val="000C4FDA"/>
    <w:rsid w:val="000C59D7"/>
    <w:rsid w:val="000D64B9"/>
    <w:rsid w:val="000D6E1A"/>
    <w:rsid w:val="000E1855"/>
    <w:rsid w:val="000E6CBA"/>
    <w:rsid w:val="000F739B"/>
    <w:rsid w:val="001001FB"/>
    <w:rsid w:val="0010501A"/>
    <w:rsid w:val="00111D28"/>
    <w:rsid w:val="00111FD4"/>
    <w:rsid w:val="00115D3B"/>
    <w:rsid w:val="00127A90"/>
    <w:rsid w:val="0013222F"/>
    <w:rsid w:val="001324F1"/>
    <w:rsid w:val="00136177"/>
    <w:rsid w:val="001473A5"/>
    <w:rsid w:val="0015090D"/>
    <w:rsid w:val="00150B42"/>
    <w:rsid w:val="00155FB8"/>
    <w:rsid w:val="00157CE5"/>
    <w:rsid w:val="001647D2"/>
    <w:rsid w:val="00166C42"/>
    <w:rsid w:val="00176EF6"/>
    <w:rsid w:val="001904A7"/>
    <w:rsid w:val="0019232E"/>
    <w:rsid w:val="00194E9A"/>
    <w:rsid w:val="001968B5"/>
    <w:rsid w:val="001969B9"/>
    <w:rsid w:val="001970D9"/>
    <w:rsid w:val="001A117A"/>
    <w:rsid w:val="001A775B"/>
    <w:rsid w:val="001A7F40"/>
    <w:rsid w:val="001B13D6"/>
    <w:rsid w:val="001B6BCF"/>
    <w:rsid w:val="001B7B01"/>
    <w:rsid w:val="001C3A3D"/>
    <w:rsid w:val="001C63A2"/>
    <w:rsid w:val="001D0384"/>
    <w:rsid w:val="001D4912"/>
    <w:rsid w:val="001E2B93"/>
    <w:rsid w:val="001F1AAA"/>
    <w:rsid w:val="001F1CA0"/>
    <w:rsid w:val="001F2881"/>
    <w:rsid w:val="00205626"/>
    <w:rsid w:val="00206116"/>
    <w:rsid w:val="00212628"/>
    <w:rsid w:val="00215199"/>
    <w:rsid w:val="0022299B"/>
    <w:rsid w:val="00225724"/>
    <w:rsid w:val="002331FE"/>
    <w:rsid w:val="00243214"/>
    <w:rsid w:val="002470B2"/>
    <w:rsid w:val="00247A55"/>
    <w:rsid w:val="00260FF8"/>
    <w:rsid w:val="002647A0"/>
    <w:rsid w:val="00266E47"/>
    <w:rsid w:val="00270E75"/>
    <w:rsid w:val="0027288C"/>
    <w:rsid w:val="00273341"/>
    <w:rsid w:val="00281D0B"/>
    <w:rsid w:val="00291FB6"/>
    <w:rsid w:val="002972D1"/>
    <w:rsid w:val="002A04A9"/>
    <w:rsid w:val="002A39BB"/>
    <w:rsid w:val="002B0C68"/>
    <w:rsid w:val="002B20C5"/>
    <w:rsid w:val="002B417A"/>
    <w:rsid w:val="002C089D"/>
    <w:rsid w:val="002C101B"/>
    <w:rsid w:val="002C68AD"/>
    <w:rsid w:val="002D322C"/>
    <w:rsid w:val="002D4864"/>
    <w:rsid w:val="002D5A3A"/>
    <w:rsid w:val="002E5D62"/>
    <w:rsid w:val="002F1386"/>
    <w:rsid w:val="002F1D87"/>
    <w:rsid w:val="002F6B87"/>
    <w:rsid w:val="00303345"/>
    <w:rsid w:val="0031685E"/>
    <w:rsid w:val="003357AC"/>
    <w:rsid w:val="00340A51"/>
    <w:rsid w:val="0035638A"/>
    <w:rsid w:val="003605B9"/>
    <w:rsid w:val="00362122"/>
    <w:rsid w:val="00364A52"/>
    <w:rsid w:val="003705B2"/>
    <w:rsid w:val="00373F97"/>
    <w:rsid w:val="0037406D"/>
    <w:rsid w:val="00374216"/>
    <w:rsid w:val="0038545D"/>
    <w:rsid w:val="003869E8"/>
    <w:rsid w:val="00391288"/>
    <w:rsid w:val="00393777"/>
    <w:rsid w:val="00395E5A"/>
    <w:rsid w:val="00395F5E"/>
    <w:rsid w:val="0039742D"/>
    <w:rsid w:val="003A0C5C"/>
    <w:rsid w:val="003A3A38"/>
    <w:rsid w:val="003A7DB9"/>
    <w:rsid w:val="003B2055"/>
    <w:rsid w:val="003C0806"/>
    <w:rsid w:val="003C18DE"/>
    <w:rsid w:val="003C1B31"/>
    <w:rsid w:val="003C2B1A"/>
    <w:rsid w:val="003C39C6"/>
    <w:rsid w:val="003C7E95"/>
    <w:rsid w:val="003D0C22"/>
    <w:rsid w:val="003D6941"/>
    <w:rsid w:val="003E1E1C"/>
    <w:rsid w:val="003F0403"/>
    <w:rsid w:val="003F5B99"/>
    <w:rsid w:val="004019FD"/>
    <w:rsid w:val="00403E6A"/>
    <w:rsid w:val="004053B5"/>
    <w:rsid w:val="0040615A"/>
    <w:rsid w:val="00411E29"/>
    <w:rsid w:val="004127FA"/>
    <w:rsid w:val="0042033E"/>
    <w:rsid w:val="004357AD"/>
    <w:rsid w:val="00453296"/>
    <w:rsid w:val="00467DFD"/>
    <w:rsid w:val="00476879"/>
    <w:rsid w:val="00490F10"/>
    <w:rsid w:val="00493C81"/>
    <w:rsid w:val="00494006"/>
    <w:rsid w:val="004A14C9"/>
    <w:rsid w:val="004A3506"/>
    <w:rsid w:val="004B0CD4"/>
    <w:rsid w:val="004B6DC6"/>
    <w:rsid w:val="004C1962"/>
    <w:rsid w:val="004C39AD"/>
    <w:rsid w:val="004C4EE9"/>
    <w:rsid w:val="004C53B4"/>
    <w:rsid w:val="004E5D79"/>
    <w:rsid w:val="004F4904"/>
    <w:rsid w:val="004F5FF9"/>
    <w:rsid w:val="00500640"/>
    <w:rsid w:val="00500D7D"/>
    <w:rsid w:val="005067AC"/>
    <w:rsid w:val="00514890"/>
    <w:rsid w:val="0051584D"/>
    <w:rsid w:val="00521A24"/>
    <w:rsid w:val="00524EEF"/>
    <w:rsid w:val="0053048D"/>
    <w:rsid w:val="00532138"/>
    <w:rsid w:val="0053532A"/>
    <w:rsid w:val="005404F1"/>
    <w:rsid w:val="00544D85"/>
    <w:rsid w:val="00545750"/>
    <w:rsid w:val="00550776"/>
    <w:rsid w:val="00552407"/>
    <w:rsid w:val="00553731"/>
    <w:rsid w:val="00556004"/>
    <w:rsid w:val="0056363F"/>
    <w:rsid w:val="00564ECC"/>
    <w:rsid w:val="00566460"/>
    <w:rsid w:val="0057075C"/>
    <w:rsid w:val="00572159"/>
    <w:rsid w:val="005721F8"/>
    <w:rsid w:val="005836C7"/>
    <w:rsid w:val="00587B8A"/>
    <w:rsid w:val="005B3E86"/>
    <w:rsid w:val="005B6F55"/>
    <w:rsid w:val="005D1066"/>
    <w:rsid w:val="005D5CF6"/>
    <w:rsid w:val="005E04EA"/>
    <w:rsid w:val="005E0D7D"/>
    <w:rsid w:val="005E7208"/>
    <w:rsid w:val="005F106F"/>
    <w:rsid w:val="005F7A69"/>
    <w:rsid w:val="006010CA"/>
    <w:rsid w:val="006038A7"/>
    <w:rsid w:val="00607C4E"/>
    <w:rsid w:val="00613AF9"/>
    <w:rsid w:val="0061732F"/>
    <w:rsid w:val="0062257E"/>
    <w:rsid w:val="00625BC2"/>
    <w:rsid w:val="00627D6A"/>
    <w:rsid w:val="00627E34"/>
    <w:rsid w:val="006309AA"/>
    <w:rsid w:val="00633473"/>
    <w:rsid w:val="006379BD"/>
    <w:rsid w:val="0064403B"/>
    <w:rsid w:val="006500EC"/>
    <w:rsid w:val="00652071"/>
    <w:rsid w:val="00652D7E"/>
    <w:rsid w:val="00653551"/>
    <w:rsid w:val="0065563B"/>
    <w:rsid w:val="00665471"/>
    <w:rsid w:val="006673F0"/>
    <w:rsid w:val="006722C6"/>
    <w:rsid w:val="00692D7F"/>
    <w:rsid w:val="006A0AE2"/>
    <w:rsid w:val="006A2F10"/>
    <w:rsid w:val="006A77D0"/>
    <w:rsid w:val="006B3D49"/>
    <w:rsid w:val="006B4C9F"/>
    <w:rsid w:val="006C756C"/>
    <w:rsid w:val="006D19E1"/>
    <w:rsid w:val="006D4A96"/>
    <w:rsid w:val="006F127F"/>
    <w:rsid w:val="006F3136"/>
    <w:rsid w:val="006F3259"/>
    <w:rsid w:val="006F5B85"/>
    <w:rsid w:val="00702AE0"/>
    <w:rsid w:val="007174DA"/>
    <w:rsid w:val="00722B51"/>
    <w:rsid w:val="00725ED2"/>
    <w:rsid w:val="007400DF"/>
    <w:rsid w:val="007535ED"/>
    <w:rsid w:val="0075406E"/>
    <w:rsid w:val="00756702"/>
    <w:rsid w:val="00762EA3"/>
    <w:rsid w:val="00771CE7"/>
    <w:rsid w:val="007763CB"/>
    <w:rsid w:val="007804A7"/>
    <w:rsid w:val="00786A4E"/>
    <w:rsid w:val="007908F6"/>
    <w:rsid w:val="007954D9"/>
    <w:rsid w:val="007A2B9F"/>
    <w:rsid w:val="007A7952"/>
    <w:rsid w:val="007B0BDB"/>
    <w:rsid w:val="007B33DF"/>
    <w:rsid w:val="007B6CD7"/>
    <w:rsid w:val="007C1632"/>
    <w:rsid w:val="007C36EF"/>
    <w:rsid w:val="007C6BDE"/>
    <w:rsid w:val="007D0678"/>
    <w:rsid w:val="007D1C2C"/>
    <w:rsid w:val="007E6E72"/>
    <w:rsid w:val="007E7634"/>
    <w:rsid w:val="00800E25"/>
    <w:rsid w:val="00801634"/>
    <w:rsid w:val="0080537B"/>
    <w:rsid w:val="008219CF"/>
    <w:rsid w:val="008314FC"/>
    <w:rsid w:val="00834062"/>
    <w:rsid w:val="00837104"/>
    <w:rsid w:val="00840E8F"/>
    <w:rsid w:val="0084100F"/>
    <w:rsid w:val="00844F36"/>
    <w:rsid w:val="00845AE3"/>
    <w:rsid w:val="0085508D"/>
    <w:rsid w:val="008702AA"/>
    <w:rsid w:val="0087241B"/>
    <w:rsid w:val="00893500"/>
    <w:rsid w:val="008A0437"/>
    <w:rsid w:val="008B618F"/>
    <w:rsid w:val="008D44C5"/>
    <w:rsid w:val="008D7E85"/>
    <w:rsid w:val="008E19FF"/>
    <w:rsid w:val="008E53FF"/>
    <w:rsid w:val="008F249D"/>
    <w:rsid w:val="008F54F8"/>
    <w:rsid w:val="009011AA"/>
    <w:rsid w:val="009015EF"/>
    <w:rsid w:val="00904774"/>
    <w:rsid w:val="00906CC3"/>
    <w:rsid w:val="00917D56"/>
    <w:rsid w:val="00931C9D"/>
    <w:rsid w:val="00933A00"/>
    <w:rsid w:val="00933BFD"/>
    <w:rsid w:val="00941691"/>
    <w:rsid w:val="00942AED"/>
    <w:rsid w:val="00944E25"/>
    <w:rsid w:val="00953F15"/>
    <w:rsid w:val="009642AB"/>
    <w:rsid w:val="00976A7F"/>
    <w:rsid w:val="00982BCB"/>
    <w:rsid w:val="00993F03"/>
    <w:rsid w:val="0099435F"/>
    <w:rsid w:val="00996BC5"/>
    <w:rsid w:val="009A50B4"/>
    <w:rsid w:val="009A6D34"/>
    <w:rsid w:val="009B4816"/>
    <w:rsid w:val="009C1BA8"/>
    <w:rsid w:val="009C2D0D"/>
    <w:rsid w:val="009C3492"/>
    <w:rsid w:val="009C49C6"/>
    <w:rsid w:val="009C5AA4"/>
    <w:rsid w:val="009D02D4"/>
    <w:rsid w:val="009D60E3"/>
    <w:rsid w:val="009E0D67"/>
    <w:rsid w:val="009E4985"/>
    <w:rsid w:val="009F16C5"/>
    <w:rsid w:val="009F3E11"/>
    <w:rsid w:val="009F6AF8"/>
    <w:rsid w:val="009F6E78"/>
    <w:rsid w:val="009F7A4B"/>
    <w:rsid w:val="009F7C7E"/>
    <w:rsid w:val="00A01148"/>
    <w:rsid w:val="00A04344"/>
    <w:rsid w:val="00A20E85"/>
    <w:rsid w:val="00A31DC5"/>
    <w:rsid w:val="00A40C81"/>
    <w:rsid w:val="00A436CD"/>
    <w:rsid w:val="00A5180B"/>
    <w:rsid w:val="00A55E36"/>
    <w:rsid w:val="00A6457C"/>
    <w:rsid w:val="00A8223C"/>
    <w:rsid w:val="00A8757B"/>
    <w:rsid w:val="00A90530"/>
    <w:rsid w:val="00A92044"/>
    <w:rsid w:val="00A9727D"/>
    <w:rsid w:val="00AA0376"/>
    <w:rsid w:val="00AA16B9"/>
    <w:rsid w:val="00AA47DC"/>
    <w:rsid w:val="00AB4B42"/>
    <w:rsid w:val="00AB624E"/>
    <w:rsid w:val="00AC2C09"/>
    <w:rsid w:val="00AC6B6F"/>
    <w:rsid w:val="00AD0BC0"/>
    <w:rsid w:val="00AE11FC"/>
    <w:rsid w:val="00AE6354"/>
    <w:rsid w:val="00AF15AF"/>
    <w:rsid w:val="00AF23BD"/>
    <w:rsid w:val="00AF6EB4"/>
    <w:rsid w:val="00B01141"/>
    <w:rsid w:val="00B02E33"/>
    <w:rsid w:val="00B04CF2"/>
    <w:rsid w:val="00B12803"/>
    <w:rsid w:val="00B214A1"/>
    <w:rsid w:val="00B22D5C"/>
    <w:rsid w:val="00B263F0"/>
    <w:rsid w:val="00B2716E"/>
    <w:rsid w:val="00B31661"/>
    <w:rsid w:val="00B32703"/>
    <w:rsid w:val="00B47522"/>
    <w:rsid w:val="00B5097B"/>
    <w:rsid w:val="00B54313"/>
    <w:rsid w:val="00B60B5F"/>
    <w:rsid w:val="00B6496F"/>
    <w:rsid w:val="00B768A5"/>
    <w:rsid w:val="00B8064D"/>
    <w:rsid w:val="00B80F06"/>
    <w:rsid w:val="00B827C6"/>
    <w:rsid w:val="00B84CEB"/>
    <w:rsid w:val="00B86327"/>
    <w:rsid w:val="00B93F09"/>
    <w:rsid w:val="00BA23FC"/>
    <w:rsid w:val="00BB0C01"/>
    <w:rsid w:val="00BB1390"/>
    <w:rsid w:val="00BC738E"/>
    <w:rsid w:val="00BD0576"/>
    <w:rsid w:val="00BE50D0"/>
    <w:rsid w:val="00BF1326"/>
    <w:rsid w:val="00BF16FE"/>
    <w:rsid w:val="00C012F5"/>
    <w:rsid w:val="00C068BC"/>
    <w:rsid w:val="00C17081"/>
    <w:rsid w:val="00C20A85"/>
    <w:rsid w:val="00C27FD4"/>
    <w:rsid w:val="00C31C86"/>
    <w:rsid w:val="00C32131"/>
    <w:rsid w:val="00C365E2"/>
    <w:rsid w:val="00C44EFB"/>
    <w:rsid w:val="00C55264"/>
    <w:rsid w:val="00C6695C"/>
    <w:rsid w:val="00C709F3"/>
    <w:rsid w:val="00C97946"/>
    <w:rsid w:val="00CA4F91"/>
    <w:rsid w:val="00CA7ABB"/>
    <w:rsid w:val="00CB42D1"/>
    <w:rsid w:val="00CB57E5"/>
    <w:rsid w:val="00CB7EE8"/>
    <w:rsid w:val="00CC0BDA"/>
    <w:rsid w:val="00CC3B0C"/>
    <w:rsid w:val="00CC445A"/>
    <w:rsid w:val="00CD4EFC"/>
    <w:rsid w:val="00CE432C"/>
    <w:rsid w:val="00CE6DBB"/>
    <w:rsid w:val="00D0520C"/>
    <w:rsid w:val="00D14555"/>
    <w:rsid w:val="00D17DCC"/>
    <w:rsid w:val="00D26ADF"/>
    <w:rsid w:val="00D31359"/>
    <w:rsid w:val="00D32EF0"/>
    <w:rsid w:val="00D34665"/>
    <w:rsid w:val="00D35E52"/>
    <w:rsid w:val="00D36FA6"/>
    <w:rsid w:val="00D41E9A"/>
    <w:rsid w:val="00D53F31"/>
    <w:rsid w:val="00D5584D"/>
    <w:rsid w:val="00D62269"/>
    <w:rsid w:val="00D62EDC"/>
    <w:rsid w:val="00D63D44"/>
    <w:rsid w:val="00D65350"/>
    <w:rsid w:val="00D75350"/>
    <w:rsid w:val="00D85C80"/>
    <w:rsid w:val="00D976DC"/>
    <w:rsid w:val="00DA244B"/>
    <w:rsid w:val="00DA7F88"/>
    <w:rsid w:val="00DB3C94"/>
    <w:rsid w:val="00DB52E7"/>
    <w:rsid w:val="00DC0318"/>
    <w:rsid w:val="00DC2169"/>
    <w:rsid w:val="00DD1D5F"/>
    <w:rsid w:val="00DD3D3B"/>
    <w:rsid w:val="00DE0269"/>
    <w:rsid w:val="00DE3295"/>
    <w:rsid w:val="00DF6016"/>
    <w:rsid w:val="00E012C5"/>
    <w:rsid w:val="00E023A9"/>
    <w:rsid w:val="00E07D1B"/>
    <w:rsid w:val="00E1006D"/>
    <w:rsid w:val="00E15373"/>
    <w:rsid w:val="00E218E2"/>
    <w:rsid w:val="00E23FEE"/>
    <w:rsid w:val="00E248D8"/>
    <w:rsid w:val="00E53F82"/>
    <w:rsid w:val="00E548A7"/>
    <w:rsid w:val="00E57E49"/>
    <w:rsid w:val="00E61C50"/>
    <w:rsid w:val="00E65D4A"/>
    <w:rsid w:val="00E7237D"/>
    <w:rsid w:val="00E741CF"/>
    <w:rsid w:val="00E917F8"/>
    <w:rsid w:val="00E9249A"/>
    <w:rsid w:val="00EA34C6"/>
    <w:rsid w:val="00EA50D7"/>
    <w:rsid w:val="00EA56BF"/>
    <w:rsid w:val="00EB25B2"/>
    <w:rsid w:val="00EC3533"/>
    <w:rsid w:val="00ED32B6"/>
    <w:rsid w:val="00ED7123"/>
    <w:rsid w:val="00EE40FA"/>
    <w:rsid w:val="00EF2A39"/>
    <w:rsid w:val="00EF2F33"/>
    <w:rsid w:val="00EF596C"/>
    <w:rsid w:val="00F0298C"/>
    <w:rsid w:val="00F07750"/>
    <w:rsid w:val="00F10047"/>
    <w:rsid w:val="00F16B99"/>
    <w:rsid w:val="00F207DE"/>
    <w:rsid w:val="00F30A77"/>
    <w:rsid w:val="00F4393F"/>
    <w:rsid w:val="00F46A3A"/>
    <w:rsid w:val="00F5375D"/>
    <w:rsid w:val="00F5454E"/>
    <w:rsid w:val="00F715C3"/>
    <w:rsid w:val="00F718BD"/>
    <w:rsid w:val="00F77F3D"/>
    <w:rsid w:val="00F80507"/>
    <w:rsid w:val="00F83CD3"/>
    <w:rsid w:val="00F85F61"/>
    <w:rsid w:val="00F95487"/>
    <w:rsid w:val="00F95DEF"/>
    <w:rsid w:val="00FA1553"/>
    <w:rsid w:val="00FA4DF8"/>
    <w:rsid w:val="00FB45FB"/>
    <w:rsid w:val="00FB4CF3"/>
    <w:rsid w:val="00FC09A1"/>
    <w:rsid w:val="00FC1374"/>
    <w:rsid w:val="00FC1781"/>
    <w:rsid w:val="00FC244F"/>
    <w:rsid w:val="00FD5E06"/>
    <w:rsid w:val="00FD6072"/>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731"/>
    <w:rPr>
      <w:rFonts w:eastAsia="Times New Roman"/>
      <w:sz w:val="24"/>
      <w:szCs w:val="24"/>
      <w:lang w:val="en-US" w:eastAsia="zh-CN"/>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paragraph" w:styleId="NormalWeb">
    <w:name w:val="Normal (Web)"/>
    <w:basedOn w:val="Normal"/>
    <w:uiPriority w:val="99"/>
    <w:semiHidden/>
    <w:unhideWhenUsed/>
    <w:rsid w:val="00111FD4"/>
  </w:style>
  <w:style w:type="table" w:customStyle="1" w:styleId="TableGrid41">
    <w:name w:val="Table Grid41"/>
    <w:basedOn w:val="TableNormal"/>
    <w:next w:val="TableGrid"/>
    <w:uiPriority w:val="59"/>
    <w:rsid w:val="003705B2"/>
    <w:rPr>
      <w:rFonts w:ascii="Calibri" w:eastAsia="Times New Roman" w:hAnsi="Calibri"/>
      <w:sz w:val="22"/>
      <w:szCs w:val="22"/>
      <w:lang w:val="en-GB"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C59D7"/>
    <w:rPr>
      <w:color w:val="605E5C"/>
      <w:shd w:val="clear" w:color="auto" w:fill="E1DFDD"/>
    </w:rPr>
  </w:style>
  <w:style w:type="paragraph" w:styleId="HTMLPreformatted">
    <w:name w:val="HTML Preformatted"/>
    <w:basedOn w:val="Normal"/>
    <w:link w:val="HTMLPreformattedChar"/>
    <w:uiPriority w:val="99"/>
    <w:semiHidden/>
    <w:unhideWhenUsed/>
    <w:rsid w:val="00127A9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27A90"/>
    <w:rPr>
      <w:rFonts w:ascii="Consolas" w:eastAsia="Times New Roman" w:hAnsi="Consolas"/>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00934">
      <w:bodyDiv w:val="1"/>
      <w:marLeft w:val="0"/>
      <w:marRight w:val="0"/>
      <w:marTop w:val="0"/>
      <w:marBottom w:val="0"/>
      <w:divBdr>
        <w:top w:val="none" w:sz="0" w:space="0" w:color="auto"/>
        <w:left w:val="none" w:sz="0" w:space="0" w:color="auto"/>
        <w:bottom w:val="none" w:sz="0" w:space="0" w:color="auto"/>
        <w:right w:val="none" w:sz="0" w:space="0" w:color="auto"/>
      </w:divBdr>
    </w:div>
    <w:div w:id="94833551">
      <w:bodyDiv w:val="1"/>
      <w:marLeft w:val="0"/>
      <w:marRight w:val="0"/>
      <w:marTop w:val="0"/>
      <w:marBottom w:val="0"/>
      <w:divBdr>
        <w:top w:val="none" w:sz="0" w:space="0" w:color="auto"/>
        <w:left w:val="none" w:sz="0" w:space="0" w:color="auto"/>
        <w:bottom w:val="none" w:sz="0" w:space="0" w:color="auto"/>
        <w:right w:val="none" w:sz="0" w:space="0" w:color="auto"/>
      </w:divBdr>
    </w:div>
    <w:div w:id="128134267">
      <w:bodyDiv w:val="1"/>
      <w:marLeft w:val="0"/>
      <w:marRight w:val="0"/>
      <w:marTop w:val="0"/>
      <w:marBottom w:val="0"/>
      <w:divBdr>
        <w:top w:val="none" w:sz="0" w:space="0" w:color="auto"/>
        <w:left w:val="none" w:sz="0" w:space="0" w:color="auto"/>
        <w:bottom w:val="none" w:sz="0" w:space="0" w:color="auto"/>
        <w:right w:val="none" w:sz="0" w:space="0" w:color="auto"/>
      </w:divBdr>
    </w:div>
    <w:div w:id="208500117">
      <w:bodyDiv w:val="1"/>
      <w:marLeft w:val="0"/>
      <w:marRight w:val="0"/>
      <w:marTop w:val="0"/>
      <w:marBottom w:val="0"/>
      <w:divBdr>
        <w:top w:val="none" w:sz="0" w:space="0" w:color="auto"/>
        <w:left w:val="none" w:sz="0" w:space="0" w:color="auto"/>
        <w:bottom w:val="none" w:sz="0" w:space="0" w:color="auto"/>
        <w:right w:val="none" w:sz="0" w:space="0" w:color="auto"/>
      </w:divBdr>
    </w:div>
    <w:div w:id="280311308">
      <w:bodyDiv w:val="1"/>
      <w:marLeft w:val="0"/>
      <w:marRight w:val="0"/>
      <w:marTop w:val="0"/>
      <w:marBottom w:val="0"/>
      <w:divBdr>
        <w:top w:val="none" w:sz="0" w:space="0" w:color="auto"/>
        <w:left w:val="none" w:sz="0" w:space="0" w:color="auto"/>
        <w:bottom w:val="none" w:sz="0" w:space="0" w:color="auto"/>
        <w:right w:val="none" w:sz="0" w:space="0" w:color="auto"/>
      </w:divBdr>
    </w:div>
    <w:div w:id="396513367">
      <w:bodyDiv w:val="1"/>
      <w:marLeft w:val="0"/>
      <w:marRight w:val="0"/>
      <w:marTop w:val="0"/>
      <w:marBottom w:val="0"/>
      <w:divBdr>
        <w:top w:val="none" w:sz="0" w:space="0" w:color="auto"/>
        <w:left w:val="none" w:sz="0" w:space="0" w:color="auto"/>
        <w:bottom w:val="none" w:sz="0" w:space="0" w:color="auto"/>
        <w:right w:val="none" w:sz="0" w:space="0" w:color="auto"/>
      </w:divBdr>
    </w:div>
    <w:div w:id="457263167">
      <w:bodyDiv w:val="1"/>
      <w:marLeft w:val="0"/>
      <w:marRight w:val="0"/>
      <w:marTop w:val="0"/>
      <w:marBottom w:val="0"/>
      <w:divBdr>
        <w:top w:val="none" w:sz="0" w:space="0" w:color="auto"/>
        <w:left w:val="none" w:sz="0" w:space="0" w:color="auto"/>
        <w:bottom w:val="none" w:sz="0" w:space="0" w:color="auto"/>
        <w:right w:val="none" w:sz="0" w:space="0" w:color="auto"/>
      </w:divBdr>
    </w:div>
    <w:div w:id="520320537">
      <w:bodyDiv w:val="1"/>
      <w:marLeft w:val="0"/>
      <w:marRight w:val="0"/>
      <w:marTop w:val="0"/>
      <w:marBottom w:val="0"/>
      <w:divBdr>
        <w:top w:val="none" w:sz="0" w:space="0" w:color="auto"/>
        <w:left w:val="none" w:sz="0" w:space="0" w:color="auto"/>
        <w:bottom w:val="none" w:sz="0" w:space="0" w:color="auto"/>
        <w:right w:val="none" w:sz="0" w:space="0" w:color="auto"/>
      </w:divBdr>
    </w:div>
    <w:div w:id="549074057">
      <w:bodyDiv w:val="1"/>
      <w:marLeft w:val="0"/>
      <w:marRight w:val="0"/>
      <w:marTop w:val="0"/>
      <w:marBottom w:val="0"/>
      <w:divBdr>
        <w:top w:val="none" w:sz="0" w:space="0" w:color="auto"/>
        <w:left w:val="none" w:sz="0" w:space="0" w:color="auto"/>
        <w:bottom w:val="none" w:sz="0" w:space="0" w:color="auto"/>
        <w:right w:val="none" w:sz="0" w:space="0" w:color="auto"/>
      </w:divBdr>
    </w:div>
    <w:div w:id="707531065">
      <w:bodyDiv w:val="1"/>
      <w:marLeft w:val="0"/>
      <w:marRight w:val="0"/>
      <w:marTop w:val="0"/>
      <w:marBottom w:val="0"/>
      <w:divBdr>
        <w:top w:val="none" w:sz="0" w:space="0" w:color="auto"/>
        <w:left w:val="none" w:sz="0" w:space="0" w:color="auto"/>
        <w:bottom w:val="none" w:sz="0" w:space="0" w:color="auto"/>
        <w:right w:val="none" w:sz="0" w:space="0" w:color="auto"/>
      </w:divBdr>
    </w:div>
    <w:div w:id="933585643">
      <w:bodyDiv w:val="1"/>
      <w:marLeft w:val="0"/>
      <w:marRight w:val="0"/>
      <w:marTop w:val="0"/>
      <w:marBottom w:val="0"/>
      <w:divBdr>
        <w:top w:val="none" w:sz="0" w:space="0" w:color="auto"/>
        <w:left w:val="none" w:sz="0" w:space="0" w:color="auto"/>
        <w:bottom w:val="none" w:sz="0" w:space="0" w:color="auto"/>
        <w:right w:val="none" w:sz="0" w:space="0" w:color="auto"/>
      </w:divBdr>
    </w:div>
    <w:div w:id="1023677827">
      <w:bodyDiv w:val="1"/>
      <w:marLeft w:val="0"/>
      <w:marRight w:val="0"/>
      <w:marTop w:val="0"/>
      <w:marBottom w:val="0"/>
      <w:divBdr>
        <w:top w:val="none" w:sz="0" w:space="0" w:color="auto"/>
        <w:left w:val="none" w:sz="0" w:space="0" w:color="auto"/>
        <w:bottom w:val="none" w:sz="0" w:space="0" w:color="auto"/>
        <w:right w:val="none" w:sz="0" w:space="0" w:color="auto"/>
      </w:divBdr>
    </w:div>
    <w:div w:id="1063215339">
      <w:bodyDiv w:val="1"/>
      <w:marLeft w:val="0"/>
      <w:marRight w:val="0"/>
      <w:marTop w:val="0"/>
      <w:marBottom w:val="0"/>
      <w:divBdr>
        <w:top w:val="none" w:sz="0" w:space="0" w:color="auto"/>
        <w:left w:val="none" w:sz="0" w:space="0" w:color="auto"/>
        <w:bottom w:val="none" w:sz="0" w:space="0" w:color="auto"/>
        <w:right w:val="none" w:sz="0" w:space="0" w:color="auto"/>
      </w:divBdr>
    </w:div>
    <w:div w:id="1104769015">
      <w:bodyDiv w:val="1"/>
      <w:marLeft w:val="0"/>
      <w:marRight w:val="0"/>
      <w:marTop w:val="0"/>
      <w:marBottom w:val="0"/>
      <w:divBdr>
        <w:top w:val="none" w:sz="0" w:space="0" w:color="auto"/>
        <w:left w:val="none" w:sz="0" w:space="0" w:color="auto"/>
        <w:bottom w:val="none" w:sz="0" w:space="0" w:color="auto"/>
        <w:right w:val="none" w:sz="0" w:space="0" w:color="auto"/>
      </w:divBdr>
    </w:div>
    <w:div w:id="1133253489">
      <w:bodyDiv w:val="1"/>
      <w:marLeft w:val="0"/>
      <w:marRight w:val="0"/>
      <w:marTop w:val="0"/>
      <w:marBottom w:val="0"/>
      <w:divBdr>
        <w:top w:val="none" w:sz="0" w:space="0" w:color="auto"/>
        <w:left w:val="none" w:sz="0" w:space="0" w:color="auto"/>
        <w:bottom w:val="none" w:sz="0" w:space="0" w:color="auto"/>
        <w:right w:val="none" w:sz="0" w:space="0" w:color="auto"/>
      </w:divBdr>
    </w:div>
    <w:div w:id="1160806367">
      <w:bodyDiv w:val="1"/>
      <w:marLeft w:val="0"/>
      <w:marRight w:val="0"/>
      <w:marTop w:val="0"/>
      <w:marBottom w:val="0"/>
      <w:divBdr>
        <w:top w:val="none" w:sz="0" w:space="0" w:color="auto"/>
        <w:left w:val="none" w:sz="0" w:space="0" w:color="auto"/>
        <w:bottom w:val="none" w:sz="0" w:space="0" w:color="auto"/>
        <w:right w:val="none" w:sz="0" w:space="0" w:color="auto"/>
      </w:divBdr>
    </w:div>
    <w:div w:id="1163280415">
      <w:bodyDiv w:val="1"/>
      <w:marLeft w:val="0"/>
      <w:marRight w:val="0"/>
      <w:marTop w:val="0"/>
      <w:marBottom w:val="0"/>
      <w:divBdr>
        <w:top w:val="none" w:sz="0" w:space="0" w:color="auto"/>
        <w:left w:val="none" w:sz="0" w:space="0" w:color="auto"/>
        <w:bottom w:val="none" w:sz="0" w:space="0" w:color="auto"/>
        <w:right w:val="none" w:sz="0" w:space="0" w:color="auto"/>
      </w:divBdr>
    </w:div>
    <w:div w:id="1219781550">
      <w:bodyDiv w:val="1"/>
      <w:marLeft w:val="0"/>
      <w:marRight w:val="0"/>
      <w:marTop w:val="0"/>
      <w:marBottom w:val="0"/>
      <w:divBdr>
        <w:top w:val="none" w:sz="0" w:space="0" w:color="auto"/>
        <w:left w:val="none" w:sz="0" w:space="0" w:color="auto"/>
        <w:bottom w:val="none" w:sz="0" w:space="0" w:color="auto"/>
        <w:right w:val="none" w:sz="0" w:space="0" w:color="auto"/>
      </w:divBdr>
    </w:div>
    <w:div w:id="1377970816">
      <w:bodyDiv w:val="1"/>
      <w:marLeft w:val="0"/>
      <w:marRight w:val="0"/>
      <w:marTop w:val="0"/>
      <w:marBottom w:val="0"/>
      <w:divBdr>
        <w:top w:val="none" w:sz="0" w:space="0" w:color="auto"/>
        <w:left w:val="none" w:sz="0" w:space="0" w:color="auto"/>
        <w:bottom w:val="none" w:sz="0" w:space="0" w:color="auto"/>
        <w:right w:val="none" w:sz="0" w:space="0" w:color="auto"/>
      </w:divBdr>
    </w:div>
    <w:div w:id="1381705984">
      <w:bodyDiv w:val="1"/>
      <w:marLeft w:val="0"/>
      <w:marRight w:val="0"/>
      <w:marTop w:val="0"/>
      <w:marBottom w:val="0"/>
      <w:divBdr>
        <w:top w:val="none" w:sz="0" w:space="0" w:color="auto"/>
        <w:left w:val="none" w:sz="0" w:space="0" w:color="auto"/>
        <w:bottom w:val="none" w:sz="0" w:space="0" w:color="auto"/>
        <w:right w:val="none" w:sz="0" w:space="0" w:color="auto"/>
      </w:divBdr>
    </w:div>
    <w:div w:id="1466433539">
      <w:bodyDiv w:val="1"/>
      <w:marLeft w:val="0"/>
      <w:marRight w:val="0"/>
      <w:marTop w:val="0"/>
      <w:marBottom w:val="0"/>
      <w:divBdr>
        <w:top w:val="none" w:sz="0" w:space="0" w:color="auto"/>
        <w:left w:val="none" w:sz="0" w:space="0" w:color="auto"/>
        <w:bottom w:val="none" w:sz="0" w:space="0" w:color="auto"/>
        <w:right w:val="none" w:sz="0" w:space="0" w:color="auto"/>
      </w:divBdr>
    </w:div>
    <w:div w:id="1680352663">
      <w:bodyDiv w:val="1"/>
      <w:marLeft w:val="0"/>
      <w:marRight w:val="0"/>
      <w:marTop w:val="0"/>
      <w:marBottom w:val="0"/>
      <w:divBdr>
        <w:top w:val="none" w:sz="0" w:space="0" w:color="auto"/>
        <w:left w:val="none" w:sz="0" w:space="0" w:color="auto"/>
        <w:bottom w:val="none" w:sz="0" w:space="0" w:color="auto"/>
        <w:right w:val="none" w:sz="0" w:space="0" w:color="auto"/>
      </w:divBdr>
    </w:div>
    <w:div w:id="1686326018">
      <w:bodyDiv w:val="1"/>
      <w:marLeft w:val="0"/>
      <w:marRight w:val="0"/>
      <w:marTop w:val="0"/>
      <w:marBottom w:val="0"/>
      <w:divBdr>
        <w:top w:val="none" w:sz="0" w:space="0" w:color="auto"/>
        <w:left w:val="none" w:sz="0" w:space="0" w:color="auto"/>
        <w:bottom w:val="none" w:sz="0" w:space="0" w:color="auto"/>
        <w:right w:val="none" w:sz="0" w:space="0" w:color="auto"/>
      </w:divBdr>
    </w:div>
    <w:div w:id="1755206072">
      <w:bodyDiv w:val="1"/>
      <w:marLeft w:val="0"/>
      <w:marRight w:val="0"/>
      <w:marTop w:val="0"/>
      <w:marBottom w:val="0"/>
      <w:divBdr>
        <w:top w:val="none" w:sz="0" w:space="0" w:color="auto"/>
        <w:left w:val="none" w:sz="0" w:space="0" w:color="auto"/>
        <w:bottom w:val="none" w:sz="0" w:space="0" w:color="auto"/>
        <w:right w:val="none" w:sz="0" w:space="0" w:color="auto"/>
      </w:divBdr>
    </w:div>
    <w:div w:id="1916817400">
      <w:bodyDiv w:val="1"/>
      <w:marLeft w:val="0"/>
      <w:marRight w:val="0"/>
      <w:marTop w:val="0"/>
      <w:marBottom w:val="0"/>
      <w:divBdr>
        <w:top w:val="none" w:sz="0" w:space="0" w:color="auto"/>
        <w:left w:val="none" w:sz="0" w:space="0" w:color="auto"/>
        <w:bottom w:val="none" w:sz="0" w:space="0" w:color="auto"/>
        <w:right w:val="none" w:sz="0" w:space="0" w:color="auto"/>
      </w:divBdr>
    </w:div>
    <w:div w:id="1947810086">
      <w:bodyDiv w:val="1"/>
      <w:marLeft w:val="0"/>
      <w:marRight w:val="0"/>
      <w:marTop w:val="0"/>
      <w:marBottom w:val="0"/>
      <w:divBdr>
        <w:top w:val="none" w:sz="0" w:space="0" w:color="auto"/>
        <w:left w:val="none" w:sz="0" w:space="0" w:color="auto"/>
        <w:bottom w:val="none" w:sz="0" w:space="0" w:color="auto"/>
        <w:right w:val="none" w:sz="0" w:space="0" w:color="auto"/>
      </w:divBdr>
    </w:div>
    <w:div w:id="2075927759">
      <w:bodyDiv w:val="1"/>
      <w:marLeft w:val="0"/>
      <w:marRight w:val="0"/>
      <w:marTop w:val="0"/>
      <w:marBottom w:val="0"/>
      <w:divBdr>
        <w:top w:val="none" w:sz="0" w:space="0" w:color="auto"/>
        <w:left w:val="none" w:sz="0" w:space="0" w:color="auto"/>
        <w:bottom w:val="none" w:sz="0" w:space="0" w:color="auto"/>
        <w:right w:val="none" w:sz="0" w:space="0" w:color="auto"/>
      </w:divBdr>
    </w:div>
    <w:div w:id="213971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5114</Words>
  <Characters>29155</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Tian, Yu (IMT)</cp:lastModifiedBy>
  <cp:revision>4</cp:revision>
  <cp:lastPrinted>2023-02-22T18:40:00Z</cp:lastPrinted>
  <dcterms:created xsi:type="dcterms:W3CDTF">2026-08-27T22:00:00Z</dcterms:created>
  <dcterms:modified xsi:type="dcterms:W3CDTF">2026-08-28T14:59:00Z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