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6EA848" w14:textId="77777777" w:rsidR="00DA46E8" w:rsidRPr="006D0CB2" w:rsidRDefault="00651721">
      <w:pPr>
        <w:pStyle w:val="SWCTitle"/>
      </w:pPr>
      <w:bookmarkStart w:id="0" w:name="_Hlk238398674"/>
      <w:bookmarkEnd w:id="0"/>
      <w:r w:rsidRPr="006D0CB2">
        <w:rPr>
          <w:rFonts w:eastAsia="Arial"/>
          <w:sz w:val="28"/>
        </w:rPr>
        <w:t>EuroSun2026</w:t>
      </w:r>
    </w:p>
    <w:p w14:paraId="2D3A9837" w14:textId="616384ED" w:rsidR="00DA46E8" w:rsidDel="00B91832" w:rsidRDefault="00B91832">
      <w:pPr>
        <w:pStyle w:val="SWCTitle"/>
        <w:spacing w:after="60"/>
      </w:pPr>
      <w:r w:rsidRPr="000354D2">
        <w:rPr>
          <w:rFonts w:cs="Arial"/>
          <w:bCs/>
          <w:sz w:val="28"/>
          <w:szCs w:val="28"/>
        </w:rPr>
        <w:t>MULTIFUNCTIONAL BIFACIAL</w:t>
      </w:r>
      <w:r>
        <w:rPr>
          <w:rFonts w:cs="Arial"/>
          <w:bCs/>
          <w:sz w:val="28"/>
          <w:szCs w:val="28"/>
        </w:rPr>
        <w:t xml:space="preserve"> BUILDING</w:t>
      </w:r>
      <w:r w:rsidR="00AF4DBB">
        <w:rPr>
          <w:rFonts w:cs="Arial"/>
          <w:bCs/>
          <w:sz w:val="28"/>
          <w:szCs w:val="28"/>
        </w:rPr>
        <w:t>-</w:t>
      </w:r>
      <w:proofErr w:type="gramStart"/>
      <w:r>
        <w:rPr>
          <w:rFonts w:cs="Arial"/>
          <w:bCs/>
          <w:sz w:val="28"/>
          <w:szCs w:val="28"/>
        </w:rPr>
        <w:t xml:space="preserve">INTEGRATED </w:t>
      </w:r>
      <w:r w:rsidRPr="000354D2">
        <w:rPr>
          <w:rFonts w:cs="Arial"/>
          <w:bCs/>
          <w:sz w:val="28"/>
          <w:szCs w:val="28"/>
        </w:rPr>
        <w:t xml:space="preserve"> PHOTOVOLTAIC</w:t>
      </w:r>
      <w:proofErr w:type="gramEnd"/>
      <w:r w:rsidRPr="000354D2">
        <w:rPr>
          <w:rFonts w:cs="Arial"/>
          <w:bCs/>
          <w:sz w:val="28"/>
          <w:szCs w:val="28"/>
        </w:rPr>
        <w:t xml:space="preserve"> SHADING FOR ZERO</w:t>
      </w:r>
      <w:r>
        <w:rPr>
          <w:rFonts w:cs="Arial"/>
          <w:bCs/>
          <w:sz w:val="28"/>
          <w:szCs w:val="28"/>
        </w:rPr>
        <w:t xml:space="preserve"> </w:t>
      </w:r>
      <w:r w:rsidRPr="000354D2">
        <w:rPr>
          <w:rFonts w:cs="Arial"/>
          <w:bCs/>
          <w:sz w:val="28"/>
          <w:szCs w:val="28"/>
        </w:rPr>
        <w:t xml:space="preserve">ENERGY SOLAR </w:t>
      </w:r>
      <w:r>
        <w:rPr>
          <w:rFonts w:cs="Arial"/>
          <w:bCs/>
          <w:sz w:val="28"/>
          <w:szCs w:val="28"/>
        </w:rPr>
        <w:t>HOUSE</w:t>
      </w:r>
      <w:r w:rsidRPr="00BF2ECE">
        <w:rPr>
          <w:rFonts w:cs="Arial"/>
          <w:bCs/>
          <w:sz w:val="28"/>
          <w:szCs w:val="28"/>
        </w:rPr>
        <w:t xml:space="preserve"> </w:t>
      </w:r>
    </w:p>
    <w:p w14:paraId="3BEE4973" w14:textId="77777777" w:rsidR="00B91832" w:rsidRPr="006D0CB2" w:rsidRDefault="00B91832">
      <w:pPr>
        <w:pStyle w:val="SWCText"/>
      </w:pPr>
    </w:p>
    <w:p w14:paraId="6D6BD78C" w14:textId="77777777" w:rsidR="004A5F50" w:rsidRPr="00A83636" w:rsidRDefault="004A5F50" w:rsidP="004A5F50">
      <w:pPr>
        <w:spacing w:after="60"/>
        <w:jc w:val="center"/>
        <w:rPr>
          <w:lang w:val="en-US"/>
        </w:rPr>
      </w:pPr>
      <w:r w:rsidRPr="00A83636">
        <w:rPr>
          <w:rFonts w:eastAsia="Times New Roman"/>
          <w:b/>
          <w:sz w:val="20"/>
          <w:lang w:val="en-US"/>
        </w:rPr>
        <w:t>S.</w:t>
      </w:r>
      <w:proofErr w:type="gramStart"/>
      <w:r w:rsidRPr="00A83636">
        <w:rPr>
          <w:rFonts w:eastAsia="Times New Roman"/>
          <w:b/>
          <w:sz w:val="20"/>
          <w:lang w:val="en-US"/>
        </w:rPr>
        <w:t>H.Yoo</w:t>
      </w:r>
      <w:proofErr w:type="gramEnd"/>
      <w:r w:rsidRPr="00A83636">
        <w:rPr>
          <w:rFonts w:eastAsia="Times New Roman"/>
          <w:sz w:val="20"/>
          <w:vertAlign w:val="superscript"/>
          <w:lang w:val="en-US"/>
        </w:rPr>
        <w:t>1,</w:t>
      </w:r>
      <w:r w:rsidRPr="00A83636">
        <w:rPr>
          <w:rFonts w:eastAsia="Times New Roman"/>
          <w:sz w:val="20"/>
          <w:lang w:val="en-US"/>
        </w:rPr>
        <w:t>*</w:t>
      </w:r>
      <w:r w:rsidRPr="00A83636">
        <w:rPr>
          <w:rFonts w:eastAsia="Times New Roman"/>
          <w:b/>
          <w:sz w:val="20"/>
          <w:lang w:val="en-US"/>
        </w:rPr>
        <w:t>, S.Chung</w:t>
      </w:r>
      <w:r w:rsidRPr="00A83636">
        <w:rPr>
          <w:rFonts w:eastAsia="Times New Roman"/>
          <w:sz w:val="20"/>
          <w:vertAlign w:val="superscript"/>
          <w:lang w:val="en-US"/>
        </w:rPr>
        <w:t>1</w:t>
      </w:r>
      <w:r w:rsidRPr="00A83636">
        <w:rPr>
          <w:rFonts w:eastAsia="Times New Roman"/>
          <w:b/>
          <w:sz w:val="20"/>
          <w:lang w:val="en-US"/>
        </w:rPr>
        <w:t>, S.Kim</w:t>
      </w:r>
      <w:r w:rsidRPr="00A83636">
        <w:rPr>
          <w:rFonts w:eastAsia="Times New Roman"/>
          <w:sz w:val="20"/>
          <w:vertAlign w:val="superscript"/>
          <w:lang w:val="en-US"/>
        </w:rPr>
        <w:t>1</w:t>
      </w:r>
    </w:p>
    <w:p w14:paraId="5D391948" w14:textId="77777777" w:rsidR="004A5F50" w:rsidRPr="00A83636" w:rsidRDefault="004A5F50" w:rsidP="004A5F50">
      <w:pPr>
        <w:spacing w:after="20"/>
        <w:jc w:val="center"/>
        <w:rPr>
          <w:lang w:val="en-US"/>
        </w:rPr>
      </w:pPr>
      <w:r w:rsidRPr="004A5F50">
        <w:rPr>
          <w:rFonts w:eastAsia="Times New Roman"/>
          <w:sz w:val="18"/>
          <w:vertAlign w:val="superscript"/>
          <w:lang w:val="en-US"/>
        </w:rPr>
        <w:t>1</w:t>
      </w:r>
      <w:r w:rsidRPr="00A83636">
        <w:rPr>
          <w:rFonts w:eastAsia="Times New Roman"/>
          <w:sz w:val="18"/>
          <w:lang w:val="en-US"/>
        </w:rPr>
        <w:t xml:space="preserve"> Nearly Zero Energy Concepts for Solar Apartment Consortium/Yonsei University</w:t>
      </w:r>
    </w:p>
    <w:p w14:paraId="728BD012" w14:textId="77777777" w:rsidR="004A5F50" w:rsidRPr="00A83636" w:rsidRDefault="004A5F50" w:rsidP="004A5F50">
      <w:pPr>
        <w:spacing w:after="140"/>
        <w:jc w:val="center"/>
        <w:rPr>
          <w:lang w:val="en-US"/>
        </w:rPr>
      </w:pPr>
      <w:proofErr w:type="gramStart"/>
      <w:r w:rsidRPr="004A5F50">
        <w:rPr>
          <w:rFonts w:eastAsia="Times New Roman"/>
          <w:sz w:val="18"/>
          <w:vertAlign w:val="superscript"/>
          <w:lang w:val="en-US"/>
        </w:rPr>
        <w:t>1,*</w:t>
      </w:r>
      <w:proofErr w:type="gramEnd"/>
      <w:r w:rsidRPr="00A83636">
        <w:rPr>
          <w:rFonts w:eastAsia="Times New Roman"/>
          <w:sz w:val="18"/>
          <w:lang w:val="en-US"/>
        </w:rPr>
        <w:t xml:space="preserve">  mryooo@naver.com</w:t>
      </w:r>
    </w:p>
    <w:p w14:paraId="4FD974C7" w14:textId="77777777" w:rsidR="00DA46E8" w:rsidRPr="006D0CB2" w:rsidRDefault="00651721">
      <w:pPr>
        <w:pStyle w:val="SWCSummary"/>
      </w:pPr>
      <w:r w:rsidRPr="006D0CB2">
        <w:t>Summary</w:t>
      </w:r>
    </w:p>
    <w:p w14:paraId="6461DB5F" w14:textId="731660A0" w:rsidR="00DA46E8" w:rsidRPr="006D0CB2" w:rsidRDefault="00651721" w:rsidP="00ED1683">
      <w:pPr>
        <w:pStyle w:val="SWCText"/>
        <w:ind w:firstLineChars="100" w:firstLine="200"/>
      </w:pPr>
      <w:r>
        <w:t xml:space="preserve">This study investigates the optimal application of a multifunctional bifacial building-integrated photovoltaic shading system (MB-BIPVS) for nearly zero-energy apartment buildings. The system is designed to function simultaneously as a facade-integrated electricity generator and as an architectural overhang that reduces solar heat gains. A 22-story residential building near Seoul, Republic of Korea, was analyzed using the </w:t>
      </w:r>
      <w:proofErr w:type="spellStart"/>
      <w:r>
        <w:t>SolCel</w:t>
      </w:r>
      <w:proofErr w:type="spellEnd"/>
      <w:r>
        <w:t xml:space="preserve"> simulation tool. The effects of PV module width, cell ratio, adjacent-building geometry, ground albedo, and building latitude were evaluated through annual power-generation simulations. For module widths of 0.8, 1.0, 1.2, and 1.4 m, annual generation increased from 49,430 to 68,406 kWh, while the system usage rate (SUR) decreased from 13.31% to 10.52%. Reducing the cell ratio from 0.85 to 0.60 increased annual generation from 55,928 to 97,069 kWh and SUR from 12.04% to 20.9%. The adjacent building reduced annual output by up to 1.11%, whereas the tested albedo and latitude variations changed output by only 0.21% and 0.64%, respectively</w:t>
      </w:r>
      <w:r w:rsidRPr="00875228">
        <w:rPr>
          <w:color w:val="auto"/>
        </w:rPr>
        <w:t>. Considering architectural compatibility, the intended shading function, and electricity generation together</w:t>
      </w:r>
      <w:r>
        <w:t>, a 1.0 m projection is proposed as a practical design reference for the studied facade. The MB-BIPVS can also be integrated with passive intelligent radiant cooling to form a multi-functional strategy for nearly zero-energy apartments.</w:t>
      </w:r>
    </w:p>
    <w:p w14:paraId="1929A6A1" w14:textId="77777777" w:rsidR="00DA46E8" w:rsidRPr="006D0CB2" w:rsidRDefault="00651721">
      <w:pPr>
        <w:pStyle w:val="SWCText"/>
      </w:pPr>
      <w:r w:rsidRPr="006D0CB2">
        <w:rPr>
          <w:i/>
        </w:rPr>
        <w:t>Keywords: multifunctional BIPV, bifacial photovoltaic, solar shading, nearly zero-energy apartment, system usage rate, passive intelligent radiant cooling</w:t>
      </w:r>
    </w:p>
    <w:p w14:paraId="6DEA1D2B" w14:textId="77777777" w:rsidR="00DA46E8" w:rsidRPr="006D0CB2" w:rsidRDefault="00651721">
      <w:pPr>
        <w:pStyle w:val="SWCText"/>
      </w:pPr>
      <w:r w:rsidRPr="006D0CB2">
        <w:rPr>
          <w:i/>
        </w:rPr>
        <w:t>Field of application for the findings: High-rise residential buildings, building-integrated photovoltaics, nearly zero-energy buildings, solar facade design</w:t>
      </w:r>
    </w:p>
    <w:p w14:paraId="496DDAAE" w14:textId="77777777" w:rsidR="00DA46E8" w:rsidRDefault="00651721">
      <w:pPr>
        <w:pStyle w:val="SWCText"/>
      </w:pPr>
      <w:r w:rsidRPr="006D0CB2">
        <w:rPr>
          <w:i/>
        </w:rPr>
        <w:t>Addressed audience: Solar-energy researchers, architects, building-energy engineers, BIPV designers, and nearly zero-energy building practitioners</w:t>
      </w:r>
    </w:p>
    <w:p w14:paraId="166B19F5" w14:textId="77777777" w:rsidR="00DA46E8" w:rsidRPr="006D0CB2" w:rsidRDefault="00651721">
      <w:pPr>
        <w:pStyle w:val="SWCHeading1"/>
        <w:keepNext/>
        <w:numPr>
          <w:ilvl w:val="0"/>
          <w:numId w:val="0"/>
        </w:numPr>
      </w:pPr>
      <w:r w:rsidRPr="006D0CB2">
        <w:t>1. Introduction</w:t>
      </w:r>
    </w:p>
    <w:p w14:paraId="25CF9031" w14:textId="77777777" w:rsidR="00DA46E8" w:rsidRPr="006D0CB2" w:rsidRDefault="00651721" w:rsidP="00ED1683">
      <w:pPr>
        <w:pStyle w:val="SWCText"/>
        <w:ind w:firstLineChars="100" w:firstLine="200"/>
      </w:pPr>
      <w:r w:rsidRPr="006D0CB2">
        <w:t>Buildings are central to the transition toward a low-carbon energy system because they account for a substantial share of global final energy use and greenhouse-gas emissions. At the same time, space-cooling demand is increasing rapidly, which makes the integration of renewable electricity generation and passive load reduction particularly important for nearly zero-energy buildings (IEA, 2021). Photovoltaic systems integrated into the building envelope can contribute to both objectives when they replace or complement conventional facade components rather than functioning only as add-on electricity generators.</w:t>
      </w:r>
    </w:p>
    <w:p w14:paraId="26DB6685" w14:textId="3C85D083" w:rsidR="00DA46E8" w:rsidRPr="006D0CB2" w:rsidRDefault="00651721" w:rsidP="00ED1683">
      <w:pPr>
        <w:pStyle w:val="SWCText"/>
        <w:ind w:firstLineChars="100" w:firstLine="200"/>
      </w:pPr>
      <w:r>
        <w:t xml:space="preserve">Bifacial photovoltaic modules are especially relevant to facade applications because electricity can be generated from both front-side direct and diffuse irradiance and rear-side radiation reflected from surrounding surfaces. Previous studies have emphasized the importance of facade geometry, shading, urban obstructions, and regional climate for the performance of BIPV and bifacial PV systems (Brito et al., 2017; Chen et al., 2021; Ghosh, 2020; </w:t>
      </w:r>
      <w:proofErr w:type="spellStart"/>
      <w:r w:rsidRPr="00875228">
        <w:rPr>
          <w:color w:val="auto"/>
        </w:rPr>
        <w:t>Skandalos</w:t>
      </w:r>
      <w:proofErr w:type="spellEnd"/>
      <w:r w:rsidRPr="00875228">
        <w:rPr>
          <w:color w:val="auto"/>
        </w:rPr>
        <w:t xml:space="preserve"> et al., 2022; Tina et al., 2020). </w:t>
      </w:r>
      <w:r>
        <w:t>When a BIPV module is configured as an overhang, it can also reduce direct solar gains and therefore contribute to lower cooling loads, linking active solar harvesting with passive architectural design (</w:t>
      </w:r>
      <w:proofErr w:type="spellStart"/>
      <w:r>
        <w:t>Mandalaki</w:t>
      </w:r>
      <w:proofErr w:type="spellEnd"/>
      <w:r>
        <w:t xml:space="preserve"> et al., 2014; </w:t>
      </w:r>
      <w:proofErr w:type="spellStart"/>
      <w:r>
        <w:t>Paydar</w:t>
      </w:r>
      <w:proofErr w:type="spellEnd"/>
      <w:r>
        <w:t>, 2020; Yoo et al., 2025).</w:t>
      </w:r>
    </w:p>
    <w:p w14:paraId="49F8B111" w14:textId="41EF589B" w:rsidR="00DA46E8" w:rsidRPr="006D0CB2" w:rsidRDefault="00651721" w:rsidP="00ED1683">
      <w:pPr>
        <w:pStyle w:val="SWCText"/>
        <w:ind w:firstLineChars="100" w:firstLine="200"/>
      </w:pPr>
      <w:r w:rsidRPr="006D0CB2">
        <w:lastRenderedPageBreak/>
        <w:t>This paper evaluates a multifunctional bifacial BIPV shading system (MB-BIPVS) for a planned 22-story apartment building near Seoul. The study examines five design and boundary-condition variables: PV-module projection width, cell ratio within the module, adjacent-building geometry, ground albedo, and building latitude. The objective is not to maximize annual electricity production alone, but to identify design tendencies that can support a practical nearly zero-energy apartment concept while preserving shading, daylight access, architectural integration, and compatibility with passive cooling strategies.</w:t>
      </w:r>
    </w:p>
    <w:p w14:paraId="64ADAE38" w14:textId="77777777" w:rsidR="00DA46E8" w:rsidRPr="006D0CB2" w:rsidRDefault="00651721">
      <w:pPr>
        <w:pStyle w:val="SWCHeading1"/>
        <w:keepNext/>
        <w:numPr>
          <w:ilvl w:val="0"/>
          <w:numId w:val="0"/>
        </w:numPr>
      </w:pPr>
      <w:r w:rsidRPr="006D0CB2">
        <w:t>2. Methodology</w:t>
      </w:r>
    </w:p>
    <w:p w14:paraId="76017A66" w14:textId="77777777" w:rsidR="00DA46E8" w:rsidRPr="006D0CB2" w:rsidRDefault="00651721">
      <w:pPr>
        <w:pStyle w:val="SWCHeading11"/>
        <w:keepNext/>
      </w:pPr>
      <w:r w:rsidRPr="006D0CB2">
        <w:rPr>
          <w:lang w:val="en-US"/>
        </w:rPr>
        <w:t>2.1. Target Apartment and MB-BIPVS Concept</w:t>
      </w:r>
    </w:p>
    <w:p w14:paraId="31C19603" w14:textId="2C435DD3" w:rsidR="00DA46E8" w:rsidRPr="006D0CB2" w:rsidRDefault="00651721" w:rsidP="00996B4F">
      <w:pPr>
        <w:pStyle w:val="SWCText"/>
        <w:ind w:firstLineChars="100" w:firstLine="200"/>
      </w:pPr>
      <w:r w:rsidRPr="006D0CB2">
        <w:t xml:space="preserve">The target building is a planned 22-story apartment </w:t>
      </w:r>
      <w:r w:rsidR="00D53CA1">
        <w:t xml:space="preserve">building </w:t>
      </w:r>
      <w:r w:rsidRPr="006D0CB2">
        <w:t>located near Seoul at approximately 37.5°N, 126.6°E. The principal facade faces south (180°). The BIPV shading system is applied from the 4th to the 22nd floor, corresponding to 19 facade levels. The floor area per story is approximately 852.3 m². The site contains several neighboring apartment blocks, allowing the influence of surrounding buildings on reflected irradiance and power generation to be evaluated.</w:t>
      </w:r>
      <w:r w:rsidR="006D0CB2">
        <w:t xml:space="preserve"> Figure 1 shows the p</w:t>
      </w:r>
      <w:r w:rsidR="006D0CB2" w:rsidRPr="00666BA2">
        <w:t>erspective view and site plan</w:t>
      </w:r>
      <w:r w:rsidR="006D0CB2">
        <w:t>.</w:t>
      </w:r>
    </w:p>
    <w:p w14:paraId="6AA4CDC6" w14:textId="77777777" w:rsidR="00DA46E8" w:rsidRDefault="00651721">
      <w:pPr>
        <w:pStyle w:val="SWCText"/>
        <w:keepNext/>
        <w:spacing w:before="80" w:after="80"/>
        <w:jc w:val="center"/>
      </w:pPr>
      <w:r>
        <w:rPr>
          <w:noProof/>
        </w:rPr>
        <w:drawing>
          <wp:inline distT="0" distB="0" distL="0" distR="0" wp14:anchorId="6A83DC18" wp14:editId="202CF239">
            <wp:extent cx="3930650" cy="5743575"/>
            <wp:effectExtent l="0" t="0" r="0" b="9525"/>
            <wp:docPr id="1" name="Figure 1" descr="Figure 1. Perspective view and site plan of the target apartment complex." title="Fig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1_site.jpg"/>
                    <pic:cNvPicPr/>
                  </pic:nvPicPr>
                  <pic:blipFill>
                    <a:blip r:embed="rId8"/>
                    <a:stretch>
                      <a:fillRect/>
                    </a:stretch>
                  </pic:blipFill>
                  <pic:spPr>
                    <a:xfrm>
                      <a:off x="0" y="0"/>
                      <a:ext cx="3954188" cy="5777969"/>
                    </a:xfrm>
                    <a:prstGeom prst="rect">
                      <a:avLst/>
                    </a:prstGeom>
                  </pic:spPr>
                </pic:pic>
              </a:graphicData>
            </a:graphic>
          </wp:inline>
        </w:drawing>
      </w:r>
    </w:p>
    <w:p w14:paraId="4F771938" w14:textId="77777777" w:rsidR="00DA46E8" w:rsidRPr="006D0CB2" w:rsidRDefault="00651721">
      <w:pPr>
        <w:pStyle w:val="SWCTableFigureCaption"/>
      </w:pPr>
      <w:r w:rsidRPr="006D0CB2">
        <w:t xml:space="preserve">Fig. 1: </w:t>
      </w:r>
      <w:bookmarkStart w:id="1" w:name="_Hlk238398196"/>
      <w:r w:rsidRPr="006D0CB2">
        <w:t xml:space="preserve">Perspective view and site plan </w:t>
      </w:r>
      <w:bookmarkEnd w:id="1"/>
      <w:r w:rsidRPr="006D0CB2">
        <w:t>of the target apartment complex</w:t>
      </w:r>
    </w:p>
    <w:p w14:paraId="270F4F97" w14:textId="77777777" w:rsidR="00A77A72" w:rsidRDefault="00651721" w:rsidP="00ED1683">
      <w:pPr>
        <w:pStyle w:val="SWCText"/>
        <w:ind w:firstLineChars="100" w:firstLine="200"/>
      </w:pPr>
      <w:r w:rsidRPr="006D0CB2">
        <w:lastRenderedPageBreak/>
        <w:t>The architectural concept is derived from the overhang function of traditional Korean buildings. The overhang reduces high-angle summer solar gains while allowing lower-angle winter radiation to reach the facade. In the proposed system, a bifacial PV module occupies this overhang position so that the same element provides shading and solar-electricity generation. The target apartment section also allows integration with a hydronic radiant heating and cooling system, creating a combined envelope-and-conditioning concept for nearly zero-energy housing.</w:t>
      </w:r>
      <w:r w:rsidR="00DA3BA4">
        <w:t xml:space="preserve"> </w:t>
      </w:r>
    </w:p>
    <w:p w14:paraId="116D09F5" w14:textId="77777777" w:rsidR="00A77A72" w:rsidRDefault="00DA3BA4" w:rsidP="00A77A72">
      <w:pPr>
        <w:pStyle w:val="SWCText"/>
      </w:pPr>
      <w:r w:rsidRPr="00DA3BA4">
        <w:t xml:space="preserve">Figure 2 shows the concept of traditional architecture and </w:t>
      </w:r>
      <w:r>
        <w:t xml:space="preserve">Figure 3 illustrates </w:t>
      </w:r>
      <w:r w:rsidRPr="00DA3BA4">
        <w:t>the section</w:t>
      </w:r>
      <w:r w:rsidRPr="00DA3BA4">
        <w:rPr>
          <w:lang w:eastAsia="ko-KR"/>
        </w:rPr>
        <w:t xml:space="preserve"> of </w:t>
      </w:r>
      <w:r w:rsidRPr="00DA3BA4">
        <w:t>the target apartment.</w:t>
      </w:r>
    </w:p>
    <w:p w14:paraId="1F23B507" w14:textId="77777777" w:rsidR="00DA3BA4" w:rsidRDefault="00A77A72">
      <w:pPr>
        <w:pStyle w:val="SWCText"/>
        <w:keepNext/>
        <w:spacing w:before="80" w:after="80"/>
        <w:jc w:val="center"/>
      </w:pPr>
      <w:r w:rsidRPr="005E53C3">
        <w:rPr>
          <w:noProof/>
          <w:szCs w:val="20"/>
        </w:rPr>
        <w:drawing>
          <wp:inline distT="0" distB="0" distL="0" distR="0" wp14:anchorId="06115F88" wp14:editId="638A8EE4">
            <wp:extent cx="4396623" cy="2497455"/>
            <wp:effectExtent l="0" t="0" r="1270" b="0"/>
            <wp:docPr id="12" name="Figure 2" descr="Figure 2. Traditional Korean architecture showing seasonal solar-angle and high-albedo concepts." title="Fig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4396623" cy="2497455"/>
                    </a:xfrm>
                    <a:prstGeom prst="rect">
                      <a:avLst/>
                    </a:prstGeom>
                  </pic:spPr>
                </pic:pic>
              </a:graphicData>
            </a:graphic>
          </wp:inline>
        </w:drawing>
      </w:r>
    </w:p>
    <w:p w14:paraId="37E489C9" w14:textId="5FDD91D6" w:rsidR="00DA3BA4" w:rsidRDefault="00DA3BA4">
      <w:pPr>
        <w:pStyle w:val="SWCTableFigureCaption"/>
      </w:pPr>
      <w:r w:rsidRPr="00666BA2">
        <w:t>Fi</w:t>
      </w:r>
      <w:r>
        <w:t xml:space="preserve">g. </w:t>
      </w:r>
      <w:r w:rsidRPr="00666BA2">
        <w:t>2</w:t>
      </w:r>
      <w:r>
        <w:t>:</w:t>
      </w:r>
      <w:r w:rsidRPr="00666BA2">
        <w:t xml:space="preserve"> </w:t>
      </w:r>
      <w:r>
        <w:t>C</w:t>
      </w:r>
      <w:r w:rsidRPr="00666BA2">
        <w:t xml:space="preserve">oncept of traditional architecture </w:t>
      </w:r>
    </w:p>
    <w:p w14:paraId="5586BF5B" w14:textId="5230AC5D" w:rsidR="0024000B" w:rsidRDefault="00ED1683" w:rsidP="00ED1683">
      <w:pPr>
        <w:pStyle w:val="SWCText"/>
        <w:keepNext/>
        <w:spacing w:before="80" w:after="80"/>
        <w:jc w:val="left"/>
      </w:pPr>
      <w:r w:rsidRPr="006A0A3A">
        <w:rPr>
          <w:noProof/>
          <w:lang w:eastAsia="ko-KR"/>
        </w:rPr>
        <w:drawing>
          <wp:anchor distT="0" distB="0" distL="114300" distR="114300" simplePos="0" relativeHeight="251658240" behindDoc="0" locked="0" layoutInCell="1" allowOverlap="1" wp14:anchorId="55989A4B" wp14:editId="75828D53">
            <wp:simplePos x="0" y="0"/>
            <wp:positionH relativeFrom="margin">
              <wp:align>center</wp:align>
            </wp:positionH>
            <wp:positionV relativeFrom="paragraph">
              <wp:posOffset>4445</wp:posOffset>
            </wp:positionV>
            <wp:extent cx="4682490" cy="2239010"/>
            <wp:effectExtent l="0" t="0" r="3810" b="8890"/>
            <wp:wrapSquare wrapText="bothSides"/>
            <wp:docPr id="19" name="Figure 3" descr="Figure 3. Section of the target apartment showing the MB-BIPVS and seasonal solar paths." title="Fig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682490" cy="2239010"/>
                    </a:xfrm>
                    <a:prstGeom prst="rect">
                      <a:avLst/>
                    </a:prstGeom>
                  </pic:spPr>
                </pic:pic>
              </a:graphicData>
            </a:graphic>
          </wp:anchor>
        </w:drawing>
      </w:r>
      <w:r>
        <w:br w:type="textWrapping" w:clear="all"/>
      </w:r>
    </w:p>
    <w:p w14:paraId="2D67F002" w14:textId="77777777" w:rsidR="00DA46E8" w:rsidRPr="00DA3BA4" w:rsidRDefault="00DA3BA4">
      <w:pPr>
        <w:pStyle w:val="SWCTableFigureCaption"/>
      </w:pPr>
      <w:r w:rsidRPr="00DA3BA4">
        <w:rPr>
          <w:lang w:eastAsia="ko-KR"/>
        </w:rPr>
        <w:t>Fig.</w:t>
      </w:r>
      <w:r>
        <w:rPr>
          <w:lang w:eastAsia="ko-KR"/>
        </w:rPr>
        <w:t xml:space="preserve"> </w:t>
      </w:r>
      <w:r w:rsidRPr="00DA3BA4">
        <w:rPr>
          <w:lang w:eastAsia="ko-KR"/>
        </w:rPr>
        <w:t>3:</w:t>
      </w:r>
      <w:r>
        <w:rPr>
          <w:lang w:eastAsia="ko-KR"/>
        </w:rPr>
        <w:t xml:space="preserve"> </w:t>
      </w:r>
      <w:r>
        <w:t>S</w:t>
      </w:r>
      <w:r w:rsidRPr="00666BA2">
        <w:t>ection</w:t>
      </w:r>
      <w:r w:rsidRPr="00666BA2">
        <w:rPr>
          <w:lang w:eastAsia="ko-KR"/>
        </w:rPr>
        <w:t xml:space="preserve"> of </w:t>
      </w:r>
      <w:r w:rsidRPr="00666BA2">
        <w:t>the target apartment</w:t>
      </w:r>
    </w:p>
    <w:p w14:paraId="076F506D" w14:textId="28FD9FE2" w:rsidR="00DA46E8" w:rsidRPr="006D0CB2" w:rsidRDefault="00651721" w:rsidP="00ED1683">
      <w:pPr>
        <w:pStyle w:val="SWCText"/>
        <w:ind w:firstLineChars="100" w:firstLine="200"/>
      </w:pPr>
      <w:r w:rsidRPr="006D0CB2">
        <w:t xml:space="preserve">The passive intelligent radiant cooling concept considered for </w:t>
      </w:r>
      <w:r w:rsidR="00D53CA1">
        <w:t>integration</w:t>
      </w:r>
      <w:r w:rsidRPr="006D0CB2">
        <w:t xml:space="preserve"> with the MB-BIPVS reuses embedded hydronic floor pipes for summer cooling. Low-temperature water can absorb heat from the floor structure before being used for normal non-potable household purposes. In the present BIPV study, this cooling concept is treated as a complementary system rather than as part of the PV simulation itself. The shading function of the MB-BIPVS can reduce the cooling load and may therefore reduce the cooling duty imposed on the radiant system.</w:t>
      </w:r>
    </w:p>
    <w:p w14:paraId="546D14F4" w14:textId="77777777" w:rsidR="00DA46E8" w:rsidRPr="006D0CB2" w:rsidRDefault="00651721">
      <w:pPr>
        <w:pStyle w:val="SWCHeading11"/>
        <w:keepNext/>
      </w:pPr>
      <w:r w:rsidRPr="006D0CB2">
        <w:rPr>
          <w:lang w:val="en-US"/>
        </w:rPr>
        <w:t>2.2. Solar Simulation Method</w:t>
      </w:r>
    </w:p>
    <w:p w14:paraId="77C9A6AF" w14:textId="5D1EE48C" w:rsidR="00DA46E8" w:rsidRDefault="00651721" w:rsidP="00ED1683">
      <w:pPr>
        <w:pStyle w:val="SWCText"/>
        <w:ind w:firstLineChars="100" w:firstLine="200"/>
      </w:pPr>
      <w:r w:rsidRPr="006D0CB2">
        <w:t xml:space="preserve">The MB-BIPVS was simulated using the </w:t>
      </w:r>
      <w:proofErr w:type="spellStart"/>
      <w:r w:rsidRPr="006D0CB2">
        <w:t>SolCel</w:t>
      </w:r>
      <w:proofErr w:type="spellEnd"/>
      <w:r w:rsidRPr="006D0CB2">
        <w:t xml:space="preserve"> program, which calculates solar position, diffuse irradiance, shading, surface view factors, total solar radiation, cell temperature, and PV power output. The simulation was adapted to account for bifacial radiation exchange from walls, windows, the ground, the PV surfaces, and </w:t>
      </w:r>
      <w:r w:rsidRPr="006D0CB2">
        <w:lastRenderedPageBreak/>
        <w:t>adjacent buildings. The reflected-radiation component is determined through view-factor calculations, enabling the influence of urban surroundings on the rear side of the bifacial module to be represented.</w:t>
      </w:r>
    </w:p>
    <w:p w14:paraId="2C30EA74" w14:textId="488417EB" w:rsidR="004130F0" w:rsidRPr="009F55DF" w:rsidRDefault="009F55DF" w:rsidP="004130F0">
      <w:pPr>
        <w:pStyle w:val="MDPI31text"/>
        <w:spacing w:line="276" w:lineRule="auto"/>
        <w:ind w:left="0" w:firstLine="0"/>
        <w:jc w:val="left"/>
        <w:rPr>
          <w:rFonts w:ascii="Times New Roman" w:eastAsia="맑은 고딕" w:hAnsi="Times New Roman"/>
          <w:color w:val="auto"/>
          <w:szCs w:val="20"/>
        </w:rPr>
      </w:pPr>
      <w:r w:rsidRPr="009F55DF">
        <w:rPr>
          <w:rFonts w:ascii="Times New Roman" w:hAnsi="Times New Roman"/>
        </w:rPr>
        <w:t xml:space="preserve">Figure 4 shows the calculation structure of the </w:t>
      </w:r>
      <w:proofErr w:type="spellStart"/>
      <w:r w:rsidRPr="009F55DF">
        <w:rPr>
          <w:rFonts w:ascii="Times New Roman" w:hAnsi="Times New Roman"/>
        </w:rPr>
        <w:t>SolCel</w:t>
      </w:r>
      <w:proofErr w:type="spellEnd"/>
      <w:r w:rsidRPr="009F55DF">
        <w:rPr>
          <w:rFonts w:ascii="Times New Roman" w:hAnsi="Times New Roman"/>
        </w:rPr>
        <w:t xml:space="preserve"> simulation program.</w:t>
      </w:r>
    </w:p>
    <w:p w14:paraId="0E0C83CF" w14:textId="77777777" w:rsidR="00DA46E8" w:rsidRDefault="00651721">
      <w:pPr>
        <w:pStyle w:val="SWCText"/>
        <w:keepNext/>
        <w:spacing w:before="80" w:after="80"/>
        <w:jc w:val="center"/>
      </w:pPr>
      <w:r>
        <w:rPr>
          <w:noProof/>
        </w:rPr>
        <w:drawing>
          <wp:inline distT="0" distB="0" distL="0" distR="0" wp14:anchorId="4A0B2AAF" wp14:editId="25FF32D5">
            <wp:extent cx="3130550" cy="1007942"/>
            <wp:effectExtent l="0" t="0" r="0" b="1905"/>
            <wp:docPr id="4" name="Figure 4" descr="Figure 4. Calculation structure of the SolCel simulation program." title="Fig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7.png"/>
                    <pic:cNvPicPr/>
                  </pic:nvPicPr>
                  <pic:blipFill>
                    <a:blip r:embed="rId11"/>
                    <a:stretch>
                      <a:fillRect/>
                    </a:stretch>
                  </pic:blipFill>
                  <pic:spPr>
                    <a:xfrm>
                      <a:off x="0" y="0"/>
                      <a:ext cx="3157275" cy="1016547"/>
                    </a:xfrm>
                    <a:prstGeom prst="rect">
                      <a:avLst/>
                    </a:prstGeom>
                  </pic:spPr>
                </pic:pic>
              </a:graphicData>
            </a:graphic>
          </wp:inline>
        </w:drawing>
      </w:r>
    </w:p>
    <w:p w14:paraId="112955F9" w14:textId="77777777" w:rsidR="00DA46E8" w:rsidRPr="006D0CB2" w:rsidRDefault="00651721">
      <w:pPr>
        <w:pStyle w:val="SWCTableFigureCaption"/>
      </w:pPr>
      <w:r w:rsidRPr="006D0CB2">
        <w:t xml:space="preserve">Fig. 4: Calculation structure of the </w:t>
      </w:r>
      <w:proofErr w:type="spellStart"/>
      <w:r w:rsidRPr="006D0CB2">
        <w:t>SolCel</w:t>
      </w:r>
      <w:proofErr w:type="spellEnd"/>
      <w:r w:rsidRPr="006D0CB2">
        <w:t xml:space="preserve"> simulation program</w:t>
      </w:r>
    </w:p>
    <w:p w14:paraId="79D3E6A7" w14:textId="4A4DE5DA" w:rsidR="00DA46E8" w:rsidRDefault="00651721" w:rsidP="00ED1683">
      <w:pPr>
        <w:pStyle w:val="SWCText"/>
        <w:ind w:firstLineChars="100" w:firstLine="200"/>
      </w:pPr>
      <w:r>
        <w:t xml:space="preserve">Figure 5 illustrates the geometric variables used to calculate direct, diffuse, reflected, and obstructed </w:t>
      </w:r>
      <w:r w:rsidRPr="00875228">
        <w:rPr>
          <w:color w:val="auto"/>
        </w:rPr>
        <w:t xml:space="preserve">solar radiation (Yoo, 2019). </w:t>
      </w:r>
      <w:r>
        <w:t>The ray paths represent the principal radiation components that can reach the front and rear sides of the bifacial module. The model therefore captures both the shading function of the projection and the energy-harvesting potential of reflected radiation.</w:t>
      </w:r>
    </w:p>
    <w:p w14:paraId="4EDC4316" w14:textId="77777777" w:rsidR="00DA46E8" w:rsidRDefault="00651721">
      <w:pPr>
        <w:pStyle w:val="SWCText"/>
        <w:keepNext/>
        <w:spacing w:before="80" w:after="80"/>
        <w:jc w:val="center"/>
      </w:pPr>
      <w:r>
        <w:rPr>
          <w:noProof/>
        </w:rPr>
        <w:drawing>
          <wp:inline distT="0" distB="0" distL="0" distR="0" wp14:anchorId="79E12C75" wp14:editId="4E736AC8">
            <wp:extent cx="5303520" cy="2869767"/>
            <wp:effectExtent l="0" t="0" r="0" b="0"/>
            <wp:docPr id="5" name="Figure 5" descr="Figure 5. Geometry of shading, obstacles, and reflected solar radiation for the MB-BIPVS." title="Fig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9.png"/>
                    <pic:cNvPicPr/>
                  </pic:nvPicPr>
                  <pic:blipFill>
                    <a:blip r:embed="rId12"/>
                    <a:stretch>
                      <a:fillRect/>
                    </a:stretch>
                  </pic:blipFill>
                  <pic:spPr>
                    <a:xfrm>
                      <a:off x="0" y="0"/>
                      <a:ext cx="5303520" cy="2869767"/>
                    </a:xfrm>
                    <a:prstGeom prst="rect">
                      <a:avLst/>
                    </a:prstGeom>
                  </pic:spPr>
                </pic:pic>
              </a:graphicData>
            </a:graphic>
          </wp:inline>
        </w:drawing>
      </w:r>
    </w:p>
    <w:p w14:paraId="730680CD" w14:textId="4244D258" w:rsidR="00DA46E8" w:rsidRDefault="00651721">
      <w:pPr>
        <w:pStyle w:val="SWCTableFigureCaption"/>
      </w:pPr>
      <w:r w:rsidRPr="006D0CB2">
        <w:t>Fig. 5: Geometric representation of shading, obstacles, and reflected solar radiation for the MB-BIPVS</w:t>
      </w:r>
    </w:p>
    <w:p w14:paraId="578E0C69" w14:textId="72626DDA" w:rsidR="004130F0" w:rsidRPr="00875228" w:rsidRDefault="004130F0" w:rsidP="004130F0">
      <w:pPr>
        <w:pStyle w:val="SWCText"/>
        <w:rPr>
          <w:color w:val="auto"/>
          <w:szCs w:val="20"/>
        </w:rPr>
      </w:pPr>
      <w:r w:rsidRPr="00875228">
        <w:rPr>
          <w:color w:val="auto"/>
        </w:rPr>
        <w:t>Figure 6 shows the perspective view of the MB-BIPVS.</w:t>
      </w:r>
    </w:p>
    <w:p w14:paraId="65465DEC" w14:textId="77777777" w:rsidR="004130F0" w:rsidRPr="004130F0" w:rsidRDefault="004130F0">
      <w:pPr>
        <w:pStyle w:val="SWCTableFigureCaption"/>
      </w:pPr>
    </w:p>
    <w:p w14:paraId="5B882232" w14:textId="77777777" w:rsidR="00DA46E8" w:rsidRDefault="00A77A72">
      <w:pPr>
        <w:pStyle w:val="SWCText"/>
        <w:keepNext/>
        <w:spacing w:before="80" w:after="80"/>
        <w:jc w:val="center"/>
      </w:pPr>
      <w:r w:rsidRPr="006A0A3A">
        <w:rPr>
          <w:noProof/>
          <w:lang w:eastAsia="ko-KR"/>
        </w:rPr>
        <w:lastRenderedPageBreak/>
        <w:drawing>
          <wp:inline distT="0" distB="0" distL="0" distR="0" wp14:anchorId="3CD4523F" wp14:editId="386421B0">
            <wp:extent cx="2286186" cy="3852862"/>
            <wp:effectExtent l="0" t="0" r="635" b="0"/>
            <wp:docPr id="13" name="Figure 6" descr="Figure 6. Perspective view of the MB-BIPVS apartment facade." title="Fig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2286186" cy="3852862"/>
                    </a:xfrm>
                    <a:prstGeom prst="rect">
                      <a:avLst/>
                    </a:prstGeom>
                  </pic:spPr>
                </pic:pic>
              </a:graphicData>
            </a:graphic>
          </wp:inline>
        </w:drawing>
      </w:r>
    </w:p>
    <w:p w14:paraId="1094BD65" w14:textId="2C5D36C3" w:rsidR="00DA46E8" w:rsidRDefault="00651721">
      <w:pPr>
        <w:pStyle w:val="SWCTableFigureCaption"/>
      </w:pPr>
      <w:r w:rsidRPr="006D0CB2">
        <w:t>Fig. 6: Perspective view of the MB-BIPVS</w:t>
      </w:r>
    </w:p>
    <w:p w14:paraId="0F0AAB83" w14:textId="169DB88A" w:rsidR="004130F0" w:rsidRPr="00875228" w:rsidDel="00A77A72" w:rsidRDefault="004130F0" w:rsidP="004130F0">
      <w:pPr>
        <w:pStyle w:val="SWCText"/>
        <w:rPr>
          <w:bCs/>
          <w:color w:val="auto"/>
        </w:rPr>
      </w:pPr>
      <w:r>
        <w:t xml:space="preserve">Table 1 summarizes </w:t>
      </w:r>
      <w:r w:rsidRPr="00875228">
        <w:rPr>
          <w:color w:val="auto"/>
        </w:rPr>
        <w:t>the principal input variables used in the target apartment simulations.</w:t>
      </w:r>
    </w:p>
    <w:p w14:paraId="35328E61" w14:textId="77777777" w:rsidR="00DA46E8" w:rsidRPr="00DA3BA4" w:rsidRDefault="00651721">
      <w:pPr>
        <w:pStyle w:val="SWCTableFigureCaption"/>
        <w:keepNext/>
      </w:pPr>
      <w:r w:rsidRPr="00DA3BA4">
        <w:t>Tab. 1: Principal simulation inputs for the target apartment</w:t>
      </w:r>
    </w:p>
    <w:tbl>
      <w:tblPr>
        <w:tblStyle w:val="a9"/>
        <w:tblW w:w="8645" w:type="dxa"/>
        <w:jc w:val="center"/>
        <w:tblLayout w:type="fixed"/>
        <w:tblLook w:val="04A0" w:firstRow="1" w:lastRow="0" w:firstColumn="1" w:lastColumn="0" w:noHBand="0" w:noVBand="1"/>
      </w:tblPr>
      <w:tblGrid>
        <w:gridCol w:w="2594"/>
        <w:gridCol w:w="3088"/>
        <w:gridCol w:w="2963"/>
      </w:tblGrid>
      <w:tr w:rsidR="00DA46E8" w14:paraId="242335B6" w14:textId="77777777">
        <w:trPr>
          <w:tblHeader/>
          <w:jc w:val="center"/>
        </w:trPr>
        <w:tc>
          <w:tcPr>
            <w:tcW w:w="2594" w:type="dxa"/>
            <w:shd w:val="clear" w:color="auto" w:fill="D9EAF7"/>
            <w:tcMar>
              <w:top w:w="80" w:type="dxa"/>
              <w:left w:w="120" w:type="dxa"/>
              <w:bottom w:w="80" w:type="dxa"/>
              <w:right w:w="120" w:type="dxa"/>
            </w:tcMar>
            <w:vAlign w:val="center"/>
          </w:tcPr>
          <w:p w14:paraId="6F8CEC0A" w14:textId="77777777" w:rsidR="00DA46E8" w:rsidRDefault="00651721">
            <w:pPr>
              <w:pStyle w:val="SWCTableHeader"/>
            </w:pPr>
            <w:r>
              <w:t>Parameter</w:t>
            </w:r>
          </w:p>
        </w:tc>
        <w:tc>
          <w:tcPr>
            <w:tcW w:w="3088" w:type="dxa"/>
            <w:shd w:val="clear" w:color="auto" w:fill="D9EAF7"/>
            <w:tcMar>
              <w:top w:w="80" w:type="dxa"/>
              <w:left w:w="120" w:type="dxa"/>
              <w:bottom w:w="80" w:type="dxa"/>
              <w:right w:w="120" w:type="dxa"/>
            </w:tcMar>
            <w:vAlign w:val="center"/>
          </w:tcPr>
          <w:p w14:paraId="0C481C72" w14:textId="77777777" w:rsidR="00DA46E8" w:rsidRDefault="00651721">
            <w:pPr>
              <w:pStyle w:val="SWCTableHeader"/>
            </w:pPr>
            <w:r>
              <w:t>Value</w:t>
            </w:r>
          </w:p>
        </w:tc>
        <w:tc>
          <w:tcPr>
            <w:tcW w:w="2963" w:type="dxa"/>
            <w:shd w:val="clear" w:color="auto" w:fill="D9EAF7"/>
            <w:tcMar>
              <w:top w:w="80" w:type="dxa"/>
              <w:left w:w="120" w:type="dxa"/>
              <w:bottom w:w="80" w:type="dxa"/>
              <w:right w:w="120" w:type="dxa"/>
            </w:tcMar>
            <w:vAlign w:val="center"/>
          </w:tcPr>
          <w:p w14:paraId="4577E89A" w14:textId="77777777" w:rsidR="00DA46E8" w:rsidRDefault="00651721">
            <w:pPr>
              <w:pStyle w:val="SWCTableHeader"/>
            </w:pPr>
            <w:r>
              <w:t>Remarks</w:t>
            </w:r>
          </w:p>
        </w:tc>
      </w:tr>
      <w:tr w:rsidR="00DA46E8" w14:paraId="3AB63F6D" w14:textId="77777777">
        <w:trPr>
          <w:jc w:val="center"/>
        </w:trPr>
        <w:tc>
          <w:tcPr>
            <w:tcW w:w="2594" w:type="dxa"/>
            <w:tcMar>
              <w:top w:w="80" w:type="dxa"/>
              <w:left w:w="120" w:type="dxa"/>
              <w:bottom w:w="80" w:type="dxa"/>
              <w:right w:w="120" w:type="dxa"/>
            </w:tcMar>
            <w:vAlign w:val="center"/>
          </w:tcPr>
          <w:p w14:paraId="75D051D1" w14:textId="77777777" w:rsidR="00DA46E8" w:rsidRDefault="00651721">
            <w:pPr>
              <w:pStyle w:val="SWCTableText"/>
            </w:pPr>
            <w:r>
              <w:t>Building latitude</w:t>
            </w:r>
          </w:p>
        </w:tc>
        <w:tc>
          <w:tcPr>
            <w:tcW w:w="3088" w:type="dxa"/>
            <w:tcMar>
              <w:top w:w="80" w:type="dxa"/>
              <w:left w:w="120" w:type="dxa"/>
              <w:bottom w:w="80" w:type="dxa"/>
              <w:right w:w="120" w:type="dxa"/>
            </w:tcMar>
            <w:vAlign w:val="center"/>
          </w:tcPr>
          <w:p w14:paraId="53DFC2CC" w14:textId="77777777" w:rsidR="00DA46E8" w:rsidRPr="006D0CB2" w:rsidRDefault="00651721">
            <w:pPr>
              <w:pStyle w:val="SWCTableText"/>
            </w:pPr>
            <w:r w:rsidRPr="006D0CB2">
              <w:rPr>
                <w:lang w:val="en-US"/>
              </w:rPr>
              <w:t>37.5°N (comparison: 34.0°N)</w:t>
            </w:r>
          </w:p>
        </w:tc>
        <w:tc>
          <w:tcPr>
            <w:tcW w:w="2963" w:type="dxa"/>
            <w:tcMar>
              <w:top w:w="80" w:type="dxa"/>
              <w:left w:w="120" w:type="dxa"/>
              <w:bottom w:w="80" w:type="dxa"/>
              <w:right w:w="120" w:type="dxa"/>
            </w:tcMar>
            <w:vAlign w:val="center"/>
          </w:tcPr>
          <w:p w14:paraId="4A410053" w14:textId="77777777" w:rsidR="00DA46E8" w:rsidRDefault="00651721">
            <w:pPr>
              <w:pStyle w:val="SWCTableText"/>
            </w:pPr>
            <w:r>
              <w:t>Seoul-region base case</w:t>
            </w:r>
          </w:p>
        </w:tc>
      </w:tr>
      <w:tr w:rsidR="00DA46E8" w14:paraId="4F154A1C" w14:textId="77777777">
        <w:trPr>
          <w:jc w:val="center"/>
        </w:trPr>
        <w:tc>
          <w:tcPr>
            <w:tcW w:w="2594" w:type="dxa"/>
            <w:tcMar>
              <w:top w:w="80" w:type="dxa"/>
              <w:left w:w="120" w:type="dxa"/>
              <w:bottom w:w="80" w:type="dxa"/>
              <w:right w:w="120" w:type="dxa"/>
            </w:tcMar>
            <w:vAlign w:val="center"/>
          </w:tcPr>
          <w:p w14:paraId="7CAC192D" w14:textId="77777777" w:rsidR="00DA46E8" w:rsidRDefault="00651721">
            <w:pPr>
              <w:pStyle w:val="SWCTableText"/>
            </w:pPr>
            <w:r>
              <w:t>Facade azimuth</w:t>
            </w:r>
          </w:p>
        </w:tc>
        <w:tc>
          <w:tcPr>
            <w:tcW w:w="3088" w:type="dxa"/>
            <w:tcMar>
              <w:top w:w="80" w:type="dxa"/>
              <w:left w:w="120" w:type="dxa"/>
              <w:bottom w:w="80" w:type="dxa"/>
              <w:right w:w="120" w:type="dxa"/>
            </w:tcMar>
            <w:vAlign w:val="center"/>
          </w:tcPr>
          <w:p w14:paraId="714ED8B8" w14:textId="77777777" w:rsidR="00DA46E8" w:rsidRDefault="00651721">
            <w:pPr>
              <w:pStyle w:val="SWCTableText"/>
            </w:pPr>
            <w:r>
              <w:t>180°</w:t>
            </w:r>
          </w:p>
        </w:tc>
        <w:tc>
          <w:tcPr>
            <w:tcW w:w="2963" w:type="dxa"/>
            <w:tcMar>
              <w:top w:w="80" w:type="dxa"/>
              <w:left w:w="120" w:type="dxa"/>
              <w:bottom w:w="80" w:type="dxa"/>
              <w:right w:w="120" w:type="dxa"/>
            </w:tcMar>
            <w:vAlign w:val="center"/>
          </w:tcPr>
          <w:p w14:paraId="78DCF0F8" w14:textId="77777777" w:rsidR="00DA46E8" w:rsidRDefault="00651721">
            <w:pPr>
              <w:pStyle w:val="SWCTableText"/>
            </w:pPr>
            <w:r>
              <w:t>South-facing</w:t>
            </w:r>
          </w:p>
        </w:tc>
      </w:tr>
      <w:tr w:rsidR="00DA46E8" w14:paraId="4333F2FD" w14:textId="77777777">
        <w:trPr>
          <w:jc w:val="center"/>
        </w:trPr>
        <w:tc>
          <w:tcPr>
            <w:tcW w:w="2594" w:type="dxa"/>
            <w:tcMar>
              <w:top w:w="80" w:type="dxa"/>
              <w:left w:w="120" w:type="dxa"/>
              <w:bottom w:w="80" w:type="dxa"/>
              <w:right w:w="120" w:type="dxa"/>
            </w:tcMar>
            <w:vAlign w:val="center"/>
          </w:tcPr>
          <w:p w14:paraId="7EC90349" w14:textId="77777777" w:rsidR="00DA46E8" w:rsidRDefault="00651721">
            <w:pPr>
              <w:pStyle w:val="SWCTableText"/>
            </w:pPr>
            <w:r>
              <w:t>Adjacent-building height</w:t>
            </w:r>
          </w:p>
        </w:tc>
        <w:tc>
          <w:tcPr>
            <w:tcW w:w="3088" w:type="dxa"/>
            <w:tcMar>
              <w:top w:w="80" w:type="dxa"/>
              <w:left w:w="120" w:type="dxa"/>
              <w:bottom w:w="80" w:type="dxa"/>
              <w:right w:w="120" w:type="dxa"/>
            </w:tcMar>
            <w:vAlign w:val="center"/>
          </w:tcPr>
          <w:p w14:paraId="0090160A" w14:textId="77777777" w:rsidR="00DA46E8" w:rsidRDefault="00651721">
            <w:pPr>
              <w:pStyle w:val="SWCTableText"/>
            </w:pPr>
            <w:r>
              <w:t>63 m</w:t>
            </w:r>
          </w:p>
        </w:tc>
        <w:tc>
          <w:tcPr>
            <w:tcW w:w="2963" w:type="dxa"/>
            <w:tcMar>
              <w:top w:w="80" w:type="dxa"/>
              <w:left w:w="120" w:type="dxa"/>
              <w:bottom w:w="80" w:type="dxa"/>
              <w:right w:w="120" w:type="dxa"/>
            </w:tcMar>
            <w:vAlign w:val="center"/>
          </w:tcPr>
          <w:p w14:paraId="32AA1D54" w14:textId="77777777" w:rsidR="00DA46E8" w:rsidRDefault="00651721">
            <w:pPr>
              <w:pStyle w:val="SWCTableText"/>
            </w:pPr>
            <w:r>
              <w:t>Obstacle apartment A</w:t>
            </w:r>
          </w:p>
        </w:tc>
      </w:tr>
      <w:tr w:rsidR="00DA46E8" w14:paraId="05F448B3" w14:textId="77777777">
        <w:trPr>
          <w:jc w:val="center"/>
        </w:trPr>
        <w:tc>
          <w:tcPr>
            <w:tcW w:w="2594" w:type="dxa"/>
            <w:tcMar>
              <w:top w:w="80" w:type="dxa"/>
              <w:left w:w="120" w:type="dxa"/>
              <w:bottom w:w="80" w:type="dxa"/>
              <w:right w:w="120" w:type="dxa"/>
            </w:tcMar>
            <w:vAlign w:val="center"/>
          </w:tcPr>
          <w:p w14:paraId="3AFDA03A" w14:textId="77777777" w:rsidR="00DA46E8" w:rsidRDefault="00651721">
            <w:pPr>
              <w:pStyle w:val="SWCTableText"/>
            </w:pPr>
            <w:r>
              <w:t>Distance between buildings</w:t>
            </w:r>
          </w:p>
        </w:tc>
        <w:tc>
          <w:tcPr>
            <w:tcW w:w="3088" w:type="dxa"/>
            <w:tcMar>
              <w:top w:w="80" w:type="dxa"/>
              <w:left w:w="120" w:type="dxa"/>
              <w:bottom w:w="80" w:type="dxa"/>
              <w:right w:w="120" w:type="dxa"/>
            </w:tcMar>
            <w:vAlign w:val="center"/>
          </w:tcPr>
          <w:p w14:paraId="2EF897CE" w14:textId="77777777" w:rsidR="00DA46E8" w:rsidRDefault="00651721">
            <w:pPr>
              <w:pStyle w:val="SWCTableText"/>
            </w:pPr>
            <w:r>
              <w:t>40 m</w:t>
            </w:r>
          </w:p>
        </w:tc>
        <w:tc>
          <w:tcPr>
            <w:tcW w:w="2963" w:type="dxa"/>
            <w:tcMar>
              <w:top w:w="80" w:type="dxa"/>
              <w:left w:w="120" w:type="dxa"/>
              <w:bottom w:w="80" w:type="dxa"/>
              <w:right w:w="120" w:type="dxa"/>
            </w:tcMar>
            <w:vAlign w:val="center"/>
          </w:tcPr>
          <w:p w14:paraId="11E47F4C" w14:textId="77777777" w:rsidR="00DA46E8" w:rsidRDefault="00651721">
            <w:pPr>
              <w:pStyle w:val="SWCTableText"/>
            </w:pPr>
            <w:r>
              <w:t>Right-angle distance</w:t>
            </w:r>
          </w:p>
        </w:tc>
      </w:tr>
      <w:tr w:rsidR="00DA46E8" w14:paraId="2A5AA19D" w14:textId="77777777">
        <w:trPr>
          <w:jc w:val="center"/>
        </w:trPr>
        <w:tc>
          <w:tcPr>
            <w:tcW w:w="2594" w:type="dxa"/>
            <w:tcMar>
              <w:top w:w="80" w:type="dxa"/>
              <w:left w:w="120" w:type="dxa"/>
              <w:bottom w:w="80" w:type="dxa"/>
              <w:right w:w="120" w:type="dxa"/>
            </w:tcMar>
            <w:vAlign w:val="center"/>
          </w:tcPr>
          <w:p w14:paraId="0795B673" w14:textId="77777777" w:rsidR="00DA46E8" w:rsidRDefault="00651721">
            <w:pPr>
              <w:pStyle w:val="SWCTableText"/>
            </w:pPr>
            <w:r>
              <w:t>PV module angle</w:t>
            </w:r>
          </w:p>
        </w:tc>
        <w:tc>
          <w:tcPr>
            <w:tcW w:w="3088" w:type="dxa"/>
            <w:tcMar>
              <w:top w:w="80" w:type="dxa"/>
              <w:left w:w="120" w:type="dxa"/>
              <w:bottom w:w="80" w:type="dxa"/>
              <w:right w:w="120" w:type="dxa"/>
            </w:tcMar>
            <w:vAlign w:val="center"/>
          </w:tcPr>
          <w:p w14:paraId="15850ED4" w14:textId="77777777" w:rsidR="00DA46E8" w:rsidRDefault="00651721">
            <w:pPr>
              <w:pStyle w:val="SWCTableText"/>
            </w:pPr>
            <w:r>
              <w:t>23.5°</w:t>
            </w:r>
          </w:p>
        </w:tc>
        <w:tc>
          <w:tcPr>
            <w:tcW w:w="2963" w:type="dxa"/>
            <w:tcMar>
              <w:top w:w="80" w:type="dxa"/>
              <w:left w:w="120" w:type="dxa"/>
              <w:bottom w:w="80" w:type="dxa"/>
              <w:right w:w="120" w:type="dxa"/>
            </w:tcMar>
            <w:vAlign w:val="center"/>
          </w:tcPr>
          <w:p w14:paraId="2C96A592" w14:textId="77777777" w:rsidR="00DA46E8" w:rsidRDefault="00651721">
            <w:pPr>
              <w:pStyle w:val="SWCTableText"/>
            </w:pPr>
            <w:r>
              <w:t>Relative to horizontal</w:t>
            </w:r>
          </w:p>
        </w:tc>
      </w:tr>
      <w:tr w:rsidR="00DA46E8" w14:paraId="280EE6D7" w14:textId="77777777">
        <w:trPr>
          <w:jc w:val="center"/>
        </w:trPr>
        <w:tc>
          <w:tcPr>
            <w:tcW w:w="2594" w:type="dxa"/>
            <w:tcMar>
              <w:top w:w="80" w:type="dxa"/>
              <w:left w:w="120" w:type="dxa"/>
              <w:bottom w:w="80" w:type="dxa"/>
              <w:right w:w="120" w:type="dxa"/>
            </w:tcMar>
            <w:vAlign w:val="center"/>
          </w:tcPr>
          <w:p w14:paraId="71F6DA20" w14:textId="77777777" w:rsidR="00DA46E8" w:rsidRDefault="00651721">
            <w:pPr>
              <w:pStyle w:val="SWCTableText"/>
            </w:pPr>
            <w:r>
              <w:t>Cell type</w:t>
            </w:r>
          </w:p>
        </w:tc>
        <w:tc>
          <w:tcPr>
            <w:tcW w:w="3088" w:type="dxa"/>
            <w:tcMar>
              <w:top w:w="80" w:type="dxa"/>
              <w:left w:w="120" w:type="dxa"/>
              <w:bottom w:w="80" w:type="dxa"/>
              <w:right w:w="120" w:type="dxa"/>
            </w:tcMar>
            <w:vAlign w:val="center"/>
          </w:tcPr>
          <w:p w14:paraId="261AF284" w14:textId="77777777" w:rsidR="00DA46E8" w:rsidRDefault="00651721">
            <w:pPr>
              <w:pStyle w:val="SWCTableText"/>
            </w:pPr>
            <w:r>
              <w:t>Monocrystalline</w:t>
            </w:r>
          </w:p>
        </w:tc>
        <w:tc>
          <w:tcPr>
            <w:tcW w:w="2963" w:type="dxa"/>
            <w:tcMar>
              <w:top w:w="80" w:type="dxa"/>
              <w:left w:w="120" w:type="dxa"/>
              <w:bottom w:w="80" w:type="dxa"/>
              <w:right w:w="120" w:type="dxa"/>
            </w:tcMar>
            <w:vAlign w:val="center"/>
          </w:tcPr>
          <w:p w14:paraId="72D67337" w14:textId="77777777" w:rsidR="00DA46E8" w:rsidRDefault="00651721">
            <w:pPr>
              <w:pStyle w:val="SWCTableText"/>
            </w:pPr>
            <w:r>
              <w:t>Bifacial module</w:t>
            </w:r>
          </w:p>
        </w:tc>
      </w:tr>
      <w:tr w:rsidR="00DA46E8" w14:paraId="0F315B09" w14:textId="77777777">
        <w:trPr>
          <w:jc w:val="center"/>
        </w:trPr>
        <w:tc>
          <w:tcPr>
            <w:tcW w:w="2594" w:type="dxa"/>
            <w:tcMar>
              <w:top w:w="80" w:type="dxa"/>
              <w:left w:w="120" w:type="dxa"/>
              <w:bottom w:w="80" w:type="dxa"/>
              <w:right w:w="120" w:type="dxa"/>
            </w:tcMar>
            <w:vAlign w:val="center"/>
          </w:tcPr>
          <w:p w14:paraId="5EBA8245" w14:textId="77777777" w:rsidR="00DA46E8" w:rsidRDefault="00651721">
            <w:pPr>
              <w:pStyle w:val="SWCTableText"/>
            </w:pPr>
            <w:r>
              <w:t>Nominal module efficiency</w:t>
            </w:r>
          </w:p>
        </w:tc>
        <w:tc>
          <w:tcPr>
            <w:tcW w:w="3088" w:type="dxa"/>
            <w:tcMar>
              <w:top w:w="80" w:type="dxa"/>
              <w:left w:w="120" w:type="dxa"/>
              <w:bottom w:w="80" w:type="dxa"/>
              <w:right w:w="120" w:type="dxa"/>
            </w:tcMar>
            <w:vAlign w:val="center"/>
          </w:tcPr>
          <w:p w14:paraId="34248BCD" w14:textId="77777777" w:rsidR="00DA46E8" w:rsidRDefault="00651721">
            <w:pPr>
              <w:pStyle w:val="SWCTableText"/>
            </w:pPr>
            <w:r>
              <w:t>16.44%</w:t>
            </w:r>
          </w:p>
        </w:tc>
        <w:tc>
          <w:tcPr>
            <w:tcW w:w="2963" w:type="dxa"/>
            <w:tcMar>
              <w:top w:w="80" w:type="dxa"/>
              <w:left w:w="120" w:type="dxa"/>
              <w:bottom w:w="80" w:type="dxa"/>
              <w:right w:w="120" w:type="dxa"/>
            </w:tcMar>
            <w:vAlign w:val="center"/>
          </w:tcPr>
          <w:p w14:paraId="7913FF2D" w14:textId="77777777" w:rsidR="00DA46E8" w:rsidRDefault="00651721">
            <w:pPr>
              <w:pStyle w:val="SWCTableText"/>
            </w:pPr>
            <w:r>
              <w:t>Reference input</w:t>
            </w:r>
          </w:p>
        </w:tc>
      </w:tr>
      <w:tr w:rsidR="00DA46E8" w14:paraId="55613C73" w14:textId="77777777">
        <w:trPr>
          <w:jc w:val="center"/>
        </w:trPr>
        <w:tc>
          <w:tcPr>
            <w:tcW w:w="2594" w:type="dxa"/>
            <w:tcMar>
              <w:top w:w="80" w:type="dxa"/>
              <w:left w:w="120" w:type="dxa"/>
              <w:bottom w:w="80" w:type="dxa"/>
              <w:right w:w="120" w:type="dxa"/>
            </w:tcMar>
            <w:vAlign w:val="center"/>
          </w:tcPr>
          <w:p w14:paraId="737E1B25" w14:textId="77777777" w:rsidR="00DA46E8" w:rsidRDefault="00651721">
            <w:pPr>
              <w:pStyle w:val="SWCTableText"/>
            </w:pPr>
            <w:r>
              <w:t>Module size</w:t>
            </w:r>
          </w:p>
        </w:tc>
        <w:tc>
          <w:tcPr>
            <w:tcW w:w="3088" w:type="dxa"/>
            <w:tcMar>
              <w:top w:w="80" w:type="dxa"/>
              <w:left w:w="120" w:type="dxa"/>
              <w:bottom w:w="80" w:type="dxa"/>
              <w:right w:w="120" w:type="dxa"/>
            </w:tcMar>
            <w:vAlign w:val="center"/>
          </w:tcPr>
          <w:p w14:paraId="47E44118" w14:textId="77777777" w:rsidR="00DA46E8" w:rsidRDefault="00651721">
            <w:pPr>
              <w:pStyle w:val="SWCTableText"/>
            </w:pPr>
            <w:r>
              <w:t>1643 × 981 × 40 mm</w:t>
            </w:r>
          </w:p>
        </w:tc>
        <w:tc>
          <w:tcPr>
            <w:tcW w:w="2963" w:type="dxa"/>
            <w:tcMar>
              <w:top w:w="80" w:type="dxa"/>
              <w:left w:w="120" w:type="dxa"/>
              <w:bottom w:w="80" w:type="dxa"/>
              <w:right w:w="120" w:type="dxa"/>
            </w:tcMar>
            <w:vAlign w:val="center"/>
          </w:tcPr>
          <w:p w14:paraId="1AA209DE" w14:textId="77777777" w:rsidR="00DA46E8" w:rsidRDefault="00651721">
            <w:pPr>
              <w:pStyle w:val="SWCTableText"/>
            </w:pPr>
            <w:r>
              <w:t>Unit area ≈ 1.6 m²</w:t>
            </w:r>
          </w:p>
        </w:tc>
      </w:tr>
      <w:tr w:rsidR="00DA46E8" w14:paraId="6CA78380" w14:textId="77777777">
        <w:trPr>
          <w:jc w:val="center"/>
        </w:trPr>
        <w:tc>
          <w:tcPr>
            <w:tcW w:w="2594" w:type="dxa"/>
            <w:tcMar>
              <w:top w:w="80" w:type="dxa"/>
              <w:left w:w="120" w:type="dxa"/>
              <w:bottom w:w="80" w:type="dxa"/>
              <w:right w:w="120" w:type="dxa"/>
            </w:tcMar>
            <w:vAlign w:val="center"/>
          </w:tcPr>
          <w:p w14:paraId="0E58E777" w14:textId="77777777" w:rsidR="00DA46E8" w:rsidRDefault="00651721">
            <w:pPr>
              <w:pStyle w:val="SWCTableText"/>
            </w:pPr>
            <w:r>
              <w:t>Module projection width</w:t>
            </w:r>
          </w:p>
        </w:tc>
        <w:tc>
          <w:tcPr>
            <w:tcW w:w="3088" w:type="dxa"/>
            <w:tcMar>
              <w:top w:w="80" w:type="dxa"/>
              <w:left w:w="120" w:type="dxa"/>
              <w:bottom w:w="80" w:type="dxa"/>
              <w:right w:w="120" w:type="dxa"/>
            </w:tcMar>
            <w:vAlign w:val="center"/>
          </w:tcPr>
          <w:p w14:paraId="03B471FD" w14:textId="77777777" w:rsidR="00DA46E8" w:rsidRDefault="00651721">
            <w:pPr>
              <w:pStyle w:val="SWCTableText"/>
            </w:pPr>
            <w:r>
              <w:t>0.8, 1.0, 1.2, 1.4 m</w:t>
            </w:r>
          </w:p>
        </w:tc>
        <w:tc>
          <w:tcPr>
            <w:tcW w:w="2963" w:type="dxa"/>
            <w:tcMar>
              <w:top w:w="80" w:type="dxa"/>
              <w:left w:w="120" w:type="dxa"/>
              <w:bottom w:w="80" w:type="dxa"/>
              <w:right w:w="120" w:type="dxa"/>
            </w:tcMar>
            <w:vAlign w:val="center"/>
          </w:tcPr>
          <w:p w14:paraId="3C859B67" w14:textId="77777777" w:rsidR="00DA46E8" w:rsidRDefault="00651721">
            <w:pPr>
              <w:pStyle w:val="SWCTableText"/>
            </w:pPr>
            <w:r>
              <w:t>Sensitivity analysis</w:t>
            </w:r>
          </w:p>
        </w:tc>
      </w:tr>
      <w:tr w:rsidR="00DA46E8" w14:paraId="5EEA6B34" w14:textId="77777777">
        <w:trPr>
          <w:jc w:val="center"/>
        </w:trPr>
        <w:tc>
          <w:tcPr>
            <w:tcW w:w="2594" w:type="dxa"/>
            <w:tcMar>
              <w:top w:w="80" w:type="dxa"/>
              <w:left w:w="120" w:type="dxa"/>
              <w:bottom w:w="80" w:type="dxa"/>
              <w:right w:w="120" w:type="dxa"/>
            </w:tcMar>
            <w:vAlign w:val="center"/>
          </w:tcPr>
          <w:p w14:paraId="716CB178" w14:textId="77777777" w:rsidR="00DA46E8" w:rsidRDefault="00651721">
            <w:pPr>
              <w:pStyle w:val="SWCTableText"/>
            </w:pPr>
            <w:r>
              <w:t>Cell ratio</w:t>
            </w:r>
          </w:p>
        </w:tc>
        <w:tc>
          <w:tcPr>
            <w:tcW w:w="3088" w:type="dxa"/>
            <w:tcMar>
              <w:top w:w="80" w:type="dxa"/>
              <w:left w:w="120" w:type="dxa"/>
              <w:bottom w:w="80" w:type="dxa"/>
              <w:right w:w="120" w:type="dxa"/>
            </w:tcMar>
            <w:vAlign w:val="center"/>
          </w:tcPr>
          <w:p w14:paraId="71E13F0D" w14:textId="77777777" w:rsidR="00DA46E8" w:rsidRDefault="00651721">
            <w:pPr>
              <w:pStyle w:val="SWCTableText"/>
            </w:pPr>
            <w:r>
              <w:t>0.85, 0.75, 0.60</w:t>
            </w:r>
          </w:p>
        </w:tc>
        <w:tc>
          <w:tcPr>
            <w:tcW w:w="2963" w:type="dxa"/>
            <w:tcMar>
              <w:top w:w="80" w:type="dxa"/>
              <w:left w:w="120" w:type="dxa"/>
              <w:bottom w:w="80" w:type="dxa"/>
              <w:right w:w="120" w:type="dxa"/>
            </w:tcMar>
            <w:vAlign w:val="center"/>
          </w:tcPr>
          <w:p w14:paraId="693CDCAB" w14:textId="77777777" w:rsidR="00DA46E8" w:rsidRDefault="00651721">
            <w:pPr>
              <w:pStyle w:val="SWCTableText"/>
            </w:pPr>
            <w:r>
              <w:t>Sensitivity analysis</w:t>
            </w:r>
          </w:p>
        </w:tc>
      </w:tr>
      <w:tr w:rsidR="00DA46E8" w14:paraId="06726A84" w14:textId="77777777">
        <w:trPr>
          <w:jc w:val="center"/>
        </w:trPr>
        <w:tc>
          <w:tcPr>
            <w:tcW w:w="2594" w:type="dxa"/>
            <w:tcMar>
              <w:top w:w="80" w:type="dxa"/>
              <w:left w:w="120" w:type="dxa"/>
              <w:bottom w:w="80" w:type="dxa"/>
              <w:right w:w="120" w:type="dxa"/>
            </w:tcMar>
            <w:vAlign w:val="center"/>
          </w:tcPr>
          <w:p w14:paraId="621F96FC" w14:textId="77777777" w:rsidR="00DA46E8" w:rsidRDefault="00651721">
            <w:pPr>
              <w:pStyle w:val="SWCTableText"/>
            </w:pPr>
            <w:r>
              <w:t>Ground albedo</w:t>
            </w:r>
          </w:p>
        </w:tc>
        <w:tc>
          <w:tcPr>
            <w:tcW w:w="3088" w:type="dxa"/>
            <w:tcMar>
              <w:top w:w="80" w:type="dxa"/>
              <w:left w:w="120" w:type="dxa"/>
              <w:bottom w:w="80" w:type="dxa"/>
              <w:right w:w="120" w:type="dxa"/>
            </w:tcMar>
            <w:vAlign w:val="center"/>
          </w:tcPr>
          <w:p w14:paraId="70F02D5E" w14:textId="77777777" w:rsidR="00DA46E8" w:rsidRDefault="00651721">
            <w:pPr>
              <w:pStyle w:val="SWCTableText"/>
            </w:pPr>
            <w:r>
              <w:t>0.2/0.3 and 0.3/0.4</w:t>
            </w:r>
          </w:p>
        </w:tc>
        <w:tc>
          <w:tcPr>
            <w:tcW w:w="2963" w:type="dxa"/>
            <w:tcMar>
              <w:top w:w="80" w:type="dxa"/>
              <w:left w:w="120" w:type="dxa"/>
              <w:bottom w:w="80" w:type="dxa"/>
              <w:right w:w="120" w:type="dxa"/>
            </w:tcMar>
            <w:vAlign w:val="center"/>
          </w:tcPr>
          <w:p w14:paraId="49095799" w14:textId="77777777" w:rsidR="00DA46E8" w:rsidRDefault="00651721">
            <w:pPr>
              <w:pStyle w:val="SWCTableText"/>
            </w:pPr>
            <w:r>
              <w:t>Summer/Winter cases</w:t>
            </w:r>
          </w:p>
        </w:tc>
      </w:tr>
      <w:tr w:rsidR="00DA46E8" w14:paraId="58ADD897" w14:textId="77777777">
        <w:trPr>
          <w:jc w:val="center"/>
        </w:trPr>
        <w:tc>
          <w:tcPr>
            <w:tcW w:w="2594" w:type="dxa"/>
            <w:tcMar>
              <w:top w:w="80" w:type="dxa"/>
              <w:left w:w="120" w:type="dxa"/>
              <w:bottom w:w="80" w:type="dxa"/>
              <w:right w:w="120" w:type="dxa"/>
            </w:tcMar>
            <w:vAlign w:val="center"/>
          </w:tcPr>
          <w:p w14:paraId="6E6D0CF0" w14:textId="77777777" w:rsidR="00DA46E8" w:rsidRDefault="00651721">
            <w:pPr>
              <w:pStyle w:val="SWCTableText"/>
            </w:pPr>
            <w:r>
              <w:t>Wall / window reflectance</w:t>
            </w:r>
          </w:p>
        </w:tc>
        <w:tc>
          <w:tcPr>
            <w:tcW w:w="3088" w:type="dxa"/>
            <w:tcMar>
              <w:top w:w="80" w:type="dxa"/>
              <w:left w:w="120" w:type="dxa"/>
              <w:bottom w:w="80" w:type="dxa"/>
              <w:right w:w="120" w:type="dxa"/>
            </w:tcMar>
            <w:vAlign w:val="center"/>
          </w:tcPr>
          <w:p w14:paraId="68963BDC" w14:textId="77777777" w:rsidR="00DA46E8" w:rsidRDefault="00651721">
            <w:pPr>
              <w:pStyle w:val="SWCTableText"/>
            </w:pPr>
            <w:r>
              <w:t>0.4 / 0.2</w:t>
            </w:r>
          </w:p>
        </w:tc>
        <w:tc>
          <w:tcPr>
            <w:tcW w:w="2963" w:type="dxa"/>
            <w:tcMar>
              <w:top w:w="80" w:type="dxa"/>
              <w:left w:w="120" w:type="dxa"/>
              <w:bottom w:w="80" w:type="dxa"/>
              <w:right w:w="120" w:type="dxa"/>
            </w:tcMar>
            <w:vAlign w:val="center"/>
          </w:tcPr>
          <w:p w14:paraId="66835DAE" w14:textId="77777777" w:rsidR="00DA46E8" w:rsidRDefault="00651721">
            <w:pPr>
              <w:pStyle w:val="SWCTableText"/>
            </w:pPr>
            <w:r>
              <w:t>Base case</w:t>
            </w:r>
          </w:p>
        </w:tc>
      </w:tr>
    </w:tbl>
    <w:p w14:paraId="205B06C7" w14:textId="77777777" w:rsidR="00DA46E8" w:rsidRPr="006D0CB2" w:rsidRDefault="00651721">
      <w:pPr>
        <w:pStyle w:val="SWCText"/>
      </w:pPr>
      <w:r w:rsidRPr="006D0CB2">
        <w:lastRenderedPageBreak/>
        <w:t>Annual system performance is summarized using the system usage rate (SUR), defined as:</w:t>
      </w:r>
    </w:p>
    <w:p w14:paraId="5F1FC5AD" w14:textId="6F4934AD" w:rsidR="00DA46E8" w:rsidRPr="00875228" w:rsidRDefault="00651721">
      <w:pPr>
        <w:pStyle w:val="SWCText"/>
        <w:jc w:val="left"/>
        <w:rPr>
          <w:color w:val="auto"/>
        </w:rPr>
      </w:pPr>
      <w:r w:rsidRPr="00875228">
        <w:rPr>
          <w:i/>
          <w:color w:val="auto"/>
        </w:rPr>
        <w:t>SUR = 100 × Annual electricity generation / (Total PV area × Annual global irradiation)</w:t>
      </w:r>
      <w:r w:rsidRPr="00875228">
        <w:rPr>
          <w:i/>
          <w:color w:val="auto"/>
        </w:rPr>
        <w:tab/>
        <w:t xml:space="preserve"> (1)</w:t>
      </w:r>
    </w:p>
    <w:p w14:paraId="60EF5F54" w14:textId="77777777" w:rsidR="00DA46E8" w:rsidRPr="00875228" w:rsidRDefault="00651721" w:rsidP="00ED1683">
      <w:pPr>
        <w:pStyle w:val="SWCText"/>
        <w:ind w:firstLineChars="100" w:firstLine="200"/>
        <w:rPr>
          <w:color w:val="auto"/>
        </w:rPr>
      </w:pPr>
      <w:r w:rsidRPr="006D0CB2">
        <w:t>Hourly weather data for the Seoul region were used for the base simulation. The original dataset gives annual global solar irradiation values of approximately 1,106 kWh/m²·yr for the northern reference region and 1,137 kWh/m²·yr for the southern reference region. Unless a parameter is varied explicitly, the remaining inputs are held at the base-case values shown in Table 1.</w:t>
      </w:r>
      <w:r>
        <w:rPr>
          <w:color w:val="FF0000"/>
        </w:rPr>
        <w:t xml:space="preserve"> </w:t>
      </w:r>
      <w:r w:rsidRPr="00875228">
        <w:rPr>
          <w:color w:val="auto"/>
        </w:rPr>
        <w:t>The cell-ratio sensitivity (0.85, 0.75, and 0.60) is used to examine active cell area, transmission, and rear-side irradiation effects.</w:t>
      </w:r>
    </w:p>
    <w:p w14:paraId="5A28FF6B" w14:textId="77777777" w:rsidR="00DA46E8" w:rsidRPr="006D0CB2" w:rsidRDefault="00651721">
      <w:pPr>
        <w:pStyle w:val="SWCHeading1"/>
        <w:keepNext/>
        <w:numPr>
          <w:ilvl w:val="0"/>
          <w:numId w:val="0"/>
        </w:numPr>
      </w:pPr>
      <w:r w:rsidRPr="006D0CB2">
        <w:t>3. Results and Discussion</w:t>
      </w:r>
    </w:p>
    <w:p w14:paraId="71DB86E8" w14:textId="77777777" w:rsidR="00DA46E8" w:rsidRPr="006D0CB2" w:rsidRDefault="00651721">
      <w:pPr>
        <w:pStyle w:val="SWCHeading11"/>
        <w:keepNext/>
      </w:pPr>
      <w:r w:rsidRPr="006D0CB2">
        <w:rPr>
          <w:lang w:val="en-US"/>
        </w:rPr>
        <w:t>3.1. Influence of PV Module Width</w:t>
      </w:r>
    </w:p>
    <w:p w14:paraId="0DD366B9" w14:textId="77777777" w:rsidR="00DA3BA4" w:rsidRDefault="00651721" w:rsidP="00ED1683">
      <w:pPr>
        <w:pStyle w:val="SWCText"/>
        <w:ind w:firstLineChars="100" w:firstLine="200"/>
      </w:pPr>
      <w:r w:rsidRPr="006D0CB2">
        <w:t>Increasing the projection width from 0.8 to 1.4 m increases the total installed PV area and therefore increases annual electricity generation. Annual generation rises from 49,430 kWh at 0.8 m to 55,928 kWh at 1.0 m, 60,573 kWh at 1.2 m, and 68,406 kWh at 1.4 m. In contrast, SUR decreases from 13.31% to 12.04%, 10.87%, and 10.52%, respectively. Thus, a larger projection produces more total electricity but uses the available PV area less efficiently according to the SUR metric.</w:t>
      </w:r>
    </w:p>
    <w:p w14:paraId="01B9CB25" w14:textId="53889FE3" w:rsidR="00DA46E8" w:rsidRDefault="00DA3BA4" w:rsidP="004130F0">
      <w:pPr>
        <w:pStyle w:val="SWCText"/>
      </w:pPr>
      <w:r w:rsidRPr="00666BA2">
        <w:t>Fig</w:t>
      </w:r>
      <w:r w:rsidR="002B1787">
        <w:t>ure</w:t>
      </w:r>
      <w:r w:rsidRPr="00666BA2">
        <w:t xml:space="preserve"> 7</w:t>
      </w:r>
      <w:r>
        <w:t xml:space="preserve"> shows m</w:t>
      </w:r>
      <w:r w:rsidRPr="00666BA2">
        <w:t>onthly power generation for four MB-BIPVS projection widths</w:t>
      </w:r>
      <w:r>
        <w:t>.</w:t>
      </w:r>
    </w:p>
    <w:p w14:paraId="64153DC8" w14:textId="1DF009CF" w:rsidR="004130F0" w:rsidRDefault="004130F0">
      <w:pPr>
        <w:pStyle w:val="SWCText"/>
        <w:keepNext/>
        <w:spacing w:before="80" w:after="80"/>
        <w:jc w:val="center"/>
      </w:pPr>
      <w:r w:rsidRPr="006A0A3A">
        <w:rPr>
          <w:noProof/>
          <w:lang w:eastAsia="ko-KR"/>
        </w:rPr>
        <w:drawing>
          <wp:inline distT="0" distB="0" distL="0" distR="0" wp14:anchorId="1CB5101C" wp14:editId="30D8BD78">
            <wp:extent cx="5384800" cy="2847975"/>
            <wp:effectExtent l="0" t="0" r="6350" b="9525"/>
            <wp:docPr id="30" name="차트 30"/>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4FB2FBF9" w14:textId="77777777" w:rsidR="00DA46E8" w:rsidRPr="006D0CB2" w:rsidRDefault="00651721">
      <w:pPr>
        <w:pStyle w:val="SWCTableFigureCaption"/>
      </w:pPr>
      <w:bookmarkStart w:id="2" w:name="_Hlk238398959"/>
      <w:r w:rsidRPr="006D0CB2">
        <w:t>Fig. 7: Monthly power generation for four MB-BIPVS projection widths</w:t>
      </w:r>
    </w:p>
    <w:bookmarkEnd w:id="2"/>
    <w:p w14:paraId="20794C68" w14:textId="77777777" w:rsidR="00DA46E8" w:rsidRPr="006D0CB2" w:rsidRDefault="00651721" w:rsidP="00ED1683">
      <w:pPr>
        <w:pStyle w:val="SWCText"/>
        <w:ind w:firstLineChars="100" w:firstLine="200"/>
      </w:pPr>
      <w:r w:rsidRPr="006D0CB2">
        <w:t>The preferred projection cannot be selected from annual electricity generation alone because the overhang also affects shading, daylight, facade appearance, and cooling-load reduction. Within the studied design concept, a 1.0 m projection is retained as a practical reference because it is compatible with the intended traditional overhang proportion while maintaining substantial annual generation.</w:t>
      </w:r>
    </w:p>
    <w:p w14:paraId="6874F284" w14:textId="77777777" w:rsidR="00DA46E8" w:rsidRPr="006D0CB2" w:rsidRDefault="00651721">
      <w:pPr>
        <w:pStyle w:val="SWCHeading11"/>
        <w:keepNext/>
      </w:pPr>
      <w:r w:rsidRPr="006D0CB2">
        <w:rPr>
          <w:lang w:val="en-US"/>
        </w:rPr>
        <w:t>3.2. Influence of Cell Ratio</w:t>
      </w:r>
    </w:p>
    <w:p w14:paraId="558319E0" w14:textId="14C35F8E" w:rsidR="004130F0" w:rsidRDefault="00A77A72" w:rsidP="009F55DF">
      <w:pPr>
        <w:pStyle w:val="SWCText"/>
      </w:pPr>
      <w:r>
        <w:t xml:space="preserve"> </w:t>
      </w:r>
      <w:r w:rsidR="00ED1683">
        <w:t xml:space="preserve"> </w:t>
      </w:r>
      <w:r w:rsidR="00651721" w:rsidRPr="006D0CB2">
        <w:t>The cell ratio has a strong influence on annual electricity generation in the simulated geometry. With a cell ratio of 0.85, annual generation is 55,928 kWh and SUR is 12.04%. Reducing the ratio to 0.75 increases these values to 74,580 kWh and 16.06%, while a ratio of 0.60 produces 97,069 kWh and an SUR of 20.9%. These results show that the cell ratio changes the balance between active cell area, transmission, rear-side irradiation, and the total reference PV area used in the SUR definition.</w:t>
      </w:r>
      <w:r w:rsidR="00DA3BA4">
        <w:t xml:space="preserve"> </w:t>
      </w:r>
      <w:r w:rsidR="00DA3BA4" w:rsidRPr="00666BA2">
        <w:t>Fig</w:t>
      </w:r>
      <w:r w:rsidR="002B1787">
        <w:t>ure</w:t>
      </w:r>
      <w:r w:rsidR="00DA3BA4" w:rsidRPr="00666BA2">
        <w:t xml:space="preserve"> 8</w:t>
      </w:r>
      <w:r w:rsidR="00DA3BA4">
        <w:t xml:space="preserve"> shows </w:t>
      </w:r>
      <w:r w:rsidR="00D53CA1">
        <w:t xml:space="preserve">the </w:t>
      </w:r>
      <w:r w:rsidR="00DA3BA4">
        <w:t>i</w:t>
      </w:r>
      <w:r w:rsidR="00DA3BA4" w:rsidRPr="00666BA2">
        <w:t xml:space="preserve">nfluence of PV cell ratio on monthly MB-BIPVS </w:t>
      </w:r>
      <w:r w:rsidR="009F55DF">
        <w:t>electricity</w:t>
      </w:r>
      <w:r w:rsidR="00DA3BA4" w:rsidRPr="00666BA2">
        <w:t xml:space="preserve"> generation</w:t>
      </w:r>
      <w:r w:rsidR="00DA3BA4">
        <w:t>.</w:t>
      </w:r>
    </w:p>
    <w:p w14:paraId="78193AF5" w14:textId="763A4AB3" w:rsidR="009F55DF" w:rsidRDefault="009F55DF">
      <w:pPr>
        <w:pStyle w:val="SWCText"/>
        <w:keepNext/>
        <w:spacing w:before="80" w:after="80"/>
        <w:jc w:val="center"/>
      </w:pPr>
      <w:r>
        <w:rPr>
          <w:noProof/>
        </w:rPr>
        <w:lastRenderedPageBreak/>
        <w:drawing>
          <wp:inline distT="0" distB="0" distL="0" distR="0" wp14:anchorId="3550A8A5" wp14:editId="77C05DA4">
            <wp:extent cx="5394325" cy="2809875"/>
            <wp:effectExtent l="0" t="0" r="15875" b="9525"/>
            <wp:docPr id="6" name="차트 6">
              <a:extLst xmlns:a="http://schemas.openxmlformats.org/drawingml/2006/main">
                <a:ext uri="{FF2B5EF4-FFF2-40B4-BE49-F238E27FC236}">
                  <a16:creationId xmlns:a16="http://schemas.microsoft.com/office/drawing/2014/main" id="{00000000-0008-0000-0000-000004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08BAB9C8" w14:textId="177CEC07" w:rsidR="00DA46E8" w:rsidRPr="006D0CB2" w:rsidRDefault="00651721">
      <w:pPr>
        <w:pStyle w:val="SWCTableFigureCaption"/>
      </w:pPr>
      <w:bookmarkStart w:id="3" w:name="_Hlk238399007"/>
      <w:r w:rsidRPr="006D0CB2">
        <w:t xml:space="preserve">Fig. 8: Influence of PV cell ratio on monthly MB-BIPVS </w:t>
      </w:r>
      <w:r w:rsidR="009F55DF">
        <w:t>electricity</w:t>
      </w:r>
      <w:r w:rsidRPr="006D0CB2">
        <w:t xml:space="preserve"> generation</w:t>
      </w:r>
    </w:p>
    <w:bookmarkEnd w:id="3"/>
    <w:p w14:paraId="7E75EFE4" w14:textId="77777777" w:rsidR="00DA46E8" w:rsidRPr="006D0CB2" w:rsidRDefault="00651721" w:rsidP="00ED1683">
      <w:pPr>
        <w:pStyle w:val="SWCText"/>
        <w:ind w:firstLineChars="100" w:firstLine="200"/>
      </w:pPr>
      <w:r w:rsidRPr="006D0CB2">
        <w:t>The highest SUR does not automatically define the preferred facade design. A lower cell ratio also changes daylight transmission and the amount of solar radiation entering the apartment. Therefore, the final cell ratio should be selected by considering power output, daylight availability, glare/visual comfort, and cooling-load reduction together.</w:t>
      </w:r>
    </w:p>
    <w:p w14:paraId="0D80ED8D" w14:textId="77777777" w:rsidR="00DA46E8" w:rsidRPr="006D0CB2" w:rsidRDefault="00651721">
      <w:pPr>
        <w:pStyle w:val="SWCHeading11"/>
        <w:keepNext/>
      </w:pPr>
      <w:r w:rsidRPr="006D0CB2">
        <w:rPr>
          <w:lang w:val="en-US"/>
        </w:rPr>
        <w:t>3.3. Influence of an Adjacent Building</w:t>
      </w:r>
    </w:p>
    <w:p w14:paraId="6CE3325F" w14:textId="1778DDC3" w:rsidR="009F55DF" w:rsidRDefault="00651721" w:rsidP="007A6BD6">
      <w:pPr>
        <w:pStyle w:val="SWCText"/>
        <w:ind w:firstLineChars="100" w:firstLine="200"/>
      </w:pPr>
      <w:r w:rsidRPr="006D0CB2">
        <w:t>The influence of the neighboring apartment is comparatively small but measurable even when the PV modules are not directly shaded. The reference apartment A produces 55,928 kWh annually. The corresponding outputs for apartments B and B1 are 55,605 and 55,295 kWh, equivalent to reductions of approximately 0.58% and 1.11%, respectively. The difference results from changes in reflected and obstructed radiation associated with relative building position.</w:t>
      </w:r>
      <w:r w:rsidR="00DA3BA4">
        <w:t xml:space="preserve"> </w:t>
      </w:r>
      <w:r w:rsidR="00DA3BA4" w:rsidRPr="00666BA2">
        <w:t>Fig</w:t>
      </w:r>
      <w:r w:rsidR="002B1787">
        <w:t>ure</w:t>
      </w:r>
      <w:r w:rsidR="00DA3BA4" w:rsidRPr="00666BA2">
        <w:t xml:space="preserve"> 9</w:t>
      </w:r>
      <w:r w:rsidR="00DA3BA4">
        <w:t xml:space="preserve"> shows</w:t>
      </w:r>
      <w:r w:rsidR="00D53CA1">
        <w:t xml:space="preserve"> the</w:t>
      </w:r>
      <w:r w:rsidR="00DA3BA4">
        <w:t xml:space="preserve"> i</w:t>
      </w:r>
      <w:r w:rsidR="00DA3BA4" w:rsidRPr="00666BA2">
        <w:t xml:space="preserve">nfluence of adjacent-building position on monthly MB-BIPVS </w:t>
      </w:r>
      <w:r w:rsidR="009F55DF">
        <w:t>electricity</w:t>
      </w:r>
      <w:r w:rsidR="00DA3BA4" w:rsidRPr="00666BA2">
        <w:t xml:space="preserve"> generation</w:t>
      </w:r>
      <w:r w:rsidR="00DA3BA4">
        <w:t>.</w:t>
      </w:r>
    </w:p>
    <w:p w14:paraId="3F6C027E" w14:textId="2DCCA4F2" w:rsidR="007A6BD6" w:rsidRDefault="007A6BD6" w:rsidP="009F55DF">
      <w:pPr>
        <w:pStyle w:val="SWCText"/>
        <w:keepNext/>
        <w:spacing w:before="80" w:after="80"/>
        <w:jc w:val="center"/>
      </w:pPr>
      <w:r>
        <w:rPr>
          <w:noProof/>
        </w:rPr>
        <w:drawing>
          <wp:inline distT="0" distB="0" distL="0" distR="0" wp14:anchorId="1EE0ACCF" wp14:editId="457FC01E">
            <wp:extent cx="5400675" cy="3233420"/>
            <wp:effectExtent l="0" t="0" r="9525" b="5080"/>
            <wp:docPr id="9" name="차트 9">
              <a:extLst xmlns:a="http://schemas.openxmlformats.org/drawingml/2006/main">
                <a:ext uri="{FF2B5EF4-FFF2-40B4-BE49-F238E27FC236}">
                  <a16:creationId xmlns:a16="http://schemas.microsoft.com/office/drawing/2014/main" id="{00000000-0008-0000-0000-000003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3971EF0A" w14:textId="6C72BDC5" w:rsidR="00DA46E8" w:rsidRPr="006D0CB2" w:rsidRDefault="00651721">
      <w:pPr>
        <w:pStyle w:val="SWCTableFigureCaption"/>
      </w:pPr>
      <w:r w:rsidRPr="006D0CB2">
        <w:t xml:space="preserve">Fig. 9: Influence of adjacent-building position on monthly MB-BIPVS </w:t>
      </w:r>
      <w:r w:rsidR="009F55DF">
        <w:t>electricity</w:t>
      </w:r>
      <w:r w:rsidRPr="006D0CB2">
        <w:t xml:space="preserve"> generation</w:t>
      </w:r>
    </w:p>
    <w:p w14:paraId="62EC2640" w14:textId="77777777" w:rsidR="00DA46E8" w:rsidRPr="006D0CB2" w:rsidRDefault="00651721">
      <w:pPr>
        <w:pStyle w:val="SWCHeading11"/>
        <w:keepNext/>
      </w:pPr>
      <w:r w:rsidRPr="006D0CB2">
        <w:rPr>
          <w:lang w:val="en-US"/>
        </w:rPr>
        <w:lastRenderedPageBreak/>
        <w:t>3.4. Influence of Ground Albedo</w:t>
      </w:r>
    </w:p>
    <w:p w14:paraId="18845A5E" w14:textId="77777777" w:rsidR="00DA46E8" w:rsidRDefault="00651721" w:rsidP="00ED1683">
      <w:pPr>
        <w:pStyle w:val="SWCText"/>
        <w:ind w:firstLineChars="100" w:firstLine="200"/>
      </w:pPr>
      <w:r w:rsidRPr="006D0CB2">
        <w:t>Changing the assumed ground albedo from 0.2 in summer and 0.3 in winter to 0.3 in summer and 0.4 in winter produces only a 0.21% increase in annual electricity generation for the studied high-rise inland configuration. This limited sensitivity reflects both the moderate albedo range and the geometry of the facade system. Although bifacial modules can benefit from reflected irradiance, the magnitude of this benefit depends strongly on surface visibility and urban geometry.</w:t>
      </w:r>
    </w:p>
    <w:p w14:paraId="16BE1ABA" w14:textId="49D62569" w:rsidR="007A6BD6" w:rsidRDefault="00DA3BA4" w:rsidP="007A6BD6">
      <w:pPr>
        <w:pStyle w:val="SWCText"/>
      </w:pPr>
      <w:r w:rsidRPr="00666BA2">
        <w:t>Fig</w:t>
      </w:r>
      <w:r w:rsidR="002B1787">
        <w:t>ure</w:t>
      </w:r>
      <w:r w:rsidRPr="00666BA2">
        <w:t xml:space="preserve"> 10</w:t>
      </w:r>
      <w:r>
        <w:t xml:space="preserve"> shows</w:t>
      </w:r>
      <w:r w:rsidR="00D53CA1">
        <w:t xml:space="preserve"> the</w:t>
      </w:r>
      <w:r>
        <w:t xml:space="preserve"> i</w:t>
      </w:r>
      <w:r w:rsidRPr="00666BA2">
        <w:t xml:space="preserve">nfluence of seasonal ground albedo on monthly MB-BIPVS </w:t>
      </w:r>
      <w:r w:rsidR="007A6BD6">
        <w:t>electricity</w:t>
      </w:r>
      <w:r w:rsidRPr="00666BA2">
        <w:t xml:space="preserve"> generation</w:t>
      </w:r>
      <w:r>
        <w:t>.</w:t>
      </w:r>
    </w:p>
    <w:p w14:paraId="0B16F36F" w14:textId="3E26D418" w:rsidR="007A6BD6" w:rsidRDefault="007A6BD6">
      <w:pPr>
        <w:pStyle w:val="SWCText"/>
        <w:keepNext/>
        <w:spacing w:before="80" w:after="80"/>
        <w:jc w:val="center"/>
      </w:pPr>
      <w:r>
        <w:rPr>
          <w:noProof/>
        </w:rPr>
        <w:drawing>
          <wp:inline distT="0" distB="0" distL="0" distR="0" wp14:anchorId="72A38158" wp14:editId="1814D04B">
            <wp:extent cx="5422900" cy="2597150"/>
            <wp:effectExtent l="0" t="0" r="6350" b="12700"/>
            <wp:docPr id="11" name="차트 11">
              <a:extLst xmlns:a="http://schemas.openxmlformats.org/drawingml/2006/main">
                <a:ext uri="{FF2B5EF4-FFF2-40B4-BE49-F238E27FC236}">
                  <a16:creationId xmlns:a16="http://schemas.microsoft.com/office/drawing/2014/main" id="{00000000-0008-0000-0000-000006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668378DB" w14:textId="4272DEAB" w:rsidR="00DA46E8" w:rsidRPr="006D0CB2" w:rsidRDefault="00651721">
      <w:pPr>
        <w:pStyle w:val="SWCTableFigureCaption"/>
      </w:pPr>
      <w:r w:rsidRPr="006D0CB2">
        <w:t xml:space="preserve">Fig. 10: Influence of seasonal ground albedo on monthly MB-BIPVS </w:t>
      </w:r>
      <w:r w:rsidR="007A6BD6">
        <w:t xml:space="preserve">electricity </w:t>
      </w:r>
      <w:r w:rsidRPr="006D0CB2">
        <w:t>generation</w:t>
      </w:r>
    </w:p>
    <w:p w14:paraId="5CC04BCA" w14:textId="77777777" w:rsidR="00DA46E8" w:rsidRPr="006D0CB2" w:rsidRDefault="00651721">
      <w:pPr>
        <w:pStyle w:val="SWCHeading11"/>
        <w:keepNext/>
      </w:pPr>
      <w:r w:rsidRPr="006D0CB2">
        <w:rPr>
          <w:lang w:val="en-US"/>
        </w:rPr>
        <w:t>3.5. Influence of Building Latitude</w:t>
      </w:r>
    </w:p>
    <w:p w14:paraId="5828633E" w14:textId="7CBE5B5E" w:rsidR="00DA46E8" w:rsidRDefault="00651721" w:rsidP="00ED1683">
      <w:pPr>
        <w:pStyle w:val="SWCText"/>
        <w:ind w:firstLineChars="100" w:firstLine="200"/>
      </w:pPr>
      <w:r w:rsidRPr="006D0CB2">
        <w:t xml:space="preserve">The same building and MB-BIPVS geometry were compared at 37.5°N and 34.0°N. </w:t>
      </w:r>
      <w:r w:rsidR="007A6BD6">
        <w:t xml:space="preserve">Annual generation changes from approximately 55,928 to 55,572 kWh, a difference of about 0.64%, while the respective SUR values are 12.04% and 11.89%. </w:t>
      </w:r>
      <w:r w:rsidRPr="006D0CB2">
        <w:t>Within this limited 3.5° latitude range and at the same module inclination, the annual output is therefore relatively insensitive to latitude, although the monthly distribution changes more visibly.</w:t>
      </w:r>
    </w:p>
    <w:p w14:paraId="207419B7" w14:textId="524F0FE1" w:rsidR="00DA3BA4" w:rsidRPr="00DA3BA4" w:rsidRDefault="00DA3BA4">
      <w:pPr>
        <w:pStyle w:val="SWCText"/>
      </w:pPr>
      <w:r w:rsidRPr="00666BA2">
        <w:t>Fig</w:t>
      </w:r>
      <w:r w:rsidR="002B1787">
        <w:t>ure</w:t>
      </w:r>
      <w:r w:rsidRPr="00666BA2">
        <w:t xml:space="preserve"> 11</w:t>
      </w:r>
      <w:r>
        <w:t xml:space="preserve"> shows </w:t>
      </w:r>
      <w:r w:rsidR="00D53CA1">
        <w:t xml:space="preserve">the </w:t>
      </w:r>
      <w:r>
        <w:t>i</w:t>
      </w:r>
      <w:r w:rsidRPr="00666BA2">
        <w:t>nfluence of building latitude on monthly MB-BIPVS power generation</w:t>
      </w:r>
      <w:r>
        <w:t>.</w:t>
      </w:r>
    </w:p>
    <w:p w14:paraId="210B534E" w14:textId="0EB1ECE0" w:rsidR="00DA46E8" w:rsidRDefault="00CC7C18">
      <w:pPr>
        <w:pStyle w:val="SWCText"/>
        <w:keepNext/>
        <w:spacing w:before="80" w:after="80"/>
        <w:jc w:val="center"/>
      </w:pPr>
      <w:r w:rsidRPr="006A0A3A">
        <w:rPr>
          <w:noProof/>
          <w:szCs w:val="20"/>
          <w:lang w:eastAsia="ko-KR"/>
        </w:rPr>
        <w:drawing>
          <wp:inline distT="0" distB="0" distL="0" distR="0" wp14:anchorId="5AD911A2" wp14:editId="7955484E">
            <wp:extent cx="5461000" cy="2743200"/>
            <wp:effectExtent l="0" t="0" r="6350" b="0"/>
            <wp:docPr id="2" name="차트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4A87984C" w14:textId="77777777" w:rsidR="00DA46E8" w:rsidRPr="006D0CB2" w:rsidRDefault="00651721">
      <w:pPr>
        <w:pStyle w:val="SWCTableFigureCaption"/>
      </w:pPr>
      <w:r w:rsidRPr="006D0CB2">
        <w:t>Fig. 11: Influence of building latitude on monthly MB-BIPVS power generation</w:t>
      </w:r>
    </w:p>
    <w:p w14:paraId="4EEA87F5" w14:textId="77777777" w:rsidR="00DA46E8" w:rsidRPr="006D0CB2" w:rsidRDefault="00651721">
      <w:pPr>
        <w:pStyle w:val="SWCHeading11"/>
        <w:keepNext/>
      </w:pPr>
      <w:r w:rsidRPr="006D0CB2">
        <w:rPr>
          <w:lang w:val="en-US"/>
        </w:rPr>
        <w:lastRenderedPageBreak/>
        <w:t>3.6. Integrated Interpretation for Nearly Zero-Energy Apartments</w:t>
      </w:r>
    </w:p>
    <w:p w14:paraId="166E8E82" w14:textId="4116C5A2" w:rsidR="00DA46E8" w:rsidRPr="006D0CB2" w:rsidRDefault="00651721" w:rsidP="00ED1683">
      <w:pPr>
        <w:pStyle w:val="SWCText"/>
        <w:ind w:firstLineChars="100" w:firstLine="200"/>
      </w:pPr>
      <w:r w:rsidRPr="006D0CB2">
        <w:t>The parameter study shows that the MB-BIPVS should be optimized as a building component rather than as an isolated PV generator. Projection width and cell ratio have the largest influence on the simulated performance, whereas the tested variations in neighboring-building position, ground albedo, and latitude are comparatively modest. The overhang function can additionally reduce direct summer solar gains; earlier work on the same shading concept reported a cooling-load reduction of approximately 27.5-34% depending on conditions (Yoo</w:t>
      </w:r>
      <w:r w:rsidR="00460DFB">
        <w:t xml:space="preserve"> et al.</w:t>
      </w:r>
      <w:r w:rsidRPr="006D0CB2">
        <w:t>, 202</w:t>
      </w:r>
      <w:r w:rsidR="00460DFB">
        <w:t>5</w:t>
      </w:r>
      <w:r w:rsidRPr="006D0CB2">
        <w:t>). This passive contribution is important because it can reduce the cooling demand that must be met by mechanical or radiant systems.</w:t>
      </w:r>
    </w:p>
    <w:p w14:paraId="2A5DD62A" w14:textId="33D728A9" w:rsidR="00DA46E8" w:rsidRDefault="00651721" w:rsidP="00ED1683">
      <w:pPr>
        <w:pStyle w:val="SWCText"/>
        <w:ind w:firstLineChars="100" w:firstLine="200"/>
      </w:pPr>
      <w:r w:rsidRPr="006D0CB2">
        <w:t xml:space="preserve">A further system-level opportunity is the </w:t>
      </w:r>
      <w:r w:rsidR="007A6BD6">
        <w:t>integration</w:t>
      </w:r>
      <w:r w:rsidRPr="006D0CB2">
        <w:t xml:space="preserve"> of the MB-BIPVS with passive intelligent radiant cooling. In this configuration, the facade reduces solar gains and generates electricity, while the radiant system uses low-temperature water and the thermal mass of the floor to remove sensible heat. The present paper does not </w:t>
      </w:r>
      <w:r w:rsidR="007A6BD6">
        <w:t>quantify</w:t>
      </w:r>
      <w:r w:rsidRPr="006D0CB2">
        <w:t xml:space="preserve"> a complete energy balance for the combined system; therefore, th</w:t>
      </w:r>
      <w:r w:rsidR="007A6BD6">
        <w:t>is integration</w:t>
      </w:r>
      <w:r w:rsidRPr="006D0CB2">
        <w:t xml:space="preserve"> is presented as a design strategy to be validated experimentally rather than as a quantified zero-energy result.</w:t>
      </w:r>
    </w:p>
    <w:p w14:paraId="1BB97811" w14:textId="29A8C4C3" w:rsidR="007C62D5" w:rsidRPr="00875228" w:rsidRDefault="007C62D5" w:rsidP="00ED1683">
      <w:pPr>
        <w:pStyle w:val="SWCText"/>
        <w:ind w:firstLineChars="100" w:firstLine="200"/>
        <w:rPr>
          <w:color w:val="auto"/>
          <w:lang w:eastAsia="ko-KR"/>
        </w:rPr>
      </w:pPr>
      <w:r w:rsidRPr="00875228">
        <w:rPr>
          <w:color w:val="auto"/>
        </w:rPr>
        <w:t>Table 2 summarizes the principal MB-BIPVS sensitivity results.</w:t>
      </w:r>
    </w:p>
    <w:p w14:paraId="6CEDC0ED" w14:textId="77777777" w:rsidR="00DA46E8" w:rsidRPr="00DA3BA4" w:rsidRDefault="00651721">
      <w:pPr>
        <w:pStyle w:val="SWCTableFigureCaption"/>
        <w:keepNext/>
      </w:pPr>
      <w:r w:rsidRPr="00DA3BA4">
        <w:t>Tab. 2: Summary of the principal MB-BIPVS sensitivity results</w:t>
      </w:r>
    </w:p>
    <w:tbl>
      <w:tblPr>
        <w:tblStyle w:val="a9"/>
        <w:tblW w:w="8645" w:type="dxa"/>
        <w:jc w:val="center"/>
        <w:tblLayout w:type="fixed"/>
        <w:tblLook w:val="04A0" w:firstRow="1" w:lastRow="0" w:firstColumn="1" w:lastColumn="0" w:noHBand="0" w:noVBand="1"/>
      </w:tblPr>
      <w:tblGrid>
        <w:gridCol w:w="2017"/>
        <w:gridCol w:w="1921"/>
        <w:gridCol w:w="2209"/>
        <w:gridCol w:w="2498"/>
      </w:tblGrid>
      <w:tr w:rsidR="00DA46E8" w14:paraId="1B164BFB" w14:textId="77777777">
        <w:trPr>
          <w:tblHeader/>
          <w:jc w:val="center"/>
        </w:trPr>
        <w:tc>
          <w:tcPr>
            <w:tcW w:w="2017" w:type="dxa"/>
            <w:shd w:val="clear" w:color="auto" w:fill="D9EAF7"/>
            <w:tcMar>
              <w:top w:w="80" w:type="dxa"/>
              <w:left w:w="120" w:type="dxa"/>
              <w:bottom w:w="80" w:type="dxa"/>
              <w:right w:w="120" w:type="dxa"/>
            </w:tcMar>
            <w:vAlign w:val="center"/>
          </w:tcPr>
          <w:p w14:paraId="780F42B9" w14:textId="77777777" w:rsidR="00DA46E8" w:rsidRDefault="00651721">
            <w:pPr>
              <w:pStyle w:val="SWCTableHeader"/>
            </w:pPr>
            <w:r>
              <w:t>Variable</w:t>
            </w:r>
          </w:p>
        </w:tc>
        <w:tc>
          <w:tcPr>
            <w:tcW w:w="1921" w:type="dxa"/>
            <w:shd w:val="clear" w:color="auto" w:fill="D9EAF7"/>
            <w:tcMar>
              <w:top w:w="80" w:type="dxa"/>
              <w:left w:w="120" w:type="dxa"/>
              <w:bottom w:w="80" w:type="dxa"/>
              <w:right w:w="120" w:type="dxa"/>
            </w:tcMar>
            <w:vAlign w:val="center"/>
          </w:tcPr>
          <w:p w14:paraId="7C7FB282" w14:textId="77777777" w:rsidR="00DA46E8" w:rsidRDefault="00651721">
            <w:pPr>
              <w:pStyle w:val="SWCTableHeader"/>
            </w:pPr>
            <w:r>
              <w:t>Cases</w:t>
            </w:r>
          </w:p>
        </w:tc>
        <w:tc>
          <w:tcPr>
            <w:tcW w:w="2209" w:type="dxa"/>
            <w:shd w:val="clear" w:color="auto" w:fill="D9EAF7"/>
            <w:tcMar>
              <w:top w:w="80" w:type="dxa"/>
              <w:left w:w="120" w:type="dxa"/>
              <w:bottom w:w="80" w:type="dxa"/>
              <w:right w:w="120" w:type="dxa"/>
            </w:tcMar>
            <w:vAlign w:val="center"/>
          </w:tcPr>
          <w:p w14:paraId="49F01671" w14:textId="77777777" w:rsidR="00DA46E8" w:rsidRDefault="00651721">
            <w:pPr>
              <w:pStyle w:val="SWCTableHeader"/>
            </w:pPr>
            <w:r>
              <w:t>Main result</w:t>
            </w:r>
          </w:p>
        </w:tc>
        <w:tc>
          <w:tcPr>
            <w:tcW w:w="2498" w:type="dxa"/>
            <w:shd w:val="clear" w:color="auto" w:fill="D9EAF7"/>
            <w:tcMar>
              <w:top w:w="80" w:type="dxa"/>
              <w:left w:w="120" w:type="dxa"/>
              <w:bottom w:w="80" w:type="dxa"/>
              <w:right w:w="120" w:type="dxa"/>
            </w:tcMar>
            <w:vAlign w:val="center"/>
          </w:tcPr>
          <w:p w14:paraId="1A99D893" w14:textId="77777777" w:rsidR="00DA46E8" w:rsidRDefault="00651721">
            <w:pPr>
              <w:pStyle w:val="SWCTableHeader"/>
            </w:pPr>
            <w:r>
              <w:t>Design implication</w:t>
            </w:r>
          </w:p>
        </w:tc>
      </w:tr>
      <w:tr w:rsidR="00DA46E8" w:rsidRPr="00875228" w14:paraId="3205D8F7" w14:textId="77777777">
        <w:trPr>
          <w:jc w:val="center"/>
        </w:trPr>
        <w:tc>
          <w:tcPr>
            <w:tcW w:w="2017" w:type="dxa"/>
            <w:tcMar>
              <w:top w:w="80" w:type="dxa"/>
              <w:left w:w="120" w:type="dxa"/>
              <w:bottom w:w="80" w:type="dxa"/>
              <w:right w:w="120" w:type="dxa"/>
            </w:tcMar>
            <w:vAlign w:val="center"/>
          </w:tcPr>
          <w:p w14:paraId="416DA816" w14:textId="77777777" w:rsidR="00DA46E8" w:rsidRDefault="00651721">
            <w:pPr>
              <w:pStyle w:val="SWCTableText"/>
            </w:pPr>
            <w:r>
              <w:t>Projection width</w:t>
            </w:r>
          </w:p>
        </w:tc>
        <w:tc>
          <w:tcPr>
            <w:tcW w:w="1921" w:type="dxa"/>
            <w:tcMar>
              <w:top w:w="80" w:type="dxa"/>
              <w:left w:w="120" w:type="dxa"/>
              <w:bottom w:w="80" w:type="dxa"/>
              <w:right w:w="120" w:type="dxa"/>
            </w:tcMar>
            <w:vAlign w:val="center"/>
          </w:tcPr>
          <w:p w14:paraId="26D62DE8" w14:textId="77777777" w:rsidR="00DA46E8" w:rsidRDefault="00651721">
            <w:pPr>
              <w:pStyle w:val="SWCTableText"/>
            </w:pPr>
            <w:r>
              <w:t>0.8-1.4 m</w:t>
            </w:r>
          </w:p>
        </w:tc>
        <w:tc>
          <w:tcPr>
            <w:tcW w:w="2209" w:type="dxa"/>
            <w:tcMar>
              <w:top w:w="80" w:type="dxa"/>
              <w:left w:w="120" w:type="dxa"/>
              <w:bottom w:w="80" w:type="dxa"/>
              <w:right w:w="120" w:type="dxa"/>
            </w:tcMar>
            <w:vAlign w:val="center"/>
          </w:tcPr>
          <w:p w14:paraId="01ABF5ED" w14:textId="77777777" w:rsidR="00DA46E8" w:rsidRDefault="00651721">
            <w:pPr>
              <w:pStyle w:val="SWCTableText"/>
            </w:pPr>
            <w:r>
              <w:t>49,430-68,406 kWh; SUR 13.31-10.52%</w:t>
            </w:r>
          </w:p>
        </w:tc>
        <w:tc>
          <w:tcPr>
            <w:tcW w:w="2498" w:type="dxa"/>
            <w:tcMar>
              <w:top w:w="80" w:type="dxa"/>
              <w:left w:w="120" w:type="dxa"/>
              <w:bottom w:w="80" w:type="dxa"/>
              <w:right w:w="120" w:type="dxa"/>
            </w:tcMar>
            <w:vAlign w:val="center"/>
          </w:tcPr>
          <w:p w14:paraId="3D063401" w14:textId="77777777" w:rsidR="00DA46E8" w:rsidRPr="006D0CB2" w:rsidRDefault="00651721">
            <w:pPr>
              <w:pStyle w:val="SWCTableText"/>
            </w:pPr>
            <w:r w:rsidRPr="006D0CB2">
              <w:rPr>
                <w:lang w:val="en-US"/>
              </w:rPr>
              <w:t>1.0 m retained as practical reference</w:t>
            </w:r>
          </w:p>
        </w:tc>
      </w:tr>
      <w:tr w:rsidR="00DA46E8" w:rsidRPr="00875228" w14:paraId="56B57B76" w14:textId="77777777">
        <w:trPr>
          <w:jc w:val="center"/>
        </w:trPr>
        <w:tc>
          <w:tcPr>
            <w:tcW w:w="2017" w:type="dxa"/>
            <w:tcMar>
              <w:top w:w="80" w:type="dxa"/>
              <w:left w:w="120" w:type="dxa"/>
              <w:bottom w:w="80" w:type="dxa"/>
              <w:right w:w="120" w:type="dxa"/>
            </w:tcMar>
            <w:vAlign w:val="center"/>
          </w:tcPr>
          <w:p w14:paraId="25615AF7" w14:textId="77777777" w:rsidR="00DA46E8" w:rsidRDefault="00651721">
            <w:pPr>
              <w:pStyle w:val="SWCTableText"/>
            </w:pPr>
            <w:r>
              <w:t>Cell ratio</w:t>
            </w:r>
          </w:p>
        </w:tc>
        <w:tc>
          <w:tcPr>
            <w:tcW w:w="1921" w:type="dxa"/>
            <w:tcMar>
              <w:top w:w="80" w:type="dxa"/>
              <w:left w:w="120" w:type="dxa"/>
              <w:bottom w:w="80" w:type="dxa"/>
              <w:right w:w="120" w:type="dxa"/>
            </w:tcMar>
            <w:vAlign w:val="center"/>
          </w:tcPr>
          <w:p w14:paraId="22EB8A67" w14:textId="77777777" w:rsidR="00DA46E8" w:rsidRDefault="00651721">
            <w:pPr>
              <w:pStyle w:val="SWCTableText"/>
            </w:pPr>
            <w:r>
              <w:t>0.85 / 0.75 / 0.60</w:t>
            </w:r>
          </w:p>
        </w:tc>
        <w:tc>
          <w:tcPr>
            <w:tcW w:w="2209" w:type="dxa"/>
            <w:tcMar>
              <w:top w:w="80" w:type="dxa"/>
              <w:left w:w="120" w:type="dxa"/>
              <w:bottom w:w="80" w:type="dxa"/>
              <w:right w:w="120" w:type="dxa"/>
            </w:tcMar>
            <w:vAlign w:val="center"/>
          </w:tcPr>
          <w:p w14:paraId="41294EA2" w14:textId="77777777" w:rsidR="00DA46E8" w:rsidRDefault="00651721">
            <w:pPr>
              <w:pStyle w:val="SWCTableText"/>
            </w:pPr>
            <w:r>
              <w:t>SUR 12.04 / 16.06 / 20.9%</w:t>
            </w:r>
          </w:p>
        </w:tc>
        <w:tc>
          <w:tcPr>
            <w:tcW w:w="2498" w:type="dxa"/>
            <w:tcMar>
              <w:top w:w="80" w:type="dxa"/>
              <w:left w:w="120" w:type="dxa"/>
              <w:bottom w:w="80" w:type="dxa"/>
              <w:right w:w="120" w:type="dxa"/>
            </w:tcMar>
            <w:vAlign w:val="center"/>
          </w:tcPr>
          <w:p w14:paraId="68BA860C" w14:textId="77777777" w:rsidR="00DA46E8" w:rsidRPr="006D0CB2" w:rsidRDefault="00651721">
            <w:pPr>
              <w:pStyle w:val="SWCTableText"/>
            </w:pPr>
            <w:r w:rsidRPr="006D0CB2">
              <w:rPr>
                <w:lang w:val="en-US"/>
              </w:rPr>
              <w:t>Balance power, daylight and shading</w:t>
            </w:r>
          </w:p>
        </w:tc>
      </w:tr>
      <w:tr w:rsidR="00DA46E8" w:rsidRPr="00875228" w14:paraId="2C0B4F32" w14:textId="77777777">
        <w:trPr>
          <w:jc w:val="center"/>
        </w:trPr>
        <w:tc>
          <w:tcPr>
            <w:tcW w:w="2017" w:type="dxa"/>
            <w:tcMar>
              <w:top w:w="80" w:type="dxa"/>
              <w:left w:w="120" w:type="dxa"/>
              <w:bottom w:w="80" w:type="dxa"/>
              <w:right w:w="120" w:type="dxa"/>
            </w:tcMar>
            <w:vAlign w:val="center"/>
          </w:tcPr>
          <w:p w14:paraId="0B4E3670" w14:textId="77777777" w:rsidR="00DA46E8" w:rsidRDefault="00651721">
            <w:pPr>
              <w:pStyle w:val="SWCTableText"/>
            </w:pPr>
            <w:r>
              <w:t>Adjacent building</w:t>
            </w:r>
          </w:p>
        </w:tc>
        <w:tc>
          <w:tcPr>
            <w:tcW w:w="1921" w:type="dxa"/>
            <w:tcMar>
              <w:top w:w="80" w:type="dxa"/>
              <w:left w:w="120" w:type="dxa"/>
              <w:bottom w:w="80" w:type="dxa"/>
              <w:right w:w="120" w:type="dxa"/>
            </w:tcMar>
            <w:vAlign w:val="center"/>
          </w:tcPr>
          <w:p w14:paraId="528B0EA0" w14:textId="77777777" w:rsidR="00DA46E8" w:rsidRDefault="00651721">
            <w:pPr>
              <w:pStyle w:val="SWCTableText"/>
            </w:pPr>
            <w:r>
              <w:t>A / B / B1</w:t>
            </w:r>
          </w:p>
        </w:tc>
        <w:tc>
          <w:tcPr>
            <w:tcW w:w="2209" w:type="dxa"/>
            <w:tcMar>
              <w:top w:w="80" w:type="dxa"/>
              <w:left w:w="120" w:type="dxa"/>
              <w:bottom w:w="80" w:type="dxa"/>
              <w:right w:w="120" w:type="dxa"/>
            </w:tcMar>
            <w:vAlign w:val="center"/>
          </w:tcPr>
          <w:p w14:paraId="3BBCE2D9" w14:textId="77777777" w:rsidR="00DA46E8" w:rsidRDefault="00651721">
            <w:pPr>
              <w:pStyle w:val="SWCTableText"/>
            </w:pPr>
            <w:r>
              <w:t>Maximum reduction ≈ 1.11%</w:t>
            </w:r>
          </w:p>
        </w:tc>
        <w:tc>
          <w:tcPr>
            <w:tcW w:w="2498" w:type="dxa"/>
            <w:tcMar>
              <w:top w:w="80" w:type="dxa"/>
              <w:left w:w="120" w:type="dxa"/>
              <w:bottom w:w="80" w:type="dxa"/>
              <w:right w:w="120" w:type="dxa"/>
            </w:tcMar>
            <w:vAlign w:val="center"/>
          </w:tcPr>
          <w:p w14:paraId="585766B0" w14:textId="77777777" w:rsidR="00DA46E8" w:rsidRPr="006D0CB2" w:rsidRDefault="00651721">
            <w:pPr>
              <w:pStyle w:val="SWCTableText"/>
            </w:pPr>
            <w:r w:rsidRPr="006D0CB2">
              <w:rPr>
                <w:lang w:val="en-US"/>
              </w:rPr>
              <w:t>Account for reflected/obstructed radiation</w:t>
            </w:r>
          </w:p>
        </w:tc>
      </w:tr>
      <w:tr w:rsidR="00DA46E8" w:rsidRPr="00875228" w14:paraId="3C516BF9" w14:textId="77777777">
        <w:trPr>
          <w:jc w:val="center"/>
        </w:trPr>
        <w:tc>
          <w:tcPr>
            <w:tcW w:w="2017" w:type="dxa"/>
            <w:tcMar>
              <w:top w:w="80" w:type="dxa"/>
              <w:left w:w="120" w:type="dxa"/>
              <w:bottom w:w="80" w:type="dxa"/>
              <w:right w:w="120" w:type="dxa"/>
            </w:tcMar>
            <w:vAlign w:val="center"/>
          </w:tcPr>
          <w:p w14:paraId="48EA0229" w14:textId="77777777" w:rsidR="00DA46E8" w:rsidRDefault="00651721">
            <w:pPr>
              <w:pStyle w:val="SWCTableText"/>
            </w:pPr>
            <w:r>
              <w:t>Ground albedo</w:t>
            </w:r>
          </w:p>
        </w:tc>
        <w:tc>
          <w:tcPr>
            <w:tcW w:w="1921" w:type="dxa"/>
            <w:tcMar>
              <w:top w:w="80" w:type="dxa"/>
              <w:left w:w="120" w:type="dxa"/>
              <w:bottom w:w="80" w:type="dxa"/>
              <w:right w:w="120" w:type="dxa"/>
            </w:tcMar>
            <w:vAlign w:val="center"/>
          </w:tcPr>
          <w:p w14:paraId="5461C64B" w14:textId="77777777" w:rsidR="00DA46E8" w:rsidRDefault="00651721">
            <w:pPr>
              <w:pStyle w:val="SWCTableText"/>
            </w:pPr>
            <w:r>
              <w:t>0.2/0.3 → 0.3/0.4</w:t>
            </w:r>
          </w:p>
        </w:tc>
        <w:tc>
          <w:tcPr>
            <w:tcW w:w="2209" w:type="dxa"/>
            <w:tcMar>
              <w:top w:w="80" w:type="dxa"/>
              <w:left w:w="120" w:type="dxa"/>
              <w:bottom w:w="80" w:type="dxa"/>
              <w:right w:w="120" w:type="dxa"/>
            </w:tcMar>
            <w:vAlign w:val="center"/>
          </w:tcPr>
          <w:p w14:paraId="46011E90" w14:textId="77777777" w:rsidR="00DA46E8" w:rsidRDefault="00651721">
            <w:pPr>
              <w:pStyle w:val="SWCTableText"/>
            </w:pPr>
            <w:r>
              <w:t>Annual increase ≈ 0.21%</w:t>
            </w:r>
          </w:p>
        </w:tc>
        <w:tc>
          <w:tcPr>
            <w:tcW w:w="2498" w:type="dxa"/>
            <w:tcMar>
              <w:top w:w="80" w:type="dxa"/>
              <w:left w:w="120" w:type="dxa"/>
              <w:bottom w:w="80" w:type="dxa"/>
              <w:right w:w="120" w:type="dxa"/>
            </w:tcMar>
            <w:vAlign w:val="center"/>
          </w:tcPr>
          <w:p w14:paraId="33FE42B2" w14:textId="77777777" w:rsidR="00DA46E8" w:rsidRPr="006D0CB2" w:rsidRDefault="00651721">
            <w:pPr>
              <w:pStyle w:val="SWCTableText"/>
            </w:pPr>
            <w:r w:rsidRPr="006D0CB2">
              <w:rPr>
                <w:lang w:val="en-US"/>
              </w:rPr>
              <w:t>Minor effect for tested inland case</w:t>
            </w:r>
          </w:p>
        </w:tc>
      </w:tr>
      <w:tr w:rsidR="00DA46E8" w14:paraId="2A690C11" w14:textId="77777777">
        <w:trPr>
          <w:jc w:val="center"/>
        </w:trPr>
        <w:tc>
          <w:tcPr>
            <w:tcW w:w="2017" w:type="dxa"/>
            <w:tcMar>
              <w:top w:w="80" w:type="dxa"/>
              <w:left w:w="120" w:type="dxa"/>
              <w:bottom w:w="80" w:type="dxa"/>
              <w:right w:w="120" w:type="dxa"/>
            </w:tcMar>
            <w:vAlign w:val="center"/>
          </w:tcPr>
          <w:p w14:paraId="1AA809F9" w14:textId="77777777" w:rsidR="00DA46E8" w:rsidRDefault="00651721">
            <w:pPr>
              <w:pStyle w:val="SWCTableText"/>
            </w:pPr>
            <w:r>
              <w:t>Latitude</w:t>
            </w:r>
          </w:p>
        </w:tc>
        <w:tc>
          <w:tcPr>
            <w:tcW w:w="1921" w:type="dxa"/>
            <w:tcMar>
              <w:top w:w="80" w:type="dxa"/>
              <w:left w:w="120" w:type="dxa"/>
              <w:bottom w:w="80" w:type="dxa"/>
              <w:right w:w="120" w:type="dxa"/>
            </w:tcMar>
            <w:vAlign w:val="center"/>
          </w:tcPr>
          <w:p w14:paraId="3B93591E" w14:textId="77777777" w:rsidR="00DA46E8" w:rsidRDefault="00651721">
            <w:pPr>
              <w:pStyle w:val="SWCTableText"/>
            </w:pPr>
            <w:r>
              <w:t>37.5°N vs 34.0°N</w:t>
            </w:r>
          </w:p>
        </w:tc>
        <w:tc>
          <w:tcPr>
            <w:tcW w:w="2209" w:type="dxa"/>
            <w:tcMar>
              <w:top w:w="80" w:type="dxa"/>
              <w:left w:w="120" w:type="dxa"/>
              <w:bottom w:w="80" w:type="dxa"/>
              <w:right w:w="120" w:type="dxa"/>
            </w:tcMar>
            <w:vAlign w:val="center"/>
          </w:tcPr>
          <w:p w14:paraId="1ECEAE90" w14:textId="77777777" w:rsidR="00DA46E8" w:rsidRDefault="00651721">
            <w:pPr>
              <w:pStyle w:val="SWCTableText"/>
            </w:pPr>
            <w:r>
              <w:t>Annual difference ≈ 0.64%</w:t>
            </w:r>
          </w:p>
        </w:tc>
        <w:tc>
          <w:tcPr>
            <w:tcW w:w="2498" w:type="dxa"/>
            <w:tcMar>
              <w:top w:w="80" w:type="dxa"/>
              <w:left w:w="120" w:type="dxa"/>
              <w:bottom w:w="80" w:type="dxa"/>
              <w:right w:w="120" w:type="dxa"/>
            </w:tcMar>
            <w:vAlign w:val="center"/>
          </w:tcPr>
          <w:p w14:paraId="7A0B9BE8" w14:textId="77777777" w:rsidR="00DA46E8" w:rsidRDefault="00651721">
            <w:pPr>
              <w:pStyle w:val="SWCTableText"/>
            </w:pPr>
            <w:r>
              <w:t>Small within tested range</w:t>
            </w:r>
          </w:p>
        </w:tc>
      </w:tr>
    </w:tbl>
    <w:p w14:paraId="1B00BA86" w14:textId="77777777" w:rsidR="00DA46E8" w:rsidRPr="006D0CB2" w:rsidRDefault="00651721">
      <w:pPr>
        <w:pStyle w:val="SWCHeading1"/>
        <w:keepNext/>
        <w:numPr>
          <w:ilvl w:val="0"/>
          <w:numId w:val="0"/>
        </w:numPr>
      </w:pPr>
      <w:r w:rsidRPr="006D0CB2">
        <w:t>4. Implications for Practitioners and Policy Makers</w:t>
      </w:r>
    </w:p>
    <w:p w14:paraId="06007210" w14:textId="6CF461F0" w:rsidR="00DA46E8" w:rsidRPr="006D0CB2" w:rsidRDefault="00651721" w:rsidP="00ED1683">
      <w:pPr>
        <w:pStyle w:val="SWCText"/>
        <w:ind w:firstLineChars="100" w:firstLine="200"/>
      </w:pPr>
      <w:r w:rsidRPr="006D0CB2">
        <w:t xml:space="preserve">The results support three practical points. First, facade PV should be evaluated as </w:t>
      </w:r>
      <w:r w:rsidR="006D6EF0">
        <w:t xml:space="preserve">both </w:t>
      </w:r>
      <w:r w:rsidRPr="006D0CB2">
        <w:t>an architectural and energy component: a design that maximizes installed PV area is not necessarily the design that best balances electricity generation, shading, daylight, and appearance. Second, urban surroundings should be represented in bifacial BIPV assessment even when direct shading is absent, because reflected radiation can alter annual output. Third, nearly zero-energy housing strategies can benefit from combining passive load reduction with on-site renewable generation and low-energy conditioning rather than relying on a single technology.</w:t>
      </w:r>
    </w:p>
    <w:p w14:paraId="15B98157" w14:textId="79A13294" w:rsidR="006D6EF0" w:rsidRDefault="00651721" w:rsidP="00ED1683">
      <w:pPr>
        <w:pStyle w:val="SWCText"/>
        <w:ind w:firstLineChars="100" w:firstLine="200"/>
      </w:pPr>
      <w:r w:rsidRPr="006D0CB2">
        <w:t xml:space="preserve">For practitioners, the simulation workflow provides a way to screen module geometry and site conditions before detailed facade engineering. For policy makers and demonstration projects, </w:t>
      </w:r>
      <w:r w:rsidR="006D6EF0">
        <w:t>performance assessment should consider multiple functions of BIPV, including renewable generation, solar control, material substitution, and potential interaction with cooling systems, so that incentives do not reward electricity yield alone.</w:t>
      </w:r>
    </w:p>
    <w:p w14:paraId="4440D167" w14:textId="77777777" w:rsidR="00DA46E8" w:rsidRPr="006D0CB2" w:rsidRDefault="00651721">
      <w:pPr>
        <w:pStyle w:val="SWCHeading1"/>
        <w:keepNext/>
        <w:numPr>
          <w:ilvl w:val="0"/>
          <w:numId w:val="0"/>
        </w:numPr>
      </w:pPr>
      <w:r w:rsidRPr="006D0CB2">
        <w:t>5. Conclusions</w:t>
      </w:r>
    </w:p>
    <w:p w14:paraId="05AE2F11" w14:textId="3BBD50D0" w:rsidR="00DA46E8" w:rsidRPr="006D0CB2" w:rsidRDefault="00651721" w:rsidP="00ED1683">
      <w:pPr>
        <w:pStyle w:val="SWCText"/>
        <w:ind w:firstLineChars="100" w:firstLine="200"/>
      </w:pPr>
      <w:r w:rsidRPr="006D0CB2">
        <w:t xml:space="preserve">A multifunctional bifacial BIPV shading system was evaluated for a 22-story nearly zero-energy apartment </w:t>
      </w:r>
      <w:r w:rsidRPr="006D0CB2">
        <w:lastRenderedPageBreak/>
        <w:t xml:space="preserve">concept. The simulation quantified the influence of PV projection width, cell ratio, adjacent-building geometry, albedo, and latitude. Increasing projection width raised total annual generation but reduced SUR, while reducing </w:t>
      </w:r>
      <w:r w:rsidR="00C339B4">
        <w:t xml:space="preserve">the </w:t>
      </w:r>
      <w:r w:rsidRPr="006D0CB2">
        <w:t>cell ratio produced a substantial increase in both annual generation and SUR. The adjacent-building effect reached approximately 1.11%, whereas the tested albedo and latitude variations changed annual output by only about 0.21% and 0.64%, respectively.</w:t>
      </w:r>
    </w:p>
    <w:p w14:paraId="6C96B560" w14:textId="7D32E734" w:rsidR="00ED1683" w:rsidRDefault="00651721" w:rsidP="00ED1683">
      <w:pPr>
        <w:pStyle w:val="SWCText"/>
        <w:ind w:firstLineChars="100" w:firstLine="200"/>
      </w:pPr>
      <w:r w:rsidRPr="006D0CB2">
        <w:t>The findings indicate that MB-BIPVS optimization should be based on a multi-objective design criterion rather than electricity production alone. For the studied facade, a 1.0 m projection is proposed as a practical reference because it combines meaningful power generation with the intended architectural overhang function.</w:t>
      </w:r>
    </w:p>
    <w:p w14:paraId="06506011" w14:textId="556A12E3" w:rsidR="00DA46E8" w:rsidRPr="006D0CB2" w:rsidRDefault="00651721" w:rsidP="00ED1683">
      <w:pPr>
        <w:pStyle w:val="SWCText"/>
        <w:ind w:firstLineChars="100" w:firstLine="200"/>
      </w:pPr>
      <w:r w:rsidRPr="006D0CB2">
        <w:t>The cell ratio should be selected by jointly assessing PV output, daylight</w:t>
      </w:r>
      <w:r w:rsidR="00C339B4">
        <w:t>,</w:t>
      </w:r>
      <w:r w:rsidRPr="006D0CB2">
        <w:t xml:space="preserve"> and shading. Integration with passive intelligent radiant cooling is a promising system-level extension, </w:t>
      </w:r>
      <w:r w:rsidR="00C339B4">
        <w:t xml:space="preserve">but a complete energy balance of the combined system </w:t>
      </w:r>
      <w:r w:rsidRPr="006D0CB2">
        <w:t>remains to be experimentally validated. Future work should therefore evaluate full-scale BIPV performance, apartment cooling/heating demand, thermal comfort, and system-level energy self-reliance under different climates and urban configurations.</w:t>
      </w:r>
    </w:p>
    <w:p w14:paraId="54822B31" w14:textId="77777777" w:rsidR="00DA46E8" w:rsidDel="00DA3BA4" w:rsidRDefault="00651721">
      <w:pPr>
        <w:pStyle w:val="SWCHeading1"/>
        <w:keepNext/>
        <w:numPr>
          <w:ilvl w:val="0"/>
          <w:numId w:val="0"/>
        </w:numPr>
      </w:pPr>
      <w:r w:rsidRPr="006D0CB2">
        <w:t>6. Acknowledgments</w:t>
      </w:r>
    </w:p>
    <w:p w14:paraId="20BFC76D" w14:textId="77777777" w:rsidR="00D3781E" w:rsidRDefault="00D3781E" w:rsidP="00D3781E">
      <w:pPr>
        <w:pStyle w:val="SWCText"/>
      </w:pPr>
      <w:r>
        <w:rPr>
          <w:spacing w:val="-8"/>
        </w:rPr>
        <w:t xml:space="preserve">This research was financially supported by the Ministry of Trade, Industry and Energy (MOTIE) and the Korea Institute for Advancement of Technology (KIAT) under Project No. </w:t>
      </w:r>
      <w:r>
        <w:rPr>
          <w:lang w:eastAsia="ko-KR"/>
        </w:rPr>
        <w:t>P0026322</w:t>
      </w:r>
      <w:r>
        <w:rPr>
          <w:spacing w:val="-8"/>
        </w:rPr>
        <w:t xml:space="preserve"> through the International Cooperative R&amp;D program EUREKA. </w:t>
      </w:r>
    </w:p>
    <w:p w14:paraId="78526527" w14:textId="77777777" w:rsidR="00DA46E8" w:rsidRPr="006D0CB2" w:rsidRDefault="00651721">
      <w:pPr>
        <w:pStyle w:val="SWCHeading1"/>
        <w:keepNext/>
        <w:numPr>
          <w:ilvl w:val="0"/>
          <w:numId w:val="0"/>
        </w:numPr>
      </w:pPr>
      <w:r w:rsidRPr="006D0CB2">
        <w:t>7. References</w:t>
      </w:r>
    </w:p>
    <w:p w14:paraId="666DE603" w14:textId="77777777" w:rsidR="00DA46E8" w:rsidRPr="000645F6" w:rsidRDefault="00651721">
      <w:pPr>
        <w:pStyle w:val="SWCReferences"/>
      </w:pPr>
      <w:r w:rsidRPr="000645F6">
        <w:rPr>
          <w:lang w:val="en-US"/>
        </w:rPr>
        <w:t xml:space="preserve">Brito, M.C., Gomes, N., Santos, T., </w:t>
      </w:r>
      <w:proofErr w:type="spellStart"/>
      <w:r w:rsidRPr="000645F6">
        <w:rPr>
          <w:lang w:val="en-US"/>
        </w:rPr>
        <w:t>Tenedorio</w:t>
      </w:r>
      <w:proofErr w:type="spellEnd"/>
      <w:r w:rsidRPr="000645F6">
        <w:rPr>
          <w:lang w:val="en-US"/>
        </w:rPr>
        <w:t>, J.A., 2017. The importance of facades for the solar PV potential of a Mediterranean city using LiDAR data. Renewable Energy 111, 85-94.</w:t>
      </w:r>
    </w:p>
    <w:p w14:paraId="211DE5F2" w14:textId="77777777" w:rsidR="00DA46E8" w:rsidRPr="000645F6" w:rsidRDefault="00651721">
      <w:pPr>
        <w:pStyle w:val="SWCReferences"/>
      </w:pPr>
      <w:r w:rsidRPr="000645F6">
        <w:rPr>
          <w:lang w:val="en-US"/>
        </w:rPr>
        <w:t>Chen, M. et al., 2021. Improvement of the electricity performance of bifacial PV module applied on the building envelope. Energy and Buildings 238, 110849.</w:t>
      </w:r>
    </w:p>
    <w:p w14:paraId="130B3B20" w14:textId="77777777" w:rsidR="00DA46E8" w:rsidRPr="000645F6" w:rsidRDefault="00651721">
      <w:pPr>
        <w:pStyle w:val="SWCReferences"/>
      </w:pPr>
      <w:r w:rsidRPr="000645F6">
        <w:rPr>
          <w:lang w:val="en-US"/>
        </w:rPr>
        <w:t>Ghosh, A., 2020. Potential of building integrated and attached/applied photovoltaic (BIPV/BAPV) for adaptive less energy-hungry building skin: A comprehensive review. Journal of Cleaner Production 276, 123343.</w:t>
      </w:r>
    </w:p>
    <w:p w14:paraId="30E7F5AB" w14:textId="77777777" w:rsidR="00DA46E8" w:rsidRPr="000645F6" w:rsidRDefault="00651721">
      <w:pPr>
        <w:pStyle w:val="SWCReferences"/>
      </w:pPr>
      <w:r w:rsidRPr="000645F6">
        <w:rPr>
          <w:lang w:val="en-US"/>
        </w:rPr>
        <w:t>IEA, 2021. The Role of Energy Efficient Buildings on the Path to Net-Zero - Strategies for Policymakers. International Energy Agency, Paris.</w:t>
      </w:r>
    </w:p>
    <w:p w14:paraId="1FE5783F" w14:textId="77777777" w:rsidR="00DA46E8" w:rsidRPr="000645F6" w:rsidRDefault="00651721">
      <w:pPr>
        <w:pStyle w:val="SWCReferences"/>
      </w:pPr>
      <w:proofErr w:type="spellStart"/>
      <w:r w:rsidRPr="000645F6">
        <w:rPr>
          <w:lang w:val="en-US"/>
        </w:rPr>
        <w:t>Mandalaki</w:t>
      </w:r>
      <w:proofErr w:type="spellEnd"/>
      <w:r w:rsidRPr="000645F6">
        <w:rPr>
          <w:lang w:val="en-US"/>
        </w:rPr>
        <w:t>, M. et al., 2014. Integrated PV in shading systems for Mediterranean countries: Balance between energy production and visual comfort. Energy and Buildings 77, 445-456.</w:t>
      </w:r>
    </w:p>
    <w:p w14:paraId="4142D696" w14:textId="77777777" w:rsidR="00DA46E8" w:rsidRPr="000645F6" w:rsidRDefault="00651721">
      <w:pPr>
        <w:pStyle w:val="SWCReferences"/>
      </w:pPr>
      <w:proofErr w:type="spellStart"/>
      <w:r w:rsidRPr="000645F6">
        <w:rPr>
          <w:lang w:val="en-US"/>
        </w:rPr>
        <w:t>Paydar</w:t>
      </w:r>
      <w:proofErr w:type="spellEnd"/>
      <w:r w:rsidRPr="000645F6">
        <w:rPr>
          <w:lang w:val="en-US"/>
        </w:rPr>
        <w:t>, M.A., 2020. Optimum design of building integrated PV module as a movable shading device. Sustainable Cities and Society 62.</w:t>
      </w:r>
    </w:p>
    <w:p w14:paraId="3C2F2032" w14:textId="77777777" w:rsidR="00DA46E8" w:rsidRPr="000645F6" w:rsidRDefault="00651721">
      <w:pPr>
        <w:pStyle w:val="SWCReferences"/>
      </w:pPr>
      <w:proofErr w:type="spellStart"/>
      <w:r w:rsidRPr="000645F6">
        <w:rPr>
          <w:lang w:val="en-US"/>
        </w:rPr>
        <w:t>Skandalos</w:t>
      </w:r>
      <w:proofErr w:type="spellEnd"/>
      <w:r w:rsidRPr="000645F6">
        <w:rPr>
          <w:lang w:val="en-US"/>
        </w:rPr>
        <w:t xml:space="preserve">, N. et al., 2022. Building PV integration according to regional climate conditions: BIPV regional adaptability extending </w:t>
      </w:r>
      <w:proofErr w:type="spellStart"/>
      <w:r w:rsidRPr="000645F6">
        <w:rPr>
          <w:lang w:val="en-US"/>
        </w:rPr>
        <w:t>Koppen</w:t>
      </w:r>
      <w:proofErr w:type="spellEnd"/>
      <w:r w:rsidRPr="000645F6">
        <w:rPr>
          <w:lang w:val="en-US"/>
        </w:rPr>
        <w:t>-Geiger climate classification against urban and climate-related temperature increases. Renewable and Sustainable Energy Reviews 169.</w:t>
      </w:r>
    </w:p>
    <w:p w14:paraId="76F2E09F" w14:textId="77777777" w:rsidR="00DA46E8" w:rsidRPr="000645F6" w:rsidRDefault="00651721">
      <w:pPr>
        <w:pStyle w:val="SWCReferences"/>
      </w:pPr>
      <w:r w:rsidRPr="000645F6">
        <w:rPr>
          <w:lang w:val="en-US"/>
        </w:rPr>
        <w:t xml:space="preserve">Tina, G.M. et al., 2020. A novel building ventilated facade with integrated bifacial photovoltaic modules: Analysis of the electrical and thermal performances. </w:t>
      </w:r>
      <w:proofErr w:type="spellStart"/>
      <w:r w:rsidRPr="000645F6">
        <w:rPr>
          <w:lang w:val="en-US"/>
        </w:rPr>
        <w:t>SpliTech</w:t>
      </w:r>
      <w:proofErr w:type="spellEnd"/>
      <w:r w:rsidRPr="000645F6">
        <w:rPr>
          <w:lang w:val="en-US"/>
        </w:rPr>
        <w:t xml:space="preserve"> 2020.</w:t>
      </w:r>
    </w:p>
    <w:p w14:paraId="5EA03862" w14:textId="77777777" w:rsidR="00DA46E8" w:rsidDel="001134AC" w:rsidRDefault="00651721" w:rsidP="001134AC">
      <w:pPr>
        <w:pStyle w:val="SWCReferences"/>
      </w:pPr>
      <w:r w:rsidRPr="000645F6">
        <w:rPr>
          <w:lang w:val="en-US"/>
        </w:rPr>
        <w:t>Yoo, S.-H., 2019. Optimization of a BIPV system to mitigate greenhouse gas and indoor environment. Solar Energy 188, 875-882</w:t>
      </w:r>
      <w:r w:rsidR="001134AC">
        <w:rPr>
          <w:lang w:val="en-US"/>
        </w:rPr>
        <w:t>.</w:t>
      </w:r>
    </w:p>
    <w:p w14:paraId="439FF4EC" w14:textId="1223EE6E" w:rsidR="00DA46E8" w:rsidRPr="001134AC" w:rsidRDefault="00651721">
      <w:pPr>
        <w:pStyle w:val="SWCReferences"/>
      </w:pPr>
      <w:r w:rsidRPr="001134AC">
        <w:rPr>
          <w:lang w:val="en-US"/>
        </w:rPr>
        <w:t>Yoo, S.-H.</w:t>
      </w:r>
      <w:r w:rsidR="00D3781E" w:rsidRPr="001134AC">
        <w:rPr>
          <w:lang w:val="en-US"/>
        </w:rPr>
        <w:t xml:space="preserve">, </w:t>
      </w:r>
      <w:r w:rsidR="00B91832" w:rsidRPr="001134AC">
        <w:rPr>
          <w:lang w:val="en-US"/>
        </w:rPr>
        <w:t>et al</w:t>
      </w:r>
      <w:r w:rsidR="00460DFB">
        <w:rPr>
          <w:lang w:val="en-US"/>
        </w:rPr>
        <w:t>.</w:t>
      </w:r>
      <w:r w:rsidRPr="001134AC">
        <w:rPr>
          <w:lang w:val="en-US"/>
        </w:rPr>
        <w:t>, 202</w:t>
      </w:r>
      <w:r w:rsidR="00B91832" w:rsidRPr="001134AC">
        <w:rPr>
          <w:lang w:val="en-US"/>
        </w:rPr>
        <w:t>5</w:t>
      </w:r>
      <w:r w:rsidRPr="001134AC">
        <w:rPr>
          <w:lang w:val="en-US"/>
        </w:rPr>
        <w:t xml:space="preserve">. </w:t>
      </w:r>
      <w:r w:rsidR="00B91832" w:rsidRPr="001134AC">
        <w:rPr>
          <w:lang w:val="en-US" w:eastAsia="ko-KR"/>
        </w:rPr>
        <w:t>E</w:t>
      </w:r>
      <w:r w:rsidR="00ED1683">
        <w:rPr>
          <w:lang w:val="en-US" w:eastAsia="ko-KR"/>
        </w:rPr>
        <w:t>cological</w:t>
      </w:r>
      <w:r w:rsidR="00B91832" w:rsidRPr="001134AC">
        <w:rPr>
          <w:lang w:val="en-US" w:eastAsia="ko-KR"/>
        </w:rPr>
        <w:t xml:space="preserve"> </w:t>
      </w:r>
      <w:r w:rsidR="00E72592">
        <w:rPr>
          <w:lang w:val="en-US" w:eastAsia="ko-KR"/>
        </w:rPr>
        <w:t>g</w:t>
      </w:r>
      <w:r w:rsidR="00ED1683">
        <w:rPr>
          <w:lang w:val="en-US" w:eastAsia="ko-KR"/>
        </w:rPr>
        <w:t>uidelines</w:t>
      </w:r>
      <w:r w:rsidR="00B91832" w:rsidRPr="001134AC">
        <w:rPr>
          <w:lang w:val="en-US"/>
        </w:rPr>
        <w:t xml:space="preserve"> of </w:t>
      </w:r>
      <w:r w:rsidR="00ED1683">
        <w:rPr>
          <w:lang w:val="en-US"/>
        </w:rPr>
        <w:t>plus-energy solar house elements</w:t>
      </w:r>
      <w:r w:rsidR="00B91832" w:rsidRPr="001134AC">
        <w:rPr>
          <w:lang w:val="en-US"/>
        </w:rPr>
        <w:t xml:space="preserve"> for the </w:t>
      </w:r>
      <w:r w:rsidR="00ED1683">
        <w:rPr>
          <w:lang w:val="en-US"/>
        </w:rPr>
        <w:t>climate resilient village model</w:t>
      </w:r>
      <w:r w:rsidR="00B91832" w:rsidRPr="001134AC">
        <w:rPr>
          <w:lang w:val="en-US"/>
        </w:rPr>
        <w:t xml:space="preserve">, ISES Solar </w:t>
      </w:r>
      <w:r w:rsidR="00ED1683">
        <w:rPr>
          <w:lang w:val="en-US"/>
        </w:rPr>
        <w:t>W</w:t>
      </w:r>
      <w:r w:rsidR="00B91832" w:rsidRPr="001134AC">
        <w:rPr>
          <w:lang w:val="en-US"/>
        </w:rPr>
        <w:t xml:space="preserve">orld </w:t>
      </w:r>
      <w:r w:rsidR="00ED1683">
        <w:rPr>
          <w:lang w:val="en-US"/>
        </w:rPr>
        <w:t>C</w:t>
      </w:r>
      <w:r w:rsidR="00B91832" w:rsidRPr="001134AC">
        <w:rPr>
          <w:lang w:val="en-US"/>
        </w:rPr>
        <w:t>ongress 2025</w:t>
      </w:r>
      <w:r w:rsidRPr="001134AC">
        <w:rPr>
          <w:lang w:val="en-US"/>
        </w:rPr>
        <w:t xml:space="preserve">, </w:t>
      </w:r>
      <w:r w:rsidR="001134AC">
        <w:rPr>
          <w:lang w:val="en-US"/>
        </w:rPr>
        <w:t xml:space="preserve">Fortaleza, </w:t>
      </w:r>
      <w:r w:rsidR="00B91832" w:rsidRPr="001134AC">
        <w:rPr>
          <w:lang w:val="en-US"/>
        </w:rPr>
        <w:t>Brazil</w:t>
      </w:r>
      <w:r w:rsidRPr="001134AC">
        <w:rPr>
          <w:lang w:val="en-US"/>
        </w:rPr>
        <w:t>.</w:t>
      </w:r>
    </w:p>
    <w:sectPr w:rsidR="00DA46E8" w:rsidRPr="001134AC" w:rsidSect="00550776">
      <w:footnotePr>
        <w:numRestart w:val="eachPage"/>
      </w:footnotePr>
      <w:pgSz w:w="11906" w:h="16838" w:code="9"/>
      <w:pgMar w:top="1701" w:right="1440" w:bottom="1440" w:left="1701" w:header="284" w:footer="284"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7DC275" w14:textId="77777777" w:rsidR="00FB49C2" w:rsidRDefault="00FB49C2">
      <w:r>
        <w:separator/>
      </w:r>
    </w:p>
  </w:endnote>
  <w:endnote w:type="continuationSeparator" w:id="0">
    <w:p w14:paraId="45062065" w14:textId="77777777" w:rsidR="00FB49C2" w:rsidRDefault="00FB49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맑은 고딕">
    <w:panose1 w:val="020B0503020000020004"/>
    <w:charset w:val="81"/>
    <w:family w:val="modern"/>
    <w:pitch w:val="variable"/>
    <w:sig w:usb0="9000002F" w:usb1="29D77CFB" w:usb2="00000012" w:usb3="00000000" w:csb0="00080001" w:csb1="00000000"/>
  </w:font>
  <w:font w:name="Arial">
    <w:panose1 w:val="020B0604020202020204"/>
    <w:charset w:val="00"/>
    <w:family w:val="swiss"/>
    <w:pitch w:val="variable"/>
    <w:sig w:usb0="E0002EFF" w:usb1="C000785B" w:usb2="00000009" w:usb3="00000000" w:csb0="000001FF" w:csb1="00000000"/>
  </w:font>
  <w:font w:name="Minion Pro">
    <w:altName w:val="Cambria Math"/>
    <w:panose1 w:val="00000000000000000000"/>
    <w:charset w:val="00"/>
    <w:family w:val="roman"/>
    <w:notTrueType/>
    <w:pitch w:val="variable"/>
    <w:sig w:usb0="60000287" w:usb1="00000001" w:usb2="00000000" w:usb3="00000000" w:csb0="0000019F" w:csb1="00000000"/>
  </w:font>
  <w:font w:name="Helvetica">
    <w:panose1 w:val="020B0604020202020204"/>
    <w:charset w:val="A2"/>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Palatino Linotype">
    <w:panose1 w:val="02040502050505030304"/>
    <w:charset w:val="00"/>
    <w:family w:val="roman"/>
    <w:pitch w:val="variable"/>
    <w:sig w:usb0="E0000287" w:usb1="40000013"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A2"/>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E9CC79" w14:textId="77777777" w:rsidR="00FB49C2" w:rsidRDefault="00FB49C2">
      <w:r>
        <w:separator/>
      </w:r>
    </w:p>
  </w:footnote>
  <w:footnote w:type="continuationSeparator" w:id="0">
    <w:p w14:paraId="5565360B" w14:textId="77777777" w:rsidR="00FB49C2" w:rsidRDefault="00FB49C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CFC5FAD4"/>
    <w:multiLevelType w:val="hybridMultilevel"/>
    <w:tmpl w:val="B740534D"/>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FFFFF80"/>
    <w:multiLevelType w:val="singleLevel"/>
    <w:tmpl w:val="8BBE5F78"/>
    <w:lvl w:ilvl="0">
      <w:start w:val="1"/>
      <w:numFmt w:val="bullet"/>
      <w:lvlText w:val=""/>
      <w:lvlJc w:val="left"/>
      <w:pPr>
        <w:tabs>
          <w:tab w:val="num" w:pos="1492"/>
        </w:tabs>
        <w:ind w:left="1492" w:hanging="360"/>
      </w:pPr>
      <w:rPr>
        <w:rFonts w:ascii="Symbol" w:hAnsi="Symbol" w:hint="default"/>
      </w:rPr>
    </w:lvl>
  </w:abstractNum>
  <w:abstractNum w:abstractNumId="2" w15:restartNumberingAfterBreak="0">
    <w:nsid w:val="FFFFFF81"/>
    <w:multiLevelType w:val="singleLevel"/>
    <w:tmpl w:val="41467FA0"/>
    <w:lvl w:ilvl="0">
      <w:start w:val="1"/>
      <w:numFmt w:val="bullet"/>
      <w:lvlText w:val=""/>
      <w:lvlJc w:val="left"/>
      <w:pPr>
        <w:tabs>
          <w:tab w:val="num" w:pos="1209"/>
        </w:tabs>
        <w:ind w:left="1209" w:hanging="360"/>
      </w:pPr>
      <w:rPr>
        <w:rFonts w:ascii="Symbol" w:hAnsi="Symbol" w:hint="default"/>
      </w:rPr>
    </w:lvl>
  </w:abstractNum>
  <w:abstractNum w:abstractNumId="3" w15:restartNumberingAfterBreak="0">
    <w:nsid w:val="FFFFFF82"/>
    <w:multiLevelType w:val="singleLevel"/>
    <w:tmpl w:val="647421D6"/>
    <w:lvl w:ilvl="0">
      <w:start w:val="1"/>
      <w:numFmt w:val="bullet"/>
      <w:lvlText w:val=""/>
      <w:lvlJc w:val="left"/>
      <w:pPr>
        <w:tabs>
          <w:tab w:val="num" w:pos="926"/>
        </w:tabs>
        <w:ind w:left="926" w:hanging="360"/>
      </w:pPr>
      <w:rPr>
        <w:rFonts w:ascii="Symbol" w:hAnsi="Symbol" w:hint="default"/>
      </w:rPr>
    </w:lvl>
  </w:abstractNum>
  <w:abstractNum w:abstractNumId="4" w15:restartNumberingAfterBreak="0">
    <w:nsid w:val="FFFFFF83"/>
    <w:multiLevelType w:val="singleLevel"/>
    <w:tmpl w:val="EB1292B0"/>
    <w:lvl w:ilvl="0">
      <w:start w:val="1"/>
      <w:numFmt w:val="bullet"/>
      <w:lvlText w:val=""/>
      <w:lvlJc w:val="left"/>
      <w:pPr>
        <w:tabs>
          <w:tab w:val="num" w:pos="643"/>
        </w:tabs>
        <w:ind w:left="643" w:hanging="360"/>
      </w:pPr>
      <w:rPr>
        <w:rFonts w:ascii="Symbol" w:hAnsi="Symbol" w:hint="default"/>
      </w:rPr>
    </w:lvl>
  </w:abstractNum>
  <w:abstractNum w:abstractNumId="5" w15:restartNumberingAfterBreak="0">
    <w:nsid w:val="FFFFFF89"/>
    <w:multiLevelType w:val="singleLevel"/>
    <w:tmpl w:val="6E8C6812"/>
    <w:lvl w:ilvl="0">
      <w:start w:val="1"/>
      <w:numFmt w:val="bullet"/>
      <w:pStyle w:val="a"/>
      <w:lvlText w:val=""/>
      <w:lvlJc w:val="left"/>
      <w:pPr>
        <w:tabs>
          <w:tab w:val="num" w:pos="360"/>
        </w:tabs>
        <w:ind w:left="360" w:hanging="360"/>
      </w:pPr>
      <w:rPr>
        <w:rFonts w:ascii="Symbol" w:hAnsi="Symbol" w:hint="default"/>
      </w:rPr>
    </w:lvl>
  </w:abstractNum>
  <w:abstractNum w:abstractNumId="6" w15:restartNumberingAfterBreak="0">
    <w:nsid w:val="1C551AE5"/>
    <w:multiLevelType w:val="multilevel"/>
    <w:tmpl w:val="173A8E1C"/>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7" w15:restartNumberingAfterBreak="0">
    <w:nsid w:val="23791F8E"/>
    <w:multiLevelType w:val="multilevel"/>
    <w:tmpl w:val="15DC06A0"/>
    <w:lvl w:ilvl="0">
      <w:numFmt w:val="decimal"/>
      <w:lvlText w:val="%1.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15:restartNumberingAfterBreak="0">
    <w:nsid w:val="26AD7B49"/>
    <w:multiLevelType w:val="multilevel"/>
    <w:tmpl w:val="47C4BDDE"/>
    <w:lvl w:ilvl="0">
      <w:numFmt w:val="none"/>
      <w:lvlText w:val="3.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9" w15:restartNumberingAfterBreak="0">
    <w:nsid w:val="302C45F0"/>
    <w:multiLevelType w:val="multilevel"/>
    <w:tmpl w:val="F44CAF64"/>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10" w15:restartNumberingAfterBreak="0">
    <w:nsid w:val="35B80708"/>
    <w:multiLevelType w:val="hybridMultilevel"/>
    <w:tmpl w:val="ED3843FC"/>
    <w:lvl w:ilvl="0" w:tplc="29EEE16E">
      <w:start w:val="1"/>
      <w:numFmt w:val="bullet"/>
      <w:pStyle w:val="SWCBulletedList"/>
      <w:lvlText w:val=""/>
      <w:lvlJc w:val="left"/>
      <w:pPr>
        <w:tabs>
          <w:tab w:val="num" w:pos="1654"/>
        </w:tabs>
        <w:ind w:left="1654" w:hanging="360"/>
      </w:pPr>
      <w:rPr>
        <w:rFonts w:ascii="Symbol" w:hAnsi="Symbol" w:hint="default"/>
        <w:b w:val="0"/>
        <w:i w:val="0"/>
        <w:color w:val="000000"/>
        <w:sz w:val="20"/>
        <w:szCs w:val="20"/>
        <w:u w:val="none"/>
      </w:rPr>
    </w:lvl>
    <w:lvl w:ilvl="1" w:tplc="04070003">
      <w:start w:val="1"/>
      <w:numFmt w:val="bullet"/>
      <w:lvlText w:val="o"/>
      <w:lvlJc w:val="left"/>
      <w:pPr>
        <w:tabs>
          <w:tab w:val="num" w:pos="1920"/>
        </w:tabs>
        <w:ind w:left="1920" w:hanging="360"/>
      </w:pPr>
      <w:rPr>
        <w:rFonts w:ascii="Courier New" w:hAnsi="Courier New" w:cs="Courier New" w:hint="default"/>
      </w:rPr>
    </w:lvl>
    <w:lvl w:ilvl="2" w:tplc="04070005" w:tentative="1">
      <w:start w:val="1"/>
      <w:numFmt w:val="bullet"/>
      <w:lvlText w:val=""/>
      <w:lvlJc w:val="left"/>
      <w:pPr>
        <w:tabs>
          <w:tab w:val="num" w:pos="2640"/>
        </w:tabs>
        <w:ind w:left="2640" w:hanging="360"/>
      </w:pPr>
      <w:rPr>
        <w:rFonts w:ascii="Wingdings" w:hAnsi="Wingdings" w:hint="default"/>
      </w:rPr>
    </w:lvl>
    <w:lvl w:ilvl="3" w:tplc="04070001" w:tentative="1">
      <w:start w:val="1"/>
      <w:numFmt w:val="bullet"/>
      <w:lvlText w:val=""/>
      <w:lvlJc w:val="left"/>
      <w:pPr>
        <w:tabs>
          <w:tab w:val="num" w:pos="3360"/>
        </w:tabs>
        <w:ind w:left="3360" w:hanging="360"/>
      </w:pPr>
      <w:rPr>
        <w:rFonts w:ascii="Symbol" w:hAnsi="Symbol" w:hint="default"/>
      </w:rPr>
    </w:lvl>
    <w:lvl w:ilvl="4" w:tplc="04070003" w:tentative="1">
      <w:start w:val="1"/>
      <w:numFmt w:val="bullet"/>
      <w:lvlText w:val="o"/>
      <w:lvlJc w:val="left"/>
      <w:pPr>
        <w:tabs>
          <w:tab w:val="num" w:pos="4080"/>
        </w:tabs>
        <w:ind w:left="4080" w:hanging="360"/>
      </w:pPr>
      <w:rPr>
        <w:rFonts w:ascii="Courier New" w:hAnsi="Courier New" w:cs="Courier New" w:hint="default"/>
      </w:rPr>
    </w:lvl>
    <w:lvl w:ilvl="5" w:tplc="04070005" w:tentative="1">
      <w:start w:val="1"/>
      <w:numFmt w:val="bullet"/>
      <w:lvlText w:val=""/>
      <w:lvlJc w:val="left"/>
      <w:pPr>
        <w:tabs>
          <w:tab w:val="num" w:pos="4800"/>
        </w:tabs>
        <w:ind w:left="4800" w:hanging="360"/>
      </w:pPr>
      <w:rPr>
        <w:rFonts w:ascii="Wingdings" w:hAnsi="Wingdings" w:hint="default"/>
      </w:rPr>
    </w:lvl>
    <w:lvl w:ilvl="6" w:tplc="04070001" w:tentative="1">
      <w:start w:val="1"/>
      <w:numFmt w:val="bullet"/>
      <w:lvlText w:val=""/>
      <w:lvlJc w:val="left"/>
      <w:pPr>
        <w:tabs>
          <w:tab w:val="num" w:pos="5520"/>
        </w:tabs>
        <w:ind w:left="5520" w:hanging="360"/>
      </w:pPr>
      <w:rPr>
        <w:rFonts w:ascii="Symbol" w:hAnsi="Symbol" w:hint="default"/>
      </w:rPr>
    </w:lvl>
    <w:lvl w:ilvl="7" w:tplc="04070003" w:tentative="1">
      <w:start w:val="1"/>
      <w:numFmt w:val="bullet"/>
      <w:lvlText w:val="o"/>
      <w:lvlJc w:val="left"/>
      <w:pPr>
        <w:tabs>
          <w:tab w:val="num" w:pos="6240"/>
        </w:tabs>
        <w:ind w:left="6240" w:hanging="360"/>
      </w:pPr>
      <w:rPr>
        <w:rFonts w:ascii="Courier New" w:hAnsi="Courier New" w:cs="Courier New" w:hint="default"/>
      </w:rPr>
    </w:lvl>
    <w:lvl w:ilvl="8" w:tplc="04070005" w:tentative="1">
      <w:start w:val="1"/>
      <w:numFmt w:val="bullet"/>
      <w:lvlText w:val=""/>
      <w:lvlJc w:val="left"/>
      <w:pPr>
        <w:tabs>
          <w:tab w:val="num" w:pos="6960"/>
        </w:tabs>
        <w:ind w:left="6960" w:hanging="360"/>
      </w:pPr>
      <w:rPr>
        <w:rFonts w:ascii="Wingdings" w:hAnsi="Wingdings" w:hint="default"/>
      </w:rPr>
    </w:lvl>
  </w:abstractNum>
  <w:abstractNum w:abstractNumId="11" w15:restartNumberingAfterBreak="0">
    <w:nsid w:val="3C6B0D7C"/>
    <w:multiLevelType w:val="singleLevel"/>
    <w:tmpl w:val="1F2055B0"/>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4B6072BF"/>
    <w:multiLevelType w:val="multilevel"/>
    <w:tmpl w:val="340C077E"/>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13" w15:restartNumberingAfterBreak="0">
    <w:nsid w:val="4C577241"/>
    <w:multiLevelType w:val="multilevel"/>
    <w:tmpl w:val="07848DB4"/>
    <w:lvl w:ilvl="0">
      <w:numFmt w:val="none"/>
      <w:lvlText w:val="3.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4" w15:restartNumberingAfterBreak="0">
    <w:nsid w:val="4D8C457A"/>
    <w:multiLevelType w:val="multilevel"/>
    <w:tmpl w:val="53E01C6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5" w15:restartNumberingAfterBreak="0">
    <w:nsid w:val="4F3B4021"/>
    <w:multiLevelType w:val="multilevel"/>
    <w:tmpl w:val="173A8E1C"/>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16" w15:restartNumberingAfterBreak="0">
    <w:nsid w:val="56D85C50"/>
    <w:multiLevelType w:val="multilevel"/>
    <w:tmpl w:val="DFD21A14"/>
    <w:lvl w:ilvl="0">
      <w:start w:val="1"/>
      <w:numFmt w:val="decimal"/>
      <w:lvlText w:val="%1"/>
      <w:lvlJc w:val="left"/>
      <w:pPr>
        <w:tabs>
          <w:tab w:val="num" w:pos="792"/>
        </w:tabs>
        <w:ind w:left="792" w:hanging="432"/>
      </w:pPr>
      <w:rPr>
        <w:rFonts w:hint="default"/>
      </w:rPr>
    </w:lvl>
    <w:lvl w:ilvl="1">
      <w:start w:val="1"/>
      <w:numFmt w:val="decimal"/>
      <w:lvlText w:val="%1.%2"/>
      <w:lvlJc w:val="left"/>
      <w:pPr>
        <w:tabs>
          <w:tab w:val="num" w:pos="936"/>
        </w:tabs>
        <w:ind w:left="936" w:hanging="576"/>
      </w:pPr>
    </w:lvl>
    <w:lvl w:ilvl="2">
      <w:start w:val="1"/>
      <w:numFmt w:val="decimal"/>
      <w:lvlText w:val="%1.%2.%3"/>
      <w:lvlJc w:val="left"/>
      <w:pPr>
        <w:tabs>
          <w:tab w:val="num" w:pos="1080"/>
        </w:tabs>
        <w:ind w:left="1080" w:hanging="720"/>
      </w:pPr>
    </w:lvl>
    <w:lvl w:ilvl="3">
      <w:start w:val="1"/>
      <w:numFmt w:val="decimal"/>
      <w:lvlText w:val="%1.%2.%3.%4"/>
      <w:lvlJc w:val="left"/>
      <w:pPr>
        <w:tabs>
          <w:tab w:val="num" w:pos="1224"/>
        </w:tabs>
        <w:ind w:left="1224" w:hanging="864"/>
      </w:pPr>
    </w:lvl>
    <w:lvl w:ilvl="4">
      <w:start w:val="1"/>
      <w:numFmt w:val="decimal"/>
      <w:lvlText w:val="%1.%2.%3.%4.%5"/>
      <w:lvlJc w:val="left"/>
      <w:pPr>
        <w:tabs>
          <w:tab w:val="num" w:pos="1368"/>
        </w:tabs>
        <w:ind w:left="1368" w:hanging="1008"/>
      </w:pPr>
    </w:lvl>
    <w:lvl w:ilvl="5">
      <w:start w:val="1"/>
      <w:numFmt w:val="decimal"/>
      <w:lvlText w:val="%1.%2.%3.%4.%5.%6"/>
      <w:lvlJc w:val="left"/>
      <w:pPr>
        <w:tabs>
          <w:tab w:val="num" w:pos="1512"/>
        </w:tabs>
        <w:ind w:left="1512" w:hanging="1152"/>
      </w:pPr>
    </w:lvl>
    <w:lvl w:ilvl="6">
      <w:start w:val="1"/>
      <w:numFmt w:val="decimal"/>
      <w:lvlText w:val="%1.%2.%3.%4.%5.%6.%7"/>
      <w:lvlJc w:val="left"/>
      <w:pPr>
        <w:tabs>
          <w:tab w:val="num" w:pos="1656"/>
        </w:tabs>
        <w:ind w:left="1656" w:hanging="1296"/>
      </w:pPr>
    </w:lvl>
    <w:lvl w:ilvl="7">
      <w:start w:val="1"/>
      <w:numFmt w:val="decimal"/>
      <w:lvlText w:val="%1.%2.%3.%4.%5.%6.%7.%8"/>
      <w:lvlJc w:val="left"/>
      <w:pPr>
        <w:tabs>
          <w:tab w:val="num" w:pos="1800"/>
        </w:tabs>
        <w:ind w:left="1800" w:hanging="1440"/>
      </w:pPr>
    </w:lvl>
    <w:lvl w:ilvl="8">
      <w:start w:val="1"/>
      <w:numFmt w:val="decimal"/>
      <w:lvlText w:val="%1.%2.%3.%4.%5.%6.%7.%8.%9"/>
      <w:lvlJc w:val="left"/>
      <w:pPr>
        <w:tabs>
          <w:tab w:val="num" w:pos="1944"/>
        </w:tabs>
        <w:ind w:left="1944" w:hanging="1584"/>
      </w:pPr>
    </w:lvl>
  </w:abstractNum>
  <w:abstractNum w:abstractNumId="17" w15:restartNumberingAfterBreak="0">
    <w:nsid w:val="58A62609"/>
    <w:multiLevelType w:val="multilevel"/>
    <w:tmpl w:val="6DC0C41C"/>
    <w:lvl w:ilvl="0">
      <w:start w:val="1"/>
      <w:numFmt w:val="decimal"/>
      <w:lvlText w:val="%1.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8" w15:restartNumberingAfterBreak="0">
    <w:nsid w:val="640279AF"/>
    <w:multiLevelType w:val="hybridMultilevel"/>
    <w:tmpl w:val="6AEA0D5A"/>
    <w:lvl w:ilvl="0" w:tplc="84FAF57A">
      <w:start w:val="1"/>
      <w:numFmt w:val="decimal"/>
      <w:pStyle w:val="SWCHeading1"/>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9" w15:restartNumberingAfterBreak="0">
    <w:nsid w:val="65750BD4"/>
    <w:multiLevelType w:val="multilevel"/>
    <w:tmpl w:val="DB2472D8"/>
    <w:lvl w:ilvl="0">
      <w:start w:val="1"/>
      <w:numFmt w:val="lowerLetter"/>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20" w15:restartNumberingAfterBreak="0">
    <w:nsid w:val="65A532E3"/>
    <w:multiLevelType w:val="multilevel"/>
    <w:tmpl w:val="5EDC8EA4"/>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21" w15:restartNumberingAfterBreak="0">
    <w:nsid w:val="66FF0B8E"/>
    <w:multiLevelType w:val="multilevel"/>
    <w:tmpl w:val="173A8E1C"/>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22" w15:restartNumberingAfterBreak="0">
    <w:nsid w:val="7B7E6D4B"/>
    <w:multiLevelType w:val="hybridMultilevel"/>
    <w:tmpl w:val="4D182A76"/>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num w:numId="1">
    <w:abstractNumId w:val="5"/>
  </w:num>
  <w:num w:numId="2">
    <w:abstractNumId w:val="11"/>
  </w:num>
  <w:num w:numId="3">
    <w:abstractNumId w:val="10"/>
  </w:num>
  <w:num w:numId="4">
    <w:abstractNumId w:val="22"/>
  </w:num>
  <w:num w:numId="5">
    <w:abstractNumId w:val="4"/>
  </w:num>
  <w:num w:numId="6">
    <w:abstractNumId w:val="3"/>
  </w:num>
  <w:num w:numId="7">
    <w:abstractNumId w:val="0"/>
  </w:num>
  <w:num w:numId="8">
    <w:abstractNumId w:val="2"/>
  </w:num>
  <w:num w:numId="9">
    <w:abstractNumId w:val="1"/>
  </w:num>
  <w:num w:numId="10">
    <w:abstractNumId w:val="6"/>
  </w:num>
  <w:num w:numId="11">
    <w:abstractNumId w:val="18"/>
  </w:num>
  <w:num w:numId="12">
    <w:abstractNumId w:val="14"/>
  </w:num>
  <w:num w:numId="13">
    <w:abstractNumId w:val="6"/>
    <w:lvlOverride w:ilvl="0">
      <w:startOverride w:val="1"/>
    </w:lvlOverride>
  </w:num>
  <w:num w:numId="14">
    <w:abstractNumId w:val="17"/>
  </w:num>
  <w:num w:numId="15">
    <w:abstractNumId w:val="7"/>
  </w:num>
  <w:num w:numId="16">
    <w:abstractNumId w:val="13"/>
  </w:num>
  <w:num w:numId="17">
    <w:abstractNumId w:val="16"/>
  </w:num>
  <w:num w:numId="18">
    <w:abstractNumId w:val="20"/>
  </w:num>
  <w:num w:numId="19">
    <w:abstractNumId w:val="9"/>
  </w:num>
  <w:num w:numId="20">
    <w:abstractNumId w:val="8"/>
  </w:num>
  <w:num w:numId="21">
    <w:abstractNumId w:val="12"/>
  </w:num>
  <w:num w:numId="22">
    <w:abstractNumId w:val="19"/>
  </w:num>
  <w:num w:numId="23">
    <w:abstractNumId w:val="15"/>
  </w:num>
  <w:num w:numId="24">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bordersDoNotSurroundHeader/>
  <w:bordersDoNotSurroundFooter/>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ocumentProtection w:edit="trackedChanges" w:enforcement="1"/>
  <w:defaultTabStop w:val="720"/>
  <w:hyphenationZone w:val="425"/>
  <w:drawingGridHorizontalSpacing w:val="120"/>
  <w:displayHorizontalDrawingGridEvery w:val="2"/>
  <w:noPunctuationKerning/>
  <w:characterSpacingControl w:val="doNotCompress"/>
  <w:hdrShapeDefaults>
    <o:shapedefaults v:ext="edit" spidmax="2049"/>
  </w:hdrShapeDefaults>
  <w:footnotePr>
    <w:numRestart w:val="eachPage"/>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716E"/>
    <w:rsid w:val="00005037"/>
    <w:rsid w:val="000067DB"/>
    <w:rsid w:val="00010262"/>
    <w:rsid w:val="0002379F"/>
    <w:rsid w:val="00031F13"/>
    <w:rsid w:val="0004235D"/>
    <w:rsid w:val="0005003E"/>
    <w:rsid w:val="000533E4"/>
    <w:rsid w:val="000534F5"/>
    <w:rsid w:val="00053E02"/>
    <w:rsid w:val="00055DB9"/>
    <w:rsid w:val="00057B5E"/>
    <w:rsid w:val="000645F6"/>
    <w:rsid w:val="00066B26"/>
    <w:rsid w:val="00066F72"/>
    <w:rsid w:val="000678AC"/>
    <w:rsid w:val="000712A1"/>
    <w:rsid w:val="00074DBF"/>
    <w:rsid w:val="00092ED5"/>
    <w:rsid w:val="000A0ADB"/>
    <w:rsid w:val="000A1CC8"/>
    <w:rsid w:val="000A30A5"/>
    <w:rsid w:val="000A36B5"/>
    <w:rsid w:val="000A52A1"/>
    <w:rsid w:val="000B04BE"/>
    <w:rsid w:val="000B09B5"/>
    <w:rsid w:val="000B1F4D"/>
    <w:rsid w:val="000C2344"/>
    <w:rsid w:val="000D64B9"/>
    <w:rsid w:val="000D6E1A"/>
    <w:rsid w:val="000E1855"/>
    <w:rsid w:val="000E6CBA"/>
    <w:rsid w:val="000F739B"/>
    <w:rsid w:val="0010501A"/>
    <w:rsid w:val="001134AC"/>
    <w:rsid w:val="00115D3B"/>
    <w:rsid w:val="0013222F"/>
    <w:rsid w:val="00136177"/>
    <w:rsid w:val="0015090D"/>
    <w:rsid w:val="00150B42"/>
    <w:rsid w:val="00155FB8"/>
    <w:rsid w:val="00157CE5"/>
    <w:rsid w:val="00162F95"/>
    <w:rsid w:val="001647D2"/>
    <w:rsid w:val="00166C42"/>
    <w:rsid w:val="00176EF6"/>
    <w:rsid w:val="001904A7"/>
    <w:rsid w:val="0019232E"/>
    <w:rsid w:val="00194E9A"/>
    <w:rsid w:val="001968B5"/>
    <w:rsid w:val="001969B9"/>
    <w:rsid w:val="001A117A"/>
    <w:rsid w:val="001A775B"/>
    <w:rsid w:val="001A7F40"/>
    <w:rsid w:val="001B13D6"/>
    <w:rsid w:val="001B6BCF"/>
    <w:rsid w:val="001B7B01"/>
    <w:rsid w:val="001C3A3D"/>
    <w:rsid w:val="001C63A2"/>
    <w:rsid w:val="001D0384"/>
    <w:rsid w:val="001D4912"/>
    <w:rsid w:val="001E2B93"/>
    <w:rsid w:val="001F1AAA"/>
    <w:rsid w:val="001F2881"/>
    <w:rsid w:val="00205626"/>
    <w:rsid w:val="00206116"/>
    <w:rsid w:val="00212628"/>
    <w:rsid w:val="0022299B"/>
    <w:rsid w:val="00225724"/>
    <w:rsid w:val="002331FE"/>
    <w:rsid w:val="0024000B"/>
    <w:rsid w:val="00243214"/>
    <w:rsid w:val="002470B2"/>
    <w:rsid w:val="00247A55"/>
    <w:rsid w:val="002647A0"/>
    <w:rsid w:val="00266E47"/>
    <w:rsid w:val="00270E75"/>
    <w:rsid w:val="0027288C"/>
    <w:rsid w:val="00273341"/>
    <w:rsid w:val="00281D0B"/>
    <w:rsid w:val="002972D1"/>
    <w:rsid w:val="002A04A9"/>
    <w:rsid w:val="002A39BB"/>
    <w:rsid w:val="002B1787"/>
    <w:rsid w:val="002B417A"/>
    <w:rsid w:val="002C089D"/>
    <w:rsid w:val="002C101B"/>
    <w:rsid w:val="002C68AD"/>
    <w:rsid w:val="002D322C"/>
    <w:rsid w:val="002D4864"/>
    <w:rsid w:val="002E5D62"/>
    <w:rsid w:val="002F1386"/>
    <w:rsid w:val="002F1D87"/>
    <w:rsid w:val="002F6B87"/>
    <w:rsid w:val="00303345"/>
    <w:rsid w:val="0031685E"/>
    <w:rsid w:val="003357AC"/>
    <w:rsid w:val="0035638A"/>
    <w:rsid w:val="003605B9"/>
    <w:rsid w:val="00362122"/>
    <w:rsid w:val="00364A52"/>
    <w:rsid w:val="00373F97"/>
    <w:rsid w:val="0037406D"/>
    <w:rsid w:val="00374216"/>
    <w:rsid w:val="0038545D"/>
    <w:rsid w:val="003869E8"/>
    <w:rsid w:val="00391288"/>
    <w:rsid w:val="00393777"/>
    <w:rsid w:val="00395E5A"/>
    <w:rsid w:val="00395F5E"/>
    <w:rsid w:val="0039742D"/>
    <w:rsid w:val="003A3A38"/>
    <w:rsid w:val="003A7DB9"/>
    <w:rsid w:val="003B2055"/>
    <w:rsid w:val="003C0806"/>
    <w:rsid w:val="003C18DE"/>
    <w:rsid w:val="003C1B31"/>
    <w:rsid w:val="003C2B1A"/>
    <w:rsid w:val="003C39C6"/>
    <w:rsid w:val="003C7E95"/>
    <w:rsid w:val="003D0C22"/>
    <w:rsid w:val="003D6941"/>
    <w:rsid w:val="003E1E1C"/>
    <w:rsid w:val="003F0403"/>
    <w:rsid w:val="003F5B99"/>
    <w:rsid w:val="004019FD"/>
    <w:rsid w:val="00403E6A"/>
    <w:rsid w:val="004053B5"/>
    <w:rsid w:val="0040615A"/>
    <w:rsid w:val="00411E29"/>
    <w:rsid w:val="004127FA"/>
    <w:rsid w:val="004130F0"/>
    <w:rsid w:val="0042033E"/>
    <w:rsid w:val="004357AD"/>
    <w:rsid w:val="00453296"/>
    <w:rsid w:val="00460DFB"/>
    <w:rsid w:val="00467DFD"/>
    <w:rsid w:val="00476879"/>
    <w:rsid w:val="00490F10"/>
    <w:rsid w:val="00493C81"/>
    <w:rsid w:val="00494006"/>
    <w:rsid w:val="004A14C9"/>
    <w:rsid w:val="004A3506"/>
    <w:rsid w:val="004A5F50"/>
    <w:rsid w:val="004B0CD4"/>
    <w:rsid w:val="004C39AD"/>
    <w:rsid w:val="004C4EE9"/>
    <w:rsid w:val="004E5D79"/>
    <w:rsid w:val="004F4904"/>
    <w:rsid w:val="004F5FF9"/>
    <w:rsid w:val="00500640"/>
    <w:rsid w:val="00500D7D"/>
    <w:rsid w:val="005067AC"/>
    <w:rsid w:val="00514890"/>
    <w:rsid w:val="0051584D"/>
    <w:rsid w:val="005178AF"/>
    <w:rsid w:val="00521A24"/>
    <w:rsid w:val="0053048D"/>
    <w:rsid w:val="00532138"/>
    <w:rsid w:val="0053532A"/>
    <w:rsid w:val="005404F1"/>
    <w:rsid w:val="00544D85"/>
    <w:rsid w:val="00550776"/>
    <w:rsid w:val="00556004"/>
    <w:rsid w:val="00566460"/>
    <w:rsid w:val="0057075C"/>
    <w:rsid w:val="005721F8"/>
    <w:rsid w:val="005836C7"/>
    <w:rsid w:val="00587B8A"/>
    <w:rsid w:val="005B3E86"/>
    <w:rsid w:val="005B6F55"/>
    <w:rsid w:val="005C3C27"/>
    <w:rsid w:val="005C7DD5"/>
    <w:rsid w:val="005D1066"/>
    <w:rsid w:val="005D5CF6"/>
    <w:rsid w:val="005E04EA"/>
    <w:rsid w:val="005E0D7D"/>
    <w:rsid w:val="005E2F56"/>
    <w:rsid w:val="005E7208"/>
    <w:rsid w:val="005F106F"/>
    <w:rsid w:val="00607C4E"/>
    <w:rsid w:val="00613AF9"/>
    <w:rsid w:val="0061732F"/>
    <w:rsid w:val="0062257E"/>
    <w:rsid w:val="00625BC2"/>
    <w:rsid w:val="00627E34"/>
    <w:rsid w:val="006309AA"/>
    <w:rsid w:val="00633473"/>
    <w:rsid w:val="006379BD"/>
    <w:rsid w:val="0064403B"/>
    <w:rsid w:val="006500EC"/>
    <w:rsid w:val="00651721"/>
    <w:rsid w:val="00652071"/>
    <w:rsid w:val="00652D7E"/>
    <w:rsid w:val="00653551"/>
    <w:rsid w:val="0065563B"/>
    <w:rsid w:val="00665471"/>
    <w:rsid w:val="006722C6"/>
    <w:rsid w:val="00692D7F"/>
    <w:rsid w:val="006A0AE2"/>
    <w:rsid w:val="006A2F10"/>
    <w:rsid w:val="006A77D0"/>
    <w:rsid w:val="006B3D49"/>
    <w:rsid w:val="006B4C9F"/>
    <w:rsid w:val="006C756C"/>
    <w:rsid w:val="006D0CB2"/>
    <w:rsid w:val="006D19E1"/>
    <w:rsid w:val="006D4A96"/>
    <w:rsid w:val="006D6EF0"/>
    <w:rsid w:val="006F1E36"/>
    <w:rsid w:val="006F3259"/>
    <w:rsid w:val="006F5B85"/>
    <w:rsid w:val="00702AE0"/>
    <w:rsid w:val="007174DA"/>
    <w:rsid w:val="00722B51"/>
    <w:rsid w:val="00725ED2"/>
    <w:rsid w:val="00736926"/>
    <w:rsid w:val="007400DF"/>
    <w:rsid w:val="007535ED"/>
    <w:rsid w:val="0075406E"/>
    <w:rsid w:val="00756702"/>
    <w:rsid w:val="00762EA3"/>
    <w:rsid w:val="007763CB"/>
    <w:rsid w:val="007804A7"/>
    <w:rsid w:val="007908F6"/>
    <w:rsid w:val="007954D9"/>
    <w:rsid w:val="007A6BD6"/>
    <w:rsid w:val="007A7952"/>
    <w:rsid w:val="007B0BDB"/>
    <w:rsid w:val="007B33DF"/>
    <w:rsid w:val="007C1632"/>
    <w:rsid w:val="007C36EF"/>
    <w:rsid w:val="007C62D5"/>
    <w:rsid w:val="007C6BDE"/>
    <w:rsid w:val="007D0678"/>
    <w:rsid w:val="007D1C2C"/>
    <w:rsid w:val="007E7634"/>
    <w:rsid w:val="00800E25"/>
    <w:rsid w:val="00801634"/>
    <w:rsid w:val="0080537B"/>
    <w:rsid w:val="008219CF"/>
    <w:rsid w:val="008314FC"/>
    <w:rsid w:val="00834062"/>
    <w:rsid w:val="00837104"/>
    <w:rsid w:val="00840E8F"/>
    <w:rsid w:val="0084100F"/>
    <w:rsid w:val="0084380D"/>
    <w:rsid w:val="00844F36"/>
    <w:rsid w:val="00845AE3"/>
    <w:rsid w:val="0087241B"/>
    <w:rsid w:val="00875228"/>
    <w:rsid w:val="00893500"/>
    <w:rsid w:val="008A0437"/>
    <w:rsid w:val="008B618F"/>
    <w:rsid w:val="008D44C5"/>
    <w:rsid w:val="008D7E85"/>
    <w:rsid w:val="008E19FF"/>
    <w:rsid w:val="008E53FF"/>
    <w:rsid w:val="008F249D"/>
    <w:rsid w:val="008F54F8"/>
    <w:rsid w:val="009011AA"/>
    <w:rsid w:val="009015EF"/>
    <w:rsid w:val="00904774"/>
    <w:rsid w:val="00906CC3"/>
    <w:rsid w:val="00917D56"/>
    <w:rsid w:val="00931C9D"/>
    <w:rsid w:val="00933A00"/>
    <w:rsid w:val="00933BFD"/>
    <w:rsid w:val="00941691"/>
    <w:rsid w:val="00942AED"/>
    <w:rsid w:val="00944E25"/>
    <w:rsid w:val="00953F15"/>
    <w:rsid w:val="009642AB"/>
    <w:rsid w:val="00976A7F"/>
    <w:rsid w:val="00982BCB"/>
    <w:rsid w:val="00993F03"/>
    <w:rsid w:val="0099435F"/>
    <w:rsid w:val="00996B4F"/>
    <w:rsid w:val="00996BC5"/>
    <w:rsid w:val="009A6D34"/>
    <w:rsid w:val="009B4816"/>
    <w:rsid w:val="009C1BA8"/>
    <w:rsid w:val="009C2D0D"/>
    <w:rsid w:val="009C3492"/>
    <w:rsid w:val="009C49C6"/>
    <w:rsid w:val="009C5AA4"/>
    <w:rsid w:val="009D02D4"/>
    <w:rsid w:val="009D60E3"/>
    <w:rsid w:val="009E0D67"/>
    <w:rsid w:val="009E4985"/>
    <w:rsid w:val="009F16C5"/>
    <w:rsid w:val="009F3E11"/>
    <w:rsid w:val="009F55DF"/>
    <w:rsid w:val="009F6AF8"/>
    <w:rsid w:val="009F6E78"/>
    <w:rsid w:val="009F7A4B"/>
    <w:rsid w:val="009F7C7E"/>
    <w:rsid w:val="00A01148"/>
    <w:rsid w:val="00A31DC5"/>
    <w:rsid w:val="00A40C81"/>
    <w:rsid w:val="00A436CD"/>
    <w:rsid w:val="00A5180B"/>
    <w:rsid w:val="00A55E36"/>
    <w:rsid w:val="00A6457C"/>
    <w:rsid w:val="00A77A72"/>
    <w:rsid w:val="00A8223C"/>
    <w:rsid w:val="00A8757B"/>
    <w:rsid w:val="00A92044"/>
    <w:rsid w:val="00A9727D"/>
    <w:rsid w:val="00AA16B9"/>
    <w:rsid w:val="00AA47DC"/>
    <w:rsid w:val="00AB624E"/>
    <w:rsid w:val="00AC2C09"/>
    <w:rsid w:val="00AC6B6F"/>
    <w:rsid w:val="00AE11FC"/>
    <w:rsid w:val="00AE6354"/>
    <w:rsid w:val="00AF15AF"/>
    <w:rsid w:val="00AF4DBB"/>
    <w:rsid w:val="00AF6EB4"/>
    <w:rsid w:val="00B01141"/>
    <w:rsid w:val="00B02E33"/>
    <w:rsid w:val="00B04CF2"/>
    <w:rsid w:val="00B12803"/>
    <w:rsid w:val="00B214A1"/>
    <w:rsid w:val="00B22D5C"/>
    <w:rsid w:val="00B263F0"/>
    <w:rsid w:val="00B2716E"/>
    <w:rsid w:val="00B31661"/>
    <w:rsid w:val="00B32703"/>
    <w:rsid w:val="00B47522"/>
    <w:rsid w:val="00B5097B"/>
    <w:rsid w:val="00B54313"/>
    <w:rsid w:val="00B60B5F"/>
    <w:rsid w:val="00B6496F"/>
    <w:rsid w:val="00B8064D"/>
    <w:rsid w:val="00B80F06"/>
    <w:rsid w:val="00B827C6"/>
    <w:rsid w:val="00B84CEB"/>
    <w:rsid w:val="00B86327"/>
    <w:rsid w:val="00B91832"/>
    <w:rsid w:val="00B93F09"/>
    <w:rsid w:val="00BA23FC"/>
    <w:rsid w:val="00BB1390"/>
    <w:rsid w:val="00BC738E"/>
    <w:rsid w:val="00BD0576"/>
    <w:rsid w:val="00BE4C6D"/>
    <w:rsid w:val="00BE50D0"/>
    <w:rsid w:val="00BF16FE"/>
    <w:rsid w:val="00C012F5"/>
    <w:rsid w:val="00C068BC"/>
    <w:rsid w:val="00C17081"/>
    <w:rsid w:val="00C20A85"/>
    <w:rsid w:val="00C27FD4"/>
    <w:rsid w:val="00C339B4"/>
    <w:rsid w:val="00C365E2"/>
    <w:rsid w:val="00C44EFB"/>
    <w:rsid w:val="00C55264"/>
    <w:rsid w:val="00C6695C"/>
    <w:rsid w:val="00C97946"/>
    <w:rsid w:val="00CA4F91"/>
    <w:rsid w:val="00CA78D4"/>
    <w:rsid w:val="00CA7ABB"/>
    <w:rsid w:val="00CB57E5"/>
    <w:rsid w:val="00CB7EE8"/>
    <w:rsid w:val="00CC0BDA"/>
    <w:rsid w:val="00CC3B0C"/>
    <w:rsid w:val="00CC445A"/>
    <w:rsid w:val="00CC7C18"/>
    <w:rsid w:val="00CD4EFC"/>
    <w:rsid w:val="00CE432C"/>
    <w:rsid w:val="00CE6DBB"/>
    <w:rsid w:val="00D0520C"/>
    <w:rsid w:val="00D14555"/>
    <w:rsid w:val="00D17DCC"/>
    <w:rsid w:val="00D31359"/>
    <w:rsid w:val="00D32EF0"/>
    <w:rsid w:val="00D34665"/>
    <w:rsid w:val="00D35E52"/>
    <w:rsid w:val="00D36FA6"/>
    <w:rsid w:val="00D3781E"/>
    <w:rsid w:val="00D41E9A"/>
    <w:rsid w:val="00D53CA1"/>
    <w:rsid w:val="00D53F31"/>
    <w:rsid w:val="00D5584D"/>
    <w:rsid w:val="00D62269"/>
    <w:rsid w:val="00D62EDC"/>
    <w:rsid w:val="00D63D44"/>
    <w:rsid w:val="00D976DC"/>
    <w:rsid w:val="00D97D2A"/>
    <w:rsid w:val="00DA244B"/>
    <w:rsid w:val="00DA3BA4"/>
    <w:rsid w:val="00DA46E8"/>
    <w:rsid w:val="00DA7F88"/>
    <w:rsid w:val="00DB52E7"/>
    <w:rsid w:val="00DC0318"/>
    <w:rsid w:val="00DD1D5F"/>
    <w:rsid w:val="00DE0269"/>
    <w:rsid w:val="00E012C5"/>
    <w:rsid w:val="00E023A9"/>
    <w:rsid w:val="00E07D1B"/>
    <w:rsid w:val="00E1006D"/>
    <w:rsid w:val="00E218E2"/>
    <w:rsid w:val="00E228CE"/>
    <w:rsid w:val="00E23FEE"/>
    <w:rsid w:val="00E53A54"/>
    <w:rsid w:val="00E53F82"/>
    <w:rsid w:val="00E548A7"/>
    <w:rsid w:val="00E57E49"/>
    <w:rsid w:val="00E61C50"/>
    <w:rsid w:val="00E65D4A"/>
    <w:rsid w:val="00E7237D"/>
    <w:rsid w:val="00E72592"/>
    <w:rsid w:val="00E917F8"/>
    <w:rsid w:val="00E9249A"/>
    <w:rsid w:val="00EA34C6"/>
    <w:rsid w:val="00EA50D7"/>
    <w:rsid w:val="00EA56BF"/>
    <w:rsid w:val="00EC3533"/>
    <w:rsid w:val="00ED1683"/>
    <w:rsid w:val="00ED7123"/>
    <w:rsid w:val="00EE40FA"/>
    <w:rsid w:val="00EF2F33"/>
    <w:rsid w:val="00EF596C"/>
    <w:rsid w:val="00F0298C"/>
    <w:rsid w:val="00F07750"/>
    <w:rsid w:val="00F10047"/>
    <w:rsid w:val="00F30A77"/>
    <w:rsid w:val="00F4393F"/>
    <w:rsid w:val="00F46A3A"/>
    <w:rsid w:val="00F5375D"/>
    <w:rsid w:val="00F5454E"/>
    <w:rsid w:val="00F715C3"/>
    <w:rsid w:val="00F718BD"/>
    <w:rsid w:val="00F77F3D"/>
    <w:rsid w:val="00F80507"/>
    <w:rsid w:val="00F83CD3"/>
    <w:rsid w:val="00F85F61"/>
    <w:rsid w:val="00F95487"/>
    <w:rsid w:val="00F95DEF"/>
    <w:rsid w:val="00FA1553"/>
    <w:rsid w:val="00FA4DF8"/>
    <w:rsid w:val="00FB45FB"/>
    <w:rsid w:val="00FB49C2"/>
    <w:rsid w:val="00FC09A1"/>
    <w:rsid w:val="00FC1374"/>
    <w:rsid w:val="00FC1781"/>
    <w:rsid w:val="00FC244F"/>
    <w:rsid w:val="00FD79DA"/>
    <w:rsid w:val="00FE2ADC"/>
    <w:rsid w:val="00FE5997"/>
    <w:rsid w:val="00FF0950"/>
    <w:rsid w:val="00FF5484"/>
    <w:rsid w:val="00FF6BDD"/>
    <w:rsid w:val="0C3545CD"/>
    <w:rsid w:val="0C79E7B2"/>
    <w:rsid w:val="138FE9CB"/>
    <w:rsid w:val="2B8E5DD9"/>
    <w:rsid w:val="2C8553D4"/>
    <w:rsid w:val="2D07F011"/>
    <w:rsid w:val="338F7389"/>
    <w:rsid w:val="7D522D5D"/>
  </w:rsids>
  <m:mathPr>
    <m:mathFont m:val="Cambria Math"/>
    <m:brkBin m:val="before"/>
    <m:brkBinSub m:val="--"/>
    <m:smallFrac m:val="0"/>
    <m:dispDef/>
    <m:lMargin m:val="0"/>
    <m:rMargin m:val="0"/>
    <m:defJc m:val="centerGroup"/>
    <m:wrapIndent m:val="1440"/>
    <m:intLim m:val="subSup"/>
    <m:naryLim m:val="undOvr"/>
  </m:mathPr>
  <w:themeFontLang w:val="fr-FR" w:eastAsia="ko-K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51958ED"/>
  <w15:docId w15:val="{C52E3132-A333-4066-8913-75CB91CF88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lang w:val="fr-FR" w:eastAsia="fr-FR" w:bidi="ar-SA"/>
      </w:rPr>
    </w:rPrDefault>
    <w:pPrDefault/>
  </w:docDefaults>
  <w:latentStyles w:defLockedState="0" w:defUIPriority="99" w:defSemiHidden="0" w:defUnhideWhenUsed="0" w:defQFormat="0" w:count="376">
    <w:lsdException w:name="Normal" w:uiPriority="0"/>
    <w:lsdException w:name="heading 1" w:uiPriority="0"/>
    <w:lsdException w:name="heading 2" w:uiPriority="0"/>
    <w:lsdException w:name="heading 3" w:uiPriority="0"/>
    <w:lsdException w:name="heading 4" w:uiPriority="0"/>
    <w:lsdException w:name="heading 5" w:uiPriority="0"/>
    <w:lsdException w:name="heading 6" w:uiPriority="0"/>
    <w:lsdException w:name="heading 7" w:uiPriority="0"/>
    <w:lsdException w:name="heading 8" w:uiPriority="0"/>
    <w:lsdException w:name="heading 9" w:uiPriority="0"/>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rsid w:val="004C4EE9"/>
    <w:rPr>
      <w:sz w:val="24"/>
      <w:szCs w:val="24"/>
      <w:lang w:val="de-DE" w:eastAsia="de-DE"/>
    </w:rPr>
  </w:style>
  <w:style w:type="paragraph" w:styleId="1">
    <w:name w:val="heading 1"/>
    <w:basedOn w:val="a0"/>
    <w:next w:val="a0"/>
    <w:rsid w:val="004C4EE9"/>
    <w:pPr>
      <w:keepNext/>
      <w:outlineLvl w:val="0"/>
    </w:pPr>
    <w:rPr>
      <w:b/>
      <w:sz w:val="28"/>
      <w:szCs w:val="20"/>
      <w:lang w:val="en-GB"/>
    </w:rPr>
  </w:style>
  <w:style w:type="paragraph" w:styleId="2">
    <w:name w:val="heading 2"/>
    <w:basedOn w:val="a0"/>
    <w:next w:val="a0"/>
    <w:autoRedefine/>
    <w:rsid w:val="004C4EE9"/>
    <w:pPr>
      <w:keepNext/>
      <w:spacing w:before="240" w:after="60"/>
      <w:outlineLvl w:val="1"/>
    </w:pPr>
    <w:rPr>
      <w:rFonts w:cs="Arial"/>
      <w:bCs/>
      <w:iCs/>
      <w:sz w:val="22"/>
      <w:szCs w:val="22"/>
    </w:rPr>
  </w:style>
  <w:style w:type="paragraph" w:styleId="3">
    <w:name w:val="heading 3"/>
    <w:basedOn w:val="a0"/>
    <w:next w:val="a0"/>
    <w:autoRedefine/>
    <w:rsid w:val="004C4EE9"/>
    <w:pPr>
      <w:keepNext/>
      <w:outlineLvl w:val="2"/>
    </w:pPr>
    <w:rPr>
      <w:b/>
      <w:lang w:val="en-GB"/>
    </w:rPr>
  </w:style>
  <w:style w:type="paragraph" w:styleId="4">
    <w:name w:val="heading 4"/>
    <w:basedOn w:val="a0"/>
    <w:next w:val="a0"/>
    <w:rsid w:val="004C4EE9"/>
    <w:pPr>
      <w:keepNext/>
      <w:spacing w:before="240" w:after="60"/>
      <w:outlineLvl w:val="3"/>
    </w:pPr>
    <w:rPr>
      <w:b/>
      <w:bCs/>
      <w:sz w:val="28"/>
      <w:szCs w:val="28"/>
    </w:rPr>
  </w:style>
  <w:style w:type="paragraph" w:styleId="5">
    <w:name w:val="heading 5"/>
    <w:basedOn w:val="a0"/>
    <w:next w:val="a0"/>
    <w:autoRedefine/>
    <w:rsid w:val="004C4EE9"/>
    <w:pPr>
      <w:keepNext/>
      <w:outlineLvl w:val="4"/>
    </w:pPr>
    <w:rPr>
      <w:b/>
      <w:sz w:val="20"/>
      <w:szCs w:val="20"/>
      <w:lang w:val="en-GB"/>
    </w:rPr>
  </w:style>
  <w:style w:type="paragraph" w:styleId="6">
    <w:name w:val="heading 6"/>
    <w:basedOn w:val="a0"/>
    <w:next w:val="a0"/>
    <w:autoRedefine/>
    <w:rsid w:val="004C4EE9"/>
    <w:pPr>
      <w:keepNext/>
      <w:jc w:val="center"/>
      <w:outlineLvl w:val="5"/>
    </w:pPr>
    <w:rPr>
      <w:rFonts w:cs="Arial"/>
      <w:color w:val="000000"/>
      <w:sz w:val="22"/>
      <w:szCs w:val="22"/>
    </w:rPr>
  </w:style>
  <w:style w:type="paragraph" w:styleId="7">
    <w:name w:val="heading 7"/>
    <w:basedOn w:val="a0"/>
    <w:next w:val="a0"/>
    <w:rsid w:val="004C4EE9"/>
    <w:pPr>
      <w:spacing w:before="240" w:after="60"/>
      <w:outlineLvl w:val="6"/>
    </w:pPr>
  </w:style>
  <w:style w:type="paragraph" w:styleId="8">
    <w:name w:val="heading 8"/>
    <w:basedOn w:val="a0"/>
    <w:next w:val="a0"/>
    <w:rsid w:val="004C4EE9"/>
    <w:pPr>
      <w:spacing w:before="240" w:after="60"/>
      <w:outlineLvl w:val="7"/>
    </w:pPr>
    <w:rPr>
      <w:i/>
      <w:iCs/>
    </w:rPr>
  </w:style>
  <w:style w:type="paragraph" w:styleId="9">
    <w:name w:val="heading 9"/>
    <w:basedOn w:val="a0"/>
    <w:next w:val="a0"/>
    <w:rsid w:val="004C4EE9"/>
    <w:pPr>
      <w:spacing w:before="240" w:after="60"/>
      <w:outlineLvl w:val="8"/>
    </w:pPr>
    <w:rPr>
      <w:rFonts w:ascii="Arial" w:hAnsi="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
    <w:name w:val="List Bullet"/>
    <w:basedOn w:val="a0"/>
    <w:autoRedefine/>
    <w:rsid w:val="00A55E36"/>
    <w:pPr>
      <w:numPr>
        <w:numId w:val="1"/>
      </w:numPr>
    </w:pPr>
  </w:style>
  <w:style w:type="character" w:customStyle="1" w:styleId="texto">
    <w:name w:val="texto"/>
    <w:basedOn w:val="a1"/>
    <w:rsid w:val="00A6457C"/>
  </w:style>
  <w:style w:type="character" w:styleId="a4">
    <w:name w:val="annotation reference"/>
    <w:basedOn w:val="a1"/>
    <w:semiHidden/>
    <w:rsid w:val="009E4985"/>
    <w:rPr>
      <w:sz w:val="16"/>
      <w:szCs w:val="16"/>
    </w:rPr>
  </w:style>
  <w:style w:type="paragraph" w:styleId="a5">
    <w:name w:val="annotation text"/>
    <w:basedOn w:val="a0"/>
    <w:semiHidden/>
    <w:rsid w:val="009E4985"/>
    <w:rPr>
      <w:sz w:val="20"/>
      <w:szCs w:val="20"/>
    </w:rPr>
  </w:style>
  <w:style w:type="character" w:customStyle="1" w:styleId="SWCBulletedListCar">
    <w:name w:val="SWC_BulletedList Car"/>
    <w:basedOn w:val="a1"/>
    <w:link w:val="SWCBulletedList"/>
    <w:rsid w:val="009F6AF8"/>
    <w:rPr>
      <w:rFonts w:cs="Minion Pro"/>
      <w:color w:val="000000"/>
      <w:szCs w:val="22"/>
      <w:lang w:val="en-US" w:eastAsia="de-DE" w:bidi="ar-SA"/>
    </w:rPr>
  </w:style>
  <w:style w:type="paragraph" w:customStyle="1" w:styleId="SWCBulletedList">
    <w:name w:val="SWC_BulletedList"/>
    <w:link w:val="SWCBulletedListCar"/>
    <w:qFormat/>
    <w:rsid w:val="009F6AF8"/>
    <w:pPr>
      <w:numPr>
        <w:numId w:val="3"/>
      </w:numPr>
      <w:tabs>
        <w:tab w:val="left" w:pos="600"/>
      </w:tabs>
      <w:spacing w:after="100" w:line="240" w:lineRule="exact"/>
    </w:pPr>
    <w:rPr>
      <w:rFonts w:cs="Minion Pro"/>
      <w:color w:val="000000"/>
      <w:szCs w:val="22"/>
      <w:lang w:val="en-US" w:eastAsia="de-DE"/>
    </w:rPr>
  </w:style>
  <w:style w:type="paragraph" w:customStyle="1" w:styleId="SWCAuthorOrganisation">
    <w:name w:val="SWC_AuthorOrganisation"/>
    <w:basedOn w:val="CPV-07Author"/>
    <w:qFormat/>
    <w:rsid w:val="002D322C"/>
    <w:pPr>
      <w:spacing w:before="60"/>
    </w:pPr>
    <w:rPr>
      <w:b w:val="0"/>
      <w:sz w:val="16"/>
      <w:szCs w:val="20"/>
    </w:rPr>
  </w:style>
  <w:style w:type="paragraph" w:customStyle="1" w:styleId="CPV-07Author">
    <w:name w:val="CPV-07_Author"/>
    <w:autoRedefine/>
    <w:rsid w:val="002D322C"/>
    <w:pPr>
      <w:tabs>
        <w:tab w:val="left" w:pos="136"/>
      </w:tabs>
      <w:spacing w:after="60" w:line="280" w:lineRule="exact"/>
      <w:jc w:val="center"/>
    </w:pPr>
    <w:rPr>
      <w:rFonts w:ascii="Helvetica" w:hAnsi="Helvetica"/>
      <w:b/>
      <w:color w:val="000000"/>
      <w:sz w:val="18"/>
      <w:szCs w:val="22"/>
      <w:lang w:val="de-DE" w:eastAsia="de-DE"/>
    </w:rPr>
  </w:style>
  <w:style w:type="paragraph" w:customStyle="1" w:styleId="CPV-7Title">
    <w:name w:val="CPV-7_Title"/>
    <w:autoRedefine/>
    <w:rsid w:val="00F715C3"/>
    <w:pPr>
      <w:spacing w:after="380" w:line="340" w:lineRule="exact"/>
      <w:jc w:val="center"/>
    </w:pPr>
    <w:rPr>
      <w:rFonts w:ascii="Arial" w:hAnsi="Arial"/>
      <w:b/>
      <w:color w:val="000000"/>
      <w:sz w:val="28"/>
      <w:szCs w:val="28"/>
      <w:lang w:val="en-US" w:eastAsia="de-DE"/>
    </w:rPr>
  </w:style>
  <w:style w:type="paragraph" w:customStyle="1" w:styleId="SWCText">
    <w:name w:val="SWC_Text"/>
    <w:qFormat/>
    <w:rsid w:val="009F6AF8"/>
    <w:pPr>
      <w:widowControl w:val="0"/>
      <w:spacing w:after="120" w:line="276" w:lineRule="auto"/>
      <w:jc w:val="both"/>
    </w:pPr>
    <w:rPr>
      <w:color w:val="000000"/>
      <w:szCs w:val="22"/>
      <w:lang w:val="en-US" w:eastAsia="de-DE"/>
    </w:rPr>
  </w:style>
  <w:style w:type="paragraph" w:customStyle="1" w:styleId="SP09Abstract">
    <w:name w:val="SP09_Abstract"/>
    <w:autoRedefine/>
    <w:rsid w:val="00A6457C"/>
    <w:pPr>
      <w:spacing w:after="60" w:line="276" w:lineRule="auto"/>
      <w:ind w:left="284" w:right="284"/>
      <w:jc w:val="both"/>
    </w:pPr>
    <w:rPr>
      <w:color w:val="000000"/>
      <w:sz w:val="22"/>
      <w:szCs w:val="22"/>
      <w:lang w:val="en-GB" w:eastAsia="de-DE"/>
    </w:rPr>
  </w:style>
  <w:style w:type="paragraph" w:customStyle="1" w:styleId="SP09AbstractTitle">
    <w:name w:val="SP09_AbstractTitle"/>
    <w:autoRedefine/>
    <w:rsid w:val="00514890"/>
    <w:pPr>
      <w:spacing w:after="160" w:line="280" w:lineRule="exact"/>
      <w:jc w:val="center"/>
    </w:pPr>
    <w:rPr>
      <w:b/>
      <w:color w:val="000000"/>
      <w:sz w:val="22"/>
      <w:szCs w:val="22"/>
      <w:lang w:val="en-GB" w:eastAsia="de-DE"/>
    </w:rPr>
  </w:style>
  <w:style w:type="paragraph" w:customStyle="1" w:styleId="CPV-7Equation">
    <w:name w:val="CPV-7_Equation"/>
    <w:autoRedefine/>
    <w:rsid w:val="00AC2C09"/>
    <w:pPr>
      <w:spacing w:before="180" w:after="240" w:line="280" w:lineRule="atLeast"/>
      <w:jc w:val="center"/>
    </w:pPr>
    <w:rPr>
      <w:color w:val="000000"/>
      <w:sz w:val="22"/>
      <w:szCs w:val="22"/>
      <w:lang w:val="en-GB" w:eastAsia="de-DE"/>
    </w:rPr>
  </w:style>
  <w:style w:type="paragraph" w:customStyle="1" w:styleId="SP09FigureCaption">
    <w:name w:val="SP09_FigureCaption"/>
    <w:autoRedefine/>
    <w:rsid w:val="007954D9"/>
    <w:pPr>
      <w:spacing w:before="160" w:after="240" w:line="240" w:lineRule="atLeast"/>
      <w:jc w:val="center"/>
    </w:pPr>
    <w:rPr>
      <w:color w:val="000000"/>
      <w:szCs w:val="22"/>
      <w:lang w:val="en-GB" w:eastAsia="de-DE"/>
    </w:rPr>
  </w:style>
  <w:style w:type="paragraph" w:customStyle="1" w:styleId="CPV-7Heading1Character">
    <w:name w:val="CPV-7_Heading1Character"/>
    <w:link w:val="CPV-7Heading1CharacterZchnZchn"/>
    <w:autoRedefine/>
    <w:rsid w:val="00FE2ADC"/>
    <w:pPr>
      <w:spacing w:before="240" w:after="180" w:line="280" w:lineRule="exact"/>
    </w:pPr>
    <w:rPr>
      <w:b/>
      <w:color w:val="000000"/>
      <w:sz w:val="22"/>
      <w:szCs w:val="24"/>
      <w:lang w:val="en-US" w:eastAsia="de-DE"/>
    </w:rPr>
  </w:style>
  <w:style w:type="character" w:customStyle="1" w:styleId="CPV-7Heading1CharacterZchnZchn">
    <w:name w:val="CPV-7_Heading1Character Zchn Zchn"/>
    <w:basedOn w:val="a1"/>
    <w:link w:val="CPV-7Heading1Character"/>
    <w:rsid w:val="00FE2ADC"/>
    <w:rPr>
      <w:b/>
      <w:color w:val="000000"/>
      <w:sz w:val="22"/>
      <w:szCs w:val="24"/>
      <w:lang w:val="en-US" w:eastAsia="de-DE" w:bidi="ar-SA"/>
    </w:rPr>
  </w:style>
  <w:style w:type="paragraph" w:customStyle="1" w:styleId="SWCHeading11">
    <w:name w:val="SWC_Heading1.1"/>
    <w:basedOn w:val="SWCHeading1"/>
    <w:next w:val="a0"/>
    <w:qFormat/>
    <w:rsid w:val="009F7C7E"/>
    <w:pPr>
      <w:numPr>
        <w:numId w:val="0"/>
      </w:numPr>
      <w:spacing w:before="160" w:after="80" w:line="240" w:lineRule="exact"/>
      <w:jc w:val="left"/>
    </w:pPr>
    <w:rPr>
      <w:b w:val="0"/>
      <w:i/>
      <w:szCs w:val="22"/>
      <w:lang w:val="en-GB"/>
    </w:rPr>
  </w:style>
  <w:style w:type="paragraph" w:customStyle="1" w:styleId="SWCReferences">
    <w:name w:val="SWC_References"/>
    <w:rsid w:val="00225724"/>
    <w:pPr>
      <w:tabs>
        <w:tab w:val="left" w:pos="480"/>
      </w:tabs>
      <w:spacing w:after="120" w:line="240" w:lineRule="exact"/>
      <w:ind w:left="480" w:hanging="480"/>
    </w:pPr>
    <w:rPr>
      <w:color w:val="000000"/>
      <w:lang w:val="en-GB" w:eastAsia="de-DE"/>
    </w:rPr>
  </w:style>
  <w:style w:type="paragraph" w:styleId="a6">
    <w:name w:val="annotation subject"/>
    <w:basedOn w:val="a5"/>
    <w:next w:val="a5"/>
    <w:semiHidden/>
    <w:rsid w:val="009E4985"/>
    <w:rPr>
      <w:b/>
      <w:bCs/>
    </w:rPr>
  </w:style>
  <w:style w:type="paragraph" w:customStyle="1" w:styleId="SWCTableFigureCaption">
    <w:name w:val="SWC_TableFigureCaption"/>
    <w:qFormat/>
    <w:rsid w:val="000067DB"/>
    <w:pPr>
      <w:tabs>
        <w:tab w:val="left" w:pos="136"/>
        <w:tab w:val="left" w:pos="278"/>
      </w:tabs>
      <w:spacing w:before="80" w:after="160" w:line="276" w:lineRule="auto"/>
      <w:ind w:left="57" w:right="57"/>
      <w:jc w:val="center"/>
    </w:pPr>
    <w:rPr>
      <w:b/>
      <w:color w:val="000000"/>
      <w:sz w:val="16"/>
      <w:lang w:val="en-US" w:eastAsia="de-DE"/>
    </w:rPr>
  </w:style>
  <w:style w:type="character" w:styleId="a7">
    <w:name w:val="Hyperlink"/>
    <w:basedOn w:val="a1"/>
    <w:rsid w:val="005D5CF6"/>
    <w:rPr>
      <w:color w:val="0000FF"/>
      <w:u w:val="single"/>
    </w:rPr>
  </w:style>
  <w:style w:type="paragraph" w:styleId="a8">
    <w:name w:val="Balloon Text"/>
    <w:basedOn w:val="a0"/>
    <w:semiHidden/>
    <w:rsid w:val="009E4985"/>
    <w:rPr>
      <w:rFonts w:ascii="Tahoma" w:hAnsi="Tahoma" w:cs="Tahoma"/>
      <w:sz w:val="16"/>
      <w:szCs w:val="16"/>
    </w:rPr>
  </w:style>
  <w:style w:type="paragraph" w:customStyle="1" w:styleId="SP09Heading111">
    <w:name w:val="SP09_Heading1.1.1"/>
    <w:basedOn w:val="a0"/>
    <w:rsid w:val="00DC0318"/>
    <w:pPr>
      <w:spacing w:before="160" w:after="80" w:line="240" w:lineRule="exact"/>
    </w:pPr>
    <w:rPr>
      <w:b/>
      <w:color w:val="000000"/>
      <w:sz w:val="20"/>
      <w:szCs w:val="22"/>
      <w:lang w:val="en-US"/>
    </w:rPr>
  </w:style>
  <w:style w:type="table" w:styleId="a9">
    <w:name w:val="Table Grid"/>
    <w:basedOn w:val="a2"/>
    <w:rsid w:val="006309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iliations">
    <w:name w:val="Affiliations"/>
    <w:basedOn w:val="a0"/>
    <w:next w:val="AuthorAdress"/>
    <w:rsid w:val="00155FB8"/>
    <w:pPr>
      <w:spacing w:after="240"/>
      <w:jc w:val="center"/>
    </w:pPr>
    <w:rPr>
      <w:szCs w:val="20"/>
      <w:lang w:val="en-GB" w:eastAsia="es-ES"/>
    </w:rPr>
  </w:style>
  <w:style w:type="paragraph" w:customStyle="1" w:styleId="AuthorAdress">
    <w:name w:val="AuthorAdress"/>
    <w:basedOn w:val="a0"/>
    <w:next w:val="Affiliations"/>
    <w:rsid w:val="00155FB8"/>
    <w:pPr>
      <w:spacing w:after="120" w:line="320" w:lineRule="atLeast"/>
      <w:jc w:val="center"/>
    </w:pPr>
    <w:rPr>
      <w:i/>
      <w:lang w:val="en-GB" w:eastAsia="es-ES"/>
    </w:rPr>
  </w:style>
  <w:style w:type="paragraph" w:customStyle="1" w:styleId="TableText">
    <w:name w:val="TableText"/>
    <w:basedOn w:val="a0"/>
    <w:next w:val="a0"/>
    <w:rsid w:val="00155FB8"/>
    <w:pPr>
      <w:jc w:val="center"/>
    </w:pPr>
    <w:rPr>
      <w:sz w:val="20"/>
      <w:szCs w:val="20"/>
      <w:lang w:val="es-ES" w:eastAsia="es-ES"/>
    </w:rPr>
  </w:style>
  <w:style w:type="paragraph" w:customStyle="1" w:styleId="Text">
    <w:name w:val="Text"/>
    <w:basedOn w:val="a0"/>
    <w:rsid w:val="009B4816"/>
    <w:pPr>
      <w:spacing w:after="240" w:line="320" w:lineRule="atLeast"/>
      <w:jc w:val="both"/>
    </w:pPr>
    <w:rPr>
      <w:szCs w:val="20"/>
      <w:lang w:val="en-GB" w:eastAsia="es-ES"/>
    </w:rPr>
  </w:style>
  <w:style w:type="paragraph" w:customStyle="1" w:styleId="FigureCaption">
    <w:name w:val="FigureCaption"/>
    <w:basedOn w:val="a0"/>
    <w:next w:val="a0"/>
    <w:rsid w:val="00AC2C09"/>
    <w:pPr>
      <w:jc w:val="center"/>
    </w:pPr>
    <w:rPr>
      <w:szCs w:val="20"/>
      <w:lang w:val="es-ES" w:eastAsia="es-ES"/>
    </w:rPr>
  </w:style>
  <w:style w:type="paragraph" w:customStyle="1" w:styleId="Title2">
    <w:name w:val="Title2"/>
    <w:basedOn w:val="a0"/>
    <w:link w:val="Title2CarCar"/>
    <w:rsid w:val="00AC2C09"/>
    <w:pPr>
      <w:keepNext/>
      <w:spacing w:before="240" w:after="120" w:line="320" w:lineRule="atLeast"/>
    </w:pPr>
    <w:rPr>
      <w:b/>
      <w:szCs w:val="20"/>
      <w:lang w:val="en-GB" w:eastAsia="es-ES"/>
    </w:rPr>
  </w:style>
  <w:style w:type="character" w:customStyle="1" w:styleId="Title2CarCar">
    <w:name w:val="Title2 Car Car"/>
    <w:basedOn w:val="a1"/>
    <w:link w:val="Title2"/>
    <w:rsid w:val="00AC2C09"/>
    <w:rPr>
      <w:b/>
      <w:sz w:val="24"/>
      <w:lang w:val="en-GB" w:eastAsia="es-ES" w:bidi="ar-SA"/>
    </w:rPr>
  </w:style>
  <w:style w:type="paragraph" w:customStyle="1" w:styleId="Default">
    <w:name w:val="Default"/>
    <w:rsid w:val="00FC09A1"/>
    <w:pPr>
      <w:autoSpaceDE w:val="0"/>
      <w:autoSpaceDN w:val="0"/>
      <w:adjustRightInd w:val="0"/>
    </w:pPr>
    <w:rPr>
      <w:color w:val="000000"/>
      <w:sz w:val="24"/>
      <w:szCs w:val="24"/>
      <w:lang w:val="de-DE" w:eastAsia="de-DE"/>
    </w:rPr>
  </w:style>
  <w:style w:type="paragraph" w:customStyle="1" w:styleId="SWCTableHeader">
    <w:name w:val="SWC_TableHeader"/>
    <w:qFormat/>
    <w:rsid w:val="00F715C3"/>
    <w:pPr>
      <w:spacing w:after="80"/>
      <w:jc w:val="center"/>
    </w:pPr>
    <w:rPr>
      <w:b/>
      <w:bCs/>
      <w:color w:val="000000"/>
      <w:lang w:val="en-GB" w:eastAsia="de-DE"/>
    </w:rPr>
  </w:style>
  <w:style w:type="paragraph" w:customStyle="1" w:styleId="SWCTableText">
    <w:name w:val="SWC_TableText"/>
    <w:qFormat/>
    <w:rsid w:val="00F715C3"/>
    <w:pPr>
      <w:spacing w:after="80"/>
      <w:jc w:val="center"/>
    </w:pPr>
    <w:rPr>
      <w:color w:val="000000"/>
      <w:lang w:val="en-GB" w:eastAsia="de-DE"/>
    </w:rPr>
  </w:style>
  <w:style w:type="paragraph" w:customStyle="1" w:styleId="SWCAuthor">
    <w:name w:val="SWC_Author"/>
    <w:qFormat/>
    <w:rsid w:val="00A436CD"/>
    <w:pPr>
      <w:tabs>
        <w:tab w:val="left" w:pos="136"/>
      </w:tabs>
      <w:spacing w:after="60" w:line="280" w:lineRule="exact"/>
      <w:jc w:val="center"/>
    </w:pPr>
    <w:rPr>
      <w:rFonts w:ascii="Arial" w:hAnsi="Arial"/>
      <w:b/>
      <w:color w:val="000000"/>
      <w:sz w:val="18"/>
      <w:szCs w:val="22"/>
      <w:lang w:val="de-DE" w:eastAsia="de-DE"/>
    </w:rPr>
  </w:style>
  <w:style w:type="paragraph" w:customStyle="1" w:styleId="SWCHeading1">
    <w:name w:val="SWC_Heading1"/>
    <w:next w:val="a0"/>
    <w:link w:val="SWCHeading1Car"/>
    <w:qFormat/>
    <w:rsid w:val="002972D1"/>
    <w:pPr>
      <w:numPr>
        <w:numId w:val="11"/>
      </w:numPr>
      <w:spacing w:before="360" w:after="120" w:line="280" w:lineRule="exact"/>
      <w:ind w:left="714" w:hanging="357"/>
      <w:jc w:val="center"/>
    </w:pPr>
    <w:rPr>
      <w:rFonts w:ascii="Arial" w:hAnsi="Arial"/>
      <w:b/>
      <w:color w:val="000000"/>
      <w:szCs w:val="24"/>
      <w:lang w:val="en-US" w:eastAsia="de-DE"/>
    </w:rPr>
  </w:style>
  <w:style w:type="paragraph" w:customStyle="1" w:styleId="SP09Heading11">
    <w:name w:val="SP09_Heading1.1"/>
    <w:next w:val="a0"/>
    <w:rsid w:val="00DC0318"/>
    <w:pPr>
      <w:spacing w:before="160" w:after="80" w:line="240" w:lineRule="exact"/>
    </w:pPr>
    <w:rPr>
      <w:rFonts w:ascii="Arial" w:hAnsi="Arial"/>
      <w:i/>
      <w:color w:val="000000"/>
      <w:szCs w:val="22"/>
      <w:lang w:val="en-GB" w:eastAsia="de-DE"/>
    </w:rPr>
  </w:style>
  <w:style w:type="paragraph" w:customStyle="1" w:styleId="SWCTitle">
    <w:name w:val="SWC_Title"/>
    <w:basedOn w:val="SWCHeading1"/>
    <w:qFormat/>
    <w:rsid w:val="00395E5A"/>
    <w:pPr>
      <w:numPr>
        <w:numId w:val="0"/>
      </w:numPr>
    </w:pPr>
    <w:rPr>
      <w:sz w:val="24"/>
    </w:rPr>
  </w:style>
  <w:style w:type="paragraph" w:styleId="aa">
    <w:name w:val="footnote text"/>
    <w:basedOn w:val="a0"/>
    <w:semiHidden/>
    <w:rsid w:val="003869E8"/>
    <w:rPr>
      <w:sz w:val="20"/>
      <w:szCs w:val="20"/>
    </w:rPr>
  </w:style>
  <w:style w:type="character" w:styleId="ab">
    <w:name w:val="footnote reference"/>
    <w:basedOn w:val="a1"/>
    <w:semiHidden/>
    <w:rsid w:val="003869E8"/>
    <w:rPr>
      <w:vertAlign w:val="superscript"/>
    </w:rPr>
  </w:style>
  <w:style w:type="paragraph" w:customStyle="1" w:styleId="SWCSummary">
    <w:name w:val="SWC_Summary"/>
    <w:basedOn w:val="SWCHeading1"/>
    <w:link w:val="SWCSummaryCar"/>
    <w:qFormat/>
    <w:rsid w:val="001A775B"/>
    <w:pPr>
      <w:numPr>
        <w:numId w:val="0"/>
      </w:numPr>
    </w:pPr>
  </w:style>
  <w:style w:type="character" w:customStyle="1" w:styleId="SWCHeading1Car">
    <w:name w:val="SWC_Heading1 Car"/>
    <w:basedOn w:val="a1"/>
    <w:link w:val="SWCHeading1"/>
    <w:rsid w:val="001A775B"/>
    <w:rPr>
      <w:rFonts w:ascii="Arial" w:hAnsi="Arial"/>
      <w:b/>
      <w:color w:val="000000"/>
      <w:szCs w:val="24"/>
      <w:lang w:val="en-US" w:eastAsia="de-DE"/>
    </w:rPr>
  </w:style>
  <w:style w:type="character" w:customStyle="1" w:styleId="SWCSummaryCar">
    <w:name w:val="SWC_Summary Car"/>
    <w:basedOn w:val="SWCHeading1Car"/>
    <w:link w:val="SWCSummary"/>
    <w:rsid w:val="001A775B"/>
    <w:rPr>
      <w:rFonts w:ascii="Arial" w:hAnsi="Arial"/>
      <w:b/>
      <w:color w:val="000000"/>
      <w:szCs w:val="24"/>
      <w:lang w:val="en-US" w:eastAsia="de-DE"/>
    </w:rPr>
  </w:style>
  <w:style w:type="character" w:styleId="ac">
    <w:name w:val="Placeholder Text"/>
    <w:basedOn w:val="a1"/>
    <w:uiPriority w:val="99"/>
    <w:semiHidden/>
    <w:rsid w:val="00653551"/>
    <w:rPr>
      <w:color w:val="808080"/>
    </w:rPr>
  </w:style>
  <w:style w:type="character" w:customStyle="1" w:styleId="NichtaufgelsteErwhnung1">
    <w:name w:val="Nicht aufgelöste Erwähnung1"/>
    <w:basedOn w:val="a1"/>
    <w:uiPriority w:val="99"/>
    <w:semiHidden/>
    <w:unhideWhenUsed/>
    <w:rsid w:val="00E218E2"/>
    <w:rPr>
      <w:color w:val="605E5C"/>
      <w:shd w:val="clear" w:color="auto" w:fill="E1DFDD"/>
    </w:rPr>
  </w:style>
  <w:style w:type="paragraph" w:styleId="ad">
    <w:name w:val="Revision"/>
    <w:hidden/>
    <w:uiPriority w:val="99"/>
    <w:semiHidden/>
    <w:rsid w:val="00FA4DF8"/>
    <w:rPr>
      <w:sz w:val="24"/>
      <w:szCs w:val="24"/>
      <w:lang w:val="de-DE" w:eastAsia="de-DE"/>
    </w:rPr>
  </w:style>
  <w:style w:type="paragraph" w:styleId="ae">
    <w:name w:val="header"/>
    <w:basedOn w:val="a0"/>
    <w:link w:val="Char"/>
    <w:uiPriority w:val="99"/>
    <w:unhideWhenUsed/>
    <w:rsid w:val="00FC1374"/>
    <w:pPr>
      <w:tabs>
        <w:tab w:val="center" w:pos="4536"/>
        <w:tab w:val="right" w:pos="9072"/>
      </w:tabs>
    </w:pPr>
  </w:style>
  <w:style w:type="character" w:customStyle="1" w:styleId="Char">
    <w:name w:val="머리글 Char"/>
    <w:basedOn w:val="a1"/>
    <w:link w:val="ae"/>
    <w:uiPriority w:val="99"/>
    <w:rsid w:val="00FC1374"/>
    <w:rPr>
      <w:sz w:val="24"/>
      <w:szCs w:val="24"/>
      <w:lang w:val="de-DE" w:eastAsia="de-DE"/>
    </w:rPr>
  </w:style>
  <w:style w:type="paragraph" w:styleId="af">
    <w:name w:val="footer"/>
    <w:basedOn w:val="a0"/>
    <w:link w:val="Char0"/>
    <w:uiPriority w:val="99"/>
    <w:unhideWhenUsed/>
    <w:rsid w:val="00FC1374"/>
    <w:pPr>
      <w:tabs>
        <w:tab w:val="center" w:pos="4536"/>
        <w:tab w:val="right" w:pos="9072"/>
      </w:tabs>
    </w:pPr>
  </w:style>
  <w:style w:type="character" w:customStyle="1" w:styleId="Char0">
    <w:name w:val="바닥글 Char"/>
    <w:basedOn w:val="a1"/>
    <w:link w:val="af"/>
    <w:uiPriority w:val="99"/>
    <w:rsid w:val="00FC1374"/>
    <w:rPr>
      <w:sz w:val="24"/>
      <w:szCs w:val="24"/>
      <w:lang w:val="de-DE" w:eastAsia="de-DE"/>
    </w:rPr>
  </w:style>
  <w:style w:type="paragraph" w:customStyle="1" w:styleId="MDPI31text">
    <w:name w:val="MDPI_3.1_text"/>
    <w:qFormat/>
    <w:rsid w:val="004130F0"/>
    <w:pPr>
      <w:adjustRightInd w:val="0"/>
      <w:snapToGrid w:val="0"/>
      <w:spacing w:line="228" w:lineRule="auto"/>
      <w:ind w:left="2608" w:firstLine="425"/>
      <w:jc w:val="both"/>
    </w:pPr>
    <w:rPr>
      <w:rFonts w:ascii="Palatino Linotype" w:eastAsia="Times New Roman" w:hAnsi="Palatino Linotype"/>
      <w:snapToGrid w:val="0"/>
      <w:color w:val="000000"/>
      <w:szCs w:val="22"/>
      <w:lang w:val="en-US" w:eastAsia="de-DE"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image" Target="media/image6.png"/><Relationship Id="rId18" Type="http://schemas.openxmlformats.org/officeDocument/2006/relationships/chart" Target="charts/chart5.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chart" Target="charts/chart4.xml"/><Relationship Id="rId2" Type="http://schemas.openxmlformats.org/officeDocument/2006/relationships/numbering" Target="numbering.xml"/><Relationship Id="rId16" Type="http://schemas.openxmlformats.org/officeDocument/2006/relationships/chart" Target="charts/chart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chart" Target="charts/chart2.xml"/><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chart" Target="charts/chart1.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D:\new\Gdrive\yoosh\programATTACHCHANGED\D-SOLCEL\SOLCEL22\SOLCELINPUT22\sustainability.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package" Target="../embeddings/Microsoft_Excel_Worksheet3.xlsx"/><Relationship Id="rId2" Type="http://schemas.microsoft.com/office/2011/relationships/chartColorStyle" Target="colors5.xml"/><Relationship Id="rId1" Type="http://schemas.microsoft.com/office/2011/relationships/chartStyle" Target="style5.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ko-K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2459492563429571"/>
          <c:y val="7.5046296296296292E-2"/>
          <c:w val="0.78612642169728786"/>
          <c:h val="0.77030876348789734"/>
        </c:manualLayout>
      </c:layout>
      <c:lineChart>
        <c:grouping val="standard"/>
        <c:varyColors val="0"/>
        <c:ser>
          <c:idx val="0"/>
          <c:order val="0"/>
          <c:tx>
            <c:strRef>
              <c:f>Sheet1!$C$5</c:f>
              <c:strCache>
                <c:ptCount val="1"/>
                <c:pt idx="0">
                  <c:v>PV width:0.8m,P:49,430 kWh, SUR=13.31%</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cat>
            <c:numRef>
              <c:f>Sheet1!$B$6:$B$17</c:f>
              <c:numCache>
                <c:formatCode>General</c:formatCode>
                <c:ptCount val="12"/>
                <c:pt idx="0">
                  <c:v>1</c:v>
                </c:pt>
                <c:pt idx="1">
                  <c:v>2</c:v>
                </c:pt>
                <c:pt idx="2">
                  <c:v>3</c:v>
                </c:pt>
                <c:pt idx="3">
                  <c:v>4</c:v>
                </c:pt>
                <c:pt idx="4">
                  <c:v>5</c:v>
                </c:pt>
                <c:pt idx="5">
                  <c:v>6</c:v>
                </c:pt>
                <c:pt idx="6">
                  <c:v>7</c:v>
                </c:pt>
                <c:pt idx="7">
                  <c:v>8</c:v>
                </c:pt>
                <c:pt idx="8">
                  <c:v>9</c:v>
                </c:pt>
                <c:pt idx="9">
                  <c:v>10</c:v>
                </c:pt>
                <c:pt idx="10">
                  <c:v>11</c:v>
                </c:pt>
                <c:pt idx="11">
                  <c:v>12</c:v>
                </c:pt>
              </c:numCache>
            </c:numRef>
          </c:cat>
          <c:val>
            <c:numRef>
              <c:f>Sheet1!$C$6:$C$17</c:f>
              <c:numCache>
                <c:formatCode>General</c:formatCode>
                <c:ptCount val="12"/>
                <c:pt idx="0">
                  <c:v>2936.4</c:v>
                </c:pt>
                <c:pt idx="1">
                  <c:v>3268.2</c:v>
                </c:pt>
                <c:pt idx="2">
                  <c:v>4673.7</c:v>
                </c:pt>
                <c:pt idx="3">
                  <c:v>5695.9</c:v>
                </c:pt>
                <c:pt idx="4">
                  <c:v>5687.1</c:v>
                </c:pt>
                <c:pt idx="5">
                  <c:v>4195.1000000000004</c:v>
                </c:pt>
                <c:pt idx="6">
                  <c:v>4011.3</c:v>
                </c:pt>
                <c:pt idx="7">
                  <c:v>5125.1000000000004</c:v>
                </c:pt>
                <c:pt idx="8">
                  <c:v>4340.2</c:v>
                </c:pt>
                <c:pt idx="9">
                  <c:v>4199.6000000000004</c:v>
                </c:pt>
                <c:pt idx="10">
                  <c:v>2876.6</c:v>
                </c:pt>
                <c:pt idx="11">
                  <c:v>2421.5</c:v>
                </c:pt>
              </c:numCache>
            </c:numRef>
          </c:val>
          <c:smooth val="0"/>
          <c:extLst>
            <c:ext xmlns:c16="http://schemas.microsoft.com/office/drawing/2014/chart" uri="{C3380CC4-5D6E-409C-BE32-E72D297353CC}">
              <c16:uniqueId val="{00000000-A639-4106-B347-7C02AA2DF630}"/>
            </c:ext>
          </c:extLst>
        </c:ser>
        <c:ser>
          <c:idx val="1"/>
          <c:order val="1"/>
          <c:tx>
            <c:strRef>
              <c:f>Sheet1!$D$5</c:f>
              <c:strCache>
                <c:ptCount val="1"/>
                <c:pt idx="0">
                  <c:v>PV width:1.0m,P:55,928 kWh, SUR=12.04%</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cat>
            <c:numRef>
              <c:f>Sheet1!$B$6:$B$17</c:f>
              <c:numCache>
                <c:formatCode>General</c:formatCode>
                <c:ptCount val="12"/>
                <c:pt idx="0">
                  <c:v>1</c:v>
                </c:pt>
                <c:pt idx="1">
                  <c:v>2</c:v>
                </c:pt>
                <c:pt idx="2">
                  <c:v>3</c:v>
                </c:pt>
                <c:pt idx="3">
                  <c:v>4</c:v>
                </c:pt>
                <c:pt idx="4">
                  <c:v>5</c:v>
                </c:pt>
                <c:pt idx="5">
                  <c:v>6</c:v>
                </c:pt>
                <c:pt idx="6">
                  <c:v>7</c:v>
                </c:pt>
                <c:pt idx="7">
                  <c:v>8</c:v>
                </c:pt>
                <c:pt idx="8">
                  <c:v>9</c:v>
                </c:pt>
                <c:pt idx="9">
                  <c:v>10</c:v>
                </c:pt>
                <c:pt idx="10">
                  <c:v>11</c:v>
                </c:pt>
                <c:pt idx="11">
                  <c:v>12</c:v>
                </c:pt>
              </c:numCache>
            </c:numRef>
          </c:cat>
          <c:val>
            <c:numRef>
              <c:f>Sheet1!$D$6:$D$17</c:f>
              <c:numCache>
                <c:formatCode>General</c:formatCode>
                <c:ptCount val="12"/>
                <c:pt idx="0">
                  <c:v>3328.3</c:v>
                </c:pt>
                <c:pt idx="1">
                  <c:v>3786.8</c:v>
                </c:pt>
                <c:pt idx="2">
                  <c:v>5890.6</c:v>
                </c:pt>
                <c:pt idx="3">
                  <c:v>7641.9</c:v>
                </c:pt>
                <c:pt idx="4">
                  <c:v>4806.1000000000004</c:v>
                </c:pt>
                <c:pt idx="5">
                  <c:v>4341.3</c:v>
                </c:pt>
                <c:pt idx="6">
                  <c:v>3764.1</c:v>
                </c:pt>
                <c:pt idx="7">
                  <c:v>5831.5</c:v>
                </c:pt>
                <c:pt idx="8">
                  <c:v>5629.9</c:v>
                </c:pt>
                <c:pt idx="9">
                  <c:v>4944.1000000000004</c:v>
                </c:pt>
                <c:pt idx="10">
                  <c:v>3275</c:v>
                </c:pt>
                <c:pt idx="11">
                  <c:v>2688.7</c:v>
                </c:pt>
              </c:numCache>
            </c:numRef>
          </c:val>
          <c:smooth val="0"/>
          <c:extLst>
            <c:ext xmlns:c16="http://schemas.microsoft.com/office/drawing/2014/chart" uri="{C3380CC4-5D6E-409C-BE32-E72D297353CC}">
              <c16:uniqueId val="{00000001-A639-4106-B347-7C02AA2DF630}"/>
            </c:ext>
          </c:extLst>
        </c:ser>
        <c:ser>
          <c:idx val="2"/>
          <c:order val="2"/>
          <c:tx>
            <c:strRef>
              <c:f>Sheet1!$E$5</c:f>
              <c:strCache>
                <c:ptCount val="1"/>
                <c:pt idx="0">
                  <c:v>PV width:1.2m,P:60,573 kWh, SUR=10.87%</c:v>
                </c:pt>
              </c:strCache>
            </c:strRef>
          </c:tx>
          <c:spPr>
            <a:ln w="28575" cap="rnd">
              <a:solidFill>
                <a:schemeClr val="accent3"/>
              </a:solidFill>
              <a:round/>
            </a:ln>
            <a:effectLst/>
          </c:spPr>
          <c:marker>
            <c:symbol val="circle"/>
            <c:size val="5"/>
            <c:spPr>
              <a:solidFill>
                <a:schemeClr val="accent3"/>
              </a:solidFill>
              <a:ln w="9525">
                <a:solidFill>
                  <a:schemeClr val="accent3"/>
                </a:solidFill>
              </a:ln>
              <a:effectLst/>
            </c:spPr>
          </c:marker>
          <c:cat>
            <c:numRef>
              <c:f>Sheet1!$B$6:$B$17</c:f>
              <c:numCache>
                <c:formatCode>General</c:formatCode>
                <c:ptCount val="12"/>
                <c:pt idx="0">
                  <c:v>1</c:v>
                </c:pt>
                <c:pt idx="1">
                  <c:v>2</c:v>
                </c:pt>
                <c:pt idx="2">
                  <c:v>3</c:v>
                </c:pt>
                <c:pt idx="3">
                  <c:v>4</c:v>
                </c:pt>
                <c:pt idx="4">
                  <c:v>5</c:v>
                </c:pt>
                <c:pt idx="5">
                  <c:v>6</c:v>
                </c:pt>
                <c:pt idx="6">
                  <c:v>7</c:v>
                </c:pt>
                <c:pt idx="7">
                  <c:v>8</c:v>
                </c:pt>
                <c:pt idx="8">
                  <c:v>9</c:v>
                </c:pt>
                <c:pt idx="9">
                  <c:v>10</c:v>
                </c:pt>
                <c:pt idx="10">
                  <c:v>11</c:v>
                </c:pt>
                <c:pt idx="11">
                  <c:v>12</c:v>
                </c:pt>
              </c:numCache>
            </c:numRef>
          </c:cat>
          <c:val>
            <c:numRef>
              <c:f>Sheet1!$E$6:$E$17</c:f>
              <c:numCache>
                <c:formatCode>General</c:formatCode>
                <c:ptCount val="12"/>
                <c:pt idx="0">
                  <c:v>3802.3</c:v>
                </c:pt>
                <c:pt idx="1">
                  <c:v>4496.1000000000004</c:v>
                </c:pt>
                <c:pt idx="2">
                  <c:v>7356.8</c:v>
                </c:pt>
                <c:pt idx="3">
                  <c:v>7558.2</c:v>
                </c:pt>
                <c:pt idx="4">
                  <c:v>4585.3999999999996</c:v>
                </c:pt>
                <c:pt idx="5">
                  <c:v>4183.6000000000004</c:v>
                </c:pt>
                <c:pt idx="6">
                  <c:v>3734.3</c:v>
                </c:pt>
                <c:pt idx="7">
                  <c:v>4986.6000000000004</c:v>
                </c:pt>
                <c:pt idx="8">
                  <c:v>6949.3</c:v>
                </c:pt>
                <c:pt idx="9">
                  <c:v>6070.5</c:v>
                </c:pt>
                <c:pt idx="10">
                  <c:v>3807.5</c:v>
                </c:pt>
                <c:pt idx="11">
                  <c:v>3042</c:v>
                </c:pt>
              </c:numCache>
            </c:numRef>
          </c:val>
          <c:smooth val="0"/>
          <c:extLst>
            <c:ext xmlns:c16="http://schemas.microsoft.com/office/drawing/2014/chart" uri="{C3380CC4-5D6E-409C-BE32-E72D297353CC}">
              <c16:uniqueId val="{00000002-A639-4106-B347-7C02AA2DF630}"/>
            </c:ext>
          </c:extLst>
        </c:ser>
        <c:ser>
          <c:idx val="3"/>
          <c:order val="3"/>
          <c:tx>
            <c:strRef>
              <c:f>Sheet1!$F$5</c:f>
              <c:strCache>
                <c:ptCount val="1"/>
                <c:pt idx="0">
                  <c:v>PV width:1.4m,P: 68,406 kWh, SUR=10.52%</c:v>
                </c:pt>
              </c:strCache>
            </c:strRef>
          </c:tx>
          <c:spPr>
            <a:ln w="28575" cap="rnd">
              <a:solidFill>
                <a:schemeClr val="accent4"/>
              </a:solidFill>
              <a:round/>
            </a:ln>
            <a:effectLst/>
          </c:spPr>
          <c:marker>
            <c:symbol val="circle"/>
            <c:size val="5"/>
            <c:spPr>
              <a:solidFill>
                <a:schemeClr val="accent4"/>
              </a:solidFill>
              <a:ln w="9525">
                <a:solidFill>
                  <a:schemeClr val="accent4"/>
                </a:solidFill>
              </a:ln>
              <a:effectLst/>
            </c:spPr>
          </c:marker>
          <c:cat>
            <c:numRef>
              <c:f>Sheet1!$B$6:$B$17</c:f>
              <c:numCache>
                <c:formatCode>General</c:formatCode>
                <c:ptCount val="12"/>
                <c:pt idx="0">
                  <c:v>1</c:v>
                </c:pt>
                <c:pt idx="1">
                  <c:v>2</c:v>
                </c:pt>
                <c:pt idx="2">
                  <c:v>3</c:v>
                </c:pt>
                <c:pt idx="3">
                  <c:v>4</c:v>
                </c:pt>
                <c:pt idx="4">
                  <c:v>5</c:v>
                </c:pt>
                <c:pt idx="5">
                  <c:v>6</c:v>
                </c:pt>
                <c:pt idx="6">
                  <c:v>7</c:v>
                </c:pt>
                <c:pt idx="7">
                  <c:v>8</c:v>
                </c:pt>
                <c:pt idx="8">
                  <c:v>9</c:v>
                </c:pt>
                <c:pt idx="9">
                  <c:v>10</c:v>
                </c:pt>
                <c:pt idx="10">
                  <c:v>11</c:v>
                </c:pt>
                <c:pt idx="11">
                  <c:v>12</c:v>
                </c:pt>
              </c:numCache>
            </c:numRef>
          </c:cat>
          <c:val>
            <c:numRef>
              <c:f>Sheet1!$F$6:$F$17</c:f>
              <c:numCache>
                <c:formatCode>General</c:formatCode>
                <c:ptCount val="12"/>
                <c:pt idx="0">
                  <c:v>4383.6000000000004</c:v>
                </c:pt>
                <c:pt idx="1">
                  <c:v>5370.6</c:v>
                </c:pt>
                <c:pt idx="2">
                  <c:v>8909.7000000000007</c:v>
                </c:pt>
                <c:pt idx="3">
                  <c:v>6992.5</c:v>
                </c:pt>
                <c:pt idx="4">
                  <c:v>4656.8999999999996</c:v>
                </c:pt>
                <c:pt idx="5">
                  <c:v>4222.3999999999996</c:v>
                </c:pt>
                <c:pt idx="6">
                  <c:v>3757</c:v>
                </c:pt>
                <c:pt idx="7">
                  <c:v>6095.6</c:v>
                </c:pt>
                <c:pt idx="8">
                  <c:v>8805.4</c:v>
                </c:pt>
                <c:pt idx="9">
                  <c:v>7228.4</c:v>
                </c:pt>
                <c:pt idx="10">
                  <c:v>4490.6000000000004</c:v>
                </c:pt>
                <c:pt idx="11">
                  <c:v>3493.3</c:v>
                </c:pt>
              </c:numCache>
            </c:numRef>
          </c:val>
          <c:smooth val="0"/>
          <c:extLst>
            <c:ext xmlns:c16="http://schemas.microsoft.com/office/drawing/2014/chart" uri="{C3380CC4-5D6E-409C-BE32-E72D297353CC}">
              <c16:uniqueId val="{00000003-A639-4106-B347-7C02AA2DF630}"/>
            </c:ext>
          </c:extLst>
        </c:ser>
        <c:dLbls>
          <c:showLegendKey val="0"/>
          <c:showVal val="0"/>
          <c:showCatName val="0"/>
          <c:showSerName val="0"/>
          <c:showPercent val="0"/>
          <c:showBubbleSize val="0"/>
        </c:dLbls>
        <c:hiLowLines>
          <c:spPr>
            <a:ln w="9525" cap="flat" cmpd="sng" algn="ctr">
              <a:solidFill>
                <a:schemeClr val="tx1">
                  <a:lumMod val="75000"/>
                  <a:lumOff val="25000"/>
                </a:schemeClr>
              </a:solidFill>
              <a:round/>
            </a:ln>
            <a:effectLst/>
          </c:spPr>
        </c:hiLowLines>
        <c:marker val="1"/>
        <c:smooth val="0"/>
        <c:axId val="-1419034912"/>
        <c:axId val="-1419036544"/>
      </c:lineChart>
      <c:catAx>
        <c:axId val="-1419034912"/>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ltLang="ko-KR"/>
                  <a:t>Month</a:t>
                </a:r>
                <a:endParaRPr lang="ko-KR" altLang="en-US"/>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ko-KR"/>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ko-KR"/>
          </a:p>
        </c:txPr>
        <c:crossAx val="-1419036544"/>
        <c:crosses val="autoZero"/>
        <c:auto val="1"/>
        <c:lblAlgn val="ctr"/>
        <c:lblOffset val="100"/>
        <c:noMultiLvlLbl val="0"/>
      </c:catAx>
      <c:valAx>
        <c:axId val="-141903654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ltLang="ko-KR"/>
                  <a:t>Power(kWh)</a:t>
                </a:r>
                <a:endParaRPr lang="ko-KR" altLang="en-US"/>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ko-KR"/>
            </a:p>
          </c:txPr>
        </c:title>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ko-KR"/>
          </a:p>
        </c:txPr>
        <c:crossAx val="-1419034912"/>
        <c:crosses val="autoZero"/>
        <c:crossBetween val="between"/>
      </c:valAx>
      <c:spPr>
        <a:noFill/>
        <a:ln>
          <a:noFill/>
        </a:ln>
        <a:effectLst/>
      </c:spPr>
    </c:plotArea>
    <c:legend>
      <c:legendPos val="r"/>
      <c:layout>
        <c:manualLayout>
          <c:xMode val="edge"/>
          <c:yMode val="edge"/>
          <c:x val="0.24683245844269466"/>
          <c:y val="0.61342373869932931"/>
          <c:w val="0.54761198600174976"/>
          <c:h val="0.21296733741615631"/>
        </c:manualLayout>
      </c:layout>
      <c:overlay val="0"/>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ko-K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ko-KR"/>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ko-K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49830927384077"/>
          <c:y val="5.0925925925925923E-2"/>
          <c:w val="0.82239129483814521"/>
          <c:h val="0.76625801983085451"/>
        </c:manualLayout>
      </c:layout>
      <c:lineChart>
        <c:grouping val="standard"/>
        <c:varyColors val="0"/>
        <c:ser>
          <c:idx val="0"/>
          <c:order val="0"/>
          <c:tx>
            <c:strRef>
              <c:f>Sheet1!$D$20</c:f>
              <c:strCache>
                <c:ptCount val="1"/>
                <c:pt idx="0">
                  <c:v>CELL RATIO:0.85, POWER: 55,928 kWh, SUR:12.04%</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cat>
            <c:numRef>
              <c:f>Sheet1!$C$21:$C$32</c:f>
              <c:numCache>
                <c:formatCode>General</c:formatCode>
                <c:ptCount val="12"/>
                <c:pt idx="0">
                  <c:v>1</c:v>
                </c:pt>
                <c:pt idx="1">
                  <c:v>2</c:v>
                </c:pt>
                <c:pt idx="2">
                  <c:v>3</c:v>
                </c:pt>
                <c:pt idx="3">
                  <c:v>4</c:v>
                </c:pt>
                <c:pt idx="4">
                  <c:v>5</c:v>
                </c:pt>
                <c:pt idx="5">
                  <c:v>6</c:v>
                </c:pt>
                <c:pt idx="6">
                  <c:v>7</c:v>
                </c:pt>
                <c:pt idx="7">
                  <c:v>8</c:v>
                </c:pt>
                <c:pt idx="8">
                  <c:v>9</c:v>
                </c:pt>
                <c:pt idx="9">
                  <c:v>10</c:v>
                </c:pt>
                <c:pt idx="10">
                  <c:v>11</c:v>
                </c:pt>
                <c:pt idx="11">
                  <c:v>12</c:v>
                </c:pt>
              </c:numCache>
            </c:numRef>
          </c:cat>
          <c:val>
            <c:numRef>
              <c:f>Sheet1!$D$21:$D$32</c:f>
              <c:numCache>
                <c:formatCode>General</c:formatCode>
                <c:ptCount val="12"/>
                <c:pt idx="0">
                  <c:v>3328.3</c:v>
                </c:pt>
                <c:pt idx="1">
                  <c:v>3786.8</c:v>
                </c:pt>
                <c:pt idx="2">
                  <c:v>5890.6</c:v>
                </c:pt>
                <c:pt idx="3">
                  <c:v>7641.9</c:v>
                </c:pt>
                <c:pt idx="4">
                  <c:v>4806.1000000000004</c:v>
                </c:pt>
                <c:pt idx="5">
                  <c:v>4341.3</c:v>
                </c:pt>
                <c:pt idx="6">
                  <c:v>3764.1</c:v>
                </c:pt>
                <c:pt idx="7">
                  <c:v>5831.5</c:v>
                </c:pt>
                <c:pt idx="8">
                  <c:v>5629.9</c:v>
                </c:pt>
                <c:pt idx="9">
                  <c:v>4944.1000000000004</c:v>
                </c:pt>
                <c:pt idx="10">
                  <c:v>3275</c:v>
                </c:pt>
                <c:pt idx="11">
                  <c:v>2688.7</c:v>
                </c:pt>
              </c:numCache>
            </c:numRef>
          </c:val>
          <c:smooth val="0"/>
          <c:extLst>
            <c:ext xmlns:c16="http://schemas.microsoft.com/office/drawing/2014/chart" uri="{C3380CC4-5D6E-409C-BE32-E72D297353CC}">
              <c16:uniqueId val="{00000000-2D07-4F2B-AF6A-916A0D21AE81}"/>
            </c:ext>
          </c:extLst>
        </c:ser>
        <c:ser>
          <c:idx val="1"/>
          <c:order val="1"/>
          <c:tx>
            <c:strRef>
              <c:f>Sheet1!$E$20</c:f>
              <c:strCache>
                <c:ptCount val="1"/>
                <c:pt idx="0">
                  <c:v>CELL RATIO:0.75, POWER: 74,580 kWh, SUR:16.06%</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cat>
            <c:numRef>
              <c:f>Sheet1!$C$21:$C$32</c:f>
              <c:numCache>
                <c:formatCode>General</c:formatCode>
                <c:ptCount val="12"/>
                <c:pt idx="0">
                  <c:v>1</c:v>
                </c:pt>
                <c:pt idx="1">
                  <c:v>2</c:v>
                </c:pt>
                <c:pt idx="2">
                  <c:v>3</c:v>
                </c:pt>
                <c:pt idx="3">
                  <c:v>4</c:v>
                </c:pt>
                <c:pt idx="4">
                  <c:v>5</c:v>
                </c:pt>
                <c:pt idx="5">
                  <c:v>6</c:v>
                </c:pt>
                <c:pt idx="6">
                  <c:v>7</c:v>
                </c:pt>
                <c:pt idx="7">
                  <c:v>8</c:v>
                </c:pt>
                <c:pt idx="8">
                  <c:v>9</c:v>
                </c:pt>
                <c:pt idx="9">
                  <c:v>10</c:v>
                </c:pt>
                <c:pt idx="10">
                  <c:v>11</c:v>
                </c:pt>
                <c:pt idx="11">
                  <c:v>12</c:v>
                </c:pt>
              </c:numCache>
            </c:numRef>
          </c:cat>
          <c:val>
            <c:numRef>
              <c:f>Sheet1!$E$21:$E$32</c:f>
              <c:numCache>
                <c:formatCode>General</c:formatCode>
                <c:ptCount val="12"/>
                <c:pt idx="0">
                  <c:v>4010.7</c:v>
                </c:pt>
                <c:pt idx="1">
                  <c:v>4718.6000000000004</c:v>
                </c:pt>
                <c:pt idx="2">
                  <c:v>7676.6</c:v>
                </c:pt>
                <c:pt idx="3">
                  <c:v>11007.9</c:v>
                </c:pt>
                <c:pt idx="4">
                  <c:v>6903.7</c:v>
                </c:pt>
                <c:pt idx="5">
                  <c:v>6097.7</c:v>
                </c:pt>
                <c:pt idx="6">
                  <c:v>5327.5</c:v>
                </c:pt>
                <c:pt idx="7">
                  <c:v>8047.9</c:v>
                </c:pt>
                <c:pt idx="8">
                  <c:v>7262.3</c:v>
                </c:pt>
                <c:pt idx="9">
                  <c:v>6237.5</c:v>
                </c:pt>
                <c:pt idx="10">
                  <c:v>4022.8</c:v>
                </c:pt>
                <c:pt idx="11">
                  <c:v>3266.8</c:v>
                </c:pt>
              </c:numCache>
            </c:numRef>
          </c:val>
          <c:smooth val="0"/>
          <c:extLst>
            <c:ext xmlns:c16="http://schemas.microsoft.com/office/drawing/2014/chart" uri="{C3380CC4-5D6E-409C-BE32-E72D297353CC}">
              <c16:uniqueId val="{00000001-2D07-4F2B-AF6A-916A0D21AE81}"/>
            </c:ext>
          </c:extLst>
        </c:ser>
        <c:ser>
          <c:idx val="2"/>
          <c:order val="2"/>
          <c:tx>
            <c:strRef>
              <c:f>Sheet1!$F$20</c:f>
              <c:strCache>
                <c:ptCount val="1"/>
                <c:pt idx="0">
                  <c:v>CELL RATIO:0.60, POWER: 97,069. kWh, SUR:20.9%</c:v>
                </c:pt>
              </c:strCache>
            </c:strRef>
          </c:tx>
          <c:spPr>
            <a:ln w="28575" cap="rnd">
              <a:solidFill>
                <a:schemeClr val="accent3"/>
              </a:solidFill>
              <a:round/>
            </a:ln>
            <a:effectLst/>
          </c:spPr>
          <c:marker>
            <c:symbol val="circle"/>
            <c:size val="5"/>
            <c:spPr>
              <a:solidFill>
                <a:schemeClr val="accent3"/>
              </a:solidFill>
              <a:ln w="9525">
                <a:solidFill>
                  <a:schemeClr val="accent3"/>
                </a:solidFill>
              </a:ln>
              <a:effectLst/>
            </c:spPr>
          </c:marker>
          <c:cat>
            <c:numRef>
              <c:f>Sheet1!$C$21:$C$32</c:f>
              <c:numCache>
                <c:formatCode>General</c:formatCode>
                <c:ptCount val="12"/>
                <c:pt idx="0">
                  <c:v>1</c:v>
                </c:pt>
                <c:pt idx="1">
                  <c:v>2</c:v>
                </c:pt>
                <c:pt idx="2">
                  <c:v>3</c:v>
                </c:pt>
                <c:pt idx="3">
                  <c:v>4</c:v>
                </c:pt>
                <c:pt idx="4">
                  <c:v>5</c:v>
                </c:pt>
                <c:pt idx="5">
                  <c:v>6</c:v>
                </c:pt>
                <c:pt idx="6">
                  <c:v>7</c:v>
                </c:pt>
                <c:pt idx="7">
                  <c:v>8</c:v>
                </c:pt>
                <c:pt idx="8">
                  <c:v>9</c:v>
                </c:pt>
                <c:pt idx="9">
                  <c:v>10</c:v>
                </c:pt>
                <c:pt idx="10">
                  <c:v>11</c:v>
                </c:pt>
                <c:pt idx="11">
                  <c:v>12</c:v>
                </c:pt>
              </c:numCache>
            </c:numRef>
          </c:cat>
          <c:val>
            <c:numRef>
              <c:f>Sheet1!$F$21:$F$32</c:f>
              <c:numCache>
                <c:formatCode>General</c:formatCode>
                <c:ptCount val="12"/>
                <c:pt idx="0">
                  <c:v>4968.8999999999996</c:v>
                </c:pt>
                <c:pt idx="1">
                  <c:v>6093.4</c:v>
                </c:pt>
                <c:pt idx="2">
                  <c:v>9426.5</c:v>
                </c:pt>
                <c:pt idx="3">
                  <c:v>13180.1</c:v>
                </c:pt>
                <c:pt idx="4">
                  <c:v>8938.6</c:v>
                </c:pt>
                <c:pt idx="5">
                  <c:v>7662.2</c:v>
                </c:pt>
                <c:pt idx="6">
                  <c:v>9805.7000000000007</c:v>
                </c:pt>
                <c:pt idx="7">
                  <c:v>10449.299999999999</c:v>
                </c:pt>
                <c:pt idx="8">
                  <c:v>9562.7999999999993</c:v>
                </c:pt>
                <c:pt idx="9">
                  <c:v>7661</c:v>
                </c:pt>
                <c:pt idx="10">
                  <c:v>5154</c:v>
                </c:pt>
                <c:pt idx="11">
                  <c:v>4166</c:v>
                </c:pt>
              </c:numCache>
            </c:numRef>
          </c:val>
          <c:smooth val="0"/>
          <c:extLst>
            <c:ext xmlns:c16="http://schemas.microsoft.com/office/drawing/2014/chart" uri="{C3380CC4-5D6E-409C-BE32-E72D297353CC}">
              <c16:uniqueId val="{00000002-2D07-4F2B-AF6A-916A0D21AE81}"/>
            </c:ext>
          </c:extLst>
        </c:ser>
        <c:dLbls>
          <c:showLegendKey val="0"/>
          <c:showVal val="0"/>
          <c:showCatName val="0"/>
          <c:showSerName val="0"/>
          <c:showPercent val="0"/>
          <c:showBubbleSize val="0"/>
        </c:dLbls>
        <c:dropLines>
          <c:spPr>
            <a:ln w="9525" cap="flat" cmpd="sng" algn="ctr">
              <a:solidFill>
                <a:schemeClr val="tx1">
                  <a:lumMod val="35000"/>
                  <a:lumOff val="65000"/>
                </a:schemeClr>
              </a:solidFill>
              <a:round/>
            </a:ln>
            <a:effectLst/>
          </c:spPr>
        </c:dropLines>
        <c:marker val="1"/>
        <c:smooth val="0"/>
        <c:axId val="-1312047968"/>
        <c:axId val="-1312046880"/>
      </c:lineChart>
      <c:catAx>
        <c:axId val="-1312047968"/>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ltLang="ko-KR"/>
                  <a:t>Month</a:t>
                </a:r>
                <a:endParaRPr lang="ko-KR" altLang="en-US"/>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ko-KR"/>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ko-KR"/>
          </a:p>
        </c:txPr>
        <c:crossAx val="-1312046880"/>
        <c:crosses val="autoZero"/>
        <c:auto val="1"/>
        <c:lblAlgn val="ctr"/>
        <c:lblOffset val="100"/>
        <c:noMultiLvlLbl val="0"/>
      </c:catAx>
      <c:valAx>
        <c:axId val="-131204688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ltLang="ko-KR"/>
                  <a:t>Power(kWh)</a:t>
                </a:r>
                <a:endParaRPr lang="ko-KR" altLang="en-US"/>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ko-KR"/>
            </a:p>
          </c:txPr>
        </c:title>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ko-KR"/>
          </a:p>
        </c:txPr>
        <c:crossAx val="-1312047968"/>
        <c:crosses val="autoZero"/>
        <c:crossBetween val="between"/>
      </c:valAx>
      <c:spPr>
        <a:noFill/>
        <a:ln>
          <a:noFill/>
        </a:ln>
        <a:effectLst/>
      </c:spPr>
    </c:plotArea>
    <c:legend>
      <c:legendPos val="r"/>
      <c:layout>
        <c:manualLayout>
          <c:xMode val="edge"/>
          <c:yMode val="edge"/>
          <c:x val="0.35555555555555557"/>
          <c:y val="2.8689122193059223E-4"/>
          <c:w val="0.64166666666666672"/>
          <c:h val="0.17998177311169439"/>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ko-K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ko-KR"/>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ko-K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2303937007874018"/>
          <c:y val="5.0925925925925923E-2"/>
          <c:w val="0.84640507436570434"/>
          <c:h val="0.81525335374744823"/>
        </c:manualLayout>
      </c:layout>
      <c:barChart>
        <c:barDir val="col"/>
        <c:grouping val="clustered"/>
        <c:varyColors val="0"/>
        <c:ser>
          <c:idx val="0"/>
          <c:order val="0"/>
          <c:tx>
            <c:strRef>
              <c:f>Sheet1!$D$38</c:f>
              <c:strCache>
                <c:ptCount val="1"/>
                <c:pt idx="0">
                  <c:v>A: CELL RATIO: 0.85, POWER: 55,928 kWh, SUR:12.04%</c:v>
                </c:pt>
              </c:strCache>
            </c:strRef>
          </c:tx>
          <c:spPr>
            <a:solidFill>
              <a:schemeClr val="accent1"/>
            </a:solidFill>
            <a:ln>
              <a:noFill/>
            </a:ln>
            <a:effectLst/>
          </c:spPr>
          <c:invertIfNegative val="0"/>
          <c:cat>
            <c:numRef>
              <c:f>Sheet1!$C$39:$C$50</c:f>
              <c:numCache>
                <c:formatCode>General</c:formatCode>
                <c:ptCount val="12"/>
                <c:pt idx="0">
                  <c:v>1</c:v>
                </c:pt>
                <c:pt idx="1">
                  <c:v>2</c:v>
                </c:pt>
                <c:pt idx="2">
                  <c:v>3</c:v>
                </c:pt>
                <c:pt idx="3">
                  <c:v>4</c:v>
                </c:pt>
                <c:pt idx="4">
                  <c:v>5</c:v>
                </c:pt>
                <c:pt idx="5">
                  <c:v>6</c:v>
                </c:pt>
                <c:pt idx="6">
                  <c:v>7</c:v>
                </c:pt>
                <c:pt idx="7">
                  <c:v>8</c:v>
                </c:pt>
                <c:pt idx="8">
                  <c:v>9</c:v>
                </c:pt>
                <c:pt idx="9">
                  <c:v>10</c:v>
                </c:pt>
                <c:pt idx="10">
                  <c:v>11</c:v>
                </c:pt>
                <c:pt idx="11">
                  <c:v>12</c:v>
                </c:pt>
              </c:numCache>
            </c:numRef>
          </c:cat>
          <c:val>
            <c:numRef>
              <c:f>Sheet1!$D$39:$D$50</c:f>
              <c:numCache>
                <c:formatCode>General</c:formatCode>
                <c:ptCount val="12"/>
                <c:pt idx="0">
                  <c:v>3328.3</c:v>
                </c:pt>
                <c:pt idx="1">
                  <c:v>3786.8</c:v>
                </c:pt>
                <c:pt idx="2">
                  <c:v>5890.6</c:v>
                </c:pt>
                <c:pt idx="3">
                  <c:v>7641.9</c:v>
                </c:pt>
                <c:pt idx="4">
                  <c:v>4806.1000000000004</c:v>
                </c:pt>
                <c:pt idx="5">
                  <c:v>4341.3</c:v>
                </c:pt>
                <c:pt idx="6">
                  <c:v>3764.1</c:v>
                </c:pt>
                <c:pt idx="7">
                  <c:v>5831.5</c:v>
                </c:pt>
                <c:pt idx="8">
                  <c:v>5629.9</c:v>
                </c:pt>
                <c:pt idx="9">
                  <c:v>4944.1000000000004</c:v>
                </c:pt>
                <c:pt idx="10">
                  <c:v>3275</c:v>
                </c:pt>
                <c:pt idx="11">
                  <c:v>2688.7</c:v>
                </c:pt>
              </c:numCache>
            </c:numRef>
          </c:val>
          <c:extLst>
            <c:ext xmlns:c16="http://schemas.microsoft.com/office/drawing/2014/chart" uri="{C3380CC4-5D6E-409C-BE32-E72D297353CC}">
              <c16:uniqueId val="{00000000-B033-400B-8218-039F2365DD71}"/>
            </c:ext>
          </c:extLst>
        </c:ser>
        <c:ser>
          <c:idx val="1"/>
          <c:order val="1"/>
          <c:tx>
            <c:strRef>
              <c:f>Sheet1!$E$38</c:f>
              <c:strCache>
                <c:ptCount val="1"/>
                <c:pt idx="0">
                  <c:v>B: CELL RATIO: 0.85, POWER: 55,605 kWh, SUR:11.97%</c:v>
                </c:pt>
              </c:strCache>
            </c:strRef>
          </c:tx>
          <c:spPr>
            <a:solidFill>
              <a:schemeClr val="accent2"/>
            </a:solidFill>
            <a:ln>
              <a:noFill/>
            </a:ln>
            <a:effectLst/>
          </c:spPr>
          <c:invertIfNegative val="0"/>
          <c:cat>
            <c:numRef>
              <c:f>Sheet1!$C$39:$C$50</c:f>
              <c:numCache>
                <c:formatCode>General</c:formatCode>
                <c:ptCount val="12"/>
                <c:pt idx="0">
                  <c:v>1</c:v>
                </c:pt>
                <c:pt idx="1">
                  <c:v>2</c:v>
                </c:pt>
                <c:pt idx="2">
                  <c:v>3</c:v>
                </c:pt>
                <c:pt idx="3">
                  <c:v>4</c:v>
                </c:pt>
                <c:pt idx="4">
                  <c:v>5</c:v>
                </c:pt>
                <c:pt idx="5">
                  <c:v>6</c:v>
                </c:pt>
                <c:pt idx="6">
                  <c:v>7</c:v>
                </c:pt>
                <c:pt idx="7">
                  <c:v>8</c:v>
                </c:pt>
                <c:pt idx="8">
                  <c:v>9</c:v>
                </c:pt>
                <c:pt idx="9">
                  <c:v>10</c:v>
                </c:pt>
                <c:pt idx="10">
                  <c:v>11</c:v>
                </c:pt>
                <c:pt idx="11">
                  <c:v>12</c:v>
                </c:pt>
              </c:numCache>
            </c:numRef>
          </c:cat>
          <c:val>
            <c:numRef>
              <c:f>Sheet1!$E$39:$E$50</c:f>
              <c:numCache>
                <c:formatCode>General</c:formatCode>
                <c:ptCount val="12"/>
                <c:pt idx="0">
                  <c:v>3298.5</c:v>
                </c:pt>
                <c:pt idx="1">
                  <c:v>3752.9</c:v>
                </c:pt>
                <c:pt idx="2">
                  <c:v>5846.4</c:v>
                </c:pt>
                <c:pt idx="3">
                  <c:v>7621</c:v>
                </c:pt>
                <c:pt idx="4">
                  <c:v>4758</c:v>
                </c:pt>
                <c:pt idx="5">
                  <c:v>4322.1000000000004</c:v>
                </c:pt>
                <c:pt idx="6">
                  <c:v>3749</c:v>
                </c:pt>
                <c:pt idx="7">
                  <c:v>5812.1</c:v>
                </c:pt>
                <c:pt idx="8">
                  <c:v>5616.3</c:v>
                </c:pt>
                <c:pt idx="9">
                  <c:v>4923.8999999999996</c:v>
                </c:pt>
                <c:pt idx="10">
                  <c:v>3242.8</c:v>
                </c:pt>
                <c:pt idx="11">
                  <c:v>2661.5</c:v>
                </c:pt>
              </c:numCache>
            </c:numRef>
          </c:val>
          <c:extLst>
            <c:ext xmlns:c16="http://schemas.microsoft.com/office/drawing/2014/chart" uri="{C3380CC4-5D6E-409C-BE32-E72D297353CC}">
              <c16:uniqueId val="{00000001-B033-400B-8218-039F2365DD71}"/>
            </c:ext>
          </c:extLst>
        </c:ser>
        <c:ser>
          <c:idx val="2"/>
          <c:order val="2"/>
          <c:tx>
            <c:strRef>
              <c:f>Sheet1!$F$38</c:f>
              <c:strCache>
                <c:ptCount val="1"/>
                <c:pt idx="0">
                  <c:v>B1: CELL RATIO: 0.85, POWER: 55,295 kWh, SUR: 11.91%</c:v>
                </c:pt>
              </c:strCache>
            </c:strRef>
          </c:tx>
          <c:spPr>
            <a:solidFill>
              <a:schemeClr val="accent3"/>
            </a:solidFill>
            <a:ln>
              <a:noFill/>
            </a:ln>
            <a:effectLst/>
          </c:spPr>
          <c:invertIfNegative val="0"/>
          <c:cat>
            <c:numRef>
              <c:f>Sheet1!$C$39:$C$50</c:f>
              <c:numCache>
                <c:formatCode>General</c:formatCode>
                <c:ptCount val="12"/>
                <c:pt idx="0">
                  <c:v>1</c:v>
                </c:pt>
                <c:pt idx="1">
                  <c:v>2</c:v>
                </c:pt>
                <c:pt idx="2">
                  <c:v>3</c:v>
                </c:pt>
                <c:pt idx="3">
                  <c:v>4</c:v>
                </c:pt>
                <c:pt idx="4">
                  <c:v>5</c:v>
                </c:pt>
                <c:pt idx="5">
                  <c:v>6</c:v>
                </c:pt>
                <c:pt idx="6">
                  <c:v>7</c:v>
                </c:pt>
                <c:pt idx="7">
                  <c:v>8</c:v>
                </c:pt>
                <c:pt idx="8">
                  <c:v>9</c:v>
                </c:pt>
                <c:pt idx="9">
                  <c:v>10</c:v>
                </c:pt>
                <c:pt idx="10">
                  <c:v>11</c:v>
                </c:pt>
                <c:pt idx="11">
                  <c:v>12</c:v>
                </c:pt>
              </c:numCache>
            </c:numRef>
          </c:cat>
          <c:val>
            <c:numRef>
              <c:f>Sheet1!$F$39:$F$50</c:f>
              <c:numCache>
                <c:formatCode>General</c:formatCode>
                <c:ptCount val="12"/>
                <c:pt idx="0">
                  <c:v>3243</c:v>
                </c:pt>
                <c:pt idx="1">
                  <c:v>3688.3</c:v>
                </c:pt>
                <c:pt idx="2">
                  <c:v>5764.1</c:v>
                </c:pt>
                <c:pt idx="3">
                  <c:v>7582.1</c:v>
                </c:pt>
                <c:pt idx="4">
                  <c:v>4701.3</c:v>
                </c:pt>
                <c:pt idx="5">
                  <c:v>4286.5</c:v>
                </c:pt>
                <c:pt idx="6">
                  <c:v>3718.7</c:v>
                </c:pt>
                <c:pt idx="7">
                  <c:v>5776.1</c:v>
                </c:pt>
                <c:pt idx="8">
                  <c:v>5856.8</c:v>
                </c:pt>
                <c:pt idx="9">
                  <c:v>4883.3</c:v>
                </c:pt>
                <c:pt idx="10">
                  <c:v>3183.2</c:v>
                </c:pt>
                <c:pt idx="11">
                  <c:v>2611.1999999999998</c:v>
                </c:pt>
              </c:numCache>
            </c:numRef>
          </c:val>
          <c:extLst>
            <c:ext xmlns:c16="http://schemas.microsoft.com/office/drawing/2014/chart" uri="{C3380CC4-5D6E-409C-BE32-E72D297353CC}">
              <c16:uniqueId val="{00000002-B033-400B-8218-039F2365DD71}"/>
            </c:ext>
          </c:extLst>
        </c:ser>
        <c:dLbls>
          <c:showLegendKey val="0"/>
          <c:showVal val="0"/>
          <c:showCatName val="0"/>
          <c:showSerName val="0"/>
          <c:showPercent val="0"/>
          <c:showBubbleSize val="0"/>
        </c:dLbls>
        <c:gapWidth val="219"/>
        <c:overlap val="-27"/>
        <c:axId val="-1250710128"/>
        <c:axId val="-1250724272"/>
      </c:barChart>
      <c:catAx>
        <c:axId val="-1250710128"/>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ltLang="ko-KR"/>
                  <a:t>Month</a:t>
                </a:r>
                <a:endParaRPr lang="ko-KR" altLang="en-US"/>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ko-KR"/>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ko-KR"/>
          </a:p>
        </c:txPr>
        <c:crossAx val="-1250724272"/>
        <c:crosses val="autoZero"/>
        <c:auto val="1"/>
        <c:lblAlgn val="ctr"/>
        <c:lblOffset val="100"/>
        <c:noMultiLvlLbl val="0"/>
      </c:catAx>
      <c:valAx>
        <c:axId val="-125072427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ltLang="ko-KR"/>
                  <a:t>Power(kWh)</a:t>
                </a:r>
                <a:endParaRPr lang="ko-KR" altLang="en-US"/>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ko-KR"/>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ko-KR"/>
          </a:p>
        </c:txPr>
        <c:crossAx val="-1250710128"/>
        <c:crosses val="autoZero"/>
        <c:crossBetween val="between"/>
      </c:valAx>
      <c:spPr>
        <a:noFill/>
        <a:ln>
          <a:noFill/>
        </a:ln>
        <a:effectLst/>
      </c:spPr>
    </c:plotArea>
    <c:legend>
      <c:legendPos val="b"/>
      <c:layout>
        <c:manualLayout>
          <c:xMode val="edge"/>
          <c:yMode val="edge"/>
          <c:x val="0.39349650043744527"/>
          <c:y val="8.9651666275993927E-3"/>
          <c:w val="0.5741181102362205"/>
          <c:h val="0.2042840478273549"/>
        </c:manualLayout>
      </c:layout>
      <c:overlay val="0"/>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ko-K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ko-KR"/>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ko-K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6013648293963254"/>
          <c:y val="5.3981481481481464E-2"/>
          <c:w val="0.81769160104986882"/>
          <c:h val="0.81953196173059017"/>
        </c:manualLayout>
      </c:layout>
      <c:barChart>
        <c:barDir val="col"/>
        <c:grouping val="clustered"/>
        <c:varyColors val="0"/>
        <c:ser>
          <c:idx val="0"/>
          <c:order val="0"/>
          <c:tx>
            <c:strRef>
              <c:f>Sheet1!$D$59</c:f>
              <c:strCache>
                <c:ptCount val="1"/>
                <c:pt idx="0">
                  <c:v>PV width:1.0m,P: 55,928 kWh, Albedo:0.2(S),0.3(W),SUR=12.04%</c:v>
                </c:pt>
              </c:strCache>
            </c:strRef>
          </c:tx>
          <c:spPr>
            <a:solidFill>
              <a:schemeClr val="accent1"/>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endParaRPr lang="ko-KR"/>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numRef>
              <c:f>Sheet1!$C$60:$C$71</c:f>
              <c:numCache>
                <c:formatCode>General</c:formatCode>
                <c:ptCount val="12"/>
                <c:pt idx="0">
                  <c:v>1</c:v>
                </c:pt>
                <c:pt idx="1">
                  <c:v>2</c:v>
                </c:pt>
                <c:pt idx="2">
                  <c:v>3</c:v>
                </c:pt>
                <c:pt idx="3">
                  <c:v>4</c:v>
                </c:pt>
                <c:pt idx="4">
                  <c:v>5</c:v>
                </c:pt>
                <c:pt idx="5">
                  <c:v>6</c:v>
                </c:pt>
                <c:pt idx="6">
                  <c:v>7</c:v>
                </c:pt>
                <c:pt idx="7">
                  <c:v>8</c:v>
                </c:pt>
                <c:pt idx="8">
                  <c:v>9</c:v>
                </c:pt>
                <c:pt idx="9">
                  <c:v>10</c:v>
                </c:pt>
                <c:pt idx="10">
                  <c:v>11</c:v>
                </c:pt>
                <c:pt idx="11">
                  <c:v>12</c:v>
                </c:pt>
              </c:numCache>
            </c:numRef>
          </c:cat>
          <c:val>
            <c:numRef>
              <c:f>Sheet1!$D$60:$D$71</c:f>
              <c:numCache>
                <c:formatCode>General</c:formatCode>
                <c:ptCount val="12"/>
                <c:pt idx="0">
                  <c:v>3328.3</c:v>
                </c:pt>
                <c:pt idx="1">
                  <c:v>3786.8</c:v>
                </c:pt>
                <c:pt idx="2">
                  <c:v>5890.6</c:v>
                </c:pt>
                <c:pt idx="3">
                  <c:v>7641.9</c:v>
                </c:pt>
                <c:pt idx="4">
                  <c:v>4806.1000000000004</c:v>
                </c:pt>
                <c:pt idx="5">
                  <c:v>4341.3</c:v>
                </c:pt>
                <c:pt idx="6">
                  <c:v>3764.1</c:v>
                </c:pt>
                <c:pt idx="7">
                  <c:v>5831.5</c:v>
                </c:pt>
                <c:pt idx="8">
                  <c:v>5629.9</c:v>
                </c:pt>
                <c:pt idx="9">
                  <c:v>4944.1000000000004</c:v>
                </c:pt>
                <c:pt idx="10">
                  <c:v>3275</c:v>
                </c:pt>
                <c:pt idx="11">
                  <c:v>2688.7</c:v>
                </c:pt>
              </c:numCache>
            </c:numRef>
          </c:val>
          <c:extLst>
            <c:ext xmlns:c16="http://schemas.microsoft.com/office/drawing/2014/chart" uri="{C3380CC4-5D6E-409C-BE32-E72D297353CC}">
              <c16:uniqueId val="{00000000-B228-4BCE-A47A-5B31F036A2DE}"/>
            </c:ext>
          </c:extLst>
        </c:ser>
        <c:ser>
          <c:idx val="1"/>
          <c:order val="1"/>
          <c:tx>
            <c:strRef>
              <c:f>Sheet1!$E$59</c:f>
              <c:strCache>
                <c:ptCount val="1"/>
                <c:pt idx="0">
                  <c:v>PV width:1.0m,P: 56,048 kWh, Albedo:0.3(S),0.4(W),SUR=12.07%</c:v>
                </c:pt>
              </c:strCache>
            </c:strRef>
          </c:tx>
          <c:spPr>
            <a:solidFill>
              <a:schemeClr val="accent2"/>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endParaRPr lang="ko-KR"/>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numRef>
              <c:f>Sheet1!$C$60:$C$71</c:f>
              <c:numCache>
                <c:formatCode>General</c:formatCode>
                <c:ptCount val="12"/>
                <c:pt idx="0">
                  <c:v>1</c:v>
                </c:pt>
                <c:pt idx="1">
                  <c:v>2</c:v>
                </c:pt>
                <c:pt idx="2">
                  <c:v>3</c:v>
                </c:pt>
                <c:pt idx="3">
                  <c:v>4</c:v>
                </c:pt>
                <c:pt idx="4">
                  <c:v>5</c:v>
                </c:pt>
                <c:pt idx="5">
                  <c:v>6</c:v>
                </c:pt>
                <c:pt idx="6">
                  <c:v>7</c:v>
                </c:pt>
                <c:pt idx="7">
                  <c:v>8</c:v>
                </c:pt>
                <c:pt idx="8">
                  <c:v>9</c:v>
                </c:pt>
                <c:pt idx="9">
                  <c:v>10</c:v>
                </c:pt>
                <c:pt idx="10">
                  <c:v>11</c:v>
                </c:pt>
                <c:pt idx="11">
                  <c:v>12</c:v>
                </c:pt>
              </c:numCache>
            </c:numRef>
          </c:cat>
          <c:val>
            <c:numRef>
              <c:f>Sheet1!$E$60:$E$71</c:f>
              <c:numCache>
                <c:formatCode>General</c:formatCode>
                <c:ptCount val="12"/>
                <c:pt idx="0">
                  <c:v>3335.8</c:v>
                </c:pt>
                <c:pt idx="1">
                  <c:v>3795.1</c:v>
                </c:pt>
                <c:pt idx="2">
                  <c:v>5901.7</c:v>
                </c:pt>
                <c:pt idx="3">
                  <c:v>7649.6</c:v>
                </c:pt>
                <c:pt idx="4">
                  <c:v>4832.3</c:v>
                </c:pt>
                <c:pt idx="5">
                  <c:v>4348.5</c:v>
                </c:pt>
                <c:pt idx="6">
                  <c:v>3769.9</c:v>
                </c:pt>
                <c:pt idx="7">
                  <c:v>5838.8</c:v>
                </c:pt>
                <c:pt idx="8">
                  <c:v>5646.5</c:v>
                </c:pt>
                <c:pt idx="9">
                  <c:v>4951.3999999999996</c:v>
                </c:pt>
                <c:pt idx="10">
                  <c:v>3283</c:v>
                </c:pt>
                <c:pt idx="11">
                  <c:v>2695.5</c:v>
                </c:pt>
              </c:numCache>
            </c:numRef>
          </c:val>
          <c:extLst>
            <c:ext xmlns:c16="http://schemas.microsoft.com/office/drawing/2014/chart" uri="{C3380CC4-5D6E-409C-BE32-E72D297353CC}">
              <c16:uniqueId val="{00000001-B228-4BCE-A47A-5B31F036A2DE}"/>
            </c:ext>
          </c:extLst>
        </c:ser>
        <c:dLbls>
          <c:dLblPos val="outEnd"/>
          <c:showLegendKey val="0"/>
          <c:showVal val="1"/>
          <c:showCatName val="0"/>
          <c:showSerName val="0"/>
          <c:showPercent val="0"/>
          <c:showBubbleSize val="0"/>
        </c:dLbls>
        <c:gapWidth val="150"/>
        <c:axId val="-1312043616"/>
        <c:axId val="-1312043072"/>
      </c:barChart>
      <c:catAx>
        <c:axId val="-1312043616"/>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900" b="0" i="0" u="none" strike="noStrike" kern="1200" cap="all" baseline="0">
                    <a:solidFill>
                      <a:schemeClr val="tx1">
                        <a:lumMod val="65000"/>
                        <a:lumOff val="35000"/>
                      </a:schemeClr>
                    </a:solidFill>
                    <a:latin typeface="+mn-lt"/>
                    <a:ea typeface="+mn-ea"/>
                    <a:cs typeface="+mn-cs"/>
                  </a:defRPr>
                </a:pPr>
                <a:r>
                  <a:rPr lang="en-US" altLang="ko-KR"/>
                  <a:t>Month</a:t>
                </a:r>
                <a:endParaRPr lang="ko-KR" altLang="en-US"/>
              </a:p>
            </c:rich>
          </c:tx>
          <c:layout>
            <c:manualLayout>
              <c:xMode val="edge"/>
              <c:yMode val="edge"/>
              <c:x val="0.50070883099499242"/>
              <c:y val="0.93630594446587545"/>
            </c:manualLayout>
          </c:layout>
          <c:overlay val="0"/>
          <c:spPr>
            <a:noFill/>
            <a:ln>
              <a:noFill/>
            </a:ln>
            <a:effectLst/>
          </c:spPr>
          <c:txPr>
            <a:bodyPr rot="0" spcFirstLastPara="1" vertOverflow="ellipsis" vert="horz" wrap="square" anchor="ctr" anchorCtr="1"/>
            <a:lstStyle/>
            <a:p>
              <a:pPr>
                <a:defRPr sz="900" b="0" i="0" u="none" strike="noStrike" kern="1200" cap="all" baseline="0">
                  <a:solidFill>
                    <a:schemeClr val="tx1">
                      <a:lumMod val="65000"/>
                      <a:lumOff val="35000"/>
                    </a:schemeClr>
                  </a:solidFill>
                  <a:latin typeface="+mn-lt"/>
                  <a:ea typeface="+mn-ea"/>
                  <a:cs typeface="+mn-cs"/>
                </a:defRPr>
              </a:pPr>
              <a:endParaRPr lang="ko-KR"/>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cap="all" spc="120" normalizeH="0" baseline="0">
                <a:solidFill>
                  <a:schemeClr val="tx1">
                    <a:lumMod val="65000"/>
                    <a:lumOff val="35000"/>
                  </a:schemeClr>
                </a:solidFill>
                <a:latin typeface="+mn-lt"/>
                <a:ea typeface="+mn-ea"/>
                <a:cs typeface="+mn-cs"/>
              </a:defRPr>
            </a:pPr>
            <a:endParaRPr lang="ko-KR"/>
          </a:p>
        </c:txPr>
        <c:crossAx val="-1312043072"/>
        <c:crosses val="autoZero"/>
        <c:auto val="1"/>
        <c:lblAlgn val="ctr"/>
        <c:lblOffset val="100"/>
        <c:noMultiLvlLbl val="0"/>
      </c:catAx>
      <c:valAx>
        <c:axId val="-131204307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900" b="0" i="0" u="none" strike="noStrike" kern="1200" cap="all" baseline="0">
                    <a:solidFill>
                      <a:schemeClr val="tx1">
                        <a:lumMod val="65000"/>
                        <a:lumOff val="35000"/>
                      </a:schemeClr>
                    </a:solidFill>
                    <a:latin typeface="+mn-lt"/>
                    <a:ea typeface="+mn-ea"/>
                    <a:cs typeface="+mn-cs"/>
                  </a:defRPr>
                </a:pPr>
                <a:r>
                  <a:rPr lang="en-US" altLang="ko-KR"/>
                  <a:t>Power(KwH)</a:t>
                </a:r>
                <a:endParaRPr lang="ko-KR" altLang="en-US"/>
              </a:p>
            </c:rich>
          </c:tx>
          <c:overlay val="0"/>
          <c:spPr>
            <a:noFill/>
            <a:ln>
              <a:noFill/>
            </a:ln>
            <a:effectLst/>
          </c:spPr>
          <c:txPr>
            <a:bodyPr rot="-5400000" spcFirstLastPara="1" vertOverflow="ellipsis" vert="horz" wrap="square" anchor="ctr" anchorCtr="1"/>
            <a:lstStyle/>
            <a:p>
              <a:pPr>
                <a:defRPr sz="900" b="0" i="0" u="none" strike="noStrike" kern="1200" cap="all" baseline="0">
                  <a:solidFill>
                    <a:schemeClr val="tx1">
                      <a:lumMod val="65000"/>
                      <a:lumOff val="35000"/>
                    </a:schemeClr>
                  </a:solidFill>
                  <a:latin typeface="+mn-lt"/>
                  <a:ea typeface="+mn-ea"/>
                  <a:cs typeface="+mn-cs"/>
                </a:defRPr>
              </a:pPr>
              <a:endParaRPr lang="ko-KR"/>
            </a:p>
          </c:txPr>
        </c:title>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ko-KR"/>
          </a:p>
        </c:txPr>
        <c:crossAx val="-1312043616"/>
        <c:crosses val="autoZero"/>
        <c:crossBetween val="between"/>
      </c:valAx>
      <c:spPr>
        <a:noFill/>
        <a:ln>
          <a:noFill/>
        </a:ln>
        <a:effectLst/>
      </c:spPr>
    </c:plotArea>
    <c:legend>
      <c:legendPos val="r"/>
      <c:layout>
        <c:manualLayout>
          <c:xMode val="edge"/>
          <c:yMode val="edge"/>
          <c:x val="0.40927855119287559"/>
          <c:y val="1.1373074042978057E-3"/>
          <c:w val="0.59072144880712429"/>
          <c:h val="0.12270156371298659"/>
        </c:manualLayout>
      </c:layout>
      <c:overlay val="0"/>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ko-KR"/>
        </a:p>
      </c:txPr>
    </c:legend>
    <c:plotVisOnly val="1"/>
    <c:dispBlanksAs val="gap"/>
    <c:showDLblsOverMax val="0"/>
  </c:chart>
  <c:spPr>
    <a:solidFill>
      <a:schemeClr val="lt1"/>
    </a:solidFill>
    <a:ln w="9525" cap="flat" cmpd="sng" algn="ctr">
      <a:solidFill>
        <a:schemeClr val="tx1">
          <a:lumMod val="15000"/>
          <a:lumOff val="85000"/>
        </a:schemeClr>
      </a:solidFill>
      <a:round/>
    </a:ln>
    <a:effectLst/>
  </c:spPr>
  <c:txPr>
    <a:bodyPr/>
    <a:lstStyle/>
    <a:p>
      <a:pPr>
        <a:defRPr/>
      </a:pPr>
      <a:endParaRPr lang="ko-KR"/>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ko-K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3137270341207349"/>
          <c:y val="5.0925925925925923E-2"/>
          <c:w val="0.83807174103237092"/>
          <c:h val="0.72382618839311752"/>
        </c:manualLayout>
      </c:layout>
      <c:lineChart>
        <c:grouping val="standard"/>
        <c:varyColors val="0"/>
        <c:ser>
          <c:idx val="0"/>
          <c:order val="0"/>
          <c:tx>
            <c:strRef>
              <c:f>Sheet1!$D$77</c:f>
              <c:strCache>
                <c:ptCount val="1"/>
                <c:pt idx="0">
                  <c:v>PV width:1.0m,P:55,928 kWh, SUR=12.04%,Lat.:37.5</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cat>
            <c:numRef>
              <c:f>Sheet1!$C$78:$C$89</c:f>
              <c:numCache>
                <c:formatCode>General</c:formatCode>
                <c:ptCount val="12"/>
                <c:pt idx="0">
                  <c:v>1</c:v>
                </c:pt>
                <c:pt idx="1">
                  <c:v>2</c:v>
                </c:pt>
                <c:pt idx="2">
                  <c:v>3</c:v>
                </c:pt>
                <c:pt idx="3">
                  <c:v>4</c:v>
                </c:pt>
                <c:pt idx="4">
                  <c:v>5</c:v>
                </c:pt>
                <c:pt idx="5">
                  <c:v>6</c:v>
                </c:pt>
                <c:pt idx="6">
                  <c:v>7</c:v>
                </c:pt>
                <c:pt idx="7">
                  <c:v>8</c:v>
                </c:pt>
                <c:pt idx="8">
                  <c:v>9</c:v>
                </c:pt>
                <c:pt idx="9">
                  <c:v>10</c:v>
                </c:pt>
                <c:pt idx="10">
                  <c:v>11</c:v>
                </c:pt>
                <c:pt idx="11">
                  <c:v>12</c:v>
                </c:pt>
              </c:numCache>
            </c:numRef>
          </c:cat>
          <c:val>
            <c:numRef>
              <c:f>Sheet1!$D$78:$D$89</c:f>
              <c:numCache>
                <c:formatCode>General</c:formatCode>
                <c:ptCount val="12"/>
                <c:pt idx="0">
                  <c:v>3328.3</c:v>
                </c:pt>
                <c:pt idx="1">
                  <c:v>3786.8</c:v>
                </c:pt>
                <c:pt idx="2">
                  <c:v>5890.6</c:v>
                </c:pt>
                <c:pt idx="3">
                  <c:v>7641.9</c:v>
                </c:pt>
                <c:pt idx="4">
                  <c:v>4806.1000000000004</c:v>
                </c:pt>
                <c:pt idx="5">
                  <c:v>4341.3</c:v>
                </c:pt>
                <c:pt idx="6">
                  <c:v>3764.1</c:v>
                </c:pt>
                <c:pt idx="7">
                  <c:v>5831.5</c:v>
                </c:pt>
                <c:pt idx="8">
                  <c:v>5629.9</c:v>
                </c:pt>
                <c:pt idx="9">
                  <c:v>4944.1000000000004</c:v>
                </c:pt>
                <c:pt idx="10">
                  <c:v>3275</c:v>
                </c:pt>
                <c:pt idx="11">
                  <c:v>2688.7</c:v>
                </c:pt>
              </c:numCache>
            </c:numRef>
          </c:val>
          <c:smooth val="0"/>
          <c:extLst>
            <c:ext xmlns:c16="http://schemas.microsoft.com/office/drawing/2014/chart" uri="{C3380CC4-5D6E-409C-BE32-E72D297353CC}">
              <c16:uniqueId val="{00000000-2660-4190-AABB-5A48D17CB3A2}"/>
            </c:ext>
          </c:extLst>
        </c:ser>
        <c:ser>
          <c:idx val="1"/>
          <c:order val="1"/>
          <c:tx>
            <c:strRef>
              <c:f>Sheet1!$E$77</c:f>
              <c:strCache>
                <c:ptCount val="1"/>
                <c:pt idx="0">
                  <c:v>PV width:1.0m,P:55,572 kWh, SUR=11.89%,Lat.:34.0</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cat>
            <c:numRef>
              <c:f>Sheet1!$C$78:$C$89</c:f>
              <c:numCache>
                <c:formatCode>General</c:formatCode>
                <c:ptCount val="12"/>
                <c:pt idx="0">
                  <c:v>1</c:v>
                </c:pt>
                <c:pt idx="1">
                  <c:v>2</c:v>
                </c:pt>
                <c:pt idx="2">
                  <c:v>3</c:v>
                </c:pt>
                <c:pt idx="3">
                  <c:v>4</c:v>
                </c:pt>
                <c:pt idx="4">
                  <c:v>5</c:v>
                </c:pt>
                <c:pt idx="5">
                  <c:v>6</c:v>
                </c:pt>
                <c:pt idx="6">
                  <c:v>7</c:v>
                </c:pt>
                <c:pt idx="7">
                  <c:v>8</c:v>
                </c:pt>
                <c:pt idx="8">
                  <c:v>9</c:v>
                </c:pt>
                <c:pt idx="9">
                  <c:v>10</c:v>
                </c:pt>
                <c:pt idx="10">
                  <c:v>11</c:v>
                </c:pt>
                <c:pt idx="11">
                  <c:v>12</c:v>
                </c:pt>
              </c:numCache>
            </c:numRef>
          </c:cat>
          <c:val>
            <c:numRef>
              <c:f>Sheet1!$E$78:$E$89</c:f>
              <c:numCache>
                <c:formatCode>General</c:formatCode>
                <c:ptCount val="12"/>
                <c:pt idx="0">
                  <c:v>3487.4</c:v>
                </c:pt>
                <c:pt idx="1">
                  <c:v>3999.1</c:v>
                </c:pt>
                <c:pt idx="2">
                  <c:v>6320.3</c:v>
                </c:pt>
                <c:pt idx="3">
                  <c:v>7599.4</c:v>
                </c:pt>
                <c:pt idx="4">
                  <c:v>4536.2</c:v>
                </c:pt>
                <c:pt idx="5">
                  <c:v>3965</c:v>
                </c:pt>
                <c:pt idx="6">
                  <c:v>3479.3</c:v>
                </c:pt>
                <c:pt idx="7">
                  <c:v>5548.2</c:v>
                </c:pt>
                <c:pt idx="8">
                  <c:v>6092.6</c:v>
                </c:pt>
                <c:pt idx="9">
                  <c:v>5201.2</c:v>
                </c:pt>
                <c:pt idx="10">
                  <c:v>3444.9</c:v>
                </c:pt>
                <c:pt idx="11">
                  <c:v>1899.1</c:v>
                </c:pt>
              </c:numCache>
            </c:numRef>
          </c:val>
          <c:smooth val="0"/>
          <c:extLst>
            <c:ext xmlns:c16="http://schemas.microsoft.com/office/drawing/2014/chart" uri="{C3380CC4-5D6E-409C-BE32-E72D297353CC}">
              <c16:uniqueId val="{00000001-2660-4190-AABB-5A48D17CB3A2}"/>
            </c:ext>
          </c:extLst>
        </c:ser>
        <c:dLbls>
          <c:showLegendKey val="0"/>
          <c:showVal val="0"/>
          <c:showCatName val="0"/>
          <c:showSerName val="0"/>
          <c:showPercent val="0"/>
          <c:showBubbleSize val="0"/>
        </c:dLbls>
        <c:marker val="1"/>
        <c:smooth val="0"/>
        <c:axId val="-1419033280"/>
        <c:axId val="-1419030560"/>
      </c:lineChart>
      <c:catAx>
        <c:axId val="-1419033280"/>
        <c:scaling>
          <c:orientation val="minMax"/>
        </c:scaling>
        <c:delete val="0"/>
        <c:axPos val="b"/>
        <c:minorGridlines>
          <c:spPr>
            <a:ln w="9525" cap="flat" cmpd="sng" algn="ctr">
              <a:solidFill>
                <a:schemeClr val="tx1">
                  <a:lumMod val="5000"/>
                  <a:lumOff val="95000"/>
                </a:schemeClr>
              </a:solidFill>
              <a:round/>
            </a:ln>
            <a:effectLst/>
          </c:spPr>
        </c:min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ltLang="ko-KR"/>
                  <a:t>Month</a:t>
                </a:r>
                <a:endParaRPr lang="ko-KR" altLang="en-US"/>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ko-KR"/>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ko-KR"/>
          </a:p>
        </c:txPr>
        <c:crossAx val="-1419030560"/>
        <c:crosses val="autoZero"/>
        <c:auto val="1"/>
        <c:lblAlgn val="ctr"/>
        <c:lblOffset val="100"/>
        <c:noMultiLvlLbl val="0"/>
      </c:catAx>
      <c:valAx>
        <c:axId val="-141903056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ltLang="ko-KR"/>
                  <a:t>Power(kWh)</a:t>
                </a:r>
                <a:endParaRPr lang="ko-KR" altLang="en-US"/>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ko-KR"/>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ko-KR"/>
          </a:p>
        </c:txPr>
        <c:crossAx val="-1419033280"/>
        <c:crosses val="autoZero"/>
        <c:crossBetween val="between"/>
      </c:valAx>
      <c:spPr>
        <a:noFill/>
        <a:ln>
          <a:noFill/>
        </a:ln>
        <a:effectLst/>
      </c:spPr>
    </c:plotArea>
    <c:legend>
      <c:legendPos val="b"/>
      <c:layout>
        <c:manualLayout>
          <c:xMode val="edge"/>
          <c:yMode val="edge"/>
          <c:x val="0.13687401574803149"/>
          <c:y val="0.60069335083114606"/>
          <c:w val="0.68736307961504817"/>
          <c:h val="0.14930664916885386"/>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ko-K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ko-KR"/>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2">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800" kern="1200" cap="all" spc="120" normalizeH="0" baseline="0"/>
  </cs:categoryAxis>
  <cs:chartArea mods="allowNoFillOverride allowNoLineOverride">
    <cs:lnRef idx="0"/>
    <cs:fillRef idx="0"/>
    <cs:effectRef idx="0"/>
    <cs:fontRef idx="minor">
      <a:schemeClr val="dk1"/>
    </cs:fontRef>
    <cs:spPr>
      <a:solidFill>
        <a:schemeClr val="lt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800" b="0" i="0" u="none" strike="noStrike" kern="1200" baseline="0"/>
    <cs:bodyPr rot="-5400000" spcFirstLastPara="1" vertOverflow="clip" horzOverflow="clip" vert="horz" wrap="square" lIns="38100" tIns="19050" rIns="38100" bIns="19050" anchor="ctr" anchorCtr="1">
      <a:spAutoFit/>
    </cs:bodyPr>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phClr"/>
      </a:solidFill>
      <a:ln w="9525">
        <a:solidFill>
          <a:schemeClr val="phClr"/>
        </a:solidFill>
        <a:round/>
      </a:ln>
    </cs:spPr>
  </cs:dataPointMarker>
  <cs:dataPointMarkerLayout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15000"/>
            <a:lumOff val="85000"/>
          </a:schemeClr>
        </a:solidFill>
      </a:ln>
    </cs:spPr>
  </cs:downBar>
  <cs:dropLine>
    <cs:lnRef idx="0"/>
    <cs:fillRef idx="0"/>
    <cs:effectRef idx="0"/>
    <cs:fontRef idx="minor">
      <a:schemeClr val="dk1"/>
    </cs:fontRef>
    <cs:spPr>
      <a:ln w="9525">
        <a:solidFill>
          <a:schemeClr val="tx1">
            <a:lumMod val="35000"/>
            <a:lumOff val="65000"/>
          </a:schemeClr>
        </a:solidFill>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spc="120" normalizeH="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8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spPr>
      <a:ln w="9525" cap="flat" cmpd="sng" algn="ctr">
        <a:solidFill>
          <a:schemeClr val="dk1">
            <a:lumMod val="15000"/>
            <a:lumOff val="85000"/>
          </a:schemeClr>
        </a:solidFill>
        <a:round/>
      </a:ln>
    </cs:spPr>
    <cs:defRPr sz="900" kern="1200"/>
  </cs:valueAxis>
  <cs:wall>
    <cs:lnRef idx="0"/>
    <cs:fillRef idx="0"/>
    <cs:effectRef idx="0"/>
    <cs:fontRef idx="minor">
      <a:schemeClr val="dk1"/>
    </cs:fontRef>
  </cs:wall>
</cs:chartStyle>
</file>

<file path=word/charts/style5.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2FC0B9-1264-4AA4-B888-3E543AC5F3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10</Pages>
  <Words>2911</Words>
  <Characters>16595</Characters>
  <Application>Microsoft Office Word</Application>
  <DocSecurity>0</DocSecurity>
  <Lines>138</Lines>
  <Paragraphs>38</Paragraphs>
  <ScaleCrop>false</ScaleCrop>
  <HeadingPairs>
    <vt:vector size="2" baseType="variant">
      <vt:variant>
        <vt:lpstr>제목</vt:lpstr>
      </vt:variant>
      <vt:variant>
        <vt:i4>1</vt:i4>
      </vt:variant>
    </vt:vector>
  </HeadingPairs>
  <TitlesOfParts>
    <vt:vector size="1" baseType="lpstr">
      <vt:lpstr>Optimal Application of a Multifunctional Bifacial BIPV System for Nearly Zero-Energy Apartments</vt:lpstr>
    </vt:vector>
  </TitlesOfParts>
  <Company>Oxford Brookes University</Company>
  <LinksUpToDate>false</LinksUpToDate>
  <CharactersWithSpaces>19468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Optimal Application of a Multifunctional Bifacial BIPV System for Nearly Zero-Energy Apartments</dc:title>
  <dc:subject>EuroSun2026 Full Paper</dc:subject>
  <dc:creator>S.H. Yoo;S. Chung;S. Kim</dc:creator>
  <cp:keywords/>
  <cp:lastModifiedBy>Seung-Ho</cp:lastModifiedBy>
  <cp:revision>2</cp:revision>
  <cp:lastPrinted>2023-02-22T18:40:00Z</cp:lastPrinted>
  <dcterms:created xsi:type="dcterms:W3CDTF">2026-09-06T10:37:00Z</dcterms:created>
  <dcterms:modified xsi:type="dcterms:W3CDTF">2026-09-06T10:37:00Z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