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2B536CB4" w14:textId="60E349E4" w:rsidR="001A775B" w:rsidRDefault="00B32703" w:rsidP="002C3524">
      <w:pPr>
        <w:pStyle w:val="SWCTitle"/>
        <w:rPr>
          <w:sz w:val="28"/>
          <w:szCs w:val="28"/>
        </w:rPr>
      </w:pPr>
      <w:r w:rsidRPr="0035638A">
        <w:rPr>
          <w:sz w:val="28"/>
          <w:szCs w:val="28"/>
        </w:rPr>
        <w:br/>
      </w:r>
      <w:r w:rsidR="00C71F8E">
        <w:rPr>
          <w:sz w:val="28"/>
          <w:szCs w:val="28"/>
        </w:rPr>
        <w:t>A</w:t>
      </w:r>
      <w:r w:rsidR="00CE1537">
        <w:rPr>
          <w:sz w:val="28"/>
          <w:szCs w:val="28"/>
        </w:rPr>
        <w:t xml:space="preserve">N </w:t>
      </w:r>
      <w:r w:rsidR="00FC16C4">
        <w:rPr>
          <w:sz w:val="28"/>
          <w:szCs w:val="28"/>
        </w:rPr>
        <w:t xml:space="preserve">ENERGY MODELLING TOOL </w:t>
      </w:r>
      <w:r w:rsidR="0042105C">
        <w:rPr>
          <w:sz w:val="28"/>
          <w:szCs w:val="28"/>
        </w:rPr>
        <w:t xml:space="preserve">FOR </w:t>
      </w:r>
      <w:r w:rsidR="00D23071">
        <w:rPr>
          <w:sz w:val="28"/>
          <w:szCs w:val="28"/>
        </w:rPr>
        <w:t>MUNICIPAL</w:t>
      </w:r>
      <w:r w:rsidR="0042105C">
        <w:rPr>
          <w:sz w:val="28"/>
          <w:szCs w:val="28"/>
        </w:rPr>
        <w:t xml:space="preserve"> NET-ZERO </w:t>
      </w:r>
      <w:r w:rsidR="00CE1537">
        <w:rPr>
          <w:sz w:val="28"/>
          <w:szCs w:val="28"/>
        </w:rPr>
        <w:t>PLANNING</w:t>
      </w:r>
    </w:p>
    <w:p w14:paraId="7E7E3BC3" w14:textId="49E271B1" w:rsidR="007D541F" w:rsidRPr="006B3D49" w:rsidRDefault="00D435DD" w:rsidP="007D541F">
      <w:pPr>
        <w:pStyle w:val="SWCTitle"/>
        <w:spacing w:before="0" w:after="0"/>
        <w:jc w:val="left"/>
        <w:rPr>
          <w:rFonts w:ascii="Times New Roman" w:hAnsi="Times New Roman"/>
          <w:b w:val="0"/>
          <w:sz w:val="20"/>
          <w:szCs w:val="20"/>
        </w:rPr>
      </w:pPr>
      <w:r>
        <w:rPr>
          <w:rFonts w:ascii="Times New Roman" w:hAnsi="Times New Roman"/>
          <w:b w:val="0"/>
          <w:sz w:val="20"/>
          <w:szCs w:val="20"/>
        </w:rPr>
        <w:t>Santhosh Iyyakkunnel</w:t>
      </w:r>
      <w:r w:rsidR="007D541F" w:rsidRPr="0C3545CD">
        <w:rPr>
          <w:rFonts w:ascii="Times New Roman" w:hAnsi="Times New Roman"/>
          <w:b w:val="0"/>
          <w:sz w:val="20"/>
          <w:szCs w:val="20"/>
        </w:rPr>
        <w:t xml:space="preserve"> 1 (corresponding author), </w:t>
      </w:r>
      <w:r>
        <w:rPr>
          <w:rFonts w:ascii="Times New Roman" w:hAnsi="Times New Roman"/>
          <w:b w:val="0"/>
          <w:sz w:val="20"/>
          <w:szCs w:val="20"/>
        </w:rPr>
        <w:t>Pascal M. Vecsei</w:t>
      </w:r>
      <w:r w:rsidR="007D541F" w:rsidRPr="0C3545CD">
        <w:rPr>
          <w:rFonts w:ascii="Times New Roman" w:hAnsi="Times New Roman"/>
          <w:b w:val="0"/>
          <w:sz w:val="20"/>
          <w:szCs w:val="20"/>
        </w:rPr>
        <w:t xml:space="preserve"> </w:t>
      </w:r>
      <w:r w:rsidR="008E15B1">
        <w:rPr>
          <w:rFonts w:ascii="Times New Roman" w:hAnsi="Times New Roman"/>
          <w:b w:val="0"/>
          <w:sz w:val="20"/>
          <w:szCs w:val="20"/>
        </w:rPr>
        <w:t>1</w:t>
      </w:r>
      <w:r w:rsidR="007D541F" w:rsidRPr="0C3545CD">
        <w:rPr>
          <w:rFonts w:ascii="Times New Roman" w:hAnsi="Times New Roman"/>
          <w:b w:val="0"/>
          <w:sz w:val="20"/>
          <w:szCs w:val="20"/>
        </w:rPr>
        <w:t xml:space="preserve">, </w:t>
      </w:r>
      <w:r>
        <w:rPr>
          <w:rFonts w:ascii="Times New Roman" w:hAnsi="Times New Roman"/>
          <w:b w:val="0"/>
          <w:sz w:val="20"/>
          <w:szCs w:val="20"/>
        </w:rPr>
        <w:t xml:space="preserve">Ueli Schilt </w:t>
      </w:r>
      <w:r w:rsidR="008E15B1">
        <w:rPr>
          <w:rFonts w:ascii="Times New Roman" w:hAnsi="Times New Roman"/>
          <w:b w:val="0"/>
          <w:sz w:val="20"/>
          <w:szCs w:val="20"/>
        </w:rPr>
        <w:t>1,2, Sarah Schneeberger 1,</w:t>
      </w:r>
      <w:r w:rsidR="00743B4F" w:rsidDel="00743B4F">
        <w:rPr>
          <w:rFonts w:ascii="Times New Roman" w:hAnsi="Times New Roman"/>
          <w:b w:val="0"/>
          <w:sz w:val="20"/>
          <w:szCs w:val="20"/>
        </w:rPr>
        <w:t xml:space="preserve"> </w:t>
      </w:r>
      <w:r w:rsidR="00AE174E">
        <w:rPr>
          <w:rFonts w:ascii="Times New Roman" w:hAnsi="Times New Roman"/>
          <w:b w:val="0"/>
          <w:sz w:val="20"/>
          <w:szCs w:val="20"/>
        </w:rPr>
        <w:t>Philipp Schuetz 1</w:t>
      </w:r>
      <w:r w:rsidR="008E15B1">
        <w:rPr>
          <w:rFonts w:ascii="Times New Roman" w:hAnsi="Times New Roman"/>
          <w:b w:val="0"/>
          <w:sz w:val="20"/>
          <w:szCs w:val="20"/>
        </w:rPr>
        <w:t xml:space="preserve"> </w:t>
      </w:r>
    </w:p>
    <w:p w14:paraId="3F0E3DCE" w14:textId="7F44313B" w:rsidR="008B52B2" w:rsidRDefault="008B52B2" w:rsidP="008B52B2">
      <w:pPr>
        <w:pStyle w:val="SWCTitle"/>
        <w:spacing w:before="0" w:after="0"/>
        <w:jc w:val="left"/>
        <w:rPr>
          <w:rFonts w:ascii="Times New Roman" w:hAnsi="Times New Roman"/>
          <w:b w:val="0"/>
          <w:sz w:val="20"/>
          <w:szCs w:val="22"/>
          <w:lang w:val="de-CH"/>
        </w:rPr>
      </w:pPr>
      <w:r>
        <w:rPr>
          <w:rFonts w:ascii="Times New Roman" w:hAnsi="Times New Roman"/>
          <w:b w:val="0"/>
          <w:sz w:val="20"/>
          <w:szCs w:val="22"/>
          <w:lang w:val="de-CH"/>
        </w:rPr>
        <w:t xml:space="preserve">1 </w:t>
      </w:r>
      <w:r w:rsidR="00600FC6" w:rsidRPr="00600FC6">
        <w:rPr>
          <w:rFonts w:ascii="Times New Roman" w:hAnsi="Times New Roman"/>
          <w:b w:val="0"/>
          <w:sz w:val="20"/>
          <w:szCs w:val="22"/>
          <w:lang w:val="de-CH"/>
        </w:rPr>
        <w:t xml:space="preserve">Hochschule Luzern - Technik &amp; Architektur, </w:t>
      </w:r>
      <w:proofErr w:type="spellStart"/>
      <w:r w:rsidR="00600FC6" w:rsidRPr="00600FC6">
        <w:rPr>
          <w:rFonts w:ascii="Times New Roman" w:hAnsi="Times New Roman"/>
          <w:b w:val="0"/>
          <w:sz w:val="20"/>
          <w:szCs w:val="22"/>
          <w:lang w:val="de-CH"/>
        </w:rPr>
        <w:t>Technikumstrasse</w:t>
      </w:r>
      <w:proofErr w:type="spellEnd"/>
      <w:r w:rsidR="00600FC6" w:rsidRPr="00600FC6">
        <w:rPr>
          <w:rFonts w:ascii="Times New Roman" w:hAnsi="Times New Roman"/>
          <w:b w:val="0"/>
          <w:sz w:val="20"/>
          <w:szCs w:val="22"/>
          <w:lang w:val="de-CH"/>
        </w:rPr>
        <w:t xml:space="preserve"> 21, CH-6048 Horw, </w:t>
      </w:r>
      <w:proofErr w:type="spellStart"/>
      <w:r w:rsidR="00600FC6" w:rsidRPr="00600FC6">
        <w:rPr>
          <w:rFonts w:ascii="Times New Roman" w:hAnsi="Times New Roman"/>
          <w:b w:val="0"/>
          <w:sz w:val="20"/>
          <w:szCs w:val="22"/>
          <w:lang w:val="de-CH"/>
        </w:rPr>
        <w:t>Switzerland</w:t>
      </w:r>
      <w:proofErr w:type="spellEnd"/>
    </w:p>
    <w:p w14:paraId="5DA4039F" w14:textId="7EF7225F" w:rsidR="008B52B2" w:rsidRPr="008D1A9F" w:rsidRDefault="008B52B2" w:rsidP="008B52B2">
      <w:pPr>
        <w:pStyle w:val="SWCTitle"/>
        <w:spacing w:before="0" w:after="0"/>
        <w:jc w:val="left"/>
        <w:rPr>
          <w:rFonts w:ascii="Times New Roman" w:hAnsi="Times New Roman"/>
          <w:b w:val="0"/>
          <w:sz w:val="20"/>
          <w:szCs w:val="22"/>
          <w:lang w:val="de-CH"/>
        </w:rPr>
      </w:pPr>
      <w:r w:rsidRPr="008D1A9F">
        <w:rPr>
          <w:rFonts w:ascii="Times New Roman" w:hAnsi="Times New Roman"/>
          <w:b w:val="0"/>
          <w:sz w:val="20"/>
          <w:szCs w:val="22"/>
          <w:lang w:val="de-CH"/>
        </w:rPr>
        <w:t xml:space="preserve">2 School of Architecture, </w:t>
      </w:r>
      <w:proofErr w:type="spellStart"/>
      <w:r w:rsidRPr="008D1A9F">
        <w:rPr>
          <w:rFonts w:ascii="Times New Roman" w:hAnsi="Times New Roman"/>
          <w:b w:val="0"/>
          <w:sz w:val="20"/>
          <w:szCs w:val="22"/>
          <w:lang w:val="de-CH"/>
        </w:rPr>
        <w:t>Civil</w:t>
      </w:r>
      <w:proofErr w:type="spellEnd"/>
      <w:r w:rsidRPr="008D1A9F">
        <w:rPr>
          <w:rFonts w:ascii="Times New Roman" w:hAnsi="Times New Roman"/>
          <w:b w:val="0"/>
          <w:sz w:val="20"/>
          <w:szCs w:val="22"/>
          <w:lang w:val="de-CH"/>
        </w:rPr>
        <w:t xml:space="preserve"> and Environmental Engineering (ENAC), École Polytechnique </w:t>
      </w:r>
      <w:proofErr w:type="spellStart"/>
      <w:r w:rsidRPr="008D1A9F">
        <w:rPr>
          <w:rFonts w:ascii="Times New Roman" w:hAnsi="Times New Roman"/>
          <w:b w:val="0"/>
          <w:sz w:val="20"/>
          <w:szCs w:val="22"/>
          <w:lang w:val="de-CH"/>
        </w:rPr>
        <w:t>Fédérale</w:t>
      </w:r>
      <w:proofErr w:type="spellEnd"/>
      <w:r w:rsidRPr="008D1A9F">
        <w:rPr>
          <w:rFonts w:ascii="Times New Roman" w:hAnsi="Times New Roman"/>
          <w:b w:val="0"/>
          <w:sz w:val="20"/>
          <w:szCs w:val="22"/>
          <w:lang w:val="de-CH"/>
        </w:rPr>
        <w:t xml:space="preserve"> de</w:t>
      </w:r>
    </w:p>
    <w:p w14:paraId="74B45FA4" w14:textId="782BE617" w:rsidR="00600FC6" w:rsidRPr="008D1A9F" w:rsidRDefault="008B52B2" w:rsidP="008B52B2">
      <w:pPr>
        <w:pStyle w:val="SWCTitle"/>
        <w:spacing w:before="0" w:after="0"/>
        <w:jc w:val="left"/>
        <w:rPr>
          <w:rFonts w:ascii="Times New Roman" w:hAnsi="Times New Roman"/>
          <w:b w:val="0"/>
          <w:sz w:val="20"/>
          <w:szCs w:val="22"/>
          <w:lang w:val="de-CH"/>
        </w:rPr>
      </w:pPr>
      <w:r w:rsidRPr="008D1A9F">
        <w:rPr>
          <w:rFonts w:ascii="Times New Roman" w:hAnsi="Times New Roman"/>
          <w:b w:val="0"/>
          <w:sz w:val="20"/>
          <w:szCs w:val="22"/>
          <w:lang w:val="de-CH"/>
        </w:rPr>
        <w:t xml:space="preserve">Lausanne (EPFL), Lausanne, </w:t>
      </w:r>
      <w:proofErr w:type="spellStart"/>
      <w:r w:rsidRPr="008D1A9F">
        <w:rPr>
          <w:rFonts w:ascii="Times New Roman" w:hAnsi="Times New Roman"/>
          <w:b w:val="0"/>
          <w:sz w:val="20"/>
          <w:szCs w:val="22"/>
          <w:lang w:val="de-CH"/>
        </w:rPr>
        <w:t>Switzerland</w:t>
      </w:r>
      <w:proofErr w:type="spellEnd"/>
    </w:p>
    <w:p w14:paraId="4278A2EB" w14:textId="6DBB1DD9" w:rsidR="007D541F" w:rsidRPr="003F1F80" w:rsidRDefault="003F1F80" w:rsidP="007D541F">
      <w:pPr>
        <w:pStyle w:val="SWCTitle"/>
        <w:spacing w:before="0" w:after="0"/>
        <w:jc w:val="left"/>
        <w:rPr>
          <w:rFonts w:ascii="Times New Roman" w:hAnsi="Times New Roman"/>
          <w:b w:val="0"/>
          <w:sz w:val="20"/>
          <w:szCs w:val="22"/>
          <w:lang w:val="de-CH"/>
        </w:rPr>
      </w:pPr>
      <w:r>
        <w:rPr>
          <w:rFonts w:ascii="Times New Roman" w:hAnsi="Times New Roman"/>
          <w:b w:val="0"/>
          <w:sz w:val="20"/>
          <w:szCs w:val="22"/>
          <w:lang w:val="de-CH"/>
        </w:rPr>
        <w:t>s</w:t>
      </w:r>
      <w:r w:rsidR="00716D22" w:rsidRPr="003F1F80">
        <w:rPr>
          <w:rFonts w:ascii="Times New Roman" w:hAnsi="Times New Roman"/>
          <w:b w:val="0"/>
          <w:sz w:val="20"/>
          <w:szCs w:val="22"/>
          <w:lang w:val="de-CH"/>
        </w:rPr>
        <w:t>anthosh.iyyakkunnel@hslu.ch</w:t>
      </w:r>
    </w:p>
    <w:p w14:paraId="3A7DF4B5" w14:textId="77777777" w:rsidR="001A775B" w:rsidRPr="003F1F80" w:rsidRDefault="001A775B" w:rsidP="001A775B">
      <w:pPr>
        <w:pStyle w:val="SWCSummary"/>
        <w:rPr>
          <w:lang w:val="de-CH"/>
        </w:rPr>
      </w:pPr>
      <w:r w:rsidRPr="003F1F80">
        <w:rPr>
          <w:lang w:val="de-CH"/>
        </w:rPr>
        <w:t>Summary</w:t>
      </w:r>
    </w:p>
    <w:p w14:paraId="326B99A0" w14:textId="5BB9D42A" w:rsidR="00B215B3" w:rsidRPr="00B215B3" w:rsidRDefault="006E4749" w:rsidP="00C40F77">
      <w:pPr>
        <w:pStyle w:val="SWCText"/>
        <w:pBdr>
          <w:bottom w:val="single" w:sz="6" w:space="1" w:color="auto"/>
        </w:pBdr>
      </w:pPr>
      <w:r w:rsidRPr="006E4749">
        <w:t>Municipalities play a key role in achieving Switzerland’s net-zero target by 2050, while local energy planning is becoming increasingly challenging as it is shaped by electrification, sector coupling, and the integration of renewable energy sources.</w:t>
      </w:r>
      <w:r>
        <w:t xml:space="preserve"> </w:t>
      </w:r>
      <w:r w:rsidR="00B215B3" w:rsidRPr="00B215B3">
        <w:t xml:space="preserve">This study demonstrates how </w:t>
      </w:r>
      <w:r w:rsidR="005C0CE5">
        <w:t xml:space="preserve">a </w:t>
      </w:r>
      <w:r w:rsidR="00B215B3" w:rsidRPr="00B215B3">
        <w:t xml:space="preserve">publicly available </w:t>
      </w:r>
      <w:r w:rsidR="005C0CE5">
        <w:t>online tool</w:t>
      </w:r>
      <w:r w:rsidR="00B215B3" w:rsidRPr="00B215B3">
        <w:t xml:space="preserve"> and its underlying hourly </w:t>
      </w:r>
      <w:r w:rsidR="007510C2">
        <w:t xml:space="preserve">energy system </w:t>
      </w:r>
      <w:r w:rsidR="005C0CE5">
        <w:t>m</w:t>
      </w:r>
      <w:r w:rsidR="00B215B3" w:rsidRPr="00B215B3">
        <w:t xml:space="preserve">odel can be used to explore municipality-specific transition pathways across the heating, electricity, and mobility sectors. Based largely on </w:t>
      </w:r>
      <w:r w:rsidR="007510C2">
        <w:t>publicly</w:t>
      </w:r>
      <w:r w:rsidR="00B215B3" w:rsidRPr="00B215B3">
        <w:t xml:space="preserve"> available data, the model enables </w:t>
      </w:r>
      <w:r w:rsidR="00582798">
        <w:t>the estimation of</w:t>
      </w:r>
      <w:r w:rsidR="00D77314">
        <w:t xml:space="preserve"> the impact of </w:t>
      </w:r>
      <w:r w:rsidR="00B215B3" w:rsidRPr="00B215B3">
        <w:t xml:space="preserve">parametric variation of </w:t>
      </w:r>
      <w:r w:rsidR="008628C6">
        <w:t xml:space="preserve">measures like </w:t>
      </w:r>
      <w:r w:rsidR="00B215B3" w:rsidRPr="00B215B3">
        <w:t>heat</w:t>
      </w:r>
      <w:r w:rsidR="007A7FC8">
        <w:t xml:space="preserve"> </w:t>
      </w:r>
      <w:r w:rsidR="00B215B3" w:rsidRPr="00B215B3">
        <w:t>pump deployment, passenger</w:t>
      </w:r>
      <w:r w:rsidR="007A7FC8">
        <w:t xml:space="preserve"> </w:t>
      </w:r>
      <w:r w:rsidR="00B215B3" w:rsidRPr="00B215B3">
        <w:t>car electrification, rooftop PV</w:t>
      </w:r>
      <w:r w:rsidR="009464C4">
        <w:t xml:space="preserve"> and</w:t>
      </w:r>
      <w:r w:rsidR="00B215B3" w:rsidRPr="00B215B3">
        <w:t xml:space="preserve"> wind power</w:t>
      </w:r>
      <w:r w:rsidR="009464C4">
        <w:t xml:space="preserve"> expansion</w:t>
      </w:r>
      <w:r w:rsidR="00B215B3" w:rsidRPr="00B215B3">
        <w:t>, and thermal energy storage</w:t>
      </w:r>
      <w:r w:rsidR="008A533E">
        <w:t xml:space="preserve"> on emissions</w:t>
      </w:r>
      <w:r w:rsidR="00522908">
        <w:t xml:space="preserve"> and</w:t>
      </w:r>
      <w:r w:rsidR="008A533E">
        <w:t xml:space="preserve"> renewable energy consumption</w:t>
      </w:r>
      <w:r w:rsidR="00B215B3" w:rsidRPr="00B215B3">
        <w:t>. T</w:t>
      </w:r>
      <w:r w:rsidR="00960239">
        <w:t>h</w:t>
      </w:r>
      <w:r w:rsidR="00B215B3" w:rsidRPr="00B215B3">
        <w:t>ree contrasting municipalities</w:t>
      </w:r>
      <w:r w:rsidR="00960239">
        <w:t xml:space="preserve"> </w:t>
      </w:r>
      <w:r>
        <w:t>(</w:t>
      </w:r>
      <w:r w:rsidR="00B215B3" w:rsidRPr="00B215B3">
        <w:t xml:space="preserve">Basel, </w:t>
      </w:r>
      <w:proofErr w:type="spellStart"/>
      <w:r w:rsidR="00B215B3" w:rsidRPr="00B215B3">
        <w:t>Sirnach</w:t>
      </w:r>
      <w:proofErr w:type="spellEnd"/>
      <w:r w:rsidR="00B215B3" w:rsidRPr="00B215B3">
        <w:t xml:space="preserve">, and </w:t>
      </w:r>
      <w:proofErr w:type="spellStart"/>
      <w:r w:rsidR="00B215B3" w:rsidRPr="00B215B3">
        <w:t>Lauterbrunnen</w:t>
      </w:r>
      <w:proofErr w:type="spellEnd"/>
      <w:r>
        <w:t>)</w:t>
      </w:r>
      <w:r w:rsidR="00960239">
        <w:t xml:space="preserve"> </w:t>
      </w:r>
      <w:r w:rsidR="00B215B3" w:rsidRPr="00B215B3">
        <w:t>are used as illustrative case studies. The results show that the mitigation effect of individual measures depends strongly on local energy</w:t>
      </w:r>
      <w:r>
        <w:t xml:space="preserve"> </w:t>
      </w:r>
      <w:r w:rsidR="00B215B3" w:rsidRPr="00B215B3">
        <w:t xml:space="preserve">system conditions and on </w:t>
      </w:r>
      <w:r w:rsidR="008B7A5F">
        <w:t>cross-effects</w:t>
      </w:r>
      <w:r w:rsidR="00B215B3" w:rsidRPr="00B215B3">
        <w:t xml:space="preserve"> between measures. Electrification substantially reduces direct heating and mobility emissions but simultaneously increases electricity demand. </w:t>
      </w:r>
      <w:r w:rsidR="00200B83" w:rsidRPr="00200B83">
        <w:t>Depending on the status quo technology mix and the availability of renewable resources, the same measures result</w:t>
      </w:r>
      <w:r w:rsidR="00200B83">
        <w:t>ed</w:t>
      </w:r>
      <w:r w:rsidR="00200B83" w:rsidRPr="00200B83">
        <w:t xml:space="preserve"> in markedly different cumulative emission reductions across the three municipalities</w:t>
      </w:r>
      <w:r w:rsidR="00B215B3" w:rsidRPr="00B215B3">
        <w:t>. The study demonstrates how systematic scenario exploration can complement technical-potential assessments and provide an accessible basis for integrated municipal energy planning.</w:t>
      </w:r>
    </w:p>
    <w:p w14:paraId="5AB3A3E7" w14:textId="4796A8EB" w:rsidR="00DB52E7" w:rsidRDefault="00DB52E7" w:rsidP="00C40F77">
      <w:pPr>
        <w:pStyle w:val="SWCText"/>
        <w:pBdr>
          <w:bottom w:val="single" w:sz="6" w:space="1" w:color="auto"/>
        </w:pBdr>
        <w:rPr>
          <w:i/>
          <w:iCs/>
        </w:rPr>
      </w:pPr>
      <w:r w:rsidRPr="0004545F">
        <w:rPr>
          <w:i/>
          <w:iCs/>
        </w:rPr>
        <w:t xml:space="preserve">Keywords: </w:t>
      </w:r>
      <w:r w:rsidR="0063426C" w:rsidRPr="0063426C">
        <w:rPr>
          <w:i/>
          <w:iCs/>
        </w:rPr>
        <w:t>Municipal energy system planning,</w:t>
      </w:r>
      <w:r w:rsidR="0063426C">
        <w:rPr>
          <w:i/>
          <w:iCs/>
        </w:rPr>
        <w:t xml:space="preserve"> Net-zero</w:t>
      </w:r>
      <w:r w:rsidR="00A76406">
        <w:rPr>
          <w:i/>
          <w:iCs/>
        </w:rPr>
        <w:t xml:space="preserve"> districts</w:t>
      </w:r>
    </w:p>
    <w:p w14:paraId="01458796" w14:textId="0267E27C" w:rsidR="00FA4DF8" w:rsidRDefault="002C089D" w:rsidP="001A775B">
      <w:pPr>
        <w:pStyle w:val="SWCText"/>
        <w:pBdr>
          <w:bottom w:val="single" w:sz="6" w:space="1" w:color="auto"/>
        </w:pBdr>
        <w:rPr>
          <w:i/>
          <w:iCs/>
        </w:rPr>
      </w:pPr>
      <w:r>
        <w:rPr>
          <w:i/>
          <w:iCs/>
        </w:rPr>
        <w:t>Field of application for the findings:</w:t>
      </w:r>
      <w:r w:rsidR="00A76406" w:rsidRPr="00A76406">
        <w:t xml:space="preserve"> </w:t>
      </w:r>
      <w:r w:rsidR="00A76406" w:rsidRPr="0063426C">
        <w:rPr>
          <w:i/>
          <w:iCs/>
        </w:rPr>
        <w:t>Municipal</w:t>
      </w:r>
      <w:r w:rsidR="00A76406" w:rsidRPr="00A76406">
        <w:rPr>
          <w:i/>
          <w:iCs/>
        </w:rPr>
        <w:t xml:space="preserve"> </w:t>
      </w:r>
      <w:r w:rsidR="00A76406">
        <w:rPr>
          <w:i/>
          <w:iCs/>
        </w:rPr>
        <w:t>e</w:t>
      </w:r>
      <w:r w:rsidR="00A76406" w:rsidRPr="00A76406">
        <w:rPr>
          <w:i/>
          <w:iCs/>
        </w:rPr>
        <w:t>nergy planning</w:t>
      </w:r>
    </w:p>
    <w:p w14:paraId="185A319D" w14:textId="4E8EC4AC" w:rsidR="002C089D" w:rsidRDefault="00CC3B0C" w:rsidP="001A775B">
      <w:pPr>
        <w:pStyle w:val="SWCText"/>
        <w:pBdr>
          <w:bottom w:val="single" w:sz="6" w:space="1" w:color="auto"/>
        </w:pBdr>
      </w:pPr>
      <w:r>
        <w:rPr>
          <w:i/>
          <w:iCs/>
        </w:rPr>
        <w:t>Addressed audience:</w:t>
      </w:r>
      <w:r w:rsidR="00C26249">
        <w:rPr>
          <w:i/>
          <w:iCs/>
        </w:rPr>
        <w:t xml:space="preserve"> </w:t>
      </w:r>
      <w:r w:rsidR="00C26249" w:rsidRPr="00C26249">
        <w:rPr>
          <w:i/>
          <w:iCs/>
        </w:rPr>
        <w:t>Energy planners, Municipal offic</w:t>
      </w:r>
      <w:r w:rsidR="003D29A0">
        <w:rPr>
          <w:i/>
          <w:iCs/>
        </w:rPr>
        <w:t xml:space="preserve">ers, </w:t>
      </w:r>
      <w:r w:rsidR="00E63C2D">
        <w:rPr>
          <w:i/>
          <w:iCs/>
        </w:rPr>
        <w:t>U</w:t>
      </w:r>
      <w:r w:rsidR="003D29A0">
        <w:rPr>
          <w:i/>
          <w:iCs/>
        </w:rPr>
        <w:t>tilities</w:t>
      </w:r>
      <w:r w:rsidR="00E63C2D">
        <w:rPr>
          <w:i/>
          <w:iCs/>
        </w:rPr>
        <w:t>,</w:t>
      </w:r>
      <w:r w:rsidR="00225133">
        <w:rPr>
          <w:i/>
          <w:iCs/>
        </w:rPr>
        <w:t xml:space="preserve"> </w:t>
      </w:r>
      <w:r w:rsidR="00E63C2D">
        <w:rPr>
          <w:i/>
          <w:iCs/>
        </w:rPr>
        <w:t>Researchers</w:t>
      </w:r>
      <w:r w:rsidR="00225133">
        <w:rPr>
          <w:i/>
          <w:iCs/>
        </w:rPr>
        <w:t>, Energy consultants</w:t>
      </w:r>
    </w:p>
    <w:p w14:paraId="51CD8377" w14:textId="70084149" w:rsidR="00D32EF0" w:rsidRDefault="00D32EF0" w:rsidP="00230D36">
      <w:pPr>
        <w:pStyle w:val="SWCHeading1"/>
        <w:tabs>
          <w:tab w:val="clear" w:pos="4472"/>
          <w:tab w:val="num" w:pos="709"/>
        </w:tabs>
        <w:ind w:left="709"/>
      </w:pPr>
      <w:r w:rsidRPr="004C4EE9">
        <w:t>Introduction</w:t>
      </w:r>
    </w:p>
    <w:p w14:paraId="5F8B499E" w14:textId="1F2564A4" w:rsidR="0020535A" w:rsidRDefault="0020535A" w:rsidP="003F6329">
      <w:pPr>
        <w:pStyle w:val="SWCText"/>
        <w:spacing w:after="0"/>
      </w:pPr>
      <w:r>
        <w:t xml:space="preserve">Switzerland has </w:t>
      </w:r>
      <w:r w:rsidR="00770121">
        <w:t>pled</w:t>
      </w:r>
      <w:r w:rsidR="00522908">
        <w:t>ged</w:t>
      </w:r>
      <w:r>
        <w:t xml:space="preserve"> to </w:t>
      </w:r>
      <w:r w:rsidR="000E72A3">
        <w:t>reach</w:t>
      </w:r>
      <w:r>
        <w:t xml:space="preserve"> net-zero greenhouse</w:t>
      </w:r>
      <w:r w:rsidR="00C06960">
        <w:t xml:space="preserve"> </w:t>
      </w:r>
      <w:r>
        <w:t>gas emissions by 2050</w:t>
      </w:r>
      <w:r w:rsidR="00590ADC">
        <w:t xml:space="preserve"> </w:t>
      </w:r>
      <w:r w:rsidR="00590ADC">
        <w:fldChar w:fldCharType="begin"/>
      </w:r>
      <w:r w:rsidR="00766767">
        <w:instrText xml:space="preserve"> ADDIN ZOTERO_ITEM CSL_CITATION {"citationID":"2IxMf3aa","properties":{"unsorted":false,"formattedCitation":"(Swiss Federal Office of Energy, 2025a)","plainCitation":"(Swiss Federal Office of Energy, 2025a)","noteIndex":0},"citationItems":[{"id":272,"uris":["http://zotero.org/users/local/FsS9uz3W/items/ATVGFUSI"],"itemData":{"id":272,"type":"webpage","container-title":"Langfristige Klimastrategie 2050","language":"de","title":"Langfristige Klimastrategie 2050","URL":"https://www.bafu.admin.ch/de/klimastrategie-2050","author":[{"literal":"Swiss Federal Office of Energy"}],"accessed":{"date-parts":[["2026",8,26]]},"issued":{"date-parts":[["2025",1,29]]}}}],"schema":"https://github.com/citation-style-language/schema/raw/master/csl-citation.json"} </w:instrText>
      </w:r>
      <w:r w:rsidR="00590ADC">
        <w:fldChar w:fldCharType="separate"/>
      </w:r>
      <w:r w:rsidR="00766767" w:rsidRPr="00766767">
        <w:t>(Swiss Federal Office of Energy, 2025a)</w:t>
      </w:r>
      <w:r w:rsidR="00590ADC">
        <w:fldChar w:fldCharType="end"/>
      </w:r>
      <w:r w:rsidR="000E72A3">
        <w:t>.</w:t>
      </w:r>
      <w:r w:rsidR="00840D8A">
        <w:t xml:space="preserve"> </w:t>
      </w:r>
      <w:r w:rsidR="000E72A3">
        <w:t>This</w:t>
      </w:r>
      <w:r>
        <w:t xml:space="preserve"> requir</w:t>
      </w:r>
      <w:r w:rsidR="000E72A3">
        <w:t>es</w:t>
      </w:r>
      <w:r>
        <w:t xml:space="preserve"> substantial reductions in emissions from </w:t>
      </w:r>
      <w:r w:rsidR="00224EC7">
        <w:t>heating</w:t>
      </w:r>
      <w:r>
        <w:t>,</w:t>
      </w:r>
      <w:r w:rsidR="00224EC7">
        <w:t xml:space="preserve"> electricity supply and</w:t>
      </w:r>
      <w:r>
        <w:t xml:space="preserve"> mobility. </w:t>
      </w:r>
      <w:r w:rsidR="0031601A">
        <w:t>To achieve</w:t>
      </w:r>
      <w:r w:rsidR="00D3228B">
        <w:t xml:space="preserve"> this </w:t>
      </w:r>
      <w:r w:rsidR="0061288B">
        <w:t>goal,</w:t>
      </w:r>
      <w:r w:rsidR="00D3228B">
        <w:t xml:space="preserve"> </w:t>
      </w:r>
      <w:r w:rsidR="001E34A8">
        <w:t>m</w:t>
      </w:r>
      <w:r>
        <w:t xml:space="preserve">unicipalities play an important role in implementing this transition because </w:t>
      </w:r>
      <w:proofErr w:type="gramStart"/>
      <w:r w:rsidR="00355D10">
        <w:t>the majority of</w:t>
      </w:r>
      <w:proofErr w:type="gramEnd"/>
      <w:r w:rsidR="00355D10">
        <w:t xml:space="preserve"> </w:t>
      </w:r>
      <w:r>
        <w:t xml:space="preserve">relevant measures are </w:t>
      </w:r>
      <w:r w:rsidR="00062BE0">
        <w:t>dependent on</w:t>
      </w:r>
      <w:r w:rsidR="00C126A8">
        <w:t xml:space="preserve"> local </w:t>
      </w:r>
      <w:r w:rsidR="00062BE0">
        <w:t>conditions</w:t>
      </w:r>
      <w:r>
        <w:t xml:space="preserve">, including building retrofits, heating-system replacement, renewable-energy deployment, district-heating development, and charging infrastructure for electric mobility. At the same time, the available transition options differ considerably between municipalities </w:t>
      </w:r>
      <w:proofErr w:type="gramStart"/>
      <w:r>
        <w:t>as a result of</w:t>
      </w:r>
      <w:proofErr w:type="gramEnd"/>
      <w:r>
        <w:t xml:space="preserve"> differences in building stock, settlement structure, existing energy infrastructure, mobility patterns, and locally available renewable resources.</w:t>
      </w:r>
    </w:p>
    <w:p w14:paraId="38355D54" w14:textId="3930CE37" w:rsidR="0020535A" w:rsidRDefault="0020535A" w:rsidP="0020535A">
      <w:pPr>
        <w:pStyle w:val="SWCText"/>
      </w:pPr>
      <w:r>
        <w:t xml:space="preserve">This heterogeneity is increasingly important as the </w:t>
      </w:r>
      <w:r w:rsidR="00E7383A">
        <w:t>heat</w:t>
      </w:r>
      <w:r>
        <w:t xml:space="preserve">, electricity, and mobility sectors become more strongly </w:t>
      </w:r>
      <w:r w:rsidR="00E7383A">
        <w:t>intertwined</w:t>
      </w:r>
      <w:r>
        <w:t>. Replacing fossil heating systems with heat pumps and combustion</w:t>
      </w:r>
      <w:r w:rsidR="00816301">
        <w:t xml:space="preserve"> </w:t>
      </w:r>
      <w:r>
        <w:t xml:space="preserve">engine vehicles with electric vehicles can substantially reduce direct </w:t>
      </w:r>
      <w:r w:rsidR="008654DB">
        <w:t>fossil fuel</w:t>
      </w:r>
      <w:r>
        <w:t xml:space="preserve"> use, but both measures increase electricity demand. The resulting mitigation effect therefore depends not only on the technology being introduced, but also on the</w:t>
      </w:r>
      <w:r w:rsidR="00D066D9">
        <w:t xml:space="preserve"> status</w:t>
      </w:r>
      <w:r w:rsidR="005240DE">
        <w:t xml:space="preserve"> </w:t>
      </w:r>
      <w:r w:rsidR="00D066D9">
        <w:t xml:space="preserve">quo </w:t>
      </w:r>
      <w:r w:rsidR="004109FD">
        <w:t>energy system</w:t>
      </w:r>
      <w:r w:rsidR="001A0022">
        <w:t xml:space="preserve"> </w:t>
      </w:r>
      <w:r w:rsidR="00D066D9">
        <w:t>configuration</w:t>
      </w:r>
      <w:r w:rsidR="002352A6">
        <w:t>,</w:t>
      </w:r>
      <w:r>
        <w:t xml:space="preserve"> electricity supply, the availability and temporal profile of local renewable generation, and the presence of flexibility options such as energy storage. Assessing transition measures independently can consequently overlook interactions between sectors and lead to different conclusions than </w:t>
      </w:r>
      <w:r>
        <w:lastRenderedPageBreak/>
        <w:t>an integrated system assessment.</w:t>
      </w:r>
    </w:p>
    <w:p w14:paraId="20EF531E" w14:textId="08A501F2" w:rsidR="0020535A" w:rsidRDefault="0020535A" w:rsidP="003F6329">
      <w:pPr>
        <w:pStyle w:val="SWCText"/>
        <w:spacing w:after="0"/>
      </w:pPr>
      <w:r>
        <w:t xml:space="preserve">For municipalities, performing such integrated assessments can nevertheless be challenging. Detailed energy-system studies require access to </w:t>
      </w:r>
      <w:r w:rsidR="0087699B">
        <w:t xml:space="preserve">substantial amounts of </w:t>
      </w:r>
      <w:r>
        <w:t xml:space="preserve">data, modelling expertise, and </w:t>
      </w:r>
      <w:r w:rsidR="003247BC">
        <w:t xml:space="preserve">typically </w:t>
      </w:r>
      <w:r>
        <w:t xml:space="preserve">substantial effort, and are therefore often carried out through dedicated planning studies or external consultancy. </w:t>
      </w:r>
      <w:proofErr w:type="gramStart"/>
      <w:r w:rsidR="00233028">
        <w:t>In particular s</w:t>
      </w:r>
      <w:r>
        <w:t>maller</w:t>
      </w:r>
      <w:proofErr w:type="gramEnd"/>
      <w:r>
        <w:t xml:space="preserve"> municipalities may have limited resources for repeatedly evaluating alternative technology configurations. Decision-support tools that combine openly available data with energy-system modelling can help make such analyses more accessible, while also providing a consistent basis for comparing alternative measures. </w:t>
      </w:r>
    </w:p>
    <w:p w14:paraId="7911F13B" w14:textId="4F44CDBD" w:rsidR="0020535A" w:rsidRDefault="0020535A" w:rsidP="003F6329">
      <w:pPr>
        <w:pStyle w:val="SWCText"/>
        <w:spacing w:after="0"/>
      </w:pPr>
      <w:r>
        <w:t xml:space="preserve">To address this need, the Recommender Tool </w:t>
      </w:r>
      <w:r w:rsidR="0061288B">
        <w:fldChar w:fldCharType="begin"/>
      </w:r>
      <w:r w:rsidR="00C02951">
        <w:instrText xml:space="preserve"> ADDIN ZOTERO_ITEM CSL_CITATION {"citationID":"pumd352j","properties":{"unsorted":false,"formattedCitation":"(G\\uc0\\u246{}kg\\uc0\\u246{}l et al., 2025; HSLU, 2026; Meyer et al., 2026, 2023)","plainCitation":"(Gökgöl et al., 2025; HSLU, 2026; Meyer et al., 2026, 2023)","noteIndex":0},"citationItems":[{"id":28,"uris":["http://zotero.org/users/local/FsS9uz3W/items/ZC3CH7E6"],"itemData":{"id":28,"type":"article-journal","abstract":"The energy sector is the source of nearly three-quarters of the global greenhouse gas emissions and buildings form around one-third of it. The largest share of the energy consumption in the buildings belongs to the heating systems which are mostly dependent on fossil fuels. To keep up with the demands of increasing population, it is vital to undergo clean energy transformations effective immediately. In this study, a decision support map was created for a selected community to ease the energy retrofit candidate selection process. Buildings are assessed considering sustainability level of the heating infrastructure, energy use intensity and age, and ranked according to their goodness level on the energy efficiency scale through analytic hierarchy process. Finally, a multi-layered map is created to visualize the outcomes. The decision support map fills a gap in the existing tool landscape as it offers energy consulting on a communal (i.e. not only single building or quarter) level and does not require work from the user as it relies on public data. The results showed that new buildings constructed by environmentally responsible codes tend to have heating systems mostly powered by renewable sources and less level of energy threshold violations while old buildings generally act in the other direction. As the main outcome, the created visuals support the user to have insights about the accumulation areas of the households in low rankings as well as the energy efficiency standing of the individual buildings in comparison with the neighbouring households.","container-title":"Energy and Buildings","DOI":"10.1016/j.enbuild.2025.115554","ISSN":"0378-7788","journalAbbreviation":"Energy and Buildings","page":"115554","source":"ScienceDirect","title":"A community-based decision support map for building retrofit towards a more sustainable future","volume":"335","author":[{"family":"Gökgöl","given":"Ezgi Köker"},{"family":"Linder","given":"Esther"},{"family":"Schuetz","given":"Philipp"}],"issued":{"date-parts":[["2025",5,15]]}}},{"id":26,"uris":["http://zotero.org/users/local/FsS9uz3W/items/S9L94L53"],"itemData":{"id":26,"type":"article-journal","abstract":"To reach the goal of net-zero emissions in 2050, posed by the Swiss energy strategy, our society faces major challenges for the integration of renewable energy generation and distribution, and changes in the energy system are inevitable. The development of decentralised renewable energy sources and the necessary extensions of the power grid are only one aspect. A high percentage of the energy consumption in the residential sector consists of space heating and cooling of buildings. Therefore, the changes will also affect the thermal energy sector, e.g. through renovations of buildings, replacements of fossil heating systems with heat pumps or connections to district heating networks. To support the planning involved in the changes of the energy system, we provide a tool for visualisations of energy system options and scenarios and recommendations for optimisations based on publicly available data, modelling demands and simulating energy systems in a mixed-integer linear programming framework. We present a first version of the recommender tool which focuses on the support of municipality representatives for drawing up their communal energy strategies.","container-title":"Journal of Physics: Conference Series","DOI":"10.1088/1742-6596/2600/2/022010","ISSN":"1742-6596","issue":"2","journalAbbreviation":"J. Phys.: Conf. Ser.","language":"en","page":"022010","publisher":"IOP Publishing","source":"Institute of Physics","title":"Tool for evaluation of energy system options for municipalities","volume":"2600","author":[{"family":"Meyer","given":"M"},{"family":"Linder","given":"E"},{"family":"Schilt","given":"U"},{"family":"Schneeberger","given":"S"},{"family":"Melillo","given":"A"},{"family":"Gökgöl","given":"E Köker"},{"family":"Schuetz","given":"P"}],"issued":{"date-parts":[["2023",11]]}}},{"id":270,"uris":["http://zotero.org/users/local/FsS9uz3W/items/WKQVTLAS"],"itemData":{"id":270,"type":"paper-conference","abstract":"The transition of the energy system towards decentralized renewable energy sources poses both opportunities and challenges for quarters, districts, and municipalities. To aid local authorities and policy makers in navigating this complex topic, we present a decision-support and pathway recommendations tool. The tool is preloaded with publicly available data and offers modeled data for missing aspects to both display the status quo and enable an assessment of different options in future scenarios. These scenarios include the replacement of fossil heating systems with heat pumps and district heating networks, the retrofitting of the building park, the exploitation of the potentials of renewable energies like solar photovoltaics, wind and biomass as well as the implementation of thermal energy storages and batteries. The simulation is performed using a Python-based model with integrated optimization using the mixed-integer linear programming framework Calliope. This tool will help community representatives, policymakers, and energy planners to support the integration of renewable energy into the communal energy systems and thereby help to reach the European and Swiss emission targets.","container-title":"Proceedings of the 15th REHVA HVAC World Congress - CLIMA 2025","DOI":"10.1007/978-3-032-10546-2_88","ISBN":"978-3-032-10546-2","language":"en","page":"940-949","publisher":"Springer Nature Switzerland","publisher-place":"Cham","source":"Springer Link","title":"Supporting the Integration of Renewable Energy in Communities and Districts by Automated, Online Impact Assessment","author":[{"family":"Meyer","given":"Manuel"},{"family":"Iyyakkunnel","given":"Santhosh"},{"family":"Schilt","given":"Ueli"},{"family":"Schneeberger","given":"Sarah"},{"family":"Linder","given":"Esther"},{"family":"Vijayananda","given":"Somesh"},{"family":"Schuetz","given":"Philipp"}],"editor":[{"family":"Zilio","given":"Claudio"},{"family":"Busato","given":"Filippo"},{"family":"Mazzarella","given":"Livio"},{"family":"Noro","given":"Marco"}],"issued":{"date-parts":[["2026"]]}}},{"id":96,"uris":["http://zotero.org/users/local/FsS9uz3W/items/NLD8G3WC"],"itemData":{"id":96,"type":"webpage","title":"Recommender Tool","URL":"prototype.recommendertool.ch","author":[{"family":"HSLU","given":"CC STEP"}],"issued":{"date-parts":[["2026"]]}}}],"schema":"https://github.com/citation-style-language/schema/raw/master/csl-citation.json"} </w:instrText>
      </w:r>
      <w:r w:rsidR="0061288B">
        <w:fldChar w:fldCharType="separate"/>
      </w:r>
      <w:r w:rsidR="00C02951" w:rsidRPr="00C02951">
        <w:t>(</w:t>
      </w:r>
      <w:proofErr w:type="spellStart"/>
      <w:r w:rsidR="00C02951" w:rsidRPr="00C02951">
        <w:t>Gökgöl</w:t>
      </w:r>
      <w:proofErr w:type="spellEnd"/>
      <w:r w:rsidR="00C02951" w:rsidRPr="00C02951">
        <w:t xml:space="preserve"> et al., 2025; HSLU, 2026; Meyer et al., 2026, 2023)</w:t>
      </w:r>
      <w:r w:rsidR="0061288B">
        <w:fldChar w:fldCharType="end"/>
      </w:r>
      <w:r w:rsidR="0061288B">
        <w:t xml:space="preserve"> </w:t>
      </w:r>
      <w:r>
        <w:t>was developed within the Swiss Energy Research for the Energy Transition (SWEET) EDGE project</w:t>
      </w:r>
      <w:r w:rsidR="00233028">
        <w:t xml:space="preserve"> </w:t>
      </w:r>
      <w:r w:rsidR="00233028">
        <w:fldChar w:fldCharType="begin"/>
      </w:r>
      <w:r w:rsidR="00C02951">
        <w:instrText xml:space="preserve"> ADDIN ZOTERO_ITEM CSL_CITATION {"citationID":"6Y9ZHYU6","properties":{"unsorted":false,"formattedCitation":"(\\uc0\\u8220{}Sweet EDGE,\\uc0\\u8221{} 2026)","plainCitation":"(“Sweet EDGE,” 2026)","noteIndex":0},"citationItems":[{"id":57,"uris":["http://zotero.org/users/local/FsS9uz3W/items/HQFN5YSP"],"itemData":{"id":57,"type":"webpage","title":"Sweet EDGE","URL":"https://www.sweet-edge.ch/","issued":{"date-parts":[["2026"]]}}}],"schema":"https://github.com/citation-style-language/schema/raw/master/csl-citation.json"} </w:instrText>
      </w:r>
      <w:r w:rsidR="00233028">
        <w:fldChar w:fldCharType="separate"/>
      </w:r>
      <w:r w:rsidR="005D3C8A" w:rsidRPr="005D3C8A">
        <w:t>(“Sweet EDGE,” 2026)</w:t>
      </w:r>
      <w:r w:rsidR="00233028">
        <w:fldChar w:fldCharType="end"/>
      </w:r>
      <w:r w:rsidR="001173E6">
        <w:t>.</w:t>
      </w:r>
      <w:r>
        <w:t xml:space="preserve"> The tool combines municipality-specific energy </w:t>
      </w:r>
      <w:r w:rsidR="00C5606B">
        <w:t xml:space="preserve">system </w:t>
      </w:r>
      <w:r>
        <w:t xml:space="preserve">data derived from openly available sources with simulations </w:t>
      </w:r>
      <w:r w:rsidR="00096EED">
        <w:t>carried out by</w:t>
      </w:r>
      <w:r w:rsidR="00E42CEE">
        <w:t xml:space="preserve"> the</w:t>
      </w:r>
      <w:r>
        <w:t xml:space="preserve"> </w:t>
      </w:r>
      <w:r w:rsidR="00FB07FB">
        <w:t>in</w:t>
      </w:r>
      <w:r w:rsidR="00734D32">
        <w:t>-</w:t>
      </w:r>
      <w:r w:rsidR="00FB07FB">
        <w:t xml:space="preserve">house developed </w:t>
      </w:r>
      <w:r>
        <w:t>District Energy Model (DEM)</w:t>
      </w:r>
      <w:r w:rsidR="001173E6">
        <w:t>.</w:t>
      </w:r>
      <w:r>
        <w:t xml:space="preserve"> The DEM </w:t>
      </w:r>
      <w:r w:rsidR="00FE4CB3">
        <w:t>models</w:t>
      </w:r>
      <w:r>
        <w:t xml:space="preserve"> hourly energy balances across the heating and electricity sectors and </w:t>
      </w:r>
      <w:r w:rsidR="00FE4CB3">
        <w:t xml:space="preserve">allows </w:t>
      </w:r>
      <w:r w:rsidR="001A0022">
        <w:t>the parametrization of various energy technologies</w:t>
      </w:r>
      <w:r>
        <w:t xml:space="preserve">. Within the Recommender Tool, users can inspect municipality-specific </w:t>
      </w:r>
      <w:r w:rsidR="001834B8">
        <w:t>data related to energy</w:t>
      </w:r>
      <w:r>
        <w:t xml:space="preserve"> and modify a selected set of transition measures</w:t>
      </w:r>
      <w:r w:rsidR="00366273">
        <w:t xml:space="preserve"> such as</w:t>
      </w:r>
      <w:r>
        <w:t xml:space="preserve"> </w:t>
      </w:r>
      <w:r w:rsidR="001834B8">
        <w:t xml:space="preserve">replacement of fossil heaters with </w:t>
      </w:r>
      <w:r>
        <w:t>heat</w:t>
      </w:r>
      <w:r w:rsidR="00CE3D94">
        <w:t xml:space="preserve"> </w:t>
      </w:r>
      <w:r>
        <w:t>pump</w:t>
      </w:r>
      <w:r w:rsidR="00CE3D94">
        <w:t>s</w:t>
      </w:r>
      <w:r>
        <w:t xml:space="preserve">, </w:t>
      </w:r>
      <w:r w:rsidR="00721173">
        <w:t xml:space="preserve">electrification of </w:t>
      </w:r>
      <w:r w:rsidR="007554B0">
        <w:t xml:space="preserve">passenger </w:t>
      </w:r>
      <w:r w:rsidR="00CA7230">
        <w:t>cars</w:t>
      </w:r>
      <w:r w:rsidR="00721173">
        <w:t xml:space="preserve">, </w:t>
      </w:r>
      <w:r>
        <w:t xml:space="preserve">rooftop </w:t>
      </w:r>
      <w:r w:rsidR="0033538B">
        <w:t xml:space="preserve">PV </w:t>
      </w:r>
      <w:r w:rsidR="00366273">
        <w:t>expansion</w:t>
      </w:r>
      <w:r>
        <w:t>, wind</w:t>
      </w:r>
      <w:r w:rsidR="0033538B">
        <w:t xml:space="preserve"> </w:t>
      </w:r>
      <w:r>
        <w:t xml:space="preserve">power deployment, </w:t>
      </w:r>
      <w:r w:rsidR="00A851AF">
        <w:t xml:space="preserve">and </w:t>
      </w:r>
      <w:r>
        <w:t>thermal energy storage</w:t>
      </w:r>
      <w:r w:rsidR="00366273">
        <w:t xml:space="preserve"> </w:t>
      </w:r>
      <w:r w:rsidR="004430A5">
        <w:t>usage</w:t>
      </w:r>
      <w:r>
        <w:t xml:space="preserve">. The tool does not prescribe a predefined transition </w:t>
      </w:r>
      <w:r w:rsidR="00A851AF">
        <w:t>pathway but</w:t>
      </w:r>
      <w:r>
        <w:t xml:space="preserve"> rather provides a</w:t>
      </w:r>
      <w:r w:rsidR="00241EC8">
        <w:t xml:space="preserve"> platform</w:t>
      </w:r>
      <w:r>
        <w:t xml:space="preserve"> </w:t>
      </w:r>
      <w:r w:rsidR="004768BC" w:rsidRPr="004768BC">
        <w:t>on which the key performance factors of potential configurations can be compared with the current setup.</w:t>
      </w:r>
    </w:p>
    <w:p w14:paraId="36096E0C" w14:textId="2E20C042" w:rsidR="0020535A" w:rsidRPr="00E42FD4" w:rsidRDefault="0020535A" w:rsidP="0020535A">
      <w:pPr>
        <w:pStyle w:val="SWCText"/>
      </w:pPr>
      <w:r>
        <w:t xml:space="preserve">In this study, we </w:t>
      </w:r>
      <w:r w:rsidR="0014730F">
        <w:t xml:space="preserve">demonstrate how </w:t>
      </w:r>
      <w:r w:rsidR="00ED3C81">
        <w:t xml:space="preserve">the </w:t>
      </w:r>
      <w:r>
        <w:t xml:space="preserve">Recommender Tool </w:t>
      </w:r>
      <w:r w:rsidR="00ED3C81">
        <w:t xml:space="preserve">can be used </w:t>
      </w:r>
      <w:r>
        <w:t xml:space="preserve">systematically </w:t>
      </w:r>
      <w:r w:rsidR="00E501D0">
        <w:t xml:space="preserve">to </w:t>
      </w:r>
      <w:r>
        <w:t>investigate these interactions for three Swiss municipalities</w:t>
      </w:r>
      <w:r w:rsidR="00E501D0">
        <w:t xml:space="preserve"> in different </w:t>
      </w:r>
      <w:r w:rsidR="00B37F1E">
        <w:t>regions</w:t>
      </w:r>
      <w:r>
        <w:t xml:space="preserve">: </w:t>
      </w:r>
      <w:proofErr w:type="spellStart"/>
      <w:r>
        <w:t>Sirnach</w:t>
      </w:r>
      <w:proofErr w:type="spellEnd"/>
      <w:r w:rsidR="00B37F1E">
        <w:t xml:space="preserve"> (Swiss plateau)</w:t>
      </w:r>
      <w:r>
        <w:t>, Basel</w:t>
      </w:r>
      <w:r w:rsidR="00B37F1E">
        <w:t xml:space="preserve"> (city)</w:t>
      </w:r>
      <w:r>
        <w:t xml:space="preserve">, and </w:t>
      </w:r>
      <w:proofErr w:type="spellStart"/>
      <w:r>
        <w:t>Lauterbrunnen</w:t>
      </w:r>
      <w:proofErr w:type="spellEnd"/>
      <w:r w:rsidR="00B37F1E">
        <w:t xml:space="preserve"> (alpine)</w:t>
      </w:r>
      <w:r>
        <w:t xml:space="preserve">. We first characterize their </w:t>
      </w:r>
      <w:r w:rsidR="005240DE">
        <w:t>status quo</w:t>
      </w:r>
      <w:r>
        <w:t xml:space="preserve"> emissions </w:t>
      </w:r>
      <w:r w:rsidR="00874667">
        <w:t>distribution</w:t>
      </w:r>
      <w:r>
        <w:t xml:space="preserve"> and modeled renewable</w:t>
      </w:r>
      <w:r w:rsidR="00C62B30">
        <w:t xml:space="preserve"> energy </w:t>
      </w:r>
      <w:r>
        <w:t xml:space="preserve">generation potentials. We then quantify how heating and mobility electrification alter electricity demand and </w:t>
      </w:r>
      <w:r w:rsidR="00650F05">
        <w:t xml:space="preserve">compare </w:t>
      </w:r>
      <w:r>
        <w:t>the</w:t>
      </w:r>
      <w:r w:rsidR="00BB46D1">
        <w:t xml:space="preserve"> estimated</w:t>
      </w:r>
      <w:r>
        <w:t xml:space="preserve"> CO</w:t>
      </w:r>
      <w:r w:rsidR="00D317C3" w:rsidRPr="00D317C3">
        <w:rPr>
          <w:vertAlign w:val="subscript"/>
        </w:rPr>
        <w:t>2</w:t>
      </w:r>
      <w:r>
        <w:t xml:space="preserve"> </w:t>
      </w:r>
      <w:r w:rsidR="00BB46D1">
        <w:t>reduction</w:t>
      </w:r>
      <w:r>
        <w:t xml:space="preserve"> to increasing rooftop</w:t>
      </w:r>
      <w:r w:rsidR="00D317C3">
        <w:t xml:space="preserve"> </w:t>
      </w:r>
      <w:r>
        <w:t>PV and wind</w:t>
      </w:r>
      <w:r w:rsidR="00BB46D1">
        <w:t xml:space="preserve"> power</w:t>
      </w:r>
      <w:r>
        <w:t xml:space="preserve"> deployment. Finally, the measures are combined sequentially to construct </w:t>
      </w:r>
      <w:r w:rsidR="000E5943">
        <w:t xml:space="preserve">an </w:t>
      </w:r>
      <w:r>
        <w:t>illustrative cumulative transition pathway. The objective is</w:t>
      </w:r>
      <w:r w:rsidR="001C1914">
        <w:t xml:space="preserve"> </w:t>
      </w:r>
      <w:r>
        <w:t>to demonstrate how municipality-specific scenario exploration can reveal differences in mitigation potential</w:t>
      </w:r>
      <w:r w:rsidR="00CA264A">
        <w:t xml:space="preserve"> </w:t>
      </w:r>
      <w:r>
        <w:t>and the cumulative effect of transition measures.</w:t>
      </w:r>
    </w:p>
    <w:p w14:paraId="49CDE39F" w14:textId="102B2288" w:rsidR="00A0147F" w:rsidRDefault="00A0147F" w:rsidP="00230D36">
      <w:pPr>
        <w:pStyle w:val="SWCHeading1"/>
        <w:tabs>
          <w:tab w:val="clear" w:pos="4472"/>
          <w:tab w:val="num" w:pos="709"/>
        </w:tabs>
        <w:ind w:left="709"/>
      </w:pPr>
      <w:r>
        <w:t>Methods</w:t>
      </w:r>
    </w:p>
    <w:p w14:paraId="490EA359" w14:textId="3C88DFB0" w:rsidR="003D2859" w:rsidRDefault="00120979" w:rsidP="00120979">
      <w:pPr>
        <w:pStyle w:val="SWCHeading11"/>
      </w:pPr>
      <w:r>
        <w:t xml:space="preserve">2.1 </w:t>
      </w:r>
      <w:r w:rsidR="003B1516">
        <w:t>Recommender Tool and District Energy Model</w:t>
      </w:r>
    </w:p>
    <w:p w14:paraId="7AC3C73C" w14:textId="285C526B" w:rsidR="00A0147F" w:rsidRDefault="00A0147F" w:rsidP="003F6329">
      <w:pPr>
        <w:pStyle w:val="SWCText"/>
        <w:spacing w:after="0"/>
      </w:pPr>
      <w:r w:rsidRPr="00A0147F">
        <w:t>Th</w:t>
      </w:r>
      <w:r w:rsidR="006F4D6E">
        <w:t xml:space="preserve">is </w:t>
      </w:r>
      <w:r w:rsidRPr="00A0147F">
        <w:t xml:space="preserve">study is based on the Recommender Tool </w:t>
      </w:r>
      <w:r w:rsidR="00BC13E0">
        <w:fldChar w:fldCharType="begin"/>
      </w:r>
      <w:r w:rsidR="00C02951">
        <w:instrText xml:space="preserve"> ADDIN ZOTERO_ITEM CSL_CITATION {"citationID":"I6kW2X6d","properties":{"unsorted":false,"formattedCitation":"(G\\uc0\\u246{}kg\\uc0\\u246{}l et al., 2025; HSLU, 2026; Meyer et al., 2026, 2023)","plainCitation":"(Gökgöl et al., 2025; HSLU, 2026; Meyer et al., 2026, 2023)","noteIndex":0},"citationItems":[{"id":28,"uris":["http://zotero.org/users/local/FsS9uz3W/items/ZC3CH7E6"],"itemData":{"id":28,"type":"article-journal","abstract":"The energy sector is the source of nearly three-quarters of the global greenhouse gas emissions and buildings form around one-third of it. The largest share of the energy consumption in the buildings belongs to the heating systems which are mostly dependent on fossil fuels. To keep up with the demands of increasing population, it is vital to undergo clean energy transformations effective immediately. In this study, a decision support map was created for a selected community to ease the energy retrofit candidate selection process. Buildings are assessed considering sustainability level of the heating infrastructure, energy use intensity and age, and ranked according to their goodness level on the energy efficiency scale through analytic hierarchy process. Finally, a multi-layered map is created to visualize the outcomes. The decision support map fills a gap in the existing tool landscape as it offers energy consulting on a communal (i.e. not only single building or quarter) level and does not require work from the user as it relies on public data. The results showed that new buildings constructed by environmentally responsible codes tend to have heating systems mostly powered by renewable sources and less level of energy threshold violations while old buildings generally act in the other direction. As the main outcome, the created visuals support the user to have insights about the accumulation areas of the households in low rankings as well as the energy efficiency standing of the individual buildings in comparison with the neighbouring households.","container-title":"Energy and Buildings","DOI":"10.1016/j.enbuild.2025.115554","ISSN":"0378-7788","journalAbbreviation":"Energy and Buildings","page":"115554","source":"ScienceDirect","title":"A community-based decision support map for building retrofit towards a more sustainable future","volume":"335","author":[{"family":"Gökgöl","given":"Ezgi Köker"},{"family":"Linder","given":"Esther"},{"family":"Schuetz","given":"Philipp"}],"issued":{"date-parts":[["2025",5,15]]}}},{"id":26,"uris":["http://zotero.org/users/local/FsS9uz3W/items/S9L94L53"],"itemData":{"id":26,"type":"article-journal","abstract":"To reach the goal of net-zero emissions in 2050, posed by the Swiss energy strategy, our society faces major challenges for the integration of renewable energy generation and distribution, and changes in the energy system are inevitable. The development of decentralised renewable energy sources and the necessary extensions of the power grid are only one aspect. A high percentage of the energy consumption in the residential sector consists of space heating and cooling of buildings. Therefore, the changes will also affect the thermal energy sector, e.g. through renovations of buildings, replacements of fossil heating systems with heat pumps or connections to district heating networks. To support the planning involved in the changes of the energy system, we provide a tool for visualisations of energy system options and scenarios and recommendations for optimisations based on publicly available data, modelling demands and simulating energy systems in a mixed-integer linear programming framework. We present a first version of the recommender tool which focuses on the support of municipality representatives for drawing up their communal energy strategies.","container-title":"Journal of Physics: Conference Series","DOI":"10.1088/1742-6596/2600/2/022010","ISSN":"1742-6596","issue":"2","journalAbbreviation":"J. Phys.: Conf. Ser.","language":"en","page":"022010","publisher":"IOP Publishing","source":"Institute of Physics","title":"Tool for evaluation of energy system options for municipalities","volume":"2600","author":[{"family":"Meyer","given":"M"},{"family":"Linder","given":"E"},{"family":"Schilt","given":"U"},{"family":"Schneeberger","given":"S"},{"family":"Melillo","given":"A"},{"family":"Gökgöl","given":"E Köker"},{"family":"Schuetz","given":"P"}],"issued":{"date-parts":[["2023",11]]}}},{"id":270,"uris":["http://zotero.org/users/local/FsS9uz3W/items/WKQVTLAS"],"itemData":{"id":270,"type":"paper-conference","abstract":"The transition of the energy system towards decentralized renewable energy sources poses both opportunities and challenges for quarters, districts, and municipalities. To aid local authorities and policy makers in navigating this complex topic, we present a decision-support and pathway recommendations tool. The tool is preloaded with publicly available data and offers modeled data for missing aspects to both display the status quo and enable an assessment of different options in future scenarios. These scenarios include the replacement of fossil heating systems with heat pumps and district heating networks, the retrofitting of the building park, the exploitation of the potentials of renewable energies like solar photovoltaics, wind and biomass as well as the implementation of thermal energy storages and batteries. The simulation is performed using a Python-based model with integrated optimization using the mixed-integer linear programming framework Calliope. This tool will help community representatives, policymakers, and energy planners to support the integration of renewable energy into the communal energy systems and thereby help to reach the European and Swiss emission targets.","container-title":"Proceedings of the 15th REHVA HVAC World Congress - CLIMA 2025","DOI":"10.1007/978-3-032-10546-2_88","ISBN":"978-3-032-10546-2","language":"en","page":"940-949","publisher":"Springer Nature Switzerland","publisher-place":"Cham","source":"Springer Link","title":"Supporting the Integration of Renewable Energy in Communities and Districts by Automated, Online Impact Assessment","author":[{"family":"Meyer","given":"Manuel"},{"family":"Iyyakkunnel","given":"Santhosh"},{"family":"Schilt","given":"Ueli"},{"family":"Schneeberger","given":"Sarah"},{"family":"Linder","given":"Esther"},{"family":"Vijayananda","given":"Somesh"},{"family":"Schuetz","given":"Philipp"}],"editor":[{"family":"Zilio","given":"Claudio"},{"family":"Busato","given":"Filippo"},{"family":"Mazzarella","given":"Livio"},{"family":"Noro","given":"Marco"}],"issued":{"date-parts":[["2026"]]}}},{"id":96,"uris":["http://zotero.org/users/local/FsS9uz3W/items/NLD8G3WC"],"itemData":{"id":96,"type":"webpage","title":"Recommender Tool","URL":"prototype.recommendertool.ch","author":[{"family":"HSLU","given":"CC STEP"}],"issued":{"date-parts":[["2026"]]}}}],"schema":"https://github.com/citation-style-language/schema/raw/master/csl-citation.json"} </w:instrText>
      </w:r>
      <w:r w:rsidR="00BC13E0">
        <w:fldChar w:fldCharType="separate"/>
      </w:r>
      <w:r w:rsidR="00C02951" w:rsidRPr="00C02951">
        <w:t>(</w:t>
      </w:r>
      <w:proofErr w:type="spellStart"/>
      <w:r w:rsidR="00C02951" w:rsidRPr="00C02951">
        <w:t>Gökgöl</w:t>
      </w:r>
      <w:proofErr w:type="spellEnd"/>
      <w:r w:rsidR="00C02951" w:rsidRPr="00C02951">
        <w:t xml:space="preserve"> et al., 2025; HSLU, 2026; Meyer et al., 2026, 2023)</w:t>
      </w:r>
      <w:r w:rsidR="00BC13E0">
        <w:fldChar w:fldCharType="end"/>
      </w:r>
      <w:r w:rsidR="001173E6">
        <w:t xml:space="preserve"> </w:t>
      </w:r>
      <w:r w:rsidRPr="00A0147F">
        <w:t>and its underlying District Energy Model (DEM)</w:t>
      </w:r>
      <w:r w:rsidR="001173E6">
        <w:t xml:space="preserve"> </w:t>
      </w:r>
      <w:r w:rsidR="001173E6">
        <w:fldChar w:fldCharType="begin"/>
      </w:r>
      <w:r w:rsidR="005D3C8A">
        <w:instrText xml:space="preserve"> ADDIN ZOTERO_ITEM CSL_CITATION {"citationID":"A5xjBWuc","properties":{"unsorted":false,"formattedCitation":"(Schilt et al., 2026a, 2023)","plainCitation":"(Schilt et al., 2026a, 2023)","noteIndex":0},"citationItems":[{"id":23,"uris":["http://zotero.org/users/local/FsS9uz3W/items/HMELSYGR"],"itemData":{"id":23,"type":"paper-conference","container-title":"Proceedings of Solar World Congress 2023","DOI":"10.18086/swc.2023.08.06","event-title":"SWC 2023 - ISES Solar World Congress 2023","ISBN":"978-3-9820408-9-9","language":"en","page":"1-8","publisher":"International Solar Energy Society","publisher-place":"New Delhi, India","source":"DOI.org (Crossref)","title":"Impact Analysis of Solar PV Integration and Heating System Retrofit: a District-Level Energy System Model","title-short":"Impact Analysis of Solar PV Integration and Heating System Retrofit","URL":"http://proceedings.ises.org/citation?doi=swc.2023.08.06","author":[{"family":"Schilt","given":"Ueli"},{"family":"Meyer","given":"Manuel"},{"family":"Schneeberger","given":"Sarah"},{"family":"Schuetz","given":"Philipp"}],"accessed":{"date-parts":[["2025",3,28]]},"issued":{"date-parts":[["2023"]]}}},{"id":278,"uris":["http://zotero.org/users/local/FsS9uz3W/items/I8LSVHW7"],"itemData":{"id":278,"type":"article-journal","abstract":"The transition to locally generated, decentralised, and renewable energy technologies is a promising pathway toward net-zero emissions and a decarbonised energy system. This transition requires systematic evaluation of potential future scenarios for technology adoption across multiple spatial and temporal scales. Here we present the District Energy Model (DEM), a software for modelling, simulating, and optimising local and regional sector-coupled energy systems. Compared to other software with similar functionality, DEM offers very low deployment effort because it is a fully parametrised model bundled together with the required input data, both of which are openly available. These can be extended to other regions. Thereby, DEM offers users an ideal tool for the fast assessment of the impact of renewable energy technologies.","DOI":"10.2139/ssrn.6679309","language":"en","publisher":"Social Science Research Network","publisher-place":"Rochester, NY","source":"papers.ssrn.com","title":"District Energy Model (DEM): A Python framework for modelling renewable energy integration and flexibility at district scale","title-short":"District Energy Model (DEM)","URL":"https://papers.ssrn.com/abstract=6679309","author":[{"family":"Schilt","given":"Ueli"},{"family":"Vecsei","given":"Pascal Marc"},{"family":"Vijayananda","given":"Somesh"},{"family":"Schuetz","given":"Philipp"}],"accessed":{"date-parts":[["2026",8,28]]},"issued":{"date-parts":[["2026",8,20]]}}}],"schema":"https://github.com/citation-style-language/schema/raw/master/csl-citation.json"} </w:instrText>
      </w:r>
      <w:r w:rsidR="001173E6">
        <w:fldChar w:fldCharType="separate"/>
      </w:r>
      <w:r w:rsidR="005D3C8A" w:rsidRPr="005D3C8A">
        <w:t>(Schilt et al., 2026a, 2023)</w:t>
      </w:r>
      <w:r w:rsidR="001173E6">
        <w:fldChar w:fldCharType="end"/>
      </w:r>
      <w:r w:rsidRPr="00A0147F">
        <w:t>.</w:t>
      </w:r>
      <w:r w:rsidR="003F6FEA">
        <w:t xml:space="preserve"> The</w:t>
      </w:r>
      <w:r w:rsidRPr="00A0147F">
        <w:t xml:space="preserve"> DEM is a municipal-scale multi-energy system model </w:t>
      </w:r>
      <w:r w:rsidR="00173899">
        <w:t>based</w:t>
      </w:r>
      <w:r w:rsidRPr="00A0147F">
        <w:t xml:space="preserve"> </w:t>
      </w:r>
      <w:r w:rsidR="003F6FEA">
        <w:t xml:space="preserve">on </w:t>
      </w:r>
      <w:r w:rsidR="00090D3F">
        <w:t>an</w:t>
      </w:r>
      <w:r w:rsidR="003F6FEA">
        <w:t xml:space="preserve"> hourly resolution</w:t>
      </w:r>
      <w:r w:rsidR="00F34D0E">
        <w:t xml:space="preserve"> </w:t>
      </w:r>
      <w:r w:rsidR="00AB26FC">
        <w:t>using</w:t>
      </w:r>
      <w:r w:rsidR="00F34D0E">
        <w:t xml:space="preserve"> Calliope </w:t>
      </w:r>
      <w:r w:rsidR="00F34D0E">
        <w:fldChar w:fldCharType="begin"/>
      </w:r>
      <w:r w:rsidR="005D3C8A">
        <w:instrText xml:space="preserve"> ADDIN ZOTERO_ITEM CSL_CITATION {"citationID":"jkASbFyz","properties":{"unsorted":false,"formattedCitation":"(Pfenninger and Pickering, 2018)","plainCitation":"(Pfenninger and Pickering, 2018)","noteIndex":0},"citationItems":[{"id":47,"uris":["http://zotero.org/users/local/FsS9uz3W/items/IJUG36NJ"],"itemData":{"id":47,"type":"article-journal","abstract":"Pfenninger et al., (2018). Calliope: a multi-scale energy systems modelling framework. Journal of Open Source Software, 3(29), 825, https://doi.org/10.21105/joss.00825","container-title":"Journal of Open Source Software","DOI":"10.21105/joss.00825","ISSN":"2475-9066","issue":"29","language":"en","page":"825","source":"joss.theoj.org","title":"Calliope: a multi-scale energy systems modelling framework","title-short":"Calliope","volume":"3","author":[{"family":"Pfenninger","given":"Stefan"},{"family":"Pickering","given":"Bryn"}],"issued":{"date-parts":[["2018",9,12]]}}}],"schema":"https://github.com/citation-style-language/schema/raw/master/csl-citation.json"} </w:instrText>
      </w:r>
      <w:r w:rsidR="00F34D0E">
        <w:fldChar w:fldCharType="separate"/>
      </w:r>
      <w:r w:rsidR="005D3C8A" w:rsidRPr="005D3C8A">
        <w:t>(Pfenninger and Pickering, 2018)</w:t>
      </w:r>
      <w:r w:rsidR="00F34D0E">
        <w:fldChar w:fldCharType="end"/>
      </w:r>
      <w:r w:rsidR="00AB26FC">
        <w:t xml:space="preserve"> as </w:t>
      </w:r>
      <w:r w:rsidR="009934CF">
        <w:t>an</w:t>
      </w:r>
      <w:r w:rsidR="00AB26FC">
        <w:t xml:space="preserve"> optimization backend</w:t>
      </w:r>
      <w:r w:rsidR="00200228">
        <w:t>.</w:t>
      </w:r>
      <w:r w:rsidR="003F6FEA">
        <w:t xml:space="preserve"> </w:t>
      </w:r>
      <w:r w:rsidR="00200228">
        <w:t>It is</w:t>
      </w:r>
      <w:r w:rsidR="003F6FEA">
        <w:t xml:space="preserve"> </w:t>
      </w:r>
      <w:r w:rsidRPr="00A0147F">
        <w:t>openly available as a Python package</w:t>
      </w:r>
      <w:r w:rsidR="00EE3ACB">
        <w:t xml:space="preserve"> </w:t>
      </w:r>
      <w:r w:rsidR="00EE3ACB">
        <w:fldChar w:fldCharType="begin"/>
      </w:r>
      <w:r w:rsidR="00AA4EA1">
        <w:instrText xml:space="preserve"> ADDIN ZOTERO_ITEM CSL_CITATION {"citationID":"JftSgJY8","properties":{"unsorted":false,"formattedCitation":"(Schilt, 2026)","plainCitation":"(Schilt, 2026)","noteIndex":0},"citationItems":[{"id":282,"uris":["http://zotero.org/users/local/FsS9uz3W/items/FBPWYDHL"],"itemData":{"id":282,"type":"software","collection-title":"Python package index (PyPI)","title":"District Energy Model - Python package","URL":"https://pypi.org/project/district-energy-model/","author":[{"family":"Schilt","given":"Ueli"}],"accessed":{"date-parts":[["2026",2,27]]},"issued":{"date-parts":[["2026"]]}}}],"schema":"https://github.com/citation-style-language/schema/raw/master/csl-citation.json"} </w:instrText>
      </w:r>
      <w:r w:rsidR="00EE3ACB">
        <w:fldChar w:fldCharType="separate"/>
      </w:r>
      <w:r w:rsidR="005D3C8A" w:rsidRPr="005D3C8A">
        <w:t>(Schilt, 2026)</w:t>
      </w:r>
      <w:r w:rsidR="00EE3ACB">
        <w:fldChar w:fldCharType="end"/>
      </w:r>
      <w:r w:rsidRPr="00A0147F">
        <w:t xml:space="preserve"> or via Git</w:t>
      </w:r>
      <w:r w:rsidR="009934CF">
        <w:t>H</w:t>
      </w:r>
      <w:r w:rsidRPr="00A0147F">
        <w:t xml:space="preserve">ub </w:t>
      </w:r>
      <w:r w:rsidR="00E153DA">
        <w:fldChar w:fldCharType="begin"/>
      </w:r>
      <w:r w:rsidR="005D3C8A">
        <w:instrText xml:space="preserve"> ADDIN ZOTERO_ITEM CSL_CITATION {"citationID":"S83lGFO8","properties":{"unsorted":false,"formattedCitation":"(Schilt et al., 2026b)","plainCitation":"(Schilt et al., 2026b)","noteIndex":0},"citationItems":[{"id":99,"uris":["http://zotero.org/users/local/FsS9uz3W/items/EPRBDXMY"],"itemData":{"id":99,"type":"software","abstract":"Python-based district energy system model for simulation and optimisation of heat, electricity, and storage at district scale. - HSLUDEM/District_Energy_Model","genre":"Python","title":"District_Energy_Model (DEM) [Github]","URL":"https://github.com/HSLUDEM/District_Energy_Model","author":[{"family":"Schilt","given":"Ueli"},{"family":"Vecsei","given":"Pascal Marc"},{"family":"Zurbriggen","given":"Tim"}],"accessed":{"date-parts":[["2026",2,27]]},"issued":{"date-parts":[["2026"]]}}}],"schema":"https://github.com/citation-style-language/schema/raw/master/csl-citation.json"} </w:instrText>
      </w:r>
      <w:r w:rsidR="00E153DA">
        <w:fldChar w:fldCharType="separate"/>
      </w:r>
      <w:r w:rsidR="005D3C8A" w:rsidRPr="005D3C8A">
        <w:t>(Schilt et al., 2026b)</w:t>
      </w:r>
      <w:r w:rsidR="00E153DA">
        <w:fldChar w:fldCharType="end"/>
      </w:r>
      <w:r w:rsidR="00E153DA">
        <w:t xml:space="preserve">. </w:t>
      </w:r>
      <w:r w:rsidR="00031F52">
        <w:t>This study use</w:t>
      </w:r>
      <w:r w:rsidR="00971695">
        <w:t>s</w:t>
      </w:r>
      <w:r w:rsidR="00031F52">
        <w:t xml:space="preserve"> the DEM version 0.1.0</w:t>
      </w:r>
      <w:r w:rsidR="00CE16B8">
        <w:t>-rc</w:t>
      </w:r>
      <w:r w:rsidR="00031F52">
        <w:t xml:space="preserve"> </w:t>
      </w:r>
      <w:r w:rsidR="00031F52">
        <w:fldChar w:fldCharType="begin"/>
      </w:r>
      <w:r w:rsidR="005D3C8A">
        <w:instrText xml:space="preserve"> ADDIN ZOTERO_ITEM CSL_CITATION {"citationID":"oPTVEFaI","properties":{"unsorted":false,"formattedCitation":"(Schilt et al., 2025a)","plainCitation":"(Schilt et al., 2025a)","noteIndex":0},"citationItems":[{"id":97,"uris":["http://zotero.org/users/local/FsS9uz3W/items/MVPQLS26"],"itemData":{"id":97,"type":"software","abstract":"The District Energy Model (DEM) is an open-source energy system simulation and optimisation model designed for municipal- and district-scale analysis, with a particular focus on applications in Switzerland.\n\nThis Zenodo record provides a persistent, citable reference for DEM version 0.1.0-rc2.No files are hosted in this record. Instead, it links to the exact versions of the software source code, documentation, and the corresponding data package used with this release.\n\nThis entry is intended for use in publications and reports where an unambiguous reference to a specific DEM version is required.\n\nLinked resources for DEM v0.1.0-rc2:\n\n\n\n\n\nSource code (GitHub release):https://github.com/HSLUDEM/District_Energy_Model/releases/tag/v0.1.0-rc2\n\n\n\n\nDocumentation (Read the Docs):https://dem-documentation.readthedocs.io/en/v0.1.0-rc2/\n\n\n\n\nAssociated data package (Zenodo):https://doi.org/10.5281/zenodo.17603139","DOI":"10.5281/zenodo.18154581","publisher":"Zenodo","title":"District Energy Model (DEM): Version 0.1.0-rc2","title-short":"District Energy Model (DEM)","URL":"https://zenodo.org/records/18154581","author":[{"family":"Schilt","given":"Ueli"},{"family":"Vecsei","given":"Pascal Marc"},{"family":"Vijayananda","given":"Somesh"},{"family":"Schneeberger","given":"Sarah"},{"family":"Iyyakkunnel","given":"Santhosh"},{"family":"Schütz","given":"Philipp"}],"accessed":{"date-parts":[["2026",2,27]]},"issued":{"date-parts":[["2025",11,25]]}}}],"schema":"https://github.com/citation-style-language/schema/raw/master/csl-citation.json"} </w:instrText>
      </w:r>
      <w:r w:rsidR="00031F52">
        <w:fldChar w:fldCharType="separate"/>
      </w:r>
      <w:r w:rsidR="005D3C8A" w:rsidRPr="005D3C8A">
        <w:t>(Schilt et al., 2025a)</w:t>
      </w:r>
      <w:r w:rsidR="00031F52">
        <w:fldChar w:fldCharType="end"/>
      </w:r>
      <w:r w:rsidR="00CE16B8">
        <w:t xml:space="preserve"> along with the provided </w:t>
      </w:r>
      <w:r w:rsidR="002D7808">
        <w:t xml:space="preserve">input dataset for Switzerland </w:t>
      </w:r>
      <w:r w:rsidR="002D7808">
        <w:fldChar w:fldCharType="begin"/>
      </w:r>
      <w:r w:rsidR="005D3C8A">
        <w:instrText xml:space="preserve"> ADDIN ZOTERO_ITEM CSL_CITATION {"citationID":"IOIrQyL1","properties":{"unsorted":false,"formattedCitation":"(Schilt et al., 2025b)","plainCitation":"(Schilt et al., 2025b)","noteIndex":0},"citationItems":[{"id":87,"uris":["http://zotero.org/users/local/FsS9uz3W/items/DA9XMNBB"],"itemData":{"id":87,"type":"dataset","abstract":"This repository provides input data for Switzerland used in the District Energy Model (DEM). The datasets were collected from various publicly available sources, pre-processed, and formatted for direct use within the DEM environment.\n\nDocumentation of the model is available on Read The Docs.\n\nThe source code of DEM is published on GitHub and can be used under the Apache-2.0 license.\n\nA detailed overview of the data sources, compilation procedures, metadata structure, and instructions for incorporating the datasets into the model can be found in the model documentation. Selected datasets that serve as inputs to DEM are listed below together with their relevant publications.The referenced datasets retain their original licences as stated by the publishers; users must comply with these conditions when using the data.\n\nCompatible with DEM versions:\n\n\n\n0.1.0\n\n\nReferenced datasets included in this package:\n\nTime-series data for wind power\n\n\n\nDujardin, J., Lehning, M. (2022). Wind-Topo_model. EnviDat. https://www.doi.org/10.16904/envidat.301.\n\nDujardin, J., &amp; Lehning, M. (2022). Wind‐Topo: Downscaling near‐surface wind fields to high‐resolution topography in highly complex terrain with deep learning. Quarterly Journal of the Royal Meteorological Society, 148(744), 1368-1388. https://doi.org/10.1002/qj.4265\n\n\nTime-series data for electric vehicle charging demand\n\n\n\nParajeles Herrera, M., &amp; Hug, G. (2025). Charging Demand and Flexibility Bounds for Large-Scale BEV Fleets - The Case Study of Switzerland [Data set]. Zenodo. https://doi.org/10.5281/zenodo.16597426\n\nParajeles Herrera, M &amp; Hug, G. (2025). Modeling Charging Demand and Quantifying Flexibility Bounds for Large-Scale BEV Fleets. 2025 IEEE Kiel PowerTech, Kiel, Germany, 2025, pp. 1-6. DOI: 10.1109/PowerTech59965.2025.11180551","DOI":"10.5281/zenodo.17603139","publisher":"Zenodo","title":"District Energy Model (DEM) Input Data for Switzerland","title-short":"Input Data for District Energy Model","URL":"https://zenodo.org/records/17603139","author":[{"family":"Schilt","given":"Ueli"},{"family":"Vecsei","given":"Pascal Marc"},{"family":"Vijayananda","given":"Somesh"},{"family":"Schneeberger","given":"Sarah"},{"family":"Iyyakkunnel","given":"Santhosh"},{"family":"Schütz","given":"Philipp"}],"accessed":{"date-parts":[["2026",2,25]]},"issued":{"date-parts":[["2025",11,25]]}}}],"schema":"https://github.com/citation-style-language/schema/raw/master/csl-citation.json"} </w:instrText>
      </w:r>
      <w:r w:rsidR="002D7808">
        <w:fldChar w:fldCharType="separate"/>
      </w:r>
      <w:r w:rsidR="005D3C8A" w:rsidRPr="005D3C8A">
        <w:t>(Schilt et al., 2025b)</w:t>
      </w:r>
      <w:r w:rsidR="002D7808">
        <w:fldChar w:fldCharType="end"/>
      </w:r>
      <w:r w:rsidR="002D7808">
        <w:t xml:space="preserve">. </w:t>
      </w:r>
      <w:r w:rsidR="00D86CA6">
        <w:t>D</w:t>
      </w:r>
      <w:r w:rsidRPr="00A0147F">
        <w:t xml:space="preserve">etailed </w:t>
      </w:r>
      <w:r w:rsidR="00D86CA6">
        <w:t>information about the DEM</w:t>
      </w:r>
      <w:r w:rsidR="00D86CA6" w:rsidRPr="00A0147F">
        <w:t xml:space="preserve"> </w:t>
      </w:r>
      <w:r w:rsidRPr="00A0147F">
        <w:t xml:space="preserve">and references </w:t>
      </w:r>
      <w:r w:rsidR="00075727">
        <w:t>to</w:t>
      </w:r>
      <w:r w:rsidRPr="00A0147F">
        <w:t xml:space="preserve"> the modeling framework and datasets can be found in </w:t>
      </w:r>
      <w:r w:rsidR="00D86CA6">
        <w:t>the official documentation</w:t>
      </w:r>
      <w:r w:rsidRPr="00A0147F">
        <w:t xml:space="preserve"> </w:t>
      </w:r>
      <w:r w:rsidR="009B2C58">
        <w:fldChar w:fldCharType="begin"/>
      </w:r>
      <w:r w:rsidR="00CE760B">
        <w:instrText xml:space="preserve"> ADDIN ZOTERO_ITEM CSL_CITATION {"citationID":"MfaUqMGG","properties":{"unsorted":false,"formattedCitation":"(Schilt and Vecsei, 2025)","plainCitation":"(Schilt and Vecsei, 2025)","noteIndex":0},"citationItems":[{"id":41,"uris":["http://zotero.org/users/local/FsS9uz3W/items/83TB9SGT"],"itemData":{"id":41,"type":"webpage","title":"District Energy Model (DEM) Documentation","URL":"https://demdocumentation.readthedocs.io/","author":[{"family":"Schilt","given":"Ueli"},{"family":"Vecsei","given":"Pascal Marc"}],"issued":{"date-parts":[["2025",9,1]]}}}],"schema":"https://github.com/citation-style-language/schema/raw/master/csl-citation.json"} </w:instrText>
      </w:r>
      <w:r w:rsidR="009B2C58">
        <w:fldChar w:fldCharType="separate"/>
      </w:r>
      <w:r w:rsidR="00CE760B" w:rsidRPr="00CE760B">
        <w:t>(Schilt and Vecsei, 2025)</w:t>
      </w:r>
      <w:r w:rsidR="009B2C58">
        <w:fldChar w:fldCharType="end"/>
      </w:r>
      <w:r w:rsidRPr="00A0147F">
        <w:t>.</w:t>
      </w:r>
    </w:p>
    <w:p w14:paraId="0850A550" w14:textId="6526F93C" w:rsidR="00090D3F" w:rsidRPr="00090D3F" w:rsidRDefault="00090D3F" w:rsidP="003F6329">
      <w:pPr>
        <w:pStyle w:val="SWCText"/>
        <w:spacing w:after="0"/>
      </w:pPr>
      <w:r w:rsidRPr="00090D3F">
        <w:t xml:space="preserve">The </w:t>
      </w:r>
      <w:r w:rsidR="00295999">
        <w:t>graphs and diagrams</w:t>
      </w:r>
      <w:r w:rsidRPr="00090D3F">
        <w:t xml:space="preserve"> presented in this study were adapted from the Recommender Tool</w:t>
      </w:r>
      <w:r w:rsidR="00295999">
        <w:t xml:space="preserve"> visualizations</w:t>
      </w:r>
      <w:r w:rsidRPr="00090D3F">
        <w:t>. While the underlying data and scenario functionality are available in the openly accessible tool, some of the analyses and visualizations shown here are not yet directly implemented in the front end and are planned for future integration.</w:t>
      </w:r>
    </w:p>
    <w:p w14:paraId="2ABC9DB4" w14:textId="2015C134" w:rsidR="009730A9" w:rsidRDefault="00120979" w:rsidP="00120979">
      <w:pPr>
        <w:pStyle w:val="SWCHeading11"/>
      </w:pPr>
      <w:r>
        <w:t xml:space="preserve">2.2 </w:t>
      </w:r>
      <w:r w:rsidR="009730A9">
        <w:t>Electricity</w:t>
      </w:r>
    </w:p>
    <w:p w14:paraId="3C81534F" w14:textId="2CEA9A17" w:rsidR="00196440" w:rsidRDefault="00DE7B26" w:rsidP="00196440">
      <w:pPr>
        <w:pStyle w:val="SWCText"/>
      </w:pPr>
      <w:r>
        <w:t>The m</w:t>
      </w:r>
      <w:r w:rsidR="005F2B07" w:rsidRPr="005F2B07">
        <w:t>unicipal electricity demand is estimated using a combination of top-down and bottom-up approaches. Total annual municipal demand is obtained from a top-down electricity-demand model based on measured national consumption, while residential demand is estimated bottom-up using building-stock information</w:t>
      </w:r>
      <w:r w:rsidR="00546DFF">
        <w:t xml:space="preserve"> </w:t>
      </w:r>
      <w:r w:rsidR="005F4D7D">
        <w:t>from</w:t>
      </w:r>
      <w:r w:rsidR="005F4D7D" w:rsidRPr="00A87752">
        <w:t xml:space="preserve"> </w:t>
      </w:r>
      <w:r w:rsidR="00F40DF7" w:rsidRPr="00A87752">
        <w:t>the Swiss Federal Register of Buildings and Dwellings (RBD)</w:t>
      </w:r>
      <w:r w:rsidR="00F40DF7">
        <w:t xml:space="preserve"> </w:t>
      </w:r>
      <w:r w:rsidR="00546DFF">
        <w:fldChar w:fldCharType="begin"/>
      </w:r>
      <w:r w:rsidR="00766767">
        <w:instrText xml:space="preserve"> ADDIN ZOTERO_ITEM CSL_CITATION {"citationID":"7xsSI2Lf","properties":{"unsorted":false,"formattedCitation":"(Federal Statistical Office, 2025a)","plainCitation":"(Federal Statistical Office, 2025a)","noteIndex":0},"citationItems":[{"id":50,"uris":["http://zotero.org/users/local/FsS9uz3W/items/FZK7NBPY"],"itemData":{"id":50,"type":"dataset","title":"Federal Register of Buildings and Dwellings","URL":"https://www.bfs.admin.ch/bfs/en/home/registers/federal-register-buildings-dwellings.html","author":[{"literal":"Federal Statistical Office"}],"accessed":{"date-parts":[["2025",10,31]]},"issued":{"date-parts":[["2025"]]}}}],"schema":"https://github.com/citation-style-language/schema/raw/master/csl-citation.json"} </w:instrText>
      </w:r>
      <w:r w:rsidR="00546DFF">
        <w:fldChar w:fldCharType="separate"/>
      </w:r>
      <w:r w:rsidR="00766767" w:rsidRPr="00766767">
        <w:t>(Federal Statistical Office, 2025a)</w:t>
      </w:r>
      <w:r w:rsidR="00546DFF">
        <w:fldChar w:fldCharType="end"/>
      </w:r>
      <w:r w:rsidR="005F2B07" w:rsidRPr="005F2B07">
        <w:t xml:space="preserve"> and representative consumption values. The difference is attributed to industry and services. Cantonal electricity</w:t>
      </w:r>
      <w:r w:rsidR="00461050">
        <w:t xml:space="preserve"> </w:t>
      </w:r>
      <w:r w:rsidR="005F2B07" w:rsidRPr="005F2B07">
        <w:t xml:space="preserve">consumption data from </w:t>
      </w:r>
      <w:proofErr w:type="spellStart"/>
      <w:r w:rsidR="005F2B07" w:rsidRPr="005F2B07">
        <w:t>Swissgrid</w:t>
      </w:r>
      <w:proofErr w:type="spellEnd"/>
      <w:r w:rsidR="005F2B07" w:rsidRPr="005F2B07">
        <w:t xml:space="preserve"> are used to derive representative hourly profiles for </w:t>
      </w:r>
      <w:r w:rsidR="00BF5639" w:rsidRPr="005F2B07">
        <w:t>industry</w:t>
      </w:r>
      <w:r w:rsidR="005F2B07" w:rsidRPr="005F2B07">
        <w:t xml:space="preserve"> and services demand</w:t>
      </w:r>
      <w:r w:rsidR="00391502">
        <w:t xml:space="preserve"> while standard hourly load profiles are used for residential buildings</w:t>
      </w:r>
      <w:r w:rsidR="00420299">
        <w:t xml:space="preserve"> </w:t>
      </w:r>
      <w:r w:rsidR="00BD1DB0">
        <w:fldChar w:fldCharType="begin"/>
      </w:r>
      <w:r w:rsidR="00AA4EA1">
        <w:instrText xml:space="preserve"> ADDIN ZOTERO_ITEM CSL_CITATION {"citationID":"AabpA09l","properties":{"unsorted":false,"formattedCitation":"(Rinaldi et al., 2022)","plainCitation":"(Rinaldi et al., 2022)","noteIndex":0},"citationItems":[{"id":30,"uris":["http://zotero.org/users/local/FsS9uz3W/items/V9YXQWSV"],"itemData":{"id":30,"type":"dataset","abstract":"The role of energy storage is subject to intense debates at the national and international level, reflecting a lack of consensus about the techno-economic potential and respective merits of the various energy storage technologies. This is largely due to the wide spectrum of possible applications, evolving technology and unclear market conditions. In the context of the SwissStore project we studied energy storage in different contexts and from different perspectives, i.e.\n• in households, in combination with photovoltaic panels (coupled with batteries and thermal storage), taking the perspective of the private investor\n• in all buildings (all sectors, also with PV), with a focus on increased short-term flexibility, thereby also considering other strategies next to storage (e.g. demand-side response) and taking the perspective of the social planner.\nIn both cases, optimisation frameworks were developed for Switzerland and different scenarios were studied for the next decades.","DOI":"10.5281/zenodo.6782179","publisher":"Zenodo","source":"Zenodo","title":"The role of energy storage technologies in the context of the Swiss energy transition (SwissStore)","URL":"https://zenodo.org/records/6782179","author":[{"family":"Rinaldi","given":"Arthur"},{"family":"Ramirez","given":"Héctor"},{"family":"Schroeteler","given":"Benjamin"},{"family":"Meier","given":"Marco"}],"accessed":{"date-parts":[["2025",3,28]]},"issued":{"date-parts":[["2022",6,30]]}}}],"schema":"https://github.com/citation-style-language/schema/raw/master/csl-citation.json"} </w:instrText>
      </w:r>
      <w:r w:rsidR="00BD1DB0">
        <w:fldChar w:fldCharType="separate"/>
      </w:r>
      <w:r w:rsidR="005D3C8A" w:rsidRPr="005D3C8A">
        <w:t>(Rinaldi et al., 2022)</w:t>
      </w:r>
      <w:r w:rsidR="00BD1DB0">
        <w:fldChar w:fldCharType="end"/>
      </w:r>
      <w:r w:rsidR="00196440">
        <w:t xml:space="preserve">. Local electricity generation from rooftop PV, wind, biomass, and small-scale hydropower is explicitly represented in the model. Residual demand that cannot be met by local generation is supplied through grid imports, </w:t>
      </w:r>
      <w:r w:rsidR="00196440">
        <w:lastRenderedPageBreak/>
        <w:t>representing electricity from the Swiss electricity system and cross-border exchanges.</w:t>
      </w:r>
    </w:p>
    <w:p w14:paraId="5D8B4A3D" w14:textId="77777777" w:rsidR="003F6329" w:rsidRDefault="003F6329" w:rsidP="00120979">
      <w:pPr>
        <w:pStyle w:val="SWCHeading11"/>
      </w:pPr>
    </w:p>
    <w:p w14:paraId="1AB29435" w14:textId="0C31620D" w:rsidR="009730A9" w:rsidRDefault="00120979" w:rsidP="00120979">
      <w:pPr>
        <w:pStyle w:val="SWCHeading11"/>
      </w:pPr>
      <w:r>
        <w:t xml:space="preserve">2.3 </w:t>
      </w:r>
      <w:r w:rsidR="009730A9">
        <w:t>Heat</w:t>
      </w:r>
    </w:p>
    <w:p w14:paraId="2CABC946" w14:textId="6FCE1BE6" w:rsidR="00A87752" w:rsidRPr="00525D81" w:rsidRDefault="00987937" w:rsidP="00A8141C">
      <w:pPr>
        <w:pStyle w:val="SWCText"/>
      </w:pPr>
      <w:r>
        <w:t>The m</w:t>
      </w:r>
      <w:r w:rsidR="00A87752" w:rsidRPr="00A87752">
        <w:t>unicipal heat demand is estimated bottom-up from building characteristics reported in the Swiss Federal Register of Buildings and Dwellings (RBD)</w:t>
      </w:r>
      <w:r w:rsidR="00F40DF7">
        <w:t xml:space="preserve"> </w:t>
      </w:r>
      <w:r w:rsidR="00F40DF7">
        <w:fldChar w:fldCharType="begin"/>
      </w:r>
      <w:r w:rsidR="00766767">
        <w:instrText xml:space="preserve"> ADDIN ZOTERO_ITEM CSL_CITATION {"citationID":"DlK951dF","properties":{"unsorted":false,"formattedCitation":"(Federal Statistical Office, 2025a)","plainCitation":"(Federal Statistical Office, 2025a)","noteIndex":0},"citationItems":[{"id":50,"uris":["http://zotero.org/users/local/FsS9uz3W/items/FZK7NBPY"],"itemData":{"id":50,"type":"dataset","title":"Federal Register of Buildings and Dwellings","URL":"https://www.bfs.admin.ch/bfs/en/home/registers/federal-register-buildings-dwellings.html","author":[{"literal":"Federal Statistical Office"}],"accessed":{"date-parts":[["2025",10,31]]},"issued":{"date-parts":[["2025"]]}}}],"schema":"https://github.com/citation-style-language/schema/raw/master/csl-citation.json"} </w:instrText>
      </w:r>
      <w:r w:rsidR="00F40DF7">
        <w:fldChar w:fldCharType="separate"/>
      </w:r>
      <w:r w:rsidR="00766767" w:rsidRPr="00766767">
        <w:t>(Federal Statistical Office, 2025a)</w:t>
      </w:r>
      <w:r w:rsidR="00F40DF7">
        <w:fldChar w:fldCharType="end"/>
      </w:r>
      <w:r w:rsidR="00A87752" w:rsidRPr="00A87752">
        <w:t>. Annual space</w:t>
      </w:r>
      <w:r w:rsidR="008A1F69">
        <w:t xml:space="preserve"> </w:t>
      </w:r>
      <w:r w:rsidR="00A87752" w:rsidRPr="00A87752">
        <w:t>heating demand is derived from local weather conditions and building characteristics such as construction period, building type, and floor area</w:t>
      </w:r>
      <w:r w:rsidR="00F40DF7">
        <w:t xml:space="preserve"> </w:t>
      </w:r>
      <w:r w:rsidR="00F40DF7">
        <w:fldChar w:fldCharType="begin"/>
      </w:r>
      <w:r w:rsidR="00AA4EA1">
        <w:instrText xml:space="preserve"> ADDIN ZOTERO_ITEM CSL_CITATION {"citationID":"pYUBeEX9","properties":{"unsorted":false,"formattedCitation":"(Schneeberger et al., 2025)","plainCitation":"(Schneeberger et al., 2025)","noteIndex":0},"citationItems":[{"id":53,"uris":["http://zotero.org/users/local/FsS9uz3W/items/HEG4QXPL"],"itemData":{"id":53,"type":"article-journal","abstract":"Space heating and domestic hot water is responsible for 86 % of the residential heat consumption in Switzerland. Planning of future sustainable energy systems necessitates reliable estimations of these major demand contributors and their evolution in the future. In this contribution, we propose a procedure to estimate both the current and future annual and hourly space heating demand, relying solely on publicly available building properties. To assess the method’s accuracy, we validate and calibrate two simple white-box models using measured consumption data from the City of St. Gallen and the Canton of Basel-Landschaft. The validation results show that, for residential buildings in St. Gallen, the best-performing model achieves a mean absolute percentage error (MAPE) of 26.6 %, comparable to values reported for black-box models trained on measured data in the literature. However, performance decreases in the more heterogeneous Basel-Landschaft dataset, with a MAPE of 40.1 %. Calibration generally improves model accuracy, particularly when building characteristics are homogeneous, but has limited impact when high variability is present. Furthermore, the results confirm that simple models can produce robust aggregated heat demand estimates, even with minimal input data, while model suitability for individual building predictions remains more sensitive to dataset variability. The proposed method offers a simple, easily parameterizable approach for estimating space heating demand in cases where detailed measurement data is unavailable, making it suitable for both bottom-up regional energy system planning and building stock analyses.","container-title":"Energy and Buildings","DOI":"10.1016/j.enbuild.2025.116371","ISSN":"0378-7788","journalAbbreviation":"Energy and Buildings","page":"116371","source":"ScienceDirect","title":"Estimating the heating energy demand of residential buildings in Switzerland using only public data","volume":"347","author":[{"family":"Schneeberger","given":"Sarah"},{"family":"Meister","given":"Curtis"},{"family":"Schuetz","given":"Philipp"}],"issued":{"date-parts":[["2025",11,15]]}}}],"schema":"https://github.com/citation-style-language/schema/raw/master/csl-citation.json"} </w:instrText>
      </w:r>
      <w:r w:rsidR="00F40DF7">
        <w:fldChar w:fldCharType="separate"/>
      </w:r>
      <w:r w:rsidR="005D3C8A" w:rsidRPr="005D3C8A">
        <w:t>(Schneeberger et al., 2025)</w:t>
      </w:r>
      <w:r w:rsidR="00F40DF7">
        <w:fldChar w:fldCharType="end"/>
      </w:r>
      <w:r w:rsidR="00A87752" w:rsidRPr="00A87752">
        <w:t>. Domestic hot</w:t>
      </w:r>
      <w:r w:rsidR="00C5461C">
        <w:t xml:space="preserve"> </w:t>
      </w:r>
      <w:r w:rsidR="00A87752" w:rsidRPr="00A87752">
        <w:t>water demand is estimated using SIA reference values</w:t>
      </w:r>
      <w:r w:rsidR="007E4032">
        <w:t xml:space="preserve"> </w:t>
      </w:r>
      <w:r w:rsidR="007E4032">
        <w:fldChar w:fldCharType="begin"/>
      </w:r>
      <w:r w:rsidR="00131157">
        <w:instrText xml:space="preserve"> ADDIN ZOTERO_ITEM CSL_CITATION {"citationID":"KFLRJfrT","properties":{"unsorted":false,"formattedCitation":"(SIA, 2025)","plainCitation":"(SIA, 2025)","noteIndex":0},"citationItems":[{"id":63,"uris":["http://zotero.org/users/local/FsS9uz3W/items/NA69H5WH"],"itemData":{"id":63,"type":"report","title":"SIA 385/2, Anlagen für Trinkwarmwasser in Gebäuden - Warmwasserbedarf, Gesamtan-forderungen und Auslegung (Schweizer Ingenieur- und Architektenverein)","author":[{"family":"SIA","given":""}],"issued":{"date-parts":[["2025"]]}}}],"schema":"https://github.com/citation-style-language/schema/raw/master/csl-citation.json"} </w:instrText>
      </w:r>
      <w:r w:rsidR="007E4032">
        <w:fldChar w:fldCharType="separate"/>
      </w:r>
      <w:r w:rsidR="007E4032" w:rsidRPr="00766767">
        <w:t>(SIA, 2025)</w:t>
      </w:r>
      <w:r w:rsidR="007E4032">
        <w:fldChar w:fldCharType="end"/>
      </w:r>
      <w:r w:rsidR="00A87752" w:rsidRPr="00A87752">
        <w:t xml:space="preserve"> and the estimated number of occupants per building. Hourly space-heating profiles are generated using a heating-degree-hour approach, while a standardized load profile is applied to domestic hot-water demand. Information on the installed heating systems is obtained from the RBD and used to assign the calculated heat demand to the respective heat-supply technologies.</w:t>
      </w:r>
      <w:r w:rsidR="00EF74B2">
        <w:t xml:space="preserve"> </w:t>
      </w:r>
      <w:r w:rsidR="00637E5F" w:rsidRPr="008D1A9F">
        <w:t>Heat pumps are modeled using a dynamic coefficient of performance (COP) that varies with local ambient temperature.</w:t>
      </w:r>
      <w:r w:rsidR="00E87FD1">
        <w:t xml:space="preserve"> </w:t>
      </w:r>
      <w:r w:rsidR="00525D81">
        <w:t xml:space="preserve">If </w:t>
      </w:r>
      <w:r w:rsidR="004409C5">
        <w:t>thermal energy storage (</w:t>
      </w:r>
      <w:r w:rsidR="00525D81" w:rsidRPr="00525D81">
        <w:t>TES</w:t>
      </w:r>
      <w:r w:rsidR="004409C5">
        <w:t>)</w:t>
      </w:r>
      <w:r w:rsidR="00525D81" w:rsidRPr="00525D81">
        <w:t xml:space="preserve"> is</w:t>
      </w:r>
      <w:r w:rsidR="004409C5">
        <w:t xml:space="preserve"> deployed in the simulation, it is</w:t>
      </w:r>
      <w:r w:rsidR="00525D81" w:rsidRPr="00525D81">
        <w:t xml:space="preserve"> coupled to</w:t>
      </w:r>
      <w:r w:rsidR="004409C5">
        <w:t xml:space="preserve"> the</w:t>
      </w:r>
      <w:r w:rsidR="00525D81" w:rsidRPr="00525D81">
        <w:t xml:space="preserve"> heat pump and </w:t>
      </w:r>
      <w:r w:rsidR="006E147B">
        <w:t xml:space="preserve">charged exclusively during </w:t>
      </w:r>
      <w:r w:rsidR="00525D81" w:rsidRPr="00525D81">
        <w:t xml:space="preserve">periods with available </w:t>
      </w:r>
      <w:r w:rsidR="00400E02">
        <w:t>excess</w:t>
      </w:r>
      <w:r w:rsidR="00525D81" w:rsidRPr="00525D81">
        <w:t xml:space="preserve"> local renewable electricity</w:t>
      </w:r>
      <w:r w:rsidR="006E147B">
        <w:t>.</w:t>
      </w:r>
      <w:r w:rsidR="00525D81" w:rsidRPr="00525D81">
        <w:t xml:space="preserve"> </w:t>
      </w:r>
      <w:r w:rsidR="006E147B">
        <w:t>T</w:t>
      </w:r>
      <w:r w:rsidR="00525D81" w:rsidRPr="00525D81">
        <w:t xml:space="preserve">he </w:t>
      </w:r>
      <w:r w:rsidR="00C00AD4">
        <w:t>TES</w:t>
      </w:r>
      <w:r w:rsidR="00525D81" w:rsidRPr="00525D81">
        <w:t xml:space="preserve"> </w:t>
      </w:r>
      <w:r w:rsidR="00C00AD4">
        <w:t xml:space="preserve">is modeled as a simple thermal battery and </w:t>
      </w:r>
      <w:r w:rsidR="00525D81" w:rsidRPr="00525D81">
        <w:t xml:space="preserve">represents </w:t>
      </w:r>
      <w:r w:rsidR="001E5CF8">
        <w:t xml:space="preserve">a </w:t>
      </w:r>
      <w:r w:rsidR="00525D81" w:rsidRPr="00525D81">
        <w:t>thermal flexibility potential.</w:t>
      </w:r>
    </w:p>
    <w:p w14:paraId="55CDA5E4" w14:textId="724C2DF4" w:rsidR="00EA73A9" w:rsidRDefault="00120979" w:rsidP="00120979">
      <w:pPr>
        <w:pStyle w:val="SWCHeading11"/>
      </w:pPr>
      <w:r>
        <w:t xml:space="preserve">2.4 </w:t>
      </w:r>
      <w:r w:rsidR="00EA73A9">
        <w:t>Mobility</w:t>
      </w:r>
    </w:p>
    <w:p w14:paraId="56C9B3EC" w14:textId="139088C0" w:rsidR="00EA73A9" w:rsidRPr="00EA73A9" w:rsidRDefault="00E110B6" w:rsidP="00EA73A9">
      <w:pPr>
        <w:pStyle w:val="SWCText"/>
      </w:pPr>
      <w:r w:rsidRPr="00E110B6">
        <w:t>Municipality-specific vehicle shares by fuel type are derived from the Swiss Federal Statistical Office</w:t>
      </w:r>
      <w:r w:rsidR="00981912">
        <w:t xml:space="preserve"> </w:t>
      </w:r>
      <w:r w:rsidR="00D75D05">
        <w:fldChar w:fldCharType="begin"/>
      </w:r>
      <w:r w:rsidR="00D75D05">
        <w:instrText xml:space="preserve"> ADDIN ZOTERO_ITEM CSL_CITATION {"citationID":"fMD2J1g3","properties":{"unsorted":false,"formattedCitation":"(Federal Statistical Office, 2025b)","plainCitation":"(Federal Statistical Office, 2025b)","noteIndex":0},"citationItems":[{"id":276,"uris":["http://zotero.org/users/local/FsS9uz3W/items/S39V92NW"],"itemData":{"id":276,"type":"webpage","container-title":"Bundesamt für Statistik / Federal Statistical Office","language":"rm","title":"Bestand der Strassenfahrzeuge nach Gemeinde, ab 2010 - 2010-2024","URL":"https://www.bfs.admin.ch/asset/de/33827764","author":[{"literal":"Federal Statistical Office"}],"accessed":{"date-parts":[["2026",8,26]]},"issued":{"date-parts":[["2025",1,30]]}}}],"schema":"https://github.com/citation-style-language/schema/raw/master/csl-citation.json"} </w:instrText>
      </w:r>
      <w:r w:rsidR="00D75D05">
        <w:fldChar w:fldCharType="separate"/>
      </w:r>
      <w:r w:rsidR="00D75D05" w:rsidRPr="00D75D05">
        <w:t>(Federal Statistical Office, 2025b)</w:t>
      </w:r>
      <w:r w:rsidR="00D75D05">
        <w:fldChar w:fldCharType="end"/>
      </w:r>
      <w:r w:rsidRPr="00E110B6">
        <w:t>, while</w:t>
      </w:r>
      <w:r w:rsidR="00FA74CC">
        <w:t xml:space="preserve"> </w:t>
      </w:r>
      <w:r w:rsidR="00EA73A9" w:rsidRPr="00EA73A9">
        <w:t xml:space="preserve">EV charging profiles follow the methodology described in </w:t>
      </w:r>
      <w:r w:rsidR="00F47947">
        <w:fldChar w:fldCharType="begin"/>
      </w:r>
      <w:r w:rsidR="005D3C8A">
        <w:instrText xml:space="preserve"> ADDIN ZOTERO_ITEM CSL_CITATION {"citationID":"Ev7qCANo","properties":{"unsorted":false,"formattedCitation":"(Herrera and Hug, 2025)","plainCitation":"(Herrera and Hug, 2025)","noteIndex":0},"citationItems":[{"id":51,"uris":["http://zotero.org/users/local/FsS9uz3W/items/EDGFTKDS"],"itemData":{"id":51,"type":"paper-conference","abstract":"This paper presents a bottom-up method to model baseline charging power demand and quantify available flexibility for large-scale BEV fleets. The method utilizes geographic and sociodemographic information to represent the fleet’s mobility and driving energy needs. It models the charging decisions of drivers based on their driving energy needs and range comfort level using real-world data. The flexibility quantification provides an hourly maximum and minimum bound for the charging power and limits the amount of daily flexible charging energy. We apply the methodology to the future fully electrified fleet of Switzerland as a case study and compare the spatio-temporal characteristics of the charging demand and flexibility of different geographic areas and urbanization levels.","container-title":"2025 IEEE Kiel PowerTech","DOI":"10.1109/PowerTech59965.2025.11180551","event-title":"2025 IEEE Kiel PowerTech","page":"1-6","source":"IEEE Xplore","title":"Modeling Charging Demand and Quantifying Flexibility Bounds for Large-Scale BEV Fleets","URL":"https://ieeexplore.ieee.org/document/11180551","author":[{"family":"Herrera","given":"María Parajeles"},{"family":"Hug","given":"Gabriela"}],"accessed":{"date-parts":[["2025",11,24]]},"issued":{"date-parts":[["2025",6]]}}}],"schema":"https://github.com/citation-style-language/schema/raw/master/csl-citation.json"} </w:instrText>
      </w:r>
      <w:r w:rsidR="00F47947">
        <w:fldChar w:fldCharType="separate"/>
      </w:r>
      <w:r w:rsidR="005D3C8A" w:rsidRPr="005D3C8A">
        <w:t>(Herrera and Hug, 2025)</w:t>
      </w:r>
      <w:r w:rsidR="00F47947">
        <w:fldChar w:fldCharType="end"/>
      </w:r>
      <w:r w:rsidR="00EA73A9" w:rsidRPr="00EA73A9">
        <w:t>.</w:t>
      </w:r>
      <w:r w:rsidR="0091202D">
        <w:t xml:space="preserve"> In consultation with the authors, we used simulated values for </w:t>
      </w:r>
      <w:r w:rsidR="000379CB">
        <w:t xml:space="preserve">the overall </w:t>
      </w:r>
      <w:r w:rsidR="00037564">
        <w:t xml:space="preserve">distance travelled </w:t>
      </w:r>
      <w:r w:rsidR="0091202D">
        <w:t xml:space="preserve">on a municipal level and combined them with available vehicle stock data </w:t>
      </w:r>
      <w:r w:rsidR="000379CB">
        <w:t xml:space="preserve">to estimate </w:t>
      </w:r>
      <w:r w:rsidR="001C7ABC">
        <w:t>the carbon emissions</w:t>
      </w:r>
      <w:r w:rsidR="0091202D">
        <w:t>.</w:t>
      </w:r>
    </w:p>
    <w:p w14:paraId="13084745" w14:textId="77838A82" w:rsidR="00EA73A9" w:rsidRPr="00EA73A9" w:rsidRDefault="00EA73A9" w:rsidP="00EA73A9">
      <w:pPr>
        <w:pStyle w:val="SWCText"/>
      </w:pPr>
      <w:r w:rsidRPr="00EA73A9">
        <w:t>In the DEM, additional EV electricity demand is represented separatel</w:t>
      </w:r>
      <w:r w:rsidR="006656DF">
        <w:t>y</w:t>
      </w:r>
      <w:r w:rsidR="0083080B">
        <w:t>.</w:t>
      </w:r>
      <w:r w:rsidR="006656DF">
        <w:t xml:space="preserve"> </w:t>
      </w:r>
      <w:r w:rsidR="0083080B">
        <w:t>H</w:t>
      </w:r>
      <w:r w:rsidR="006656DF">
        <w:t>owever</w:t>
      </w:r>
      <w:r w:rsidR="000837D8">
        <w:t>,</w:t>
      </w:r>
      <w:r w:rsidR="006656DF">
        <w:t xml:space="preserve"> e</w:t>
      </w:r>
      <w:r w:rsidRPr="00EA73A9">
        <w:t xml:space="preserve">xisting EV charging in the status quo is assumed to be </w:t>
      </w:r>
      <w:r w:rsidR="007365DA">
        <w:t>included</w:t>
      </w:r>
      <w:r w:rsidR="007365DA" w:rsidRPr="00EA73A9">
        <w:t xml:space="preserve"> </w:t>
      </w:r>
      <w:r w:rsidRPr="00EA73A9">
        <w:t>in the empirical baseline electricity demand. For reporting, this contribution is estimated by scaling the electricity demand of a 100% EV reference simulation by the observed EV share in the respective status</w:t>
      </w:r>
      <w:r w:rsidR="00C8593A">
        <w:t xml:space="preserve"> </w:t>
      </w:r>
      <w:r w:rsidRPr="00EA73A9">
        <w:t xml:space="preserve">quo year. </w:t>
      </w:r>
      <w:r w:rsidR="00F25F0F">
        <w:t xml:space="preserve">The </w:t>
      </w:r>
      <w:r w:rsidRPr="00EA73A9">
        <w:t xml:space="preserve">EV expansion </w:t>
      </w:r>
      <w:r w:rsidR="00F25F0F">
        <w:t xml:space="preserve">scenario </w:t>
      </w:r>
      <w:r w:rsidRPr="00EA73A9">
        <w:t>is then applied to the remaining non-electric passenger-car fleet.</w:t>
      </w:r>
    </w:p>
    <w:p w14:paraId="0A5FCC5C" w14:textId="1390E6BB" w:rsidR="00EA73A9" w:rsidRDefault="00120979" w:rsidP="00120979">
      <w:pPr>
        <w:pStyle w:val="SWCHeading11"/>
      </w:pPr>
      <w:r>
        <w:t xml:space="preserve">2.5 </w:t>
      </w:r>
      <w:r w:rsidR="00F946D4">
        <w:t>Renewable p</w:t>
      </w:r>
      <w:r w:rsidR="00BA5E58">
        <w:t>otential</w:t>
      </w:r>
      <w:r w:rsidR="00F946D4">
        <w:t>s</w:t>
      </w:r>
    </w:p>
    <w:p w14:paraId="61B3FCED" w14:textId="67CBE111" w:rsidR="009B7C3E" w:rsidRDefault="009B7C3E" w:rsidP="007F0FF1">
      <w:pPr>
        <w:pStyle w:val="SWCText"/>
      </w:pPr>
      <w:r w:rsidRPr="009B7C3E">
        <w:t xml:space="preserve">Municipality-specific modeled potentials for rooftop PV </w:t>
      </w:r>
      <w:r w:rsidR="00AE2375">
        <w:fldChar w:fldCharType="begin"/>
      </w:r>
      <w:r w:rsidR="00766767">
        <w:instrText xml:space="preserve"> ADDIN ZOTERO_ITEM CSL_CITATION {"citationID":"oKA3XHLE","properties":{"unsorted":false,"formattedCitation":"(Frischholz, 2025; Swiss Federal Office of Energy, 2023)","plainCitation":"(Frischholz, 2025; Swiss Federal Office of Energy, 2023)","noteIndex":0},"citationItems":[{"id":89,"uris":["http://zotero.org/users/local/FsS9uz3W/items/7N9FRRM7"],"itemData":{"id":89,"type":"article-journal","abstract":"CH-POA300 is a dataset of hourly solar irradiance maps projected onto tilted surfaces (analogous to monofacial solar panels). Spatial resolution: 300 m Coverage: Switzerland Two temporal extents are available, depending on the number of surface orientations (azimuth–tilt combinations): 1. Long-term Period: 2004–2020 Orientations: Azimuth: 180° (South) Tilts: 0°, 35°, 60°, 90° 2. Typical year Period: 2016 Orientations: Azimuths: 0° (North), 90° (East), 135°, 180° (South), 225°, 270° (West) Tilts: 0°, 3°, 8°, 15°, 25°, 35°, 45°, 60°, 80°, 90° Notes Azimuth angles: 0° = North, 90° = East, 180° = South, 270° = West Tilt angles: 0° = horizontal, 90° = vertical Additional data Seasonal and annual statistics derived from the maps are included. Methodology and quality assessment are documented in CH-POA300-v#-specs.pdf.","container-title":"International Journal of Retina and Vitreous","DOI":"10.16904/envidat.632","ISSN":"2056-9920","issue":"1","language":"en","publisher":"EnviDat","source":"infoscience.epfl.ch","title":"CH-POA300 -- Hourly Plane-of-Array Solar Irradiance at High Resolution for Switzerland","URL":"https://infoscience.epfl.ch/handle/20.500.14299/260625","volume":"11","author":[{"family":"Frischholz","given":"Yael"}],"accessed":{"date-parts":[["2026",2,25]]},"issued":{"date-parts":[["2025",3,25]]}}},{"id":281,"uris":["http://zotero.org/users/local/FsS9uz3W/items/GEIJW9D7"],"itemData":{"id":281,"type":"document","title":"Dokumentation Geodatenmodell Solarenergie: Eignung Dächer (Sonnendach.ch) Solarenergie: Eignung Fassaden (Sonnenfassade.ch)","URL":"https://pubdb.bfe.admin.ch/de/sammlungen/geoinformation-05061-06801-index.html","author":[{"literal":"Swiss Federal Office of Energy"}],"issued":{"date-parts":[["2023",3,31]]}}}],"schema":"https://github.com/citation-style-language/schema/raw/master/csl-citation.json"} </w:instrText>
      </w:r>
      <w:r w:rsidR="00AE2375">
        <w:fldChar w:fldCharType="separate"/>
      </w:r>
      <w:r w:rsidR="00766767" w:rsidRPr="00766767">
        <w:t>(</w:t>
      </w:r>
      <w:proofErr w:type="spellStart"/>
      <w:r w:rsidR="00766767" w:rsidRPr="00766767">
        <w:t>Frischholz</w:t>
      </w:r>
      <w:proofErr w:type="spellEnd"/>
      <w:r w:rsidR="00766767" w:rsidRPr="00766767">
        <w:t>, 2025; Swiss Federal Office of Energy, 2023)</w:t>
      </w:r>
      <w:r w:rsidR="00AE2375">
        <w:fldChar w:fldCharType="end"/>
      </w:r>
      <w:r w:rsidRPr="009B7C3E">
        <w:t xml:space="preserve"> and wind power </w:t>
      </w:r>
      <w:r w:rsidR="00F40C01">
        <w:fldChar w:fldCharType="begin"/>
      </w:r>
      <w:r w:rsidR="005D3C8A">
        <w:instrText xml:space="preserve"> ADDIN ZOTERO_ITEM CSL_CITATION {"citationID":"73mfXaHT","properties":{"unsorted":false,"formattedCitation":"(Dujardin and Lehning, 2022)","plainCitation":"(Dujardin and Lehning, 2022)","noteIndex":0},"citationItems":[{"id":91,"uris":["http://zotero.org/users/local/FsS9uz3W/items/5V63PR7E"],"itemData":{"id":91,"type":"article-journal","abstract":"Predicting wind flow in highly complex terrain like the Alps is a challenge for all models. When physical processes need to be resolved in a spatially explicit manner, grids with high horizontal resolution of a few hundred meters are often required and drastically limit, in many cases, the extent and duration of the simulations. Many surface process models, like the simulation of heterogeneous snow cover across a season, however, need long time series on large domains as inputs. Statistical downscaling can provide the required data, but no model can reach the desired resolutions effectively and provide temporally resolved wind speed and direction on highly complex topography. The assessment of the potential for wind energy in the Alps, a promising player in the energy transition, is an example where the current shortcomings cause strong limitations. We present “Wind-Topo”, a novel approach based on deep learning that discovers some of the interactions between high-resolution topography and coarser-resolution states of the atmosphere to generate near-surface wind fields with a 50-m resolution. In our test case, we use a large number of measurement stations in Switzerland to train the model and an operational weather prediction model (COSMO-1) as predictor. Wind-Topo employs a custom architecture that analyses the state of the atmosphere on various scales and associates it with high-resolution topography. A dedicated loss function leads to good scoring metrics as well as accurate wind-speed distributions at 60 independent stations used for a thorough validation. 50-m resolution wind fields are generated efficiently and exhibit several expected orographic effects like ridge acceleration, sheltering, and deflection. Furthermore, the bias and mean absolute error from COSMO-1 at the alpine validation stations, which are 0.72 and 1.77 m·s−1 respectively, are reduced to −0.07 and 1.21 m·s−1.","container-title":"Quarterly Journal of the Royal Meteorological Society","DOI":"10.1002/qj.4265","ISSN":"1477-870X","issue":"744","language":"en","license":"© 2022 The Authors. Quarterly Journal of the Royal Meteorological Society published by John Wiley &amp; Sons Ltd on behalf of Royal Meteorological Society.","note":"_eprint: https://rmets.onlinelibrary.wiley.com/doi/pdf/10.1002/qj.4265","page":"1368-1388","source":"Wiley Online Library","title":"Wind-Topo: Downscaling near-surface wind fields to high-resolution topography in highly complex terrain with deep learning","title-short":"Wind-Topo","volume":"148","author":[{"family":"Dujardin","given":"Jérôme"},{"family":"Lehning","given":"Michael"}],"issued":{"date-parts":[["2022"]]}}}],"schema":"https://github.com/citation-style-language/schema/raw/master/csl-citation.json"} </w:instrText>
      </w:r>
      <w:r w:rsidR="00F40C01">
        <w:fldChar w:fldCharType="separate"/>
      </w:r>
      <w:r w:rsidR="005D3C8A" w:rsidRPr="005D3C8A">
        <w:t>(Dujardin and Lehning, 2022)</w:t>
      </w:r>
      <w:r w:rsidR="00F40C01">
        <w:fldChar w:fldCharType="end"/>
      </w:r>
      <w:r w:rsidRPr="009B7C3E">
        <w:t xml:space="preserve"> </w:t>
      </w:r>
      <w:r w:rsidR="00FB156B">
        <w:t xml:space="preserve">were received from the authors and </w:t>
      </w:r>
      <w:r w:rsidRPr="009B7C3E">
        <w:t>are used to define the maximum deployment levels. Existing installations are accounted for separately</w:t>
      </w:r>
      <w:r w:rsidR="00FB156B">
        <w:t xml:space="preserve"> </w:t>
      </w:r>
      <w:r w:rsidR="00FB156B">
        <w:fldChar w:fldCharType="begin"/>
      </w:r>
      <w:r w:rsidR="00766767">
        <w:instrText xml:space="preserve"> ADDIN ZOTERO_ITEM CSL_CITATION {"citationID":"yJQSr3fN","properties":{"unsorted":false,"formattedCitation":"(Swiss Federal Office of Energy, 2025b)","plainCitation":"(Swiss Federal Office of Energy, 2025b)","noteIndex":0},"citationItems":[{"id":94,"uris":["http://zotero.org/users/local/FsS9uz3W/items/XLBWFA4R"],"itemData":{"id":94,"type":"webpage","abstract":"Hier finden Sie Daten zu nahezu allen Stromproduktionsanlagen in der Schweiz. Datenbasis sind alle Elektrizitätsproduktionsanlagen, die im von der Pronovo AG betriebenen schweizerischen Herkunftsnachweissystem registriert sind.","container-title":"Elektrizitätsproduktionsanlagen in der Schweiz","title":"Elektrizitätsproduktionsanlagen in der Schweiz","URL":"https://www.uvek-gis.admin.ch/BFE/storymaps/EE_Elektrizitaetsproduktionsanlagen/","author":[{"literal":"Swiss Federal Office of Energy"}],"accessed":{"date-parts":[["2026",2,25]]},"issued":{"date-parts":[["2025"]]}}}],"schema":"https://github.com/citation-style-language/schema/raw/master/csl-citation.json"} </w:instrText>
      </w:r>
      <w:r w:rsidR="00FB156B">
        <w:fldChar w:fldCharType="separate"/>
      </w:r>
      <w:r w:rsidR="00766767" w:rsidRPr="00766767">
        <w:t>(Swiss Federal Office of Energy, 2025b)</w:t>
      </w:r>
      <w:r w:rsidR="00FB156B">
        <w:fldChar w:fldCharType="end"/>
      </w:r>
      <w:r w:rsidRPr="009B7C3E">
        <w:t>, such that scenario deployment refers to the remaining modeled potential.</w:t>
      </w:r>
    </w:p>
    <w:p w14:paraId="108A2296" w14:textId="429B9D68" w:rsidR="00A96E8D" w:rsidRDefault="00120979" w:rsidP="00120979">
      <w:pPr>
        <w:pStyle w:val="SWCHeading11"/>
      </w:pPr>
      <w:r>
        <w:t xml:space="preserve">2.6 </w:t>
      </w:r>
      <w:r w:rsidR="00A96E8D">
        <w:t>Emissions</w:t>
      </w:r>
    </w:p>
    <w:p w14:paraId="56E4286E" w14:textId="5EBBEE48" w:rsidR="00A96E8D" w:rsidRDefault="00F423B1" w:rsidP="007F0FF1">
      <w:pPr>
        <w:pStyle w:val="SWCText"/>
      </w:pPr>
      <w:r w:rsidRPr="00F423B1">
        <w:t>Operational CO</w:t>
      </w:r>
      <w:r w:rsidRPr="00F423B1">
        <w:rPr>
          <w:vertAlign w:val="subscript"/>
        </w:rPr>
        <w:t>2</w:t>
      </w:r>
      <w:r w:rsidRPr="00F423B1">
        <w:t xml:space="preserve">-equivalent emissions are calculated from the hourly energy supplied by each technology using fixed technology-specific emission factors. Local </w:t>
      </w:r>
      <w:r w:rsidR="00002486">
        <w:t xml:space="preserve">renewables like </w:t>
      </w:r>
      <w:r w:rsidRPr="00F423B1">
        <w:t>PV</w:t>
      </w:r>
      <w:r w:rsidR="00002486">
        <w:t xml:space="preserve"> and</w:t>
      </w:r>
      <w:r w:rsidRPr="00F423B1">
        <w:t xml:space="preserve"> wind</w:t>
      </w:r>
      <w:r w:rsidR="00002486">
        <w:t xml:space="preserve"> are given</w:t>
      </w:r>
      <w:r w:rsidR="000906F5">
        <w:t xml:space="preserve"> zero</w:t>
      </w:r>
      <w:r w:rsidRPr="00F423B1">
        <w:t xml:space="preserve"> operational emissions, while imported grid electricity and </w:t>
      </w:r>
      <w:r w:rsidR="000906F5">
        <w:t>fossil</w:t>
      </w:r>
      <w:r w:rsidRPr="00F423B1">
        <w:t>-based heating technologies are assigned corresponding CO</w:t>
      </w:r>
      <w:r w:rsidRPr="00F423B1">
        <w:rPr>
          <w:vertAlign w:val="subscript"/>
        </w:rPr>
        <w:t>2</w:t>
      </w:r>
      <w:r w:rsidRPr="00F423B1">
        <w:t xml:space="preserve">-equivalent intensities. The factors are assumed </w:t>
      </w:r>
      <w:r w:rsidR="000906F5" w:rsidRPr="00F423B1">
        <w:t>to be constant</w:t>
      </w:r>
      <w:r w:rsidRPr="00F423B1">
        <w:t xml:space="preserve"> over the simulation period.</w:t>
      </w:r>
      <w:r w:rsidR="000906F5">
        <w:t xml:space="preserve"> </w:t>
      </w:r>
      <w:r w:rsidR="00FE0FC4" w:rsidRPr="00EA73A9">
        <w:t xml:space="preserve">Direct mobility emissions </w:t>
      </w:r>
      <w:r w:rsidR="00FE0FC4">
        <w:t xml:space="preserve">are limited to registered passenger cars and </w:t>
      </w:r>
      <w:r w:rsidR="00FE0FC4" w:rsidRPr="00EA73A9">
        <w:t>are calculated from travelled distance, fuel shares, and fuel-specific CO</w:t>
      </w:r>
      <w:r w:rsidR="00DD11FF" w:rsidRPr="00F423B1">
        <w:rPr>
          <w:vertAlign w:val="subscript"/>
        </w:rPr>
        <w:t>2</w:t>
      </w:r>
      <w:r w:rsidR="00FE0FC4" w:rsidRPr="00EA73A9">
        <w:t>-equivalent emission factors</w:t>
      </w:r>
      <w:r w:rsidR="00FE0FC4">
        <w:t>.</w:t>
      </w:r>
      <w:r w:rsidR="00FE0FC4" w:rsidRPr="00EA73A9">
        <w:t xml:space="preserve"> </w:t>
      </w:r>
      <w:r w:rsidR="00FE0FC4">
        <w:t>Fully e</w:t>
      </w:r>
      <w:r w:rsidR="00FE0FC4" w:rsidRPr="00EA73A9">
        <w:t>lectric vehicles are excluded from direct mobility emissions because their emissions are accounted for in the electricity sector.</w:t>
      </w:r>
      <w:r w:rsidR="00FE0FC4">
        <w:t xml:space="preserve"> </w:t>
      </w:r>
      <w:r w:rsidR="00A51E6A">
        <w:t>The CO</w:t>
      </w:r>
      <w:r w:rsidR="00A51E6A" w:rsidRPr="00FE0FC4">
        <w:rPr>
          <w:vertAlign w:val="subscript"/>
        </w:rPr>
        <w:t>2</w:t>
      </w:r>
      <w:r w:rsidR="00A51E6A">
        <w:t xml:space="preserve"> emission factors </w:t>
      </w:r>
      <w:r w:rsidR="00FE0FC4">
        <w:t xml:space="preserve">for </w:t>
      </w:r>
      <w:r w:rsidR="00515345">
        <w:t>the relevant technologies and car fuels</w:t>
      </w:r>
      <w:r w:rsidR="00B6443D">
        <w:t xml:space="preserve"> </w:t>
      </w:r>
      <w:r w:rsidR="00E85A68">
        <w:fldChar w:fldCharType="begin"/>
      </w:r>
      <w:r w:rsidR="00766767">
        <w:instrText xml:space="preserve"> ADDIN ZOTERO_ITEM CSL_CITATION {"citationID":"fCtPB3BW","properties":{"unsorted":false,"formattedCitation":"(Federal Statistical Office, 2025b)","plainCitation":"(Federal Statistical Office, 2025b)","noteIndex":0},"citationItems":[{"id":276,"uris":["http://zotero.org/users/local/FsS9uz3W/items/S39V92NW"],"itemData":{"id":276,"type":"webpage","container-title":"Bundesamt für Statistik / Federal Statistical Office","language":"rm","title":"Bestand der Strassenfahrzeuge nach Gemeinde, ab 2010 - 2010-2024","URL":"https://www.bfs.admin.ch/asset/de/33827764","author":[{"literal":"Federal Statistical Office"}],"accessed":{"date-parts":[["2026",8,26]]},"issued":{"date-parts":[["2025",1,30]]}}}],"schema":"https://github.com/citation-style-language/schema/raw/master/csl-citation.json"} </w:instrText>
      </w:r>
      <w:r w:rsidR="00E85A68">
        <w:fldChar w:fldCharType="separate"/>
      </w:r>
      <w:r w:rsidR="00766767" w:rsidRPr="00766767">
        <w:t>(Federal Statistical Office, 2025b)</w:t>
      </w:r>
      <w:r w:rsidR="00E85A68">
        <w:fldChar w:fldCharType="end"/>
      </w:r>
      <w:r w:rsidR="00515345">
        <w:t xml:space="preserve"> </w:t>
      </w:r>
      <w:r w:rsidR="00A51E6A">
        <w:t>are compiled in Table 1</w:t>
      </w:r>
      <w:r w:rsidR="00305A82">
        <w:t>.</w:t>
      </w:r>
    </w:p>
    <w:p w14:paraId="191F4EEC" w14:textId="200F2D8C" w:rsidR="00BA5E58" w:rsidRPr="00120979" w:rsidRDefault="00120979" w:rsidP="00120979">
      <w:pPr>
        <w:pStyle w:val="SWCHeading11"/>
      </w:pPr>
      <w:r>
        <w:t xml:space="preserve">2.7 </w:t>
      </w:r>
      <w:r w:rsidR="007F0FF1">
        <w:t>Scenario</w:t>
      </w:r>
      <w:r w:rsidR="003D2859">
        <w:t xml:space="preserve"> analysis</w:t>
      </w:r>
    </w:p>
    <w:p w14:paraId="1A552E49" w14:textId="7B005348" w:rsidR="00A0147F" w:rsidRPr="008A16D8" w:rsidRDefault="00A0147F" w:rsidP="00A0147F">
      <w:pPr>
        <w:pStyle w:val="SWCText"/>
      </w:pPr>
      <w:r w:rsidRPr="00A0147F">
        <w:t>In this study, DEM is operated in deterministic, hourly</w:t>
      </w:r>
      <w:r w:rsidR="00F8091C">
        <w:t xml:space="preserve"> </w:t>
      </w:r>
      <w:r w:rsidRPr="00A0147F">
        <w:t xml:space="preserve">resolved simulation mode. </w:t>
      </w:r>
      <w:r w:rsidR="00505B7A" w:rsidRPr="000D602C">
        <w:t>Transformation measures can be parameterized independently, allowing different technology combinations to be evaluated. The investigated measures are:</w:t>
      </w:r>
      <w:r w:rsidRPr="00A0147F">
        <w:t xml:space="preserve"> (i) heat pump retrofit (100%)</w:t>
      </w:r>
      <w:r w:rsidR="00675577">
        <w:t>,</w:t>
      </w:r>
      <w:r w:rsidRPr="00A0147F">
        <w:t xml:space="preserve"> replac</w:t>
      </w:r>
      <w:r w:rsidR="00675577">
        <w:t>ing</w:t>
      </w:r>
      <w:r w:rsidRPr="00A0147F">
        <w:t xml:space="preserve"> all oil and gas boilers with heat pumps; (ii) </w:t>
      </w:r>
      <w:r w:rsidR="00F61D53" w:rsidRPr="00F61D53">
        <w:t>EV electrification (100%)</w:t>
      </w:r>
      <w:r w:rsidR="00675577">
        <w:t>,</w:t>
      </w:r>
      <w:r w:rsidR="00F61D53" w:rsidRPr="00F61D53">
        <w:t xml:space="preserve"> electrif</w:t>
      </w:r>
      <w:r w:rsidR="00B856D6">
        <w:t>ying</w:t>
      </w:r>
      <w:r w:rsidR="00F61D53" w:rsidRPr="00F61D53">
        <w:t xml:space="preserve"> the entire remaining non-electric passenger-car fleet.</w:t>
      </w:r>
      <w:r w:rsidR="004850EA">
        <w:t>,</w:t>
      </w:r>
      <w:r w:rsidR="0007700D" w:rsidRPr="00A0147F">
        <w:t xml:space="preserve"> </w:t>
      </w:r>
      <w:r w:rsidR="004850EA" w:rsidRPr="00A0147F">
        <w:t xml:space="preserve">(iii) </w:t>
      </w:r>
      <w:r w:rsidRPr="00A0147F">
        <w:t xml:space="preserve">PV </w:t>
      </w:r>
      <w:r w:rsidR="004850EA" w:rsidRPr="00A0147F">
        <w:t xml:space="preserve">rooftop </w:t>
      </w:r>
      <w:r w:rsidR="00056D53">
        <w:t xml:space="preserve">deployment </w:t>
      </w:r>
      <w:r w:rsidRPr="00A0147F">
        <w:t>(100%)</w:t>
      </w:r>
      <w:r w:rsidR="00B856D6">
        <w:t>,</w:t>
      </w:r>
      <w:r w:rsidRPr="00A0147F">
        <w:t xml:space="preserve"> exploit</w:t>
      </w:r>
      <w:r w:rsidR="009306E5">
        <w:t>ing</w:t>
      </w:r>
      <w:r w:rsidRPr="00A0147F">
        <w:t xml:space="preserve"> all remaining suitable rooftop potential; </w:t>
      </w:r>
      <w:r w:rsidR="004850EA" w:rsidRPr="00A0147F">
        <w:t xml:space="preserve">(iv) </w:t>
      </w:r>
      <w:r w:rsidRPr="00A0147F">
        <w:t xml:space="preserve">wind </w:t>
      </w:r>
      <w:r w:rsidR="00056D53">
        <w:t>power deployment</w:t>
      </w:r>
      <w:r w:rsidRPr="00A0147F">
        <w:t>(100%)</w:t>
      </w:r>
      <w:r w:rsidR="0055733B">
        <w:t>, utilizing</w:t>
      </w:r>
      <w:r w:rsidRPr="00A0147F">
        <w:t xml:space="preserve"> the remaining technically available wind potential</w:t>
      </w:r>
      <w:r w:rsidR="004850EA" w:rsidRPr="00A0147F">
        <w:t>; and (v)</w:t>
      </w:r>
      <w:r w:rsidRPr="00A0147F">
        <w:t xml:space="preserve"> thermal energy storage </w:t>
      </w:r>
      <w:r w:rsidR="00FC1DE4">
        <w:t>(</w:t>
      </w:r>
      <w:r w:rsidR="00FC1DE4" w:rsidRPr="00FC1DE4">
        <w:t>TES</w:t>
      </w:r>
      <w:r w:rsidR="00FC1DE4">
        <w:t>)</w:t>
      </w:r>
      <w:r w:rsidR="0055733B">
        <w:t>,</w:t>
      </w:r>
      <w:r w:rsidR="00FC1DE4" w:rsidRPr="00FC1DE4">
        <w:t xml:space="preserve"> install</w:t>
      </w:r>
      <w:r w:rsidR="0055733B">
        <w:t>ing</w:t>
      </w:r>
      <w:r w:rsidR="00FC1DE4" w:rsidRPr="00FC1DE4">
        <w:t xml:space="preserve"> a maximum storage capacity equivalent to 20% of annual municipal heat demand, representing an upper-bound thermal flexibility scenario</w:t>
      </w:r>
      <w:r w:rsidRPr="00A0147F">
        <w:t xml:space="preserve">. </w:t>
      </w:r>
      <w:r w:rsidR="00C734E5" w:rsidRPr="008A16D8">
        <w:t xml:space="preserve">The TES is </w:t>
      </w:r>
      <w:r w:rsidR="00093583">
        <w:t xml:space="preserve">solely </w:t>
      </w:r>
      <w:r w:rsidR="00C734E5" w:rsidRPr="008A16D8">
        <w:t>charged using heat pumps whenever excess renewable electricity is available.</w:t>
      </w:r>
      <w:r w:rsidR="00D75CE4">
        <w:t xml:space="preserve"> </w:t>
      </w:r>
      <w:r w:rsidRPr="00A0147F">
        <w:t xml:space="preserve">Although DEM includes an optimization module, it is not applied here; the focus is on </w:t>
      </w:r>
      <w:r w:rsidRPr="00A0147F">
        <w:lastRenderedPageBreak/>
        <w:t>pathway-based scenario evaluation.</w:t>
      </w:r>
    </w:p>
    <w:p w14:paraId="7DA5BA81" w14:textId="2FDD72A4" w:rsidR="001156FF" w:rsidRPr="001156FF" w:rsidRDefault="00DC7BE4" w:rsidP="00A0147F">
      <w:pPr>
        <w:pStyle w:val="SWCText"/>
      </w:pPr>
      <w:r w:rsidRPr="00DC7BE4">
        <w:t>The measures are evaluated in different combinations depending on the analysis.</w:t>
      </w:r>
      <w:r>
        <w:t xml:space="preserve"> </w:t>
      </w:r>
      <w:r w:rsidR="001156FF" w:rsidRPr="001156FF">
        <w:t xml:space="preserve">For the renewable deployment analysis, rooftop PV and wind deployment </w:t>
      </w:r>
      <w:proofErr w:type="gramStart"/>
      <w:r w:rsidR="001156FF" w:rsidRPr="001156FF">
        <w:t>are varied</w:t>
      </w:r>
      <w:proofErr w:type="gramEnd"/>
      <w:r w:rsidR="001156FF" w:rsidRPr="001156FF">
        <w:t xml:space="preserve"> between 0 and 100% of the remaining modeled potential under </w:t>
      </w:r>
      <w:r w:rsidR="001156FF">
        <w:t xml:space="preserve">the </w:t>
      </w:r>
      <w:r w:rsidR="001156FF" w:rsidRPr="001156FF">
        <w:t xml:space="preserve">four electricity-demand configurations: status quo, full heat-pump deployment, full passenger-car electrification, and combined heat-pump and passenger-car electrification. </w:t>
      </w:r>
      <w:r w:rsidR="001A7F4E" w:rsidRPr="001A7F4E">
        <w:t xml:space="preserve">For the cumulative pathway analysis, </w:t>
      </w:r>
      <w:r w:rsidR="001A7F4E">
        <w:t xml:space="preserve">the </w:t>
      </w:r>
      <w:r w:rsidR="000D602C">
        <w:t xml:space="preserve">above-mentioned </w:t>
      </w:r>
      <w:r w:rsidR="001A7F4E" w:rsidRPr="001A7F4E">
        <w:t>measures are added sequentially</w:t>
      </w:r>
      <w:r w:rsidR="000D602C">
        <w:t xml:space="preserve"> in that order</w:t>
      </w:r>
      <w:r w:rsidR="001A7F4E" w:rsidRPr="001A7F4E">
        <w:t>, with each step retaining the measures implemented previously</w:t>
      </w:r>
      <w:r w:rsidR="000D602C">
        <w:t xml:space="preserve">. </w:t>
      </w:r>
      <w:r w:rsidR="001156FF" w:rsidRPr="001156FF">
        <w:t xml:space="preserve">Finally, an illustrative cumulative pathway is constructed by sequentially applying heat-pump electrification, passenger-car electrification, rooftop PV, wind power, and </w:t>
      </w:r>
      <w:r w:rsidR="00633A38">
        <w:t xml:space="preserve">finally </w:t>
      </w:r>
      <w:r w:rsidR="001156FF" w:rsidRPr="001156FF">
        <w:t>TES.</w:t>
      </w:r>
    </w:p>
    <w:p w14:paraId="2A40FABF" w14:textId="194E2753" w:rsidR="003D2859" w:rsidRPr="00120979" w:rsidRDefault="00120979" w:rsidP="00120979">
      <w:pPr>
        <w:pStyle w:val="SWCHeading11"/>
      </w:pPr>
      <w:r>
        <w:t xml:space="preserve">2.8 </w:t>
      </w:r>
      <w:r w:rsidR="003D2859">
        <w:t>Case study municipalities</w:t>
      </w:r>
    </w:p>
    <w:p w14:paraId="476A828A" w14:textId="7952DF87" w:rsidR="00A0147F" w:rsidRDefault="0079770C" w:rsidP="00A0147F">
      <w:pPr>
        <w:pStyle w:val="SWCText"/>
      </w:pPr>
      <w:r w:rsidRPr="0079770C">
        <w:t>Three municipalities were selected to cover contrasting geographical and settlement contexts</w:t>
      </w:r>
      <w:r w:rsidR="008E7917">
        <w:t xml:space="preserve"> as well as different </w:t>
      </w:r>
      <w:r w:rsidR="00A768FC">
        <w:t>local energy systems and re</w:t>
      </w:r>
      <w:r w:rsidR="00DB741F">
        <w:t>newable resource conditions</w:t>
      </w:r>
      <w:r w:rsidRPr="0079770C">
        <w:t xml:space="preserve"> in Switzerland: </w:t>
      </w:r>
      <w:proofErr w:type="spellStart"/>
      <w:r w:rsidRPr="0079770C">
        <w:t>Sirnach</w:t>
      </w:r>
      <w:proofErr w:type="spellEnd"/>
      <w:r w:rsidR="000830AD">
        <w:t xml:space="preserve"> (TG)</w:t>
      </w:r>
      <w:r w:rsidRPr="0079770C">
        <w:t xml:space="preserve"> as a municipality on the Swiss </w:t>
      </w:r>
      <w:r w:rsidR="00587F70">
        <w:t>p</w:t>
      </w:r>
      <w:r w:rsidRPr="0079770C">
        <w:t xml:space="preserve">lateau, </w:t>
      </w:r>
      <w:r w:rsidR="00DB741F">
        <w:t>Basel</w:t>
      </w:r>
      <w:r w:rsidR="000830AD">
        <w:t xml:space="preserve"> (BS)</w:t>
      </w:r>
      <w:r w:rsidR="00DB741F">
        <w:t xml:space="preserve"> as a city, </w:t>
      </w:r>
      <w:r w:rsidRPr="0079770C">
        <w:t xml:space="preserve">and </w:t>
      </w:r>
      <w:proofErr w:type="spellStart"/>
      <w:r w:rsidRPr="0079770C">
        <w:t>Lauterbrunnen</w:t>
      </w:r>
      <w:proofErr w:type="spellEnd"/>
      <w:r w:rsidR="000830AD">
        <w:t xml:space="preserve"> (BE)</w:t>
      </w:r>
      <w:r w:rsidRPr="0079770C">
        <w:t xml:space="preserve"> as an </w:t>
      </w:r>
      <w:r w:rsidR="009B6891">
        <w:t>a</w:t>
      </w:r>
      <w:r w:rsidRPr="0079770C">
        <w:t>lpine case. Their populations at the end of 2024 are approximately 177</w:t>
      </w:r>
      <w:r w:rsidR="008A16D8">
        <w:t>’</w:t>
      </w:r>
      <w:r w:rsidRPr="0079770C">
        <w:t>571, 8</w:t>
      </w:r>
      <w:r w:rsidR="008A16D8">
        <w:t>’</w:t>
      </w:r>
      <w:r w:rsidRPr="0079770C">
        <w:t>200, and 2</w:t>
      </w:r>
      <w:r w:rsidR="008A16D8">
        <w:t>’</w:t>
      </w:r>
      <w:r w:rsidRPr="0079770C">
        <w:t>331, respectively. The selection is illustrative rather than statistically representative and is intended to demonstrate how the same modeling framework responds to different local energy-system conditions.</w:t>
      </w:r>
    </w:p>
    <w:p w14:paraId="779C610F" w14:textId="3466D51C" w:rsidR="003C35CE" w:rsidRPr="003C35CE" w:rsidRDefault="003C35CE" w:rsidP="003C35CE">
      <w:pPr>
        <w:pStyle w:val="SWCTableFigureCaption"/>
      </w:pPr>
      <w:r>
        <w:t xml:space="preserve">Tab. </w:t>
      </w:r>
      <w:r w:rsidRPr="006309AA">
        <w:t>1</w:t>
      </w:r>
      <w:r>
        <w:t>:</w:t>
      </w:r>
      <w:r w:rsidRPr="006309AA">
        <w:t xml:space="preserve"> </w:t>
      </w:r>
      <w:r w:rsidR="001B1B6E" w:rsidRPr="001B1B6E">
        <w:t>CO</w:t>
      </w:r>
      <w:r w:rsidR="001B1B6E" w:rsidRPr="001B1B6E">
        <w:rPr>
          <w:vertAlign w:val="subscript"/>
        </w:rPr>
        <w:t>2</w:t>
      </w:r>
      <w:r w:rsidR="001B1B6E" w:rsidRPr="001B1B6E">
        <w:t xml:space="preserve"> intensities of heating technologies and grid supply in the DEM, as well as fuel types of passenger cars, used to estimate total municipal emissions.</w:t>
      </w:r>
    </w:p>
    <w:tbl>
      <w:tblPr>
        <w:tblStyle w:val="EinfacheTabelle2"/>
        <w:tblW w:w="5448" w:type="dxa"/>
        <w:jc w:val="center"/>
        <w:tblLook w:val="04A0" w:firstRow="1" w:lastRow="0" w:firstColumn="1" w:lastColumn="0" w:noHBand="0" w:noVBand="1"/>
      </w:tblPr>
      <w:tblGrid>
        <w:gridCol w:w="1116"/>
        <w:gridCol w:w="2743"/>
        <w:gridCol w:w="1589"/>
      </w:tblGrid>
      <w:tr w:rsidR="00EE7A5A" w:rsidRPr="00FD353B" w14:paraId="3E3ABD1E" w14:textId="77777777" w:rsidTr="00C415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shd w:val="clear" w:color="auto" w:fill="D9D9D9" w:themeFill="background1" w:themeFillShade="D9"/>
          </w:tcPr>
          <w:p w14:paraId="3DC39D58" w14:textId="4E12B154" w:rsidR="00EE7A5A" w:rsidRPr="00840D8A" w:rsidRDefault="00680EAA" w:rsidP="00C41578">
            <w:pPr>
              <w:pStyle w:val="SWCText"/>
              <w:spacing w:after="0"/>
              <w:jc w:val="left"/>
              <w:rPr>
                <w:b w:val="0"/>
                <w:bCs w:val="0"/>
                <w:sz w:val="18"/>
                <w:szCs w:val="18"/>
              </w:rPr>
            </w:pPr>
            <w:r w:rsidRPr="00840D8A">
              <w:rPr>
                <w:sz w:val="18"/>
                <w:szCs w:val="18"/>
              </w:rPr>
              <w:t>Sector</w:t>
            </w:r>
          </w:p>
        </w:tc>
        <w:tc>
          <w:tcPr>
            <w:tcW w:w="2743" w:type="dxa"/>
            <w:tcBorders>
              <w:top w:val="single" w:sz="4" w:space="0" w:color="7F7F7F" w:themeColor="text1" w:themeTint="80"/>
              <w:bottom w:val="single" w:sz="4" w:space="0" w:color="auto"/>
            </w:tcBorders>
            <w:shd w:val="clear" w:color="auto" w:fill="D9D9D9" w:themeFill="background1" w:themeFillShade="D9"/>
          </w:tcPr>
          <w:p w14:paraId="48BCF6A7" w14:textId="2F8FE151" w:rsidR="00EE7A5A" w:rsidRPr="00840D8A" w:rsidRDefault="00EE7A5A" w:rsidP="00082EBF">
            <w:pPr>
              <w:pStyle w:val="SWCText"/>
              <w:spacing w:after="0"/>
              <w:cnfStyle w:val="100000000000" w:firstRow="1" w:lastRow="0" w:firstColumn="0" w:lastColumn="0" w:oddVBand="0" w:evenVBand="0" w:oddHBand="0" w:evenHBand="0" w:firstRowFirstColumn="0" w:firstRowLastColumn="0" w:lastRowFirstColumn="0" w:lastRowLastColumn="0"/>
              <w:rPr>
                <w:sz w:val="18"/>
                <w:szCs w:val="18"/>
              </w:rPr>
            </w:pPr>
            <w:r w:rsidRPr="00840D8A">
              <w:rPr>
                <w:sz w:val="18"/>
                <w:szCs w:val="18"/>
              </w:rPr>
              <w:t>Technology</w:t>
            </w:r>
          </w:p>
        </w:tc>
        <w:tc>
          <w:tcPr>
            <w:tcW w:w="1589" w:type="dxa"/>
            <w:tcBorders>
              <w:top w:val="single" w:sz="4" w:space="0" w:color="7F7F7F" w:themeColor="text1" w:themeTint="80"/>
              <w:bottom w:val="single" w:sz="4" w:space="0" w:color="auto"/>
            </w:tcBorders>
            <w:shd w:val="clear" w:color="auto" w:fill="D9D9D9" w:themeFill="background1" w:themeFillShade="D9"/>
          </w:tcPr>
          <w:p w14:paraId="51280381" w14:textId="77777777" w:rsidR="007231B0" w:rsidRPr="00840D8A" w:rsidRDefault="00EE7A5A" w:rsidP="00082EBF">
            <w:pPr>
              <w:pStyle w:val="SWCText"/>
              <w:spacing w:after="0"/>
              <w:cnfStyle w:val="100000000000" w:firstRow="1" w:lastRow="0" w:firstColumn="0" w:lastColumn="0" w:oddVBand="0" w:evenVBand="0" w:oddHBand="0" w:evenHBand="0" w:firstRowFirstColumn="0" w:firstRowLastColumn="0" w:lastRowFirstColumn="0" w:lastRowLastColumn="0"/>
              <w:rPr>
                <w:b w:val="0"/>
                <w:bCs w:val="0"/>
                <w:sz w:val="18"/>
                <w:szCs w:val="18"/>
              </w:rPr>
            </w:pPr>
            <w:r w:rsidRPr="00840D8A">
              <w:rPr>
                <w:sz w:val="18"/>
                <w:szCs w:val="18"/>
              </w:rPr>
              <w:t>CO</w:t>
            </w:r>
            <w:r w:rsidRPr="00840D8A">
              <w:rPr>
                <w:sz w:val="18"/>
                <w:szCs w:val="18"/>
                <w:vertAlign w:val="subscript"/>
              </w:rPr>
              <w:t>2</w:t>
            </w:r>
            <w:r w:rsidRPr="00840D8A">
              <w:rPr>
                <w:sz w:val="18"/>
                <w:szCs w:val="18"/>
              </w:rPr>
              <w:t xml:space="preserve"> Intensity</w:t>
            </w:r>
          </w:p>
          <w:p w14:paraId="144F3897" w14:textId="7A16A0E9" w:rsidR="00EE7A5A" w:rsidRPr="00840D8A" w:rsidRDefault="00EE7A5A" w:rsidP="00082EBF">
            <w:pPr>
              <w:pStyle w:val="SWCText"/>
              <w:spacing w:after="0"/>
              <w:cnfStyle w:val="100000000000" w:firstRow="1" w:lastRow="0" w:firstColumn="0" w:lastColumn="0" w:oddVBand="0" w:evenVBand="0" w:oddHBand="0" w:evenHBand="0" w:firstRowFirstColumn="0" w:firstRowLastColumn="0" w:lastRowFirstColumn="0" w:lastRowLastColumn="0"/>
              <w:rPr>
                <w:sz w:val="18"/>
                <w:szCs w:val="18"/>
              </w:rPr>
            </w:pPr>
            <w:r w:rsidRPr="00840D8A">
              <w:rPr>
                <w:sz w:val="18"/>
                <w:szCs w:val="18"/>
              </w:rPr>
              <w:t>[kg CO</w:t>
            </w:r>
            <w:r w:rsidRPr="00840D8A">
              <w:rPr>
                <w:sz w:val="18"/>
                <w:szCs w:val="18"/>
                <w:vertAlign w:val="subscript"/>
              </w:rPr>
              <w:t>2</w:t>
            </w:r>
            <w:r w:rsidRPr="00840D8A">
              <w:rPr>
                <w:sz w:val="18"/>
                <w:szCs w:val="18"/>
              </w:rPr>
              <w:t>/kWh]</w:t>
            </w:r>
          </w:p>
        </w:tc>
      </w:tr>
      <w:tr w:rsidR="0087054F" w:rsidRPr="00840D8A" w14:paraId="4CCA2EC1"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val="restart"/>
            <w:shd w:val="clear" w:color="auto" w:fill="F2F2F2" w:themeFill="background1" w:themeFillShade="F2"/>
            <w:vAlign w:val="center"/>
          </w:tcPr>
          <w:p w14:paraId="190BFFC9" w14:textId="044CB366" w:rsidR="0087054F" w:rsidRPr="00840D8A" w:rsidRDefault="0087054F" w:rsidP="00FF1D5A">
            <w:pPr>
              <w:pStyle w:val="SWCText"/>
              <w:spacing w:after="0"/>
              <w:jc w:val="center"/>
              <w:rPr>
                <w:b w:val="0"/>
                <w:bCs w:val="0"/>
                <w:sz w:val="18"/>
                <w:szCs w:val="18"/>
              </w:rPr>
            </w:pPr>
            <w:r w:rsidRPr="00840D8A">
              <w:rPr>
                <w:b w:val="0"/>
                <w:bCs w:val="0"/>
                <w:sz w:val="18"/>
                <w:szCs w:val="18"/>
              </w:rPr>
              <w:t>heat</w:t>
            </w:r>
          </w:p>
        </w:tc>
        <w:tc>
          <w:tcPr>
            <w:tcW w:w="2743" w:type="dxa"/>
            <w:tcBorders>
              <w:top w:val="single" w:sz="4" w:space="0" w:color="auto"/>
              <w:bottom w:val="nil"/>
            </w:tcBorders>
          </w:tcPr>
          <w:p w14:paraId="6E75ED94" w14:textId="318010A9" w:rsidR="0087054F" w:rsidRPr="00840D8A" w:rsidRDefault="0087054F" w:rsidP="004F5694">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oil boiler</w:t>
            </w:r>
          </w:p>
        </w:tc>
        <w:tc>
          <w:tcPr>
            <w:tcW w:w="1589" w:type="dxa"/>
            <w:tcBorders>
              <w:top w:val="single" w:sz="4" w:space="0" w:color="auto"/>
              <w:bottom w:val="nil"/>
            </w:tcBorders>
          </w:tcPr>
          <w:p w14:paraId="3D28441F" w14:textId="558F456C" w:rsidR="0087054F" w:rsidRPr="00840D8A" w:rsidRDefault="0087054F" w:rsidP="004F5694">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0.301</w:t>
            </w:r>
          </w:p>
        </w:tc>
      </w:tr>
      <w:tr w:rsidR="0087054F" w:rsidRPr="00840D8A" w14:paraId="65305F58" w14:textId="77777777" w:rsidTr="000F37FA">
        <w:trPr>
          <w:trHeight w:val="31"/>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vAlign w:val="center"/>
          </w:tcPr>
          <w:p w14:paraId="2CE0AB1A" w14:textId="18E01A48" w:rsidR="0087054F" w:rsidRPr="00840D8A" w:rsidRDefault="0087054F" w:rsidP="00FF1D5A">
            <w:pPr>
              <w:pStyle w:val="SWCText"/>
              <w:spacing w:after="0"/>
              <w:jc w:val="center"/>
              <w:rPr>
                <w:b w:val="0"/>
                <w:bCs w:val="0"/>
                <w:sz w:val="18"/>
                <w:szCs w:val="18"/>
              </w:rPr>
            </w:pPr>
          </w:p>
        </w:tc>
        <w:tc>
          <w:tcPr>
            <w:tcW w:w="2743" w:type="dxa"/>
            <w:tcBorders>
              <w:top w:val="nil"/>
              <w:bottom w:val="nil"/>
            </w:tcBorders>
          </w:tcPr>
          <w:p w14:paraId="0370859F" w14:textId="29D6B4BE" w:rsidR="0087054F" w:rsidRPr="00840D8A" w:rsidRDefault="0087054F" w:rsidP="004F5694">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gas boiler</w:t>
            </w:r>
          </w:p>
        </w:tc>
        <w:tc>
          <w:tcPr>
            <w:tcW w:w="1589" w:type="dxa"/>
            <w:tcBorders>
              <w:top w:val="nil"/>
              <w:bottom w:val="nil"/>
            </w:tcBorders>
          </w:tcPr>
          <w:p w14:paraId="0EC2E0A2" w14:textId="3ED7E2C4" w:rsidR="0087054F" w:rsidRPr="00840D8A" w:rsidRDefault="0087054F" w:rsidP="004F5694">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0.228</w:t>
            </w:r>
          </w:p>
        </w:tc>
      </w:tr>
      <w:tr w:rsidR="0087054F" w:rsidRPr="00840D8A" w14:paraId="56E59CD3"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extDirection w:val="btLr"/>
            <w:vAlign w:val="center"/>
          </w:tcPr>
          <w:p w14:paraId="1ED86F32" w14:textId="2DF13109" w:rsidR="0087054F" w:rsidRPr="00840D8A" w:rsidRDefault="0087054F" w:rsidP="00FF1D5A">
            <w:pPr>
              <w:pStyle w:val="SWCText"/>
              <w:spacing w:after="0"/>
              <w:jc w:val="center"/>
              <w:rPr>
                <w:b w:val="0"/>
                <w:bCs w:val="0"/>
                <w:sz w:val="18"/>
                <w:szCs w:val="18"/>
              </w:rPr>
            </w:pPr>
          </w:p>
        </w:tc>
        <w:tc>
          <w:tcPr>
            <w:tcW w:w="2743" w:type="dxa"/>
            <w:tcBorders>
              <w:top w:val="nil"/>
              <w:bottom w:val="nil"/>
            </w:tcBorders>
          </w:tcPr>
          <w:p w14:paraId="0BC6B187" w14:textId="53C74615"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wood boiler</w:t>
            </w:r>
          </w:p>
        </w:tc>
        <w:tc>
          <w:tcPr>
            <w:tcW w:w="1589" w:type="dxa"/>
            <w:tcBorders>
              <w:top w:val="nil"/>
              <w:bottom w:val="nil"/>
            </w:tcBorders>
          </w:tcPr>
          <w:p w14:paraId="60953380" w14:textId="554B9AD0"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0.027</w:t>
            </w:r>
          </w:p>
        </w:tc>
      </w:tr>
      <w:tr w:rsidR="0087054F" w:rsidRPr="00840D8A" w14:paraId="6B0264CC"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vAlign w:val="center"/>
          </w:tcPr>
          <w:p w14:paraId="26844F28" w14:textId="77777777" w:rsidR="0087054F" w:rsidRPr="00840D8A" w:rsidRDefault="0087054F" w:rsidP="00FF1D5A">
            <w:pPr>
              <w:pStyle w:val="SWCText"/>
              <w:spacing w:after="0"/>
              <w:jc w:val="center"/>
              <w:rPr>
                <w:b w:val="0"/>
                <w:bCs w:val="0"/>
                <w:sz w:val="18"/>
                <w:szCs w:val="18"/>
              </w:rPr>
            </w:pPr>
          </w:p>
        </w:tc>
        <w:tc>
          <w:tcPr>
            <w:tcW w:w="2743" w:type="dxa"/>
            <w:tcBorders>
              <w:top w:val="nil"/>
              <w:bottom w:val="single" w:sz="4" w:space="0" w:color="auto"/>
            </w:tcBorders>
          </w:tcPr>
          <w:p w14:paraId="41BE3700" w14:textId="2BB0539C"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district heating</w:t>
            </w:r>
          </w:p>
        </w:tc>
        <w:tc>
          <w:tcPr>
            <w:tcW w:w="1589" w:type="dxa"/>
            <w:tcBorders>
              <w:top w:val="nil"/>
              <w:bottom w:val="single" w:sz="4" w:space="0" w:color="auto"/>
            </w:tcBorders>
          </w:tcPr>
          <w:p w14:paraId="3950C781" w14:textId="4FA60710"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0.108</w:t>
            </w:r>
          </w:p>
        </w:tc>
      </w:tr>
      <w:tr w:rsidR="0087054F" w:rsidRPr="00840D8A" w14:paraId="0381B36B"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shd w:val="clear" w:color="auto" w:fill="F2F2F2" w:themeFill="background1" w:themeFillShade="F2"/>
            <w:vAlign w:val="center"/>
          </w:tcPr>
          <w:p w14:paraId="3795823E" w14:textId="2F321A52" w:rsidR="0087054F" w:rsidRPr="00840D8A" w:rsidRDefault="0087054F" w:rsidP="00FF1D5A">
            <w:pPr>
              <w:pStyle w:val="SWCText"/>
              <w:spacing w:after="0"/>
              <w:jc w:val="center"/>
              <w:rPr>
                <w:b w:val="0"/>
                <w:bCs w:val="0"/>
                <w:sz w:val="18"/>
                <w:szCs w:val="18"/>
              </w:rPr>
            </w:pPr>
            <w:r w:rsidRPr="00840D8A">
              <w:rPr>
                <w:b w:val="0"/>
                <w:bCs w:val="0"/>
                <w:sz w:val="18"/>
                <w:szCs w:val="18"/>
              </w:rPr>
              <w:t>electricity</w:t>
            </w:r>
          </w:p>
        </w:tc>
        <w:tc>
          <w:tcPr>
            <w:tcW w:w="2743" w:type="dxa"/>
            <w:tcBorders>
              <w:top w:val="single" w:sz="4" w:space="0" w:color="auto"/>
              <w:bottom w:val="single" w:sz="4" w:space="0" w:color="auto"/>
            </w:tcBorders>
          </w:tcPr>
          <w:p w14:paraId="55E1C425" w14:textId="5DE1B97B"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grid supply</w:t>
            </w:r>
          </w:p>
        </w:tc>
        <w:tc>
          <w:tcPr>
            <w:tcW w:w="1589" w:type="dxa"/>
            <w:tcBorders>
              <w:top w:val="single" w:sz="4" w:space="0" w:color="auto"/>
              <w:bottom w:val="single" w:sz="4" w:space="0" w:color="auto"/>
            </w:tcBorders>
          </w:tcPr>
          <w:p w14:paraId="512E97C8" w14:textId="240F4E2C"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0.128</w:t>
            </w:r>
          </w:p>
        </w:tc>
      </w:tr>
      <w:tr w:rsidR="0087054F" w:rsidRPr="00FD353B" w14:paraId="4FF0F84A" w14:textId="77777777" w:rsidTr="003F47E6">
        <w:trPr>
          <w:jc w:val="center"/>
        </w:trPr>
        <w:tc>
          <w:tcPr>
            <w:cnfStyle w:val="001000000000" w:firstRow="0" w:lastRow="0" w:firstColumn="1" w:lastColumn="0" w:oddVBand="0" w:evenVBand="0" w:oddHBand="0" w:evenHBand="0" w:firstRowFirstColumn="0" w:firstRowLastColumn="0" w:lastRowFirstColumn="0" w:lastRowLastColumn="0"/>
            <w:tcW w:w="1116" w:type="dxa"/>
            <w:shd w:val="clear" w:color="auto" w:fill="D9D9D9" w:themeFill="background1" w:themeFillShade="D9"/>
          </w:tcPr>
          <w:p w14:paraId="4C620777" w14:textId="77777777" w:rsidR="0087054F" w:rsidRPr="00840D8A" w:rsidRDefault="0087054F" w:rsidP="0087054F">
            <w:pPr>
              <w:pStyle w:val="SWCText"/>
              <w:spacing w:after="0"/>
              <w:rPr>
                <w:sz w:val="18"/>
                <w:szCs w:val="18"/>
              </w:rPr>
            </w:pPr>
          </w:p>
        </w:tc>
        <w:tc>
          <w:tcPr>
            <w:tcW w:w="2743" w:type="dxa"/>
            <w:tcBorders>
              <w:top w:val="single" w:sz="4" w:space="0" w:color="auto"/>
              <w:bottom w:val="single" w:sz="4" w:space="0" w:color="auto"/>
            </w:tcBorders>
            <w:shd w:val="clear" w:color="auto" w:fill="D9D9D9" w:themeFill="background1" w:themeFillShade="D9"/>
          </w:tcPr>
          <w:p w14:paraId="67C54169" w14:textId="64565C55"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b/>
                <w:bCs/>
                <w:sz w:val="18"/>
                <w:szCs w:val="18"/>
              </w:rPr>
            </w:pPr>
            <w:r w:rsidRPr="00840D8A">
              <w:rPr>
                <w:b/>
                <w:bCs/>
                <w:sz w:val="18"/>
                <w:szCs w:val="18"/>
              </w:rPr>
              <w:t>Fuel type</w:t>
            </w:r>
          </w:p>
        </w:tc>
        <w:tc>
          <w:tcPr>
            <w:tcW w:w="1589" w:type="dxa"/>
            <w:tcBorders>
              <w:top w:val="single" w:sz="4" w:space="0" w:color="auto"/>
              <w:bottom w:val="single" w:sz="4" w:space="0" w:color="auto"/>
            </w:tcBorders>
            <w:shd w:val="clear" w:color="auto" w:fill="D9D9D9" w:themeFill="background1" w:themeFillShade="D9"/>
          </w:tcPr>
          <w:p w14:paraId="0F068496" w14:textId="77777777" w:rsidR="007231B0"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b/>
                <w:bCs/>
                <w:sz w:val="18"/>
                <w:szCs w:val="18"/>
              </w:rPr>
            </w:pPr>
            <w:r w:rsidRPr="00840D8A">
              <w:rPr>
                <w:b/>
                <w:bCs/>
                <w:sz w:val="18"/>
                <w:szCs w:val="18"/>
              </w:rPr>
              <w:t>CO</w:t>
            </w:r>
            <w:r w:rsidRPr="00840D8A">
              <w:rPr>
                <w:b/>
                <w:bCs/>
                <w:sz w:val="18"/>
                <w:szCs w:val="18"/>
                <w:vertAlign w:val="subscript"/>
              </w:rPr>
              <w:t>2</w:t>
            </w:r>
            <w:r w:rsidRPr="00840D8A">
              <w:rPr>
                <w:b/>
                <w:bCs/>
                <w:sz w:val="18"/>
                <w:szCs w:val="18"/>
              </w:rPr>
              <w:t xml:space="preserve"> Intensity</w:t>
            </w:r>
          </w:p>
          <w:p w14:paraId="156B498A" w14:textId="6C2CD579"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b/>
                <w:bCs/>
                <w:sz w:val="18"/>
                <w:szCs w:val="18"/>
              </w:rPr>
            </w:pPr>
            <w:r w:rsidRPr="00840D8A">
              <w:rPr>
                <w:b/>
                <w:bCs/>
                <w:sz w:val="18"/>
                <w:szCs w:val="18"/>
              </w:rPr>
              <w:t>[kg CO</w:t>
            </w:r>
            <w:r w:rsidRPr="00840D8A">
              <w:rPr>
                <w:b/>
                <w:bCs/>
                <w:sz w:val="18"/>
                <w:szCs w:val="18"/>
                <w:vertAlign w:val="subscript"/>
              </w:rPr>
              <w:t>2</w:t>
            </w:r>
            <w:r w:rsidRPr="00840D8A">
              <w:rPr>
                <w:b/>
                <w:bCs/>
                <w:sz w:val="18"/>
                <w:szCs w:val="18"/>
              </w:rPr>
              <w:t>/km]</w:t>
            </w:r>
          </w:p>
        </w:tc>
      </w:tr>
      <w:tr w:rsidR="0087054F" w:rsidRPr="00840D8A" w14:paraId="6A1D8607"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val="restart"/>
            <w:shd w:val="clear" w:color="auto" w:fill="F2F2F2" w:themeFill="background1" w:themeFillShade="F2"/>
            <w:vAlign w:val="center"/>
          </w:tcPr>
          <w:p w14:paraId="7CBFB283" w14:textId="6F0B4836" w:rsidR="0087054F" w:rsidRPr="00840D8A" w:rsidRDefault="0087054F" w:rsidP="00FF1D5A">
            <w:pPr>
              <w:pStyle w:val="SWCText"/>
              <w:spacing w:after="0"/>
              <w:jc w:val="center"/>
              <w:rPr>
                <w:b w:val="0"/>
                <w:bCs w:val="0"/>
                <w:sz w:val="18"/>
                <w:szCs w:val="18"/>
              </w:rPr>
            </w:pPr>
            <w:r w:rsidRPr="00840D8A">
              <w:rPr>
                <w:b w:val="0"/>
                <w:bCs w:val="0"/>
                <w:sz w:val="18"/>
                <w:szCs w:val="18"/>
              </w:rPr>
              <w:t>mobility</w:t>
            </w:r>
          </w:p>
        </w:tc>
        <w:tc>
          <w:tcPr>
            <w:tcW w:w="2743" w:type="dxa"/>
            <w:tcBorders>
              <w:top w:val="single" w:sz="4" w:space="0" w:color="auto"/>
              <w:bottom w:val="nil"/>
            </w:tcBorders>
          </w:tcPr>
          <w:p w14:paraId="61303E27" w14:textId="183CFE61"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840D8A">
              <w:rPr>
                <w:sz w:val="18"/>
                <w:szCs w:val="18"/>
                <w:lang w:val="de-CH"/>
              </w:rPr>
              <w:t>petrol</w:t>
            </w:r>
            <w:proofErr w:type="spellEnd"/>
            <w:r w:rsidRPr="00840D8A">
              <w:rPr>
                <w:sz w:val="18"/>
                <w:szCs w:val="18"/>
                <w:lang w:val="de-CH"/>
              </w:rPr>
              <w:t xml:space="preserve"> (</w:t>
            </w:r>
            <w:proofErr w:type="spellStart"/>
            <w:r w:rsidRPr="00840D8A">
              <w:rPr>
                <w:sz w:val="18"/>
                <w:szCs w:val="18"/>
                <w:lang w:val="de-CH"/>
              </w:rPr>
              <w:t>gasoline</w:t>
            </w:r>
            <w:proofErr w:type="spellEnd"/>
            <w:r w:rsidRPr="00840D8A">
              <w:rPr>
                <w:sz w:val="18"/>
                <w:szCs w:val="18"/>
                <w:lang w:val="de-CH"/>
              </w:rPr>
              <w:t>)</w:t>
            </w:r>
          </w:p>
        </w:tc>
        <w:tc>
          <w:tcPr>
            <w:tcW w:w="1589" w:type="dxa"/>
            <w:tcBorders>
              <w:top w:val="single" w:sz="4" w:space="0" w:color="auto"/>
              <w:bottom w:val="nil"/>
            </w:tcBorders>
          </w:tcPr>
          <w:p w14:paraId="12CD5409" w14:textId="3F83F31D"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lang w:val="de-CH"/>
              </w:rPr>
              <w:t>0.2976</w:t>
            </w:r>
          </w:p>
        </w:tc>
      </w:tr>
      <w:tr w:rsidR="0087054F" w:rsidRPr="00840D8A" w14:paraId="36C66612"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533C05DD" w14:textId="77777777" w:rsidR="0087054F" w:rsidRPr="00840D8A" w:rsidRDefault="0087054F" w:rsidP="0087054F">
            <w:pPr>
              <w:pStyle w:val="SWCText"/>
              <w:spacing w:after="0"/>
              <w:rPr>
                <w:sz w:val="18"/>
                <w:szCs w:val="18"/>
              </w:rPr>
            </w:pPr>
          </w:p>
        </w:tc>
        <w:tc>
          <w:tcPr>
            <w:tcW w:w="2743" w:type="dxa"/>
            <w:tcBorders>
              <w:top w:val="nil"/>
              <w:bottom w:val="nil"/>
            </w:tcBorders>
          </w:tcPr>
          <w:p w14:paraId="40B9DA35" w14:textId="61A9982E"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diesel</w:t>
            </w:r>
          </w:p>
        </w:tc>
        <w:tc>
          <w:tcPr>
            <w:tcW w:w="1589" w:type="dxa"/>
            <w:tcBorders>
              <w:top w:val="nil"/>
              <w:bottom w:val="nil"/>
            </w:tcBorders>
          </w:tcPr>
          <w:p w14:paraId="34F504D0" w14:textId="4C34370D"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0.3024</w:t>
            </w:r>
          </w:p>
        </w:tc>
      </w:tr>
      <w:tr w:rsidR="0087054F" w:rsidRPr="00840D8A" w14:paraId="3C50A60E"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2E8FE324" w14:textId="77777777" w:rsidR="0087054F" w:rsidRPr="00840D8A" w:rsidRDefault="0087054F" w:rsidP="0087054F">
            <w:pPr>
              <w:pStyle w:val="SWCText"/>
              <w:spacing w:after="0"/>
              <w:rPr>
                <w:sz w:val="18"/>
                <w:szCs w:val="18"/>
              </w:rPr>
            </w:pPr>
          </w:p>
        </w:tc>
        <w:tc>
          <w:tcPr>
            <w:tcW w:w="2743" w:type="dxa"/>
            <w:tcBorders>
              <w:top w:val="nil"/>
              <w:bottom w:val="nil"/>
            </w:tcBorders>
          </w:tcPr>
          <w:p w14:paraId="6109B158" w14:textId="06B0AD23"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petrol–electric: normal hybrid</w:t>
            </w:r>
          </w:p>
        </w:tc>
        <w:tc>
          <w:tcPr>
            <w:tcW w:w="1589" w:type="dxa"/>
            <w:tcBorders>
              <w:top w:val="nil"/>
              <w:bottom w:val="nil"/>
            </w:tcBorders>
          </w:tcPr>
          <w:p w14:paraId="4BE571EE" w14:textId="33E0EE26"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0.2857</w:t>
            </w:r>
          </w:p>
        </w:tc>
      </w:tr>
      <w:tr w:rsidR="0087054F" w:rsidRPr="00840D8A" w14:paraId="2671B6E5"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0CA1F08E" w14:textId="77777777" w:rsidR="0087054F" w:rsidRPr="00840D8A" w:rsidRDefault="0087054F" w:rsidP="0087054F">
            <w:pPr>
              <w:pStyle w:val="SWCText"/>
              <w:spacing w:after="0"/>
              <w:rPr>
                <w:sz w:val="18"/>
                <w:szCs w:val="18"/>
              </w:rPr>
            </w:pPr>
          </w:p>
        </w:tc>
        <w:tc>
          <w:tcPr>
            <w:tcW w:w="2743" w:type="dxa"/>
            <w:tcBorders>
              <w:top w:val="nil"/>
              <w:bottom w:val="nil"/>
            </w:tcBorders>
          </w:tcPr>
          <w:p w14:paraId="3B96303B" w14:textId="77A812EB"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petrol–electric: plug-in-hybrid</w:t>
            </w:r>
          </w:p>
        </w:tc>
        <w:tc>
          <w:tcPr>
            <w:tcW w:w="1589" w:type="dxa"/>
            <w:tcBorders>
              <w:top w:val="nil"/>
              <w:bottom w:val="nil"/>
            </w:tcBorders>
          </w:tcPr>
          <w:p w14:paraId="0BC52D90" w14:textId="0301B7F4"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lang w:val="de-CH"/>
              </w:rPr>
            </w:pPr>
            <w:r w:rsidRPr="00840D8A">
              <w:rPr>
                <w:sz w:val="18"/>
                <w:szCs w:val="18"/>
              </w:rPr>
              <w:t>0.2749</w:t>
            </w:r>
          </w:p>
        </w:tc>
      </w:tr>
      <w:tr w:rsidR="0087054F" w:rsidRPr="00840D8A" w14:paraId="1F751D36"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604C0E43" w14:textId="77777777" w:rsidR="0087054F" w:rsidRPr="00840D8A" w:rsidRDefault="0087054F" w:rsidP="0087054F">
            <w:pPr>
              <w:pStyle w:val="SWCText"/>
              <w:spacing w:after="0"/>
              <w:rPr>
                <w:sz w:val="18"/>
                <w:szCs w:val="18"/>
              </w:rPr>
            </w:pPr>
          </w:p>
        </w:tc>
        <w:tc>
          <w:tcPr>
            <w:tcW w:w="2743" w:type="dxa"/>
            <w:tcBorders>
              <w:top w:val="nil"/>
              <w:bottom w:val="nil"/>
            </w:tcBorders>
          </w:tcPr>
          <w:p w14:paraId="60CBFA07" w14:textId="574563B8"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lang w:val="de-CH"/>
              </w:rPr>
            </w:pPr>
            <w:r w:rsidRPr="00840D8A">
              <w:rPr>
                <w:sz w:val="18"/>
                <w:szCs w:val="18"/>
              </w:rPr>
              <w:t>diesel-electric: normal hybrid</w:t>
            </w:r>
          </w:p>
        </w:tc>
        <w:tc>
          <w:tcPr>
            <w:tcW w:w="1589" w:type="dxa"/>
            <w:tcBorders>
              <w:top w:val="nil"/>
              <w:bottom w:val="nil"/>
            </w:tcBorders>
          </w:tcPr>
          <w:p w14:paraId="0C43C8A5" w14:textId="6EFB5238"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0.2477</w:t>
            </w:r>
          </w:p>
        </w:tc>
      </w:tr>
      <w:tr w:rsidR="0087054F" w:rsidRPr="00840D8A" w14:paraId="0094DCC3"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3204ACB6" w14:textId="77777777" w:rsidR="0087054F" w:rsidRPr="00840D8A" w:rsidRDefault="0087054F" w:rsidP="0087054F">
            <w:pPr>
              <w:pStyle w:val="SWCText"/>
              <w:spacing w:after="0"/>
              <w:rPr>
                <w:sz w:val="18"/>
                <w:szCs w:val="18"/>
              </w:rPr>
            </w:pPr>
          </w:p>
        </w:tc>
        <w:tc>
          <w:tcPr>
            <w:tcW w:w="2743" w:type="dxa"/>
            <w:tcBorders>
              <w:top w:val="nil"/>
              <w:bottom w:val="nil"/>
            </w:tcBorders>
          </w:tcPr>
          <w:p w14:paraId="78629429" w14:textId="2069E001" w:rsidR="0087054F" w:rsidRPr="00E81888"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lang w:val="de-CH"/>
              </w:rPr>
            </w:pPr>
            <w:r w:rsidRPr="00E81888">
              <w:rPr>
                <w:sz w:val="18"/>
                <w:szCs w:val="18"/>
                <w:lang w:val="de-CH"/>
              </w:rPr>
              <w:t>diesel-</w:t>
            </w:r>
            <w:proofErr w:type="spellStart"/>
            <w:r w:rsidRPr="00E81888">
              <w:rPr>
                <w:sz w:val="18"/>
                <w:szCs w:val="18"/>
                <w:lang w:val="de-CH"/>
              </w:rPr>
              <w:t>electric</w:t>
            </w:r>
            <w:proofErr w:type="spellEnd"/>
            <w:r w:rsidRPr="00E81888">
              <w:rPr>
                <w:sz w:val="18"/>
                <w:szCs w:val="18"/>
                <w:lang w:val="de-CH"/>
              </w:rPr>
              <w:t xml:space="preserve">: </w:t>
            </w:r>
            <w:proofErr w:type="spellStart"/>
            <w:r w:rsidRPr="00E81888">
              <w:rPr>
                <w:sz w:val="18"/>
                <w:szCs w:val="18"/>
                <w:lang w:val="de-CH"/>
              </w:rPr>
              <w:t>plug-in</w:t>
            </w:r>
            <w:proofErr w:type="spellEnd"/>
            <w:r w:rsidRPr="00E81888">
              <w:rPr>
                <w:sz w:val="18"/>
                <w:szCs w:val="18"/>
                <w:lang w:val="de-CH"/>
              </w:rPr>
              <w:t>-hybrid</w:t>
            </w:r>
          </w:p>
        </w:tc>
        <w:tc>
          <w:tcPr>
            <w:tcW w:w="1589" w:type="dxa"/>
            <w:tcBorders>
              <w:top w:val="nil"/>
              <w:bottom w:val="nil"/>
            </w:tcBorders>
          </w:tcPr>
          <w:p w14:paraId="78DAE51F" w14:textId="4A4F712B"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lang w:val="de-CH"/>
              </w:rPr>
            </w:pPr>
            <w:r w:rsidRPr="00840D8A">
              <w:rPr>
                <w:sz w:val="18"/>
                <w:szCs w:val="18"/>
                <w:lang w:val="de-CH"/>
              </w:rPr>
              <w:t>0.2509</w:t>
            </w:r>
          </w:p>
        </w:tc>
      </w:tr>
      <w:tr w:rsidR="0087054F" w:rsidRPr="00840D8A" w14:paraId="68A37634"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34615212" w14:textId="77777777" w:rsidR="0087054F" w:rsidRPr="00840D8A" w:rsidRDefault="0087054F" w:rsidP="0087054F">
            <w:pPr>
              <w:pStyle w:val="SWCText"/>
              <w:spacing w:after="0"/>
              <w:rPr>
                <w:sz w:val="18"/>
                <w:szCs w:val="18"/>
                <w:lang w:val="de-CH"/>
              </w:rPr>
            </w:pPr>
          </w:p>
        </w:tc>
        <w:tc>
          <w:tcPr>
            <w:tcW w:w="2743" w:type="dxa"/>
            <w:tcBorders>
              <w:top w:val="nil"/>
              <w:bottom w:val="nil"/>
            </w:tcBorders>
          </w:tcPr>
          <w:p w14:paraId="14965901" w14:textId="46C6FE29"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electric</w:t>
            </w:r>
          </w:p>
        </w:tc>
        <w:tc>
          <w:tcPr>
            <w:tcW w:w="1589" w:type="dxa"/>
            <w:tcBorders>
              <w:top w:val="nil"/>
              <w:bottom w:val="nil"/>
            </w:tcBorders>
          </w:tcPr>
          <w:p w14:paraId="66E13462" w14:textId="382CFA4D"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0.1437</w:t>
            </w:r>
          </w:p>
        </w:tc>
      </w:tr>
      <w:tr w:rsidR="0087054F" w:rsidRPr="00840D8A" w14:paraId="78F13022"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381E6E8F" w14:textId="77777777" w:rsidR="0087054F" w:rsidRPr="00840D8A" w:rsidRDefault="0087054F" w:rsidP="0087054F">
            <w:pPr>
              <w:pStyle w:val="SWCText"/>
              <w:spacing w:after="0"/>
              <w:rPr>
                <w:sz w:val="18"/>
                <w:szCs w:val="18"/>
              </w:rPr>
            </w:pPr>
          </w:p>
        </w:tc>
        <w:tc>
          <w:tcPr>
            <w:tcW w:w="2743" w:type="dxa"/>
            <w:tcBorders>
              <w:top w:val="nil"/>
              <w:bottom w:val="nil"/>
            </w:tcBorders>
          </w:tcPr>
          <w:p w14:paraId="02844223" w14:textId="65CFF02C"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hydrogen</w:t>
            </w:r>
          </w:p>
        </w:tc>
        <w:tc>
          <w:tcPr>
            <w:tcW w:w="1589" w:type="dxa"/>
            <w:tcBorders>
              <w:top w:val="nil"/>
              <w:bottom w:val="nil"/>
            </w:tcBorders>
          </w:tcPr>
          <w:p w14:paraId="26E9F88E" w14:textId="140C8CB9"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0.1893</w:t>
            </w:r>
          </w:p>
        </w:tc>
      </w:tr>
      <w:tr w:rsidR="0087054F" w:rsidRPr="00840D8A" w14:paraId="3B53C825" w14:textId="77777777" w:rsidTr="000F37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05FA0EA1" w14:textId="77777777" w:rsidR="0087054F" w:rsidRPr="00840D8A" w:rsidRDefault="0087054F" w:rsidP="0087054F">
            <w:pPr>
              <w:pStyle w:val="SWCText"/>
              <w:spacing w:after="0"/>
              <w:rPr>
                <w:sz w:val="18"/>
                <w:szCs w:val="18"/>
              </w:rPr>
            </w:pPr>
          </w:p>
        </w:tc>
        <w:tc>
          <w:tcPr>
            <w:tcW w:w="2743" w:type="dxa"/>
            <w:tcBorders>
              <w:top w:val="nil"/>
              <w:bottom w:val="nil"/>
            </w:tcBorders>
          </w:tcPr>
          <w:p w14:paraId="650FF820" w14:textId="58E32869"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gas (mono- und bivalent)</w:t>
            </w:r>
          </w:p>
        </w:tc>
        <w:tc>
          <w:tcPr>
            <w:tcW w:w="1589" w:type="dxa"/>
            <w:tcBorders>
              <w:top w:val="nil"/>
              <w:bottom w:val="nil"/>
            </w:tcBorders>
          </w:tcPr>
          <w:p w14:paraId="30AEC1F6" w14:textId="3CAB1960" w:rsidR="0087054F" w:rsidRPr="00840D8A" w:rsidRDefault="0087054F" w:rsidP="0087054F">
            <w:pPr>
              <w:pStyle w:val="SWCText"/>
              <w:spacing w:after="0"/>
              <w:cnfStyle w:val="000000100000" w:firstRow="0" w:lastRow="0" w:firstColumn="0" w:lastColumn="0" w:oddVBand="0" w:evenVBand="0" w:oddHBand="1" w:evenHBand="0" w:firstRowFirstColumn="0" w:firstRowLastColumn="0" w:lastRowFirstColumn="0" w:lastRowLastColumn="0"/>
              <w:rPr>
                <w:sz w:val="18"/>
                <w:szCs w:val="18"/>
              </w:rPr>
            </w:pPr>
            <w:r w:rsidRPr="00840D8A">
              <w:rPr>
                <w:sz w:val="18"/>
                <w:szCs w:val="18"/>
              </w:rPr>
              <w:t>0.2445</w:t>
            </w:r>
          </w:p>
        </w:tc>
      </w:tr>
      <w:tr w:rsidR="0087054F" w:rsidRPr="00840D8A" w14:paraId="73CE34BC" w14:textId="77777777" w:rsidTr="000F37FA">
        <w:trPr>
          <w:jc w:val="center"/>
        </w:trPr>
        <w:tc>
          <w:tcPr>
            <w:cnfStyle w:val="001000000000" w:firstRow="0" w:lastRow="0" w:firstColumn="1" w:lastColumn="0" w:oddVBand="0" w:evenVBand="0" w:oddHBand="0" w:evenHBand="0" w:firstRowFirstColumn="0" w:firstRowLastColumn="0" w:lastRowFirstColumn="0" w:lastRowLastColumn="0"/>
            <w:tcW w:w="1116" w:type="dxa"/>
            <w:vMerge/>
            <w:shd w:val="clear" w:color="auto" w:fill="F2F2F2" w:themeFill="background1" w:themeFillShade="F2"/>
          </w:tcPr>
          <w:p w14:paraId="73CAFD1B" w14:textId="77777777" w:rsidR="0087054F" w:rsidRPr="00840D8A" w:rsidRDefault="0087054F" w:rsidP="0087054F">
            <w:pPr>
              <w:pStyle w:val="SWCText"/>
              <w:spacing w:after="0"/>
              <w:rPr>
                <w:sz w:val="18"/>
                <w:szCs w:val="18"/>
              </w:rPr>
            </w:pPr>
          </w:p>
        </w:tc>
        <w:tc>
          <w:tcPr>
            <w:tcW w:w="2743" w:type="dxa"/>
            <w:tcBorders>
              <w:top w:val="nil"/>
              <w:bottom w:val="single" w:sz="4" w:space="0" w:color="auto"/>
            </w:tcBorders>
          </w:tcPr>
          <w:p w14:paraId="4D5CE4E7" w14:textId="55686AB9"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Other</w:t>
            </w:r>
          </w:p>
        </w:tc>
        <w:tc>
          <w:tcPr>
            <w:tcW w:w="1589" w:type="dxa"/>
            <w:tcBorders>
              <w:top w:val="nil"/>
              <w:bottom w:val="single" w:sz="4" w:space="0" w:color="auto"/>
            </w:tcBorders>
          </w:tcPr>
          <w:p w14:paraId="7FC64190" w14:textId="07FF149C" w:rsidR="0087054F" w:rsidRPr="00840D8A" w:rsidRDefault="0087054F" w:rsidP="0087054F">
            <w:pPr>
              <w:pStyle w:val="SWCText"/>
              <w:spacing w:after="0"/>
              <w:cnfStyle w:val="000000000000" w:firstRow="0" w:lastRow="0" w:firstColumn="0" w:lastColumn="0" w:oddVBand="0" w:evenVBand="0" w:oddHBand="0" w:evenHBand="0" w:firstRowFirstColumn="0" w:firstRowLastColumn="0" w:lastRowFirstColumn="0" w:lastRowLastColumn="0"/>
              <w:rPr>
                <w:sz w:val="18"/>
                <w:szCs w:val="18"/>
              </w:rPr>
            </w:pPr>
            <w:r w:rsidRPr="00840D8A">
              <w:rPr>
                <w:sz w:val="18"/>
                <w:szCs w:val="18"/>
              </w:rPr>
              <w:t>0.2983</w:t>
            </w:r>
          </w:p>
        </w:tc>
      </w:tr>
    </w:tbl>
    <w:p w14:paraId="3A7CF35F" w14:textId="1CF4B7E2" w:rsidR="0019633A" w:rsidRDefault="00F31836" w:rsidP="00230D36">
      <w:pPr>
        <w:pStyle w:val="SWCHeading1"/>
        <w:tabs>
          <w:tab w:val="clear" w:pos="4472"/>
          <w:tab w:val="num" w:pos="709"/>
        </w:tabs>
        <w:ind w:left="709"/>
      </w:pPr>
      <w:r>
        <w:t>Results</w:t>
      </w:r>
    </w:p>
    <w:p w14:paraId="57397FC3" w14:textId="0704890B" w:rsidR="00F31836" w:rsidRDefault="00F31836" w:rsidP="003F6329">
      <w:pPr>
        <w:pStyle w:val="SWCText"/>
        <w:spacing w:after="0"/>
      </w:pPr>
      <w:r w:rsidRPr="00F31836">
        <w:t xml:space="preserve">The Recommender Tool </w:t>
      </w:r>
      <w:r>
        <w:t>allows</w:t>
      </w:r>
      <w:r w:rsidRPr="00F31836">
        <w:t xml:space="preserve"> users </w:t>
      </w:r>
      <w:r>
        <w:t>to</w:t>
      </w:r>
      <w:r w:rsidRPr="00F31836">
        <w:t xml:space="preserve"> explore municipality-specific energy indicators and simulate alternative technology configurations. Here, these capabilities are used systematically to compare the current emissions structure, renewable-generation potential, the effect of sector electrification on electricity demand, the CO</w:t>
      </w:r>
      <w:r w:rsidR="00CA30A5" w:rsidRPr="00FD353B">
        <w:rPr>
          <w:vertAlign w:val="subscript"/>
        </w:rPr>
        <w:t>2</w:t>
      </w:r>
      <w:r w:rsidR="00CA30A5" w:rsidRPr="00F31836">
        <w:t xml:space="preserve"> </w:t>
      </w:r>
      <w:r w:rsidRPr="00F31836">
        <w:t xml:space="preserve">response to increasing renewable deployment, and finally cumulative transition pathways for </w:t>
      </w:r>
      <w:proofErr w:type="spellStart"/>
      <w:r w:rsidRPr="00F31836">
        <w:t>Sirnach</w:t>
      </w:r>
      <w:proofErr w:type="spellEnd"/>
      <w:r w:rsidRPr="00F31836">
        <w:t xml:space="preserve">, Basel, and </w:t>
      </w:r>
      <w:proofErr w:type="spellStart"/>
      <w:r w:rsidRPr="00F31836">
        <w:t>Lauterbrunnen</w:t>
      </w:r>
      <w:proofErr w:type="spellEnd"/>
      <w:r w:rsidRPr="00F31836">
        <w:t xml:space="preserve">. </w:t>
      </w:r>
    </w:p>
    <w:p w14:paraId="1F7AD871" w14:textId="5FE18915" w:rsidR="00EC2FC9" w:rsidRDefault="002D5D55" w:rsidP="003F6329">
      <w:pPr>
        <w:pStyle w:val="SWCText"/>
        <w:spacing w:after="0"/>
        <w:rPr>
          <w:noProof/>
        </w:rPr>
      </w:pPr>
      <w:r>
        <w:t>The Recommender Tool provides municipality-specific information on current CO</w:t>
      </w:r>
      <w:r w:rsidR="00EB5288" w:rsidRPr="00EB5288">
        <w:rPr>
          <w:vertAlign w:val="subscript"/>
        </w:rPr>
        <w:t>2</w:t>
      </w:r>
      <w:r>
        <w:t xml:space="preserve"> emissions from</w:t>
      </w:r>
      <w:r w:rsidR="000D5E41">
        <w:t xml:space="preserve"> sectors,</w:t>
      </w:r>
      <w:r>
        <w:t xml:space="preserve"> electricity consumption, heating, and mobility. Exploring these indicators gives an initial picture of the sectors that dominate the local carbon footprint and may therefore be particularly relevant when evaluating measures. Fig</w:t>
      </w:r>
      <w:r w:rsidR="003036AC">
        <w:t>.</w:t>
      </w:r>
      <w:r>
        <w:t xml:space="preserve"> 1 shows the status</w:t>
      </w:r>
      <w:r w:rsidR="00EB5288">
        <w:t xml:space="preserve"> </w:t>
      </w:r>
      <w:r>
        <w:t xml:space="preserve">quo emissions structure for </w:t>
      </w:r>
      <w:proofErr w:type="spellStart"/>
      <w:r>
        <w:t>Sirnach</w:t>
      </w:r>
      <w:proofErr w:type="spellEnd"/>
      <w:r>
        <w:t xml:space="preserve">, Basel, and </w:t>
      </w:r>
      <w:proofErr w:type="spellStart"/>
      <w:r>
        <w:t>Lauterbrunnen</w:t>
      </w:r>
      <w:proofErr w:type="spellEnd"/>
      <w:r>
        <w:t>. In addition to the sectoral shares, total annual emissions and per-capita emissions are reported in the center of each donut chart.</w:t>
      </w:r>
    </w:p>
    <w:p w14:paraId="552EACFB" w14:textId="739B14D3" w:rsidR="00EC2FC9" w:rsidRDefault="00EC2FC9" w:rsidP="002D5D55">
      <w:pPr>
        <w:pStyle w:val="SWCText"/>
        <w:rPr>
          <w:noProof/>
        </w:rPr>
      </w:pPr>
      <w:r>
        <w:rPr>
          <w:noProof/>
        </w:rPr>
        <w:lastRenderedPageBreak/>
        <w:drawing>
          <wp:inline distT="0" distB="0" distL="0" distR="0" wp14:anchorId="7CC29690" wp14:editId="50171909">
            <wp:extent cx="5564135" cy="2087884"/>
            <wp:effectExtent l="0" t="0" r="0" b="7620"/>
            <wp:docPr id="86169798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7987" name="Grafik 8616979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64135" cy="2087884"/>
                    </a:xfrm>
                    <a:prstGeom prst="rect">
                      <a:avLst/>
                    </a:prstGeom>
                  </pic:spPr>
                </pic:pic>
              </a:graphicData>
            </a:graphic>
          </wp:inline>
        </w:drawing>
      </w:r>
    </w:p>
    <w:p w14:paraId="59F337C4" w14:textId="3B32E17F" w:rsidR="007C0346" w:rsidRDefault="00D91CA6" w:rsidP="0039430F">
      <w:pPr>
        <w:pStyle w:val="SWCTableFigureCaption"/>
      </w:pPr>
      <w:r>
        <w:t xml:space="preserve">Fig. </w:t>
      </w:r>
      <w:r w:rsidRPr="006309AA">
        <w:t>1</w:t>
      </w:r>
      <w:r>
        <w:t xml:space="preserve">: </w:t>
      </w:r>
      <w:r w:rsidR="00191F59">
        <w:t>Annual CO</w:t>
      </w:r>
      <w:r w:rsidR="00191F59" w:rsidRPr="00FD353B">
        <w:rPr>
          <w:vertAlign w:val="subscript"/>
        </w:rPr>
        <w:t>2</w:t>
      </w:r>
      <w:r w:rsidR="00191F59">
        <w:t xml:space="preserve"> emissions </w:t>
      </w:r>
      <w:r w:rsidR="0039430F">
        <w:t xml:space="preserve">by sectors for the three municipalities </w:t>
      </w:r>
      <w:proofErr w:type="spellStart"/>
      <w:r w:rsidR="0039430F">
        <w:t>Sirnach</w:t>
      </w:r>
      <w:proofErr w:type="spellEnd"/>
      <w:r w:rsidR="0039430F">
        <w:t xml:space="preserve">, Basel and </w:t>
      </w:r>
      <w:proofErr w:type="spellStart"/>
      <w:r w:rsidR="0039430F">
        <w:t>Lauterbrunnen</w:t>
      </w:r>
      <w:proofErr w:type="spellEnd"/>
      <w:r w:rsidR="0039430F">
        <w:t>.</w:t>
      </w:r>
    </w:p>
    <w:p w14:paraId="3106A609" w14:textId="04FFE202" w:rsidR="00D566EB" w:rsidRDefault="002D5D55" w:rsidP="002D5D55">
      <w:pPr>
        <w:pStyle w:val="SWCText"/>
      </w:pPr>
      <w:r>
        <w:t xml:space="preserve">The three municipalities differ substantially in their baseline emissions structure. Basel exhibits a comparatively balanced distribution across the three sectors. In </w:t>
      </w:r>
      <w:proofErr w:type="spellStart"/>
      <w:r>
        <w:t>Sirnach</w:t>
      </w:r>
      <w:proofErr w:type="spellEnd"/>
      <w:r>
        <w:t>, heating and mobility together account for more than 85% of status</w:t>
      </w:r>
      <w:r w:rsidR="00C8593A">
        <w:t xml:space="preserve"> </w:t>
      </w:r>
      <w:r>
        <w:t xml:space="preserve">quo emissions, while electricity contributes only a small share. </w:t>
      </w:r>
      <w:proofErr w:type="spellStart"/>
      <w:r>
        <w:t>Lauterbrunnen</w:t>
      </w:r>
      <w:proofErr w:type="spellEnd"/>
      <w:r>
        <w:t xml:space="preserve"> is strongly dominated by heating-related emissions, which account for approximately two-thirds of its total emissions. </w:t>
      </w:r>
    </w:p>
    <w:p w14:paraId="4605D26C" w14:textId="589FE738" w:rsidR="00EC2FC9" w:rsidRDefault="002D5D55" w:rsidP="0040401E">
      <w:pPr>
        <w:pStyle w:val="SWCText"/>
      </w:pPr>
      <w:r w:rsidRPr="002D5D55">
        <w:t xml:space="preserve">The sectoral composition </w:t>
      </w:r>
      <w:r w:rsidR="00C12AF2">
        <w:t>indicates</w:t>
      </w:r>
      <w:r w:rsidRPr="002D5D55">
        <w:t xml:space="preserve"> where emissions currently arise</w:t>
      </w:r>
      <w:r w:rsidR="00C12AF2">
        <w:t xml:space="preserve"> and where mitigation potential most likely lie</w:t>
      </w:r>
      <w:r w:rsidR="009A4692">
        <w:t>s. T</w:t>
      </w:r>
      <w:r w:rsidRPr="002D5D55">
        <w:t xml:space="preserve">he following analyses investigate which local </w:t>
      </w:r>
      <w:r w:rsidR="00CB3FD6">
        <w:t xml:space="preserve">renewable </w:t>
      </w:r>
      <w:r w:rsidRPr="002D5D55">
        <w:t xml:space="preserve">resources are available and how strongly different </w:t>
      </w:r>
      <w:r w:rsidR="003433D4">
        <w:t xml:space="preserve">deployment </w:t>
      </w:r>
      <w:r w:rsidR="00CB3FD6">
        <w:t>measures</w:t>
      </w:r>
      <w:r w:rsidRPr="002D5D55">
        <w:t xml:space="preserve"> can reduce these emissions.</w:t>
      </w:r>
    </w:p>
    <w:p w14:paraId="3C6923B4" w14:textId="2C40A158" w:rsidR="00CC3AC3" w:rsidRDefault="00CA4814" w:rsidP="0040401E">
      <w:pPr>
        <w:pStyle w:val="SWCText"/>
      </w:pPr>
      <w:r>
        <w:rPr>
          <w:noProof/>
        </w:rPr>
        <w:drawing>
          <wp:inline distT="0" distB="0" distL="0" distR="0" wp14:anchorId="470A7A1E" wp14:editId="05DE7F33">
            <wp:extent cx="5564135" cy="2447549"/>
            <wp:effectExtent l="0" t="0" r="0" b="0"/>
            <wp:docPr id="125661516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15169" name="Grafik 12566151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64135" cy="2447549"/>
                    </a:xfrm>
                    <a:prstGeom prst="rect">
                      <a:avLst/>
                    </a:prstGeom>
                  </pic:spPr>
                </pic:pic>
              </a:graphicData>
            </a:graphic>
          </wp:inline>
        </w:drawing>
      </w:r>
    </w:p>
    <w:p w14:paraId="3D84429A" w14:textId="234BF915" w:rsidR="00C77F7F" w:rsidRDefault="00C77F7F" w:rsidP="00C77F7F">
      <w:pPr>
        <w:pStyle w:val="SWCTableFigureCaption"/>
      </w:pPr>
      <w:r>
        <w:t xml:space="preserve">Fig. </w:t>
      </w:r>
      <w:r w:rsidRPr="006309AA">
        <w:t>1</w:t>
      </w:r>
      <w:r>
        <w:t xml:space="preserve">: </w:t>
      </w:r>
      <w:r w:rsidR="00205709">
        <w:t xml:space="preserve">Existing and </w:t>
      </w:r>
      <w:r w:rsidR="002573B7">
        <w:t>remaining modeled potential a</w:t>
      </w:r>
      <w:r w:rsidR="00205709">
        <w:t xml:space="preserve">nnual energy generation of rooftop PV (left) and </w:t>
      </w:r>
      <w:r w:rsidR="002573B7">
        <w:t>wind power (right)</w:t>
      </w:r>
      <w:r w:rsidR="0082023B">
        <w:t xml:space="preserve"> relative to the status</w:t>
      </w:r>
      <w:r w:rsidR="000B1CC8">
        <w:t xml:space="preserve"> </w:t>
      </w:r>
      <w:r w:rsidR="0082023B">
        <w:t>quo</w:t>
      </w:r>
      <w:r w:rsidR="000B1CC8">
        <w:t xml:space="preserve"> electricity demand</w:t>
      </w:r>
      <w:r w:rsidR="002573B7">
        <w:t xml:space="preserve"> for </w:t>
      </w:r>
      <w:proofErr w:type="spellStart"/>
      <w:r w:rsidR="002573B7">
        <w:t>Sirnach</w:t>
      </w:r>
      <w:proofErr w:type="spellEnd"/>
      <w:r w:rsidR="002573B7">
        <w:t xml:space="preserve">, Basel and </w:t>
      </w:r>
      <w:proofErr w:type="spellStart"/>
      <w:r w:rsidR="002573B7">
        <w:t>Lauter</w:t>
      </w:r>
      <w:r w:rsidR="00215A84">
        <w:t>brunnen</w:t>
      </w:r>
      <w:proofErr w:type="spellEnd"/>
      <w:r w:rsidR="002573B7">
        <w:t>.</w:t>
      </w:r>
    </w:p>
    <w:p w14:paraId="60D62D6F" w14:textId="3C1B55A2" w:rsidR="00CC3AC3" w:rsidRDefault="00CC3AC3" w:rsidP="003F6329">
      <w:pPr>
        <w:pStyle w:val="SWCText"/>
        <w:spacing w:after="0"/>
      </w:pPr>
      <w:r>
        <w:t xml:space="preserve">The Recommender Tool also provides estimates of existing renewable electricity generation and the remaining modeled generation potential for technologies such as rooftop </w:t>
      </w:r>
      <w:r w:rsidR="00215A84">
        <w:t>PV</w:t>
      </w:r>
      <w:r>
        <w:t xml:space="preserve"> systems and wind power. Fig</w:t>
      </w:r>
      <w:r w:rsidR="00215A84">
        <w:t>.</w:t>
      </w:r>
      <w:r>
        <w:t xml:space="preserve"> 2 compares these quantities for the three municipalities. To facilitate comparison between municipalities of very different sizes, annual generation is normalized by status</w:t>
      </w:r>
      <w:r w:rsidR="00D006CA">
        <w:t xml:space="preserve"> </w:t>
      </w:r>
      <w:r>
        <w:t>quo electricity demand, while the labels above the bars report the corresponding annual generation at full modeled deployment.</w:t>
      </w:r>
    </w:p>
    <w:p w14:paraId="0FA79D07" w14:textId="6EBE7069" w:rsidR="00CC3AC3" w:rsidRDefault="00CC3AC3" w:rsidP="003F6329">
      <w:pPr>
        <w:pStyle w:val="SWCText"/>
        <w:spacing w:after="0"/>
      </w:pPr>
      <w:r>
        <w:t xml:space="preserve">Rooftop PV represents a substantial resource in all three municipalities, although its importance relative to local electricity demand varies considerably. In </w:t>
      </w:r>
      <w:proofErr w:type="spellStart"/>
      <w:r>
        <w:t>Sirnach</w:t>
      </w:r>
      <w:proofErr w:type="spellEnd"/>
      <w:r>
        <w:t xml:space="preserve">, full modeled rooftop-PV generation corresponds to approximately 130% of current annual electricity demand, while in </w:t>
      </w:r>
      <w:proofErr w:type="spellStart"/>
      <w:r>
        <w:t>Lauterbrunnen</w:t>
      </w:r>
      <w:proofErr w:type="spellEnd"/>
      <w:r>
        <w:t xml:space="preserve"> it reaches roughly 175%. Basel has by far the largest absolute rooftop-PV generation potential, approximately 585 GWh</w:t>
      </w:r>
      <w:r w:rsidR="0094080D">
        <w:t xml:space="preserve"> per year</w:t>
      </w:r>
      <w:r>
        <w:t>, but this corresponds to only about one-third of its substantially larger electricity demand. Existing PV generation represents only a small fraction of the modeled potential in all three municipalities.</w:t>
      </w:r>
    </w:p>
    <w:p w14:paraId="0E0336EF" w14:textId="26096CE9" w:rsidR="00CC3AC3" w:rsidRDefault="00CC3AC3" w:rsidP="003F6329">
      <w:pPr>
        <w:pStyle w:val="SWCText"/>
        <w:spacing w:after="0"/>
      </w:pPr>
      <w:r>
        <w:t xml:space="preserve">Wind potential is considerably more heterogeneous. </w:t>
      </w:r>
      <w:proofErr w:type="spellStart"/>
      <w:r>
        <w:t>Sirnach</w:t>
      </w:r>
      <w:proofErr w:type="spellEnd"/>
      <w:r>
        <w:t xml:space="preserve"> has a comparatively </w:t>
      </w:r>
      <w:r w:rsidR="00731B67">
        <w:t>modest, modeled</w:t>
      </w:r>
      <w:r>
        <w:t xml:space="preserve"> </w:t>
      </w:r>
      <w:r w:rsidR="0094080D">
        <w:t xml:space="preserve">annual </w:t>
      </w:r>
      <w:r>
        <w:t xml:space="preserve">wind resource of about 7.2 GWh, whereas no additional wind potential is identified for Basel. </w:t>
      </w:r>
      <w:proofErr w:type="spellStart"/>
      <w:r>
        <w:t>Lauterbrunnen</w:t>
      </w:r>
      <w:proofErr w:type="spellEnd"/>
      <w:r>
        <w:t xml:space="preserve"> </w:t>
      </w:r>
      <w:r>
        <w:lastRenderedPageBreak/>
        <w:t>shows a much larger wind resource relative to its electricity demand</w:t>
      </w:r>
      <w:r w:rsidR="00DC7030">
        <w:t xml:space="preserve"> as a</w:t>
      </w:r>
      <w:r>
        <w:t xml:space="preserve"> modeled annual wind generation of approximately 23.4 GWh corresponds to more than the municipality's current annual electricity consumption.</w:t>
      </w:r>
    </w:p>
    <w:p w14:paraId="471E18EA" w14:textId="0FF96AB2" w:rsidR="00EC2FC9" w:rsidRDefault="00E12DF3" w:rsidP="003F6329">
      <w:pPr>
        <w:pStyle w:val="SWCText"/>
        <w:rPr>
          <w:noProof/>
        </w:rPr>
      </w:pPr>
      <w:r>
        <w:t>B</w:t>
      </w:r>
      <w:r w:rsidR="000C589D" w:rsidRPr="000C589D">
        <w:t>oth</w:t>
      </w:r>
      <w:r w:rsidR="008F6C1F">
        <w:t>,</w:t>
      </w:r>
      <w:r w:rsidR="000C589D" w:rsidRPr="000C589D">
        <w:t xml:space="preserve"> absolute renewable potential and its magnitude relative to local demand</w:t>
      </w:r>
      <w:r w:rsidR="008F6C1F">
        <w:t>,</w:t>
      </w:r>
      <w:r w:rsidR="000C589D" w:rsidRPr="000C589D">
        <w:t xml:space="preserve"> are relevant </w:t>
      </w:r>
      <w:r w:rsidR="00C77F7F">
        <w:t xml:space="preserve">indicators </w:t>
      </w:r>
      <w:r w:rsidR="000C589D" w:rsidRPr="000C589D">
        <w:t>for municipalit</w:t>
      </w:r>
      <w:r w:rsidR="00C77F7F">
        <w:t>ies and their</w:t>
      </w:r>
      <w:r w:rsidR="000C589D" w:rsidRPr="000C589D">
        <w:t xml:space="preserve"> transition planning.</w:t>
      </w:r>
    </w:p>
    <w:p w14:paraId="1A43B685" w14:textId="7323FFED" w:rsidR="00CC3AC3" w:rsidRDefault="00EC2FC9" w:rsidP="00CC3AC3">
      <w:pPr>
        <w:pStyle w:val="SWCText"/>
      </w:pPr>
      <w:r>
        <w:rPr>
          <w:noProof/>
        </w:rPr>
        <w:drawing>
          <wp:inline distT="0" distB="0" distL="0" distR="0" wp14:anchorId="6A7C1BE7" wp14:editId="36474A81">
            <wp:extent cx="5564135" cy="2447549"/>
            <wp:effectExtent l="0" t="0" r="0" b="0"/>
            <wp:docPr id="1172594255"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94255" name="Grafik 11725942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4135" cy="2447549"/>
                    </a:xfrm>
                    <a:prstGeom prst="rect">
                      <a:avLst/>
                    </a:prstGeom>
                  </pic:spPr>
                </pic:pic>
              </a:graphicData>
            </a:graphic>
          </wp:inline>
        </w:drawing>
      </w:r>
    </w:p>
    <w:p w14:paraId="4981925A" w14:textId="338FF33A" w:rsidR="00C77F7F" w:rsidRDefault="00C77F7F" w:rsidP="00C77F7F">
      <w:pPr>
        <w:pStyle w:val="SWCTableFigureCaption"/>
      </w:pPr>
      <w:r>
        <w:t xml:space="preserve">Fig. </w:t>
      </w:r>
      <w:r w:rsidR="003036AC">
        <w:t>3</w:t>
      </w:r>
      <w:r>
        <w:t xml:space="preserve">: </w:t>
      </w:r>
      <w:r w:rsidR="00A70FCD" w:rsidRPr="00A70FCD">
        <w:t xml:space="preserve">Relative change in electricity demand in the three municipalities following the full retrofit </w:t>
      </w:r>
      <w:r w:rsidR="00156F49">
        <w:t>of fossil</w:t>
      </w:r>
      <w:r w:rsidR="00030A2B">
        <w:t xml:space="preserve"> heaters</w:t>
      </w:r>
      <w:r w:rsidR="00156F49">
        <w:t xml:space="preserve"> </w:t>
      </w:r>
      <w:r w:rsidR="00A70FCD" w:rsidRPr="00A70FCD">
        <w:t>to heat pumps and the electrification of passenger cars. Electricity demand for heating is shown in red hatching, while EV charging is shown in blue hatching</w:t>
      </w:r>
      <w:r w:rsidR="006C1FC8">
        <w:t>.</w:t>
      </w:r>
    </w:p>
    <w:p w14:paraId="175C3721" w14:textId="3CE5AADB" w:rsidR="00EC2FC9" w:rsidRDefault="008838FE" w:rsidP="003F6329">
      <w:pPr>
        <w:pStyle w:val="SWCText"/>
        <w:spacing w:after="0"/>
      </w:pPr>
      <w:r>
        <w:t>Measures such as r</w:t>
      </w:r>
      <w:r w:rsidR="00EC2FC9">
        <w:t xml:space="preserve">eplacing fossil-fuel heating systems with heat pumps and electrifying passenger </w:t>
      </w:r>
      <w:r w:rsidR="00B13B00">
        <w:t>cars</w:t>
      </w:r>
      <w:r w:rsidR="00EC2FC9">
        <w:t xml:space="preserve"> reduce direct fossil</w:t>
      </w:r>
      <w:r>
        <w:t xml:space="preserve"> </w:t>
      </w:r>
      <w:r w:rsidR="00EC2FC9">
        <w:t xml:space="preserve">energy use but simultaneously increase electricity consumption. The scenario </w:t>
      </w:r>
      <w:r>
        <w:t>simulation feature</w:t>
      </w:r>
      <w:r w:rsidR="00EC2FC9">
        <w:t xml:space="preserve"> of the Recommender Tool </w:t>
      </w:r>
      <w:r w:rsidR="00861A7E">
        <w:t>can</w:t>
      </w:r>
      <w:r w:rsidR="00EC2FC9">
        <w:t xml:space="preserve"> therefore</w:t>
      </w:r>
      <w:r w:rsidR="00861A7E">
        <w:t xml:space="preserve"> be</w:t>
      </w:r>
      <w:r w:rsidR="00EC2FC9">
        <w:t xml:space="preserve"> used to quantify how these measures </w:t>
      </w:r>
      <w:r w:rsidR="00861A7E">
        <w:t>change</w:t>
      </w:r>
      <w:r w:rsidR="00EC2FC9">
        <w:t xml:space="preserve"> </w:t>
      </w:r>
      <w:r w:rsidR="003D20A1">
        <w:t>the</w:t>
      </w:r>
      <w:r w:rsidR="00EC2FC9">
        <w:t xml:space="preserve"> municipal electricity demand. Fig</w:t>
      </w:r>
      <w:r w:rsidR="00EA57D0">
        <w:t>.</w:t>
      </w:r>
      <w:r w:rsidR="00EC2FC9">
        <w:t xml:space="preserve"> 3 compares the status quo with full replacement of fossil heating systems by heat pumps and with the subsequent electrification of the remaining passenger</w:t>
      </w:r>
      <w:r w:rsidR="00EA57D0">
        <w:t xml:space="preserve"> </w:t>
      </w:r>
      <w:r w:rsidR="00EC2FC9">
        <w:t xml:space="preserve">car fleet. </w:t>
      </w:r>
      <w:r w:rsidR="009C5564">
        <w:t>For more clarity, e</w:t>
      </w:r>
      <w:r w:rsidR="00EC2FC9">
        <w:t>lectricity demand is separated</w:t>
      </w:r>
      <w:r w:rsidR="009C5564">
        <w:t xml:space="preserve"> here</w:t>
      </w:r>
      <w:r w:rsidR="00EC2FC9">
        <w:t xml:space="preserve"> into heating, </w:t>
      </w:r>
      <w:r w:rsidR="003320E9">
        <w:t xml:space="preserve">EV </w:t>
      </w:r>
      <w:r w:rsidR="00EC2FC9">
        <w:t xml:space="preserve">charging, and all remaining electricity </w:t>
      </w:r>
      <w:r w:rsidR="00FE315F">
        <w:t>demand</w:t>
      </w:r>
      <w:r w:rsidR="000568F2">
        <w:t>. It</w:t>
      </w:r>
      <w:r w:rsidR="00EC2FC9">
        <w:t xml:space="preserve"> is normalized by </w:t>
      </w:r>
      <w:proofErr w:type="gramStart"/>
      <w:r w:rsidR="00EC2FC9">
        <w:t>the status</w:t>
      </w:r>
      <w:r w:rsidR="00EA57D0">
        <w:t xml:space="preserve"> </w:t>
      </w:r>
      <w:r w:rsidR="00EC2FC9">
        <w:t>quo</w:t>
      </w:r>
      <w:proofErr w:type="gramEnd"/>
      <w:r w:rsidR="00EC2FC9">
        <w:t xml:space="preserve"> electricity demand of each municipality.</w:t>
      </w:r>
    </w:p>
    <w:p w14:paraId="6954AEF3" w14:textId="1E4F935A" w:rsidR="00D0756D" w:rsidRDefault="00EC2FC9" w:rsidP="003F6329">
      <w:pPr>
        <w:pStyle w:val="SWCText"/>
        <w:spacing w:after="0"/>
        <w:rPr>
          <w:color w:val="auto"/>
        </w:rPr>
      </w:pPr>
      <w:r>
        <w:t>The results reveal a clear sector-coupling effect. Heat</w:t>
      </w:r>
      <w:r w:rsidR="001563CB">
        <w:t xml:space="preserve"> </w:t>
      </w:r>
      <w:r>
        <w:t xml:space="preserve">pump deployment transfers part of the energy demand previously supplied by fossil fuels into the electricity sector, while EV deployment creates an additional electricity load associated with </w:t>
      </w:r>
      <w:r w:rsidR="000E71BF">
        <w:t xml:space="preserve">motorized </w:t>
      </w:r>
      <w:r>
        <w:t>mobility. The magnitude of these changes differs across the municipalities because their initial heating and mobility structures are different. Consequently, measures that reduce direct emissions in heating and mobility simultaneously increase the importance of the electricity sector in the municipal energy balance.</w:t>
      </w:r>
      <w:r w:rsidR="001126FA">
        <w:t xml:space="preserve"> </w:t>
      </w:r>
      <w:r w:rsidR="00D0756D" w:rsidRPr="001126FA">
        <w:rPr>
          <w:color w:val="auto"/>
        </w:rPr>
        <w:t>Following full heat</w:t>
      </w:r>
      <w:r w:rsidR="00AA2BF0">
        <w:rPr>
          <w:color w:val="auto"/>
        </w:rPr>
        <w:t xml:space="preserve"> </w:t>
      </w:r>
      <w:r w:rsidR="00D0756D" w:rsidRPr="001126FA">
        <w:rPr>
          <w:color w:val="auto"/>
        </w:rPr>
        <w:t>pump deployment</w:t>
      </w:r>
      <w:r w:rsidR="00133EF3">
        <w:rPr>
          <w:color w:val="auto"/>
        </w:rPr>
        <w:t xml:space="preserve"> and mobility electrification</w:t>
      </w:r>
      <w:r w:rsidR="00D0756D" w:rsidRPr="001126FA">
        <w:rPr>
          <w:color w:val="auto"/>
        </w:rPr>
        <w:t xml:space="preserve">, electricity demand increases by </w:t>
      </w:r>
      <w:r w:rsidR="00DD0179" w:rsidRPr="001126FA">
        <w:rPr>
          <w:color w:val="auto"/>
        </w:rPr>
        <w:t xml:space="preserve">ca. </w:t>
      </w:r>
      <w:r w:rsidR="003423ED">
        <w:rPr>
          <w:color w:val="auto"/>
        </w:rPr>
        <w:t>60</w:t>
      </w:r>
      <w:r w:rsidR="00EC7059" w:rsidRPr="001126FA">
        <w:rPr>
          <w:color w:val="auto"/>
        </w:rPr>
        <w:t xml:space="preserve"> </w:t>
      </w:r>
      <w:r w:rsidR="00D0756D" w:rsidRPr="001126FA">
        <w:rPr>
          <w:color w:val="auto"/>
        </w:rPr>
        <w:t xml:space="preserve">% in </w:t>
      </w:r>
      <w:proofErr w:type="spellStart"/>
      <w:r w:rsidR="00D0756D" w:rsidRPr="001126FA">
        <w:rPr>
          <w:color w:val="auto"/>
        </w:rPr>
        <w:t>Sirnach</w:t>
      </w:r>
      <w:proofErr w:type="spellEnd"/>
      <w:r w:rsidR="00EC7059" w:rsidRPr="001126FA">
        <w:rPr>
          <w:color w:val="auto"/>
        </w:rPr>
        <w:t xml:space="preserve"> and over </w:t>
      </w:r>
      <w:r w:rsidR="003423ED">
        <w:rPr>
          <w:color w:val="auto"/>
        </w:rPr>
        <w:t>80</w:t>
      </w:r>
      <w:r w:rsidR="00EC7059" w:rsidRPr="001126FA">
        <w:rPr>
          <w:color w:val="auto"/>
        </w:rPr>
        <w:t xml:space="preserve"> % in </w:t>
      </w:r>
      <w:proofErr w:type="spellStart"/>
      <w:r w:rsidR="00EC7059" w:rsidRPr="001126FA">
        <w:rPr>
          <w:color w:val="auto"/>
        </w:rPr>
        <w:t>Lauterbrunnen</w:t>
      </w:r>
      <w:proofErr w:type="spellEnd"/>
      <w:r w:rsidR="00D0756D" w:rsidRPr="001126FA">
        <w:rPr>
          <w:color w:val="auto"/>
        </w:rPr>
        <w:t xml:space="preserve"> but</w:t>
      </w:r>
      <w:r w:rsidR="00DD0179" w:rsidRPr="001126FA">
        <w:rPr>
          <w:color w:val="auto"/>
        </w:rPr>
        <w:t xml:space="preserve"> only</w:t>
      </w:r>
      <w:r w:rsidR="00D0756D" w:rsidRPr="001126FA">
        <w:rPr>
          <w:color w:val="auto"/>
        </w:rPr>
        <w:t xml:space="preserve"> by </w:t>
      </w:r>
      <w:r w:rsidR="00EC7059" w:rsidRPr="001126FA">
        <w:rPr>
          <w:color w:val="auto"/>
        </w:rPr>
        <w:t xml:space="preserve">ca. </w:t>
      </w:r>
      <w:r w:rsidR="003423ED">
        <w:rPr>
          <w:color w:val="auto"/>
        </w:rPr>
        <w:t>14</w:t>
      </w:r>
      <w:r w:rsidR="00EC7059" w:rsidRPr="001126FA">
        <w:rPr>
          <w:color w:val="auto"/>
        </w:rPr>
        <w:t xml:space="preserve"> </w:t>
      </w:r>
      <w:r w:rsidR="00D0756D" w:rsidRPr="001126FA">
        <w:rPr>
          <w:color w:val="auto"/>
        </w:rPr>
        <w:t>% in Basel.</w:t>
      </w:r>
    </w:p>
    <w:p w14:paraId="5B0E5ACA" w14:textId="10856FDE" w:rsidR="003423ED" w:rsidRDefault="003423ED" w:rsidP="003F6329">
      <w:pPr>
        <w:pStyle w:val="SWCText"/>
        <w:spacing w:after="0"/>
      </w:pPr>
      <w:r>
        <w:t>The renewable-generation potentials shown in Fig</w:t>
      </w:r>
      <w:r w:rsidR="00967F26">
        <w:t>.</w:t>
      </w:r>
      <w:r>
        <w:t xml:space="preserve"> 2 do not translate directly into equivalent CO₂ reductions. Their mitigation effect depends on the electricity</w:t>
      </w:r>
      <w:r w:rsidR="00967F26">
        <w:t xml:space="preserve"> </w:t>
      </w:r>
      <w:r>
        <w:t>demand configuration in which additional renewable generation is introduced. To investigate this interaction, rooftop</w:t>
      </w:r>
      <w:r w:rsidR="00967F26">
        <w:t xml:space="preserve"> </w:t>
      </w:r>
      <w:r>
        <w:t>PV and wind deployment were varied from 0 to 100% of the modeled additional potential under four configurations: the status quo, full heat</w:t>
      </w:r>
      <w:r w:rsidR="002C272B">
        <w:t xml:space="preserve"> </w:t>
      </w:r>
      <w:r>
        <w:t>pump deployment, full passenger</w:t>
      </w:r>
      <w:r w:rsidR="002C272B">
        <w:t xml:space="preserve"> </w:t>
      </w:r>
      <w:r>
        <w:t>car electrification, and combined heat</w:t>
      </w:r>
      <w:r w:rsidR="002C272B">
        <w:t xml:space="preserve"> </w:t>
      </w:r>
      <w:r>
        <w:t>pump deployment and mobility electrification. Fig</w:t>
      </w:r>
      <w:r w:rsidR="002C272B">
        <w:t>.</w:t>
      </w:r>
      <w:r>
        <w:t xml:space="preserve"> 4 reports the resulting additional CO</w:t>
      </w:r>
      <w:r w:rsidR="00B42FDA" w:rsidRPr="00B42FDA">
        <w:rPr>
          <w:vertAlign w:val="subscript"/>
        </w:rPr>
        <w:t>2</w:t>
      </w:r>
      <w:r>
        <w:t xml:space="preserve"> reduction relative to the original municipal status quo.</w:t>
      </w:r>
    </w:p>
    <w:p w14:paraId="2235CCFE" w14:textId="7B373EF1" w:rsidR="003423ED" w:rsidRDefault="003423ED" w:rsidP="003F6329">
      <w:pPr>
        <w:pStyle w:val="SWCText"/>
      </w:pPr>
      <w:r>
        <w:t xml:space="preserve">In </w:t>
      </w:r>
      <w:proofErr w:type="spellStart"/>
      <w:r>
        <w:t>Sirnach</w:t>
      </w:r>
      <w:proofErr w:type="spellEnd"/>
      <w:r>
        <w:t>, rooftop PV provides a progressively increasing CO</w:t>
      </w:r>
      <w:r w:rsidR="00B42FDA" w:rsidRPr="00B42FDA">
        <w:rPr>
          <w:vertAlign w:val="subscript"/>
        </w:rPr>
        <w:t>2</w:t>
      </w:r>
      <w:r>
        <w:t xml:space="preserve"> reduction, but the magnitude depends strongly on the electrification configuration. At full PV deployment, the reduction is approximately 3.5% of status</w:t>
      </w:r>
      <w:r w:rsidR="00C8593A">
        <w:t xml:space="preserve"> </w:t>
      </w:r>
      <w:r>
        <w:t>quo emissions under current demand and increases to more than 5% following combined heat</w:t>
      </w:r>
      <w:r w:rsidR="00CB20D9">
        <w:t xml:space="preserve"> </w:t>
      </w:r>
      <w:r>
        <w:t>pump and EV deployment. Wind deployment produces a smaller overall CO</w:t>
      </w:r>
      <w:r w:rsidR="00B42FDA" w:rsidRPr="00B42FDA">
        <w:rPr>
          <w:vertAlign w:val="subscript"/>
        </w:rPr>
        <w:t>2</w:t>
      </w:r>
      <w:r>
        <w:t xml:space="preserve"> reduction of approximately 2.5–3%, and the differences between demand configurations are less pronounced than for PV.</w:t>
      </w:r>
    </w:p>
    <w:p w14:paraId="2E56E965" w14:textId="75E59DFD" w:rsidR="007C0346" w:rsidRDefault="00230C77" w:rsidP="00EC2FC9">
      <w:pPr>
        <w:pStyle w:val="SWCText"/>
      </w:pPr>
      <w:r>
        <w:rPr>
          <w:noProof/>
        </w:rPr>
        <w:lastRenderedPageBreak/>
        <w:drawing>
          <wp:inline distT="0" distB="0" distL="0" distR="0" wp14:anchorId="1966B47B" wp14:editId="7F3A0D97">
            <wp:extent cx="5564135" cy="4319025"/>
            <wp:effectExtent l="0" t="0" r="0" b="5715"/>
            <wp:docPr id="16233585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58570" name="Grafik 162335857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64135" cy="4319025"/>
                    </a:xfrm>
                    <a:prstGeom prst="rect">
                      <a:avLst/>
                    </a:prstGeom>
                  </pic:spPr>
                </pic:pic>
              </a:graphicData>
            </a:graphic>
          </wp:inline>
        </w:drawing>
      </w:r>
    </w:p>
    <w:p w14:paraId="63A75A98" w14:textId="75A1E4E0" w:rsidR="00B566C2" w:rsidRDefault="00B566C2" w:rsidP="00B566C2">
      <w:pPr>
        <w:pStyle w:val="SWCText"/>
        <w:jc w:val="center"/>
        <w:rPr>
          <w:b/>
          <w:sz w:val="16"/>
          <w:szCs w:val="20"/>
        </w:rPr>
      </w:pPr>
      <w:r w:rsidRPr="00B566C2">
        <w:rPr>
          <w:b/>
          <w:sz w:val="16"/>
          <w:szCs w:val="20"/>
        </w:rPr>
        <w:t xml:space="preserve">Fig. </w:t>
      </w:r>
      <w:r w:rsidR="003036AC">
        <w:rPr>
          <w:b/>
          <w:sz w:val="16"/>
          <w:szCs w:val="20"/>
        </w:rPr>
        <w:t>4</w:t>
      </w:r>
      <w:r w:rsidRPr="00B566C2">
        <w:rPr>
          <w:b/>
          <w:sz w:val="16"/>
          <w:szCs w:val="20"/>
        </w:rPr>
        <w:t>: Additional CO₂ emission reductions from the deployment of local renewable energy sources, such as rooftop solar and wind power, under four scenarios: status quo, full heat pump retrofit, full electrification of passenger cars, and both measures combined. Results are shown for the three municipalities (rows).</w:t>
      </w:r>
    </w:p>
    <w:p w14:paraId="22852FCD" w14:textId="2A9300AC" w:rsidR="00D0756D" w:rsidRDefault="00D0756D" w:rsidP="003F6329">
      <w:pPr>
        <w:pStyle w:val="SWCText"/>
        <w:spacing w:after="0"/>
      </w:pPr>
      <w:r>
        <w:t>Basel shows a substantially larger absolute CO</w:t>
      </w:r>
      <w:r w:rsidR="00E33228" w:rsidRPr="00B42FDA">
        <w:rPr>
          <w:vertAlign w:val="subscript"/>
        </w:rPr>
        <w:t>2</w:t>
      </w:r>
      <w:r>
        <w:t xml:space="preserve"> response to rooftop-PV deployment. At full modeled deployment, PV reduces emissions by approximately 10% of the municipal status quo across all four configurations. </w:t>
      </w:r>
      <w:r w:rsidR="00340B33" w:rsidRPr="00340B33">
        <w:t>As no additional modeled wind potential is available for Basel, no additional CO₂ reduction from wind deployment is evaluated.</w:t>
      </w:r>
    </w:p>
    <w:p w14:paraId="6A879B32" w14:textId="32B5DF89" w:rsidR="00D0756D" w:rsidRDefault="00D0756D" w:rsidP="003F6329">
      <w:pPr>
        <w:pStyle w:val="SWCText"/>
        <w:spacing w:after="0"/>
      </w:pPr>
      <w:proofErr w:type="spellStart"/>
      <w:r>
        <w:t>Lauterbrunnen</w:t>
      </w:r>
      <w:proofErr w:type="spellEnd"/>
      <w:r>
        <w:t xml:space="preserve"> displays the strongest dependence on the electrification configuration. Under status</w:t>
      </w:r>
      <w:r w:rsidR="00C8593A">
        <w:t xml:space="preserve"> </w:t>
      </w:r>
      <w:r>
        <w:t>quo demand, full deployment of either PV or wind produces a reduction of only around 1% of baseline emissions. Following electrification, however, the mitigation benefit increases substantially. Combined heat</w:t>
      </w:r>
      <w:r w:rsidR="006B2C94">
        <w:t xml:space="preserve"> </w:t>
      </w:r>
      <w:r>
        <w:t>pump and EV deployment raises the reduction from full rooftop</w:t>
      </w:r>
      <w:r w:rsidR="006B2C94">
        <w:t xml:space="preserve"> </w:t>
      </w:r>
      <w:r>
        <w:t>PV deployment to almost 3%, while full wind deployment achieves slightly more than 3%. The response curves also become progressively flatter with increasing deployment, particularly under the status</w:t>
      </w:r>
      <w:r w:rsidR="006B2C94">
        <w:t xml:space="preserve"> </w:t>
      </w:r>
      <w:r>
        <w:t>quo configuration, indicating diminishing additional CO₂ reductions at higher deployment levels.</w:t>
      </w:r>
    </w:p>
    <w:p w14:paraId="27C0501F" w14:textId="778B540B" w:rsidR="007C0346" w:rsidRDefault="00D0756D" w:rsidP="003F6329">
      <w:pPr>
        <w:pStyle w:val="SWCText"/>
        <w:spacing w:after="0"/>
      </w:pPr>
      <w:r>
        <w:t>Across the three municipalities, the results demonstrate that the CO</w:t>
      </w:r>
      <w:r w:rsidR="006B2C94" w:rsidRPr="00B42FDA">
        <w:rPr>
          <w:vertAlign w:val="subscript"/>
        </w:rPr>
        <w:t>2</w:t>
      </w:r>
      <w:r>
        <w:t xml:space="preserve"> benefit of renewable deployment is not determined solely by the size of the technical resource</w:t>
      </w:r>
      <w:r w:rsidR="001352A4">
        <w:t xml:space="preserve"> but also </w:t>
      </w:r>
      <w:r w:rsidR="00B47788">
        <w:t>by</w:t>
      </w:r>
      <w:r>
        <w:t xml:space="preserve"> the municipal electricity</w:t>
      </w:r>
      <w:r w:rsidR="006B2C94">
        <w:t xml:space="preserve"> </w:t>
      </w:r>
      <w:r>
        <w:t>demand structure and which electrification measures have already been implemented.</w:t>
      </w:r>
    </w:p>
    <w:p w14:paraId="283C3C76" w14:textId="67F36353" w:rsidR="003423ED" w:rsidRPr="00A05E4F" w:rsidRDefault="003423ED" w:rsidP="003F6329">
      <w:pPr>
        <w:pStyle w:val="SWCText"/>
        <w:spacing w:after="0"/>
      </w:pPr>
      <w:r w:rsidRPr="00A05E4F">
        <w:t xml:space="preserve">To examine how individual measures interact when combined, illustrative cumulative transition pathways </w:t>
      </w:r>
      <w:r w:rsidR="000715F7">
        <w:t>are</w:t>
      </w:r>
      <w:r w:rsidR="000715F7" w:rsidRPr="00A05E4F">
        <w:t xml:space="preserve"> </w:t>
      </w:r>
      <w:r w:rsidRPr="00A05E4F">
        <w:t>constructed using the</w:t>
      </w:r>
      <w:r>
        <w:t xml:space="preserve"> results of the</w:t>
      </w:r>
      <w:r w:rsidRPr="00A05E4F">
        <w:t xml:space="preserve"> Recommender Tool. Starting from the status quo, fossil heating systems are replaced by heat pumps, the remaining passenger</w:t>
      </w:r>
      <w:r w:rsidR="001352A4">
        <w:t xml:space="preserve"> </w:t>
      </w:r>
      <w:r w:rsidRPr="00A05E4F">
        <w:t>car fleet is electrified, the modeled rooftop</w:t>
      </w:r>
      <w:r w:rsidR="001352A4">
        <w:t xml:space="preserve"> </w:t>
      </w:r>
      <w:r w:rsidRPr="00A05E4F">
        <w:t>PV and wind potentials are deployed, and thermal energy storage is added. The pathways are constructed for analytical purposes and do not represent a fixed sequence prescribed by the Recommender Tool. Fig</w:t>
      </w:r>
      <w:r w:rsidR="00765D15">
        <w:t>.</w:t>
      </w:r>
      <w:r w:rsidRPr="00A05E4F">
        <w:t xml:space="preserve"> 5 separates changes in heating, mobility, and electricity</w:t>
      </w:r>
      <w:r w:rsidR="00B47788">
        <w:t xml:space="preserve"> </w:t>
      </w:r>
      <w:r w:rsidRPr="00A05E4F">
        <w:t>related emissions, thereby showing both the direct mitigation effect of each intervention and the electricity</w:t>
      </w:r>
      <w:r w:rsidR="00B47788">
        <w:t xml:space="preserve"> </w:t>
      </w:r>
      <w:r w:rsidRPr="00A05E4F">
        <w:t>sector effects induced through sector coupling.</w:t>
      </w:r>
    </w:p>
    <w:p w14:paraId="6CABEC05" w14:textId="36C384B6" w:rsidR="00C914CD" w:rsidRDefault="00E642FD" w:rsidP="00C77F7F">
      <w:pPr>
        <w:pStyle w:val="SWCTableFigureCaption"/>
      </w:pPr>
      <w:r>
        <w:rPr>
          <w:noProof/>
        </w:rPr>
        <w:lastRenderedPageBreak/>
        <w:drawing>
          <wp:inline distT="0" distB="0" distL="0" distR="0" wp14:anchorId="17B21002" wp14:editId="2A65F8A4">
            <wp:extent cx="5564135" cy="5399543"/>
            <wp:effectExtent l="0" t="0" r="0" b="0"/>
            <wp:docPr id="197924652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46523" name="Grafik 19792465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4135" cy="5399543"/>
                    </a:xfrm>
                    <a:prstGeom prst="rect">
                      <a:avLst/>
                    </a:prstGeom>
                  </pic:spPr>
                </pic:pic>
              </a:graphicData>
            </a:graphic>
          </wp:inline>
        </w:drawing>
      </w:r>
    </w:p>
    <w:p w14:paraId="342116FB" w14:textId="5D2B3A8E" w:rsidR="006D4F76" w:rsidRPr="00C67D00" w:rsidRDefault="00334F09" w:rsidP="00132459">
      <w:pPr>
        <w:pStyle w:val="SWCTableFigureCaption"/>
        <w:rPr>
          <w:b w:val="0"/>
          <w:bCs/>
          <w:sz w:val="20"/>
          <w:szCs w:val="24"/>
        </w:rPr>
      </w:pPr>
      <w:r w:rsidRPr="00334F09">
        <w:t>Fig</w:t>
      </w:r>
      <w:r>
        <w:t>.</w:t>
      </w:r>
      <w:r w:rsidRPr="00334F09">
        <w:t xml:space="preserve"> 5: Impact of pathway-based scenarios on the carbon emissions of three Swiss municipalities. The scenarios include the replacement of fossil-fuel heating systems with heat pumps (+HP Retrofit 100%), expansion of electric vehicles (+EV 100%), expansion of rooftop photovoltaic (PV) systems (+PV Rooftop 100%), expansion of wind power (+Wind 100%), and implementation of thermal energy storage (TES).</w:t>
      </w:r>
    </w:p>
    <w:p w14:paraId="6F062411" w14:textId="6E9EB239" w:rsidR="00A05E4F" w:rsidRPr="00A05E4F" w:rsidRDefault="00A05E4F" w:rsidP="00A05E4F">
      <w:pPr>
        <w:pStyle w:val="SWCText"/>
        <w:spacing w:after="0"/>
      </w:pPr>
      <w:r w:rsidRPr="00A05E4F">
        <w:t xml:space="preserve">In </w:t>
      </w:r>
      <w:proofErr w:type="spellStart"/>
      <w:r w:rsidRPr="00A05E4F">
        <w:t>Sirnach</w:t>
      </w:r>
      <w:proofErr w:type="spellEnd"/>
      <w:r w:rsidRPr="00A05E4F">
        <w:t xml:space="preserve">, </w:t>
      </w:r>
      <w:r w:rsidR="00224B6E">
        <w:t>after all measures</w:t>
      </w:r>
      <w:r w:rsidRPr="00224B6E">
        <w:t>, 11.5% of status</w:t>
      </w:r>
      <w:r w:rsidR="00224B6E">
        <w:t xml:space="preserve"> </w:t>
      </w:r>
      <w:r w:rsidRPr="00224B6E">
        <w:t>quo emissions remain, corresponding to an overall reduction of 88.5%.</w:t>
      </w:r>
      <w:r w:rsidR="00224B6E">
        <w:t xml:space="preserve"> </w:t>
      </w:r>
      <w:r w:rsidRPr="00A05E4F">
        <w:t>Basel exhibits a different transition structure</w:t>
      </w:r>
      <w:r w:rsidR="00224B6E">
        <w:t xml:space="preserve"> as t</w:t>
      </w:r>
      <w:r w:rsidRPr="00A05E4F">
        <w:t xml:space="preserve">he final configuration retains </w:t>
      </w:r>
      <w:r w:rsidRPr="00224B6E">
        <w:t>46.5% of status</w:t>
      </w:r>
      <w:r w:rsidR="00C8593A">
        <w:t xml:space="preserve"> </w:t>
      </w:r>
      <w:r w:rsidRPr="00224B6E">
        <w:t>quo emissions, corresponding to an</w:t>
      </w:r>
      <w:r w:rsidRPr="00A05E4F">
        <w:t xml:space="preserve"> overall reduction of 53.5%.</w:t>
      </w:r>
    </w:p>
    <w:p w14:paraId="59A28B9F" w14:textId="57A72B05" w:rsidR="00A05E4F" w:rsidRPr="00A05E4F" w:rsidRDefault="00A05E4F" w:rsidP="00A05E4F">
      <w:pPr>
        <w:pStyle w:val="SWCText"/>
        <w:spacing w:after="0"/>
      </w:pPr>
      <w:r w:rsidRPr="00A05E4F">
        <w:t xml:space="preserve">In </w:t>
      </w:r>
      <w:proofErr w:type="spellStart"/>
      <w:r w:rsidRPr="00A05E4F">
        <w:t>Lauterbrunnen</w:t>
      </w:r>
      <w:proofErr w:type="spellEnd"/>
      <w:r w:rsidRPr="00A05E4F">
        <w:t>, heating</w:t>
      </w:r>
      <w:r w:rsidR="00224B6E">
        <w:t xml:space="preserve"> </w:t>
      </w:r>
      <w:r w:rsidRPr="00A05E4F">
        <w:t xml:space="preserve">system electrification dominates the pathway. After all measures are implemented, only </w:t>
      </w:r>
      <w:r w:rsidRPr="002947BA">
        <w:t>1.7% of the initial emissions remain,</w:t>
      </w:r>
      <w:r w:rsidRPr="00A05E4F">
        <w:t xml:space="preserve"> corresponding to a modeled reduction of 98.3%.</w:t>
      </w:r>
    </w:p>
    <w:p w14:paraId="7C49A43F" w14:textId="18BF1C2F" w:rsidR="00752432" w:rsidRPr="00752432" w:rsidRDefault="00A05E4F" w:rsidP="00A05E4F">
      <w:pPr>
        <w:pStyle w:val="SWCText"/>
        <w:spacing w:after="0"/>
      </w:pPr>
      <w:r w:rsidRPr="00A05E4F">
        <w:t>The three pathways illustrate the importance of the initial municipal energy-system structure. The results also demonstrate a common sector-coupling mechanism: reductions in direct heating and mobility emissions are partly offset by increased electricity-related emissions. Subsequent renewable and flexibility measures can reduce this transferred burden, but the magnitude of their contribution depends strongly on local renewable resources and electricity demand.</w:t>
      </w:r>
    </w:p>
    <w:p w14:paraId="1E5AAFF0" w14:textId="62BD1B32" w:rsidR="00F94B58" w:rsidRPr="00230D36" w:rsidRDefault="00F94B58" w:rsidP="00230D36">
      <w:pPr>
        <w:pStyle w:val="SWCHeading1"/>
        <w:tabs>
          <w:tab w:val="clear" w:pos="4472"/>
          <w:tab w:val="num" w:pos="709"/>
        </w:tabs>
        <w:ind w:left="709"/>
      </w:pPr>
      <w:r w:rsidRPr="00230D36">
        <w:t>Discussion</w:t>
      </w:r>
    </w:p>
    <w:p w14:paraId="3EF78DC3" w14:textId="60CA4583" w:rsidR="007034A1" w:rsidRPr="007034A1" w:rsidRDefault="007034A1" w:rsidP="00A047C6">
      <w:pPr>
        <w:pStyle w:val="SWCText"/>
        <w:spacing w:after="0"/>
      </w:pPr>
      <w:r w:rsidRPr="007034A1">
        <w:t xml:space="preserve">The three </w:t>
      </w:r>
      <w:r w:rsidR="00273CF0">
        <w:t>municipalities</w:t>
      </w:r>
      <w:r w:rsidRPr="007034A1">
        <w:t xml:space="preserve"> demonstrate that transitions </w:t>
      </w:r>
      <w:r w:rsidR="006E0C63">
        <w:t xml:space="preserve">to lower emissions </w:t>
      </w:r>
      <w:r w:rsidRPr="007034A1">
        <w:t xml:space="preserve">are strongly </w:t>
      </w:r>
      <w:r w:rsidR="007630DA">
        <w:t>dependent</w:t>
      </w:r>
      <w:r w:rsidRPr="007034A1">
        <w:t xml:space="preserve"> by </w:t>
      </w:r>
      <w:r w:rsidR="007630DA">
        <w:t>configurations of the</w:t>
      </w:r>
      <w:r w:rsidR="0055113C">
        <w:t xml:space="preserve"> local</w:t>
      </w:r>
      <w:r w:rsidR="007630DA">
        <w:t xml:space="preserve"> energy system</w:t>
      </w:r>
      <w:r w:rsidRPr="007034A1">
        <w:t xml:space="preserve"> and by interactions between</w:t>
      </w:r>
      <w:r w:rsidR="0055113C">
        <w:t xml:space="preserve"> the</w:t>
      </w:r>
      <w:r w:rsidRPr="007034A1">
        <w:t xml:space="preserve"> energy sectors. Although the same set of measures was evaluated in </w:t>
      </w:r>
      <w:r w:rsidR="0055113C">
        <w:t xml:space="preserve">all three municipalities, </w:t>
      </w:r>
      <w:proofErr w:type="spellStart"/>
      <w:r w:rsidRPr="007034A1">
        <w:t>Sirnach</w:t>
      </w:r>
      <w:proofErr w:type="spellEnd"/>
      <w:r w:rsidRPr="007034A1">
        <w:t xml:space="preserve">, Basel, and </w:t>
      </w:r>
      <w:proofErr w:type="spellStart"/>
      <w:r w:rsidRPr="007034A1">
        <w:t>Lauterbrunnen</w:t>
      </w:r>
      <w:proofErr w:type="spellEnd"/>
      <w:r w:rsidRPr="007034A1">
        <w:t xml:space="preserve">, the resulting mitigation pathways differ substantially. This </w:t>
      </w:r>
      <w:r w:rsidR="00E32098">
        <w:t xml:space="preserve">shows </w:t>
      </w:r>
      <w:r w:rsidRPr="007034A1">
        <w:t xml:space="preserve">that the </w:t>
      </w:r>
      <w:r w:rsidR="00CC3562">
        <w:t>impact</w:t>
      </w:r>
      <w:r w:rsidR="00CC3562" w:rsidRPr="007034A1">
        <w:t xml:space="preserve"> </w:t>
      </w:r>
      <w:r w:rsidRPr="007034A1">
        <w:t xml:space="preserve">of individual measures cannot be inferred </w:t>
      </w:r>
      <w:r w:rsidRPr="007034A1">
        <w:lastRenderedPageBreak/>
        <w:t xml:space="preserve">from technical potential alone, but depends </w:t>
      </w:r>
      <w:r w:rsidR="00A84C8A">
        <w:t xml:space="preserve">also strongly </w:t>
      </w:r>
      <w:r w:rsidRPr="007034A1">
        <w:t xml:space="preserve">on </w:t>
      </w:r>
      <w:r w:rsidR="006B4E31">
        <w:t>starting conditions</w:t>
      </w:r>
      <w:r w:rsidRPr="007034A1">
        <w:t>, local renewable resources, and the way in which measures i</w:t>
      </w:r>
      <w:r w:rsidR="006B4E31">
        <w:t>mpact</w:t>
      </w:r>
      <w:r w:rsidRPr="007034A1">
        <w:t xml:space="preserve"> one another.</w:t>
      </w:r>
    </w:p>
    <w:p w14:paraId="3A064743" w14:textId="6D1AD610" w:rsidR="007034A1" w:rsidRPr="007034A1" w:rsidRDefault="007034A1" w:rsidP="00A047C6">
      <w:pPr>
        <w:pStyle w:val="SWCText"/>
        <w:spacing w:after="0"/>
      </w:pPr>
      <w:r w:rsidRPr="007034A1">
        <w:t>The status</w:t>
      </w:r>
      <w:r w:rsidR="00D7636E">
        <w:t xml:space="preserve"> </w:t>
      </w:r>
      <w:r w:rsidRPr="007034A1">
        <w:t xml:space="preserve">quo analysis already reveals markedly different transition challenges. </w:t>
      </w:r>
      <w:proofErr w:type="spellStart"/>
      <w:r w:rsidRPr="007034A1">
        <w:t>Sirnach</w:t>
      </w:r>
      <w:proofErr w:type="spellEnd"/>
      <w:r w:rsidRPr="007034A1">
        <w:t xml:space="preserve"> is characterized by high contributions from both heating and mobility, whereas </w:t>
      </w:r>
      <w:proofErr w:type="spellStart"/>
      <w:r w:rsidRPr="007034A1">
        <w:t>Lauterbrunnen</w:t>
      </w:r>
      <w:proofErr w:type="spellEnd"/>
      <w:r w:rsidRPr="007034A1">
        <w:t xml:space="preserve"> is dominated by heating</w:t>
      </w:r>
      <w:r w:rsidR="00D7636E">
        <w:t xml:space="preserve"> </w:t>
      </w:r>
      <w:r w:rsidRPr="007034A1">
        <w:t xml:space="preserve">related emissions. </w:t>
      </w:r>
      <w:r w:rsidR="00D7636E" w:rsidRPr="007034A1">
        <w:t>Basel</w:t>
      </w:r>
      <w:r w:rsidR="00941CB3">
        <w:t xml:space="preserve"> </w:t>
      </w:r>
      <w:r w:rsidRPr="007034A1">
        <w:t xml:space="preserve">exhibits a more balanced sectoral distribution and a substantially different </w:t>
      </w:r>
      <w:r w:rsidR="00860A69">
        <w:t xml:space="preserve">potential </w:t>
      </w:r>
      <w:proofErr w:type="gramStart"/>
      <w:r w:rsidR="00540694">
        <w:t>of</w:t>
      </w:r>
      <w:proofErr w:type="gramEnd"/>
      <w:r w:rsidR="00540694">
        <w:t xml:space="preserve"> renewables</w:t>
      </w:r>
      <w:r w:rsidRPr="007034A1">
        <w:t>. These differences are subsequently reflected in the mitigation effects of the simulated measures. In municipalities with a large share of fossil heating, heat</w:t>
      </w:r>
      <w:r w:rsidR="00506C90">
        <w:t xml:space="preserve"> </w:t>
      </w:r>
      <w:r w:rsidRPr="007034A1">
        <w:t xml:space="preserve">pump deployment can deliver </w:t>
      </w:r>
      <w:r w:rsidR="00E90458" w:rsidRPr="007034A1">
        <w:t>direct</w:t>
      </w:r>
      <w:r w:rsidR="00E90458">
        <w:t>ly</w:t>
      </w:r>
      <w:r w:rsidR="00E90458" w:rsidRPr="007034A1">
        <w:t xml:space="preserve"> </w:t>
      </w:r>
      <w:r w:rsidRPr="007034A1">
        <w:t xml:space="preserve">substantial emission reductions. Similarly, where mobility contributes strongly to the baseline carbon footprint, electrification of </w:t>
      </w:r>
      <w:r w:rsidR="00971E5C">
        <w:t>private</w:t>
      </w:r>
      <w:r w:rsidRPr="007034A1">
        <w:t xml:space="preserve"> transport provides significant mitigation potential.</w:t>
      </w:r>
    </w:p>
    <w:p w14:paraId="1DE896FB" w14:textId="052F0458" w:rsidR="007034A1" w:rsidRPr="007034A1" w:rsidRDefault="007034A1" w:rsidP="00A047C6">
      <w:pPr>
        <w:pStyle w:val="SWCText"/>
        <w:spacing w:after="0"/>
      </w:pPr>
      <w:r w:rsidRPr="007034A1">
        <w:t xml:space="preserve">At the same time, the analysis highlights the importance of sector coupling. Electrification of heating and mobility </w:t>
      </w:r>
      <w:r w:rsidR="00367CC3">
        <w:t xml:space="preserve">may </w:t>
      </w:r>
      <w:r w:rsidRPr="007034A1">
        <w:t xml:space="preserve">reduce direct fossil-fuel emissions but </w:t>
      </w:r>
      <w:r w:rsidR="00B42471">
        <w:t xml:space="preserve">adds </w:t>
      </w:r>
      <w:r w:rsidRPr="007034A1">
        <w:t xml:space="preserve">demand to the electricity sector. This effect is visible both in the </w:t>
      </w:r>
      <w:r w:rsidR="008447AA" w:rsidRPr="007034A1">
        <w:t>electricity demand</w:t>
      </w:r>
      <w:r w:rsidRPr="007034A1">
        <w:t xml:space="preserve"> analysis</w:t>
      </w:r>
      <w:r w:rsidR="00F13403">
        <w:t xml:space="preserve"> in Fig</w:t>
      </w:r>
      <w:r w:rsidR="0091428D">
        <w:t>.</w:t>
      </w:r>
      <w:r w:rsidR="00F13403">
        <w:t xml:space="preserve"> 3</w:t>
      </w:r>
      <w:r w:rsidRPr="007034A1">
        <w:t xml:space="preserve"> and in the waterfall p</w:t>
      </w:r>
      <w:r w:rsidR="00F13403">
        <w:t>lots in Fig</w:t>
      </w:r>
      <w:r w:rsidR="0091428D">
        <w:t>.</w:t>
      </w:r>
      <w:r w:rsidR="00F13403">
        <w:t xml:space="preserve"> 5</w:t>
      </w:r>
      <w:r w:rsidRPr="007034A1">
        <w:t>, where reductions in heating and mobility emissions are partly offset by increases in electricity-related emissions. Their system</w:t>
      </w:r>
      <w:r w:rsidR="00B72816">
        <w:t>-</w:t>
      </w:r>
      <w:r w:rsidRPr="007034A1">
        <w:t>wide effect also depends</w:t>
      </w:r>
      <w:r w:rsidR="00B3203B">
        <w:t xml:space="preserve"> strongly</w:t>
      </w:r>
      <w:r w:rsidRPr="007034A1">
        <w:t xml:space="preserve"> on how </w:t>
      </w:r>
      <w:proofErr w:type="gramStart"/>
      <w:r w:rsidRPr="007034A1">
        <w:t>the additional</w:t>
      </w:r>
      <w:proofErr w:type="gramEnd"/>
      <w:r w:rsidRPr="007034A1">
        <w:t xml:space="preserve"> electricity is supplied.</w:t>
      </w:r>
    </w:p>
    <w:p w14:paraId="7EF4D327" w14:textId="6B97BDC4" w:rsidR="007034A1" w:rsidRPr="007034A1" w:rsidRDefault="007034A1" w:rsidP="00A047C6">
      <w:pPr>
        <w:pStyle w:val="SWCText"/>
        <w:spacing w:after="0"/>
      </w:pPr>
      <w:r w:rsidRPr="007034A1">
        <w:t>This interaction is particularly relevant when evaluating renewable-generation measures. The comparison between technical generation potential and the CO</w:t>
      </w:r>
      <w:r w:rsidR="003C528B" w:rsidRPr="003C528B">
        <w:rPr>
          <w:vertAlign w:val="subscript"/>
        </w:rPr>
        <w:t>2</w:t>
      </w:r>
      <w:r w:rsidRPr="007034A1">
        <w:t xml:space="preserve"> response to increasing PV and wind deployment shows that renewable</w:t>
      </w:r>
      <w:r w:rsidR="00B3203B">
        <w:t xml:space="preserve"> generation</w:t>
      </w:r>
      <w:r w:rsidRPr="007034A1">
        <w:t xml:space="preserve"> potential and </w:t>
      </w:r>
      <w:r w:rsidR="00B3203B">
        <w:t xml:space="preserve">emission </w:t>
      </w:r>
      <w:r w:rsidRPr="007034A1">
        <w:t>mitigation potential are not equivalent. A municipality may possess a large technical resource, but the carbon benefit of deploying that resource depends on the</w:t>
      </w:r>
      <w:r w:rsidR="00820027">
        <w:t xml:space="preserve"> local temporal</w:t>
      </w:r>
      <w:r w:rsidRPr="007034A1">
        <w:t xml:space="preserve"> demand </w:t>
      </w:r>
      <w:r w:rsidR="00C01C42">
        <w:t xml:space="preserve">and existing generation </w:t>
      </w:r>
      <w:r w:rsidRPr="007034A1">
        <w:t>structure</w:t>
      </w:r>
      <w:r w:rsidR="000D2599">
        <w:t>.</w:t>
      </w:r>
      <w:r w:rsidRPr="007034A1">
        <w:t xml:space="preserve"> Conversely, electrification can increase the usefulness of locally generated renewable electricity by creating additional demand that can be supplied by PV or wind. The deployment-response curves therefore reveal information that is not apparent from potential estimates alone.</w:t>
      </w:r>
    </w:p>
    <w:p w14:paraId="1155734F" w14:textId="70F61EB9" w:rsidR="007034A1" w:rsidRPr="007034A1" w:rsidRDefault="007034A1" w:rsidP="00A047C6">
      <w:pPr>
        <w:pStyle w:val="SWCText"/>
        <w:spacing w:after="0"/>
      </w:pPr>
      <w:r w:rsidRPr="007034A1">
        <w:t>The response curves</w:t>
      </w:r>
      <w:r w:rsidR="002D2905">
        <w:t xml:space="preserve"> in Fig. 4</w:t>
      </w:r>
      <w:r w:rsidRPr="007034A1">
        <w:t xml:space="preserve"> also show that the mitigation benefit of renewable deployment is not necessarily proportional to the degree of deployment. In several cases, the curves flatten at higher deployment levels, indicating declining marginal CO</w:t>
      </w:r>
      <w:r w:rsidR="003C528B" w:rsidRPr="003C528B">
        <w:rPr>
          <w:vertAlign w:val="subscript"/>
        </w:rPr>
        <w:t>2</w:t>
      </w:r>
      <w:r w:rsidRPr="007034A1">
        <w:t xml:space="preserve"> reductions from additional renewable generation. This behavior is consistent with the increasing importance of temporal matching between local generation and electricity demand. Once renewable generation increasingly exceeds simultaneous local demand, additional deployment may displace </w:t>
      </w:r>
      <w:proofErr w:type="gramStart"/>
      <w:r w:rsidRPr="007034A1">
        <w:t>less grid</w:t>
      </w:r>
      <w:proofErr w:type="gramEnd"/>
      <w:r w:rsidRPr="007034A1">
        <w:t xml:space="preserve"> electricity and therefore deliver a smaller emission reduction. </w:t>
      </w:r>
    </w:p>
    <w:p w14:paraId="16356628" w14:textId="2578B43B" w:rsidR="007034A1" w:rsidRPr="007034A1" w:rsidRDefault="007034A1" w:rsidP="00506C90">
      <w:pPr>
        <w:pStyle w:val="SWCText"/>
        <w:spacing w:after="0"/>
      </w:pPr>
      <w:r w:rsidRPr="007034A1">
        <w:t xml:space="preserve">The contrast between the municipalities is especially visible in the cumulative pathways. The same modeled sequence reduces residual emissions to approximately 11.5% of the status quo in </w:t>
      </w:r>
      <w:proofErr w:type="spellStart"/>
      <w:r w:rsidRPr="007034A1">
        <w:t>Sirnach</w:t>
      </w:r>
      <w:proofErr w:type="spellEnd"/>
      <w:r w:rsidRPr="007034A1">
        <w:t xml:space="preserve"> and 1.7% in </w:t>
      </w:r>
      <w:proofErr w:type="spellStart"/>
      <w:r w:rsidRPr="007034A1">
        <w:t>Lauterbrunnen</w:t>
      </w:r>
      <w:proofErr w:type="spellEnd"/>
      <w:r w:rsidRPr="007034A1">
        <w:t>, whereas 46.5% remain in Basel.</w:t>
      </w:r>
      <w:r w:rsidR="00062402">
        <w:t xml:space="preserve"> </w:t>
      </w:r>
      <w:r w:rsidR="00067797">
        <w:t xml:space="preserve">Many buildings in </w:t>
      </w:r>
      <w:r w:rsidR="008317E0">
        <w:t>B</w:t>
      </w:r>
      <w:r w:rsidR="00067797">
        <w:t xml:space="preserve">asel are </w:t>
      </w:r>
      <w:r w:rsidR="008317E0">
        <w:t>connected to a</w:t>
      </w:r>
      <w:r w:rsidR="00067797">
        <w:t xml:space="preserve"> district heating</w:t>
      </w:r>
      <w:r w:rsidR="008317E0">
        <w:t xml:space="preserve"> network which</w:t>
      </w:r>
      <w:r w:rsidR="00B666EE">
        <w:t xml:space="preserve"> is exempt from the heat pump de</w:t>
      </w:r>
      <w:r w:rsidR="008D415F">
        <w:t xml:space="preserve">ployment. </w:t>
      </w:r>
      <w:r w:rsidR="00EC1975" w:rsidRPr="00EC1975">
        <w:t>This limits the potential for emission reductions, as emissions from the heating sector depend on the emission intensity of the district heating supply, e.g., the central plant serving the district heating network.</w:t>
      </w:r>
      <w:r w:rsidR="00050D1B">
        <w:t xml:space="preserve"> </w:t>
      </w:r>
      <w:r w:rsidR="008B77B2">
        <w:t>In the DEM</w:t>
      </w:r>
      <w:r w:rsidR="00BE492A">
        <w:t xml:space="preserve">, </w:t>
      </w:r>
      <w:r w:rsidR="00050D1B">
        <w:t>a CO</w:t>
      </w:r>
      <w:r w:rsidR="00050D1B" w:rsidRPr="003C528B">
        <w:rPr>
          <w:vertAlign w:val="subscript"/>
        </w:rPr>
        <w:t>2</w:t>
      </w:r>
      <w:r w:rsidR="00050D1B" w:rsidRPr="00050D1B">
        <w:t xml:space="preserve"> intensity factor of </w:t>
      </w:r>
      <w:r w:rsidR="00BE492A">
        <w:t>0.108 kg CO</w:t>
      </w:r>
      <w:r w:rsidR="00BE492A" w:rsidRPr="003C528B">
        <w:rPr>
          <w:vertAlign w:val="subscript"/>
        </w:rPr>
        <w:t>2</w:t>
      </w:r>
      <w:r w:rsidR="00BE492A">
        <w:t xml:space="preserve">/kWh is assumed </w:t>
      </w:r>
      <w:r w:rsidR="00B666EE">
        <w:t>generally for district heating</w:t>
      </w:r>
      <w:r w:rsidR="00115C7E">
        <w:t xml:space="preserve"> without specified heat </w:t>
      </w:r>
      <w:r w:rsidR="00476269">
        <w:t>generator</w:t>
      </w:r>
      <w:r w:rsidR="00B666EE">
        <w:t xml:space="preserve">. </w:t>
      </w:r>
      <w:r w:rsidR="00062402">
        <w:t>T</w:t>
      </w:r>
      <w:r w:rsidRPr="007034A1">
        <w:t xml:space="preserve">he </w:t>
      </w:r>
      <w:r w:rsidR="004463C8">
        <w:t xml:space="preserve">three municipalities </w:t>
      </w:r>
      <w:r w:rsidRPr="007034A1">
        <w:t xml:space="preserve">demonstrate that a </w:t>
      </w:r>
      <w:r w:rsidR="00E52B78">
        <w:t>similar</w:t>
      </w:r>
      <w:r w:rsidRPr="007034A1">
        <w:t xml:space="preserve"> technology </w:t>
      </w:r>
      <w:r w:rsidR="009D3579">
        <w:t>mix</w:t>
      </w:r>
      <w:r w:rsidRPr="007034A1">
        <w:t xml:space="preserve"> encounters different opportunities and constraints in different local energy systems. In some municipalities, electrification combined with local renewable generation can address a large share of current operational emissions, whereas others require additional measures beyond the technology set considered here.</w:t>
      </w:r>
    </w:p>
    <w:p w14:paraId="199CD8D0" w14:textId="04549954" w:rsidR="007034A1" w:rsidRPr="007034A1" w:rsidRDefault="007034A1" w:rsidP="00A047C6">
      <w:pPr>
        <w:pStyle w:val="SWCText"/>
        <w:spacing w:after="0"/>
      </w:pPr>
      <w:r w:rsidRPr="007034A1">
        <w:t xml:space="preserve">The </w:t>
      </w:r>
      <w:r w:rsidR="002D0AA7">
        <w:t>Recommender T</w:t>
      </w:r>
      <w:r w:rsidRPr="007034A1">
        <w:t>ool</w:t>
      </w:r>
      <w:r w:rsidR="002D0AA7">
        <w:t xml:space="preserve"> in </w:t>
      </w:r>
      <w:r w:rsidR="00C840D1">
        <w:t>its current state</w:t>
      </w:r>
      <w:r w:rsidRPr="007034A1">
        <w:t xml:space="preserve"> does not prescribe</w:t>
      </w:r>
      <w:r w:rsidR="00C840D1">
        <w:t xml:space="preserve"> or suggest</w:t>
      </w:r>
      <w:r w:rsidRPr="007034A1">
        <w:t xml:space="preserve"> a fixed transition pathway. Instead, users can inspect municipality-specific information and explore alternative technology configurations. By systematically varying these configurations, the analysis presented here shows how the tool can be used to identify dependencies between measures, compare local renewable resources, and investigate cumulative transition effects. </w:t>
      </w:r>
      <w:r w:rsidR="00C840D1">
        <w:t>T</w:t>
      </w:r>
      <w:r w:rsidRPr="007034A1">
        <w:t xml:space="preserve">he value of the tool lies not only in </w:t>
      </w:r>
      <w:r w:rsidR="005D4164">
        <w:t xml:space="preserve">compiling and </w:t>
      </w:r>
      <w:r w:rsidRPr="007034A1">
        <w:t>displaying individual indicators, but also in enabling exploration of how local energy systems respond to alternative configurations.</w:t>
      </w:r>
    </w:p>
    <w:p w14:paraId="69903EC1" w14:textId="5239DE93" w:rsidR="007034A1" w:rsidRPr="007034A1" w:rsidRDefault="007034A1" w:rsidP="00A047C6">
      <w:pPr>
        <w:pStyle w:val="SWCText"/>
        <w:spacing w:after="0"/>
      </w:pPr>
      <w:proofErr w:type="gramStart"/>
      <w:r w:rsidRPr="007034A1">
        <w:t xml:space="preserve">A </w:t>
      </w:r>
      <w:r w:rsidR="008D0A71">
        <w:t>current</w:t>
      </w:r>
      <w:proofErr w:type="gramEnd"/>
      <w:r w:rsidR="008D0A71">
        <w:t xml:space="preserve"> </w:t>
      </w:r>
      <w:r w:rsidRPr="007034A1">
        <w:t xml:space="preserve">limitation </w:t>
      </w:r>
      <w:r w:rsidR="003F6329">
        <w:t xml:space="preserve">of </w:t>
      </w:r>
      <w:r w:rsidR="003F6329" w:rsidRPr="007034A1">
        <w:t>the Recommender Tool</w:t>
      </w:r>
      <w:r w:rsidR="008D0A71">
        <w:t>, however,</w:t>
      </w:r>
      <w:r w:rsidR="003F6329" w:rsidRPr="007034A1">
        <w:t xml:space="preserve"> </w:t>
      </w:r>
      <w:r w:rsidR="008D0A71">
        <w:t xml:space="preserve">may </w:t>
      </w:r>
      <w:r w:rsidRPr="007034A1">
        <w:t>concern the range of transition measures represented. The present implementation focuses on five broadly applicable measures</w:t>
      </w:r>
      <w:r w:rsidR="008416E0">
        <w:t xml:space="preserve"> such as</w:t>
      </w:r>
      <w:r w:rsidRPr="007034A1">
        <w:t xml:space="preserve"> heat</w:t>
      </w:r>
      <w:r w:rsidR="008D0A71">
        <w:t xml:space="preserve"> </w:t>
      </w:r>
      <w:r w:rsidRPr="007034A1">
        <w:t>pump deployment, passenger</w:t>
      </w:r>
      <w:r w:rsidR="008D0A71">
        <w:t xml:space="preserve"> </w:t>
      </w:r>
      <w:r w:rsidRPr="007034A1">
        <w:t>car electrification, rooftop PV, wind power</w:t>
      </w:r>
      <w:r w:rsidR="008416E0">
        <w:t xml:space="preserve"> deployment</w:t>
      </w:r>
      <w:r w:rsidRPr="007034A1">
        <w:t xml:space="preserve">, and </w:t>
      </w:r>
      <w:r w:rsidR="00A13BDC">
        <w:t xml:space="preserve">installing </w:t>
      </w:r>
      <w:r w:rsidRPr="007034A1">
        <w:t xml:space="preserve">thermal energy storage. These measures were selected because they are relevant to </w:t>
      </w:r>
      <w:r w:rsidR="00A13BDC" w:rsidRPr="007034A1">
        <w:t>many</w:t>
      </w:r>
      <w:r w:rsidRPr="007034A1">
        <w:t xml:space="preserve"> Swiss municipalities and allow a manageable set of parameters to be exposed to users. However, the most relevant transition options can differ considerably between municipalities. Local systems may depend on technologies or infrastructures that are not represented by these five parameters, such as district</w:t>
      </w:r>
      <w:r w:rsidR="008D0A71">
        <w:t xml:space="preserve"> </w:t>
      </w:r>
      <w:r w:rsidRPr="007034A1">
        <w:t xml:space="preserve">heating expansion, biomass, hydropower, alpine PV, other storage technologies, or changes in building demand. The underlying </w:t>
      </w:r>
      <w:r w:rsidR="008D0A71">
        <w:t>DEM</w:t>
      </w:r>
      <w:r w:rsidRPr="007034A1">
        <w:t xml:space="preserve"> allows a </w:t>
      </w:r>
      <w:r w:rsidR="00251233">
        <w:t xml:space="preserve">much </w:t>
      </w:r>
      <w:r w:rsidRPr="007034A1">
        <w:t xml:space="preserve">more detailed representation of municipality-specific energy systems than </w:t>
      </w:r>
      <w:r w:rsidR="00251233">
        <w:t>is presented</w:t>
      </w:r>
      <w:r w:rsidRPr="007034A1">
        <w:t xml:space="preserve"> through the simplified Recommender Too</w:t>
      </w:r>
      <w:r w:rsidR="00251233">
        <w:t>l</w:t>
      </w:r>
      <w:r w:rsidRPr="007034A1">
        <w:t xml:space="preserve">. Battery electricity storage is one example of an additional option that can be investigated in the DEM </w:t>
      </w:r>
      <w:r w:rsidRPr="007034A1">
        <w:lastRenderedPageBreak/>
        <w:t>but is not yet included as a configurable measure in the Recommender Tool</w:t>
      </w:r>
      <w:r w:rsidR="00FF6D07">
        <w:t xml:space="preserve"> as th</w:t>
      </w:r>
      <w:r w:rsidR="00D12B3B">
        <w:t>e current</w:t>
      </w:r>
      <w:r w:rsidR="00FF6D07">
        <w:t xml:space="preserve"> version does not allow simultaneous </w:t>
      </w:r>
      <w:r w:rsidR="00F837D3">
        <w:t>enabling of thermal and electrical storage in non-optimized scenarios</w:t>
      </w:r>
      <w:r w:rsidRPr="007034A1">
        <w:t xml:space="preserve">. Future versions </w:t>
      </w:r>
      <w:r w:rsidR="003D4E65">
        <w:t xml:space="preserve">of the tool </w:t>
      </w:r>
      <w:r w:rsidRPr="007034A1">
        <w:t xml:space="preserve">could therefore provide a broader or municipality-dependent set of transition parameters while retaining an interface that remains understandable </w:t>
      </w:r>
      <w:r w:rsidR="003D4E65">
        <w:t xml:space="preserve">and intuitive also </w:t>
      </w:r>
      <w:r w:rsidRPr="007034A1">
        <w:t>to non-expert users.</w:t>
      </w:r>
    </w:p>
    <w:p w14:paraId="500FB0E3" w14:textId="52FD05A6" w:rsidR="007034A1" w:rsidRPr="007034A1" w:rsidRDefault="00C37F46" w:rsidP="00A047C6">
      <w:pPr>
        <w:pStyle w:val="SWCText"/>
        <w:spacing w:after="0"/>
      </w:pPr>
      <w:r>
        <w:t>T</w:t>
      </w:r>
      <w:r w:rsidR="007034A1" w:rsidRPr="007034A1">
        <w:t>he study primarily evaluates operational CO</w:t>
      </w:r>
      <w:r w:rsidRPr="00C37F46">
        <w:rPr>
          <w:vertAlign w:val="subscript"/>
        </w:rPr>
        <w:t>2</w:t>
      </w:r>
      <w:r w:rsidR="007034A1" w:rsidRPr="007034A1">
        <w:t xml:space="preserve"> effects</w:t>
      </w:r>
      <w:r w:rsidR="006352F0">
        <w:t>, does not consider embodied emissions and</w:t>
      </w:r>
      <w:r w:rsidR="00A932EA">
        <w:t xml:space="preserve"> </w:t>
      </w:r>
      <w:r w:rsidR="007034A1" w:rsidRPr="007034A1">
        <w:t xml:space="preserve">does not constitute a full assessment of broader transition performance. </w:t>
      </w:r>
      <w:r w:rsidR="00001B33">
        <w:t>Alternate i</w:t>
      </w:r>
      <w:r w:rsidR="007034A1" w:rsidRPr="007034A1">
        <w:t>ndicators</w:t>
      </w:r>
      <w:r w:rsidR="00001B33">
        <w:t xml:space="preserve"> of interest are</w:t>
      </w:r>
      <w:r w:rsidR="00AE020D">
        <w:t>,</w:t>
      </w:r>
      <w:r w:rsidR="00001B33">
        <w:t xml:space="preserve"> </w:t>
      </w:r>
      <w:r w:rsidR="00E508C8">
        <w:t>among others</w:t>
      </w:r>
      <w:r w:rsidR="00AE020D">
        <w:t>,</w:t>
      </w:r>
      <w:r w:rsidR="00E508C8">
        <w:t xml:space="preserve"> </w:t>
      </w:r>
      <w:r w:rsidR="007034A1" w:rsidRPr="007034A1">
        <w:t xml:space="preserve">local self-consumption, energy self-sufficiency, </w:t>
      </w:r>
      <w:r w:rsidR="00E508C8">
        <w:t>and costs. Th</w:t>
      </w:r>
      <w:r w:rsidR="006C18AD">
        <w:t>ese</w:t>
      </w:r>
      <w:r w:rsidR="007034A1" w:rsidRPr="007034A1">
        <w:t xml:space="preserve"> can </w:t>
      </w:r>
      <w:r w:rsidR="006C18AD">
        <w:t xml:space="preserve">all </w:t>
      </w:r>
      <w:r w:rsidR="007034A1" w:rsidRPr="007034A1">
        <w:t xml:space="preserve">affect the </w:t>
      </w:r>
      <w:r w:rsidR="003D0D52">
        <w:t xml:space="preserve">attractiveness </w:t>
      </w:r>
      <w:r w:rsidR="007034A1" w:rsidRPr="007034A1">
        <w:t xml:space="preserve">of a </w:t>
      </w:r>
      <w:r w:rsidR="006C18AD">
        <w:t xml:space="preserve">simulated </w:t>
      </w:r>
      <w:r w:rsidR="007034A1" w:rsidRPr="007034A1">
        <w:t>scenario. A configuration that performs well in terms of annual operational CO</w:t>
      </w:r>
      <w:r w:rsidRPr="00C37F46">
        <w:rPr>
          <w:vertAlign w:val="subscript"/>
        </w:rPr>
        <w:t>2</w:t>
      </w:r>
      <w:r w:rsidR="007034A1" w:rsidRPr="007034A1">
        <w:t xml:space="preserve"> emissions may nevertheless create challenges elsewhere in the energy system. Extending the Recommender Tool with additional indicators could therefore provide a more balanced basis for municipal decision support.</w:t>
      </w:r>
    </w:p>
    <w:p w14:paraId="0501DB92" w14:textId="5F19CFBB" w:rsidR="007034A1" w:rsidRPr="007034A1" w:rsidRDefault="0075451D" w:rsidP="00A047C6">
      <w:pPr>
        <w:pStyle w:val="SWCText"/>
        <w:spacing w:after="0"/>
      </w:pPr>
      <w:r>
        <w:t>T</w:t>
      </w:r>
      <w:r w:rsidR="007034A1" w:rsidRPr="007034A1">
        <w:t xml:space="preserve">he </w:t>
      </w:r>
      <w:r w:rsidR="00064BB3">
        <w:t xml:space="preserve">simulated </w:t>
      </w:r>
      <w:r w:rsidR="007034A1" w:rsidRPr="007034A1">
        <w:t xml:space="preserve">scenarios should also not be </w:t>
      </w:r>
      <w:r w:rsidR="00064BB3">
        <w:t xml:space="preserve">mistaken </w:t>
      </w:r>
      <w:r w:rsidR="007034A1" w:rsidRPr="007034A1">
        <w:t xml:space="preserve">as forecasts. The analysis estimates the effect that could be achieved if specified fractions of the modeled technology potential were deployed. Scenarios </w:t>
      </w:r>
      <w:r w:rsidR="00087A0C">
        <w:t xml:space="preserve">as </w:t>
      </w:r>
      <w:r w:rsidR="005C1589">
        <w:t xml:space="preserve">we demonstrated here are </w:t>
      </w:r>
      <w:r w:rsidR="007034A1" w:rsidRPr="007034A1">
        <w:t>used to characterize the response of the municipal energy system. They do not imply that these deployment levels are technically, economically, politically, or socially achievable within a particular time horizon. Nor does the model simulate the temporal evolution from the present system toward the final configuration.</w:t>
      </w:r>
    </w:p>
    <w:p w14:paraId="4A7054C3" w14:textId="74D1B4BA" w:rsidR="007034A1" w:rsidRPr="007034A1" w:rsidRDefault="007034A1" w:rsidP="00A047C6">
      <w:pPr>
        <w:pStyle w:val="SWCText"/>
        <w:spacing w:after="0"/>
      </w:pPr>
      <w:r w:rsidRPr="007034A1">
        <w:t xml:space="preserve">A further source of uncertainty is the </w:t>
      </w:r>
      <w:proofErr w:type="gramStart"/>
      <w:r w:rsidRPr="007034A1">
        <w:t>input</w:t>
      </w:r>
      <w:proofErr w:type="gramEnd"/>
      <w:r w:rsidRPr="007034A1">
        <w:t xml:space="preserve"> data. The Recommender Tool and the underlying DEM rely substantially on openly available datasets and on modeled estimates</w:t>
      </w:r>
      <w:r w:rsidR="00F82A32">
        <w:t>,</w:t>
      </w:r>
      <w:r w:rsidRPr="007034A1">
        <w:t xml:space="preserve"> </w:t>
      </w:r>
      <w:r w:rsidR="008E0E8E">
        <w:t>as</w:t>
      </w:r>
      <w:r w:rsidRPr="007034A1">
        <w:t xml:space="preserve"> municipality-level measurements are </w:t>
      </w:r>
      <w:r w:rsidR="008E0E8E">
        <w:t xml:space="preserve">typically </w:t>
      </w:r>
      <w:r w:rsidRPr="007034A1">
        <w:t xml:space="preserve">unavailable. These approaches are necessary to provide comparable </w:t>
      </w:r>
      <w:r w:rsidR="009A3AD6">
        <w:t>estimates for all</w:t>
      </w:r>
      <w:r w:rsidRPr="007034A1">
        <w:t xml:space="preserve"> municipalities, but they do not guarantee that the modeled status quo reproduces the present local energy system exactly. </w:t>
      </w:r>
      <w:r w:rsidR="00C85058">
        <w:t>Errors</w:t>
      </w:r>
      <w:r w:rsidRPr="007034A1">
        <w:t xml:space="preserve"> </w:t>
      </w:r>
      <w:r w:rsidR="00C85058">
        <w:t>or differences in</w:t>
      </w:r>
      <w:r w:rsidRPr="007034A1">
        <w:t xml:space="preserve"> modeled building data, demand estimates, and actual local conditions can consequently propagate into the calculated emissions and scenario responses.</w:t>
      </w:r>
      <w:r w:rsidR="00E37E9B">
        <w:t xml:space="preserve"> </w:t>
      </w:r>
      <w:r w:rsidRPr="007034A1">
        <w:t xml:space="preserve">Where more recent local measurements are available, they should be used to validate or replace generic input assumptions. </w:t>
      </w:r>
      <w:r w:rsidR="00E27CE7">
        <w:t xml:space="preserve">Regularly </w:t>
      </w:r>
      <w:r w:rsidRPr="007034A1">
        <w:t xml:space="preserve">updated datasets could substantially improve the representation of the local </w:t>
      </w:r>
      <w:r w:rsidR="008C33DA">
        <w:t xml:space="preserve">energy </w:t>
      </w:r>
      <w:r w:rsidRPr="007034A1">
        <w:t>system.</w:t>
      </w:r>
    </w:p>
    <w:p w14:paraId="5270A703" w14:textId="2572D54D" w:rsidR="007034A1" w:rsidRPr="007034A1" w:rsidRDefault="007034A1" w:rsidP="00A047C6">
      <w:pPr>
        <w:pStyle w:val="SWCText"/>
        <w:spacing w:after="0"/>
      </w:pPr>
      <w:r w:rsidRPr="007034A1">
        <w:t xml:space="preserve">The modeled renewable </w:t>
      </w:r>
      <w:proofErr w:type="gramStart"/>
      <w:r w:rsidRPr="007034A1">
        <w:t>potentials</w:t>
      </w:r>
      <w:proofErr w:type="gramEnd"/>
      <w:r w:rsidRPr="007034A1">
        <w:t xml:space="preserve"> themselves are also subject to uncertainty. A technical rooftop-PV or wind potential does not necessarily correspond to the practically deployable potential. </w:t>
      </w:r>
      <w:r w:rsidR="00A15738">
        <w:t xml:space="preserve">Factors such as </w:t>
      </w:r>
      <w:r w:rsidR="00900F8C">
        <w:t>cantonal</w:t>
      </w:r>
      <w:r w:rsidR="000A4C9D">
        <w:t xml:space="preserve"> </w:t>
      </w:r>
      <w:r w:rsidR="00A15738">
        <w:t>or municipal p</w:t>
      </w:r>
      <w:r w:rsidRPr="007034A1">
        <w:t>lanning restrictions</w:t>
      </w:r>
      <w:r w:rsidR="00A15738">
        <w:t xml:space="preserve"> or</w:t>
      </w:r>
      <w:r w:rsidRPr="007034A1">
        <w:t xml:space="preserve"> landscape protection, </w:t>
      </w:r>
      <w:r w:rsidR="00A15738">
        <w:t xml:space="preserve">technical </w:t>
      </w:r>
      <w:r w:rsidR="00900F8C">
        <w:t>feasibility</w:t>
      </w:r>
      <w:r w:rsidRPr="007034A1">
        <w:t>, social acceptance</w:t>
      </w:r>
      <w:r w:rsidR="002D1CB1">
        <w:t xml:space="preserve"> and unfavorable cost structures</w:t>
      </w:r>
      <w:r w:rsidRPr="007034A1">
        <w:t xml:space="preserve"> can reduce the share that can realistically be implemented. The deployment levels evaluated here should therefore be understood as scenario parameters based on modeled </w:t>
      </w:r>
      <w:proofErr w:type="gramStart"/>
      <w:r w:rsidRPr="007034A1">
        <w:t>potentials</w:t>
      </w:r>
      <w:proofErr w:type="gramEnd"/>
      <w:r w:rsidRPr="007034A1">
        <w:t xml:space="preserve"> rather than predictions of future installed capacity.</w:t>
      </w:r>
    </w:p>
    <w:p w14:paraId="46C406B1" w14:textId="3975BDA6" w:rsidR="007034A1" w:rsidRPr="007034A1" w:rsidRDefault="007034A1" w:rsidP="00A047C6">
      <w:pPr>
        <w:pStyle w:val="SWCText"/>
        <w:spacing w:after="0"/>
      </w:pPr>
      <w:r w:rsidRPr="007034A1">
        <w:t xml:space="preserve">Finally, the three municipalities were selected to demonstrate </w:t>
      </w:r>
      <w:r w:rsidR="007E0A85">
        <w:t>different</w:t>
      </w:r>
      <w:r w:rsidRPr="007034A1">
        <w:t xml:space="preserve"> system</w:t>
      </w:r>
      <w:r w:rsidR="007E0A85">
        <w:t xml:space="preserve"> settings and</w:t>
      </w:r>
      <w:r w:rsidRPr="007034A1">
        <w:t xml:space="preserve"> characteristics rather than to </w:t>
      </w:r>
      <w:r w:rsidR="007E0A85">
        <w:t xml:space="preserve">represent </w:t>
      </w:r>
      <w:r w:rsidR="00813864">
        <w:t>a sample of Swiss municipalities</w:t>
      </w:r>
      <w:r w:rsidRPr="007034A1">
        <w:t xml:space="preserve">. The differences observed between </w:t>
      </w:r>
      <w:proofErr w:type="spellStart"/>
      <w:r w:rsidRPr="007034A1">
        <w:t>Sirnach</w:t>
      </w:r>
      <w:proofErr w:type="spellEnd"/>
      <w:r w:rsidRPr="007034A1">
        <w:t xml:space="preserve">, Basel, and </w:t>
      </w:r>
      <w:proofErr w:type="spellStart"/>
      <w:r w:rsidRPr="007034A1">
        <w:t>Lauterbrunnen</w:t>
      </w:r>
      <w:proofErr w:type="spellEnd"/>
      <w:r w:rsidRPr="007034A1">
        <w:t xml:space="preserve"> </w:t>
      </w:r>
      <w:r w:rsidR="00B661B1">
        <w:t xml:space="preserve">should </w:t>
      </w:r>
      <w:r w:rsidRPr="007034A1">
        <w:t xml:space="preserve">illustrate the importance of local context, but they should not be generalized quantitatively to municipalities with similar geographic labels or settlement types without further analysis. </w:t>
      </w:r>
    </w:p>
    <w:p w14:paraId="2DEB9150" w14:textId="44E7BB20" w:rsidR="0028727E" w:rsidRPr="007034A1" w:rsidRDefault="007034A1" w:rsidP="0016541E">
      <w:pPr>
        <w:pStyle w:val="SWCText"/>
        <w:spacing w:after="0"/>
      </w:pPr>
      <w:r w:rsidRPr="007034A1">
        <w:t>Despite these limitations, the results demonstrate the usefulness of combining municipality-specific baseline information with configurable energy-system simulations. Rather than producing a single prescriptive pathway, the Recommender Tool enables users to investigate how different interventions alter the municipal system and how their effectiveness changes when measures are combined. The case studies show that such interactions can materially affect the resulting CO</w:t>
      </w:r>
      <w:r w:rsidR="00900F8C" w:rsidRPr="00900F8C">
        <w:rPr>
          <w:vertAlign w:val="subscript"/>
        </w:rPr>
        <w:t>2</w:t>
      </w:r>
      <w:r w:rsidRPr="007034A1">
        <w:t xml:space="preserve"> reduction and that </w:t>
      </w:r>
      <w:r w:rsidR="00136167">
        <w:t xml:space="preserve">the </w:t>
      </w:r>
      <w:r w:rsidR="007A33C1">
        <w:t>same</w:t>
      </w:r>
      <w:r w:rsidRPr="007034A1">
        <w:t xml:space="preserve"> technology configurations</w:t>
      </w:r>
      <w:r w:rsidR="007A33C1">
        <w:t xml:space="preserve"> and measures</w:t>
      </w:r>
      <w:r w:rsidRPr="007034A1">
        <w:t xml:space="preserve"> can lead to very different outcomes across municipalities. Improving local input data, expanding the range of configurable measures, </w:t>
      </w:r>
      <w:r w:rsidR="00F82A32">
        <w:t>and</w:t>
      </w:r>
      <w:r w:rsidRPr="007034A1">
        <w:t xml:space="preserve"> incorporating implementation constraints and</w:t>
      </w:r>
      <w:r w:rsidR="00FF1C89">
        <w:t xml:space="preserve"> costs</w:t>
      </w:r>
      <w:r w:rsidRPr="007034A1">
        <w:t xml:space="preserve"> </w:t>
      </w:r>
      <w:r w:rsidR="008E1620">
        <w:t xml:space="preserve">could therefore </w:t>
      </w:r>
      <w:r w:rsidR="00F54E40">
        <w:t xml:space="preserve">be </w:t>
      </w:r>
      <w:r w:rsidR="001A237D">
        <w:t>features of the tool’s next version</w:t>
      </w:r>
      <w:r w:rsidR="00FE0F99">
        <w:t xml:space="preserve"> that facilitate </w:t>
      </w:r>
      <w:r w:rsidRPr="007034A1">
        <w:t xml:space="preserve">municipal </w:t>
      </w:r>
      <w:r w:rsidR="00FE0F99">
        <w:t xml:space="preserve">energy </w:t>
      </w:r>
      <w:r w:rsidRPr="007034A1">
        <w:t>transition</w:t>
      </w:r>
      <w:r w:rsidR="00FE0F99">
        <w:t xml:space="preserve"> even further</w:t>
      </w:r>
      <w:r w:rsidRPr="007034A1">
        <w:t>.</w:t>
      </w:r>
    </w:p>
    <w:p w14:paraId="276BF795" w14:textId="348CF333" w:rsidR="0028317C" w:rsidRDefault="000521B0" w:rsidP="00DE0B92">
      <w:pPr>
        <w:pStyle w:val="SWCHeading1"/>
        <w:ind w:left="714" w:hanging="357"/>
        <w:rPr>
          <w:lang w:val="en-GB"/>
        </w:rPr>
      </w:pPr>
      <w:r>
        <w:rPr>
          <w:lang w:val="en-GB"/>
        </w:rPr>
        <w:t>Conclusion</w:t>
      </w:r>
    </w:p>
    <w:p w14:paraId="6C878C11" w14:textId="017FA29D" w:rsidR="00B86089" w:rsidRDefault="00B86089" w:rsidP="007871F2">
      <w:pPr>
        <w:pStyle w:val="SWCText"/>
        <w:spacing w:after="0"/>
      </w:pPr>
      <w:r>
        <w:t>This study demonstrates the capability of the Recommender Tool and its underlying District Energy Model to support municipal energy planning</w:t>
      </w:r>
      <w:r w:rsidR="000B47C4">
        <w:t xml:space="preserve"> </w:t>
      </w:r>
      <w:r>
        <w:t>toward Switzerland’s net-zero target. By integrating local demand, renewable potentials, and sector coupling, the tool enables transparent evaluation of transformation measures and their system</w:t>
      </w:r>
      <w:r w:rsidR="00A828E3">
        <w:t>-</w:t>
      </w:r>
      <w:r>
        <w:t xml:space="preserve">wide </w:t>
      </w:r>
      <w:r w:rsidR="00ED47E7">
        <w:t xml:space="preserve">carbon </w:t>
      </w:r>
      <w:r>
        <w:t xml:space="preserve">emission impacts. The </w:t>
      </w:r>
      <w:r w:rsidR="00EF1DF8">
        <w:t>pathway-based</w:t>
      </w:r>
      <w:r>
        <w:t xml:space="preserve"> representation facilitates identification of high-impact interventions under conditions</w:t>
      </w:r>
      <w:r w:rsidR="0085249D">
        <w:t xml:space="preserve"> relevant for the considered community</w:t>
      </w:r>
      <w:r>
        <w:t>.</w:t>
      </w:r>
      <w:r w:rsidR="00480988">
        <w:t xml:space="preserve"> </w:t>
      </w:r>
    </w:p>
    <w:p w14:paraId="3FB72C3F" w14:textId="109A7F20" w:rsidR="00E02CD0" w:rsidRPr="00193E34" w:rsidRDefault="00B86089" w:rsidP="00132459">
      <w:pPr>
        <w:pStyle w:val="SWCText"/>
      </w:pPr>
      <w:r>
        <w:t xml:space="preserve">The quantitative results depend on the quality and resolution of the underlying </w:t>
      </w:r>
      <w:r w:rsidR="00F51C79">
        <w:t xml:space="preserve">public </w:t>
      </w:r>
      <w:r>
        <w:t xml:space="preserve">datasets and assumptions. </w:t>
      </w:r>
      <w:r w:rsidR="00F51C79">
        <w:t>Therefore, i</w:t>
      </w:r>
      <w:r>
        <w:t xml:space="preserve">ncorporation of locally measured data and </w:t>
      </w:r>
      <w:r w:rsidR="00301303">
        <w:t>increased and re</w:t>
      </w:r>
      <w:r>
        <w:t xml:space="preserve">fined parameterization can further improve accuracy. </w:t>
      </w:r>
      <w:r w:rsidR="00B44D9D">
        <w:t>Overall</w:t>
      </w:r>
      <w:r>
        <w:t xml:space="preserve">, the approach offers an accessible and </w:t>
      </w:r>
      <w:r w:rsidR="00D149EF">
        <w:t>intuitive</w:t>
      </w:r>
      <w:r>
        <w:t xml:space="preserve"> basis for informed decision-making in municipal energy transition planning.</w:t>
      </w:r>
    </w:p>
    <w:p w14:paraId="4DED2DB3" w14:textId="176A8417" w:rsidR="00E02CD0" w:rsidRDefault="00E02CD0" w:rsidP="00366537">
      <w:pPr>
        <w:pStyle w:val="SWCHeading1"/>
        <w:ind w:left="714" w:hanging="357"/>
        <w:rPr>
          <w:lang w:val="en-GB"/>
        </w:rPr>
      </w:pPr>
      <w:r>
        <w:rPr>
          <w:lang w:val="en-GB"/>
        </w:rPr>
        <w:lastRenderedPageBreak/>
        <w:t>Acknowledgements</w:t>
      </w:r>
    </w:p>
    <w:p w14:paraId="43DD95CC" w14:textId="638F44D6" w:rsidR="00F31C01" w:rsidRPr="0014526B" w:rsidRDefault="0014526B" w:rsidP="0014526B">
      <w:pPr>
        <w:pStyle w:val="SWCText"/>
        <w:spacing w:after="0"/>
      </w:pPr>
      <w:r w:rsidRPr="0014526B">
        <w:t>This research study was supported by the Swiss Federal Office of Energy as part of the SWEET consortium EDGE. The authors bear sole responsibility for the conclusions and the results presented in this publication. We are grateful for the contributions and collaborations within the SWEET EDGE consortium.</w:t>
      </w:r>
    </w:p>
    <w:p w14:paraId="62F9B704" w14:textId="40CE85BB" w:rsidR="004E2BD8" w:rsidRPr="004E2BD8" w:rsidRDefault="00D32EF0" w:rsidP="00366537">
      <w:pPr>
        <w:pStyle w:val="SWCHeading1"/>
        <w:ind w:left="714" w:hanging="357"/>
        <w:rPr>
          <w:lang w:val="en-GB"/>
        </w:rPr>
      </w:pPr>
      <w:r w:rsidRPr="00C97946">
        <w:rPr>
          <w:lang w:val="en-GB"/>
        </w:rPr>
        <w:t>References</w:t>
      </w:r>
      <w:r w:rsidR="004E5D79" w:rsidRPr="00C97946">
        <w:rPr>
          <w:lang w:val="en-GB"/>
        </w:rPr>
        <w:t xml:space="preserve"> </w:t>
      </w:r>
    </w:p>
    <w:p w14:paraId="13F5E317" w14:textId="77777777" w:rsidR="00131157" w:rsidRPr="00230C77" w:rsidRDefault="00B75BD4" w:rsidP="00131157">
      <w:pPr>
        <w:pStyle w:val="Literaturverzeichnis"/>
        <w:rPr>
          <w:lang w:val="en-US"/>
        </w:rPr>
      </w:pPr>
      <w:r w:rsidRPr="001A093F">
        <w:rPr>
          <w:lang w:val="en-US"/>
        </w:rPr>
        <w:fldChar w:fldCharType="begin"/>
      </w:r>
      <w:r w:rsidR="00131157">
        <w:rPr>
          <w:lang w:val="en-US"/>
        </w:rPr>
        <w:instrText xml:space="preserve"> ADDIN ZOTERO_BIBL {"uncited":[],"omitted":[],"custom":[]} CSL_BIBLIOGRAPHY </w:instrText>
      </w:r>
      <w:r w:rsidRPr="001A093F">
        <w:rPr>
          <w:lang w:val="en-US"/>
        </w:rPr>
        <w:fldChar w:fldCharType="separate"/>
      </w:r>
      <w:r w:rsidR="00131157" w:rsidRPr="00131157">
        <w:rPr>
          <w:lang w:val="en-US"/>
        </w:rPr>
        <w:t xml:space="preserve">Dujardin, J., Lehning, M., 2022. Wind-Topo: Downscaling near-surface wind fields to high-resolution topography in highly complex terrain with deep learning. </w:t>
      </w:r>
      <w:r w:rsidR="00131157" w:rsidRPr="00230C77">
        <w:rPr>
          <w:lang w:val="en-US"/>
        </w:rPr>
        <w:t xml:space="preserve">Q. J. R. </w:t>
      </w:r>
      <w:proofErr w:type="spellStart"/>
      <w:r w:rsidR="00131157" w:rsidRPr="00230C77">
        <w:rPr>
          <w:lang w:val="en-US"/>
        </w:rPr>
        <w:t>Meteorol</w:t>
      </w:r>
      <w:proofErr w:type="spellEnd"/>
      <w:r w:rsidR="00131157" w:rsidRPr="00230C77">
        <w:rPr>
          <w:lang w:val="en-US"/>
        </w:rPr>
        <w:t>. Soc. 148, 1368–1388. https://doi.org/10.1002/qj.4265</w:t>
      </w:r>
    </w:p>
    <w:p w14:paraId="5B15A4EC" w14:textId="77777777" w:rsidR="00131157" w:rsidRPr="00230C77" w:rsidRDefault="00131157" w:rsidP="00131157">
      <w:pPr>
        <w:pStyle w:val="Literaturverzeichnis"/>
        <w:rPr>
          <w:lang w:val="en-US"/>
        </w:rPr>
      </w:pPr>
      <w:r w:rsidRPr="00230C77">
        <w:rPr>
          <w:lang w:val="en-US"/>
        </w:rPr>
        <w:t>Federal Statistical Office, 2025a. Federal Register of Buildings and Dwellings.</w:t>
      </w:r>
    </w:p>
    <w:p w14:paraId="6864DB15" w14:textId="77777777" w:rsidR="00131157" w:rsidRPr="00230C77" w:rsidRDefault="00131157" w:rsidP="00131157">
      <w:pPr>
        <w:pStyle w:val="Literaturverzeichnis"/>
        <w:rPr>
          <w:lang w:val="en-US"/>
        </w:rPr>
      </w:pPr>
      <w:r w:rsidRPr="00131157">
        <w:t xml:space="preserve">Federal Statistical Office, 2025b. Bestand der </w:t>
      </w:r>
      <w:proofErr w:type="spellStart"/>
      <w:r w:rsidRPr="00131157">
        <w:t>Strassenfahrzeuge</w:t>
      </w:r>
      <w:proofErr w:type="spellEnd"/>
      <w:r w:rsidRPr="00131157">
        <w:t xml:space="preserve"> nach Gemeinde, ab 2010 - 2010-2024 [WWW </w:t>
      </w:r>
      <w:proofErr w:type="spellStart"/>
      <w:r w:rsidRPr="00131157">
        <w:t>Document</w:t>
      </w:r>
      <w:proofErr w:type="spellEnd"/>
      <w:r w:rsidRPr="00131157">
        <w:t xml:space="preserve">]. </w:t>
      </w:r>
      <w:proofErr w:type="spellStart"/>
      <w:r w:rsidRPr="00230C77">
        <w:rPr>
          <w:lang w:val="en-US"/>
        </w:rPr>
        <w:t>Bundesamt</w:t>
      </w:r>
      <w:proofErr w:type="spellEnd"/>
      <w:r w:rsidRPr="00230C77">
        <w:rPr>
          <w:lang w:val="en-US"/>
        </w:rPr>
        <w:t xml:space="preserve"> Stat. Fed. Stat. Off. URL https://www.bfs.admin.ch/asset/de/33827764 (accessed 8.26.26).</w:t>
      </w:r>
    </w:p>
    <w:p w14:paraId="00359D4F" w14:textId="77777777" w:rsidR="00131157" w:rsidRPr="00131157" w:rsidRDefault="00131157" w:rsidP="00131157">
      <w:pPr>
        <w:pStyle w:val="Literaturverzeichnis"/>
      </w:pPr>
      <w:proofErr w:type="spellStart"/>
      <w:r w:rsidRPr="00230C77">
        <w:rPr>
          <w:lang w:val="en-US"/>
        </w:rPr>
        <w:t>Frischholz</w:t>
      </w:r>
      <w:proofErr w:type="spellEnd"/>
      <w:r w:rsidRPr="00230C77">
        <w:rPr>
          <w:lang w:val="en-US"/>
        </w:rPr>
        <w:t xml:space="preserve">, Y., 2025. CH-POA300 -- Hourly Plane-of-Array Solar Irradiance at High Resolution for Switzerland. </w:t>
      </w:r>
      <w:r w:rsidRPr="00131157">
        <w:t>Int. J. Retina Vitr. 11. https://doi.org/10.16904/envidat.632</w:t>
      </w:r>
    </w:p>
    <w:p w14:paraId="23E089A9" w14:textId="77777777" w:rsidR="00131157" w:rsidRPr="00230C77" w:rsidRDefault="00131157" w:rsidP="00131157">
      <w:pPr>
        <w:pStyle w:val="Literaturverzeichnis"/>
        <w:rPr>
          <w:lang w:val="en-US"/>
        </w:rPr>
      </w:pPr>
      <w:proofErr w:type="spellStart"/>
      <w:r w:rsidRPr="00131157">
        <w:t>Gökgöl</w:t>
      </w:r>
      <w:proofErr w:type="spellEnd"/>
      <w:r w:rsidRPr="00131157">
        <w:t xml:space="preserve">, E.K., Linder, E., Schuetz, P., 2025. </w:t>
      </w:r>
      <w:r w:rsidRPr="00230C77">
        <w:rPr>
          <w:lang w:val="en-US"/>
        </w:rPr>
        <w:t xml:space="preserve">A community-based decision support map for building </w:t>
      </w:r>
      <w:proofErr w:type="gramStart"/>
      <w:r w:rsidRPr="00230C77">
        <w:rPr>
          <w:lang w:val="en-US"/>
        </w:rPr>
        <w:t>retrofit</w:t>
      </w:r>
      <w:proofErr w:type="gramEnd"/>
      <w:r w:rsidRPr="00230C77">
        <w:rPr>
          <w:lang w:val="en-US"/>
        </w:rPr>
        <w:t xml:space="preserve"> towards a more sustainable future. Energy Build. 335, 115554. https://doi.org/10.1016/j.enbuild.2025.115554</w:t>
      </w:r>
    </w:p>
    <w:p w14:paraId="780DE771" w14:textId="77777777" w:rsidR="00131157" w:rsidRPr="00230C77" w:rsidRDefault="00131157" w:rsidP="00131157">
      <w:pPr>
        <w:pStyle w:val="Literaturverzeichnis"/>
        <w:rPr>
          <w:lang w:val="en-US"/>
        </w:rPr>
      </w:pPr>
      <w:r w:rsidRPr="00230C77">
        <w:rPr>
          <w:lang w:val="en-US"/>
        </w:rPr>
        <w:t xml:space="preserve">Herrera, M.P., Hug, G., 2025. Modeling Charging Demand and Quantifying Flexibility Bounds for Large-Scale BEV Fleets, </w:t>
      </w:r>
      <w:proofErr w:type="gramStart"/>
      <w:r w:rsidRPr="00230C77">
        <w:rPr>
          <w:lang w:val="en-US"/>
        </w:rPr>
        <w:t>in:</w:t>
      </w:r>
      <w:proofErr w:type="gramEnd"/>
      <w:r w:rsidRPr="00230C77">
        <w:rPr>
          <w:lang w:val="en-US"/>
        </w:rPr>
        <w:t xml:space="preserve"> 2025 IEEE Kiel </w:t>
      </w:r>
      <w:proofErr w:type="spellStart"/>
      <w:r w:rsidRPr="00230C77">
        <w:rPr>
          <w:lang w:val="en-US"/>
        </w:rPr>
        <w:t>PowerTech</w:t>
      </w:r>
      <w:proofErr w:type="spellEnd"/>
      <w:r w:rsidRPr="00230C77">
        <w:rPr>
          <w:lang w:val="en-US"/>
        </w:rPr>
        <w:t xml:space="preserve">. Presented at the 2025 IEEE Kiel </w:t>
      </w:r>
      <w:proofErr w:type="spellStart"/>
      <w:r w:rsidRPr="00230C77">
        <w:rPr>
          <w:lang w:val="en-US"/>
        </w:rPr>
        <w:t>PowerTech</w:t>
      </w:r>
      <w:proofErr w:type="spellEnd"/>
      <w:r w:rsidRPr="00230C77">
        <w:rPr>
          <w:lang w:val="en-US"/>
        </w:rPr>
        <w:t>, pp. 1–6. https://doi.org/10.1109/PowerTech59965.2025.11180551</w:t>
      </w:r>
    </w:p>
    <w:p w14:paraId="4874DA7A" w14:textId="77777777" w:rsidR="00131157" w:rsidRPr="00230C77" w:rsidRDefault="00131157" w:rsidP="00131157">
      <w:pPr>
        <w:pStyle w:val="Literaturverzeichnis"/>
        <w:rPr>
          <w:lang w:val="en-US"/>
        </w:rPr>
      </w:pPr>
      <w:r w:rsidRPr="00230C77">
        <w:rPr>
          <w:lang w:val="en-US"/>
        </w:rPr>
        <w:t>HSLU, C.S., 2026. Recommender Tool [WWW Document]. URL prototype.recommendertool.ch</w:t>
      </w:r>
    </w:p>
    <w:p w14:paraId="45EE610C" w14:textId="77777777" w:rsidR="00131157" w:rsidRPr="00131157" w:rsidRDefault="00131157" w:rsidP="00131157">
      <w:pPr>
        <w:pStyle w:val="Literaturverzeichnis"/>
      </w:pPr>
      <w:r w:rsidRPr="00230C77">
        <w:rPr>
          <w:lang w:val="en-US"/>
        </w:rPr>
        <w:t xml:space="preserve">Meyer, M., Iyyakkunnel, S., Schilt, U., Schneeberger, S., Linder, E., Vijayananda, S., Schuetz, P., 2026. Supporting the Integration of Renewable Energy in Communities and Districts by Automated, Online Impact Assessment, in: </w:t>
      </w:r>
      <w:proofErr w:type="spellStart"/>
      <w:r w:rsidRPr="00230C77">
        <w:rPr>
          <w:lang w:val="en-US"/>
        </w:rPr>
        <w:t>Zilio</w:t>
      </w:r>
      <w:proofErr w:type="spellEnd"/>
      <w:r w:rsidRPr="00230C77">
        <w:rPr>
          <w:lang w:val="en-US"/>
        </w:rPr>
        <w:t xml:space="preserve">, C., Busato, F., Mazzarella, L., Noro, M. (Eds.), Proceedings of the 15th REHVA HVAC World Congress - CLIMA 2025. </w:t>
      </w:r>
      <w:r w:rsidRPr="00131157">
        <w:t xml:space="preserve">Springer Nature </w:t>
      </w:r>
      <w:proofErr w:type="spellStart"/>
      <w:r w:rsidRPr="00131157">
        <w:t>Switzerland</w:t>
      </w:r>
      <w:proofErr w:type="spellEnd"/>
      <w:r w:rsidRPr="00131157">
        <w:t>, Cham, pp. 940–949. https://doi.org/10.1007/978-3-032-10546-2_88</w:t>
      </w:r>
    </w:p>
    <w:p w14:paraId="650DE452" w14:textId="77777777" w:rsidR="00131157" w:rsidRPr="00230C77" w:rsidRDefault="00131157" w:rsidP="00131157">
      <w:pPr>
        <w:pStyle w:val="Literaturverzeichnis"/>
        <w:rPr>
          <w:lang w:val="en-US"/>
        </w:rPr>
      </w:pPr>
      <w:r w:rsidRPr="00131157">
        <w:t xml:space="preserve">Meyer, M., Linder, E., Schilt, U., Schneeberger, S., Melillo, A., </w:t>
      </w:r>
      <w:proofErr w:type="spellStart"/>
      <w:r w:rsidRPr="00131157">
        <w:t>Gökgöl</w:t>
      </w:r>
      <w:proofErr w:type="spellEnd"/>
      <w:r w:rsidRPr="00131157">
        <w:t xml:space="preserve">, E.K., Schuetz, P., 2023. </w:t>
      </w:r>
      <w:r w:rsidRPr="00230C77">
        <w:rPr>
          <w:lang w:val="en-US"/>
        </w:rPr>
        <w:t>Tool for evaluation of energy system options for municipalities. J. Phys. Conf. Ser. 2600, 022010. https://doi.org/10.1088/1742-6596/2600/2/022010</w:t>
      </w:r>
    </w:p>
    <w:p w14:paraId="60FD0B42" w14:textId="77777777" w:rsidR="00131157" w:rsidRPr="00230C77" w:rsidRDefault="00131157" w:rsidP="00131157">
      <w:pPr>
        <w:pStyle w:val="Literaturverzeichnis"/>
        <w:rPr>
          <w:lang w:val="en-US"/>
        </w:rPr>
      </w:pPr>
      <w:r w:rsidRPr="00230C77">
        <w:rPr>
          <w:lang w:val="en-US"/>
        </w:rPr>
        <w:t xml:space="preserve">Pfenninger, S., Pickering, B., 2018. Calliope: a multi-scale energy systems modelling framework. J. </w:t>
      </w:r>
      <w:proofErr w:type="gramStart"/>
      <w:r w:rsidRPr="00230C77">
        <w:rPr>
          <w:lang w:val="en-US"/>
        </w:rPr>
        <w:t>Open Source</w:t>
      </w:r>
      <w:proofErr w:type="gramEnd"/>
      <w:r w:rsidRPr="00230C77">
        <w:rPr>
          <w:lang w:val="en-US"/>
        </w:rPr>
        <w:t xml:space="preserve"> </w:t>
      </w:r>
      <w:proofErr w:type="spellStart"/>
      <w:r w:rsidRPr="00230C77">
        <w:rPr>
          <w:lang w:val="en-US"/>
        </w:rPr>
        <w:t>Softw</w:t>
      </w:r>
      <w:proofErr w:type="spellEnd"/>
      <w:r w:rsidRPr="00230C77">
        <w:rPr>
          <w:lang w:val="en-US"/>
        </w:rPr>
        <w:t>. 3, 825. https://doi.org/10.21105/joss.00825</w:t>
      </w:r>
    </w:p>
    <w:p w14:paraId="66A5CB46" w14:textId="77777777" w:rsidR="00131157" w:rsidRPr="00230C77" w:rsidRDefault="00131157" w:rsidP="00131157">
      <w:pPr>
        <w:pStyle w:val="Literaturverzeichnis"/>
        <w:rPr>
          <w:lang w:val="en-US"/>
        </w:rPr>
      </w:pPr>
      <w:r w:rsidRPr="00230C77">
        <w:rPr>
          <w:lang w:val="en-US"/>
        </w:rPr>
        <w:t xml:space="preserve">Rinaldi, A., Ramirez, H., </w:t>
      </w:r>
      <w:proofErr w:type="spellStart"/>
      <w:r w:rsidRPr="00230C77">
        <w:rPr>
          <w:lang w:val="en-US"/>
        </w:rPr>
        <w:t>Schroeteler</w:t>
      </w:r>
      <w:proofErr w:type="spellEnd"/>
      <w:r w:rsidRPr="00230C77">
        <w:rPr>
          <w:lang w:val="en-US"/>
        </w:rPr>
        <w:t>, B., Meier, M., 2022. The role of energy storage technologies in the context of the Swiss energy transition (</w:t>
      </w:r>
      <w:proofErr w:type="spellStart"/>
      <w:r w:rsidRPr="00230C77">
        <w:rPr>
          <w:lang w:val="en-US"/>
        </w:rPr>
        <w:t>SwissStore</w:t>
      </w:r>
      <w:proofErr w:type="spellEnd"/>
      <w:r w:rsidRPr="00230C77">
        <w:rPr>
          <w:lang w:val="en-US"/>
        </w:rPr>
        <w:t>). https://doi.org/10.5281/zenodo.6782179</w:t>
      </w:r>
    </w:p>
    <w:p w14:paraId="017436A4" w14:textId="77777777" w:rsidR="00131157" w:rsidRPr="00230C77" w:rsidRDefault="00131157" w:rsidP="00131157">
      <w:pPr>
        <w:pStyle w:val="Literaturverzeichnis"/>
        <w:rPr>
          <w:lang w:val="en-US"/>
        </w:rPr>
      </w:pPr>
      <w:r w:rsidRPr="00230C77">
        <w:rPr>
          <w:lang w:val="en-US"/>
        </w:rPr>
        <w:t>Schilt, U., 2026. District Energy Model - Python package. Python package index (</w:t>
      </w:r>
      <w:proofErr w:type="spellStart"/>
      <w:r w:rsidRPr="00230C77">
        <w:rPr>
          <w:lang w:val="en-US"/>
        </w:rPr>
        <w:t>PyPI</w:t>
      </w:r>
      <w:proofErr w:type="spellEnd"/>
      <w:r w:rsidRPr="00230C77">
        <w:rPr>
          <w:lang w:val="en-US"/>
        </w:rPr>
        <w:t>).</w:t>
      </w:r>
    </w:p>
    <w:p w14:paraId="6260EEDE" w14:textId="77777777" w:rsidR="00131157" w:rsidRPr="00230C77" w:rsidRDefault="00131157" w:rsidP="00131157">
      <w:pPr>
        <w:pStyle w:val="Literaturverzeichnis"/>
        <w:rPr>
          <w:lang w:val="en-US"/>
        </w:rPr>
      </w:pPr>
      <w:r w:rsidRPr="00230C77">
        <w:rPr>
          <w:lang w:val="en-US"/>
        </w:rPr>
        <w:t xml:space="preserve">Schilt, U., Meyer, M., Schneeberger, S., Schuetz, P., 2023. Impact Analysis of Solar PV Integration and Heating System Retrofit: </w:t>
      </w:r>
      <w:proofErr w:type="gramStart"/>
      <w:r w:rsidRPr="00230C77">
        <w:rPr>
          <w:lang w:val="en-US"/>
        </w:rPr>
        <w:t>a</w:t>
      </w:r>
      <w:proofErr w:type="gramEnd"/>
      <w:r w:rsidRPr="00230C77">
        <w:rPr>
          <w:lang w:val="en-US"/>
        </w:rPr>
        <w:t xml:space="preserve"> District-Level Energy System Model, in: Proceedings of Solar World Congress 2023. Presented at the SWC 2023 - ISES Solar World Congress 2023, International Solar Energy Society, New Delhi, India, pp. 1–8. https://doi.org/10.18086/swc.2023.08.06</w:t>
      </w:r>
    </w:p>
    <w:p w14:paraId="3BB8AAD1" w14:textId="77777777" w:rsidR="00131157" w:rsidRPr="00131157" w:rsidRDefault="00131157" w:rsidP="00131157">
      <w:pPr>
        <w:pStyle w:val="Literaturverzeichnis"/>
      </w:pPr>
      <w:r w:rsidRPr="00131157">
        <w:t xml:space="preserve">Schilt, U., Vecsei, P.M., 2025. </w:t>
      </w:r>
      <w:proofErr w:type="spellStart"/>
      <w:r w:rsidRPr="00131157">
        <w:t>District</w:t>
      </w:r>
      <w:proofErr w:type="spellEnd"/>
      <w:r w:rsidRPr="00131157">
        <w:t xml:space="preserve"> Energy Model (DEM) </w:t>
      </w:r>
      <w:proofErr w:type="spellStart"/>
      <w:r w:rsidRPr="00131157">
        <w:t>Documentation</w:t>
      </w:r>
      <w:proofErr w:type="spellEnd"/>
      <w:r w:rsidRPr="00131157">
        <w:t xml:space="preserve"> [WWW </w:t>
      </w:r>
      <w:proofErr w:type="spellStart"/>
      <w:r w:rsidRPr="00131157">
        <w:t>Document</w:t>
      </w:r>
      <w:proofErr w:type="spellEnd"/>
      <w:r w:rsidRPr="00131157">
        <w:t>]. URL https://demdocumentation.readthedocs.io/</w:t>
      </w:r>
    </w:p>
    <w:p w14:paraId="367DF602" w14:textId="77777777" w:rsidR="00131157" w:rsidRPr="00131157" w:rsidRDefault="00131157" w:rsidP="00131157">
      <w:pPr>
        <w:pStyle w:val="Literaturverzeichnis"/>
      </w:pPr>
      <w:r w:rsidRPr="00131157">
        <w:t xml:space="preserve">Schilt, U., Vecsei, P.M., Vijayananda, S., Schneeberger, S., Iyyakkunnel, S., Schütz, P., 2025a. </w:t>
      </w:r>
      <w:proofErr w:type="spellStart"/>
      <w:r w:rsidRPr="00131157">
        <w:t>District</w:t>
      </w:r>
      <w:proofErr w:type="spellEnd"/>
      <w:r w:rsidRPr="00131157">
        <w:t xml:space="preserve"> Energy Model (DEM): Version 0.1.0-rc2. https://doi.org/10.5281/zenodo.18154581</w:t>
      </w:r>
    </w:p>
    <w:p w14:paraId="19537BA7" w14:textId="77777777" w:rsidR="00131157" w:rsidRPr="00131157" w:rsidRDefault="00131157" w:rsidP="00131157">
      <w:pPr>
        <w:pStyle w:val="Literaturverzeichnis"/>
      </w:pPr>
      <w:r w:rsidRPr="00131157">
        <w:lastRenderedPageBreak/>
        <w:t xml:space="preserve">Schilt, U., Vecsei, P.M., Vijayananda, S., Schneeberger, S., Iyyakkunnel, S., Schütz, P., 2025b. </w:t>
      </w:r>
      <w:proofErr w:type="spellStart"/>
      <w:r w:rsidRPr="00131157">
        <w:t>District</w:t>
      </w:r>
      <w:proofErr w:type="spellEnd"/>
      <w:r w:rsidRPr="00131157">
        <w:t xml:space="preserve"> Energy Model (DEM) Input Data for </w:t>
      </w:r>
      <w:proofErr w:type="spellStart"/>
      <w:r w:rsidRPr="00131157">
        <w:t>Switzerland</w:t>
      </w:r>
      <w:proofErr w:type="spellEnd"/>
      <w:r w:rsidRPr="00131157">
        <w:t>. https://doi.org/10.5281/zenodo.17603139</w:t>
      </w:r>
    </w:p>
    <w:p w14:paraId="32BB6FBD" w14:textId="77777777" w:rsidR="00131157" w:rsidRPr="00230C77" w:rsidRDefault="00131157" w:rsidP="00131157">
      <w:pPr>
        <w:pStyle w:val="Literaturverzeichnis"/>
        <w:rPr>
          <w:lang w:val="en-US"/>
        </w:rPr>
      </w:pPr>
      <w:r w:rsidRPr="00131157">
        <w:t xml:space="preserve">Schilt, U., Vecsei, P.M., Vijayananda, S., Schuetz, P., 2026a. </w:t>
      </w:r>
      <w:r w:rsidRPr="00230C77">
        <w:rPr>
          <w:lang w:val="en-US"/>
        </w:rPr>
        <w:t>District Energy Model (DEM): A Python framework for modelling renewable energy integration and flexibility at district scale. https://doi.org/10.2139/ssrn.6679309</w:t>
      </w:r>
    </w:p>
    <w:p w14:paraId="5BBA76BB" w14:textId="77777777" w:rsidR="00131157" w:rsidRPr="00131157" w:rsidRDefault="00131157" w:rsidP="00131157">
      <w:pPr>
        <w:pStyle w:val="Literaturverzeichnis"/>
      </w:pPr>
      <w:r w:rsidRPr="00131157">
        <w:t xml:space="preserve">Schilt, U., Vecsei, P.M., Zurbriggen, T., 2026b. </w:t>
      </w:r>
      <w:proofErr w:type="spellStart"/>
      <w:r w:rsidRPr="00131157">
        <w:t>District_Energy_Model</w:t>
      </w:r>
      <w:proofErr w:type="spellEnd"/>
      <w:r w:rsidRPr="00131157">
        <w:t xml:space="preserve"> (DEM) [</w:t>
      </w:r>
      <w:proofErr w:type="spellStart"/>
      <w:r w:rsidRPr="00131157">
        <w:t>Github</w:t>
      </w:r>
      <w:proofErr w:type="spellEnd"/>
      <w:r w:rsidRPr="00131157">
        <w:t>].</w:t>
      </w:r>
    </w:p>
    <w:p w14:paraId="1B69D24E" w14:textId="77777777" w:rsidR="00131157" w:rsidRPr="00131157" w:rsidRDefault="00131157" w:rsidP="00131157">
      <w:pPr>
        <w:pStyle w:val="Literaturverzeichnis"/>
      </w:pPr>
      <w:r w:rsidRPr="00131157">
        <w:t xml:space="preserve">Schneeberger, S., Meister, C., Schuetz, P., 2025. </w:t>
      </w:r>
      <w:r w:rsidRPr="00230C77">
        <w:rPr>
          <w:lang w:val="en-US"/>
        </w:rPr>
        <w:t xml:space="preserve">Estimating the heating energy demand of residential buildings in Switzerland using only public data. </w:t>
      </w:r>
      <w:r w:rsidRPr="00131157">
        <w:t xml:space="preserve">Energy </w:t>
      </w:r>
      <w:proofErr w:type="spellStart"/>
      <w:r w:rsidRPr="00131157">
        <w:t>Build</w:t>
      </w:r>
      <w:proofErr w:type="spellEnd"/>
      <w:r w:rsidRPr="00131157">
        <w:t>. 347, 116371. https://doi.org/10.1016/j.enbuild.2025.116371</w:t>
      </w:r>
    </w:p>
    <w:p w14:paraId="45B5C32B" w14:textId="77777777" w:rsidR="00131157" w:rsidRPr="00131157" w:rsidRDefault="00131157" w:rsidP="00131157">
      <w:pPr>
        <w:pStyle w:val="Literaturverzeichnis"/>
      </w:pPr>
      <w:r w:rsidRPr="00131157">
        <w:t xml:space="preserve">SIA, 2025. SIA 385/2, Anlagen für Trinkwarmwasser in Gebäuden - Warmwasserbedarf, </w:t>
      </w:r>
      <w:proofErr w:type="spellStart"/>
      <w:r w:rsidRPr="00131157">
        <w:t>Gesamtan</w:t>
      </w:r>
      <w:proofErr w:type="spellEnd"/>
      <w:r w:rsidRPr="00131157">
        <w:t>-forderungen und Auslegung (Schweizer Ingenieur- und Architektenverein).</w:t>
      </w:r>
    </w:p>
    <w:p w14:paraId="690D1160" w14:textId="77777777" w:rsidR="00131157" w:rsidRPr="00230C77" w:rsidRDefault="00131157" w:rsidP="00131157">
      <w:pPr>
        <w:pStyle w:val="Literaturverzeichnis"/>
        <w:rPr>
          <w:lang w:val="en-US"/>
        </w:rPr>
      </w:pPr>
      <w:r w:rsidRPr="00230C77">
        <w:rPr>
          <w:lang w:val="en-US"/>
        </w:rPr>
        <w:t>Sweet EDGE [WWW Document], 2026. URL https://www.sweet-edge.ch/</w:t>
      </w:r>
    </w:p>
    <w:p w14:paraId="35607807" w14:textId="77777777" w:rsidR="00131157" w:rsidRPr="00230C77" w:rsidRDefault="00131157" w:rsidP="00131157">
      <w:pPr>
        <w:pStyle w:val="Literaturverzeichnis"/>
        <w:rPr>
          <w:lang w:val="en-US"/>
        </w:rPr>
      </w:pPr>
      <w:r w:rsidRPr="00230C77">
        <w:rPr>
          <w:lang w:val="en-US"/>
        </w:rPr>
        <w:t xml:space="preserve">Swiss Federal Office of Energy, 2025a. </w:t>
      </w:r>
      <w:r w:rsidRPr="00131157">
        <w:t xml:space="preserve">Langfristige Klimastrategie 2050 [WWW </w:t>
      </w:r>
      <w:proofErr w:type="spellStart"/>
      <w:r w:rsidRPr="00131157">
        <w:t>Document</w:t>
      </w:r>
      <w:proofErr w:type="spellEnd"/>
      <w:r w:rsidRPr="00131157">
        <w:t xml:space="preserve">]. Langfristige Klimastrategie 2050. </w:t>
      </w:r>
      <w:r w:rsidRPr="00230C77">
        <w:rPr>
          <w:lang w:val="en-US"/>
        </w:rPr>
        <w:t>URL https://www.bafu.admin.ch/de/klimastrategie-2050 (accessed 8.26.26).</w:t>
      </w:r>
    </w:p>
    <w:p w14:paraId="50E96A73" w14:textId="77777777" w:rsidR="00131157" w:rsidRPr="00131157" w:rsidRDefault="00131157" w:rsidP="00131157">
      <w:pPr>
        <w:pStyle w:val="Literaturverzeichnis"/>
      </w:pPr>
      <w:r w:rsidRPr="00230C77">
        <w:rPr>
          <w:lang w:val="en-US"/>
        </w:rPr>
        <w:t xml:space="preserve">Swiss Federal Office of Energy, 2025b. </w:t>
      </w:r>
      <w:r w:rsidRPr="00131157">
        <w:t xml:space="preserve">Elektrizitätsproduktionsanlagen in der Schweiz [WWW </w:t>
      </w:r>
      <w:proofErr w:type="spellStart"/>
      <w:r w:rsidRPr="00131157">
        <w:t>Document</w:t>
      </w:r>
      <w:proofErr w:type="spellEnd"/>
      <w:r w:rsidRPr="00131157">
        <w:t>]. Elektrizitätsproduktionsanlagen Schweiz. URL https://www.uvek-gis.admin.ch/BFE/storymaps/EE_Elektrizitaetsproduktionsanlagen/ (</w:t>
      </w:r>
      <w:proofErr w:type="spellStart"/>
      <w:r w:rsidRPr="00131157">
        <w:t>accessed</w:t>
      </w:r>
      <w:proofErr w:type="spellEnd"/>
      <w:r w:rsidRPr="00131157">
        <w:t xml:space="preserve"> 2.25.26).</w:t>
      </w:r>
    </w:p>
    <w:p w14:paraId="25A5A9AD" w14:textId="77777777" w:rsidR="00131157" w:rsidRPr="00131157" w:rsidRDefault="00131157" w:rsidP="00131157">
      <w:pPr>
        <w:pStyle w:val="Literaturverzeichnis"/>
      </w:pPr>
      <w:r w:rsidRPr="00230C77">
        <w:rPr>
          <w:lang w:val="en-US"/>
        </w:rPr>
        <w:t xml:space="preserve">Swiss Federal Office of Energy, 2023. </w:t>
      </w:r>
      <w:r w:rsidRPr="00131157">
        <w:t>Dokumentation Geodatenmodell Solarenergie: Eignung Dächer (Sonnendach.ch) Solarenergie: Eignung Fassaden (Sonnenfassade.ch).</w:t>
      </w:r>
    </w:p>
    <w:p w14:paraId="5909F9C0" w14:textId="2AF3ED94" w:rsidR="008F54F8" w:rsidRPr="005B6128" w:rsidRDefault="00B75BD4" w:rsidP="000830AD">
      <w:pPr>
        <w:pStyle w:val="Literaturverzeichnis"/>
        <w:spacing w:after="120" w:line="276" w:lineRule="auto"/>
        <w:ind w:left="0" w:firstLine="0"/>
        <w:rPr>
          <w:sz w:val="18"/>
          <w:lang w:val="en-GB"/>
        </w:rPr>
      </w:pPr>
      <w:r w:rsidRPr="001A093F">
        <w:rPr>
          <w:color w:val="000000"/>
          <w:sz w:val="20"/>
          <w:szCs w:val="22"/>
          <w:lang w:val="en-US"/>
        </w:rPr>
        <w:fldChar w:fldCharType="end"/>
      </w:r>
    </w:p>
    <w:sectPr w:rsidR="008F54F8" w:rsidRPr="005B6128" w:rsidSect="005B6128">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E8B2" w14:textId="77777777" w:rsidR="004D15DA" w:rsidRDefault="004D15DA">
      <w:r>
        <w:separator/>
      </w:r>
    </w:p>
  </w:endnote>
  <w:endnote w:type="continuationSeparator" w:id="0">
    <w:p w14:paraId="4BE4718F" w14:textId="77777777" w:rsidR="004D15DA" w:rsidRDefault="004D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A7F8" w14:textId="77777777" w:rsidR="004D15DA" w:rsidRDefault="004D15DA">
      <w:r>
        <w:separator/>
      </w:r>
    </w:p>
  </w:footnote>
  <w:footnote w:type="continuationSeparator" w:id="0">
    <w:p w14:paraId="6718157B" w14:textId="77777777" w:rsidR="004D15DA" w:rsidRDefault="004D1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4472"/>
        </w:tabs>
        <w:ind w:left="4472"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080835087">
    <w:abstractNumId w:val="20"/>
  </w:num>
  <w:num w:numId="2" w16cid:durableId="1122382050">
    <w:abstractNumId w:val="0"/>
  </w:num>
  <w:num w:numId="3" w16cid:durableId="1164541409">
    <w:abstractNumId w:val="5"/>
  </w:num>
  <w:num w:numId="4" w16cid:durableId="1166094805">
    <w:abstractNumId w:val="12"/>
  </w:num>
  <w:num w:numId="5" w16cid:durableId="1328480391">
    <w:abstractNumId w:val="8"/>
  </w:num>
  <w:num w:numId="6" w16cid:durableId="1496726486">
    <w:abstractNumId w:val="17"/>
  </w:num>
  <w:num w:numId="7" w16cid:durableId="151144171">
    <w:abstractNumId w:val="2"/>
  </w:num>
  <w:num w:numId="8" w16cid:durableId="1514802717">
    <w:abstractNumId w:val="9"/>
  </w:num>
  <w:num w:numId="9" w16cid:durableId="1620454832">
    <w:abstractNumId w:val="18"/>
  </w:num>
  <w:num w:numId="10" w16cid:durableId="1758162859">
    <w:abstractNumId w:val="13"/>
  </w:num>
  <w:num w:numId="11" w16cid:durableId="1779980318">
    <w:abstractNumId w:val="10"/>
  </w:num>
  <w:num w:numId="12" w16cid:durableId="1806385346">
    <w:abstractNumId w:val="7"/>
  </w:num>
  <w:num w:numId="13" w16cid:durableId="1882550196">
    <w:abstractNumId w:val="1"/>
  </w:num>
  <w:num w:numId="14" w16cid:durableId="311523580">
    <w:abstractNumId w:val="6"/>
    <w:lvlOverride w:ilvl="0">
      <w:startOverride w:val="1"/>
    </w:lvlOverride>
  </w:num>
  <w:num w:numId="15" w16cid:durableId="355472642">
    <w:abstractNumId w:val="14"/>
  </w:num>
  <w:num w:numId="16" w16cid:durableId="390466567">
    <w:abstractNumId w:val="18"/>
  </w:num>
  <w:num w:numId="17" w16cid:durableId="569772207">
    <w:abstractNumId w:val="16"/>
  </w:num>
  <w:num w:numId="18" w16cid:durableId="612976666">
    <w:abstractNumId w:val="15"/>
  </w:num>
  <w:num w:numId="19" w16cid:durableId="679743871">
    <w:abstractNumId w:val="19"/>
  </w:num>
  <w:num w:numId="20" w16cid:durableId="691154539">
    <w:abstractNumId w:val="22"/>
  </w:num>
  <w:num w:numId="21" w16cid:durableId="701899166">
    <w:abstractNumId w:val="3"/>
  </w:num>
  <w:num w:numId="22" w16cid:durableId="7829984">
    <w:abstractNumId w:val="21"/>
  </w:num>
  <w:num w:numId="23" w16cid:durableId="78913249">
    <w:abstractNumId w:val="6"/>
  </w:num>
  <w:num w:numId="24" w16cid:durableId="824710626">
    <w:abstractNumId w:val="11"/>
  </w:num>
  <w:num w:numId="25" w16cid:durableId="849176114">
    <w:abstractNumId w:val="4"/>
  </w:num>
  <w:num w:numId="26" w16cid:durableId="95492358">
    <w:abstractNumId w:val="18"/>
  </w:num>
  <w:num w:numId="27" w16cid:durableId="318194596">
    <w:abstractNumId w:val="18"/>
    <w:lvlOverride w:ilvl="0">
      <w:startOverride w:val="1"/>
    </w:lvlOverride>
  </w:num>
  <w:num w:numId="28" w16cid:durableId="763840706">
    <w:abstractNumId w:val="18"/>
  </w:num>
  <w:num w:numId="29" w16cid:durableId="1511289169">
    <w:abstractNumId w:val="18"/>
  </w:num>
  <w:num w:numId="30" w16cid:durableId="116877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4C5"/>
    <w:rsid w:val="00001B33"/>
    <w:rsid w:val="00001FE3"/>
    <w:rsid w:val="00002486"/>
    <w:rsid w:val="00005037"/>
    <w:rsid w:val="0000639E"/>
    <w:rsid w:val="00006405"/>
    <w:rsid w:val="000067DB"/>
    <w:rsid w:val="00010262"/>
    <w:rsid w:val="000102F8"/>
    <w:rsid w:val="00013E47"/>
    <w:rsid w:val="000145AB"/>
    <w:rsid w:val="0001482D"/>
    <w:rsid w:val="00014898"/>
    <w:rsid w:val="00015E68"/>
    <w:rsid w:val="00016D34"/>
    <w:rsid w:val="00017755"/>
    <w:rsid w:val="000178E6"/>
    <w:rsid w:val="00017A4F"/>
    <w:rsid w:val="00024F66"/>
    <w:rsid w:val="00026579"/>
    <w:rsid w:val="00027358"/>
    <w:rsid w:val="00027CFF"/>
    <w:rsid w:val="00030A2B"/>
    <w:rsid w:val="00031F52"/>
    <w:rsid w:val="00032E90"/>
    <w:rsid w:val="00033EF5"/>
    <w:rsid w:val="00034C3A"/>
    <w:rsid w:val="00035B68"/>
    <w:rsid w:val="00035E4A"/>
    <w:rsid w:val="000366C4"/>
    <w:rsid w:val="00037340"/>
    <w:rsid w:val="00037564"/>
    <w:rsid w:val="000379CB"/>
    <w:rsid w:val="0004235D"/>
    <w:rsid w:val="000423FC"/>
    <w:rsid w:val="000434F9"/>
    <w:rsid w:val="00045359"/>
    <w:rsid w:val="0004795C"/>
    <w:rsid w:val="000501E8"/>
    <w:rsid w:val="00050D1B"/>
    <w:rsid w:val="000521B0"/>
    <w:rsid w:val="000527B8"/>
    <w:rsid w:val="000533E4"/>
    <w:rsid w:val="000534F5"/>
    <w:rsid w:val="00053DB8"/>
    <w:rsid w:val="00053E02"/>
    <w:rsid w:val="0005409C"/>
    <w:rsid w:val="00054865"/>
    <w:rsid w:val="000558F3"/>
    <w:rsid w:val="00055BAF"/>
    <w:rsid w:val="00055DB9"/>
    <w:rsid w:val="00055EB9"/>
    <w:rsid w:val="00055F91"/>
    <w:rsid w:val="000568F2"/>
    <w:rsid w:val="00056D53"/>
    <w:rsid w:val="00057518"/>
    <w:rsid w:val="00057B5E"/>
    <w:rsid w:val="00060A5C"/>
    <w:rsid w:val="00060EF3"/>
    <w:rsid w:val="0006116C"/>
    <w:rsid w:val="00061B72"/>
    <w:rsid w:val="00062402"/>
    <w:rsid w:val="000629B8"/>
    <w:rsid w:val="00062BE0"/>
    <w:rsid w:val="00063BC8"/>
    <w:rsid w:val="00064BB3"/>
    <w:rsid w:val="00066B26"/>
    <w:rsid w:val="00066C1C"/>
    <w:rsid w:val="00067797"/>
    <w:rsid w:val="000678AC"/>
    <w:rsid w:val="00067B19"/>
    <w:rsid w:val="00067D4F"/>
    <w:rsid w:val="00067D7F"/>
    <w:rsid w:val="000705D5"/>
    <w:rsid w:val="000712A1"/>
    <w:rsid w:val="000715F7"/>
    <w:rsid w:val="00071729"/>
    <w:rsid w:val="00071B6D"/>
    <w:rsid w:val="00071F8E"/>
    <w:rsid w:val="00072469"/>
    <w:rsid w:val="00074DBF"/>
    <w:rsid w:val="00075727"/>
    <w:rsid w:val="00076467"/>
    <w:rsid w:val="0007700D"/>
    <w:rsid w:val="000816D0"/>
    <w:rsid w:val="00082EBF"/>
    <w:rsid w:val="000830AD"/>
    <w:rsid w:val="0008325A"/>
    <w:rsid w:val="000837D8"/>
    <w:rsid w:val="00083C04"/>
    <w:rsid w:val="00084D5C"/>
    <w:rsid w:val="000850DE"/>
    <w:rsid w:val="000864DE"/>
    <w:rsid w:val="00086D20"/>
    <w:rsid w:val="00087A0C"/>
    <w:rsid w:val="0009053C"/>
    <w:rsid w:val="000906F5"/>
    <w:rsid w:val="00090D3F"/>
    <w:rsid w:val="00092ED5"/>
    <w:rsid w:val="00093583"/>
    <w:rsid w:val="000940B7"/>
    <w:rsid w:val="00096C04"/>
    <w:rsid w:val="00096EED"/>
    <w:rsid w:val="0009711E"/>
    <w:rsid w:val="000A09DF"/>
    <w:rsid w:val="000A0ADB"/>
    <w:rsid w:val="000A0C5A"/>
    <w:rsid w:val="000A1F05"/>
    <w:rsid w:val="000A2CE3"/>
    <w:rsid w:val="000A30A5"/>
    <w:rsid w:val="000A354F"/>
    <w:rsid w:val="000A36B5"/>
    <w:rsid w:val="000A416D"/>
    <w:rsid w:val="000A4C9D"/>
    <w:rsid w:val="000A52A1"/>
    <w:rsid w:val="000A7C30"/>
    <w:rsid w:val="000A7C9B"/>
    <w:rsid w:val="000B04BE"/>
    <w:rsid w:val="000B1490"/>
    <w:rsid w:val="000B1CC8"/>
    <w:rsid w:val="000B1F4D"/>
    <w:rsid w:val="000B2884"/>
    <w:rsid w:val="000B38C9"/>
    <w:rsid w:val="000B3DC7"/>
    <w:rsid w:val="000B448C"/>
    <w:rsid w:val="000B47C4"/>
    <w:rsid w:val="000B5CF6"/>
    <w:rsid w:val="000B7AA0"/>
    <w:rsid w:val="000C0553"/>
    <w:rsid w:val="000C08AD"/>
    <w:rsid w:val="000C0A5F"/>
    <w:rsid w:val="000C214E"/>
    <w:rsid w:val="000C2344"/>
    <w:rsid w:val="000C589D"/>
    <w:rsid w:val="000C7706"/>
    <w:rsid w:val="000D0D19"/>
    <w:rsid w:val="000D21EA"/>
    <w:rsid w:val="000D2599"/>
    <w:rsid w:val="000D4FE1"/>
    <w:rsid w:val="000D5E41"/>
    <w:rsid w:val="000D602C"/>
    <w:rsid w:val="000D6C5B"/>
    <w:rsid w:val="000D6E1A"/>
    <w:rsid w:val="000D7534"/>
    <w:rsid w:val="000E0F7C"/>
    <w:rsid w:val="000E1855"/>
    <w:rsid w:val="000E281D"/>
    <w:rsid w:val="000E2F91"/>
    <w:rsid w:val="000E5050"/>
    <w:rsid w:val="000E5382"/>
    <w:rsid w:val="000E5943"/>
    <w:rsid w:val="000E62E9"/>
    <w:rsid w:val="000E6380"/>
    <w:rsid w:val="000E6974"/>
    <w:rsid w:val="000E6A15"/>
    <w:rsid w:val="000E71BF"/>
    <w:rsid w:val="000E72A3"/>
    <w:rsid w:val="000E7626"/>
    <w:rsid w:val="000F0014"/>
    <w:rsid w:val="000F0B06"/>
    <w:rsid w:val="000F37FA"/>
    <w:rsid w:val="000F471B"/>
    <w:rsid w:val="000F57B2"/>
    <w:rsid w:val="000F62F8"/>
    <w:rsid w:val="000F6BDA"/>
    <w:rsid w:val="000F739B"/>
    <w:rsid w:val="000F7E25"/>
    <w:rsid w:val="001034EC"/>
    <w:rsid w:val="0010501A"/>
    <w:rsid w:val="00105F6A"/>
    <w:rsid w:val="00105FD6"/>
    <w:rsid w:val="00111983"/>
    <w:rsid w:val="00111C8F"/>
    <w:rsid w:val="001126FA"/>
    <w:rsid w:val="001128CF"/>
    <w:rsid w:val="00114AD1"/>
    <w:rsid w:val="001153F8"/>
    <w:rsid w:val="001156FF"/>
    <w:rsid w:val="00115C7E"/>
    <w:rsid w:val="001160F2"/>
    <w:rsid w:val="001173E6"/>
    <w:rsid w:val="00117B3C"/>
    <w:rsid w:val="00120979"/>
    <w:rsid w:val="00122136"/>
    <w:rsid w:val="00122843"/>
    <w:rsid w:val="00122CC4"/>
    <w:rsid w:val="00124F0B"/>
    <w:rsid w:val="00125892"/>
    <w:rsid w:val="00125E9D"/>
    <w:rsid w:val="00126DEC"/>
    <w:rsid w:val="001276E4"/>
    <w:rsid w:val="00130305"/>
    <w:rsid w:val="00131157"/>
    <w:rsid w:val="00132459"/>
    <w:rsid w:val="00133194"/>
    <w:rsid w:val="00133EF3"/>
    <w:rsid w:val="001352A4"/>
    <w:rsid w:val="001359D6"/>
    <w:rsid w:val="00136167"/>
    <w:rsid w:val="001371C8"/>
    <w:rsid w:val="00137B7E"/>
    <w:rsid w:val="00137C8B"/>
    <w:rsid w:val="00141578"/>
    <w:rsid w:val="00142C9F"/>
    <w:rsid w:val="00143993"/>
    <w:rsid w:val="00144F51"/>
    <w:rsid w:val="0014526B"/>
    <w:rsid w:val="00146ADD"/>
    <w:rsid w:val="00146B6F"/>
    <w:rsid w:val="0014730F"/>
    <w:rsid w:val="00147F9B"/>
    <w:rsid w:val="0015090D"/>
    <w:rsid w:val="00151DAE"/>
    <w:rsid w:val="00152F29"/>
    <w:rsid w:val="00154592"/>
    <w:rsid w:val="0015481B"/>
    <w:rsid w:val="00155FB8"/>
    <w:rsid w:val="001563CB"/>
    <w:rsid w:val="00156F49"/>
    <w:rsid w:val="0015701B"/>
    <w:rsid w:val="00157BF4"/>
    <w:rsid w:val="00157CE5"/>
    <w:rsid w:val="0016011C"/>
    <w:rsid w:val="00162A31"/>
    <w:rsid w:val="0016387D"/>
    <w:rsid w:val="001647D2"/>
    <w:rsid w:val="00164D17"/>
    <w:rsid w:val="001651F3"/>
    <w:rsid w:val="0016541E"/>
    <w:rsid w:val="0016590D"/>
    <w:rsid w:val="00166C42"/>
    <w:rsid w:val="00171406"/>
    <w:rsid w:val="00171B1B"/>
    <w:rsid w:val="00171D70"/>
    <w:rsid w:val="00172142"/>
    <w:rsid w:val="00173899"/>
    <w:rsid w:val="00173C82"/>
    <w:rsid w:val="00176EF6"/>
    <w:rsid w:val="001801F0"/>
    <w:rsid w:val="00181D38"/>
    <w:rsid w:val="0018259F"/>
    <w:rsid w:val="001834B8"/>
    <w:rsid w:val="00183A13"/>
    <w:rsid w:val="00183B68"/>
    <w:rsid w:val="00183F83"/>
    <w:rsid w:val="00184E67"/>
    <w:rsid w:val="001904A7"/>
    <w:rsid w:val="00191222"/>
    <w:rsid w:val="00191618"/>
    <w:rsid w:val="00191F59"/>
    <w:rsid w:val="0019232E"/>
    <w:rsid w:val="00193E34"/>
    <w:rsid w:val="001948E5"/>
    <w:rsid w:val="00194E9A"/>
    <w:rsid w:val="00195ADB"/>
    <w:rsid w:val="0019633A"/>
    <w:rsid w:val="00196440"/>
    <w:rsid w:val="001968B5"/>
    <w:rsid w:val="001969B9"/>
    <w:rsid w:val="00196CBC"/>
    <w:rsid w:val="00196DEA"/>
    <w:rsid w:val="001A0022"/>
    <w:rsid w:val="001A093F"/>
    <w:rsid w:val="001A0B74"/>
    <w:rsid w:val="001A117A"/>
    <w:rsid w:val="001A237D"/>
    <w:rsid w:val="001A3B4A"/>
    <w:rsid w:val="001A5275"/>
    <w:rsid w:val="001A55F3"/>
    <w:rsid w:val="001A6654"/>
    <w:rsid w:val="001A73ED"/>
    <w:rsid w:val="001A775B"/>
    <w:rsid w:val="001A7F40"/>
    <w:rsid w:val="001A7F4E"/>
    <w:rsid w:val="001B13D6"/>
    <w:rsid w:val="001B1B6E"/>
    <w:rsid w:val="001B3516"/>
    <w:rsid w:val="001B6098"/>
    <w:rsid w:val="001B6BCF"/>
    <w:rsid w:val="001B7B01"/>
    <w:rsid w:val="001C09FF"/>
    <w:rsid w:val="001C1914"/>
    <w:rsid w:val="001C26BD"/>
    <w:rsid w:val="001C2F1A"/>
    <w:rsid w:val="001C3247"/>
    <w:rsid w:val="001C3A3D"/>
    <w:rsid w:val="001C3D74"/>
    <w:rsid w:val="001C457E"/>
    <w:rsid w:val="001C5831"/>
    <w:rsid w:val="001C63A2"/>
    <w:rsid w:val="001C63C7"/>
    <w:rsid w:val="001C6A66"/>
    <w:rsid w:val="001C7ABC"/>
    <w:rsid w:val="001D0384"/>
    <w:rsid w:val="001D0DED"/>
    <w:rsid w:val="001D2A52"/>
    <w:rsid w:val="001D3E40"/>
    <w:rsid w:val="001D4813"/>
    <w:rsid w:val="001D4912"/>
    <w:rsid w:val="001D7718"/>
    <w:rsid w:val="001E2B93"/>
    <w:rsid w:val="001E34A8"/>
    <w:rsid w:val="001E45E0"/>
    <w:rsid w:val="001E5810"/>
    <w:rsid w:val="001E5CF8"/>
    <w:rsid w:val="001F043E"/>
    <w:rsid w:val="001F07B5"/>
    <w:rsid w:val="001F2881"/>
    <w:rsid w:val="001F3E9B"/>
    <w:rsid w:val="001F67A3"/>
    <w:rsid w:val="00200228"/>
    <w:rsid w:val="002008FC"/>
    <w:rsid w:val="00200B83"/>
    <w:rsid w:val="002011FE"/>
    <w:rsid w:val="00201262"/>
    <w:rsid w:val="0020535A"/>
    <w:rsid w:val="00205626"/>
    <w:rsid w:val="00205709"/>
    <w:rsid w:val="00206116"/>
    <w:rsid w:val="00207549"/>
    <w:rsid w:val="00207795"/>
    <w:rsid w:val="00210170"/>
    <w:rsid w:val="00210637"/>
    <w:rsid w:val="00210948"/>
    <w:rsid w:val="00210D14"/>
    <w:rsid w:val="002114F7"/>
    <w:rsid w:val="00212628"/>
    <w:rsid w:val="00213824"/>
    <w:rsid w:val="0021426A"/>
    <w:rsid w:val="0021497B"/>
    <w:rsid w:val="002151C4"/>
    <w:rsid w:val="00215A84"/>
    <w:rsid w:val="00216FA2"/>
    <w:rsid w:val="00217EC0"/>
    <w:rsid w:val="0022052B"/>
    <w:rsid w:val="0022299B"/>
    <w:rsid w:val="0022369F"/>
    <w:rsid w:val="00223D81"/>
    <w:rsid w:val="00224352"/>
    <w:rsid w:val="002249CD"/>
    <w:rsid w:val="00224B6E"/>
    <w:rsid w:val="00224EC7"/>
    <w:rsid w:val="00225133"/>
    <w:rsid w:val="00225724"/>
    <w:rsid w:val="0022791C"/>
    <w:rsid w:val="00230C77"/>
    <w:rsid w:val="00230D36"/>
    <w:rsid w:val="00231699"/>
    <w:rsid w:val="00233028"/>
    <w:rsid w:val="002352A6"/>
    <w:rsid w:val="00236381"/>
    <w:rsid w:val="0023641B"/>
    <w:rsid w:val="00236DD0"/>
    <w:rsid w:val="0023765E"/>
    <w:rsid w:val="0024041F"/>
    <w:rsid w:val="00240B66"/>
    <w:rsid w:val="00240FA6"/>
    <w:rsid w:val="00241E5F"/>
    <w:rsid w:val="00241EC8"/>
    <w:rsid w:val="00243214"/>
    <w:rsid w:val="0024447F"/>
    <w:rsid w:val="00251233"/>
    <w:rsid w:val="00256B4A"/>
    <w:rsid w:val="002573B7"/>
    <w:rsid w:val="00260B44"/>
    <w:rsid w:val="00261550"/>
    <w:rsid w:val="0026207A"/>
    <w:rsid w:val="002647A0"/>
    <w:rsid w:val="00266E47"/>
    <w:rsid w:val="002679D7"/>
    <w:rsid w:val="00267DB1"/>
    <w:rsid w:val="00270E75"/>
    <w:rsid w:val="0027288C"/>
    <w:rsid w:val="00273341"/>
    <w:rsid w:val="00273CF0"/>
    <w:rsid w:val="002760BB"/>
    <w:rsid w:val="00276BE8"/>
    <w:rsid w:val="00280D5E"/>
    <w:rsid w:val="00281C64"/>
    <w:rsid w:val="002830B1"/>
    <w:rsid w:val="0028317C"/>
    <w:rsid w:val="0028489C"/>
    <w:rsid w:val="00284F4D"/>
    <w:rsid w:val="002862A9"/>
    <w:rsid w:val="0028653B"/>
    <w:rsid w:val="0028727E"/>
    <w:rsid w:val="00287490"/>
    <w:rsid w:val="002874A0"/>
    <w:rsid w:val="002879BD"/>
    <w:rsid w:val="00290435"/>
    <w:rsid w:val="00291C41"/>
    <w:rsid w:val="00292F2C"/>
    <w:rsid w:val="002947BA"/>
    <w:rsid w:val="00295999"/>
    <w:rsid w:val="002965B6"/>
    <w:rsid w:val="002972D1"/>
    <w:rsid w:val="002A04A9"/>
    <w:rsid w:val="002A1644"/>
    <w:rsid w:val="002A2A8D"/>
    <w:rsid w:val="002A2D36"/>
    <w:rsid w:val="002A31DF"/>
    <w:rsid w:val="002A39BB"/>
    <w:rsid w:val="002A5E9E"/>
    <w:rsid w:val="002A6CD9"/>
    <w:rsid w:val="002A7F39"/>
    <w:rsid w:val="002B1ADE"/>
    <w:rsid w:val="002B2B0B"/>
    <w:rsid w:val="002B417A"/>
    <w:rsid w:val="002B4F64"/>
    <w:rsid w:val="002B5211"/>
    <w:rsid w:val="002B565E"/>
    <w:rsid w:val="002C089D"/>
    <w:rsid w:val="002C272B"/>
    <w:rsid w:val="002C3524"/>
    <w:rsid w:val="002C42A5"/>
    <w:rsid w:val="002C47B0"/>
    <w:rsid w:val="002C51B4"/>
    <w:rsid w:val="002C60F3"/>
    <w:rsid w:val="002C682D"/>
    <w:rsid w:val="002C68AD"/>
    <w:rsid w:val="002C72F8"/>
    <w:rsid w:val="002C7F2B"/>
    <w:rsid w:val="002D0AA7"/>
    <w:rsid w:val="002D1C4A"/>
    <w:rsid w:val="002D1CB1"/>
    <w:rsid w:val="002D22C3"/>
    <w:rsid w:val="002D2905"/>
    <w:rsid w:val="002D2C74"/>
    <w:rsid w:val="002D322C"/>
    <w:rsid w:val="002D41A4"/>
    <w:rsid w:val="002D4864"/>
    <w:rsid w:val="002D56D0"/>
    <w:rsid w:val="002D5C54"/>
    <w:rsid w:val="002D5D55"/>
    <w:rsid w:val="002D677B"/>
    <w:rsid w:val="002D7808"/>
    <w:rsid w:val="002E5D62"/>
    <w:rsid w:val="002E5E06"/>
    <w:rsid w:val="002E6C47"/>
    <w:rsid w:val="002E757B"/>
    <w:rsid w:val="002E7C6B"/>
    <w:rsid w:val="002F0CD4"/>
    <w:rsid w:val="002F1386"/>
    <w:rsid w:val="002F27A1"/>
    <w:rsid w:val="002F6B87"/>
    <w:rsid w:val="0030001C"/>
    <w:rsid w:val="00301303"/>
    <w:rsid w:val="003021A1"/>
    <w:rsid w:val="00303345"/>
    <w:rsid w:val="003035DF"/>
    <w:rsid w:val="003036AC"/>
    <w:rsid w:val="00305A82"/>
    <w:rsid w:val="0030628E"/>
    <w:rsid w:val="00307D9D"/>
    <w:rsid w:val="0031029F"/>
    <w:rsid w:val="00312412"/>
    <w:rsid w:val="00312BBC"/>
    <w:rsid w:val="003146A7"/>
    <w:rsid w:val="0031601A"/>
    <w:rsid w:val="003164F2"/>
    <w:rsid w:val="00321643"/>
    <w:rsid w:val="0032246F"/>
    <w:rsid w:val="003247BC"/>
    <w:rsid w:val="0032526C"/>
    <w:rsid w:val="00326477"/>
    <w:rsid w:val="0033018F"/>
    <w:rsid w:val="00330F16"/>
    <w:rsid w:val="003320E9"/>
    <w:rsid w:val="0033246A"/>
    <w:rsid w:val="003338A4"/>
    <w:rsid w:val="00333E71"/>
    <w:rsid w:val="00334F09"/>
    <w:rsid w:val="003350F1"/>
    <w:rsid w:val="0033538B"/>
    <w:rsid w:val="003357AC"/>
    <w:rsid w:val="00336C3D"/>
    <w:rsid w:val="0034069A"/>
    <w:rsid w:val="00340B33"/>
    <w:rsid w:val="003423ED"/>
    <w:rsid w:val="003433D4"/>
    <w:rsid w:val="003443F8"/>
    <w:rsid w:val="00344B40"/>
    <w:rsid w:val="003453CD"/>
    <w:rsid w:val="003473E2"/>
    <w:rsid w:val="00347D4E"/>
    <w:rsid w:val="00350B88"/>
    <w:rsid w:val="00350F70"/>
    <w:rsid w:val="00351BF0"/>
    <w:rsid w:val="003526A0"/>
    <w:rsid w:val="00352EC1"/>
    <w:rsid w:val="00353513"/>
    <w:rsid w:val="00353582"/>
    <w:rsid w:val="003535FB"/>
    <w:rsid w:val="00354F30"/>
    <w:rsid w:val="00355D10"/>
    <w:rsid w:val="0035638A"/>
    <w:rsid w:val="003568B0"/>
    <w:rsid w:val="00356CF7"/>
    <w:rsid w:val="00357A9C"/>
    <w:rsid w:val="00357F90"/>
    <w:rsid w:val="003605B9"/>
    <w:rsid w:val="00360CF7"/>
    <w:rsid w:val="00362122"/>
    <w:rsid w:val="00362124"/>
    <w:rsid w:val="003627B8"/>
    <w:rsid w:val="00364424"/>
    <w:rsid w:val="00364A52"/>
    <w:rsid w:val="0036593E"/>
    <w:rsid w:val="00366273"/>
    <w:rsid w:val="00366537"/>
    <w:rsid w:val="003672C6"/>
    <w:rsid w:val="00367CC3"/>
    <w:rsid w:val="003731F7"/>
    <w:rsid w:val="00373449"/>
    <w:rsid w:val="00373561"/>
    <w:rsid w:val="00373F97"/>
    <w:rsid w:val="00374216"/>
    <w:rsid w:val="00375953"/>
    <w:rsid w:val="00375B10"/>
    <w:rsid w:val="00376021"/>
    <w:rsid w:val="00377844"/>
    <w:rsid w:val="00380FF3"/>
    <w:rsid w:val="003820E9"/>
    <w:rsid w:val="00383A78"/>
    <w:rsid w:val="00383D5B"/>
    <w:rsid w:val="003847C7"/>
    <w:rsid w:val="0038545D"/>
    <w:rsid w:val="003859B4"/>
    <w:rsid w:val="003869E8"/>
    <w:rsid w:val="00391288"/>
    <w:rsid w:val="00391502"/>
    <w:rsid w:val="003918E7"/>
    <w:rsid w:val="003921B8"/>
    <w:rsid w:val="0039430F"/>
    <w:rsid w:val="00395C18"/>
    <w:rsid w:val="00395E5A"/>
    <w:rsid w:val="0039653B"/>
    <w:rsid w:val="0039742D"/>
    <w:rsid w:val="003A0625"/>
    <w:rsid w:val="003A20BB"/>
    <w:rsid w:val="003A3A38"/>
    <w:rsid w:val="003A6575"/>
    <w:rsid w:val="003A7DB9"/>
    <w:rsid w:val="003B0DDB"/>
    <w:rsid w:val="003B1516"/>
    <w:rsid w:val="003B2055"/>
    <w:rsid w:val="003B2F49"/>
    <w:rsid w:val="003B369D"/>
    <w:rsid w:val="003B4CD7"/>
    <w:rsid w:val="003B59B5"/>
    <w:rsid w:val="003C0806"/>
    <w:rsid w:val="003C18DE"/>
    <w:rsid w:val="003C1B31"/>
    <w:rsid w:val="003C2B1A"/>
    <w:rsid w:val="003C30CA"/>
    <w:rsid w:val="003C35CE"/>
    <w:rsid w:val="003C370E"/>
    <w:rsid w:val="003C39C6"/>
    <w:rsid w:val="003C528B"/>
    <w:rsid w:val="003C79C9"/>
    <w:rsid w:val="003D0B6A"/>
    <w:rsid w:val="003D0C22"/>
    <w:rsid w:val="003D0D52"/>
    <w:rsid w:val="003D20A1"/>
    <w:rsid w:val="003D2859"/>
    <w:rsid w:val="003D29A0"/>
    <w:rsid w:val="003D363F"/>
    <w:rsid w:val="003D4E65"/>
    <w:rsid w:val="003D65DC"/>
    <w:rsid w:val="003D7382"/>
    <w:rsid w:val="003E0FDB"/>
    <w:rsid w:val="003E1E1C"/>
    <w:rsid w:val="003E2D94"/>
    <w:rsid w:val="003E5F75"/>
    <w:rsid w:val="003E735A"/>
    <w:rsid w:val="003E7FDA"/>
    <w:rsid w:val="003F0314"/>
    <w:rsid w:val="003F0403"/>
    <w:rsid w:val="003F1156"/>
    <w:rsid w:val="003F1F80"/>
    <w:rsid w:val="003F2942"/>
    <w:rsid w:val="003F2CB2"/>
    <w:rsid w:val="003F3479"/>
    <w:rsid w:val="003F47E6"/>
    <w:rsid w:val="003F4876"/>
    <w:rsid w:val="003F5B99"/>
    <w:rsid w:val="003F6329"/>
    <w:rsid w:val="003F6DEC"/>
    <w:rsid w:val="003F6FEA"/>
    <w:rsid w:val="003F7F82"/>
    <w:rsid w:val="00400E02"/>
    <w:rsid w:val="004019FD"/>
    <w:rsid w:val="00401DD1"/>
    <w:rsid w:val="00401FDA"/>
    <w:rsid w:val="0040284D"/>
    <w:rsid w:val="00403E6A"/>
    <w:rsid w:val="0040401E"/>
    <w:rsid w:val="004053B5"/>
    <w:rsid w:val="004057AA"/>
    <w:rsid w:val="0040615A"/>
    <w:rsid w:val="004077A6"/>
    <w:rsid w:val="00407ADC"/>
    <w:rsid w:val="00407B4B"/>
    <w:rsid w:val="004109FD"/>
    <w:rsid w:val="00411E29"/>
    <w:rsid w:val="0041288D"/>
    <w:rsid w:val="00416A8C"/>
    <w:rsid w:val="00417478"/>
    <w:rsid w:val="00420299"/>
    <w:rsid w:val="0042033E"/>
    <w:rsid w:val="00420674"/>
    <w:rsid w:val="0042105C"/>
    <w:rsid w:val="00421983"/>
    <w:rsid w:val="00421A67"/>
    <w:rsid w:val="00422CDC"/>
    <w:rsid w:val="00423EF5"/>
    <w:rsid w:val="004250F7"/>
    <w:rsid w:val="0042633B"/>
    <w:rsid w:val="00427CA4"/>
    <w:rsid w:val="00430497"/>
    <w:rsid w:val="00430F71"/>
    <w:rsid w:val="00432324"/>
    <w:rsid w:val="0043379B"/>
    <w:rsid w:val="0043407E"/>
    <w:rsid w:val="00434713"/>
    <w:rsid w:val="004357AD"/>
    <w:rsid w:val="00437278"/>
    <w:rsid w:val="00437A6B"/>
    <w:rsid w:val="004409C5"/>
    <w:rsid w:val="004423E9"/>
    <w:rsid w:val="004427FC"/>
    <w:rsid w:val="004430A5"/>
    <w:rsid w:val="00445174"/>
    <w:rsid w:val="00445ABB"/>
    <w:rsid w:val="004463C8"/>
    <w:rsid w:val="00451938"/>
    <w:rsid w:val="00452953"/>
    <w:rsid w:val="00452C02"/>
    <w:rsid w:val="00453296"/>
    <w:rsid w:val="00455B7B"/>
    <w:rsid w:val="00457E4E"/>
    <w:rsid w:val="00460395"/>
    <w:rsid w:val="00461050"/>
    <w:rsid w:val="0046112D"/>
    <w:rsid w:val="00461E23"/>
    <w:rsid w:val="00462CCE"/>
    <w:rsid w:val="004638A5"/>
    <w:rsid w:val="00463B9F"/>
    <w:rsid w:val="004653A8"/>
    <w:rsid w:val="0046580B"/>
    <w:rsid w:val="00465A3D"/>
    <w:rsid w:val="00465E21"/>
    <w:rsid w:val="0046748D"/>
    <w:rsid w:val="00467DFD"/>
    <w:rsid w:val="004705AA"/>
    <w:rsid w:val="00470C0C"/>
    <w:rsid w:val="00471F2B"/>
    <w:rsid w:val="0047314B"/>
    <w:rsid w:val="00474415"/>
    <w:rsid w:val="004752A0"/>
    <w:rsid w:val="0047581C"/>
    <w:rsid w:val="00475AFE"/>
    <w:rsid w:val="00476269"/>
    <w:rsid w:val="0047654C"/>
    <w:rsid w:val="00476879"/>
    <w:rsid w:val="004768BC"/>
    <w:rsid w:val="00476EB1"/>
    <w:rsid w:val="00480583"/>
    <w:rsid w:val="00480988"/>
    <w:rsid w:val="00481084"/>
    <w:rsid w:val="00481397"/>
    <w:rsid w:val="00481B5F"/>
    <w:rsid w:val="004833A4"/>
    <w:rsid w:val="004840BC"/>
    <w:rsid w:val="004850EA"/>
    <w:rsid w:val="00485D25"/>
    <w:rsid w:val="00486C31"/>
    <w:rsid w:val="0048737A"/>
    <w:rsid w:val="0048779E"/>
    <w:rsid w:val="00487AFF"/>
    <w:rsid w:val="00490F10"/>
    <w:rsid w:val="00491465"/>
    <w:rsid w:val="00492EE7"/>
    <w:rsid w:val="0049386E"/>
    <w:rsid w:val="00493C81"/>
    <w:rsid w:val="00494006"/>
    <w:rsid w:val="00495D61"/>
    <w:rsid w:val="00497D65"/>
    <w:rsid w:val="004A08F5"/>
    <w:rsid w:val="004A0F8A"/>
    <w:rsid w:val="004A3506"/>
    <w:rsid w:val="004A4056"/>
    <w:rsid w:val="004A41BB"/>
    <w:rsid w:val="004A57E0"/>
    <w:rsid w:val="004A5B38"/>
    <w:rsid w:val="004A68F3"/>
    <w:rsid w:val="004A76AB"/>
    <w:rsid w:val="004A76E3"/>
    <w:rsid w:val="004B3792"/>
    <w:rsid w:val="004B5FE7"/>
    <w:rsid w:val="004B7E4B"/>
    <w:rsid w:val="004C08B4"/>
    <w:rsid w:val="004C10CD"/>
    <w:rsid w:val="004C39AD"/>
    <w:rsid w:val="004C4213"/>
    <w:rsid w:val="004C44F8"/>
    <w:rsid w:val="004C4EE9"/>
    <w:rsid w:val="004C60CB"/>
    <w:rsid w:val="004C769B"/>
    <w:rsid w:val="004D15DA"/>
    <w:rsid w:val="004D239B"/>
    <w:rsid w:val="004D5737"/>
    <w:rsid w:val="004D6EC2"/>
    <w:rsid w:val="004D6FAD"/>
    <w:rsid w:val="004E048D"/>
    <w:rsid w:val="004E1CA8"/>
    <w:rsid w:val="004E2BD8"/>
    <w:rsid w:val="004E42A0"/>
    <w:rsid w:val="004E4DB5"/>
    <w:rsid w:val="004E5D79"/>
    <w:rsid w:val="004E7456"/>
    <w:rsid w:val="004F358B"/>
    <w:rsid w:val="004F3AC0"/>
    <w:rsid w:val="004F4904"/>
    <w:rsid w:val="004F4905"/>
    <w:rsid w:val="004F5694"/>
    <w:rsid w:val="004F5FF9"/>
    <w:rsid w:val="004F70FA"/>
    <w:rsid w:val="00500640"/>
    <w:rsid w:val="00500AB3"/>
    <w:rsid w:val="00500D7D"/>
    <w:rsid w:val="00501785"/>
    <w:rsid w:val="00501D86"/>
    <w:rsid w:val="00501F1B"/>
    <w:rsid w:val="00503F69"/>
    <w:rsid w:val="0050408C"/>
    <w:rsid w:val="00504444"/>
    <w:rsid w:val="00504A67"/>
    <w:rsid w:val="00505176"/>
    <w:rsid w:val="00505B7A"/>
    <w:rsid w:val="005067AC"/>
    <w:rsid w:val="00506C90"/>
    <w:rsid w:val="0050780B"/>
    <w:rsid w:val="00507E7D"/>
    <w:rsid w:val="00513EA3"/>
    <w:rsid w:val="00514652"/>
    <w:rsid w:val="00514890"/>
    <w:rsid w:val="00515345"/>
    <w:rsid w:val="0051584D"/>
    <w:rsid w:val="00515937"/>
    <w:rsid w:val="00515EE1"/>
    <w:rsid w:val="005217FF"/>
    <w:rsid w:val="00522225"/>
    <w:rsid w:val="0052229D"/>
    <w:rsid w:val="00522728"/>
    <w:rsid w:val="00522908"/>
    <w:rsid w:val="005240DE"/>
    <w:rsid w:val="005241CA"/>
    <w:rsid w:val="005246BF"/>
    <w:rsid w:val="00525D81"/>
    <w:rsid w:val="00525FB7"/>
    <w:rsid w:val="005273D2"/>
    <w:rsid w:val="005279F3"/>
    <w:rsid w:val="00530154"/>
    <w:rsid w:val="00532138"/>
    <w:rsid w:val="005349CA"/>
    <w:rsid w:val="0053532A"/>
    <w:rsid w:val="00535487"/>
    <w:rsid w:val="005357A1"/>
    <w:rsid w:val="00536E4A"/>
    <w:rsid w:val="005404F1"/>
    <w:rsid w:val="00540694"/>
    <w:rsid w:val="00540D31"/>
    <w:rsid w:val="00541A11"/>
    <w:rsid w:val="00542D54"/>
    <w:rsid w:val="00545CAC"/>
    <w:rsid w:val="00546DFF"/>
    <w:rsid w:val="00546EB3"/>
    <w:rsid w:val="00550003"/>
    <w:rsid w:val="00550776"/>
    <w:rsid w:val="0055113C"/>
    <w:rsid w:val="005528A7"/>
    <w:rsid w:val="00553231"/>
    <w:rsid w:val="005532E9"/>
    <w:rsid w:val="005544C7"/>
    <w:rsid w:val="00556004"/>
    <w:rsid w:val="0055733B"/>
    <w:rsid w:val="00560742"/>
    <w:rsid w:val="00560F8E"/>
    <w:rsid w:val="00562532"/>
    <w:rsid w:val="00563A20"/>
    <w:rsid w:val="00563C71"/>
    <w:rsid w:val="00564137"/>
    <w:rsid w:val="00565703"/>
    <w:rsid w:val="0056586F"/>
    <w:rsid w:val="00565A51"/>
    <w:rsid w:val="00566460"/>
    <w:rsid w:val="00567E17"/>
    <w:rsid w:val="00570238"/>
    <w:rsid w:val="0057075C"/>
    <w:rsid w:val="005721F8"/>
    <w:rsid w:val="00572500"/>
    <w:rsid w:val="00573EB5"/>
    <w:rsid w:val="005754F8"/>
    <w:rsid w:val="00575B6B"/>
    <w:rsid w:val="00575E44"/>
    <w:rsid w:val="00577116"/>
    <w:rsid w:val="005779F0"/>
    <w:rsid w:val="0058185E"/>
    <w:rsid w:val="00582727"/>
    <w:rsid w:val="00582798"/>
    <w:rsid w:val="005836C7"/>
    <w:rsid w:val="00585395"/>
    <w:rsid w:val="00587F70"/>
    <w:rsid w:val="00590ADC"/>
    <w:rsid w:val="00590D2D"/>
    <w:rsid w:val="00590D57"/>
    <w:rsid w:val="00593141"/>
    <w:rsid w:val="0059419F"/>
    <w:rsid w:val="0059529B"/>
    <w:rsid w:val="005961B1"/>
    <w:rsid w:val="0059686F"/>
    <w:rsid w:val="005971A0"/>
    <w:rsid w:val="005A086E"/>
    <w:rsid w:val="005A1E6B"/>
    <w:rsid w:val="005A2AA6"/>
    <w:rsid w:val="005A2C30"/>
    <w:rsid w:val="005A2E26"/>
    <w:rsid w:val="005A2EBC"/>
    <w:rsid w:val="005A30AD"/>
    <w:rsid w:val="005A4156"/>
    <w:rsid w:val="005A4A69"/>
    <w:rsid w:val="005A5505"/>
    <w:rsid w:val="005A6B88"/>
    <w:rsid w:val="005A6BC5"/>
    <w:rsid w:val="005B14F1"/>
    <w:rsid w:val="005B2624"/>
    <w:rsid w:val="005B2840"/>
    <w:rsid w:val="005B3E86"/>
    <w:rsid w:val="005B46BD"/>
    <w:rsid w:val="005B58E4"/>
    <w:rsid w:val="005B59CB"/>
    <w:rsid w:val="005B59D9"/>
    <w:rsid w:val="005B6128"/>
    <w:rsid w:val="005B6F55"/>
    <w:rsid w:val="005B6FAB"/>
    <w:rsid w:val="005B704C"/>
    <w:rsid w:val="005B71AD"/>
    <w:rsid w:val="005B75A8"/>
    <w:rsid w:val="005B7FC8"/>
    <w:rsid w:val="005C0511"/>
    <w:rsid w:val="005C0CE5"/>
    <w:rsid w:val="005C1589"/>
    <w:rsid w:val="005C321A"/>
    <w:rsid w:val="005C3D8B"/>
    <w:rsid w:val="005C65BE"/>
    <w:rsid w:val="005C7FA9"/>
    <w:rsid w:val="005D1DA9"/>
    <w:rsid w:val="005D3C8A"/>
    <w:rsid w:val="005D4164"/>
    <w:rsid w:val="005D514E"/>
    <w:rsid w:val="005D5CF6"/>
    <w:rsid w:val="005D70B4"/>
    <w:rsid w:val="005E04EA"/>
    <w:rsid w:val="005E0BEB"/>
    <w:rsid w:val="005E0D7D"/>
    <w:rsid w:val="005E10A0"/>
    <w:rsid w:val="005E1ADB"/>
    <w:rsid w:val="005E5926"/>
    <w:rsid w:val="005E64F4"/>
    <w:rsid w:val="005E6FA5"/>
    <w:rsid w:val="005E7208"/>
    <w:rsid w:val="005F0114"/>
    <w:rsid w:val="005F2B07"/>
    <w:rsid w:val="005F4D7D"/>
    <w:rsid w:val="005F5A9C"/>
    <w:rsid w:val="005F698B"/>
    <w:rsid w:val="00600FC6"/>
    <w:rsid w:val="006023C2"/>
    <w:rsid w:val="00605452"/>
    <w:rsid w:val="00605A3A"/>
    <w:rsid w:val="00605DDE"/>
    <w:rsid w:val="00605E30"/>
    <w:rsid w:val="00607C4E"/>
    <w:rsid w:val="006103F2"/>
    <w:rsid w:val="00611A5B"/>
    <w:rsid w:val="006127D7"/>
    <w:rsid w:val="0061288B"/>
    <w:rsid w:val="0061381A"/>
    <w:rsid w:val="00613AF9"/>
    <w:rsid w:val="00616D0B"/>
    <w:rsid w:val="0061732F"/>
    <w:rsid w:val="00617363"/>
    <w:rsid w:val="006210C8"/>
    <w:rsid w:val="0062257E"/>
    <w:rsid w:val="006226FA"/>
    <w:rsid w:val="00623F2D"/>
    <w:rsid w:val="00624CCC"/>
    <w:rsid w:val="00624F8C"/>
    <w:rsid w:val="00625BC2"/>
    <w:rsid w:val="006270BC"/>
    <w:rsid w:val="00627E34"/>
    <w:rsid w:val="006301D9"/>
    <w:rsid w:val="006309AA"/>
    <w:rsid w:val="00631B33"/>
    <w:rsid w:val="00633473"/>
    <w:rsid w:val="00633A38"/>
    <w:rsid w:val="00634203"/>
    <w:rsid w:val="0063426C"/>
    <w:rsid w:val="006352F0"/>
    <w:rsid w:val="0063563E"/>
    <w:rsid w:val="006364BD"/>
    <w:rsid w:val="0063683C"/>
    <w:rsid w:val="00636BEC"/>
    <w:rsid w:val="006379BD"/>
    <w:rsid w:val="00637E5F"/>
    <w:rsid w:val="00641504"/>
    <w:rsid w:val="0064277C"/>
    <w:rsid w:val="0064403B"/>
    <w:rsid w:val="00644600"/>
    <w:rsid w:val="00644CE5"/>
    <w:rsid w:val="0064622E"/>
    <w:rsid w:val="00646615"/>
    <w:rsid w:val="00647BA0"/>
    <w:rsid w:val="006500EC"/>
    <w:rsid w:val="00650E8F"/>
    <w:rsid w:val="00650F05"/>
    <w:rsid w:val="00652071"/>
    <w:rsid w:val="00653551"/>
    <w:rsid w:val="00654888"/>
    <w:rsid w:val="0065563B"/>
    <w:rsid w:val="00657DC2"/>
    <w:rsid w:val="00661503"/>
    <w:rsid w:val="00661FE1"/>
    <w:rsid w:val="00662FF2"/>
    <w:rsid w:val="0066414C"/>
    <w:rsid w:val="00665471"/>
    <w:rsid w:val="006654C5"/>
    <w:rsid w:val="006656DF"/>
    <w:rsid w:val="00667465"/>
    <w:rsid w:val="006722C6"/>
    <w:rsid w:val="0067266A"/>
    <w:rsid w:val="00673AB8"/>
    <w:rsid w:val="006741B7"/>
    <w:rsid w:val="00674D02"/>
    <w:rsid w:val="00675577"/>
    <w:rsid w:val="006756A6"/>
    <w:rsid w:val="006757B9"/>
    <w:rsid w:val="00675AB1"/>
    <w:rsid w:val="006762EA"/>
    <w:rsid w:val="0067668F"/>
    <w:rsid w:val="006807D4"/>
    <w:rsid w:val="00680EAA"/>
    <w:rsid w:val="00682939"/>
    <w:rsid w:val="0068366E"/>
    <w:rsid w:val="00684DEC"/>
    <w:rsid w:val="00684FD0"/>
    <w:rsid w:val="006850BB"/>
    <w:rsid w:val="006851D3"/>
    <w:rsid w:val="006853DA"/>
    <w:rsid w:val="00686C76"/>
    <w:rsid w:val="00690836"/>
    <w:rsid w:val="00691200"/>
    <w:rsid w:val="00692C75"/>
    <w:rsid w:val="00692D7F"/>
    <w:rsid w:val="00693272"/>
    <w:rsid w:val="00693DE4"/>
    <w:rsid w:val="00695700"/>
    <w:rsid w:val="00695E24"/>
    <w:rsid w:val="00696467"/>
    <w:rsid w:val="00696CC9"/>
    <w:rsid w:val="006979B9"/>
    <w:rsid w:val="006A0AE2"/>
    <w:rsid w:val="006A2989"/>
    <w:rsid w:val="006A2F10"/>
    <w:rsid w:val="006A355C"/>
    <w:rsid w:val="006A3C2D"/>
    <w:rsid w:val="006A4219"/>
    <w:rsid w:val="006A541E"/>
    <w:rsid w:val="006A7370"/>
    <w:rsid w:val="006A756C"/>
    <w:rsid w:val="006A77D0"/>
    <w:rsid w:val="006A7AAD"/>
    <w:rsid w:val="006B25B4"/>
    <w:rsid w:val="006B2822"/>
    <w:rsid w:val="006B2C94"/>
    <w:rsid w:val="006B392A"/>
    <w:rsid w:val="006B460F"/>
    <w:rsid w:val="006B4C9F"/>
    <w:rsid w:val="006B4E31"/>
    <w:rsid w:val="006B4E43"/>
    <w:rsid w:val="006B6A67"/>
    <w:rsid w:val="006C18AD"/>
    <w:rsid w:val="006C1DD9"/>
    <w:rsid w:val="006C1FC8"/>
    <w:rsid w:val="006C20D9"/>
    <w:rsid w:val="006C408F"/>
    <w:rsid w:val="006C425C"/>
    <w:rsid w:val="006C4E4B"/>
    <w:rsid w:val="006C5279"/>
    <w:rsid w:val="006C756C"/>
    <w:rsid w:val="006D0153"/>
    <w:rsid w:val="006D14BB"/>
    <w:rsid w:val="006D19ED"/>
    <w:rsid w:val="006D2043"/>
    <w:rsid w:val="006D3480"/>
    <w:rsid w:val="006D4A96"/>
    <w:rsid w:val="006D4B17"/>
    <w:rsid w:val="006D4F76"/>
    <w:rsid w:val="006D5579"/>
    <w:rsid w:val="006D69F4"/>
    <w:rsid w:val="006D72F1"/>
    <w:rsid w:val="006E0C63"/>
    <w:rsid w:val="006E147B"/>
    <w:rsid w:val="006E1B00"/>
    <w:rsid w:val="006E1ECF"/>
    <w:rsid w:val="006E4749"/>
    <w:rsid w:val="006E4B49"/>
    <w:rsid w:val="006E55AC"/>
    <w:rsid w:val="006E792B"/>
    <w:rsid w:val="006F1C53"/>
    <w:rsid w:val="006F1FF3"/>
    <w:rsid w:val="006F2543"/>
    <w:rsid w:val="006F2844"/>
    <w:rsid w:val="006F38E6"/>
    <w:rsid w:val="006F4D6E"/>
    <w:rsid w:val="006F4F57"/>
    <w:rsid w:val="006F574A"/>
    <w:rsid w:val="006F5B85"/>
    <w:rsid w:val="0070211C"/>
    <w:rsid w:val="00702AE0"/>
    <w:rsid w:val="007034A1"/>
    <w:rsid w:val="00705A8D"/>
    <w:rsid w:val="00710DFE"/>
    <w:rsid w:val="0071652A"/>
    <w:rsid w:val="00716D22"/>
    <w:rsid w:val="007174DA"/>
    <w:rsid w:val="00720017"/>
    <w:rsid w:val="00721173"/>
    <w:rsid w:val="0072271F"/>
    <w:rsid w:val="007231B0"/>
    <w:rsid w:val="00723814"/>
    <w:rsid w:val="00725ED2"/>
    <w:rsid w:val="00727AB0"/>
    <w:rsid w:val="00727E87"/>
    <w:rsid w:val="00731B67"/>
    <w:rsid w:val="007331B4"/>
    <w:rsid w:val="00733DF6"/>
    <w:rsid w:val="00733F6B"/>
    <w:rsid w:val="00734D32"/>
    <w:rsid w:val="00736477"/>
    <w:rsid w:val="007365DA"/>
    <w:rsid w:val="00736B46"/>
    <w:rsid w:val="0074093F"/>
    <w:rsid w:val="00743B4F"/>
    <w:rsid w:val="00744F45"/>
    <w:rsid w:val="00746D90"/>
    <w:rsid w:val="007510C2"/>
    <w:rsid w:val="00752432"/>
    <w:rsid w:val="007535ED"/>
    <w:rsid w:val="0075406E"/>
    <w:rsid w:val="0075451D"/>
    <w:rsid w:val="0075515B"/>
    <w:rsid w:val="007554B0"/>
    <w:rsid w:val="00756702"/>
    <w:rsid w:val="007572AF"/>
    <w:rsid w:val="007579FB"/>
    <w:rsid w:val="00760F58"/>
    <w:rsid w:val="00761DD1"/>
    <w:rsid w:val="00762EA3"/>
    <w:rsid w:val="00762FE9"/>
    <w:rsid w:val="007630DA"/>
    <w:rsid w:val="0076325C"/>
    <w:rsid w:val="00763F22"/>
    <w:rsid w:val="00765211"/>
    <w:rsid w:val="00765D15"/>
    <w:rsid w:val="0076623C"/>
    <w:rsid w:val="00766767"/>
    <w:rsid w:val="00766A44"/>
    <w:rsid w:val="00770121"/>
    <w:rsid w:val="007707BE"/>
    <w:rsid w:val="0077327F"/>
    <w:rsid w:val="00773EB1"/>
    <w:rsid w:val="00775512"/>
    <w:rsid w:val="007763CB"/>
    <w:rsid w:val="007804A7"/>
    <w:rsid w:val="0078151E"/>
    <w:rsid w:val="00786992"/>
    <w:rsid w:val="007871F2"/>
    <w:rsid w:val="0079035E"/>
    <w:rsid w:val="007908F6"/>
    <w:rsid w:val="00790C03"/>
    <w:rsid w:val="00791FF7"/>
    <w:rsid w:val="00793CCF"/>
    <w:rsid w:val="00794EC2"/>
    <w:rsid w:val="007954D9"/>
    <w:rsid w:val="00796FCF"/>
    <w:rsid w:val="0079770C"/>
    <w:rsid w:val="00797C62"/>
    <w:rsid w:val="007A25EC"/>
    <w:rsid w:val="007A33C1"/>
    <w:rsid w:val="007A540E"/>
    <w:rsid w:val="007A5521"/>
    <w:rsid w:val="007A6830"/>
    <w:rsid w:val="007A7952"/>
    <w:rsid w:val="007A7FC8"/>
    <w:rsid w:val="007B0766"/>
    <w:rsid w:val="007B0BDB"/>
    <w:rsid w:val="007B18D5"/>
    <w:rsid w:val="007B19DB"/>
    <w:rsid w:val="007B2BD3"/>
    <w:rsid w:val="007B3201"/>
    <w:rsid w:val="007B33DF"/>
    <w:rsid w:val="007B3ACE"/>
    <w:rsid w:val="007C0346"/>
    <w:rsid w:val="007C1632"/>
    <w:rsid w:val="007C36EF"/>
    <w:rsid w:val="007C50E1"/>
    <w:rsid w:val="007C565D"/>
    <w:rsid w:val="007C5FD6"/>
    <w:rsid w:val="007C615B"/>
    <w:rsid w:val="007C6BDE"/>
    <w:rsid w:val="007C7FBC"/>
    <w:rsid w:val="007D0678"/>
    <w:rsid w:val="007D0927"/>
    <w:rsid w:val="007D0971"/>
    <w:rsid w:val="007D1102"/>
    <w:rsid w:val="007D1431"/>
    <w:rsid w:val="007D18B1"/>
    <w:rsid w:val="007D1C2C"/>
    <w:rsid w:val="007D2554"/>
    <w:rsid w:val="007D26C7"/>
    <w:rsid w:val="007D4BF8"/>
    <w:rsid w:val="007D541F"/>
    <w:rsid w:val="007D666B"/>
    <w:rsid w:val="007D6E94"/>
    <w:rsid w:val="007D74F6"/>
    <w:rsid w:val="007E0A85"/>
    <w:rsid w:val="007E1CD6"/>
    <w:rsid w:val="007E1DC3"/>
    <w:rsid w:val="007E310B"/>
    <w:rsid w:val="007E4032"/>
    <w:rsid w:val="007E42BD"/>
    <w:rsid w:val="007E7634"/>
    <w:rsid w:val="007E790D"/>
    <w:rsid w:val="007F0FF1"/>
    <w:rsid w:val="007F1681"/>
    <w:rsid w:val="007F22C7"/>
    <w:rsid w:val="007F3EC0"/>
    <w:rsid w:val="007F4AC1"/>
    <w:rsid w:val="007F76DF"/>
    <w:rsid w:val="00800E25"/>
    <w:rsid w:val="00801288"/>
    <w:rsid w:val="00801634"/>
    <w:rsid w:val="00801660"/>
    <w:rsid w:val="00801B08"/>
    <w:rsid w:val="00804601"/>
    <w:rsid w:val="0080537B"/>
    <w:rsid w:val="00806EBA"/>
    <w:rsid w:val="00807FCB"/>
    <w:rsid w:val="00810B48"/>
    <w:rsid w:val="008116AD"/>
    <w:rsid w:val="00811896"/>
    <w:rsid w:val="00813864"/>
    <w:rsid w:val="008138FF"/>
    <w:rsid w:val="00816301"/>
    <w:rsid w:val="008164B4"/>
    <w:rsid w:val="00817A42"/>
    <w:rsid w:val="00820027"/>
    <w:rsid w:val="0082023B"/>
    <w:rsid w:val="008202BC"/>
    <w:rsid w:val="00820C2B"/>
    <w:rsid w:val="008219CF"/>
    <w:rsid w:val="00821EA5"/>
    <w:rsid w:val="00822EFD"/>
    <w:rsid w:val="0082522B"/>
    <w:rsid w:val="00825C31"/>
    <w:rsid w:val="00826F58"/>
    <w:rsid w:val="008272E9"/>
    <w:rsid w:val="00827337"/>
    <w:rsid w:val="0083080B"/>
    <w:rsid w:val="00831321"/>
    <w:rsid w:val="008314B0"/>
    <w:rsid w:val="008317E0"/>
    <w:rsid w:val="008339A6"/>
    <w:rsid w:val="00834062"/>
    <w:rsid w:val="00835675"/>
    <w:rsid w:val="00837104"/>
    <w:rsid w:val="00840D8A"/>
    <w:rsid w:val="00840E8F"/>
    <w:rsid w:val="0084100F"/>
    <w:rsid w:val="008416E0"/>
    <w:rsid w:val="008447AA"/>
    <w:rsid w:val="0084535B"/>
    <w:rsid w:val="0084576E"/>
    <w:rsid w:val="00845AE3"/>
    <w:rsid w:val="00846577"/>
    <w:rsid w:val="00847777"/>
    <w:rsid w:val="0085043C"/>
    <w:rsid w:val="008516E4"/>
    <w:rsid w:val="00851F66"/>
    <w:rsid w:val="0085249D"/>
    <w:rsid w:val="00854B13"/>
    <w:rsid w:val="00856735"/>
    <w:rsid w:val="00860A69"/>
    <w:rsid w:val="00861351"/>
    <w:rsid w:val="008617C7"/>
    <w:rsid w:val="00861A7E"/>
    <w:rsid w:val="008628C6"/>
    <w:rsid w:val="008654DB"/>
    <w:rsid w:val="00865D34"/>
    <w:rsid w:val="00867C24"/>
    <w:rsid w:val="0087054F"/>
    <w:rsid w:val="00873679"/>
    <w:rsid w:val="0087451B"/>
    <w:rsid w:val="00874667"/>
    <w:rsid w:val="00875990"/>
    <w:rsid w:val="0087608B"/>
    <w:rsid w:val="0087699B"/>
    <w:rsid w:val="00877AD7"/>
    <w:rsid w:val="00881468"/>
    <w:rsid w:val="00881695"/>
    <w:rsid w:val="008838FE"/>
    <w:rsid w:val="00886299"/>
    <w:rsid w:val="00891B80"/>
    <w:rsid w:val="008920CB"/>
    <w:rsid w:val="00893500"/>
    <w:rsid w:val="00893CBF"/>
    <w:rsid w:val="00894DF1"/>
    <w:rsid w:val="00894FBD"/>
    <w:rsid w:val="0089620F"/>
    <w:rsid w:val="0089652C"/>
    <w:rsid w:val="00896EEC"/>
    <w:rsid w:val="0089704D"/>
    <w:rsid w:val="008A16D8"/>
    <w:rsid w:val="008A1F69"/>
    <w:rsid w:val="008A3EE6"/>
    <w:rsid w:val="008A52E8"/>
    <w:rsid w:val="008A533E"/>
    <w:rsid w:val="008A60AD"/>
    <w:rsid w:val="008A7035"/>
    <w:rsid w:val="008A77B1"/>
    <w:rsid w:val="008B0210"/>
    <w:rsid w:val="008B0438"/>
    <w:rsid w:val="008B1E61"/>
    <w:rsid w:val="008B249A"/>
    <w:rsid w:val="008B2F3F"/>
    <w:rsid w:val="008B303E"/>
    <w:rsid w:val="008B3C0B"/>
    <w:rsid w:val="008B52B2"/>
    <w:rsid w:val="008B618F"/>
    <w:rsid w:val="008B6363"/>
    <w:rsid w:val="008B7136"/>
    <w:rsid w:val="008B7642"/>
    <w:rsid w:val="008B77B2"/>
    <w:rsid w:val="008B7A5F"/>
    <w:rsid w:val="008C0630"/>
    <w:rsid w:val="008C0995"/>
    <w:rsid w:val="008C33DA"/>
    <w:rsid w:val="008C4AEB"/>
    <w:rsid w:val="008C5CEF"/>
    <w:rsid w:val="008D0A71"/>
    <w:rsid w:val="008D19C6"/>
    <w:rsid w:val="008D1A9F"/>
    <w:rsid w:val="008D2EB0"/>
    <w:rsid w:val="008D32A1"/>
    <w:rsid w:val="008D353C"/>
    <w:rsid w:val="008D415F"/>
    <w:rsid w:val="008D44C5"/>
    <w:rsid w:val="008D4EFA"/>
    <w:rsid w:val="008D54AA"/>
    <w:rsid w:val="008D54BB"/>
    <w:rsid w:val="008D7E85"/>
    <w:rsid w:val="008E0E8E"/>
    <w:rsid w:val="008E15B1"/>
    <w:rsid w:val="008E1620"/>
    <w:rsid w:val="008E19FF"/>
    <w:rsid w:val="008E1FBC"/>
    <w:rsid w:val="008E31A3"/>
    <w:rsid w:val="008E4156"/>
    <w:rsid w:val="008E53FF"/>
    <w:rsid w:val="008E5E7D"/>
    <w:rsid w:val="008E747E"/>
    <w:rsid w:val="008E7917"/>
    <w:rsid w:val="008F249D"/>
    <w:rsid w:val="008F31E1"/>
    <w:rsid w:val="008F54F8"/>
    <w:rsid w:val="008F6232"/>
    <w:rsid w:val="008F63EF"/>
    <w:rsid w:val="008F6C1F"/>
    <w:rsid w:val="00900A9E"/>
    <w:rsid w:val="00900F8C"/>
    <w:rsid w:val="009011AA"/>
    <w:rsid w:val="00903B06"/>
    <w:rsid w:val="00903E70"/>
    <w:rsid w:val="0090412A"/>
    <w:rsid w:val="009057CE"/>
    <w:rsid w:val="00906149"/>
    <w:rsid w:val="00906CC3"/>
    <w:rsid w:val="0091202D"/>
    <w:rsid w:val="0091385D"/>
    <w:rsid w:val="0091428D"/>
    <w:rsid w:val="00915F32"/>
    <w:rsid w:val="0091671A"/>
    <w:rsid w:val="00917D56"/>
    <w:rsid w:val="00920257"/>
    <w:rsid w:val="0092179C"/>
    <w:rsid w:val="00921E12"/>
    <w:rsid w:val="00921FA3"/>
    <w:rsid w:val="00924EA6"/>
    <w:rsid w:val="009257A2"/>
    <w:rsid w:val="00925FD3"/>
    <w:rsid w:val="0092643C"/>
    <w:rsid w:val="00926712"/>
    <w:rsid w:val="009306E5"/>
    <w:rsid w:val="00931C9D"/>
    <w:rsid w:val="00932943"/>
    <w:rsid w:val="00933A00"/>
    <w:rsid w:val="00933BFD"/>
    <w:rsid w:val="00933C86"/>
    <w:rsid w:val="00933CF6"/>
    <w:rsid w:val="00937AEC"/>
    <w:rsid w:val="009402E6"/>
    <w:rsid w:val="00940709"/>
    <w:rsid w:val="0094080D"/>
    <w:rsid w:val="00941691"/>
    <w:rsid w:val="00941CB3"/>
    <w:rsid w:val="00942AED"/>
    <w:rsid w:val="009445F2"/>
    <w:rsid w:val="00944E25"/>
    <w:rsid w:val="009464C4"/>
    <w:rsid w:val="00951305"/>
    <w:rsid w:val="0095305F"/>
    <w:rsid w:val="00953F15"/>
    <w:rsid w:val="0095427B"/>
    <w:rsid w:val="00954AE3"/>
    <w:rsid w:val="00960239"/>
    <w:rsid w:val="009642AB"/>
    <w:rsid w:val="00964579"/>
    <w:rsid w:val="00964CB4"/>
    <w:rsid w:val="0096625D"/>
    <w:rsid w:val="00967379"/>
    <w:rsid w:val="0096759F"/>
    <w:rsid w:val="00967F26"/>
    <w:rsid w:val="00970647"/>
    <w:rsid w:val="009706B2"/>
    <w:rsid w:val="00971695"/>
    <w:rsid w:val="00971E5C"/>
    <w:rsid w:val="009730A9"/>
    <w:rsid w:val="009739DA"/>
    <w:rsid w:val="009771D9"/>
    <w:rsid w:val="00980F16"/>
    <w:rsid w:val="00981902"/>
    <w:rsid w:val="00981912"/>
    <w:rsid w:val="00981B82"/>
    <w:rsid w:val="00981C40"/>
    <w:rsid w:val="00981E8D"/>
    <w:rsid w:val="00982765"/>
    <w:rsid w:val="00982992"/>
    <w:rsid w:val="00982BCB"/>
    <w:rsid w:val="00984BC5"/>
    <w:rsid w:val="00984E31"/>
    <w:rsid w:val="009853E9"/>
    <w:rsid w:val="00986D32"/>
    <w:rsid w:val="00987186"/>
    <w:rsid w:val="0098792B"/>
    <w:rsid w:val="00987937"/>
    <w:rsid w:val="00992460"/>
    <w:rsid w:val="009934CF"/>
    <w:rsid w:val="00993693"/>
    <w:rsid w:val="009936B3"/>
    <w:rsid w:val="00993F03"/>
    <w:rsid w:val="00994176"/>
    <w:rsid w:val="0099435F"/>
    <w:rsid w:val="00996828"/>
    <w:rsid w:val="00996A29"/>
    <w:rsid w:val="00996BC5"/>
    <w:rsid w:val="00997AF5"/>
    <w:rsid w:val="009A37DC"/>
    <w:rsid w:val="009A3AD6"/>
    <w:rsid w:val="009A3F61"/>
    <w:rsid w:val="009A4692"/>
    <w:rsid w:val="009A4FA6"/>
    <w:rsid w:val="009A529F"/>
    <w:rsid w:val="009A54F9"/>
    <w:rsid w:val="009A646F"/>
    <w:rsid w:val="009A6D34"/>
    <w:rsid w:val="009B0C14"/>
    <w:rsid w:val="009B1D64"/>
    <w:rsid w:val="009B2C58"/>
    <w:rsid w:val="009B43EE"/>
    <w:rsid w:val="009B4739"/>
    <w:rsid w:val="009B4816"/>
    <w:rsid w:val="009B4D74"/>
    <w:rsid w:val="009B6557"/>
    <w:rsid w:val="009B662D"/>
    <w:rsid w:val="009B6656"/>
    <w:rsid w:val="009B6891"/>
    <w:rsid w:val="009B7235"/>
    <w:rsid w:val="009B78F6"/>
    <w:rsid w:val="009B7C3E"/>
    <w:rsid w:val="009B7C51"/>
    <w:rsid w:val="009C082E"/>
    <w:rsid w:val="009C0B61"/>
    <w:rsid w:val="009C1362"/>
    <w:rsid w:val="009C1BA8"/>
    <w:rsid w:val="009C2A26"/>
    <w:rsid w:val="009C2B41"/>
    <w:rsid w:val="009C2D0D"/>
    <w:rsid w:val="009C3492"/>
    <w:rsid w:val="009C49C6"/>
    <w:rsid w:val="009C5564"/>
    <w:rsid w:val="009C58C5"/>
    <w:rsid w:val="009C5AA4"/>
    <w:rsid w:val="009C65C8"/>
    <w:rsid w:val="009C78D9"/>
    <w:rsid w:val="009D02D4"/>
    <w:rsid w:val="009D0676"/>
    <w:rsid w:val="009D10DF"/>
    <w:rsid w:val="009D198F"/>
    <w:rsid w:val="009D29D9"/>
    <w:rsid w:val="009D3579"/>
    <w:rsid w:val="009D4A60"/>
    <w:rsid w:val="009D60E3"/>
    <w:rsid w:val="009D7983"/>
    <w:rsid w:val="009E0D67"/>
    <w:rsid w:val="009E2C70"/>
    <w:rsid w:val="009E4439"/>
    <w:rsid w:val="009E4451"/>
    <w:rsid w:val="009E4985"/>
    <w:rsid w:val="009E6405"/>
    <w:rsid w:val="009E6669"/>
    <w:rsid w:val="009E78FE"/>
    <w:rsid w:val="009F16C5"/>
    <w:rsid w:val="009F263C"/>
    <w:rsid w:val="009F3E11"/>
    <w:rsid w:val="009F4B87"/>
    <w:rsid w:val="009F6AF8"/>
    <w:rsid w:val="009F6E78"/>
    <w:rsid w:val="009F7574"/>
    <w:rsid w:val="009F7A48"/>
    <w:rsid w:val="009F7C7E"/>
    <w:rsid w:val="00A01148"/>
    <w:rsid w:val="00A0147F"/>
    <w:rsid w:val="00A01794"/>
    <w:rsid w:val="00A03033"/>
    <w:rsid w:val="00A047A0"/>
    <w:rsid w:val="00A047C6"/>
    <w:rsid w:val="00A05E4F"/>
    <w:rsid w:val="00A06C5B"/>
    <w:rsid w:val="00A07E9D"/>
    <w:rsid w:val="00A11A2E"/>
    <w:rsid w:val="00A13BDC"/>
    <w:rsid w:val="00A144E2"/>
    <w:rsid w:val="00A15738"/>
    <w:rsid w:val="00A162B0"/>
    <w:rsid w:val="00A20F2A"/>
    <w:rsid w:val="00A2272C"/>
    <w:rsid w:val="00A22CBA"/>
    <w:rsid w:val="00A259EE"/>
    <w:rsid w:val="00A27706"/>
    <w:rsid w:val="00A2774A"/>
    <w:rsid w:val="00A304BF"/>
    <w:rsid w:val="00A30B4E"/>
    <w:rsid w:val="00A30CDA"/>
    <w:rsid w:val="00A31DC5"/>
    <w:rsid w:val="00A329E1"/>
    <w:rsid w:val="00A32D70"/>
    <w:rsid w:val="00A3362B"/>
    <w:rsid w:val="00A340C5"/>
    <w:rsid w:val="00A3518D"/>
    <w:rsid w:val="00A355D7"/>
    <w:rsid w:val="00A36B19"/>
    <w:rsid w:val="00A40C81"/>
    <w:rsid w:val="00A42E11"/>
    <w:rsid w:val="00A436CD"/>
    <w:rsid w:val="00A476AC"/>
    <w:rsid w:val="00A50089"/>
    <w:rsid w:val="00A50352"/>
    <w:rsid w:val="00A512D0"/>
    <w:rsid w:val="00A5180B"/>
    <w:rsid w:val="00A51E6A"/>
    <w:rsid w:val="00A52A43"/>
    <w:rsid w:val="00A534E7"/>
    <w:rsid w:val="00A539C4"/>
    <w:rsid w:val="00A552B8"/>
    <w:rsid w:val="00A55E36"/>
    <w:rsid w:val="00A55EB0"/>
    <w:rsid w:val="00A57892"/>
    <w:rsid w:val="00A60C4F"/>
    <w:rsid w:val="00A63B1A"/>
    <w:rsid w:val="00A63D6D"/>
    <w:rsid w:val="00A6457C"/>
    <w:rsid w:val="00A64769"/>
    <w:rsid w:val="00A65698"/>
    <w:rsid w:val="00A65A2F"/>
    <w:rsid w:val="00A668DA"/>
    <w:rsid w:val="00A675FF"/>
    <w:rsid w:val="00A70039"/>
    <w:rsid w:val="00A700F8"/>
    <w:rsid w:val="00A706B3"/>
    <w:rsid w:val="00A70FCD"/>
    <w:rsid w:val="00A72E1C"/>
    <w:rsid w:val="00A74102"/>
    <w:rsid w:val="00A741FA"/>
    <w:rsid w:val="00A76406"/>
    <w:rsid w:val="00A768FC"/>
    <w:rsid w:val="00A77745"/>
    <w:rsid w:val="00A77E6F"/>
    <w:rsid w:val="00A8085E"/>
    <w:rsid w:val="00A8141C"/>
    <w:rsid w:val="00A8147A"/>
    <w:rsid w:val="00A817FA"/>
    <w:rsid w:val="00A825C5"/>
    <w:rsid w:val="00A828E3"/>
    <w:rsid w:val="00A84C8A"/>
    <w:rsid w:val="00A851AF"/>
    <w:rsid w:val="00A869F6"/>
    <w:rsid w:val="00A8757B"/>
    <w:rsid w:val="00A87752"/>
    <w:rsid w:val="00A91C36"/>
    <w:rsid w:val="00A92044"/>
    <w:rsid w:val="00A932EA"/>
    <w:rsid w:val="00A941F5"/>
    <w:rsid w:val="00A94304"/>
    <w:rsid w:val="00A944B1"/>
    <w:rsid w:val="00A96E8D"/>
    <w:rsid w:val="00A9727D"/>
    <w:rsid w:val="00A97367"/>
    <w:rsid w:val="00A976CD"/>
    <w:rsid w:val="00AA0503"/>
    <w:rsid w:val="00AA052F"/>
    <w:rsid w:val="00AA16B9"/>
    <w:rsid w:val="00AA2BF0"/>
    <w:rsid w:val="00AA2F4F"/>
    <w:rsid w:val="00AA335C"/>
    <w:rsid w:val="00AA47DC"/>
    <w:rsid w:val="00AA486F"/>
    <w:rsid w:val="00AA4EA1"/>
    <w:rsid w:val="00AA5594"/>
    <w:rsid w:val="00AB1A76"/>
    <w:rsid w:val="00AB26FC"/>
    <w:rsid w:val="00AB624E"/>
    <w:rsid w:val="00AB7F00"/>
    <w:rsid w:val="00AC070C"/>
    <w:rsid w:val="00AC0F15"/>
    <w:rsid w:val="00AC1AC2"/>
    <w:rsid w:val="00AC2C09"/>
    <w:rsid w:val="00AC3DC3"/>
    <w:rsid w:val="00AC45A4"/>
    <w:rsid w:val="00AC560C"/>
    <w:rsid w:val="00AC5D00"/>
    <w:rsid w:val="00AC6964"/>
    <w:rsid w:val="00AC6B6F"/>
    <w:rsid w:val="00AC7FE5"/>
    <w:rsid w:val="00AD0840"/>
    <w:rsid w:val="00AD08CC"/>
    <w:rsid w:val="00AD1868"/>
    <w:rsid w:val="00AD26AD"/>
    <w:rsid w:val="00AD2D21"/>
    <w:rsid w:val="00AD4E4B"/>
    <w:rsid w:val="00AD6D77"/>
    <w:rsid w:val="00AD78C2"/>
    <w:rsid w:val="00AE020D"/>
    <w:rsid w:val="00AE11FC"/>
    <w:rsid w:val="00AE174E"/>
    <w:rsid w:val="00AE1D09"/>
    <w:rsid w:val="00AE2375"/>
    <w:rsid w:val="00AE3EAA"/>
    <w:rsid w:val="00AE471E"/>
    <w:rsid w:val="00AE491B"/>
    <w:rsid w:val="00AE4CCA"/>
    <w:rsid w:val="00AE6354"/>
    <w:rsid w:val="00AF0C74"/>
    <w:rsid w:val="00AF0D23"/>
    <w:rsid w:val="00AF14EA"/>
    <w:rsid w:val="00AF15AF"/>
    <w:rsid w:val="00AF2145"/>
    <w:rsid w:val="00AF2261"/>
    <w:rsid w:val="00AF24A2"/>
    <w:rsid w:val="00AF32DF"/>
    <w:rsid w:val="00AF6EB4"/>
    <w:rsid w:val="00AF73EB"/>
    <w:rsid w:val="00B01141"/>
    <w:rsid w:val="00B014D4"/>
    <w:rsid w:val="00B01810"/>
    <w:rsid w:val="00B02066"/>
    <w:rsid w:val="00B02E33"/>
    <w:rsid w:val="00B04CF2"/>
    <w:rsid w:val="00B06147"/>
    <w:rsid w:val="00B109C6"/>
    <w:rsid w:val="00B13B00"/>
    <w:rsid w:val="00B14790"/>
    <w:rsid w:val="00B14B6A"/>
    <w:rsid w:val="00B14D85"/>
    <w:rsid w:val="00B155AC"/>
    <w:rsid w:val="00B15ADE"/>
    <w:rsid w:val="00B15FA4"/>
    <w:rsid w:val="00B16BED"/>
    <w:rsid w:val="00B20670"/>
    <w:rsid w:val="00B20961"/>
    <w:rsid w:val="00B20FC9"/>
    <w:rsid w:val="00B214A1"/>
    <w:rsid w:val="00B215B3"/>
    <w:rsid w:val="00B22D5C"/>
    <w:rsid w:val="00B257F3"/>
    <w:rsid w:val="00B263F0"/>
    <w:rsid w:val="00B26C00"/>
    <w:rsid w:val="00B2716E"/>
    <w:rsid w:val="00B27447"/>
    <w:rsid w:val="00B31D70"/>
    <w:rsid w:val="00B3203B"/>
    <w:rsid w:val="00B32099"/>
    <w:rsid w:val="00B32703"/>
    <w:rsid w:val="00B33C25"/>
    <w:rsid w:val="00B37549"/>
    <w:rsid w:val="00B37F1E"/>
    <w:rsid w:val="00B405DA"/>
    <w:rsid w:val="00B40BB4"/>
    <w:rsid w:val="00B42471"/>
    <w:rsid w:val="00B42FDA"/>
    <w:rsid w:val="00B43365"/>
    <w:rsid w:val="00B44D9D"/>
    <w:rsid w:val="00B47788"/>
    <w:rsid w:val="00B51F07"/>
    <w:rsid w:val="00B52A33"/>
    <w:rsid w:val="00B53521"/>
    <w:rsid w:val="00B535B1"/>
    <w:rsid w:val="00B537ED"/>
    <w:rsid w:val="00B53989"/>
    <w:rsid w:val="00B53CCA"/>
    <w:rsid w:val="00B54313"/>
    <w:rsid w:val="00B566C2"/>
    <w:rsid w:val="00B60B5F"/>
    <w:rsid w:val="00B629F0"/>
    <w:rsid w:val="00B638ED"/>
    <w:rsid w:val="00B63F5A"/>
    <w:rsid w:val="00B6443D"/>
    <w:rsid w:val="00B6496F"/>
    <w:rsid w:val="00B64F95"/>
    <w:rsid w:val="00B661B1"/>
    <w:rsid w:val="00B666EE"/>
    <w:rsid w:val="00B66841"/>
    <w:rsid w:val="00B66DEB"/>
    <w:rsid w:val="00B72816"/>
    <w:rsid w:val="00B72E84"/>
    <w:rsid w:val="00B73D37"/>
    <w:rsid w:val="00B74455"/>
    <w:rsid w:val="00B75BD4"/>
    <w:rsid w:val="00B766B3"/>
    <w:rsid w:val="00B7770B"/>
    <w:rsid w:val="00B8064D"/>
    <w:rsid w:val="00B80F06"/>
    <w:rsid w:val="00B81D0D"/>
    <w:rsid w:val="00B8209A"/>
    <w:rsid w:val="00B827C6"/>
    <w:rsid w:val="00B846C7"/>
    <w:rsid w:val="00B84CB2"/>
    <w:rsid w:val="00B84CEB"/>
    <w:rsid w:val="00B85003"/>
    <w:rsid w:val="00B85107"/>
    <w:rsid w:val="00B856D6"/>
    <w:rsid w:val="00B86089"/>
    <w:rsid w:val="00B86391"/>
    <w:rsid w:val="00B86868"/>
    <w:rsid w:val="00B86BDC"/>
    <w:rsid w:val="00B87CF1"/>
    <w:rsid w:val="00B90D8C"/>
    <w:rsid w:val="00B92163"/>
    <w:rsid w:val="00B93F09"/>
    <w:rsid w:val="00B95CBB"/>
    <w:rsid w:val="00B96073"/>
    <w:rsid w:val="00B9669B"/>
    <w:rsid w:val="00B97EDD"/>
    <w:rsid w:val="00BA086F"/>
    <w:rsid w:val="00BA0D76"/>
    <w:rsid w:val="00BA0E90"/>
    <w:rsid w:val="00BA0EE9"/>
    <w:rsid w:val="00BA3B2F"/>
    <w:rsid w:val="00BA49D9"/>
    <w:rsid w:val="00BA5D8A"/>
    <w:rsid w:val="00BA5E58"/>
    <w:rsid w:val="00BA65EC"/>
    <w:rsid w:val="00BB1390"/>
    <w:rsid w:val="00BB46D1"/>
    <w:rsid w:val="00BB62D6"/>
    <w:rsid w:val="00BB7ACA"/>
    <w:rsid w:val="00BC13E0"/>
    <w:rsid w:val="00BC444D"/>
    <w:rsid w:val="00BC6847"/>
    <w:rsid w:val="00BC738E"/>
    <w:rsid w:val="00BD0576"/>
    <w:rsid w:val="00BD0C5B"/>
    <w:rsid w:val="00BD1DB0"/>
    <w:rsid w:val="00BD261E"/>
    <w:rsid w:val="00BD29CF"/>
    <w:rsid w:val="00BD6BE5"/>
    <w:rsid w:val="00BE1A08"/>
    <w:rsid w:val="00BE492A"/>
    <w:rsid w:val="00BE50D0"/>
    <w:rsid w:val="00BE65A4"/>
    <w:rsid w:val="00BE6EC5"/>
    <w:rsid w:val="00BE784F"/>
    <w:rsid w:val="00BF073F"/>
    <w:rsid w:val="00BF16FE"/>
    <w:rsid w:val="00BF35E0"/>
    <w:rsid w:val="00BF5639"/>
    <w:rsid w:val="00C001F6"/>
    <w:rsid w:val="00C007D2"/>
    <w:rsid w:val="00C00AD4"/>
    <w:rsid w:val="00C00E26"/>
    <w:rsid w:val="00C012F5"/>
    <w:rsid w:val="00C01C42"/>
    <w:rsid w:val="00C022AB"/>
    <w:rsid w:val="00C02951"/>
    <w:rsid w:val="00C02CB1"/>
    <w:rsid w:val="00C04A5E"/>
    <w:rsid w:val="00C05C2E"/>
    <w:rsid w:val="00C05F0A"/>
    <w:rsid w:val="00C066A1"/>
    <w:rsid w:val="00C068BC"/>
    <w:rsid w:val="00C06960"/>
    <w:rsid w:val="00C10005"/>
    <w:rsid w:val="00C10EBA"/>
    <w:rsid w:val="00C111D8"/>
    <w:rsid w:val="00C125EA"/>
    <w:rsid w:val="00C126A8"/>
    <w:rsid w:val="00C12AF2"/>
    <w:rsid w:val="00C13D6C"/>
    <w:rsid w:val="00C14FA4"/>
    <w:rsid w:val="00C1647D"/>
    <w:rsid w:val="00C17081"/>
    <w:rsid w:val="00C17FE2"/>
    <w:rsid w:val="00C20279"/>
    <w:rsid w:val="00C20777"/>
    <w:rsid w:val="00C20A85"/>
    <w:rsid w:val="00C22753"/>
    <w:rsid w:val="00C23719"/>
    <w:rsid w:val="00C24380"/>
    <w:rsid w:val="00C24831"/>
    <w:rsid w:val="00C2546C"/>
    <w:rsid w:val="00C25AF2"/>
    <w:rsid w:val="00C26249"/>
    <w:rsid w:val="00C26D8A"/>
    <w:rsid w:val="00C27FD4"/>
    <w:rsid w:val="00C35DC4"/>
    <w:rsid w:val="00C35ECC"/>
    <w:rsid w:val="00C3635F"/>
    <w:rsid w:val="00C365E2"/>
    <w:rsid w:val="00C37F46"/>
    <w:rsid w:val="00C40F77"/>
    <w:rsid w:val="00C41578"/>
    <w:rsid w:val="00C42064"/>
    <w:rsid w:val="00C431AA"/>
    <w:rsid w:val="00C448D7"/>
    <w:rsid w:val="00C44ED4"/>
    <w:rsid w:val="00C44EFB"/>
    <w:rsid w:val="00C44F62"/>
    <w:rsid w:val="00C45AA4"/>
    <w:rsid w:val="00C4693B"/>
    <w:rsid w:val="00C469DC"/>
    <w:rsid w:val="00C46E2A"/>
    <w:rsid w:val="00C51B24"/>
    <w:rsid w:val="00C522E2"/>
    <w:rsid w:val="00C525C5"/>
    <w:rsid w:val="00C52D22"/>
    <w:rsid w:val="00C5461C"/>
    <w:rsid w:val="00C55264"/>
    <w:rsid w:val="00C5606B"/>
    <w:rsid w:val="00C560B8"/>
    <w:rsid w:val="00C568B1"/>
    <w:rsid w:val="00C5729D"/>
    <w:rsid w:val="00C5735E"/>
    <w:rsid w:val="00C607E2"/>
    <w:rsid w:val="00C60E8C"/>
    <w:rsid w:val="00C62B30"/>
    <w:rsid w:val="00C63C61"/>
    <w:rsid w:val="00C6695C"/>
    <w:rsid w:val="00C679F4"/>
    <w:rsid w:val="00C67D00"/>
    <w:rsid w:val="00C710FF"/>
    <w:rsid w:val="00C71C8B"/>
    <w:rsid w:val="00C71F8E"/>
    <w:rsid w:val="00C72CB1"/>
    <w:rsid w:val="00C72DA3"/>
    <w:rsid w:val="00C7300F"/>
    <w:rsid w:val="00C734E5"/>
    <w:rsid w:val="00C768E2"/>
    <w:rsid w:val="00C77F7F"/>
    <w:rsid w:val="00C806EF"/>
    <w:rsid w:val="00C82383"/>
    <w:rsid w:val="00C838B4"/>
    <w:rsid w:val="00C83D88"/>
    <w:rsid w:val="00C840D1"/>
    <w:rsid w:val="00C85058"/>
    <w:rsid w:val="00C858D6"/>
    <w:rsid w:val="00C8593A"/>
    <w:rsid w:val="00C914CD"/>
    <w:rsid w:val="00C931D8"/>
    <w:rsid w:val="00C96B0D"/>
    <w:rsid w:val="00C97946"/>
    <w:rsid w:val="00CA264A"/>
    <w:rsid w:val="00CA30A5"/>
    <w:rsid w:val="00CA4814"/>
    <w:rsid w:val="00CA4F91"/>
    <w:rsid w:val="00CA7013"/>
    <w:rsid w:val="00CA7230"/>
    <w:rsid w:val="00CA7ABB"/>
    <w:rsid w:val="00CB1949"/>
    <w:rsid w:val="00CB20D9"/>
    <w:rsid w:val="00CB2169"/>
    <w:rsid w:val="00CB2237"/>
    <w:rsid w:val="00CB3FD6"/>
    <w:rsid w:val="00CB57E5"/>
    <w:rsid w:val="00CB5A66"/>
    <w:rsid w:val="00CB73C8"/>
    <w:rsid w:val="00CB7EE8"/>
    <w:rsid w:val="00CC0298"/>
    <w:rsid w:val="00CC02B0"/>
    <w:rsid w:val="00CC0BDA"/>
    <w:rsid w:val="00CC1636"/>
    <w:rsid w:val="00CC1EAD"/>
    <w:rsid w:val="00CC2CBA"/>
    <w:rsid w:val="00CC3562"/>
    <w:rsid w:val="00CC3AC3"/>
    <w:rsid w:val="00CC3B0C"/>
    <w:rsid w:val="00CC5631"/>
    <w:rsid w:val="00CC5E00"/>
    <w:rsid w:val="00CC7D42"/>
    <w:rsid w:val="00CD00B5"/>
    <w:rsid w:val="00CD2027"/>
    <w:rsid w:val="00CD3FCF"/>
    <w:rsid w:val="00CD4EFC"/>
    <w:rsid w:val="00CD53F0"/>
    <w:rsid w:val="00CD5ECF"/>
    <w:rsid w:val="00CD75D6"/>
    <w:rsid w:val="00CE01AD"/>
    <w:rsid w:val="00CE1537"/>
    <w:rsid w:val="00CE16B8"/>
    <w:rsid w:val="00CE39E7"/>
    <w:rsid w:val="00CE3D94"/>
    <w:rsid w:val="00CE432C"/>
    <w:rsid w:val="00CE5767"/>
    <w:rsid w:val="00CE5E97"/>
    <w:rsid w:val="00CE6632"/>
    <w:rsid w:val="00CE6DBB"/>
    <w:rsid w:val="00CE760B"/>
    <w:rsid w:val="00CF0141"/>
    <w:rsid w:val="00CF1EBC"/>
    <w:rsid w:val="00CF2478"/>
    <w:rsid w:val="00CF2EC2"/>
    <w:rsid w:val="00CF398C"/>
    <w:rsid w:val="00CF4BB3"/>
    <w:rsid w:val="00CF5764"/>
    <w:rsid w:val="00CF6F35"/>
    <w:rsid w:val="00CF7C95"/>
    <w:rsid w:val="00D006CA"/>
    <w:rsid w:val="00D02D69"/>
    <w:rsid w:val="00D02FBC"/>
    <w:rsid w:val="00D03B7C"/>
    <w:rsid w:val="00D0520C"/>
    <w:rsid w:val="00D05C87"/>
    <w:rsid w:val="00D066D9"/>
    <w:rsid w:val="00D0756D"/>
    <w:rsid w:val="00D0774F"/>
    <w:rsid w:val="00D07834"/>
    <w:rsid w:val="00D07D12"/>
    <w:rsid w:val="00D07FD6"/>
    <w:rsid w:val="00D10DDF"/>
    <w:rsid w:val="00D12B3B"/>
    <w:rsid w:val="00D14555"/>
    <w:rsid w:val="00D149EF"/>
    <w:rsid w:val="00D1584E"/>
    <w:rsid w:val="00D165F7"/>
    <w:rsid w:val="00D1700A"/>
    <w:rsid w:val="00D17DCC"/>
    <w:rsid w:val="00D23071"/>
    <w:rsid w:val="00D2383E"/>
    <w:rsid w:val="00D24B65"/>
    <w:rsid w:val="00D2572C"/>
    <w:rsid w:val="00D26CA8"/>
    <w:rsid w:val="00D27A8A"/>
    <w:rsid w:val="00D27B32"/>
    <w:rsid w:val="00D31359"/>
    <w:rsid w:val="00D315AF"/>
    <w:rsid w:val="00D317C3"/>
    <w:rsid w:val="00D3228B"/>
    <w:rsid w:val="00D32EF0"/>
    <w:rsid w:val="00D33424"/>
    <w:rsid w:val="00D34665"/>
    <w:rsid w:val="00D35E52"/>
    <w:rsid w:val="00D36182"/>
    <w:rsid w:val="00D36FA6"/>
    <w:rsid w:val="00D377C3"/>
    <w:rsid w:val="00D37DF5"/>
    <w:rsid w:val="00D401AB"/>
    <w:rsid w:val="00D407C2"/>
    <w:rsid w:val="00D41E9A"/>
    <w:rsid w:val="00D422EF"/>
    <w:rsid w:val="00D42DAE"/>
    <w:rsid w:val="00D435DD"/>
    <w:rsid w:val="00D43A04"/>
    <w:rsid w:val="00D44A4E"/>
    <w:rsid w:val="00D4523A"/>
    <w:rsid w:val="00D45796"/>
    <w:rsid w:val="00D45988"/>
    <w:rsid w:val="00D512BF"/>
    <w:rsid w:val="00D53631"/>
    <w:rsid w:val="00D53F31"/>
    <w:rsid w:val="00D55035"/>
    <w:rsid w:val="00D5584D"/>
    <w:rsid w:val="00D55C61"/>
    <w:rsid w:val="00D560D2"/>
    <w:rsid w:val="00D566EB"/>
    <w:rsid w:val="00D5676F"/>
    <w:rsid w:val="00D60494"/>
    <w:rsid w:val="00D60831"/>
    <w:rsid w:val="00D60F8E"/>
    <w:rsid w:val="00D62269"/>
    <w:rsid w:val="00D62EDC"/>
    <w:rsid w:val="00D63D44"/>
    <w:rsid w:val="00D6446F"/>
    <w:rsid w:val="00D6611A"/>
    <w:rsid w:val="00D664E1"/>
    <w:rsid w:val="00D70153"/>
    <w:rsid w:val="00D71973"/>
    <w:rsid w:val="00D71DDF"/>
    <w:rsid w:val="00D75CE4"/>
    <w:rsid w:val="00D75D05"/>
    <w:rsid w:val="00D7636E"/>
    <w:rsid w:val="00D77314"/>
    <w:rsid w:val="00D80A29"/>
    <w:rsid w:val="00D84961"/>
    <w:rsid w:val="00D863C4"/>
    <w:rsid w:val="00D86463"/>
    <w:rsid w:val="00D86CA6"/>
    <w:rsid w:val="00D914BA"/>
    <w:rsid w:val="00D91CA6"/>
    <w:rsid w:val="00D92561"/>
    <w:rsid w:val="00D92785"/>
    <w:rsid w:val="00D93C91"/>
    <w:rsid w:val="00D93D6D"/>
    <w:rsid w:val="00D94B27"/>
    <w:rsid w:val="00D95161"/>
    <w:rsid w:val="00D9563B"/>
    <w:rsid w:val="00D9740C"/>
    <w:rsid w:val="00D976DC"/>
    <w:rsid w:val="00D97DEB"/>
    <w:rsid w:val="00DA08A6"/>
    <w:rsid w:val="00DA1D2C"/>
    <w:rsid w:val="00DA244B"/>
    <w:rsid w:val="00DA4342"/>
    <w:rsid w:val="00DA55AE"/>
    <w:rsid w:val="00DA58A4"/>
    <w:rsid w:val="00DA7F88"/>
    <w:rsid w:val="00DB34BE"/>
    <w:rsid w:val="00DB3722"/>
    <w:rsid w:val="00DB39BF"/>
    <w:rsid w:val="00DB52E7"/>
    <w:rsid w:val="00DB741F"/>
    <w:rsid w:val="00DC0318"/>
    <w:rsid w:val="00DC3026"/>
    <w:rsid w:val="00DC3538"/>
    <w:rsid w:val="00DC5085"/>
    <w:rsid w:val="00DC66F8"/>
    <w:rsid w:val="00DC7030"/>
    <w:rsid w:val="00DC7BE4"/>
    <w:rsid w:val="00DD0179"/>
    <w:rsid w:val="00DD11FF"/>
    <w:rsid w:val="00DD1D5F"/>
    <w:rsid w:val="00DD33AC"/>
    <w:rsid w:val="00DD3A10"/>
    <w:rsid w:val="00DD48BA"/>
    <w:rsid w:val="00DD49BD"/>
    <w:rsid w:val="00DE0269"/>
    <w:rsid w:val="00DE0B92"/>
    <w:rsid w:val="00DE2C3E"/>
    <w:rsid w:val="00DE3F9C"/>
    <w:rsid w:val="00DE6049"/>
    <w:rsid w:val="00DE68D4"/>
    <w:rsid w:val="00DE7B26"/>
    <w:rsid w:val="00DF3018"/>
    <w:rsid w:val="00DF4244"/>
    <w:rsid w:val="00DF4D63"/>
    <w:rsid w:val="00DF6043"/>
    <w:rsid w:val="00DF6AED"/>
    <w:rsid w:val="00DF785C"/>
    <w:rsid w:val="00E012C5"/>
    <w:rsid w:val="00E018AB"/>
    <w:rsid w:val="00E023A9"/>
    <w:rsid w:val="00E02C1D"/>
    <w:rsid w:val="00E02CD0"/>
    <w:rsid w:val="00E02F02"/>
    <w:rsid w:val="00E05192"/>
    <w:rsid w:val="00E057AE"/>
    <w:rsid w:val="00E06AC5"/>
    <w:rsid w:val="00E07D1B"/>
    <w:rsid w:val="00E110B6"/>
    <w:rsid w:val="00E11AB1"/>
    <w:rsid w:val="00E1249C"/>
    <w:rsid w:val="00E12DF3"/>
    <w:rsid w:val="00E131B4"/>
    <w:rsid w:val="00E13321"/>
    <w:rsid w:val="00E13D23"/>
    <w:rsid w:val="00E153DA"/>
    <w:rsid w:val="00E15B0E"/>
    <w:rsid w:val="00E161ED"/>
    <w:rsid w:val="00E17A96"/>
    <w:rsid w:val="00E2024A"/>
    <w:rsid w:val="00E209F2"/>
    <w:rsid w:val="00E218E2"/>
    <w:rsid w:val="00E22692"/>
    <w:rsid w:val="00E228A8"/>
    <w:rsid w:val="00E23389"/>
    <w:rsid w:val="00E238B9"/>
    <w:rsid w:val="00E23FEE"/>
    <w:rsid w:val="00E24CAB"/>
    <w:rsid w:val="00E25531"/>
    <w:rsid w:val="00E26B74"/>
    <w:rsid w:val="00E27CE7"/>
    <w:rsid w:val="00E30EEB"/>
    <w:rsid w:val="00E313C1"/>
    <w:rsid w:val="00E32098"/>
    <w:rsid w:val="00E33228"/>
    <w:rsid w:val="00E33A8B"/>
    <w:rsid w:val="00E36CCF"/>
    <w:rsid w:val="00E37E9B"/>
    <w:rsid w:val="00E42CEE"/>
    <w:rsid w:val="00E42FD4"/>
    <w:rsid w:val="00E46B6E"/>
    <w:rsid w:val="00E46DC3"/>
    <w:rsid w:val="00E47642"/>
    <w:rsid w:val="00E501D0"/>
    <w:rsid w:val="00E50363"/>
    <w:rsid w:val="00E508C8"/>
    <w:rsid w:val="00E51764"/>
    <w:rsid w:val="00E5183B"/>
    <w:rsid w:val="00E51F51"/>
    <w:rsid w:val="00E52AD5"/>
    <w:rsid w:val="00E52B78"/>
    <w:rsid w:val="00E542CD"/>
    <w:rsid w:val="00E542FC"/>
    <w:rsid w:val="00E548A7"/>
    <w:rsid w:val="00E56924"/>
    <w:rsid w:val="00E57CB9"/>
    <w:rsid w:val="00E57E49"/>
    <w:rsid w:val="00E60648"/>
    <w:rsid w:val="00E60C48"/>
    <w:rsid w:val="00E616AD"/>
    <w:rsid w:val="00E61768"/>
    <w:rsid w:val="00E61C50"/>
    <w:rsid w:val="00E62304"/>
    <w:rsid w:val="00E63C2D"/>
    <w:rsid w:val="00E642FD"/>
    <w:rsid w:val="00E65D4A"/>
    <w:rsid w:val="00E7237D"/>
    <w:rsid w:val="00E7383A"/>
    <w:rsid w:val="00E74C37"/>
    <w:rsid w:val="00E7540E"/>
    <w:rsid w:val="00E76659"/>
    <w:rsid w:val="00E771DF"/>
    <w:rsid w:val="00E77DED"/>
    <w:rsid w:val="00E81888"/>
    <w:rsid w:val="00E81A6B"/>
    <w:rsid w:val="00E81FA5"/>
    <w:rsid w:val="00E851B0"/>
    <w:rsid w:val="00E85A68"/>
    <w:rsid w:val="00E87FD1"/>
    <w:rsid w:val="00E90458"/>
    <w:rsid w:val="00E90B60"/>
    <w:rsid w:val="00E9249A"/>
    <w:rsid w:val="00E92B8C"/>
    <w:rsid w:val="00E946B7"/>
    <w:rsid w:val="00E9471E"/>
    <w:rsid w:val="00E95538"/>
    <w:rsid w:val="00E955BB"/>
    <w:rsid w:val="00E95775"/>
    <w:rsid w:val="00E95C08"/>
    <w:rsid w:val="00E96D11"/>
    <w:rsid w:val="00EA1537"/>
    <w:rsid w:val="00EA318A"/>
    <w:rsid w:val="00EA37FE"/>
    <w:rsid w:val="00EA4BF2"/>
    <w:rsid w:val="00EA50D7"/>
    <w:rsid w:val="00EA56BF"/>
    <w:rsid w:val="00EA57D0"/>
    <w:rsid w:val="00EA72CA"/>
    <w:rsid w:val="00EA73A9"/>
    <w:rsid w:val="00EB057D"/>
    <w:rsid w:val="00EB0CD4"/>
    <w:rsid w:val="00EB0D90"/>
    <w:rsid w:val="00EB26AD"/>
    <w:rsid w:val="00EB298B"/>
    <w:rsid w:val="00EB3664"/>
    <w:rsid w:val="00EB3E0F"/>
    <w:rsid w:val="00EB5288"/>
    <w:rsid w:val="00EB5F04"/>
    <w:rsid w:val="00EC136F"/>
    <w:rsid w:val="00EC1479"/>
    <w:rsid w:val="00EC1975"/>
    <w:rsid w:val="00EC2FC9"/>
    <w:rsid w:val="00EC3153"/>
    <w:rsid w:val="00EC3533"/>
    <w:rsid w:val="00EC7059"/>
    <w:rsid w:val="00EC78EE"/>
    <w:rsid w:val="00ED2BB8"/>
    <w:rsid w:val="00ED3C81"/>
    <w:rsid w:val="00ED47E7"/>
    <w:rsid w:val="00ED5785"/>
    <w:rsid w:val="00ED6138"/>
    <w:rsid w:val="00ED7A0D"/>
    <w:rsid w:val="00EE3214"/>
    <w:rsid w:val="00EE3741"/>
    <w:rsid w:val="00EE3ACB"/>
    <w:rsid w:val="00EE4C18"/>
    <w:rsid w:val="00EE575A"/>
    <w:rsid w:val="00EE6725"/>
    <w:rsid w:val="00EE75C1"/>
    <w:rsid w:val="00EE76A6"/>
    <w:rsid w:val="00EE7A5A"/>
    <w:rsid w:val="00EF1DF8"/>
    <w:rsid w:val="00EF1E92"/>
    <w:rsid w:val="00EF2F33"/>
    <w:rsid w:val="00EF317B"/>
    <w:rsid w:val="00EF3776"/>
    <w:rsid w:val="00EF5465"/>
    <w:rsid w:val="00EF596C"/>
    <w:rsid w:val="00EF74B2"/>
    <w:rsid w:val="00F00E4E"/>
    <w:rsid w:val="00F02BB3"/>
    <w:rsid w:val="00F02E0C"/>
    <w:rsid w:val="00F03329"/>
    <w:rsid w:val="00F03407"/>
    <w:rsid w:val="00F0384F"/>
    <w:rsid w:val="00F05908"/>
    <w:rsid w:val="00F07750"/>
    <w:rsid w:val="00F10C81"/>
    <w:rsid w:val="00F11F4E"/>
    <w:rsid w:val="00F12105"/>
    <w:rsid w:val="00F13403"/>
    <w:rsid w:val="00F14114"/>
    <w:rsid w:val="00F143D7"/>
    <w:rsid w:val="00F147E2"/>
    <w:rsid w:val="00F154E1"/>
    <w:rsid w:val="00F167AE"/>
    <w:rsid w:val="00F17F0F"/>
    <w:rsid w:val="00F23684"/>
    <w:rsid w:val="00F25F0F"/>
    <w:rsid w:val="00F263ED"/>
    <w:rsid w:val="00F26D60"/>
    <w:rsid w:val="00F27666"/>
    <w:rsid w:val="00F30A77"/>
    <w:rsid w:val="00F31031"/>
    <w:rsid w:val="00F31836"/>
    <w:rsid w:val="00F31C01"/>
    <w:rsid w:val="00F3302B"/>
    <w:rsid w:val="00F34D0E"/>
    <w:rsid w:val="00F35C71"/>
    <w:rsid w:val="00F40C01"/>
    <w:rsid w:val="00F40DF7"/>
    <w:rsid w:val="00F423B1"/>
    <w:rsid w:val="00F42C63"/>
    <w:rsid w:val="00F4393F"/>
    <w:rsid w:val="00F442D9"/>
    <w:rsid w:val="00F45DB0"/>
    <w:rsid w:val="00F46A3A"/>
    <w:rsid w:val="00F47056"/>
    <w:rsid w:val="00F47947"/>
    <w:rsid w:val="00F51C79"/>
    <w:rsid w:val="00F523CF"/>
    <w:rsid w:val="00F52F94"/>
    <w:rsid w:val="00F5375D"/>
    <w:rsid w:val="00F53FC0"/>
    <w:rsid w:val="00F5454E"/>
    <w:rsid w:val="00F54E40"/>
    <w:rsid w:val="00F55303"/>
    <w:rsid w:val="00F55FD0"/>
    <w:rsid w:val="00F60B2D"/>
    <w:rsid w:val="00F61072"/>
    <w:rsid w:val="00F61D53"/>
    <w:rsid w:val="00F63D31"/>
    <w:rsid w:val="00F64FED"/>
    <w:rsid w:val="00F67CB3"/>
    <w:rsid w:val="00F67F80"/>
    <w:rsid w:val="00F710BF"/>
    <w:rsid w:val="00F715C3"/>
    <w:rsid w:val="00F718BD"/>
    <w:rsid w:val="00F73967"/>
    <w:rsid w:val="00F74159"/>
    <w:rsid w:val="00F7449C"/>
    <w:rsid w:val="00F76261"/>
    <w:rsid w:val="00F768DD"/>
    <w:rsid w:val="00F80507"/>
    <w:rsid w:val="00F80841"/>
    <w:rsid w:val="00F8091C"/>
    <w:rsid w:val="00F81470"/>
    <w:rsid w:val="00F82A32"/>
    <w:rsid w:val="00F83640"/>
    <w:rsid w:val="00F837D3"/>
    <w:rsid w:val="00F83BB7"/>
    <w:rsid w:val="00F83CD3"/>
    <w:rsid w:val="00F85F61"/>
    <w:rsid w:val="00F86980"/>
    <w:rsid w:val="00F8752B"/>
    <w:rsid w:val="00F937AB"/>
    <w:rsid w:val="00F93D76"/>
    <w:rsid w:val="00F93F4D"/>
    <w:rsid w:val="00F946D4"/>
    <w:rsid w:val="00F94B58"/>
    <w:rsid w:val="00F95151"/>
    <w:rsid w:val="00F95487"/>
    <w:rsid w:val="00F95DEF"/>
    <w:rsid w:val="00F9747E"/>
    <w:rsid w:val="00FA133E"/>
    <w:rsid w:val="00FA1553"/>
    <w:rsid w:val="00FA162F"/>
    <w:rsid w:val="00FA2C98"/>
    <w:rsid w:val="00FA3BD5"/>
    <w:rsid w:val="00FA4DF8"/>
    <w:rsid w:val="00FA58D2"/>
    <w:rsid w:val="00FA5AAE"/>
    <w:rsid w:val="00FA74CC"/>
    <w:rsid w:val="00FB07FB"/>
    <w:rsid w:val="00FB156B"/>
    <w:rsid w:val="00FB2561"/>
    <w:rsid w:val="00FB45FB"/>
    <w:rsid w:val="00FB54C2"/>
    <w:rsid w:val="00FB56E4"/>
    <w:rsid w:val="00FB57ED"/>
    <w:rsid w:val="00FB66C6"/>
    <w:rsid w:val="00FB6F5D"/>
    <w:rsid w:val="00FC063B"/>
    <w:rsid w:val="00FC09A1"/>
    <w:rsid w:val="00FC104F"/>
    <w:rsid w:val="00FC1096"/>
    <w:rsid w:val="00FC123B"/>
    <w:rsid w:val="00FC16C4"/>
    <w:rsid w:val="00FC1781"/>
    <w:rsid w:val="00FC1DE4"/>
    <w:rsid w:val="00FC244F"/>
    <w:rsid w:val="00FC2959"/>
    <w:rsid w:val="00FC370F"/>
    <w:rsid w:val="00FC46F7"/>
    <w:rsid w:val="00FC7126"/>
    <w:rsid w:val="00FD0547"/>
    <w:rsid w:val="00FD0A22"/>
    <w:rsid w:val="00FD353B"/>
    <w:rsid w:val="00FD53D3"/>
    <w:rsid w:val="00FD6CF3"/>
    <w:rsid w:val="00FD7251"/>
    <w:rsid w:val="00FD79DA"/>
    <w:rsid w:val="00FE0D01"/>
    <w:rsid w:val="00FE0F99"/>
    <w:rsid w:val="00FE0FC4"/>
    <w:rsid w:val="00FE2ADC"/>
    <w:rsid w:val="00FE315F"/>
    <w:rsid w:val="00FE33A0"/>
    <w:rsid w:val="00FE4CB3"/>
    <w:rsid w:val="00FE5517"/>
    <w:rsid w:val="00FE5997"/>
    <w:rsid w:val="00FE76F8"/>
    <w:rsid w:val="00FF0950"/>
    <w:rsid w:val="00FF1969"/>
    <w:rsid w:val="00FF1C89"/>
    <w:rsid w:val="00FF1D5A"/>
    <w:rsid w:val="00FF40E7"/>
    <w:rsid w:val="00FF5484"/>
    <w:rsid w:val="00FF5493"/>
    <w:rsid w:val="00FF6BDD"/>
    <w:rsid w:val="00FF6D07"/>
    <w:rsid w:val="04C92476"/>
    <w:rsid w:val="0C79E7B2"/>
    <w:rsid w:val="138FE9CB"/>
    <w:rsid w:val="1AC651B3"/>
    <w:rsid w:val="2AC23FAA"/>
    <w:rsid w:val="2C42DC20"/>
    <w:rsid w:val="2C8553D4"/>
    <w:rsid w:val="338F7389"/>
    <w:rsid w:val="3A1192D0"/>
    <w:rsid w:val="3B2A3C6D"/>
    <w:rsid w:val="3C3D264C"/>
    <w:rsid w:val="3C96CA59"/>
    <w:rsid w:val="59D48E55"/>
    <w:rsid w:val="6CF4F41B"/>
    <w:rsid w:val="7D522D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D7A399E6-C0C4-47C8-8EE0-6CC989B5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3"/>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11"/>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26"/>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0D0D19"/>
    <w:pPr>
      <w:tabs>
        <w:tab w:val="center" w:pos="4536"/>
        <w:tab w:val="right" w:pos="9072"/>
      </w:tabs>
    </w:pPr>
  </w:style>
  <w:style w:type="character" w:customStyle="1" w:styleId="KopfzeileZchn">
    <w:name w:val="Kopfzeile Zchn"/>
    <w:basedOn w:val="Absatz-Standardschriftart"/>
    <w:link w:val="Kopfzeile"/>
    <w:uiPriority w:val="99"/>
    <w:semiHidden/>
    <w:rsid w:val="000D0D19"/>
    <w:rPr>
      <w:sz w:val="24"/>
      <w:szCs w:val="24"/>
      <w:lang w:val="de-DE" w:eastAsia="de-DE"/>
    </w:rPr>
  </w:style>
  <w:style w:type="paragraph" w:styleId="Fuzeile">
    <w:name w:val="footer"/>
    <w:basedOn w:val="Standard"/>
    <w:link w:val="FuzeileZchn"/>
    <w:uiPriority w:val="99"/>
    <w:semiHidden/>
    <w:unhideWhenUsed/>
    <w:rsid w:val="000D0D19"/>
    <w:pPr>
      <w:tabs>
        <w:tab w:val="center" w:pos="4536"/>
        <w:tab w:val="right" w:pos="9072"/>
      </w:tabs>
    </w:pPr>
  </w:style>
  <w:style w:type="character" w:customStyle="1" w:styleId="FuzeileZchn">
    <w:name w:val="Fußzeile Zchn"/>
    <w:basedOn w:val="Absatz-Standardschriftart"/>
    <w:link w:val="Fuzeile"/>
    <w:uiPriority w:val="99"/>
    <w:semiHidden/>
    <w:rsid w:val="000D0D19"/>
    <w:rPr>
      <w:sz w:val="24"/>
      <w:szCs w:val="24"/>
      <w:lang w:val="de-DE" w:eastAsia="de-DE"/>
    </w:rPr>
  </w:style>
  <w:style w:type="paragraph" w:styleId="Beschriftung">
    <w:name w:val="caption"/>
    <w:basedOn w:val="Standard"/>
    <w:next w:val="Standard"/>
    <w:uiPriority w:val="35"/>
    <w:unhideWhenUsed/>
    <w:qFormat/>
    <w:rsid w:val="000A7C9B"/>
    <w:pPr>
      <w:spacing w:after="200"/>
    </w:pPr>
    <w:rPr>
      <w:i/>
      <w:iCs/>
      <w:color w:val="1F497D" w:themeColor="text2"/>
      <w:sz w:val="18"/>
      <w:szCs w:val="18"/>
    </w:rPr>
  </w:style>
  <w:style w:type="paragraph" w:styleId="StandardWeb">
    <w:name w:val="Normal (Web)"/>
    <w:basedOn w:val="Standard"/>
    <w:uiPriority w:val="99"/>
    <w:unhideWhenUsed/>
    <w:rsid w:val="00FB54C2"/>
    <w:pPr>
      <w:spacing w:before="100" w:beforeAutospacing="1" w:after="100" w:afterAutospacing="1"/>
    </w:pPr>
    <w:rPr>
      <w:lang w:val="de-CH" w:eastAsia="de-CH"/>
    </w:rPr>
  </w:style>
  <w:style w:type="character" w:styleId="Fett">
    <w:name w:val="Strong"/>
    <w:basedOn w:val="Absatz-Standardschriftart"/>
    <w:uiPriority w:val="22"/>
    <w:qFormat/>
    <w:rsid w:val="00FB54C2"/>
    <w:rPr>
      <w:b/>
      <w:bCs/>
    </w:rPr>
  </w:style>
  <w:style w:type="paragraph" w:styleId="Literaturverzeichnis">
    <w:name w:val="Bibliography"/>
    <w:basedOn w:val="Standard"/>
    <w:next w:val="Standard"/>
    <w:uiPriority w:val="37"/>
    <w:unhideWhenUsed/>
    <w:rsid w:val="00B75BD4"/>
    <w:pPr>
      <w:ind w:left="720" w:hanging="720"/>
    </w:pPr>
  </w:style>
  <w:style w:type="character" w:styleId="NichtaufgelsteErwhnung">
    <w:name w:val="Unresolved Mention"/>
    <w:basedOn w:val="Absatz-Standardschriftart"/>
    <w:uiPriority w:val="99"/>
    <w:semiHidden/>
    <w:unhideWhenUsed/>
    <w:rsid w:val="00480583"/>
    <w:rPr>
      <w:color w:val="605E5C"/>
      <w:shd w:val="clear" w:color="auto" w:fill="E1DFDD"/>
    </w:rPr>
  </w:style>
  <w:style w:type="paragraph" w:customStyle="1" w:styleId="gjcqjg1a">
    <w:name w:val="gjcqjg1a"/>
    <w:basedOn w:val="Standard"/>
    <w:rsid w:val="00A05E4F"/>
    <w:pPr>
      <w:spacing w:before="100" w:beforeAutospacing="1" w:after="100" w:afterAutospacing="1"/>
    </w:pPr>
    <w:rPr>
      <w:lang w:val="de-CH" w:eastAsia="de-CH"/>
    </w:rPr>
  </w:style>
  <w:style w:type="table" w:styleId="Gitternetztabelle3">
    <w:name w:val="Grid Table 3"/>
    <w:basedOn w:val="NormaleTabelle"/>
    <w:uiPriority w:val="48"/>
    <w:rsid w:val="004F569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EinfacheTabelle2">
    <w:name w:val="Plain Table 2"/>
    <w:basedOn w:val="NormaleTabelle"/>
    <w:uiPriority w:val="42"/>
    <w:rsid w:val="004F56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a7d57e2-a6f6-4353-bdc3-995d0b2e54a4" xsi:nil="true"/>
    <Speaker xmlns="9a7d57e2-a6f6-4353-bdc3-995d0b2e54a4">
      <UserInfo>
        <DisplayName/>
        <AccountId xsi:nil="true"/>
        <AccountType/>
      </UserInfo>
    </Speaker>
    <lcf76f155ced4ddcb4097134ff3c332f xmlns="9a7d57e2-a6f6-4353-bdc3-995d0b2e54a4">
      <Terms xmlns="http://schemas.microsoft.com/office/infopath/2007/PartnerControls"/>
    </lcf76f155ced4ddcb4097134ff3c332f>
    <Datum xmlns="9a7d57e2-a6f6-4353-bdc3-995d0b2e54a4">2021-01-02T00:00:00+00:00</Datum>
    <TaxCatchAll xmlns="bd5c1ef4-a5a8-4f60-b734-518beb01c7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756FDFCB57D0948B915F9BF5E819397" ma:contentTypeVersion="22" ma:contentTypeDescription="Ein neues Dokument erstellen." ma:contentTypeScope="" ma:versionID="95154bcf21b9ca26092091dc3c221499">
  <xsd:schema xmlns:xsd="http://www.w3.org/2001/XMLSchema" xmlns:xs="http://www.w3.org/2001/XMLSchema" xmlns:p="http://schemas.microsoft.com/office/2006/metadata/properties" xmlns:ns2="9a7d57e2-a6f6-4353-bdc3-995d0b2e54a4" xmlns:ns3="bd5c1ef4-a5a8-4f60-b734-518beb01c7b7" targetNamespace="http://schemas.microsoft.com/office/2006/metadata/properties" ma:root="true" ma:fieldsID="2c8bc40c810c467b19515f242d2c67a0" ns2:_="" ns3:_="">
    <xsd:import namespace="9a7d57e2-a6f6-4353-bdc3-995d0b2e54a4"/>
    <xsd:import namespace="bd5c1ef4-a5a8-4f60-b734-518beb01c7b7"/>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Speaker" minOccurs="0"/>
                <xsd:element ref="ns2:Datum" minOccurs="0"/>
                <xsd:element ref="ns2:_Flow_SignoffStatu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7d57e2-a6f6-4353-bdc3-995d0b2e5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peaker" ma:index="18" nillable="true" ma:displayName="Speaker" ma:format="Dropdown" ma:list="UserInfo" ma:SharePointGroup="0" ma:internalName="Speak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um" ma:index="19" nillable="true" ma:displayName="Datum" ma:default="2021-01-02T00:00:00Z" ma:format="DateOnly" ma:internalName="Datum">
      <xsd:simpleType>
        <xsd:restriction base="dms:DateTime"/>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9a48e02a-304b-44db-a51f-647cba8d1c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5c1ef4-a5a8-4f60-b734-518beb01c7b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8c5dfd34-6cc8-4139-8954-d3e7e36d7eca}" ma:internalName="TaxCatchAll" ma:showField="CatchAllData" ma:web="bd5c1ef4-a5a8-4f60-b734-518beb01c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695D9F-7728-4A60-9E1C-01A2E2E9FF10}">
  <ds:schemaRefs>
    <ds:schemaRef ds:uri="http://schemas.microsoft.com/office/2006/metadata/properties"/>
    <ds:schemaRef ds:uri="http://schemas.microsoft.com/office/infopath/2007/PartnerControls"/>
    <ds:schemaRef ds:uri="9a7d57e2-a6f6-4353-bdc3-995d0b2e54a4"/>
    <ds:schemaRef ds:uri="bd5c1ef4-a5a8-4f60-b734-518beb01c7b7"/>
  </ds:schemaRefs>
</ds:datastoreItem>
</file>

<file path=customXml/itemProps2.xml><?xml version="1.0" encoding="utf-8"?>
<ds:datastoreItem xmlns:ds="http://schemas.openxmlformats.org/officeDocument/2006/customXml" ds:itemID="{9B3B0A1B-3E17-4A97-8E0C-5EC660BC8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7d57e2-a6f6-4353-bdc3-995d0b2e54a4"/>
    <ds:schemaRef ds:uri="bd5c1ef4-a5a8-4f60-b734-518beb01c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B4C24-5CA6-4BED-90DC-2735C233D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11498</Words>
  <Characters>72439</Characters>
  <Application>Microsoft Office Word</Application>
  <DocSecurity>0</DocSecurity>
  <Lines>603</Lines>
  <Paragraphs>167</Paragraphs>
  <ScaleCrop>false</ScaleCrop>
  <Company>Oxford Brookes University</Company>
  <LinksUpToDate>false</LinksUpToDate>
  <CharactersWithSpaces>83770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Iyyakkunnel Santhosh HSLU T&amp;A</cp:lastModifiedBy>
  <cp:revision>72</cp:revision>
  <cp:lastPrinted>2023-02-23T04:40:00Z</cp:lastPrinted>
  <dcterms:created xsi:type="dcterms:W3CDTF">2026-09-01T08:07:00Z</dcterms:created>
  <dcterms:modified xsi:type="dcterms:W3CDTF">2026-09-01T21:40:00Z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8b0afbd-3cf7-4707-aee4-8dc9d855de29_Enabled">
    <vt:lpwstr>true</vt:lpwstr>
  </property>
  <property fmtid="{D5CDD505-2E9C-101B-9397-08002B2CF9AE}" pid="4" name="MSIP_Label_e8b0afbd-3cf7-4707-aee4-8dc9d855de29_SetDate">
    <vt:lpwstr>2026-02-24T13:36:07Z</vt:lpwstr>
  </property>
  <property fmtid="{D5CDD505-2E9C-101B-9397-08002B2CF9AE}" pid="5" name="MSIP_Label_e8b0afbd-3cf7-4707-aee4-8dc9d855de29_Method">
    <vt:lpwstr>Standard</vt:lpwstr>
  </property>
  <property fmtid="{D5CDD505-2E9C-101B-9397-08002B2CF9AE}" pid="6" name="MSIP_Label_e8b0afbd-3cf7-4707-aee4-8dc9d855de29_Name">
    <vt:lpwstr>intern</vt:lpwstr>
  </property>
  <property fmtid="{D5CDD505-2E9C-101B-9397-08002B2CF9AE}" pid="7" name="MSIP_Label_e8b0afbd-3cf7-4707-aee4-8dc9d855de29_SiteId">
    <vt:lpwstr>75a34008-d7d1-4924-8e78-31fea86f6e68</vt:lpwstr>
  </property>
  <property fmtid="{D5CDD505-2E9C-101B-9397-08002B2CF9AE}" pid="8" name="MSIP_Label_e8b0afbd-3cf7-4707-aee4-8dc9d855de29_ActionId">
    <vt:lpwstr>354230d9-f903-4fb7-88a0-0071e4eba4be</vt:lpwstr>
  </property>
  <property fmtid="{D5CDD505-2E9C-101B-9397-08002B2CF9AE}" pid="9" name="MSIP_Label_e8b0afbd-3cf7-4707-aee4-8dc9d855de29_ContentBits">
    <vt:lpwstr>0</vt:lpwstr>
  </property>
  <property fmtid="{D5CDD505-2E9C-101B-9397-08002B2CF9AE}" pid="10" name="MSIP_Label_e8b0afbd-3cf7-4707-aee4-8dc9d855de29_Tag">
    <vt:lpwstr>10, 3, 0, 1</vt:lpwstr>
  </property>
  <property fmtid="{D5CDD505-2E9C-101B-9397-08002B2CF9AE}" pid="11" name="ContentTypeId">
    <vt:lpwstr>0x010100E756FDFCB57D0948B915F9BF5E819397</vt:lpwstr>
  </property>
  <property fmtid="{D5CDD505-2E9C-101B-9397-08002B2CF9AE}" pid="12" name="MediaServiceImageTags">
    <vt:lpwstr/>
  </property>
  <property fmtid="{D5CDD505-2E9C-101B-9397-08002B2CF9AE}" pid="13" name="ZOTERO_PREF_1">
    <vt:lpwstr>&lt;data data-version="3" zotero-version="10.0.1"&gt;&lt;session id="3Yev4hcg"/&gt;&lt;style id="http://www.zotero.org/styles/solar-energy" hasBibliography="1" bibliographyStyleHasBeenSet="1"/&gt;&lt;prefs&gt;&lt;pref name="fieldType" value="Field"/&gt;&lt;pref name="automaticJournalAbbr</vt:lpwstr>
  </property>
  <property fmtid="{D5CDD505-2E9C-101B-9397-08002B2CF9AE}" pid="14" name="ZOTERO_PREF_2">
    <vt:lpwstr>eviations" value="true"/&gt;&lt;/prefs&gt;&lt;/data&gt;</vt:lpwstr>
  </property>
  <property fmtid="{D5CDD505-2E9C-101B-9397-08002B2CF9AE}" pid="15" name="GrammarlyDocumentId">
    <vt:lpwstr>319b2abd-b491-496a-9e84-e94b532046a0</vt:lpwstr>
  </property>
</Properties>
</file>