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870DEB" w14:textId="77777777" w:rsidR="008B58B3" w:rsidRDefault="008B58B3" w:rsidP="008B58B3">
      <w:pPr>
        <w:pStyle w:val="SWCTitle"/>
        <w:rPr>
          <w:sz w:val="28"/>
          <w:szCs w:val="28"/>
        </w:rPr>
      </w:pPr>
      <w:r w:rsidRPr="0C79E7B2">
        <w:rPr>
          <w:sz w:val="28"/>
          <w:szCs w:val="28"/>
        </w:rPr>
        <w:t>EuroSun2026</w:t>
      </w:r>
    </w:p>
    <w:p w14:paraId="2B8E187B" w14:textId="217485D2" w:rsidR="008B58B3" w:rsidRPr="00D92836" w:rsidRDefault="00D92836" w:rsidP="00D92836">
      <w:pPr>
        <w:pStyle w:val="SWCTitle"/>
        <w:rPr>
          <w:sz w:val="28"/>
          <w:szCs w:val="28"/>
        </w:rPr>
      </w:pPr>
      <w:r w:rsidRPr="00D92836">
        <w:rPr>
          <w:sz w:val="28"/>
          <w:szCs w:val="28"/>
        </w:rPr>
        <w:t>ENERGY AND COST PERFORMANCE MODELLING OF A REFERENCE COASTAL HOUSE TOWARD NEARLY ZERO ENERGY STANDARDS</w:t>
      </w:r>
    </w:p>
    <w:p w14:paraId="0E3E8F6D" w14:textId="77777777" w:rsidR="00D92836" w:rsidRDefault="00D92836" w:rsidP="00D92836">
      <w:pPr>
        <w:pStyle w:val="SWCTitle"/>
        <w:spacing w:before="0" w:after="0"/>
        <w:rPr>
          <w:rFonts w:ascii="Times New Roman" w:hAnsi="Times New Roman"/>
          <w:b w:val="0"/>
          <w:sz w:val="20"/>
          <w:szCs w:val="20"/>
        </w:rPr>
      </w:pPr>
    </w:p>
    <w:p w14:paraId="054DFE6E" w14:textId="569A4BDB" w:rsidR="008B58B3" w:rsidRPr="006B3D49" w:rsidRDefault="00D92836" w:rsidP="00297DEF">
      <w:pPr>
        <w:pStyle w:val="SWCTitle"/>
        <w:spacing w:before="0" w:after="0"/>
        <w:rPr>
          <w:rFonts w:ascii="Times New Roman" w:hAnsi="Times New Roman"/>
          <w:b w:val="0"/>
          <w:sz w:val="20"/>
          <w:szCs w:val="20"/>
        </w:rPr>
      </w:pPr>
      <w:r w:rsidRPr="00D92836">
        <w:rPr>
          <w:rFonts w:ascii="Times New Roman" w:hAnsi="Times New Roman"/>
          <w:b w:val="0"/>
          <w:bCs/>
          <w:sz w:val="20"/>
          <w:szCs w:val="20"/>
          <w:lang w:val="hr-HR"/>
        </w:rPr>
        <w:t>Ugo Gruden</w:t>
      </w:r>
      <w:r w:rsidRPr="00D92836">
        <w:rPr>
          <w:rFonts w:ascii="Times New Roman" w:hAnsi="Times New Roman"/>
          <w:sz w:val="20"/>
          <w:szCs w:val="20"/>
          <w:lang w:val="hr-HR"/>
        </w:rPr>
        <w:t xml:space="preserve"> </w:t>
      </w:r>
      <w:r w:rsidR="008B58B3" w:rsidRPr="0C3545CD">
        <w:rPr>
          <w:rFonts w:ascii="Times New Roman" w:hAnsi="Times New Roman"/>
          <w:b w:val="0"/>
          <w:sz w:val="20"/>
          <w:szCs w:val="20"/>
        </w:rPr>
        <w:t xml:space="preserve">(corresponding author), </w:t>
      </w:r>
      <w:r w:rsidRPr="00D92836">
        <w:rPr>
          <w:rFonts w:ascii="Times New Roman" w:hAnsi="Times New Roman"/>
          <w:b w:val="0"/>
          <w:bCs/>
          <w:sz w:val="20"/>
          <w:szCs w:val="20"/>
          <w:lang w:val="hr-HR"/>
        </w:rPr>
        <w:t>Boris Delač, Branimir Pavković, Anica Trp</w:t>
      </w:r>
    </w:p>
    <w:p w14:paraId="7FAC2849" w14:textId="77777777" w:rsidR="00D92836" w:rsidRDefault="00D92836" w:rsidP="00297DEF">
      <w:pPr>
        <w:pStyle w:val="SWCTitle"/>
        <w:spacing w:before="0" w:after="0"/>
        <w:rPr>
          <w:rFonts w:ascii="Times New Roman" w:hAnsi="Times New Roman"/>
          <w:b w:val="0"/>
          <w:sz w:val="20"/>
          <w:szCs w:val="22"/>
        </w:rPr>
      </w:pPr>
      <w:r w:rsidRPr="00D92836">
        <w:rPr>
          <w:rFonts w:ascii="Times New Roman" w:hAnsi="Times New Roman"/>
          <w:b w:val="0"/>
          <w:sz w:val="20"/>
          <w:szCs w:val="22"/>
        </w:rPr>
        <w:t>University of Rijeka, Faculty of Engineering, Vukovarska 58, 51000 Rijeka</w:t>
      </w:r>
    </w:p>
    <w:p w14:paraId="17AB310A" w14:textId="607BE8A3" w:rsidR="00F9006C" w:rsidRPr="00274B92" w:rsidRDefault="00D92836" w:rsidP="00297DEF">
      <w:pPr>
        <w:pStyle w:val="SWCTitle"/>
        <w:spacing w:before="0" w:after="0"/>
        <w:rPr>
          <w:rFonts w:ascii="Times New Roman" w:hAnsi="Times New Roman"/>
          <w:color w:val="808080" w:themeColor="background1" w:themeShade="80"/>
          <w:sz w:val="22"/>
        </w:rPr>
      </w:pPr>
      <w:r w:rsidRPr="00D92836">
        <w:rPr>
          <w:rFonts w:ascii="Times New Roman" w:hAnsi="Times New Roman"/>
          <w:b w:val="0"/>
          <w:sz w:val="20"/>
          <w:szCs w:val="22"/>
        </w:rPr>
        <w:t>ugo.gruden@riteh.uniri.hr</w:t>
      </w:r>
      <w:r>
        <w:rPr>
          <w:rFonts w:ascii="Times New Roman" w:hAnsi="Times New Roman"/>
          <w:b w:val="0"/>
          <w:sz w:val="20"/>
          <w:szCs w:val="22"/>
        </w:rPr>
        <w:t xml:space="preserve">, </w:t>
      </w:r>
      <w:r w:rsidRPr="00D92836">
        <w:rPr>
          <w:rFonts w:ascii="Times New Roman" w:hAnsi="Times New Roman"/>
          <w:b w:val="0"/>
          <w:sz w:val="20"/>
          <w:szCs w:val="22"/>
        </w:rPr>
        <w:t>boris.delac@riteh.uniri.hr</w:t>
      </w:r>
      <w:r>
        <w:rPr>
          <w:rFonts w:ascii="Times New Roman" w:hAnsi="Times New Roman"/>
          <w:b w:val="0"/>
          <w:sz w:val="20"/>
          <w:szCs w:val="22"/>
        </w:rPr>
        <w:t>,</w:t>
      </w:r>
      <w:r>
        <w:t xml:space="preserve"> </w:t>
      </w:r>
      <w:r w:rsidR="00297DEF" w:rsidRPr="00297DEF">
        <w:rPr>
          <w:rFonts w:ascii="Times New Roman" w:hAnsi="Times New Roman"/>
          <w:b w:val="0"/>
          <w:sz w:val="20"/>
          <w:szCs w:val="22"/>
        </w:rPr>
        <w:t>pavkovic.branimir@gmail.com,</w:t>
      </w:r>
      <w:r w:rsidR="00297DEF">
        <w:t xml:space="preserve"> </w:t>
      </w:r>
      <w:r w:rsidRPr="00D92836">
        <w:rPr>
          <w:rFonts w:ascii="Times New Roman" w:hAnsi="Times New Roman"/>
          <w:b w:val="0"/>
          <w:sz w:val="20"/>
          <w:szCs w:val="22"/>
        </w:rPr>
        <w:t>anica.trp@riteh.uniri.hr</w:t>
      </w:r>
    </w:p>
    <w:p w14:paraId="7E46AF5C" w14:textId="77777777" w:rsidR="005230FE" w:rsidRPr="00A532AE" w:rsidRDefault="005230FE" w:rsidP="005230FE">
      <w:pPr>
        <w:pStyle w:val="BodyText"/>
        <w:spacing w:line="276" w:lineRule="auto"/>
        <w:jc w:val="center"/>
        <w:rPr>
          <w:rFonts w:ascii="Times New Roman" w:hAnsi="Times New Roman"/>
          <w:color w:val="808080" w:themeColor="background1" w:themeShade="80"/>
          <w:lang w:val="en-GB"/>
        </w:rPr>
      </w:pPr>
    </w:p>
    <w:p w14:paraId="267D1744" w14:textId="1D11E73A" w:rsidR="00274B92" w:rsidRDefault="00D92836" w:rsidP="00563AE4">
      <w:pPr>
        <w:pStyle w:val="BodyText"/>
        <w:spacing w:line="276" w:lineRule="auto"/>
        <w:jc w:val="center"/>
        <w:rPr>
          <w:rFonts w:cs="Arial"/>
          <w:b/>
          <w:bCs/>
          <w:iCs/>
          <w:sz w:val="20"/>
          <w:szCs w:val="20"/>
          <w:lang w:val="en-GB"/>
        </w:rPr>
      </w:pPr>
      <w:r>
        <w:rPr>
          <w:rFonts w:cs="Arial"/>
          <w:b/>
          <w:bCs/>
          <w:iCs/>
          <w:sz w:val="20"/>
          <w:szCs w:val="20"/>
          <w:lang w:val="en-GB"/>
        </w:rPr>
        <w:t>Summary</w:t>
      </w:r>
    </w:p>
    <w:p w14:paraId="02C89A7E" w14:textId="06D77DC6" w:rsidR="00563AE4" w:rsidRPr="00187CBC" w:rsidRDefault="00563AE4" w:rsidP="00563AE4">
      <w:pPr>
        <w:pStyle w:val="SWCText"/>
        <w:pBdr>
          <w:bottom w:val="single" w:sz="6" w:space="1" w:color="auto"/>
        </w:pBdr>
        <w:rPr>
          <w:iCs/>
          <w:sz w:val="10"/>
          <w:lang w:val="en-GB"/>
        </w:rPr>
      </w:pPr>
    </w:p>
    <w:p w14:paraId="78C255E1" w14:textId="704F1F9F" w:rsidR="005230FE" w:rsidRPr="00D92836" w:rsidRDefault="00862C69" w:rsidP="00D92836">
      <w:pPr>
        <w:pStyle w:val="BodyText"/>
        <w:spacing w:after="120" w:line="276" w:lineRule="auto"/>
        <w:jc w:val="both"/>
        <w:rPr>
          <w:rFonts w:ascii="Times New Roman" w:hAnsi="Times New Roman"/>
          <w:bCs/>
          <w:iCs/>
          <w:sz w:val="20"/>
          <w:szCs w:val="20"/>
          <w:lang w:val="en-GB"/>
        </w:rPr>
      </w:pPr>
      <w:r w:rsidRPr="00D92836">
        <w:rPr>
          <w:rFonts w:ascii="Times New Roman" w:hAnsi="Times New Roman"/>
          <w:bCs/>
          <w:iCs/>
          <w:sz w:val="20"/>
          <w:szCs w:val="20"/>
          <w:lang w:val="en-GB"/>
        </w:rPr>
        <w:t xml:space="preserve">This study presents an annual thermal performance and cost analysis of a reference single family building, representative of typical residential construction in coastal Croatia during the second half of the 20th century. The objective of this study was to evaluate the energy performance under various renovation scenarios, aiming to reduce annual energy consumption through improved building envelope and HVAC systems in order to move the building toward nearly zero energy standards. A number of cases were simulated, varying </w:t>
      </w:r>
      <w:r w:rsidR="00810CC9" w:rsidRPr="00D92836">
        <w:rPr>
          <w:rFonts w:ascii="Times New Roman" w:hAnsi="Times New Roman"/>
          <w:bCs/>
          <w:iCs/>
          <w:sz w:val="20"/>
          <w:szCs w:val="20"/>
          <w:lang w:val="en-GB"/>
        </w:rPr>
        <w:t>in</w:t>
      </w:r>
      <w:r w:rsidRPr="00D92836">
        <w:rPr>
          <w:rFonts w:ascii="Times New Roman" w:hAnsi="Times New Roman"/>
          <w:bCs/>
          <w:iCs/>
          <w:sz w:val="20"/>
          <w:szCs w:val="20"/>
          <w:lang w:val="en-GB"/>
        </w:rPr>
        <w:t xml:space="preserve"> HVAC configurations, including both traditional and renewable energy systems. Although the initial building exhibited poor thermal efficiency and high energy consumption, results showed that strategic upgrades could significantly reduce energy demand, confirming that even outdated, energy-inefficient buildings can be transformed into low-energy homes through targeted renovations.</w:t>
      </w:r>
    </w:p>
    <w:p w14:paraId="1B730C4A" w14:textId="06C20FF1" w:rsidR="005230FE" w:rsidRPr="00D92836" w:rsidRDefault="00BE0514" w:rsidP="00D92836">
      <w:pPr>
        <w:pStyle w:val="BodyText"/>
        <w:spacing w:after="120" w:line="276" w:lineRule="auto"/>
        <w:jc w:val="both"/>
        <w:rPr>
          <w:rFonts w:ascii="Times New Roman" w:hAnsi="Times New Roman"/>
          <w:i/>
          <w:iCs/>
          <w:sz w:val="20"/>
          <w:szCs w:val="20"/>
          <w:lang w:val="en-GB"/>
        </w:rPr>
      </w:pPr>
      <w:r>
        <w:rPr>
          <w:rFonts w:ascii="Times New Roman" w:hAnsi="Times New Roman"/>
          <w:i/>
          <w:iCs/>
          <w:sz w:val="20"/>
          <w:szCs w:val="20"/>
          <w:lang w:val="en-GB"/>
        </w:rPr>
        <w:t xml:space="preserve">Keywords: </w:t>
      </w:r>
      <w:r w:rsidR="005230FE" w:rsidRPr="00D92836">
        <w:rPr>
          <w:rFonts w:ascii="Times New Roman" w:hAnsi="Times New Roman"/>
          <w:i/>
          <w:iCs/>
          <w:sz w:val="20"/>
          <w:szCs w:val="20"/>
          <w:lang w:val="en-GB"/>
        </w:rPr>
        <w:t>Dynamic modelling, HVAC, Nearly zero energy building, renewables, TRNSYS.</w:t>
      </w:r>
    </w:p>
    <w:p w14:paraId="4E63B630" w14:textId="6A15F745" w:rsidR="00D92836" w:rsidRPr="00D92836" w:rsidRDefault="00D92836" w:rsidP="00D92836">
      <w:pPr>
        <w:pStyle w:val="SWCText"/>
        <w:pBdr>
          <w:bottom w:val="single" w:sz="6" w:space="1" w:color="auto"/>
        </w:pBdr>
        <w:rPr>
          <w:i/>
          <w:iCs/>
          <w:lang w:val="en-GB"/>
        </w:rPr>
      </w:pPr>
      <w:r w:rsidRPr="00D92836">
        <w:rPr>
          <w:i/>
          <w:iCs/>
          <w:lang w:val="en-GB"/>
        </w:rPr>
        <w:t>Field of application for the findings:</w:t>
      </w:r>
      <w:r w:rsidRPr="00D92836">
        <w:rPr>
          <w:i/>
          <w:iCs/>
          <w:color w:val="auto"/>
          <w:sz w:val="24"/>
          <w:szCs w:val="24"/>
          <w:lang w:val="en-GB"/>
        </w:rPr>
        <w:t xml:space="preserve"> </w:t>
      </w:r>
      <w:r w:rsidRPr="00D92836">
        <w:rPr>
          <w:i/>
          <w:iCs/>
          <w:lang w:val="en-GB"/>
        </w:rPr>
        <w:t>Energy Efficient Buildings</w:t>
      </w:r>
    </w:p>
    <w:p w14:paraId="62513D5B" w14:textId="4A859531" w:rsidR="00D92836" w:rsidRPr="00D92836" w:rsidRDefault="00D92836" w:rsidP="00D92836">
      <w:pPr>
        <w:pStyle w:val="SWCText"/>
        <w:pBdr>
          <w:bottom w:val="single" w:sz="6" w:space="1" w:color="auto"/>
        </w:pBdr>
        <w:rPr>
          <w:i/>
          <w:iCs/>
          <w:lang w:val="en-GB"/>
        </w:rPr>
      </w:pPr>
      <w:r w:rsidRPr="00D92836">
        <w:rPr>
          <w:i/>
          <w:iCs/>
          <w:lang w:val="en-GB"/>
        </w:rPr>
        <w:t>Addressed audience:</w:t>
      </w:r>
      <w:r w:rsidRPr="00D92836">
        <w:t xml:space="preserve"> </w:t>
      </w:r>
      <w:r w:rsidRPr="00D92836">
        <w:rPr>
          <w:i/>
          <w:iCs/>
          <w:lang w:val="en-GB"/>
        </w:rPr>
        <w:t>Researchers and HVAC experts</w:t>
      </w:r>
    </w:p>
    <w:p w14:paraId="27AB223D" w14:textId="77777777" w:rsidR="005230FE" w:rsidRPr="00A532AE" w:rsidRDefault="005230FE" w:rsidP="005230FE">
      <w:pPr>
        <w:pStyle w:val="BodyText"/>
        <w:spacing w:line="276" w:lineRule="auto"/>
        <w:jc w:val="both"/>
        <w:rPr>
          <w:rFonts w:ascii="Times New Roman" w:hAnsi="Times New Roman"/>
          <w:iCs/>
          <w:color w:val="808080" w:themeColor="background1" w:themeShade="80"/>
          <w:sz w:val="20"/>
          <w:szCs w:val="20"/>
          <w:lang w:val="en-GB"/>
        </w:rPr>
      </w:pPr>
    </w:p>
    <w:p w14:paraId="6B4D5034" w14:textId="77777777" w:rsidR="005230FE" w:rsidRPr="00A532AE" w:rsidRDefault="00354EF8" w:rsidP="00274B92">
      <w:pPr>
        <w:pStyle w:val="BodyText"/>
        <w:spacing w:after="240" w:line="276" w:lineRule="auto"/>
        <w:jc w:val="center"/>
        <w:rPr>
          <w:rFonts w:cs="Arial"/>
          <w:b/>
          <w:bCs/>
          <w:sz w:val="20"/>
          <w:szCs w:val="20"/>
          <w:lang w:val="en-GB"/>
        </w:rPr>
      </w:pPr>
      <w:r w:rsidRPr="00A532AE">
        <w:rPr>
          <w:rFonts w:cs="Arial"/>
          <w:b/>
          <w:bCs/>
          <w:sz w:val="20"/>
          <w:szCs w:val="20"/>
          <w:lang w:val="en-GB"/>
        </w:rPr>
        <w:t xml:space="preserve">1. </w:t>
      </w:r>
      <w:r w:rsidR="005230FE" w:rsidRPr="00A532AE">
        <w:rPr>
          <w:rFonts w:cs="Arial"/>
          <w:b/>
          <w:bCs/>
          <w:sz w:val="20"/>
          <w:szCs w:val="20"/>
          <w:lang w:val="en-GB"/>
        </w:rPr>
        <w:t>I</w:t>
      </w:r>
      <w:r w:rsidRPr="00A532AE">
        <w:rPr>
          <w:rFonts w:cs="Arial"/>
          <w:b/>
          <w:bCs/>
          <w:sz w:val="20"/>
          <w:szCs w:val="20"/>
          <w:lang w:val="en-GB"/>
        </w:rPr>
        <w:t>ntroduction</w:t>
      </w:r>
    </w:p>
    <w:p w14:paraId="100AD720" w14:textId="00865615" w:rsidR="005230FE" w:rsidRPr="00A532AE" w:rsidRDefault="005230FE" w:rsidP="005230FE">
      <w:pPr>
        <w:spacing w:line="276" w:lineRule="auto"/>
        <w:ind w:firstLine="340"/>
        <w:jc w:val="both"/>
        <w:rPr>
          <w:lang w:val="en-GB"/>
        </w:rPr>
      </w:pPr>
      <w:r w:rsidRPr="00A532AE">
        <w:rPr>
          <w:lang w:val="en-GB"/>
        </w:rPr>
        <w:t>Improving energy efficiency is a key strategy to reduce primary energy consumption in the European Union (EU). Buildings in the EU account for over 40% of final energy use and about 35% of total CO₂ emissions, with heating and cooling systems responsible for roughly half of this consumption. Since the majority of existing buildings show poor energy performance, renovating existing buildings is essential for the transition to a low-carbon energy sector.</w:t>
      </w:r>
      <w:r w:rsidR="00862C69" w:rsidRPr="00A532AE">
        <w:rPr>
          <w:lang w:val="en-GB"/>
        </w:rPr>
        <w:t xml:space="preserve"> </w:t>
      </w:r>
      <w:r w:rsidRPr="00A532AE">
        <w:rPr>
          <w:lang w:val="en-GB"/>
        </w:rPr>
        <w:t xml:space="preserve">According to </w:t>
      </w:r>
      <w:r w:rsidR="00AA3F7C">
        <w:rPr>
          <w:lang w:val="en-GB"/>
        </w:rPr>
        <w:t xml:space="preserve">the </w:t>
      </w:r>
      <w:r w:rsidR="004337F0" w:rsidRPr="004337F0">
        <w:rPr>
          <w:lang w:val="en-US"/>
        </w:rPr>
        <w:t>Energy Performance of Buildings Directive (EPBD) EU/31/2010 (revised in 2018)</w:t>
      </w:r>
      <w:r w:rsidR="004337F0">
        <w:rPr>
          <w:lang w:val="en-US"/>
        </w:rPr>
        <w:t xml:space="preserve">, </w:t>
      </w:r>
      <w:r w:rsidRPr="00A532AE">
        <w:rPr>
          <w:lang w:val="en-GB"/>
        </w:rPr>
        <w:t>all new buildings and those undergoing major renovations must meet nearly zero energy building (nZEB) standards. To be cost-effective, renovations should reach a cost optimal level that minimizes total annual costs over the system’s lifetime. Nearly zero energy buildings (</w:t>
      </w:r>
      <w:proofErr w:type="spellStart"/>
      <w:r w:rsidRPr="00A532AE">
        <w:rPr>
          <w:lang w:val="en-GB"/>
        </w:rPr>
        <w:t>nZEBs</w:t>
      </w:r>
      <w:proofErr w:type="spellEnd"/>
      <w:r w:rsidRPr="00A532AE">
        <w:rPr>
          <w:lang w:val="en-GB"/>
        </w:rPr>
        <w:t>) are highly energy-efficient buildings that cover most of their energy needs from renewable sources. This transition is directly aligned with the United Nations Sustainable Development Goals, in particular SDG 7 (Affordable and Clean Energy), which aims to ensure universal access to affordable, reliable, sustainable and modern energy services, while promoting an increased share of renewable energy and improved energy efficiency performance as core mechanisms for the decarbonization of the global energy system. Various studies have been conducted in order to evaluate the energy performance and environmental impacts of HVAC systems under different building configurations.</w:t>
      </w:r>
      <w:r w:rsidR="00A532AE" w:rsidRPr="00A532AE">
        <w:rPr>
          <w:lang w:val="en-GB"/>
        </w:rPr>
        <w:t xml:space="preserve"> </w:t>
      </w:r>
      <w:proofErr w:type="spellStart"/>
      <w:r w:rsidRPr="00A532AE">
        <w:rPr>
          <w:lang w:val="en-GB"/>
        </w:rPr>
        <w:t>Hamdy</w:t>
      </w:r>
      <w:proofErr w:type="spellEnd"/>
      <w:r w:rsidRPr="00A532AE">
        <w:rPr>
          <w:lang w:val="en-GB"/>
        </w:rPr>
        <w:t xml:space="preserve"> et al. </w:t>
      </w:r>
      <w:r w:rsidR="00F12D95">
        <w:rPr>
          <w:lang w:val="en-GB"/>
        </w:rPr>
        <w:t>(2013)</w:t>
      </w:r>
      <w:r w:rsidRPr="00A532AE">
        <w:rPr>
          <w:lang w:val="en-GB"/>
        </w:rPr>
        <w:t xml:space="preserve"> showed that cost-optimal nearly zero energy buildings can be achieved through optimization balancing technical, economic, and environmental aspects. For a single-family house in Finland, they found that ground source heat pumps and solar systems are the key for reducing costs and emissions. </w:t>
      </w:r>
      <w:proofErr w:type="spellStart"/>
      <w:r w:rsidRPr="00A532AE">
        <w:rPr>
          <w:lang w:val="en-GB"/>
        </w:rPr>
        <w:t>Barthelmes</w:t>
      </w:r>
      <w:proofErr w:type="spellEnd"/>
      <w:r w:rsidRPr="00A532AE">
        <w:rPr>
          <w:lang w:val="en-GB"/>
        </w:rPr>
        <w:t xml:space="preserve"> et al. </w:t>
      </w:r>
      <w:r w:rsidR="00F12D95">
        <w:rPr>
          <w:lang w:val="en-GB"/>
        </w:rPr>
        <w:t>(2015)</w:t>
      </w:r>
      <w:r w:rsidRPr="00A532AE">
        <w:rPr>
          <w:lang w:val="en-GB"/>
        </w:rPr>
        <w:t xml:space="preserve"> investigated the replicability of </w:t>
      </w:r>
      <w:proofErr w:type="spellStart"/>
      <w:r w:rsidRPr="00A532AE">
        <w:rPr>
          <w:lang w:val="en-GB"/>
        </w:rPr>
        <w:t>nZEBs</w:t>
      </w:r>
      <w:proofErr w:type="spellEnd"/>
      <w:r w:rsidRPr="00A532AE">
        <w:rPr>
          <w:lang w:val="en-GB"/>
        </w:rPr>
        <w:t xml:space="preserve"> in Mediterranean countries, analy</w:t>
      </w:r>
      <w:r w:rsidR="00A532AE" w:rsidRPr="00A532AE">
        <w:rPr>
          <w:lang w:val="en-GB"/>
        </w:rPr>
        <w:t>s</w:t>
      </w:r>
      <w:r w:rsidRPr="00A532AE">
        <w:rPr>
          <w:lang w:val="en-GB"/>
        </w:rPr>
        <w:t xml:space="preserve">ing HVAC configurations for a reference building in Piedmont, Italy. Different HVAC </w:t>
      </w:r>
      <w:r w:rsidRPr="00A532AE">
        <w:rPr>
          <w:lang w:val="en-GB"/>
        </w:rPr>
        <w:lastRenderedPageBreak/>
        <w:t xml:space="preserve">systems were combined with an optimized building envelope to evaluate energy performance, indoor comfort, and economic feasibility. </w:t>
      </w:r>
      <w:proofErr w:type="spellStart"/>
      <w:r w:rsidRPr="00A532AE">
        <w:rPr>
          <w:lang w:val="en-GB"/>
        </w:rPr>
        <w:t>Baglivo</w:t>
      </w:r>
      <w:proofErr w:type="spellEnd"/>
      <w:r w:rsidRPr="00A532AE">
        <w:rPr>
          <w:lang w:val="en-GB"/>
        </w:rPr>
        <w:t xml:space="preserve"> et al. </w:t>
      </w:r>
      <w:r w:rsidR="00F12D95">
        <w:rPr>
          <w:lang w:val="en-GB"/>
        </w:rPr>
        <w:t>(2015)</w:t>
      </w:r>
      <w:r w:rsidRPr="00A532AE">
        <w:rPr>
          <w:lang w:val="en-GB"/>
        </w:rPr>
        <w:t xml:space="preserve"> showed that identifying cost-optimal solutions for nearly zero energy buildings in warm climates requires balancing energy performance and investment costs. Using reference residential buildings, they tested envelope and system efficiency measures to find configurations that minimize primary energy use and CO₂ emissions. </w:t>
      </w:r>
      <w:proofErr w:type="spellStart"/>
      <w:r w:rsidRPr="00A532AE">
        <w:rPr>
          <w:lang w:val="en-GB"/>
        </w:rPr>
        <w:t>Ascione</w:t>
      </w:r>
      <w:proofErr w:type="spellEnd"/>
      <w:r w:rsidRPr="00A532AE">
        <w:rPr>
          <w:lang w:val="en-GB"/>
        </w:rPr>
        <w:t xml:space="preserve"> et al. </w:t>
      </w:r>
      <w:r w:rsidR="00F12D95">
        <w:rPr>
          <w:lang w:val="en-GB"/>
        </w:rPr>
        <w:t>(2019)</w:t>
      </w:r>
      <w:r w:rsidRPr="00A532AE">
        <w:rPr>
          <w:lang w:val="en-GB"/>
        </w:rPr>
        <w:t xml:space="preserve"> investigated a single family nZEB building in southern Italy, designed for a Mediterranean climate. A real house was monitored to assess energy demand, renewable energy generation, storage, and indoor environmental quality during summer. Monitoring data were used to validate a numerical model.</w:t>
      </w:r>
      <w:r w:rsidR="0002569D" w:rsidRPr="00A532AE">
        <w:rPr>
          <w:lang w:val="en-GB"/>
        </w:rPr>
        <w:t xml:space="preserve"> </w:t>
      </w:r>
      <w:proofErr w:type="spellStart"/>
      <w:r w:rsidRPr="00A532AE">
        <w:rPr>
          <w:lang w:val="en-GB"/>
        </w:rPr>
        <w:t>Slijepčević</w:t>
      </w:r>
      <w:proofErr w:type="spellEnd"/>
      <w:r w:rsidRPr="00A532AE">
        <w:rPr>
          <w:lang w:val="en-GB"/>
        </w:rPr>
        <w:t xml:space="preserve"> et al. </w:t>
      </w:r>
      <w:r w:rsidR="00F12D95">
        <w:rPr>
          <w:lang w:val="en-GB"/>
        </w:rPr>
        <w:t>(2019)</w:t>
      </w:r>
      <w:r w:rsidRPr="00A532AE">
        <w:rPr>
          <w:lang w:val="en-GB"/>
        </w:rPr>
        <w:t xml:space="preserve"> analy</w:t>
      </w:r>
      <w:r w:rsidR="00304383" w:rsidRPr="00A532AE">
        <w:rPr>
          <w:lang w:val="en-GB"/>
        </w:rPr>
        <w:t>s</w:t>
      </w:r>
      <w:r w:rsidRPr="00A532AE">
        <w:rPr>
          <w:lang w:val="en-GB"/>
        </w:rPr>
        <w:t xml:space="preserve">ed the cost-effectiveness of installing heat-cost allocators in multifamily residential buildings in Croatia. Using a cost–benefit approach with a 4% discount rate, the study assessed investment, maintenance, and energy savings over the systems’ lifetime. </w:t>
      </w:r>
      <w:proofErr w:type="spellStart"/>
      <w:r w:rsidRPr="00A532AE">
        <w:rPr>
          <w:lang w:val="en-GB"/>
        </w:rPr>
        <w:t>Keček</w:t>
      </w:r>
      <w:proofErr w:type="spellEnd"/>
      <w:r w:rsidRPr="00A532AE">
        <w:rPr>
          <w:lang w:val="en-GB"/>
        </w:rPr>
        <w:t xml:space="preserve"> </w:t>
      </w:r>
      <w:r w:rsidR="00F12D95">
        <w:rPr>
          <w:lang w:val="en-GB"/>
        </w:rPr>
        <w:t>(2023)</w:t>
      </w:r>
      <w:r w:rsidRPr="00A532AE">
        <w:rPr>
          <w:lang w:val="en-GB"/>
        </w:rPr>
        <w:t xml:space="preserve"> analy</w:t>
      </w:r>
      <w:r w:rsidR="00304383" w:rsidRPr="00A532AE">
        <w:rPr>
          <w:lang w:val="en-GB"/>
        </w:rPr>
        <w:t>s</w:t>
      </w:r>
      <w:r w:rsidRPr="00A532AE">
        <w:rPr>
          <w:lang w:val="en-GB"/>
        </w:rPr>
        <w:t>ed the effects of the 2021–2022 global energy crisis on the Croatian economy using an input</w:t>
      </w:r>
      <w:r w:rsidR="00CB58E2">
        <w:rPr>
          <w:lang w:val="en-GB"/>
        </w:rPr>
        <w:t>-</w:t>
      </w:r>
      <w:r w:rsidRPr="00A532AE">
        <w:rPr>
          <w:lang w:val="en-GB"/>
        </w:rPr>
        <w:t xml:space="preserve">output price model. </w:t>
      </w:r>
      <w:proofErr w:type="spellStart"/>
      <w:r w:rsidRPr="00A532AE">
        <w:rPr>
          <w:lang w:val="en-GB"/>
        </w:rPr>
        <w:t>Eksi</w:t>
      </w:r>
      <w:proofErr w:type="spellEnd"/>
      <w:r w:rsidRPr="00A532AE">
        <w:rPr>
          <w:lang w:val="en-GB"/>
        </w:rPr>
        <w:t xml:space="preserve"> and </w:t>
      </w:r>
      <w:proofErr w:type="spellStart"/>
      <w:r w:rsidRPr="00A532AE">
        <w:rPr>
          <w:lang w:val="en-GB"/>
        </w:rPr>
        <w:t>Ozcan</w:t>
      </w:r>
      <w:proofErr w:type="spellEnd"/>
      <w:r w:rsidRPr="00A532AE">
        <w:rPr>
          <w:lang w:val="en-GB"/>
        </w:rPr>
        <w:t xml:space="preserve"> </w:t>
      </w:r>
      <w:r w:rsidR="00F12D95">
        <w:rPr>
          <w:lang w:val="en-GB"/>
        </w:rPr>
        <w:t>(2025)</w:t>
      </w:r>
      <w:r w:rsidRPr="00A532AE">
        <w:rPr>
          <w:lang w:val="en-GB"/>
        </w:rPr>
        <w:t xml:space="preserve"> showed that retrofitting a residential building in Izmir Mediterranean climate into a nearly zero energy building (nZEB) using active and passive measures can greatly enhance efficiency. Through simulations, they found that the optimal scenario reduced net primary energy use and CO₂ emissions by around 80%, demonstrating that nZEB retrofits in Mediterranean climates can cut heating and cooling demands by more than half. Zhen et al. </w:t>
      </w:r>
      <w:r w:rsidR="00F12D95">
        <w:rPr>
          <w:lang w:val="en-GB"/>
        </w:rPr>
        <w:t>(2025)</w:t>
      </w:r>
      <w:r w:rsidRPr="00A532AE">
        <w:rPr>
          <w:lang w:val="en-GB"/>
        </w:rPr>
        <w:t xml:space="preserve"> investigated the impact of different building envelope configurations on energy consumption and indoor comfort in nZEB building in northwest China through experimental measurements and TRNSYS/CFD simulation analysis. </w:t>
      </w:r>
    </w:p>
    <w:p w14:paraId="0AEBA066" w14:textId="76798918" w:rsidR="005230FE" w:rsidRPr="00A532AE" w:rsidRDefault="005230FE" w:rsidP="005230FE">
      <w:pPr>
        <w:spacing w:line="276" w:lineRule="auto"/>
        <w:ind w:firstLine="340"/>
        <w:jc w:val="both"/>
        <w:rPr>
          <w:lang w:val="en-GB"/>
        </w:rPr>
      </w:pPr>
      <w:r w:rsidRPr="00A532AE">
        <w:rPr>
          <w:lang w:val="en-GB"/>
        </w:rPr>
        <w:t>The objective of this study is to define, for a given building, the appropriate systems for heating, cooling, ventilation, and domestic hot water production, and to perform annual simulations in order to calculate costs, CO</w:t>
      </w:r>
      <w:r w:rsidRPr="00A532AE">
        <w:rPr>
          <w:vertAlign w:val="subscript"/>
          <w:lang w:val="en-GB"/>
        </w:rPr>
        <w:t>2</w:t>
      </w:r>
      <w:r w:rsidRPr="00A532AE">
        <w:rPr>
          <w:lang w:val="en-GB"/>
        </w:rPr>
        <w:t xml:space="preserve"> emissions and energy consumption up to the level of primary energy. The building under study is a single-family house with a basement, ground floor, and first floor, designed in the second half of the 20th century, a type that exists in large numbers along the Croatian coast in </w:t>
      </w:r>
      <w:r w:rsidR="00AA3F7C">
        <w:rPr>
          <w:lang w:val="en-GB"/>
        </w:rPr>
        <w:t xml:space="preserve">a </w:t>
      </w:r>
      <w:r w:rsidRPr="00A532AE">
        <w:rPr>
          <w:lang w:val="en-GB"/>
        </w:rPr>
        <w:t xml:space="preserve">similar form and size. For this reason, the analyses and results obtained can be considered representative for a wide range of comparable buildings. </w:t>
      </w:r>
    </w:p>
    <w:p w14:paraId="371E0F84" w14:textId="77777777" w:rsidR="008C25DA" w:rsidRPr="00A532AE" w:rsidRDefault="008C25DA" w:rsidP="005230FE">
      <w:pPr>
        <w:spacing w:line="276" w:lineRule="auto"/>
        <w:ind w:firstLine="340"/>
        <w:jc w:val="both"/>
        <w:rPr>
          <w:lang w:val="en-GB"/>
        </w:rPr>
      </w:pPr>
    </w:p>
    <w:p w14:paraId="545E21A1" w14:textId="77777777" w:rsidR="005230FE" w:rsidRPr="00A532AE" w:rsidRDefault="005230FE" w:rsidP="00A21324">
      <w:pPr>
        <w:spacing w:line="276" w:lineRule="auto"/>
        <w:ind w:left="397" w:hanging="397"/>
        <w:jc w:val="center"/>
        <w:rPr>
          <w:rFonts w:ascii="Arial" w:hAnsi="Arial" w:cs="Arial"/>
          <w:b/>
          <w:lang w:val="en-GB"/>
        </w:rPr>
      </w:pPr>
      <w:r w:rsidRPr="00A532AE">
        <w:rPr>
          <w:rFonts w:ascii="Arial" w:hAnsi="Arial" w:cs="Arial"/>
          <w:b/>
          <w:lang w:val="en-GB"/>
        </w:rPr>
        <w:t>2.</w:t>
      </w:r>
      <w:r w:rsidR="00354EF8" w:rsidRPr="00A532AE">
        <w:rPr>
          <w:rFonts w:ascii="Arial" w:hAnsi="Arial" w:cs="Arial"/>
          <w:b/>
          <w:lang w:val="en-GB"/>
        </w:rPr>
        <w:t xml:space="preserve"> </w:t>
      </w:r>
      <w:r w:rsidRPr="00A532AE">
        <w:rPr>
          <w:rFonts w:ascii="Arial" w:hAnsi="Arial" w:cs="Arial"/>
          <w:b/>
          <w:bCs/>
          <w:lang w:val="en-GB"/>
        </w:rPr>
        <w:t>B</w:t>
      </w:r>
      <w:r w:rsidR="00354EF8" w:rsidRPr="00A532AE">
        <w:rPr>
          <w:rFonts w:ascii="Arial" w:hAnsi="Arial" w:cs="Arial"/>
          <w:b/>
          <w:bCs/>
          <w:lang w:val="en-GB"/>
        </w:rPr>
        <w:t>uilding</w:t>
      </w:r>
      <w:r w:rsidRPr="00A532AE">
        <w:rPr>
          <w:rFonts w:ascii="Arial" w:hAnsi="Arial" w:cs="Arial"/>
          <w:b/>
          <w:bCs/>
          <w:lang w:val="en-GB"/>
        </w:rPr>
        <w:t xml:space="preserve"> 3D </w:t>
      </w:r>
      <w:r w:rsidR="00354EF8" w:rsidRPr="00A532AE">
        <w:rPr>
          <w:rFonts w:ascii="Arial" w:hAnsi="Arial" w:cs="Arial"/>
          <w:b/>
          <w:bCs/>
          <w:lang w:val="en-GB"/>
        </w:rPr>
        <w:t>model</w:t>
      </w:r>
    </w:p>
    <w:p w14:paraId="3A3CFEF8" w14:textId="77777777" w:rsidR="005230FE" w:rsidRPr="00A532AE" w:rsidRDefault="005230FE" w:rsidP="005230FE">
      <w:pPr>
        <w:spacing w:line="276" w:lineRule="auto"/>
        <w:jc w:val="both"/>
        <w:rPr>
          <w:color w:val="808080" w:themeColor="background1" w:themeShade="80"/>
          <w:lang w:val="en-GB"/>
        </w:rPr>
      </w:pPr>
    </w:p>
    <w:p w14:paraId="510E55FF" w14:textId="36CDE4F8" w:rsidR="005230FE" w:rsidRDefault="005230FE" w:rsidP="005230FE">
      <w:pPr>
        <w:spacing w:line="276" w:lineRule="auto"/>
        <w:ind w:firstLine="340"/>
        <w:jc w:val="both"/>
        <w:rPr>
          <w:lang w:val="en-GB"/>
        </w:rPr>
      </w:pPr>
      <w:r w:rsidRPr="00A532AE">
        <w:rPr>
          <w:lang w:val="en-GB"/>
        </w:rPr>
        <w:t xml:space="preserve"> </w:t>
      </w:r>
      <w:r w:rsidR="00862C69" w:rsidRPr="00A532AE">
        <w:rPr>
          <w:lang w:val="en-GB"/>
        </w:rPr>
        <w:t xml:space="preserve">The building under consideration consists of three floors, which can be considered as three separate apartments and </w:t>
      </w:r>
      <w:r w:rsidR="00EC7242">
        <w:rPr>
          <w:lang w:val="en-GB"/>
        </w:rPr>
        <w:t xml:space="preserve">auxiliary spaces </w:t>
      </w:r>
      <w:r w:rsidR="00AA3F7C">
        <w:rPr>
          <w:lang w:val="en-GB"/>
        </w:rPr>
        <w:t>on</w:t>
      </w:r>
      <w:r w:rsidR="00EC7242">
        <w:rPr>
          <w:lang w:val="en-GB"/>
        </w:rPr>
        <w:t xml:space="preserve"> the ground floor</w:t>
      </w:r>
      <w:r w:rsidR="00862C69" w:rsidRPr="00A532AE">
        <w:rPr>
          <w:lang w:val="en-GB"/>
        </w:rPr>
        <w:t xml:space="preserve">. </w:t>
      </w:r>
      <w:r w:rsidRPr="00A532AE">
        <w:rPr>
          <w:lang w:val="en-GB"/>
        </w:rPr>
        <w:t xml:space="preserve">The building model was created in </w:t>
      </w:r>
      <w:r w:rsidRPr="00A532AE">
        <w:rPr>
          <w:i/>
          <w:lang w:val="en-GB"/>
        </w:rPr>
        <w:t>Google SketchUp</w:t>
      </w:r>
      <w:r w:rsidRPr="00A532AE">
        <w:rPr>
          <w:lang w:val="en-GB"/>
        </w:rPr>
        <w:t xml:space="preserve"> with the </w:t>
      </w:r>
      <w:r w:rsidRPr="00A532AE">
        <w:rPr>
          <w:i/>
          <w:lang w:val="en-GB"/>
        </w:rPr>
        <w:t>TRNSYS3D</w:t>
      </w:r>
      <w:r w:rsidRPr="00A532AE">
        <w:rPr>
          <w:lang w:val="en-GB"/>
        </w:rPr>
        <w:t xml:space="preserve"> plug-in to ensure compatibility for subsequent thermal property calculations. In the development of the thermal model, the building was divided into nine thermal zones, three of which are heated. </w:t>
      </w:r>
      <w:r w:rsidR="00EC7242" w:rsidRPr="00EC7242">
        <w:rPr>
          <w:lang w:val="en-US"/>
        </w:rPr>
        <w:t>The heated zones of the building include the occupied areas located in the basement, ground floor, and first floor, whereas the unheated zones comprise the garage, three storage rooms, the porches on the ground and first floors, and the attic</w:t>
      </w:r>
      <w:r w:rsidRPr="00A532AE">
        <w:rPr>
          <w:lang w:val="en-GB"/>
        </w:rPr>
        <w:t xml:space="preserve">. The storage rooms are auxiliary spaces located at </w:t>
      </w:r>
      <w:r w:rsidR="00AA3F7C">
        <w:rPr>
          <w:lang w:val="en-GB"/>
        </w:rPr>
        <w:t xml:space="preserve">the </w:t>
      </w:r>
      <w:r w:rsidRPr="00A532AE">
        <w:rPr>
          <w:lang w:val="en-GB"/>
        </w:rPr>
        <w:t>basement level, partially embedded into the ground. The porches are situated within the open stairwell areas in front of the apartment entrances and serve as protection against wind and other weather conditions. The attic thermal zone corresponds to the space beneath the roof structure</w:t>
      </w:r>
      <w:r w:rsidR="00AA3F7C">
        <w:rPr>
          <w:lang w:val="en-GB"/>
        </w:rPr>
        <w:t>,</w:t>
      </w:r>
      <w:r w:rsidRPr="00A532AE">
        <w:rPr>
          <w:lang w:val="en-GB"/>
        </w:rPr>
        <w:t xml:space="preserve"> which is also unheated. The graphical representation of the building model is shown </w:t>
      </w:r>
      <w:r w:rsidR="00AA3F7C">
        <w:rPr>
          <w:lang w:val="en-GB"/>
        </w:rPr>
        <w:t>in</w:t>
      </w:r>
      <w:r w:rsidRPr="00A532AE">
        <w:rPr>
          <w:lang w:val="en-GB"/>
        </w:rPr>
        <w:t xml:space="preserve"> Fig</w:t>
      </w:r>
      <w:r w:rsidR="00C43C53" w:rsidRPr="00A532AE">
        <w:rPr>
          <w:lang w:val="en-GB"/>
        </w:rPr>
        <w:t>.</w:t>
      </w:r>
      <w:r w:rsidRPr="00A532AE">
        <w:rPr>
          <w:lang w:val="en-GB"/>
        </w:rPr>
        <w:t xml:space="preserve"> 1.</w:t>
      </w:r>
    </w:p>
    <w:p w14:paraId="13D5D90F" w14:textId="77777777" w:rsidR="009B39AC" w:rsidRDefault="009B39AC" w:rsidP="005230FE">
      <w:pPr>
        <w:spacing w:line="276" w:lineRule="auto"/>
        <w:ind w:firstLine="340"/>
        <w:jc w:val="both"/>
        <w:rPr>
          <w:lang w:val="en-GB"/>
        </w:rPr>
      </w:pPr>
    </w:p>
    <w:p w14:paraId="6C5E73CB" w14:textId="77777777" w:rsidR="00CA3AD3" w:rsidRDefault="005230FE" w:rsidP="00CA3AD3">
      <w:pPr>
        <w:spacing w:line="276" w:lineRule="auto"/>
        <w:jc w:val="center"/>
        <w:rPr>
          <w:b/>
          <w:sz w:val="16"/>
          <w:lang w:val="en-GB"/>
        </w:rPr>
      </w:pPr>
      <w:r w:rsidRPr="00A532AE">
        <w:rPr>
          <w:noProof/>
          <w:lang w:val="en-GB"/>
        </w:rPr>
        <w:drawing>
          <wp:inline distT="0" distB="0" distL="0" distR="0" wp14:anchorId="4AADE503" wp14:editId="7F821BE3">
            <wp:extent cx="3111335" cy="1991937"/>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08428" cy="2118120"/>
                    </a:xfrm>
                    <a:prstGeom prst="rect">
                      <a:avLst/>
                    </a:prstGeom>
                  </pic:spPr>
                </pic:pic>
              </a:graphicData>
            </a:graphic>
          </wp:inline>
        </w:drawing>
      </w:r>
    </w:p>
    <w:p w14:paraId="4C32D5EA" w14:textId="659A5291" w:rsidR="005230FE" w:rsidRDefault="005230FE" w:rsidP="00CA3AD3">
      <w:pPr>
        <w:spacing w:line="276" w:lineRule="auto"/>
        <w:jc w:val="center"/>
        <w:rPr>
          <w:b/>
          <w:i/>
          <w:sz w:val="16"/>
          <w:lang w:val="en-GB"/>
        </w:rPr>
      </w:pPr>
      <w:r w:rsidRPr="00CA5953">
        <w:rPr>
          <w:b/>
          <w:sz w:val="16"/>
          <w:lang w:val="en-GB"/>
        </w:rPr>
        <w:t>Fig</w:t>
      </w:r>
      <w:r w:rsidR="00C43C53" w:rsidRPr="00CA5953">
        <w:rPr>
          <w:b/>
          <w:sz w:val="16"/>
          <w:lang w:val="en-GB"/>
        </w:rPr>
        <w:t>.</w:t>
      </w:r>
      <w:r w:rsidRPr="00CA5953">
        <w:rPr>
          <w:b/>
          <w:sz w:val="16"/>
          <w:lang w:val="en-GB"/>
        </w:rPr>
        <w:t xml:space="preserve"> 1</w:t>
      </w:r>
      <w:r w:rsidR="00C43C53" w:rsidRPr="00CA5953">
        <w:rPr>
          <w:b/>
          <w:sz w:val="16"/>
          <w:lang w:val="en-GB"/>
        </w:rPr>
        <w:t>:</w:t>
      </w:r>
      <w:r w:rsidRPr="00CA5953">
        <w:rPr>
          <w:b/>
          <w:sz w:val="16"/>
          <w:lang w:val="en-GB"/>
        </w:rPr>
        <w:t xml:space="preserve"> 3D multizone model of the reference building designed in </w:t>
      </w:r>
      <w:r w:rsidRPr="00CA5953">
        <w:rPr>
          <w:b/>
          <w:i/>
          <w:sz w:val="16"/>
          <w:lang w:val="en-GB"/>
        </w:rPr>
        <w:t>Google SketchUp</w:t>
      </w:r>
    </w:p>
    <w:p w14:paraId="0D57332D" w14:textId="76E8DB3A" w:rsidR="00FD0D92" w:rsidRPr="00FD0D92" w:rsidRDefault="005230FE" w:rsidP="00FD0D92">
      <w:pPr>
        <w:spacing w:line="276" w:lineRule="auto"/>
        <w:ind w:firstLine="340"/>
        <w:jc w:val="both"/>
        <w:rPr>
          <w:lang w:val="en-US"/>
        </w:rPr>
      </w:pPr>
      <w:r w:rsidRPr="00A532AE">
        <w:rPr>
          <w:lang w:val="en-GB"/>
        </w:rPr>
        <w:lastRenderedPageBreak/>
        <w:t xml:space="preserve">The </w:t>
      </w:r>
      <w:r w:rsidR="00AA3F7C">
        <w:rPr>
          <w:lang w:val="en-GB"/>
        </w:rPr>
        <w:t>building is oriented so that the larger windows and balconies face south, a common practice in most buildings along the coast, especially in the area around the city of Rijeka, for which this study was conducted</w:t>
      </w:r>
      <w:r w:rsidRPr="00A532AE">
        <w:rPr>
          <w:lang w:val="en-GB"/>
        </w:rPr>
        <w:t>. For the purpose of the simulation</w:t>
      </w:r>
      <w:r w:rsidR="00AA3F7C">
        <w:rPr>
          <w:lang w:val="en-GB"/>
        </w:rPr>
        <w:t>,</w:t>
      </w:r>
      <w:r w:rsidRPr="00A532AE">
        <w:rPr>
          <w:lang w:val="en-GB"/>
        </w:rPr>
        <w:t xml:space="preserve"> six different wall types were defined. The thermal resistance</w:t>
      </w:r>
      <w:r w:rsidR="009C0943">
        <w:rPr>
          <w:lang w:val="en-GB"/>
        </w:rPr>
        <w:t>s</w:t>
      </w:r>
      <w:r w:rsidRPr="00A532AE">
        <w:rPr>
          <w:lang w:val="en-GB"/>
        </w:rPr>
        <w:t xml:space="preserve"> of the external walls, the walls between heated and auxiliary unheated rooms, the walls and floor adjacent to the ground, the floors between the apartments and the roof construction were defined according to a real building with values representative for buildings built in the 1970s in the coastal area of Croatia. </w:t>
      </w:r>
      <w:r w:rsidR="00DD76AB" w:rsidRPr="00A532AE">
        <w:rPr>
          <w:lang w:val="en-GB"/>
        </w:rPr>
        <w:t>The values of the overall heat transfer coefficients of the building elements in the original state</w:t>
      </w:r>
      <w:r w:rsidR="00DD76AB">
        <w:rPr>
          <w:lang w:val="en-GB"/>
        </w:rPr>
        <w:t xml:space="preserve"> and after applying insulation (</w:t>
      </w:r>
      <w:proofErr w:type="spellStart"/>
      <w:r w:rsidR="00DD76AB">
        <w:rPr>
          <w:i/>
          <w:lang w:val="en-GB"/>
        </w:rPr>
        <w:t>k</w:t>
      </w:r>
      <w:r w:rsidR="00DD76AB">
        <w:rPr>
          <w:vertAlign w:val="subscript"/>
          <w:lang w:val="en-GB"/>
        </w:rPr>
        <w:t>ins</w:t>
      </w:r>
      <w:proofErr w:type="spellEnd"/>
      <w:r w:rsidR="00DD76AB">
        <w:rPr>
          <w:lang w:val="en-GB"/>
        </w:rPr>
        <w:t xml:space="preserve"> = 0.04 W/</w:t>
      </w:r>
      <w:proofErr w:type="spellStart"/>
      <w:r w:rsidR="00DD76AB">
        <w:rPr>
          <w:lang w:val="en-GB"/>
        </w:rPr>
        <w:t>mK</w:t>
      </w:r>
      <w:proofErr w:type="spellEnd"/>
      <w:r w:rsidR="00DD76AB">
        <w:rPr>
          <w:lang w:val="en-GB"/>
        </w:rPr>
        <w:t>)</w:t>
      </w:r>
      <w:r w:rsidR="00DD76AB" w:rsidRPr="00A532AE">
        <w:rPr>
          <w:lang w:val="en-GB"/>
        </w:rPr>
        <w:t xml:space="preserve">, are presented in Tab. 1. </w:t>
      </w:r>
      <w:r w:rsidR="00114427">
        <w:rPr>
          <w:lang w:val="en-GB"/>
        </w:rPr>
        <w:t xml:space="preserve">To meet the criteria </w:t>
      </w:r>
      <w:r w:rsidR="00DD76AB">
        <w:rPr>
          <w:lang w:val="en-GB"/>
        </w:rPr>
        <w:t xml:space="preserve">of </w:t>
      </w:r>
      <w:proofErr w:type="spellStart"/>
      <w:r w:rsidR="00DD76AB" w:rsidRPr="00DD76AB">
        <w:rPr>
          <w:i/>
          <w:lang w:val="en-GB"/>
        </w:rPr>
        <w:t>U</w:t>
      </w:r>
      <w:r w:rsidR="00DD76AB" w:rsidRPr="00DD76AB">
        <w:rPr>
          <w:vertAlign w:val="subscript"/>
          <w:lang w:val="en-GB"/>
        </w:rPr>
        <w:t>max</w:t>
      </w:r>
      <w:proofErr w:type="spellEnd"/>
      <w:r w:rsidR="00DD76AB">
        <w:rPr>
          <w:lang w:val="en-GB"/>
        </w:rPr>
        <w:t xml:space="preserve"> </w:t>
      </w:r>
      <w:r w:rsidR="00114427">
        <w:rPr>
          <w:lang w:val="en-GB"/>
        </w:rPr>
        <w:t>specified in Tab</w:t>
      </w:r>
      <w:r w:rsidR="00AF63DA">
        <w:rPr>
          <w:lang w:val="en-GB"/>
        </w:rPr>
        <w:t>.</w:t>
      </w:r>
      <w:r w:rsidR="00114427">
        <w:rPr>
          <w:lang w:val="en-GB"/>
        </w:rPr>
        <w:t xml:space="preserve"> 1, </w:t>
      </w:r>
      <w:r w:rsidR="00FD0D92">
        <w:rPr>
          <w:lang w:val="en-US"/>
        </w:rPr>
        <w:t>a</w:t>
      </w:r>
      <w:r w:rsidR="00FD0D92" w:rsidRPr="00FD0D92">
        <w:rPr>
          <w:lang w:val="en-US"/>
        </w:rPr>
        <w:t>dditional thermal insulation was applied as follows: 3 cm between the floors of adjacent apartments, 10 cm above the ceiling below the unheated attic, and 8 cm on the façade, on walls and floors in contact with the ground, and on walls adjoining other unheated auxiliary spaces.</w:t>
      </w:r>
    </w:p>
    <w:p w14:paraId="6E3C042D" w14:textId="77777777" w:rsidR="00C43C53" w:rsidRDefault="00C43C53" w:rsidP="005230FE">
      <w:pPr>
        <w:spacing w:line="276" w:lineRule="auto"/>
        <w:jc w:val="center"/>
        <w:rPr>
          <w:b/>
          <w:sz w:val="16"/>
          <w:lang w:val="en-GB"/>
        </w:rPr>
      </w:pPr>
    </w:p>
    <w:p w14:paraId="33119F59" w14:textId="7B755ABD" w:rsidR="005230FE" w:rsidRPr="00A532AE" w:rsidRDefault="005230FE" w:rsidP="005230FE">
      <w:pPr>
        <w:spacing w:line="276" w:lineRule="auto"/>
        <w:jc w:val="center"/>
        <w:rPr>
          <w:rFonts w:eastAsia="Calibri"/>
          <w:b/>
          <w:lang w:val="en-GB"/>
        </w:rPr>
      </w:pPr>
      <w:r w:rsidRPr="00A532AE">
        <w:rPr>
          <w:b/>
          <w:sz w:val="16"/>
          <w:lang w:val="en-GB"/>
        </w:rPr>
        <w:t>Tab</w:t>
      </w:r>
      <w:r w:rsidR="00C43C53" w:rsidRPr="00A532AE">
        <w:rPr>
          <w:b/>
          <w:sz w:val="16"/>
          <w:lang w:val="en-GB"/>
        </w:rPr>
        <w:t>.</w:t>
      </w:r>
      <w:r w:rsidRPr="00A532AE">
        <w:rPr>
          <w:b/>
          <w:sz w:val="16"/>
          <w:lang w:val="en-GB"/>
        </w:rPr>
        <w:t xml:space="preserve"> 1</w:t>
      </w:r>
      <w:r w:rsidR="00C43C53" w:rsidRPr="00A532AE">
        <w:rPr>
          <w:b/>
          <w:sz w:val="16"/>
          <w:lang w:val="en-GB"/>
        </w:rPr>
        <w:t>:</w:t>
      </w:r>
      <w:r w:rsidRPr="00A532AE">
        <w:rPr>
          <w:b/>
          <w:sz w:val="16"/>
          <w:lang w:val="en-GB"/>
        </w:rPr>
        <w:t xml:space="preserve"> Overall heat transfer coefficients for building elements in original state</w:t>
      </w:r>
      <w:r w:rsidRPr="00A532AE">
        <w:rPr>
          <w:b/>
          <w:lang w:val="en-GB"/>
        </w:rPr>
        <w:fldChar w:fldCharType="begin"/>
      </w:r>
      <w:r w:rsidRPr="00A532AE">
        <w:rPr>
          <w:b/>
          <w:lang w:val="en-GB"/>
        </w:rPr>
        <w:instrText xml:space="preserve"> LINK </w:instrText>
      </w:r>
      <w:r w:rsidR="00192C75">
        <w:rPr>
          <w:b/>
          <w:lang w:val="en-GB"/>
        </w:rPr>
        <w:instrText xml:space="preserve">Excel.Sheet.12 "C:\\Users\\Admin\\Documents\\Near zero energy building - rad\\Gruden_diplomski_simulacije\\topline_teorijski_rad.xlsx" Sheet5!R4C1:R10C4 </w:instrText>
      </w:r>
      <w:r w:rsidRPr="00A532AE">
        <w:rPr>
          <w:b/>
          <w:lang w:val="en-GB"/>
        </w:rPr>
        <w:instrText xml:space="preserve">\a \f 4 \h  \* MERGEFORMAT </w:instrText>
      </w:r>
      <w:r w:rsidRPr="00A532AE">
        <w:rPr>
          <w:b/>
          <w:lang w:val="en-GB"/>
        </w:rPr>
        <w:fldChar w:fldCharType="separate"/>
      </w:r>
    </w:p>
    <w:tbl>
      <w:tblPr>
        <w:tblW w:w="8773" w:type="dxa"/>
        <w:jc w:val="center"/>
        <w:tblLayout w:type="fixed"/>
        <w:tblLook w:val="04A0" w:firstRow="1" w:lastRow="0" w:firstColumn="1" w:lastColumn="0" w:noHBand="0" w:noVBand="1"/>
      </w:tblPr>
      <w:tblGrid>
        <w:gridCol w:w="579"/>
        <w:gridCol w:w="2732"/>
        <w:gridCol w:w="1912"/>
        <w:gridCol w:w="1775"/>
        <w:gridCol w:w="1775"/>
      </w:tblGrid>
      <w:tr w:rsidR="00CE7ABF" w:rsidRPr="00A532AE" w14:paraId="157F3ADF" w14:textId="77777777" w:rsidTr="00CE7ABF">
        <w:trPr>
          <w:trHeight w:val="492"/>
          <w:jc w:val="center"/>
        </w:trPr>
        <w:tc>
          <w:tcPr>
            <w:tcW w:w="579" w:type="dxa"/>
            <w:tcBorders>
              <w:top w:val="single" w:sz="4" w:space="0" w:color="auto"/>
              <w:left w:val="nil"/>
              <w:bottom w:val="single" w:sz="4" w:space="0" w:color="auto"/>
              <w:right w:val="nil"/>
            </w:tcBorders>
            <w:noWrap/>
            <w:vAlign w:val="center"/>
            <w:hideMark/>
          </w:tcPr>
          <w:p w14:paraId="461AD593" w14:textId="77777777" w:rsidR="00CE7ABF" w:rsidRPr="00A532AE" w:rsidRDefault="00CE7ABF" w:rsidP="000C14E7">
            <w:pPr>
              <w:autoSpaceDE/>
              <w:autoSpaceDN/>
              <w:spacing w:line="276" w:lineRule="auto"/>
              <w:jc w:val="center"/>
              <w:rPr>
                <w:b/>
                <w:bCs/>
                <w:color w:val="000000"/>
                <w:lang w:val="en-GB" w:eastAsia="en-US"/>
              </w:rPr>
            </w:pPr>
            <w:r w:rsidRPr="00A532AE">
              <w:rPr>
                <w:b/>
                <w:bCs/>
                <w:color w:val="000000"/>
                <w:lang w:val="en-GB" w:eastAsia="en-US"/>
              </w:rPr>
              <w:t>No.</w:t>
            </w:r>
          </w:p>
        </w:tc>
        <w:tc>
          <w:tcPr>
            <w:tcW w:w="2732" w:type="dxa"/>
            <w:tcBorders>
              <w:top w:val="single" w:sz="4" w:space="0" w:color="auto"/>
              <w:left w:val="nil"/>
              <w:bottom w:val="single" w:sz="4" w:space="0" w:color="auto"/>
              <w:right w:val="nil"/>
            </w:tcBorders>
            <w:noWrap/>
            <w:vAlign w:val="center"/>
            <w:hideMark/>
          </w:tcPr>
          <w:p w14:paraId="0E8043BE" w14:textId="77777777" w:rsidR="00CE7ABF" w:rsidRPr="00A532AE" w:rsidRDefault="00CE7ABF" w:rsidP="000C14E7">
            <w:pPr>
              <w:autoSpaceDE/>
              <w:autoSpaceDN/>
              <w:spacing w:line="276" w:lineRule="auto"/>
              <w:rPr>
                <w:b/>
                <w:bCs/>
                <w:color w:val="000000"/>
                <w:lang w:val="en-GB" w:eastAsia="en-US"/>
              </w:rPr>
            </w:pPr>
            <w:r w:rsidRPr="00A532AE">
              <w:rPr>
                <w:b/>
                <w:bCs/>
                <w:color w:val="000000"/>
                <w:lang w:val="en-GB" w:eastAsia="en-US"/>
              </w:rPr>
              <w:t>Building element</w:t>
            </w:r>
          </w:p>
        </w:tc>
        <w:tc>
          <w:tcPr>
            <w:tcW w:w="1912" w:type="dxa"/>
            <w:tcBorders>
              <w:top w:val="single" w:sz="4" w:space="0" w:color="auto"/>
              <w:left w:val="nil"/>
              <w:bottom w:val="single" w:sz="4" w:space="0" w:color="auto"/>
              <w:right w:val="nil"/>
            </w:tcBorders>
            <w:vAlign w:val="center"/>
            <w:hideMark/>
          </w:tcPr>
          <w:p w14:paraId="69B3939B" w14:textId="01D4D72C" w:rsidR="00CE7ABF" w:rsidRPr="00A532AE" w:rsidRDefault="00CE7ABF" w:rsidP="000C14E7">
            <w:pPr>
              <w:autoSpaceDE/>
              <w:autoSpaceDN/>
              <w:spacing w:line="276" w:lineRule="auto"/>
              <w:jc w:val="center"/>
              <w:rPr>
                <w:b/>
                <w:bCs/>
                <w:color w:val="000000"/>
                <w:lang w:val="en-GB" w:eastAsia="en-US"/>
              </w:rPr>
            </w:pPr>
            <w:proofErr w:type="spellStart"/>
            <w:r w:rsidRPr="00A532AE">
              <w:rPr>
                <w:b/>
                <w:bCs/>
                <w:i/>
                <w:iCs/>
                <w:color w:val="000000"/>
                <w:lang w:val="en-GB" w:eastAsia="en-US"/>
              </w:rPr>
              <w:t>U</w:t>
            </w:r>
            <w:r w:rsidR="00DD76AB" w:rsidRPr="00DD76AB">
              <w:rPr>
                <w:b/>
                <w:bCs/>
                <w:iCs/>
                <w:color w:val="000000"/>
                <w:vertAlign w:val="subscript"/>
                <w:lang w:val="en-GB" w:eastAsia="en-US"/>
              </w:rPr>
              <w:t>original</w:t>
            </w:r>
            <w:proofErr w:type="spellEnd"/>
            <w:r w:rsidRPr="00A532AE">
              <w:rPr>
                <w:b/>
                <w:bCs/>
                <w:color w:val="000000"/>
                <w:lang w:val="en-GB" w:eastAsia="en-US"/>
              </w:rPr>
              <w:t xml:space="preserve"> [W/m</w:t>
            </w:r>
            <w:r w:rsidRPr="00A532AE">
              <w:rPr>
                <w:b/>
                <w:bCs/>
                <w:color w:val="000000"/>
                <w:vertAlign w:val="superscript"/>
                <w:lang w:val="en-GB" w:eastAsia="en-US"/>
              </w:rPr>
              <w:t>2</w:t>
            </w:r>
            <w:r w:rsidRPr="00A532AE">
              <w:rPr>
                <w:b/>
                <w:bCs/>
                <w:color w:val="000000"/>
                <w:lang w:val="en-GB" w:eastAsia="en-US"/>
              </w:rPr>
              <w:t>K]</w:t>
            </w:r>
          </w:p>
        </w:tc>
        <w:tc>
          <w:tcPr>
            <w:tcW w:w="1775" w:type="dxa"/>
            <w:tcBorders>
              <w:top w:val="single" w:sz="4" w:space="0" w:color="auto"/>
              <w:left w:val="nil"/>
              <w:bottom w:val="single" w:sz="4" w:space="0" w:color="auto"/>
              <w:right w:val="nil"/>
            </w:tcBorders>
            <w:vAlign w:val="center"/>
          </w:tcPr>
          <w:p w14:paraId="1F94A5C3" w14:textId="2EB2BDE6" w:rsidR="00CE7ABF" w:rsidRPr="00A532AE" w:rsidRDefault="00CE7ABF" w:rsidP="00CE7ABF">
            <w:pPr>
              <w:autoSpaceDE/>
              <w:autoSpaceDN/>
              <w:spacing w:line="276" w:lineRule="auto"/>
              <w:jc w:val="center"/>
              <w:rPr>
                <w:b/>
                <w:bCs/>
                <w:i/>
                <w:iCs/>
                <w:color w:val="000000"/>
                <w:lang w:val="en-GB" w:eastAsia="en-US"/>
              </w:rPr>
            </w:pPr>
            <w:proofErr w:type="spellStart"/>
            <w:r w:rsidRPr="00A532AE">
              <w:rPr>
                <w:b/>
                <w:bCs/>
                <w:i/>
                <w:iCs/>
                <w:color w:val="000000"/>
                <w:lang w:val="en-GB" w:eastAsia="en-US"/>
              </w:rPr>
              <w:t>U</w:t>
            </w:r>
            <w:r w:rsidR="00DD76AB" w:rsidRPr="00DD76AB">
              <w:rPr>
                <w:b/>
                <w:bCs/>
                <w:iCs/>
                <w:color w:val="000000"/>
                <w:vertAlign w:val="subscript"/>
                <w:lang w:val="en-GB" w:eastAsia="en-US"/>
              </w:rPr>
              <w:t>insul</w:t>
            </w:r>
            <w:proofErr w:type="spellEnd"/>
            <w:r w:rsidR="00DD76AB" w:rsidRPr="00DD76AB">
              <w:rPr>
                <w:b/>
                <w:bCs/>
                <w:iCs/>
                <w:color w:val="000000"/>
                <w:vertAlign w:val="subscript"/>
                <w:lang w:val="en-GB" w:eastAsia="en-US"/>
              </w:rPr>
              <w:t>.</w:t>
            </w:r>
            <w:r w:rsidRPr="00A532AE">
              <w:rPr>
                <w:b/>
                <w:bCs/>
                <w:color w:val="000000"/>
                <w:lang w:val="en-GB" w:eastAsia="en-US"/>
              </w:rPr>
              <w:t xml:space="preserve"> [W/m</w:t>
            </w:r>
            <w:r w:rsidRPr="00A532AE">
              <w:rPr>
                <w:b/>
                <w:bCs/>
                <w:color w:val="000000"/>
                <w:vertAlign w:val="superscript"/>
                <w:lang w:val="en-GB" w:eastAsia="en-US"/>
              </w:rPr>
              <w:t>2</w:t>
            </w:r>
            <w:r w:rsidRPr="00A532AE">
              <w:rPr>
                <w:b/>
                <w:bCs/>
                <w:color w:val="000000"/>
                <w:lang w:val="en-GB" w:eastAsia="en-US"/>
              </w:rPr>
              <w:t>K</w:t>
            </w:r>
            <w:r>
              <w:rPr>
                <w:b/>
                <w:bCs/>
                <w:color w:val="000000"/>
                <w:lang w:val="en-GB" w:eastAsia="en-US"/>
              </w:rPr>
              <w:t>]</w:t>
            </w:r>
          </w:p>
        </w:tc>
        <w:tc>
          <w:tcPr>
            <w:tcW w:w="1775" w:type="dxa"/>
            <w:tcBorders>
              <w:top w:val="single" w:sz="4" w:space="0" w:color="auto"/>
              <w:left w:val="nil"/>
              <w:bottom w:val="single" w:sz="4" w:space="0" w:color="auto"/>
              <w:right w:val="nil"/>
            </w:tcBorders>
            <w:vAlign w:val="center"/>
            <w:hideMark/>
          </w:tcPr>
          <w:p w14:paraId="29329B5E" w14:textId="306B4DCE" w:rsidR="00CE7ABF" w:rsidRPr="00A532AE" w:rsidRDefault="00CE7ABF" w:rsidP="000C14E7">
            <w:pPr>
              <w:autoSpaceDE/>
              <w:autoSpaceDN/>
              <w:spacing w:line="276" w:lineRule="auto"/>
              <w:jc w:val="center"/>
              <w:rPr>
                <w:b/>
                <w:bCs/>
                <w:color w:val="000000"/>
                <w:lang w:val="en-GB" w:eastAsia="en-US"/>
              </w:rPr>
            </w:pPr>
            <w:proofErr w:type="spellStart"/>
            <w:r w:rsidRPr="00A532AE">
              <w:rPr>
                <w:b/>
                <w:bCs/>
                <w:i/>
                <w:iCs/>
                <w:color w:val="000000"/>
                <w:lang w:val="en-GB" w:eastAsia="en-US"/>
              </w:rPr>
              <w:t>U</w:t>
            </w:r>
            <w:r w:rsidRPr="00A532AE">
              <w:rPr>
                <w:b/>
                <w:bCs/>
                <w:color w:val="000000"/>
                <w:vertAlign w:val="subscript"/>
                <w:lang w:val="en-GB" w:eastAsia="en-US"/>
              </w:rPr>
              <w:t>max</w:t>
            </w:r>
            <w:proofErr w:type="spellEnd"/>
            <w:r w:rsidRPr="00A532AE">
              <w:rPr>
                <w:b/>
                <w:bCs/>
                <w:color w:val="000000"/>
                <w:lang w:val="en-GB" w:eastAsia="en-US"/>
              </w:rPr>
              <w:t xml:space="preserve"> [W/m</w:t>
            </w:r>
            <w:r w:rsidRPr="00A532AE">
              <w:rPr>
                <w:b/>
                <w:bCs/>
                <w:color w:val="000000"/>
                <w:vertAlign w:val="superscript"/>
                <w:lang w:val="en-GB" w:eastAsia="en-US"/>
              </w:rPr>
              <w:t>2</w:t>
            </w:r>
            <w:r w:rsidRPr="00A532AE">
              <w:rPr>
                <w:b/>
                <w:bCs/>
                <w:color w:val="000000"/>
                <w:lang w:val="en-GB" w:eastAsia="en-US"/>
              </w:rPr>
              <w:t>K]</w:t>
            </w:r>
          </w:p>
        </w:tc>
      </w:tr>
      <w:tr w:rsidR="00CE7ABF" w:rsidRPr="00A532AE" w14:paraId="3568B160" w14:textId="77777777" w:rsidTr="00CE7ABF">
        <w:trPr>
          <w:trHeight w:val="246"/>
          <w:jc w:val="center"/>
        </w:trPr>
        <w:tc>
          <w:tcPr>
            <w:tcW w:w="579" w:type="dxa"/>
            <w:tcBorders>
              <w:top w:val="nil"/>
              <w:left w:val="nil"/>
              <w:bottom w:val="nil"/>
              <w:right w:val="nil"/>
            </w:tcBorders>
            <w:noWrap/>
            <w:vAlign w:val="center"/>
            <w:hideMark/>
          </w:tcPr>
          <w:p w14:paraId="4D0228B2" w14:textId="77777777"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1</w:t>
            </w:r>
          </w:p>
        </w:tc>
        <w:tc>
          <w:tcPr>
            <w:tcW w:w="2732" w:type="dxa"/>
            <w:tcBorders>
              <w:top w:val="nil"/>
              <w:left w:val="nil"/>
              <w:bottom w:val="nil"/>
              <w:right w:val="nil"/>
            </w:tcBorders>
            <w:noWrap/>
            <w:vAlign w:val="center"/>
            <w:hideMark/>
          </w:tcPr>
          <w:p w14:paraId="66E00A88" w14:textId="77777777" w:rsidR="00CE7ABF" w:rsidRPr="00A532AE" w:rsidRDefault="00CE7ABF" w:rsidP="000C14E7">
            <w:pPr>
              <w:autoSpaceDE/>
              <w:autoSpaceDN/>
              <w:spacing w:line="276" w:lineRule="auto"/>
              <w:rPr>
                <w:color w:val="000000"/>
                <w:lang w:val="en-GB" w:eastAsia="en-US"/>
              </w:rPr>
            </w:pPr>
            <w:r w:rsidRPr="00A532AE">
              <w:rPr>
                <w:color w:val="000000"/>
                <w:lang w:val="en-GB" w:eastAsia="en-US"/>
              </w:rPr>
              <w:t>External walls and roofs</w:t>
            </w:r>
          </w:p>
        </w:tc>
        <w:tc>
          <w:tcPr>
            <w:tcW w:w="1912" w:type="dxa"/>
            <w:tcBorders>
              <w:top w:val="nil"/>
              <w:left w:val="nil"/>
              <w:bottom w:val="nil"/>
              <w:right w:val="nil"/>
            </w:tcBorders>
            <w:noWrap/>
            <w:vAlign w:val="center"/>
            <w:hideMark/>
          </w:tcPr>
          <w:p w14:paraId="3C00E364" w14:textId="77777777"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0.97</w:t>
            </w:r>
          </w:p>
        </w:tc>
        <w:tc>
          <w:tcPr>
            <w:tcW w:w="1775" w:type="dxa"/>
            <w:tcBorders>
              <w:top w:val="nil"/>
              <w:left w:val="nil"/>
              <w:bottom w:val="nil"/>
              <w:right w:val="nil"/>
            </w:tcBorders>
          </w:tcPr>
          <w:p w14:paraId="5C180217" w14:textId="4861033E" w:rsidR="00CE7ABF" w:rsidRPr="00A532AE" w:rsidRDefault="00CE7ABF" w:rsidP="000C14E7">
            <w:pPr>
              <w:autoSpaceDE/>
              <w:autoSpaceDN/>
              <w:spacing w:line="276" w:lineRule="auto"/>
              <w:jc w:val="center"/>
              <w:rPr>
                <w:color w:val="000000"/>
                <w:lang w:val="en-GB" w:eastAsia="en-US"/>
              </w:rPr>
            </w:pPr>
            <w:r>
              <w:rPr>
                <w:color w:val="000000"/>
                <w:lang w:val="en-GB" w:eastAsia="en-US"/>
              </w:rPr>
              <w:t>0.3</w:t>
            </w:r>
            <w:r w:rsidR="00DD76AB">
              <w:rPr>
                <w:color w:val="000000"/>
                <w:lang w:val="en-GB" w:eastAsia="en-US"/>
              </w:rPr>
              <w:t xml:space="preserve"> (8 cm)</w:t>
            </w:r>
          </w:p>
        </w:tc>
        <w:tc>
          <w:tcPr>
            <w:tcW w:w="1775" w:type="dxa"/>
            <w:tcBorders>
              <w:top w:val="nil"/>
              <w:left w:val="nil"/>
              <w:bottom w:val="nil"/>
              <w:right w:val="nil"/>
            </w:tcBorders>
            <w:noWrap/>
            <w:vAlign w:val="center"/>
            <w:hideMark/>
          </w:tcPr>
          <w:p w14:paraId="092040F5" w14:textId="24A80016"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0.45</w:t>
            </w:r>
          </w:p>
        </w:tc>
      </w:tr>
      <w:tr w:rsidR="00CE7ABF" w:rsidRPr="00A532AE" w14:paraId="4BCE2845" w14:textId="77777777" w:rsidTr="00CE7ABF">
        <w:trPr>
          <w:trHeight w:val="246"/>
          <w:jc w:val="center"/>
        </w:trPr>
        <w:tc>
          <w:tcPr>
            <w:tcW w:w="579" w:type="dxa"/>
            <w:tcBorders>
              <w:top w:val="nil"/>
              <w:left w:val="nil"/>
              <w:bottom w:val="nil"/>
              <w:right w:val="nil"/>
            </w:tcBorders>
            <w:noWrap/>
            <w:vAlign w:val="center"/>
            <w:hideMark/>
          </w:tcPr>
          <w:p w14:paraId="0C697676" w14:textId="77777777"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2</w:t>
            </w:r>
          </w:p>
        </w:tc>
        <w:tc>
          <w:tcPr>
            <w:tcW w:w="2732" w:type="dxa"/>
            <w:tcBorders>
              <w:top w:val="nil"/>
              <w:left w:val="nil"/>
              <w:bottom w:val="nil"/>
              <w:right w:val="nil"/>
            </w:tcBorders>
            <w:noWrap/>
            <w:vAlign w:val="center"/>
            <w:hideMark/>
          </w:tcPr>
          <w:p w14:paraId="44F24464" w14:textId="77777777" w:rsidR="00CE7ABF" w:rsidRPr="00A532AE" w:rsidRDefault="00CE7ABF" w:rsidP="000C14E7">
            <w:pPr>
              <w:autoSpaceDE/>
              <w:autoSpaceDN/>
              <w:spacing w:line="276" w:lineRule="auto"/>
              <w:rPr>
                <w:color w:val="000000"/>
                <w:lang w:val="en-GB" w:eastAsia="en-US"/>
              </w:rPr>
            </w:pPr>
            <w:r w:rsidRPr="00A532AE">
              <w:rPr>
                <w:color w:val="000000"/>
                <w:lang w:val="en-GB" w:eastAsia="en-US"/>
              </w:rPr>
              <w:t>Walls to unheated rooms</w:t>
            </w:r>
          </w:p>
        </w:tc>
        <w:tc>
          <w:tcPr>
            <w:tcW w:w="1912" w:type="dxa"/>
            <w:tcBorders>
              <w:top w:val="nil"/>
              <w:left w:val="nil"/>
              <w:bottom w:val="nil"/>
              <w:right w:val="nil"/>
            </w:tcBorders>
            <w:noWrap/>
            <w:vAlign w:val="center"/>
            <w:hideMark/>
          </w:tcPr>
          <w:p w14:paraId="1D367AA9" w14:textId="77777777"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0.73</w:t>
            </w:r>
          </w:p>
        </w:tc>
        <w:tc>
          <w:tcPr>
            <w:tcW w:w="1775" w:type="dxa"/>
            <w:tcBorders>
              <w:top w:val="nil"/>
              <w:left w:val="nil"/>
              <w:bottom w:val="nil"/>
              <w:right w:val="nil"/>
            </w:tcBorders>
          </w:tcPr>
          <w:p w14:paraId="62703444" w14:textId="568111E2" w:rsidR="00CE7ABF" w:rsidRPr="00A532AE" w:rsidRDefault="00CE7ABF" w:rsidP="000C14E7">
            <w:pPr>
              <w:autoSpaceDE/>
              <w:autoSpaceDN/>
              <w:spacing w:line="276" w:lineRule="auto"/>
              <w:jc w:val="center"/>
              <w:rPr>
                <w:color w:val="000000"/>
                <w:lang w:val="en-GB" w:eastAsia="en-US"/>
              </w:rPr>
            </w:pPr>
            <w:r>
              <w:rPr>
                <w:color w:val="000000"/>
                <w:lang w:val="en-GB" w:eastAsia="en-US"/>
              </w:rPr>
              <w:t>0.27</w:t>
            </w:r>
            <w:r w:rsidR="00DD76AB">
              <w:rPr>
                <w:color w:val="000000"/>
                <w:lang w:val="en-GB" w:eastAsia="en-US"/>
              </w:rPr>
              <w:t xml:space="preserve"> (8 cm)</w:t>
            </w:r>
          </w:p>
        </w:tc>
        <w:tc>
          <w:tcPr>
            <w:tcW w:w="1775" w:type="dxa"/>
            <w:tcBorders>
              <w:top w:val="nil"/>
              <w:left w:val="nil"/>
              <w:bottom w:val="nil"/>
              <w:right w:val="nil"/>
            </w:tcBorders>
            <w:noWrap/>
            <w:vAlign w:val="center"/>
            <w:hideMark/>
          </w:tcPr>
          <w:p w14:paraId="4E0C6010" w14:textId="20150BBE"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0.45</w:t>
            </w:r>
          </w:p>
        </w:tc>
      </w:tr>
      <w:tr w:rsidR="00CE7ABF" w:rsidRPr="00A532AE" w14:paraId="5AE2D4B8" w14:textId="77777777" w:rsidTr="00CE7ABF">
        <w:trPr>
          <w:trHeight w:val="246"/>
          <w:jc w:val="center"/>
        </w:trPr>
        <w:tc>
          <w:tcPr>
            <w:tcW w:w="579" w:type="dxa"/>
            <w:tcBorders>
              <w:top w:val="nil"/>
              <w:left w:val="nil"/>
              <w:bottom w:val="nil"/>
              <w:right w:val="nil"/>
            </w:tcBorders>
            <w:noWrap/>
            <w:vAlign w:val="center"/>
            <w:hideMark/>
          </w:tcPr>
          <w:p w14:paraId="3EEBAC78" w14:textId="77777777"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3</w:t>
            </w:r>
          </w:p>
        </w:tc>
        <w:tc>
          <w:tcPr>
            <w:tcW w:w="2732" w:type="dxa"/>
            <w:tcBorders>
              <w:top w:val="nil"/>
              <w:left w:val="nil"/>
              <w:bottom w:val="nil"/>
              <w:right w:val="nil"/>
            </w:tcBorders>
            <w:noWrap/>
            <w:vAlign w:val="center"/>
            <w:hideMark/>
          </w:tcPr>
          <w:p w14:paraId="7244436B" w14:textId="77777777" w:rsidR="00CE7ABF" w:rsidRPr="00A532AE" w:rsidRDefault="00CE7ABF" w:rsidP="000C14E7">
            <w:pPr>
              <w:autoSpaceDE/>
              <w:autoSpaceDN/>
              <w:spacing w:line="276" w:lineRule="auto"/>
              <w:rPr>
                <w:color w:val="000000"/>
                <w:lang w:val="en-GB" w:eastAsia="en-US"/>
              </w:rPr>
            </w:pPr>
            <w:r w:rsidRPr="00A532AE">
              <w:rPr>
                <w:color w:val="000000"/>
                <w:lang w:val="en-GB" w:eastAsia="en-US"/>
              </w:rPr>
              <w:t>Ceilings to unheated rooms</w:t>
            </w:r>
          </w:p>
        </w:tc>
        <w:tc>
          <w:tcPr>
            <w:tcW w:w="1912" w:type="dxa"/>
            <w:tcBorders>
              <w:top w:val="nil"/>
              <w:left w:val="nil"/>
              <w:bottom w:val="nil"/>
              <w:right w:val="nil"/>
            </w:tcBorders>
            <w:noWrap/>
            <w:vAlign w:val="center"/>
            <w:hideMark/>
          </w:tcPr>
          <w:p w14:paraId="3FDB592E" w14:textId="77777777"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1.90</w:t>
            </w:r>
          </w:p>
        </w:tc>
        <w:tc>
          <w:tcPr>
            <w:tcW w:w="1775" w:type="dxa"/>
            <w:tcBorders>
              <w:top w:val="nil"/>
              <w:left w:val="nil"/>
              <w:bottom w:val="nil"/>
              <w:right w:val="nil"/>
            </w:tcBorders>
          </w:tcPr>
          <w:p w14:paraId="4AB29995" w14:textId="3771F983" w:rsidR="00CE7ABF" w:rsidRPr="00A532AE" w:rsidRDefault="00CE7ABF" w:rsidP="000C14E7">
            <w:pPr>
              <w:autoSpaceDE/>
              <w:autoSpaceDN/>
              <w:spacing w:line="276" w:lineRule="auto"/>
              <w:jc w:val="center"/>
              <w:rPr>
                <w:color w:val="000000"/>
                <w:lang w:val="en-GB" w:eastAsia="en-US"/>
              </w:rPr>
            </w:pPr>
            <w:r>
              <w:rPr>
                <w:color w:val="000000"/>
                <w:lang w:val="en-GB" w:eastAsia="en-US"/>
              </w:rPr>
              <w:t>0.</w:t>
            </w:r>
            <w:r w:rsidR="00FD0D92">
              <w:rPr>
                <w:color w:val="000000"/>
                <w:lang w:val="en-GB" w:eastAsia="en-US"/>
              </w:rPr>
              <w:t>29</w:t>
            </w:r>
            <w:r w:rsidR="00DD76AB">
              <w:rPr>
                <w:color w:val="000000"/>
                <w:lang w:val="en-GB" w:eastAsia="en-US"/>
              </w:rPr>
              <w:t xml:space="preserve"> (10 cm)</w:t>
            </w:r>
          </w:p>
        </w:tc>
        <w:tc>
          <w:tcPr>
            <w:tcW w:w="1775" w:type="dxa"/>
            <w:tcBorders>
              <w:top w:val="nil"/>
              <w:left w:val="nil"/>
              <w:bottom w:val="nil"/>
              <w:right w:val="nil"/>
            </w:tcBorders>
            <w:noWrap/>
            <w:vAlign w:val="center"/>
            <w:hideMark/>
          </w:tcPr>
          <w:p w14:paraId="5CF9168C" w14:textId="0591F00B"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0.30</w:t>
            </w:r>
          </w:p>
        </w:tc>
      </w:tr>
      <w:tr w:rsidR="00CE7ABF" w:rsidRPr="00A532AE" w14:paraId="5F8A6710" w14:textId="77777777" w:rsidTr="00CE7ABF">
        <w:trPr>
          <w:trHeight w:val="246"/>
          <w:jc w:val="center"/>
        </w:trPr>
        <w:tc>
          <w:tcPr>
            <w:tcW w:w="579" w:type="dxa"/>
            <w:tcBorders>
              <w:top w:val="nil"/>
              <w:left w:val="nil"/>
              <w:bottom w:val="nil"/>
              <w:right w:val="nil"/>
            </w:tcBorders>
            <w:noWrap/>
            <w:vAlign w:val="center"/>
            <w:hideMark/>
          </w:tcPr>
          <w:p w14:paraId="4B078B35" w14:textId="77777777"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4</w:t>
            </w:r>
          </w:p>
        </w:tc>
        <w:tc>
          <w:tcPr>
            <w:tcW w:w="2732" w:type="dxa"/>
            <w:tcBorders>
              <w:top w:val="nil"/>
              <w:left w:val="nil"/>
              <w:bottom w:val="nil"/>
              <w:right w:val="nil"/>
            </w:tcBorders>
            <w:noWrap/>
            <w:vAlign w:val="center"/>
            <w:hideMark/>
          </w:tcPr>
          <w:p w14:paraId="7B744D76" w14:textId="77777777" w:rsidR="00CE7ABF" w:rsidRPr="00A532AE" w:rsidRDefault="00CE7ABF" w:rsidP="000C14E7">
            <w:pPr>
              <w:autoSpaceDE/>
              <w:autoSpaceDN/>
              <w:spacing w:line="276" w:lineRule="auto"/>
              <w:rPr>
                <w:color w:val="000000"/>
                <w:lang w:val="en-GB" w:eastAsia="en-US"/>
              </w:rPr>
            </w:pPr>
            <w:r w:rsidRPr="00A532AE">
              <w:rPr>
                <w:color w:val="000000"/>
                <w:lang w:val="en-GB" w:eastAsia="en-US"/>
              </w:rPr>
              <w:t>Walls to ground</w:t>
            </w:r>
          </w:p>
        </w:tc>
        <w:tc>
          <w:tcPr>
            <w:tcW w:w="1912" w:type="dxa"/>
            <w:tcBorders>
              <w:top w:val="nil"/>
              <w:left w:val="nil"/>
              <w:bottom w:val="nil"/>
              <w:right w:val="nil"/>
            </w:tcBorders>
            <w:noWrap/>
            <w:vAlign w:val="center"/>
            <w:hideMark/>
          </w:tcPr>
          <w:p w14:paraId="37CCA692" w14:textId="77777777"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0.81</w:t>
            </w:r>
          </w:p>
        </w:tc>
        <w:tc>
          <w:tcPr>
            <w:tcW w:w="1775" w:type="dxa"/>
            <w:tcBorders>
              <w:top w:val="nil"/>
              <w:left w:val="nil"/>
              <w:bottom w:val="nil"/>
              <w:right w:val="nil"/>
            </w:tcBorders>
          </w:tcPr>
          <w:p w14:paraId="56EAC05F" w14:textId="14F783CA" w:rsidR="00CE7ABF" w:rsidRPr="00A532AE" w:rsidRDefault="00CE7ABF" w:rsidP="000C14E7">
            <w:pPr>
              <w:autoSpaceDE/>
              <w:autoSpaceDN/>
              <w:spacing w:line="276" w:lineRule="auto"/>
              <w:jc w:val="center"/>
              <w:rPr>
                <w:color w:val="000000"/>
                <w:lang w:val="en-GB" w:eastAsia="en-US"/>
              </w:rPr>
            </w:pPr>
            <w:r>
              <w:rPr>
                <w:color w:val="000000"/>
                <w:lang w:val="en-GB" w:eastAsia="en-US"/>
              </w:rPr>
              <w:t>0.30</w:t>
            </w:r>
            <w:r w:rsidR="00DD76AB">
              <w:rPr>
                <w:color w:val="000000"/>
                <w:lang w:val="en-GB" w:eastAsia="en-US"/>
              </w:rPr>
              <w:t xml:space="preserve"> (</w:t>
            </w:r>
            <w:r w:rsidR="009C0943">
              <w:rPr>
                <w:color w:val="000000"/>
                <w:lang w:val="en-GB" w:eastAsia="en-US"/>
              </w:rPr>
              <w:t>8</w:t>
            </w:r>
            <w:r w:rsidR="00DD76AB">
              <w:rPr>
                <w:color w:val="000000"/>
                <w:lang w:val="en-GB" w:eastAsia="en-US"/>
              </w:rPr>
              <w:t xml:space="preserve"> cm)</w:t>
            </w:r>
          </w:p>
        </w:tc>
        <w:tc>
          <w:tcPr>
            <w:tcW w:w="1775" w:type="dxa"/>
            <w:tcBorders>
              <w:top w:val="nil"/>
              <w:left w:val="nil"/>
              <w:bottom w:val="nil"/>
              <w:right w:val="nil"/>
            </w:tcBorders>
            <w:noWrap/>
            <w:vAlign w:val="center"/>
            <w:hideMark/>
          </w:tcPr>
          <w:p w14:paraId="411F0EDF" w14:textId="40BABCD3"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0.60</w:t>
            </w:r>
          </w:p>
        </w:tc>
      </w:tr>
      <w:tr w:rsidR="00CE7ABF" w:rsidRPr="00A532AE" w14:paraId="1E72C2BA" w14:textId="77777777" w:rsidTr="00CE7ABF">
        <w:trPr>
          <w:trHeight w:val="246"/>
          <w:jc w:val="center"/>
        </w:trPr>
        <w:tc>
          <w:tcPr>
            <w:tcW w:w="579" w:type="dxa"/>
            <w:tcBorders>
              <w:top w:val="nil"/>
              <w:left w:val="nil"/>
              <w:bottom w:val="nil"/>
              <w:right w:val="nil"/>
            </w:tcBorders>
            <w:noWrap/>
            <w:vAlign w:val="center"/>
            <w:hideMark/>
          </w:tcPr>
          <w:p w14:paraId="5BA0B9C9" w14:textId="77777777"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5</w:t>
            </w:r>
          </w:p>
        </w:tc>
        <w:tc>
          <w:tcPr>
            <w:tcW w:w="2732" w:type="dxa"/>
            <w:tcBorders>
              <w:top w:val="nil"/>
              <w:left w:val="nil"/>
              <w:bottom w:val="nil"/>
              <w:right w:val="nil"/>
            </w:tcBorders>
            <w:noWrap/>
            <w:vAlign w:val="center"/>
            <w:hideMark/>
          </w:tcPr>
          <w:p w14:paraId="40044037" w14:textId="77777777" w:rsidR="00CE7ABF" w:rsidRPr="00A532AE" w:rsidRDefault="00CE7ABF" w:rsidP="000C14E7">
            <w:pPr>
              <w:autoSpaceDE/>
              <w:autoSpaceDN/>
              <w:spacing w:line="276" w:lineRule="auto"/>
              <w:rPr>
                <w:color w:val="000000"/>
                <w:lang w:val="en-GB" w:eastAsia="en-US"/>
              </w:rPr>
            </w:pPr>
            <w:r w:rsidRPr="00A532AE">
              <w:rPr>
                <w:color w:val="000000"/>
                <w:lang w:val="en-GB" w:eastAsia="en-US"/>
              </w:rPr>
              <w:t>Floors to ground</w:t>
            </w:r>
          </w:p>
        </w:tc>
        <w:tc>
          <w:tcPr>
            <w:tcW w:w="1912" w:type="dxa"/>
            <w:tcBorders>
              <w:top w:val="nil"/>
              <w:left w:val="nil"/>
              <w:bottom w:val="nil"/>
              <w:right w:val="nil"/>
            </w:tcBorders>
            <w:noWrap/>
            <w:vAlign w:val="center"/>
            <w:hideMark/>
          </w:tcPr>
          <w:p w14:paraId="7E2062E8" w14:textId="77777777"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2.01</w:t>
            </w:r>
          </w:p>
        </w:tc>
        <w:tc>
          <w:tcPr>
            <w:tcW w:w="1775" w:type="dxa"/>
            <w:tcBorders>
              <w:top w:val="nil"/>
              <w:left w:val="nil"/>
              <w:bottom w:val="nil"/>
              <w:right w:val="nil"/>
            </w:tcBorders>
          </w:tcPr>
          <w:p w14:paraId="461B19D1" w14:textId="5FB67D11" w:rsidR="00CE7ABF" w:rsidRPr="00A532AE" w:rsidRDefault="00CE7ABF" w:rsidP="000C14E7">
            <w:pPr>
              <w:autoSpaceDE/>
              <w:autoSpaceDN/>
              <w:spacing w:line="276" w:lineRule="auto"/>
              <w:jc w:val="center"/>
              <w:rPr>
                <w:color w:val="000000"/>
                <w:lang w:val="en-GB" w:eastAsia="en-US"/>
              </w:rPr>
            </w:pPr>
            <w:r>
              <w:rPr>
                <w:color w:val="000000"/>
                <w:lang w:val="en-GB" w:eastAsia="en-US"/>
              </w:rPr>
              <w:t>0.46</w:t>
            </w:r>
            <w:r w:rsidR="00DD76AB">
              <w:rPr>
                <w:color w:val="000000"/>
                <w:lang w:val="en-GB" w:eastAsia="en-US"/>
              </w:rPr>
              <w:t xml:space="preserve"> (</w:t>
            </w:r>
            <w:r w:rsidR="009C0943">
              <w:rPr>
                <w:color w:val="000000"/>
                <w:lang w:val="en-GB" w:eastAsia="en-US"/>
              </w:rPr>
              <w:t>8</w:t>
            </w:r>
            <w:r w:rsidR="00DD76AB">
              <w:rPr>
                <w:color w:val="000000"/>
                <w:lang w:val="en-GB" w:eastAsia="en-US"/>
              </w:rPr>
              <w:t xml:space="preserve"> cm)</w:t>
            </w:r>
          </w:p>
        </w:tc>
        <w:tc>
          <w:tcPr>
            <w:tcW w:w="1775" w:type="dxa"/>
            <w:tcBorders>
              <w:top w:val="nil"/>
              <w:left w:val="nil"/>
              <w:bottom w:val="nil"/>
              <w:right w:val="nil"/>
            </w:tcBorders>
            <w:noWrap/>
            <w:vAlign w:val="center"/>
            <w:hideMark/>
          </w:tcPr>
          <w:p w14:paraId="3B7F51D2" w14:textId="06E2CE90"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0.60</w:t>
            </w:r>
          </w:p>
        </w:tc>
      </w:tr>
      <w:tr w:rsidR="00CE7ABF" w:rsidRPr="00A532AE" w14:paraId="2E8DAE11" w14:textId="77777777" w:rsidTr="00CE7ABF">
        <w:trPr>
          <w:trHeight w:val="246"/>
          <w:jc w:val="center"/>
        </w:trPr>
        <w:tc>
          <w:tcPr>
            <w:tcW w:w="579" w:type="dxa"/>
            <w:tcBorders>
              <w:top w:val="nil"/>
              <w:left w:val="nil"/>
              <w:bottom w:val="single" w:sz="4" w:space="0" w:color="auto"/>
              <w:right w:val="nil"/>
            </w:tcBorders>
            <w:noWrap/>
            <w:vAlign w:val="center"/>
            <w:hideMark/>
          </w:tcPr>
          <w:p w14:paraId="33A52074" w14:textId="77777777"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6</w:t>
            </w:r>
          </w:p>
        </w:tc>
        <w:tc>
          <w:tcPr>
            <w:tcW w:w="2732" w:type="dxa"/>
            <w:tcBorders>
              <w:top w:val="nil"/>
              <w:left w:val="nil"/>
              <w:bottom w:val="single" w:sz="4" w:space="0" w:color="auto"/>
              <w:right w:val="nil"/>
            </w:tcBorders>
            <w:noWrap/>
            <w:vAlign w:val="center"/>
            <w:hideMark/>
          </w:tcPr>
          <w:p w14:paraId="60DAD589" w14:textId="77777777" w:rsidR="00CE7ABF" w:rsidRPr="00A532AE" w:rsidRDefault="00CE7ABF" w:rsidP="000C14E7">
            <w:pPr>
              <w:autoSpaceDE/>
              <w:autoSpaceDN/>
              <w:spacing w:line="276" w:lineRule="auto"/>
              <w:rPr>
                <w:color w:val="000000"/>
                <w:lang w:val="en-GB" w:eastAsia="en-US"/>
              </w:rPr>
            </w:pPr>
            <w:r w:rsidRPr="00A532AE">
              <w:rPr>
                <w:color w:val="000000"/>
                <w:lang w:val="en-GB" w:eastAsia="en-US"/>
              </w:rPr>
              <w:t>Ceilings between heated rooms</w:t>
            </w:r>
          </w:p>
        </w:tc>
        <w:tc>
          <w:tcPr>
            <w:tcW w:w="1912" w:type="dxa"/>
            <w:tcBorders>
              <w:top w:val="nil"/>
              <w:left w:val="nil"/>
              <w:bottom w:val="single" w:sz="4" w:space="0" w:color="auto"/>
              <w:right w:val="nil"/>
            </w:tcBorders>
            <w:noWrap/>
            <w:vAlign w:val="center"/>
            <w:hideMark/>
          </w:tcPr>
          <w:p w14:paraId="463EC8FA" w14:textId="77777777"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1.55</w:t>
            </w:r>
          </w:p>
        </w:tc>
        <w:tc>
          <w:tcPr>
            <w:tcW w:w="1775" w:type="dxa"/>
            <w:tcBorders>
              <w:top w:val="nil"/>
              <w:left w:val="nil"/>
              <w:bottom w:val="single" w:sz="4" w:space="0" w:color="auto"/>
              <w:right w:val="nil"/>
            </w:tcBorders>
          </w:tcPr>
          <w:p w14:paraId="3D3F2645" w14:textId="6B2A8AF1" w:rsidR="00CE7ABF" w:rsidRPr="00A532AE" w:rsidRDefault="00CE7ABF" w:rsidP="000C14E7">
            <w:pPr>
              <w:autoSpaceDE/>
              <w:autoSpaceDN/>
              <w:spacing w:line="276" w:lineRule="auto"/>
              <w:jc w:val="center"/>
              <w:rPr>
                <w:color w:val="000000"/>
                <w:lang w:val="en-GB" w:eastAsia="en-US"/>
              </w:rPr>
            </w:pPr>
            <w:r>
              <w:rPr>
                <w:color w:val="000000"/>
                <w:lang w:val="en-GB" w:eastAsia="en-US"/>
              </w:rPr>
              <w:t>0.34</w:t>
            </w:r>
            <w:r w:rsidR="00DD76AB">
              <w:rPr>
                <w:color w:val="000000"/>
                <w:lang w:val="en-GB" w:eastAsia="en-US"/>
              </w:rPr>
              <w:t xml:space="preserve"> (3 cm)</w:t>
            </w:r>
          </w:p>
        </w:tc>
        <w:tc>
          <w:tcPr>
            <w:tcW w:w="1775" w:type="dxa"/>
            <w:tcBorders>
              <w:top w:val="nil"/>
              <w:left w:val="nil"/>
              <w:bottom w:val="single" w:sz="4" w:space="0" w:color="auto"/>
              <w:right w:val="nil"/>
            </w:tcBorders>
            <w:noWrap/>
            <w:vAlign w:val="center"/>
            <w:hideMark/>
          </w:tcPr>
          <w:p w14:paraId="71B10159" w14:textId="18BA46E9" w:rsidR="00CE7ABF" w:rsidRPr="00A532AE" w:rsidRDefault="00CE7ABF" w:rsidP="000C14E7">
            <w:pPr>
              <w:autoSpaceDE/>
              <w:autoSpaceDN/>
              <w:spacing w:line="276" w:lineRule="auto"/>
              <w:jc w:val="center"/>
              <w:rPr>
                <w:color w:val="000000"/>
                <w:lang w:val="en-GB" w:eastAsia="en-US"/>
              </w:rPr>
            </w:pPr>
            <w:r w:rsidRPr="00A532AE">
              <w:rPr>
                <w:color w:val="000000"/>
                <w:lang w:val="en-GB" w:eastAsia="en-US"/>
              </w:rPr>
              <w:t>0.80</w:t>
            </w:r>
          </w:p>
        </w:tc>
      </w:tr>
    </w:tbl>
    <w:p w14:paraId="0C5B8A09" w14:textId="77777777" w:rsidR="005230FE" w:rsidRPr="00A532AE" w:rsidRDefault="005230FE" w:rsidP="005230FE">
      <w:pPr>
        <w:spacing w:line="276" w:lineRule="auto"/>
        <w:jc w:val="both"/>
        <w:rPr>
          <w:lang w:val="en-GB"/>
        </w:rPr>
      </w:pPr>
      <w:r w:rsidRPr="00A532AE">
        <w:rPr>
          <w:lang w:val="en-GB"/>
        </w:rPr>
        <w:fldChar w:fldCharType="end"/>
      </w:r>
    </w:p>
    <w:p w14:paraId="21B79CF0" w14:textId="7DF57168" w:rsidR="00A85B1F" w:rsidRDefault="005230FE" w:rsidP="001276DE">
      <w:pPr>
        <w:spacing w:line="276" w:lineRule="auto"/>
        <w:ind w:firstLine="720"/>
        <w:jc w:val="both"/>
        <w:rPr>
          <w:lang w:val="en-GB"/>
        </w:rPr>
      </w:pPr>
      <w:r w:rsidRPr="00A532AE">
        <w:rPr>
          <w:lang w:val="en-GB"/>
        </w:rPr>
        <w:t>The external air temperature was simulated using real data available for the location of the city of Rijeka using the representative year approach. This approach is common in meteorology and building energy simulations, in which the representative year refers to a synthesized dataset of climatic conditions (typically hourly values of temperature, humidity, solar radiation, etc.) that reproduces the long-term average weather patterns for a given location. The values of the ambient air temperature for the location of the city of Rijeka</w:t>
      </w:r>
      <w:r w:rsidR="00A17B49">
        <w:rPr>
          <w:lang w:val="en-GB"/>
        </w:rPr>
        <w:t xml:space="preserve"> (</w:t>
      </w:r>
      <w:proofErr w:type="spellStart"/>
      <w:r w:rsidR="00A17B49" w:rsidRPr="004D79AC">
        <w:rPr>
          <w:lang w:val="en-GB"/>
        </w:rPr>
        <w:t>Meteonorm</w:t>
      </w:r>
      <w:proofErr w:type="spellEnd"/>
      <w:r w:rsidR="00A17B49" w:rsidRPr="004D79AC">
        <w:rPr>
          <w:lang w:val="en-GB"/>
        </w:rPr>
        <w:t>, 2012</w:t>
      </w:r>
      <w:r w:rsidR="00A17B49">
        <w:rPr>
          <w:lang w:val="en-GB"/>
        </w:rPr>
        <w:t>)</w:t>
      </w:r>
      <w:r w:rsidRPr="00A532AE">
        <w:rPr>
          <w:lang w:val="en-GB"/>
        </w:rPr>
        <w:t>, that w</w:t>
      </w:r>
      <w:r w:rsidR="009171BA">
        <w:rPr>
          <w:lang w:val="en-GB"/>
        </w:rPr>
        <w:t>as</w:t>
      </w:r>
      <w:r w:rsidRPr="00A532AE">
        <w:rPr>
          <w:lang w:val="en-GB"/>
        </w:rPr>
        <w:t xml:space="preserve"> used in the simulation for the whole representative year are shown in Fi</w:t>
      </w:r>
      <w:r w:rsidR="00C43C53" w:rsidRPr="00A532AE">
        <w:rPr>
          <w:lang w:val="en-GB"/>
        </w:rPr>
        <w:t>g.</w:t>
      </w:r>
      <w:r w:rsidRPr="00A532AE">
        <w:rPr>
          <w:lang w:val="en-GB"/>
        </w:rPr>
        <w:t xml:space="preserve"> 2.</w:t>
      </w:r>
      <w:r w:rsidR="00F55796">
        <w:rPr>
          <w:lang w:val="en-GB"/>
        </w:rPr>
        <w:t xml:space="preserve"> </w:t>
      </w:r>
    </w:p>
    <w:p w14:paraId="7B106447" w14:textId="77777777" w:rsidR="00A85B1F" w:rsidRDefault="00A85B1F" w:rsidP="001276DE">
      <w:pPr>
        <w:spacing w:line="276" w:lineRule="auto"/>
        <w:ind w:firstLine="720"/>
        <w:jc w:val="both"/>
        <w:rPr>
          <w:lang w:val="en-GB"/>
        </w:rPr>
      </w:pPr>
    </w:p>
    <w:p w14:paraId="2CDA318D" w14:textId="26AE5FF9" w:rsidR="00A85B1F" w:rsidRPr="00A532AE" w:rsidRDefault="009171BA" w:rsidP="00A85B1F">
      <w:pPr>
        <w:spacing w:line="276" w:lineRule="auto"/>
        <w:jc w:val="center"/>
        <w:rPr>
          <w:lang w:val="en-GB"/>
        </w:rPr>
      </w:pPr>
      <w:r w:rsidRPr="009171BA">
        <w:rPr>
          <w:noProof/>
        </w:rPr>
        <w:drawing>
          <wp:inline distT="0" distB="0" distL="0" distR="0" wp14:anchorId="02CAFFA4" wp14:editId="3772999D">
            <wp:extent cx="3960000" cy="2385137"/>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60000" cy="2385137"/>
                    </a:xfrm>
                    <a:prstGeom prst="rect">
                      <a:avLst/>
                    </a:prstGeom>
                    <a:noFill/>
                    <a:ln>
                      <a:noFill/>
                    </a:ln>
                  </pic:spPr>
                </pic:pic>
              </a:graphicData>
            </a:graphic>
          </wp:inline>
        </w:drawing>
      </w:r>
    </w:p>
    <w:p w14:paraId="49ABB9C0" w14:textId="79566474" w:rsidR="00A85B1F" w:rsidRPr="00A532AE" w:rsidRDefault="00A85B1F" w:rsidP="00A85B1F">
      <w:pPr>
        <w:spacing w:line="276" w:lineRule="auto"/>
        <w:jc w:val="center"/>
        <w:rPr>
          <w:sz w:val="16"/>
          <w:lang w:val="en-GB"/>
        </w:rPr>
      </w:pPr>
      <w:r w:rsidRPr="00A532AE">
        <w:rPr>
          <w:b/>
          <w:sz w:val="16"/>
          <w:lang w:val="en-GB"/>
        </w:rPr>
        <w:t>Fig. 2: Ambient air temperature during the representative year</w:t>
      </w:r>
      <w:bookmarkStart w:id="0" w:name="_GoBack"/>
      <w:bookmarkEnd w:id="0"/>
    </w:p>
    <w:p w14:paraId="23C3E2A2" w14:textId="77777777" w:rsidR="00A85B1F" w:rsidRDefault="00A85B1F" w:rsidP="001276DE">
      <w:pPr>
        <w:spacing w:line="276" w:lineRule="auto"/>
        <w:ind w:firstLine="720"/>
        <w:jc w:val="both"/>
        <w:rPr>
          <w:lang w:val="en-GB"/>
        </w:rPr>
      </w:pPr>
    </w:p>
    <w:p w14:paraId="5F117533" w14:textId="1C0C6D25" w:rsidR="005230FE" w:rsidRPr="00A532AE" w:rsidRDefault="00F55796" w:rsidP="001276DE">
      <w:pPr>
        <w:spacing w:line="276" w:lineRule="auto"/>
        <w:ind w:firstLine="720"/>
        <w:jc w:val="both"/>
        <w:rPr>
          <w:lang w:val="en-GB"/>
        </w:rPr>
      </w:pPr>
      <w:r w:rsidRPr="00A532AE">
        <w:rPr>
          <w:lang w:val="en-GB"/>
        </w:rPr>
        <w:t>For the windows, a double glass type of windows was chosen for the simulation</w:t>
      </w:r>
      <w:r>
        <w:rPr>
          <w:lang w:val="en-GB"/>
        </w:rPr>
        <w:t xml:space="preserve"> with t</w:t>
      </w:r>
      <w:r w:rsidRPr="00A532AE">
        <w:rPr>
          <w:lang w:val="en-GB"/>
        </w:rPr>
        <w:t xml:space="preserve">he overall heat transfer coefficient of </w:t>
      </w:r>
      <w:proofErr w:type="spellStart"/>
      <w:r w:rsidRPr="00A532AE">
        <w:rPr>
          <w:i/>
          <w:lang w:val="en-GB"/>
        </w:rPr>
        <w:t>U</w:t>
      </w:r>
      <w:r w:rsidRPr="00A532AE">
        <w:rPr>
          <w:vertAlign w:val="subscript"/>
          <w:lang w:val="en-GB"/>
        </w:rPr>
        <w:t>glass</w:t>
      </w:r>
      <w:proofErr w:type="spellEnd"/>
      <w:r w:rsidRPr="00A532AE">
        <w:rPr>
          <w:vertAlign w:val="subscript"/>
          <w:lang w:val="en-GB"/>
        </w:rPr>
        <w:t xml:space="preserve"> </w:t>
      </w:r>
      <w:r w:rsidRPr="00A532AE">
        <w:rPr>
          <w:lang w:val="en-GB"/>
        </w:rPr>
        <w:t>= 1</w:t>
      </w:r>
      <w:r w:rsidR="00016441">
        <w:rPr>
          <w:lang w:val="en-GB"/>
        </w:rPr>
        <w:t>.</w:t>
      </w:r>
      <w:r w:rsidRPr="00A532AE">
        <w:rPr>
          <w:lang w:val="en-GB"/>
        </w:rPr>
        <w:t>4 W/m</w:t>
      </w:r>
      <w:r w:rsidRPr="00A532AE">
        <w:rPr>
          <w:vertAlign w:val="superscript"/>
          <w:lang w:val="en-GB"/>
        </w:rPr>
        <w:t>2</w:t>
      </w:r>
      <w:r w:rsidRPr="00A532AE">
        <w:rPr>
          <w:lang w:val="en-GB"/>
        </w:rPr>
        <w:t>K</w:t>
      </w:r>
      <w:r>
        <w:rPr>
          <w:lang w:val="en-GB"/>
        </w:rPr>
        <w:t xml:space="preserve">. </w:t>
      </w:r>
      <w:r w:rsidRPr="00A532AE">
        <w:rPr>
          <w:lang w:val="en-GB"/>
        </w:rPr>
        <w:t>The external doors were modelled as windows with a frame that occupies 80% of the whole aperture area.</w:t>
      </w:r>
      <w:r>
        <w:rPr>
          <w:lang w:val="en-GB"/>
        </w:rPr>
        <w:t xml:space="preserve"> </w:t>
      </w:r>
      <w:r w:rsidRPr="00A532AE">
        <w:rPr>
          <w:lang w:val="en-GB"/>
        </w:rPr>
        <w:t>In order to maximize solar gains in winter and minimize them in summer, shading is also applied in the simulation. The windows have a visible light transmittance factor of 0.8, the external shading has a solar radiation transmittance factor of 0.2, and the internal shading a factor of 0.8. Shading is considered in the simulation when incident solar radiation exceeds 140 W/m² and is deactivated below 120 W/m². The garage and the external staircase windows are not equipped with external shading.</w:t>
      </w:r>
      <w:r w:rsidR="001276DE">
        <w:rPr>
          <w:lang w:val="en-GB"/>
        </w:rPr>
        <w:t xml:space="preserve"> </w:t>
      </w:r>
    </w:p>
    <w:p w14:paraId="533BFDF1" w14:textId="520AB1FB" w:rsidR="005230FE" w:rsidRPr="00A532AE" w:rsidRDefault="005230FE" w:rsidP="005230FE">
      <w:pPr>
        <w:spacing w:line="276" w:lineRule="auto"/>
        <w:ind w:firstLine="340"/>
        <w:jc w:val="both"/>
        <w:rPr>
          <w:lang w:val="en-GB"/>
        </w:rPr>
      </w:pPr>
      <w:r w:rsidRPr="00A532AE">
        <w:rPr>
          <w:lang w:val="en-GB"/>
        </w:rPr>
        <w:lastRenderedPageBreak/>
        <w:t xml:space="preserve">Apart from external heat gains, internal gains were also included in the model. For the purpose of the simulation, it is assumed that the building consists of three residential units, each occupied by four persons. Using the Schedule Type Manager in </w:t>
      </w:r>
      <w:proofErr w:type="spellStart"/>
      <w:r w:rsidRPr="00A532AE">
        <w:rPr>
          <w:i/>
          <w:lang w:val="en-GB"/>
        </w:rPr>
        <w:t>TRNBuild</w:t>
      </w:r>
      <w:proofErr w:type="spellEnd"/>
      <w:r w:rsidRPr="00A532AE">
        <w:rPr>
          <w:lang w:val="en-GB"/>
        </w:rPr>
        <w:t>, an occupancy profile was created to differentiate between weekday and weekend operation. The schedule, shown in Tab</w:t>
      </w:r>
      <w:r w:rsidR="00C43C53" w:rsidRPr="00A532AE">
        <w:rPr>
          <w:lang w:val="en-GB"/>
        </w:rPr>
        <w:t>.</w:t>
      </w:r>
      <w:r w:rsidRPr="00A532AE">
        <w:rPr>
          <w:lang w:val="en-GB"/>
        </w:rPr>
        <w:t xml:space="preserve"> </w:t>
      </w:r>
      <w:r w:rsidR="00E20FDB">
        <w:rPr>
          <w:lang w:val="en-GB"/>
        </w:rPr>
        <w:t>2</w:t>
      </w:r>
      <w:r w:rsidRPr="00A532AE">
        <w:rPr>
          <w:lang w:val="en-GB"/>
        </w:rPr>
        <w:t xml:space="preserve">, defines occupancy coefficients ranging from 0 to 1, representing the ratio between the instantaneous and maximum number of occupants in each apartment (maximum of four). The internal heat gain per person was selected for the case of light activity and seated occupants, with a total value of 150 W per person, consisting of 75 W sensible and 75 W latent heat. </w:t>
      </w:r>
    </w:p>
    <w:p w14:paraId="3F89FBBD" w14:textId="77777777" w:rsidR="005230FE" w:rsidRPr="00A532AE" w:rsidRDefault="005230FE" w:rsidP="005230FE">
      <w:pPr>
        <w:spacing w:line="276" w:lineRule="auto"/>
        <w:ind w:firstLine="340"/>
        <w:jc w:val="both"/>
        <w:rPr>
          <w:lang w:val="en-GB"/>
        </w:rPr>
      </w:pPr>
    </w:p>
    <w:p w14:paraId="2B8B5ECC" w14:textId="5CA66BF6" w:rsidR="005230FE" w:rsidRPr="00A532AE" w:rsidRDefault="005230FE" w:rsidP="00C43C53">
      <w:pPr>
        <w:spacing w:line="276" w:lineRule="auto"/>
        <w:ind w:firstLine="340"/>
        <w:jc w:val="center"/>
        <w:rPr>
          <w:b/>
          <w:sz w:val="16"/>
          <w:lang w:val="en-GB"/>
        </w:rPr>
      </w:pPr>
      <w:r w:rsidRPr="00A532AE">
        <w:rPr>
          <w:b/>
          <w:sz w:val="16"/>
          <w:lang w:val="en-GB"/>
        </w:rPr>
        <w:t>Tab</w:t>
      </w:r>
      <w:r w:rsidR="00C43C53" w:rsidRPr="00A532AE">
        <w:rPr>
          <w:b/>
          <w:sz w:val="16"/>
          <w:lang w:val="en-GB"/>
        </w:rPr>
        <w:t>.</w:t>
      </w:r>
      <w:r w:rsidRPr="00A532AE">
        <w:rPr>
          <w:b/>
          <w:sz w:val="16"/>
          <w:lang w:val="en-GB"/>
        </w:rPr>
        <w:t xml:space="preserve"> </w:t>
      </w:r>
      <w:r w:rsidR="00E20FDB">
        <w:rPr>
          <w:b/>
          <w:sz w:val="16"/>
          <w:lang w:val="en-GB"/>
        </w:rPr>
        <w:t>2</w:t>
      </w:r>
      <w:r w:rsidR="00C43C53" w:rsidRPr="00A532AE">
        <w:rPr>
          <w:b/>
          <w:sz w:val="16"/>
          <w:lang w:val="en-GB"/>
        </w:rPr>
        <w:t>:</w:t>
      </w:r>
      <w:r w:rsidRPr="00A532AE">
        <w:rPr>
          <w:b/>
          <w:sz w:val="16"/>
          <w:lang w:val="en-GB"/>
        </w:rPr>
        <w:t xml:space="preserve"> Weekly occupancy schedule</w:t>
      </w:r>
    </w:p>
    <w:tbl>
      <w:tblPr>
        <w:tblW w:w="4020" w:type="dxa"/>
        <w:jc w:val="center"/>
        <w:tblLook w:val="04A0" w:firstRow="1" w:lastRow="0" w:firstColumn="1" w:lastColumn="0" w:noHBand="0" w:noVBand="1"/>
      </w:tblPr>
      <w:tblGrid>
        <w:gridCol w:w="1340"/>
        <w:gridCol w:w="1340"/>
        <w:gridCol w:w="1340"/>
      </w:tblGrid>
      <w:tr w:rsidR="005230FE" w:rsidRPr="00A532AE" w14:paraId="128F8670" w14:textId="77777777" w:rsidTr="00C43C53">
        <w:trPr>
          <w:trHeight w:val="240"/>
          <w:jc w:val="center"/>
        </w:trPr>
        <w:tc>
          <w:tcPr>
            <w:tcW w:w="1340" w:type="dxa"/>
            <w:tcBorders>
              <w:top w:val="single" w:sz="4" w:space="0" w:color="auto"/>
              <w:left w:val="nil"/>
              <w:bottom w:val="single" w:sz="4" w:space="0" w:color="auto"/>
              <w:right w:val="nil"/>
            </w:tcBorders>
            <w:noWrap/>
            <w:vAlign w:val="center"/>
            <w:hideMark/>
          </w:tcPr>
          <w:p w14:paraId="1CC0897C" w14:textId="77777777" w:rsidR="005230FE" w:rsidRPr="00A532AE" w:rsidRDefault="005230FE" w:rsidP="000C14E7">
            <w:pPr>
              <w:autoSpaceDE/>
              <w:autoSpaceDN/>
              <w:spacing w:line="276" w:lineRule="auto"/>
              <w:jc w:val="center"/>
              <w:rPr>
                <w:b/>
                <w:bCs/>
                <w:color w:val="000000"/>
                <w:lang w:val="en-GB" w:eastAsia="en-US"/>
              </w:rPr>
            </w:pPr>
            <w:r w:rsidRPr="00A532AE">
              <w:rPr>
                <w:b/>
                <w:bCs/>
                <w:color w:val="000000"/>
                <w:lang w:val="en-GB" w:eastAsia="en-US"/>
              </w:rPr>
              <w:t>Hours</w:t>
            </w:r>
          </w:p>
        </w:tc>
        <w:tc>
          <w:tcPr>
            <w:tcW w:w="1340" w:type="dxa"/>
            <w:tcBorders>
              <w:top w:val="single" w:sz="4" w:space="0" w:color="auto"/>
              <w:left w:val="nil"/>
              <w:bottom w:val="single" w:sz="4" w:space="0" w:color="auto"/>
              <w:right w:val="nil"/>
            </w:tcBorders>
            <w:noWrap/>
            <w:vAlign w:val="center"/>
            <w:hideMark/>
          </w:tcPr>
          <w:p w14:paraId="21671791" w14:textId="77777777" w:rsidR="005230FE" w:rsidRPr="00A532AE" w:rsidRDefault="005230FE" w:rsidP="000C14E7">
            <w:pPr>
              <w:autoSpaceDE/>
              <w:autoSpaceDN/>
              <w:spacing w:line="276" w:lineRule="auto"/>
              <w:jc w:val="center"/>
              <w:rPr>
                <w:b/>
                <w:bCs/>
                <w:color w:val="000000"/>
                <w:lang w:val="en-GB" w:eastAsia="en-US"/>
              </w:rPr>
            </w:pPr>
            <w:r w:rsidRPr="00A532AE">
              <w:rPr>
                <w:b/>
                <w:bCs/>
                <w:color w:val="000000"/>
                <w:lang w:val="en-GB" w:eastAsia="en-US"/>
              </w:rPr>
              <w:t>Weekdays</w:t>
            </w:r>
          </w:p>
        </w:tc>
        <w:tc>
          <w:tcPr>
            <w:tcW w:w="1340" w:type="dxa"/>
            <w:tcBorders>
              <w:top w:val="single" w:sz="4" w:space="0" w:color="auto"/>
              <w:left w:val="nil"/>
              <w:bottom w:val="single" w:sz="4" w:space="0" w:color="auto"/>
              <w:right w:val="nil"/>
            </w:tcBorders>
            <w:noWrap/>
            <w:vAlign w:val="center"/>
            <w:hideMark/>
          </w:tcPr>
          <w:p w14:paraId="0AFFCE07" w14:textId="77777777" w:rsidR="005230FE" w:rsidRPr="00A532AE" w:rsidRDefault="005230FE" w:rsidP="000C14E7">
            <w:pPr>
              <w:autoSpaceDE/>
              <w:autoSpaceDN/>
              <w:spacing w:line="276" w:lineRule="auto"/>
              <w:jc w:val="center"/>
              <w:rPr>
                <w:b/>
                <w:bCs/>
                <w:color w:val="000000"/>
                <w:lang w:val="en-GB" w:eastAsia="en-US"/>
              </w:rPr>
            </w:pPr>
            <w:r w:rsidRPr="00A532AE">
              <w:rPr>
                <w:b/>
                <w:bCs/>
                <w:color w:val="000000"/>
                <w:lang w:val="en-GB" w:eastAsia="en-US"/>
              </w:rPr>
              <w:t>Weekend</w:t>
            </w:r>
          </w:p>
        </w:tc>
      </w:tr>
      <w:tr w:rsidR="005230FE" w:rsidRPr="00A532AE" w14:paraId="655ACF07" w14:textId="77777777" w:rsidTr="00C43C53">
        <w:trPr>
          <w:trHeight w:val="240"/>
          <w:jc w:val="center"/>
        </w:trPr>
        <w:tc>
          <w:tcPr>
            <w:tcW w:w="1340" w:type="dxa"/>
            <w:tcBorders>
              <w:top w:val="nil"/>
              <w:left w:val="nil"/>
              <w:bottom w:val="nil"/>
              <w:right w:val="nil"/>
            </w:tcBorders>
            <w:noWrap/>
            <w:vAlign w:val="center"/>
            <w:hideMark/>
          </w:tcPr>
          <w:p w14:paraId="27252A64" w14:textId="77777777" w:rsidR="005230FE" w:rsidRPr="00A532AE" w:rsidRDefault="005230FE" w:rsidP="000C14E7">
            <w:pPr>
              <w:autoSpaceDE/>
              <w:autoSpaceDN/>
              <w:spacing w:line="276" w:lineRule="auto"/>
              <w:jc w:val="center"/>
              <w:rPr>
                <w:color w:val="000000"/>
                <w:lang w:val="en-GB" w:eastAsia="en-US"/>
              </w:rPr>
            </w:pPr>
            <w:r w:rsidRPr="00A532AE">
              <w:rPr>
                <w:color w:val="000000"/>
                <w:lang w:val="en-GB" w:eastAsia="en-US"/>
              </w:rPr>
              <w:t>0 - 8</w:t>
            </w:r>
          </w:p>
        </w:tc>
        <w:tc>
          <w:tcPr>
            <w:tcW w:w="1340" w:type="dxa"/>
            <w:tcBorders>
              <w:top w:val="nil"/>
              <w:left w:val="nil"/>
              <w:bottom w:val="nil"/>
              <w:right w:val="nil"/>
            </w:tcBorders>
            <w:noWrap/>
            <w:vAlign w:val="center"/>
            <w:hideMark/>
          </w:tcPr>
          <w:p w14:paraId="57D7FE8A" w14:textId="77777777" w:rsidR="005230FE" w:rsidRPr="00A532AE" w:rsidRDefault="005230FE" w:rsidP="000C14E7">
            <w:pPr>
              <w:autoSpaceDE/>
              <w:autoSpaceDN/>
              <w:spacing w:line="276" w:lineRule="auto"/>
              <w:jc w:val="center"/>
              <w:rPr>
                <w:color w:val="000000"/>
                <w:lang w:val="en-GB" w:eastAsia="en-US"/>
              </w:rPr>
            </w:pPr>
            <w:r w:rsidRPr="00A532AE">
              <w:rPr>
                <w:color w:val="000000"/>
                <w:lang w:val="en-GB" w:eastAsia="en-US"/>
              </w:rPr>
              <w:t>1</w:t>
            </w:r>
          </w:p>
        </w:tc>
        <w:tc>
          <w:tcPr>
            <w:tcW w:w="1340" w:type="dxa"/>
            <w:tcBorders>
              <w:top w:val="nil"/>
              <w:left w:val="nil"/>
              <w:bottom w:val="nil"/>
              <w:right w:val="nil"/>
            </w:tcBorders>
            <w:noWrap/>
            <w:vAlign w:val="center"/>
            <w:hideMark/>
          </w:tcPr>
          <w:p w14:paraId="144CE786" w14:textId="77777777" w:rsidR="005230FE" w:rsidRPr="00A532AE" w:rsidRDefault="005230FE" w:rsidP="000C14E7">
            <w:pPr>
              <w:autoSpaceDE/>
              <w:autoSpaceDN/>
              <w:spacing w:line="276" w:lineRule="auto"/>
              <w:jc w:val="center"/>
              <w:rPr>
                <w:color w:val="000000"/>
                <w:lang w:val="en-GB" w:eastAsia="en-US"/>
              </w:rPr>
            </w:pPr>
            <w:r w:rsidRPr="00A532AE">
              <w:rPr>
                <w:color w:val="000000"/>
                <w:lang w:val="en-GB" w:eastAsia="en-US"/>
              </w:rPr>
              <w:t>1</w:t>
            </w:r>
          </w:p>
        </w:tc>
      </w:tr>
      <w:tr w:rsidR="005230FE" w:rsidRPr="00A532AE" w14:paraId="382E9F9F" w14:textId="77777777" w:rsidTr="00C43C53">
        <w:trPr>
          <w:trHeight w:val="240"/>
          <w:jc w:val="center"/>
        </w:trPr>
        <w:tc>
          <w:tcPr>
            <w:tcW w:w="1340" w:type="dxa"/>
            <w:tcBorders>
              <w:top w:val="nil"/>
              <w:left w:val="nil"/>
              <w:bottom w:val="nil"/>
              <w:right w:val="nil"/>
            </w:tcBorders>
            <w:noWrap/>
            <w:vAlign w:val="center"/>
            <w:hideMark/>
          </w:tcPr>
          <w:p w14:paraId="67C52717" w14:textId="77777777" w:rsidR="005230FE" w:rsidRPr="00A532AE" w:rsidRDefault="005230FE" w:rsidP="000C14E7">
            <w:pPr>
              <w:autoSpaceDE/>
              <w:autoSpaceDN/>
              <w:spacing w:line="276" w:lineRule="auto"/>
              <w:jc w:val="center"/>
              <w:rPr>
                <w:color w:val="000000"/>
                <w:lang w:val="en-GB" w:eastAsia="en-US"/>
              </w:rPr>
            </w:pPr>
            <w:r w:rsidRPr="00A532AE">
              <w:rPr>
                <w:color w:val="000000"/>
                <w:lang w:val="en-GB" w:eastAsia="en-US"/>
              </w:rPr>
              <w:t>8 -16</w:t>
            </w:r>
          </w:p>
        </w:tc>
        <w:tc>
          <w:tcPr>
            <w:tcW w:w="1340" w:type="dxa"/>
            <w:tcBorders>
              <w:top w:val="nil"/>
              <w:left w:val="nil"/>
              <w:bottom w:val="nil"/>
              <w:right w:val="nil"/>
            </w:tcBorders>
            <w:noWrap/>
            <w:vAlign w:val="center"/>
            <w:hideMark/>
          </w:tcPr>
          <w:p w14:paraId="11799E9C" w14:textId="77777777" w:rsidR="005230FE" w:rsidRPr="00A532AE" w:rsidRDefault="005230FE" w:rsidP="000C14E7">
            <w:pPr>
              <w:autoSpaceDE/>
              <w:autoSpaceDN/>
              <w:spacing w:line="276" w:lineRule="auto"/>
              <w:jc w:val="center"/>
              <w:rPr>
                <w:color w:val="000000"/>
                <w:lang w:val="en-GB" w:eastAsia="en-US"/>
              </w:rPr>
            </w:pPr>
            <w:r w:rsidRPr="00A532AE">
              <w:rPr>
                <w:color w:val="000000"/>
                <w:lang w:val="en-GB" w:eastAsia="en-US"/>
              </w:rPr>
              <w:t>0</w:t>
            </w:r>
          </w:p>
        </w:tc>
        <w:tc>
          <w:tcPr>
            <w:tcW w:w="1340" w:type="dxa"/>
            <w:tcBorders>
              <w:top w:val="nil"/>
              <w:left w:val="nil"/>
              <w:bottom w:val="nil"/>
              <w:right w:val="nil"/>
            </w:tcBorders>
            <w:noWrap/>
            <w:vAlign w:val="center"/>
            <w:hideMark/>
          </w:tcPr>
          <w:p w14:paraId="01C686D1" w14:textId="77777777" w:rsidR="005230FE" w:rsidRPr="00A532AE" w:rsidRDefault="005230FE" w:rsidP="000C14E7">
            <w:pPr>
              <w:autoSpaceDE/>
              <w:autoSpaceDN/>
              <w:spacing w:line="276" w:lineRule="auto"/>
              <w:jc w:val="center"/>
              <w:rPr>
                <w:color w:val="000000"/>
                <w:lang w:val="en-GB" w:eastAsia="en-US"/>
              </w:rPr>
            </w:pPr>
            <w:r w:rsidRPr="00A532AE">
              <w:rPr>
                <w:color w:val="000000"/>
                <w:lang w:val="en-GB" w:eastAsia="en-US"/>
              </w:rPr>
              <w:t>0.5</w:t>
            </w:r>
          </w:p>
        </w:tc>
      </w:tr>
      <w:tr w:rsidR="005230FE" w:rsidRPr="00A532AE" w14:paraId="799619CE" w14:textId="77777777" w:rsidTr="00C43C53">
        <w:trPr>
          <w:trHeight w:val="240"/>
          <w:jc w:val="center"/>
        </w:trPr>
        <w:tc>
          <w:tcPr>
            <w:tcW w:w="1340" w:type="dxa"/>
            <w:tcBorders>
              <w:top w:val="nil"/>
              <w:left w:val="nil"/>
              <w:bottom w:val="single" w:sz="4" w:space="0" w:color="auto"/>
              <w:right w:val="nil"/>
            </w:tcBorders>
            <w:noWrap/>
            <w:vAlign w:val="center"/>
            <w:hideMark/>
          </w:tcPr>
          <w:p w14:paraId="6FAE6A3B" w14:textId="77777777" w:rsidR="005230FE" w:rsidRPr="00A532AE" w:rsidRDefault="005230FE" w:rsidP="000C14E7">
            <w:pPr>
              <w:autoSpaceDE/>
              <w:autoSpaceDN/>
              <w:spacing w:line="276" w:lineRule="auto"/>
              <w:jc w:val="center"/>
              <w:rPr>
                <w:color w:val="000000"/>
                <w:lang w:val="en-GB" w:eastAsia="en-US"/>
              </w:rPr>
            </w:pPr>
            <w:r w:rsidRPr="00A532AE">
              <w:rPr>
                <w:color w:val="000000"/>
                <w:lang w:val="en-GB" w:eastAsia="en-US"/>
              </w:rPr>
              <w:t>16 -24</w:t>
            </w:r>
          </w:p>
        </w:tc>
        <w:tc>
          <w:tcPr>
            <w:tcW w:w="1340" w:type="dxa"/>
            <w:tcBorders>
              <w:top w:val="nil"/>
              <w:left w:val="nil"/>
              <w:bottom w:val="single" w:sz="4" w:space="0" w:color="auto"/>
              <w:right w:val="nil"/>
            </w:tcBorders>
            <w:noWrap/>
            <w:vAlign w:val="center"/>
            <w:hideMark/>
          </w:tcPr>
          <w:p w14:paraId="112E579E" w14:textId="77777777" w:rsidR="005230FE" w:rsidRPr="00A532AE" w:rsidRDefault="005230FE" w:rsidP="000C14E7">
            <w:pPr>
              <w:autoSpaceDE/>
              <w:autoSpaceDN/>
              <w:spacing w:line="276" w:lineRule="auto"/>
              <w:jc w:val="center"/>
              <w:rPr>
                <w:color w:val="000000"/>
                <w:lang w:val="en-GB" w:eastAsia="en-US"/>
              </w:rPr>
            </w:pPr>
            <w:r w:rsidRPr="00A532AE">
              <w:rPr>
                <w:color w:val="000000"/>
                <w:lang w:val="en-GB" w:eastAsia="en-US"/>
              </w:rPr>
              <w:t>1</w:t>
            </w:r>
          </w:p>
        </w:tc>
        <w:tc>
          <w:tcPr>
            <w:tcW w:w="1340" w:type="dxa"/>
            <w:tcBorders>
              <w:top w:val="nil"/>
              <w:left w:val="nil"/>
              <w:bottom w:val="single" w:sz="4" w:space="0" w:color="auto"/>
              <w:right w:val="nil"/>
            </w:tcBorders>
            <w:noWrap/>
            <w:vAlign w:val="center"/>
            <w:hideMark/>
          </w:tcPr>
          <w:p w14:paraId="39E3F761" w14:textId="77777777" w:rsidR="005230FE" w:rsidRPr="00A532AE" w:rsidRDefault="005230FE" w:rsidP="000C14E7">
            <w:pPr>
              <w:autoSpaceDE/>
              <w:autoSpaceDN/>
              <w:spacing w:line="276" w:lineRule="auto"/>
              <w:jc w:val="center"/>
              <w:rPr>
                <w:color w:val="000000"/>
                <w:lang w:val="en-GB" w:eastAsia="en-US"/>
              </w:rPr>
            </w:pPr>
            <w:r w:rsidRPr="00A532AE">
              <w:rPr>
                <w:color w:val="000000"/>
                <w:lang w:val="en-GB" w:eastAsia="en-US"/>
              </w:rPr>
              <w:t>1</w:t>
            </w:r>
          </w:p>
        </w:tc>
      </w:tr>
    </w:tbl>
    <w:p w14:paraId="11270EBC" w14:textId="77777777" w:rsidR="00671CC7" w:rsidRDefault="00671CC7" w:rsidP="005230FE">
      <w:pPr>
        <w:spacing w:line="276" w:lineRule="auto"/>
        <w:ind w:firstLine="340"/>
        <w:jc w:val="both"/>
        <w:rPr>
          <w:lang w:val="en-GB"/>
        </w:rPr>
      </w:pPr>
    </w:p>
    <w:p w14:paraId="68255AE2" w14:textId="226D0BA7" w:rsidR="005230FE" w:rsidRDefault="008C25DA" w:rsidP="005230FE">
      <w:pPr>
        <w:spacing w:line="276" w:lineRule="auto"/>
        <w:ind w:firstLine="340"/>
        <w:jc w:val="both"/>
        <w:rPr>
          <w:lang w:val="en-GB"/>
        </w:rPr>
      </w:pPr>
      <w:r w:rsidRPr="008C25DA">
        <w:rPr>
          <w:lang w:val="en-GB"/>
        </w:rPr>
        <w:t>Lighting heat gains are included in the model, with LED fixtures providing 1</w:t>
      </w:r>
      <w:r w:rsidR="00ED49F3">
        <w:rPr>
          <w:lang w:val="en-GB"/>
        </w:rPr>
        <w:t>.</w:t>
      </w:r>
      <w:r w:rsidRPr="008C25DA">
        <w:rPr>
          <w:lang w:val="en-GB"/>
        </w:rPr>
        <w:t>424 W/m² of internal heat gain and operating according to solar radiation thresholds (off above 200 W/m², on below 120 W/m²) and a scheduled control using Type 516 Hourly Schedule (weekdays 06:00–00:00, weekends 08:00–00:00).</w:t>
      </w:r>
      <w:r>
        <w:rPr>
          <w:lang w:val="en-GB"/>
        </w:rPr>
        <w:t xml:space="preserve"> </w:t>
      </w:r>
      <w:r w:rsidR="005230FE" w:rsidRPr="00A532AE">
        <w:rPr>
          <w:lang w:val="en-GB"/>
        </w:rPr>
        <w:t xml:space="preserve">In addition to these sources, other internal heat gains are considered, consisting of both constant and variable components dependent on occupancy. These gains are estimated at 1 W/m² for both types. In the heated zones, where occupants are present, all aforementioned types of internal gains are included. </w:t>
      </w:r>
    </w:p>
    <w:p w14:paraId="4C64D8D7" w14:textId="77777777" w:rsidR="00671CC7" w:rsidRPr="00A532AE" w:rsidRDefault="00671CC7" w:rsidP="005230FE">
      <w:pPr>
        <w:spacing w:line="276" w:lineRule="auto"/>
        <w:ind w:firstLine="340"/>
        <w:jc w:val="both"/>
        <w:rPr>
          <w:lang w:val="en-GB"/>
        </w:rPr>
      </w:pPr>
    </w:p>
    <w:p w14:paraId="7C1C764D" w14:textId="77777777" w:rsidR="005230FE" w:rsidRPr="00A532AE" w:rsidRDefault="005230FE" w:rsidP="005230FE">
      <w:pPr>
        <w:spacing w:line="276" w:lineRule="auto"/>
        <w:ind w:firstLine="340"/>
        <w:jc w:val="both"/>
        <w:rPr>
          <w:lang w:val="en-GB"/>
        </w:rPr>
      </w:pPr>
    </w:p>
    <w:p w14:paraId="0E1D56C7" w14:textId="6D852C2A" w:rsidR="005230FE" w:rsidRPr="00A532AE" w:rsidRDefault="00941880" w:rsidP="001619AE">
      <w:pPr>
        <w:spacing w:line="276" w:lineRule="auto"/>
        <w:jc w:val="center"/>
        <w:rPr>
          <w:rFonts w:ascii="Arial" w:hAnsi="Arial" w:cs="Arial"/>
          <w:b/>
          <w:lang w:val="en-GB"/>
        </w:rPr>
      </w:pPr>
      <w:r>
        <w:rPr>
          <w:rFonts w:ascii="Arial" w:hAnsi="Arial" w:cs="Arial"/>
          <w:b/>
          <w:lang w:val="en-GB"/>
        </w:rPr>
        <w:t>3</w:t>
      </w:r>
      <w:r w:rsidR="005230FE" w:rsidRPr="00A532AE">
        <w:rPr>
          <w:rFonts w:ascii="Arial" w:hAnsi="Arial" w:cs="Arial"/>
          <w:b/>
          <w:lang w:val="en-GB"/>
        </w:rPr>
        <w:t xml:space="preserve">. </w:t>
      </w:r>
      <w:r w:rsidR="00354EF8" w:rsidRPr="00A532AE">
        <w:rPr>
          <w:rFonts w:ascii="Arial" w:hAnsi="Arial" w:cs="Arial"/>
          <w:b/>
          <w:lang w:val="en-GB"/>
        </w:rPr>
        <w:t>Systems design</w:t>
      </w:r>
    </w:p>
    <w:p w14:paraId="1696D3A8" w14:textId="77777777" w:rsidR="005230FE" w:rsidRPr="00A532AE" w:rsidRDefault="005230FE" w:rsidP="005230FE">
      <w:pPr>
        <w:spacing w:line="276" w:lineRule="auto"/>
        <w:jc w:val="both"/>
        <w:rPr>
          <w:b/>
          <w:lang w:val="en-GB"/>
        </w:rPr>
      </w:pPr>
    </w:p>
    <w:p w14:paraId="334292D2" w14:textId="6FCFFCE3" w:rsidR="005230FE" w:rsidRPr="00A532AE" w:rsidRDefault="00941880" w:rsidP="005230FE">
      <w:pPr>
        <w:spacing w:line="276" w:lineRule="auto"/>
        <w:jc w:val="both"/>
        <w:rPr>
          <w:rFonts w:ascii="Arial" w:hAnsi="Arial" w:cs="Arial"/>
          <w:i/>
          <w:lang w:val="en-GB"/>
        </w:rPr>
      </w:pPr>
      <w:r>
        <w:rPr>
          <w:rFonts w:ascii="Arial" w:hAnsi="Arial" w:cs="Arial"/>
          <w:i/>
          <w:lang w:val="en-GB"/>
        </w:rPr>
        <w:t>3</w:t>
      </w:r>
      <w:r w:rsidR="005230FE" w:rsidRPr="00A532AE">
        <w:rPr>
          <w:rFonts w:ascii="Arial" w:hAnsi="Arial" w:cs="Arial"/>
          <w:i/>
          <w:lang w:val="en-GB"/>
        </w:rPr>
        <w:t>.1. Heating and Cooling Design Loads</w:t>
      </w:r>
    </w:p>
    <w:p w14:paraId="1C07645F" w14:textId="77777777" w:rsidR="005230FE" w:rsidRPr="00A532AE" w:rsidRDefault="005230FE" w:rsidP="005230FE">
      <w:pPr>
        <w:spacing w:line="276" w:lineRule="auto"/>
        <w:jc w:val="both"/>
        <w:rPr>
          <w:b/>
          <w:lang w:val="en-GB"/>
        </w:rPr>
      </w:pPr>
    </w:p>
    <w:p w14:paraId="62A2616F" w14:textId="73E06802" w:rsidR="005230FE" w:rsidRPr="00A532AE" w:rsidRDefault="00B70D5F" w:rsidP="005230FE">
      <w:pPr>
        <w:spacing w:line="276" w:lineRule="auto"/>
        <w:ind w:firstLine="340"/>
        <w:jc w:val="both"/>
        <w:rPr>
          <w:lang w:val="en-GB"/>
        </w:rPr>
      </w:pPr>
      <w:r>
        <w:rPr>
          <w:lang w:val="en-GB"/>
        </w:rPr>
        <w:t>T</w:t>
      </w:r>
      <w:r w:rsidR="005230FE" w:rsidRPr="00A532AE">
        <w:rPr>
          <w:lang w:val="en-GB"/>
        </w:rPr>
        <w:t xml:space="preserve">he required heating and cooling design loads were determined under project design conditions. The calculation of the heating design load was done in accordance with EN 12831. The reference outdoor air temperature for the winter period for the location of the city of Rijeka is </w:t>
      </w:r>
      <w:r w:rsidR="005230FE" w:rsidRPr="00A532AE">
        <w:rPr>
          <w:i/>
          <w:lang w:val="en-GB"/>
        </w:rPr>
        <w:t>T</w:t>
      </w:r>
      <w:r w:rsidR="005230FE" w:rsidRPr="00A532AE">
        <w:rPr>
          <w:vertAlign w:val="subscript"/>
          <w:lang w:val="en-GB"/>
        </w:rPr>
        <w:t>ext</w:t>
      </w:r>
      <w:r w:rsidR="005230FE" w:rsidRPr="00A532AE">
        <w:rPr>
          <w:lang w:val="en-GB"/>
        </w:rPr>
        <w:t xml:space="preserve"> = −8 °C. The indoor temperature was defined as </w:t>
      </w:r>
      <w:r w:rsidR="005230FE" w:rsidRPr="00A532AE">
        <w:rPr>
          <w:i/>
          <w:lang w:val="en-GB"/>
        </w:rPr>
        <w:t>T</w:t>
      </w:r>
      <w:r w:rsidR="005230FE" w:rsidRPr="00A532AE">
        <w:rPr>
          <w:vertAlign w:val="subscript"/>
          <w:lang w:val="en-GB"/>
        </w:rPr>
        <w:t>int</w:t>
      </w:r>
      <w:r w:rsidR="005230FE" w:rsidRPr="00A532AE">
        <w:rPr>
          <w:lang w:val="en-GB"/>
        </w:rPr>
        <w:t xml:space="preserve"> = 20 °C. In the calculation of the heating design load, solar gains are neglected. For the cooling design load, both solar gains and internal heat gains are considered. The calculation of the cooling design load was done in accordance with VDI 2078. The summer reference outdoor conditions were taken as </w:t>
      </w:r>
      <w:r w:rsidR="005230FE" w:rsidRPr="00A532AE">
        <w:rPr>
          <w:i/>
          <w:lang w:val="en-GB"/>
        </w:rPr>
        <w:t>T</w:t>
      </w:r>
      <w:r w:rsidR="005230FE" w:rsidRPr="00A532AE">
        <w:rPr>
          <w:vertAlign w:val="subscript"/>
          <w:lang w:val="en-GB"/>
        </w:rPr>
        <w:t>ext</w:t>
      </w:r>
      <w:r w:rsidR="005230FE" w:rsidRPr="00A532AE">
        <w:rPr>
          <w:lang w:val="en-GB"/>
        </w:rPr>
        <w:t xml:space="preserve"> = 32 °C with a relative humidity of </w:t>
      </w:r>
      <w:r w:rsidR="005230FE" w:rsidRPr="00A532AE">
        <w:rPr>
          <w:i/>
          <w:lang w:val="en-GB"/>
        </w:rPr>
        <w:t>ϕ</w:t>
      </w:r>
      <w:r w:rsidR="005230FE" w:rsidRPr="00A532AE">
        <w:rPr>
          <w:lang w:val="en-GB"/>
        </w:rPr>
        <w:t xml:space="preserve"> = 40%. The indoor temperature was defined as </w:t>
      </w:r>
      <w:r w:rsidR="005230FE" w:rsidRPr="00A532AE">
        <w:rPr>
          <w:i/>
          <w:lang w:val="en-GB"/>
        </w:rPr>
        <w:t>T</w:t>
      </w:r>
      <w:r w:rsidR="005230FE" w:rsidRPr="00A532AE">
        <w:rPr>
          <w:vertAlign w:val="subscript"/>
          <w:lang w:val="en-GB"/>
        </w:rPr>
        <w:t>int</w:t>
      </w:r>
      <w:r w:rsidR="005230FE" w:rsidRPr="00A532AE">
        <w:rPr>
          <w:lang w:val="en-GB"/>
        </w:rPr>
        <w:t xml:space="preserve"> = 26 °C. Under design conditions, the building</w:t>
      </w:r>
      <w:r>
        <w:rPr>
          <w:lang w:val="en-GB"/>
        </w:rPr>
        <w:t xml:space="preserve"> in insulated state</w:t>
      </w:r>
      <w:r w:rsidR="005230FE" w:rsidRPr="00A532AE">
        <w:rPr>
          <w:lang w:val="en-GB"/>
        </w:rPr>
        <w:t xml:space="preserve"> requires a heating load of </w:t>
      </w:r>
      <w:proofErr w:type="spellStart"/>
      <w:r w:rsidR="005230FE" w:rsidRPr="00A532AE">
        <w:rPr>
          <w:i/>
          <w:lang w:val="en-GB"/>
        </w:rPr>
        <w:t>Q</w:t>
      </w:r>
      <w:r w:rsidR="005230FE" w:rsidRPr="00A532AE">
        <w:rPr>
          <w:vertAlign w:val="subscript"/>
          <w:lang w:val="en-GB"/>
        </w:rPr>
        <w:t>h,design</w:t>
      </w:r>
      <w:proofErr w:type="spellEnd"/>
      <w:r w:rsidR="005230FE" w:rsidRPr="00A532AE">
        <w:rPr>
          <w:lang w:val="en-GB"/>
        </w:rPr>
        <w:t xml:space="preserve"> = 9.8 kW, while for the cooling during the summer period, the cooling load </w:t>
      </w:r>
      <w:proofErr w:type="spellStart"/>
      <w:r w:rsidR="005230FE" w:rsidRPr="00A532AE">
        <w:rPr>
          <w:i/>
          <w:lang w:val="en-GB"/>
        </w:rPr>
        <w:t>Q</w:t>
      </w:r>
      <w:r w:rsidR="005230FE" w:rsidRPr="00A532AE">
        <w:rPr>
          <w:vertAlign w:val="subscript"/>
          <w:lang w:val="en-GB"/>
        </w:rPr>
        <w:t>c,design</w:t>
      </w:r>
      <w:proofErr w:type="spellEnd"/>
      <w:r w:rsidR="005230FE" w:rsidRPr="00A532AE">
        <w:rPr>
          <w:lang w:val="en-GB"/>
        </w:rPr>
        <w:t xml:space="preserve"> = 6.6 kW is required. These calculated design loads served as the basis for designing all HVAC systems for the subsequent evaluation of energy performance and economic feasibility. </w:t>
      </w:r>
    </w:p>
    <w:p w14:paraId="0A80BFC3" w14:textId="77777777" w:rsidR="005230FE" w:rsidRPr="00A532AE" w:rsidRDefault="005230FE" w:rsidP="005230FE">
      <w:pPr>
        <w:spacing w:line="276" w:lineRule="auto"/>
        <w:ind w:firstLine="340"/>
        <w:jc w:val="both"/>
        <w:rPr>
          <w:lang w:val="en-GB"/>
        </w:rPr>
      </w:pPr>
    </w:p>
    <w:p w14:paraId="0849468D" w14:textId="4F17F9DE" w:rsidR="005230FE" w:rsidRPr="00A532AE" w:rsidRDefault="00941880" w:rsidP="005230FE">
      <w:pPr>
        <w:spacing w:line="276" w:lineRule="auto"/>
        <w:jc w:val="both"/>
        <w:rPr>
          <w:rFonts w:ascii="Arial" w:hAnsi="Arial" w:cs="Arial"/>
          <w:i/>
          <w:lang w:val="en-GB"/>
        </w:rPr>
      </w:pPr>
      <w:r>
        <w:rPr>
          <w:rFonts w:ascii="Arial" w:hAnsi="Arial" w:cs="Arial"/>
          <w:i/>
          <w:lang w:val="en-GB"/>
        </w:rPr>
        <w:t>3</w:t>
      </w:r>
      <w:r w:rsidR="005230FE" w:rsidRPr="00A532AE">
        <w:rPr>
          <w:rFonts w:ascii="Arial" w:hAnsi="Arial" w:cs="Arial"/>
          <w:i/>
          <w:lang w:val="en-GB"/>
        </w:rPr>
        <w:t>.2. HVAC systems description</w:t>
      </w:r>
    </w:p>
    <w:p w14:paraId="7E24573A" w14:textId="77777777" w:rsidR="005230FE" w:rsidRPr="00A532AE" w:rsidRDefault="005230FE" w:rsidP="005230FE">
      <w:pPr>
        <w:spacing w:line="276" w:lineRule="auto"/>
        <w:jc w:val="both"/>
        <w:rPr>
          <w:b/>
          <w:lang w:val="en-GB"/>
        </w:rPr>
      </w:pPr>
    </w:p>
    <w:p w14:paraId="53333B43" w14:textId="369B3C3C" w:rsidR="005230FE" w:rsidRPr="00A532AE" w:rsidRDefault="005230FE" w:rsidP="005230FE">
      <w:pPr>
        <w:spacing w:line="276" w:lineRule="auto"/>
        <w:ind w:firstLine="340"/>
        <w:jc w:val="both"/>
        <w:rPr>
          <w:lang w:val="en-GB"/>
        </w:rPr>
      </w:pPr>
      <w:r w:rsidRPr="00A532AE">
        <w:rPr>
          <w:lang w:val="en-GB"/>
        </w:rPr>
        <w:t xml:space="preserve">After determining the design heating and cooling loads, different HVAC system </w:t>
      </w:r>
      <w:r w:rsidR="00673F47">
        <w:rPr>
          <w:lang w:val="en-GB"/>
        </w:rPr>
        <w:t>variants</w:t>
      </w:r>
      <w:r w:rsidRPr="00A532AE">
        <w:rPr>
          <w:lang w:val="en-GB"/>
        </w:rPr>
        <w:t xml:space="preserve"> were designed for space heating, cooling, and domestic hot water (DHW) production in order to compare them, and identify the solution that best meets the building’s needs while minimizing energy consumption</w:t>
      </w:r>
      <w:r w:rsidR="00862C69" w:rsidRPr="00A532AE">
        <w:rPr>
          <w:lang w:val="en-GB"/>
        </w:rPr>
        <w:t xml:space="preserve"> and overall cost</w:t>
      </w:r>
      <w:r w:rsidRPr="00A532AE">
        <w:rPr>
          <w:lang w:val="en-GB"/>
        </w:rPr>
        <w:t xml:space="preserve">. For this analysis, </w:t>
      </w:r>
      <w:r w:rsidR="00B21CFB">
        <w:rPr>
          <w:lang w:val="en-GB"/>
        </w:rPr>
        <w:t>nine</w:t>
      </w:r>
      <w:r w:rsidRPr="00A532AE">
        <w:rPr>
          <w:lang w:val="en-GB"/>
        </w:rPr>
        <w:t xml:space="preserve"> </w:t>
      </w:r>
      <w:r w:rsidR="00EE7398">
        <w:rPr>
          <w:lang w:val="en-GB"/>
        </w:rPr>
        <w:t>system variants</w:t>
      </w:r>
      <w:r w:rsidRPr="00A532AE">
        <w:rPr>
          <w:lang w:val="en-GB"/>
        </w:rPr>
        <w:t xml:space="preserve"> were considered:</w:t>
      </w:r>
    </w:p>
    <w:p w14:paraId="6F756875" w14:textId="77777777" w:rsidR="005230FE" w:rsidRPr="00A532AE" w:rsidRDefault="005230FE" w:rsidP="005230FE">
      <w:pPr>
        <w:spacing w:line="276" w:lineRule="auto"/>
        <w:jc w:val="both"/>
        <w:rPr>
          <w:lang w:val="en-GB"/>
        </w:rPr>
      </w:pPr>
      <w:r w:rsidRPr="00A532AE">
        <w:rPr>
          <w:b/>
          <w:lang w:val="en-GB"/>
        </w:rPr>
        <w:t>S1) Existing Base System:</w:t>
      </w:r>
      <w:r w:rsidRPr="00A532AE">
        <w:rPr>
          <w:lang w:val="en-GB"/>
        </w:rPr>
        <w:t xml:space="preserve"> The existing system uses an oil-fired 30 kW boiler operating at a constant supply water temperature of 90 °C, delivering hot water to radiators operating in a 90/70 °C regime. The same boiler also provides domestic hot water (DHW) through an 800 l storage tank equipped with an internal helical heat exchanger. No mechanical ventilation is installed. Air exchange occurs through natural infiltration at a rate of 0.5 air changes per hour. Cooling is provided by two split-type air conditioning units per floor, each with a cooling capacity of 2.2 kW.</w:t>
      </w:r>
    </w:p>
    <w:p w14:paraId="063538A8" w14:textId="525D42B1" w:rsidR="005230FE" w:rsidRPr="00A532AE" w:rsidRDefault="005230FE" w:rsidP="005230FE">
      <w:pPr>
        <w:spacing w:line="276" w:lineRule="auto"/>
        <w:jc w:val="both"/>
        <w:rPr>
          <w:lang w:val="en-GB"/>
        </w:rPr>
      </w:pPr>
      <w:r w:rsidRPr="00A532AE">
        <w:rPr>
          <w:b/>
          <w:lang w:val="en-GB"/>
        </w:rPr>
        <w:t>S2</w:t>
      </w:r>
      <w:r w:rsidRPr="0067685F">
        <w:rPr>
          <w:b/>
          <w:lang w:val="en-GB"/>
        </w:rPr>
        <w:t xml:space="preserve">) Insulated Building with </w:t>
      </w:r>
      <w:r w:rsidRPr="00A532AE">
        <w:rPr>
          <w:b/>
          <w:lang w:val="en-GB"/>
        </w:rPr>
        <w:t>Condensing Gas Boiler</w:t>
      </w:r>
      <w:r w:rsidRPr="00A532AE">
        <w:rPr>
          <w:lang w:val="en-GB"/>
        </w:rPr>
        <w:t xml:space="preserve">: In this configuration, the building envelope is insulated with 80 mm of mineral wool on external walls, 100 mm of expanded polystyrene (EPS) above the ceiling slab, </w:t>
      </w:r>
      <w:r w:rsidR="00ED49F3">
        <w:rPr>
          <w:lang w:val="en-GB"/>
        </w:rPr>
        <w:lastRenderedPageBreak/>
        <w:t>80</w:t>
      </w:r>
      <w:r w:rsidRPr="00A532AE">
        <w:rPr>
          <w:lang w:val="en-GB"/>
        </w:rPr>
        <w:t xml:space="preserve"> mm EPS under the basement floor slab, and 80 mm of mineral wool with 10 mm gypsum board cladding on basement walls adjacent to unheated spaces. Inter-floor ceilings are insulated with 30 mm of mineral wool. The heating system retains the existing radiators and 800 l DHW tank but replaces the oil-fired boiler with a 12 kW condensing natural gas boiler to improve efficiency. The supply water temperature is reduced to 60 °C at the design outdoor temperature of −8 °C and regulated linearly according to the outdoor temperature (down to 20 °C supply at +20 °C outdoor temperature). Cooling is provided by two split-type air conditioning units per floor, each with a cooling capacity of 2.2 kW.</w:t>
      </w:r>
    </w:p>
    <w:p w14:paraId="42CB4B17" w14:textId="09260368" w:rsidR="005230FE" w:rsidRPr="00A532AE" w:rsidRDefault="005230FE" w:rsidP="005230FE">
      <w:pPr>
        <w:spacing w:line="276" w:lineRule="auto"/>
        <w:jc w:val="both"/>
        <w:rPr>
          <w:lang w:val="en-GB"/>
        </w:rPr>
      </w:pPr>
      <w:r w:rsidRPr="00A532AE">
        <w:rPr>
          <w:b/>
          <w:lang w:val="en-GB"/>
        </w:rPr>
        <w:t xml:space="preserve">S3) </w:t>
      </w:r>
      <w:r w:rsidRPr="0067685F">
        <w:rPr>
          <w:b/>
          <w:lang w:val="en-GB"/>
        </w:rPr>
        <w:t xml:space="preserve">Insulated Building </w:t>
      </w:r>
      <w:r w:rsidRPr="00A532AE">
        <w:rPr>
          <w:b/>
          <w:lang w:val="en-GB"/>
        </w:rPr>
        <w:t xml:space="preserve">with Condensing Gas Boiler and Heat Recovery Ventilation: </w:t>
      </w:r>
      <w:r w:rsidRPr="00A532AE">
        <w:rPr>
          <w:lang w:val="en-GB"/>
        </w:rPr>
        <w:t>This configuration builds upon S2 by introducing a mechanical ventilation system with heat recovery, which significantly improves indoor air quality and reduces ventilation heat losses. The heating and DHW systems remain identical to S2 (condensing gas boiler, 800 l tank, and regulated supply temperature curve).</w:t>
      </w:r>
      <w:r w:rsidR="00862C69" w:rsidRPr="00A532AE">
        <w:rPr>
          <w:lang w:val="en-GB"/>
        </w:rPr>
        <w:t xml:space="preserve"> </w:t>
      </w:r>
      <w:r w:rsidRPr="00A532AE">
        <w:rPr>
          <w:lang w:val="en-GB"/>
        </w:rPr>
        <w:t>Cooling is provided by two split-type air conditioning units per floor, each with a cooling capacity of 2.2 kW.</w:t>
      </w:r>
    </w:p>
    <w:p w14:paraId="0C0C84D4" w14:textId="77777777" w:rsidR="005230FE" w:rsidRPr="00A532AE" w:rsidRDefault="005230FE" w:rsidP="005230FE">
      <w:pPr>
        <w:spacing w:line="276" w:lineRule="auto"/>
        <w:jc w:val="both"/>
        <w:rPr>
          <w:lang w:val="en-GB"/>
        </w:rPr>
      </w:pPr>
      <w:r w:rsidRPr="00A532AE">
        <w:rPr>
          <w:b/>
          <w:lang w:val="en-GB"/>
        </w:rPr>
        <w:t xml:space="preserve">S4) Insulated Building with Condensing Gas Boiler, Heat Recovery Ventilation, and Solar DHW System: </w:t>
      </w:r>
      <w:r w:rsidRPr="00A532AE">
        <w:rPr>
          <w:lang w:val="en-GB"/>
        </w:rPr>
        <w:t>This configuration further enhances S3 by integrating flat-plate solar collectors for DHW production. Instead of one 800 l tank, two 300 l tanks connected in series are used. The first tank is heated by solar energy, while the second tank is connected to the central heating circuit for auxiliary heating when solar input is insufficient. A mixing valve regulates DHW temperature to maintain 40 °C at the outlet by blending hot water from the tank (which may exceed 40 °C during summer) with 10 °C mains water. The space heating and ventilation systems are the same as in S3. Cooling is provided by two split-type air conditioning units per floor, each with a cooling capacity of 2.2 kW.</w:t>
      </w:r>
    </w:p>
    <w:p w14:paraId="575079D4" w14:textId="38D76356" w:rsidR="005230FE" w:rsidRPr="00A532AE" w:rsidRDefault="005230FE" w:rsidP="005230FE">
      <w:pPr>
        <w:spacing w:line="276" w:lineRule="auto"/>
        <w:jc w:val="both"/>
        <w:rPr>
          <w:lang w:val="en-GB"/>
        </w:rPr>
      </w:pPr>
      <w:r w:rsidRPr="00A532AE">
        <w:rPr>
          <w:b/>
          <w:lang w:val="en-GB"/>
        </w:rPr>
        <w:t xml:space="preserve">S5) </w:t>
      </w:r>
      <w:r w:rsidR="009171BA" w:rsidRPr="0067685F">
        <w:rPr>
          <w:b/>
          <w:lang w:val="en-GB"/>
        </w:rPr>
        <w:t xml:space="preserve">Insulated Building </w:t>
      </w:r>
      <w:r w:rsidR="009171BA">
        <w:rPr>
          <w:b/>
          <w:lang w:val="en-GB"/>
        </w:rPr>
        <w:t xml:space="preserve">with </w:t>
      </w:r>
      <w:r w:rsidRPr="00A532AE">
        <w:rPr>
          <w:b/>
          <w:lang w:val="en-GB"/>
        </w:rPr>
        <w:t xml:space="preserve">Heat Pump </w:t>
      </w:r>
      <w:r w:rsidR="009171BA">
        <w:rPr>
          <w:b/>
          <w:lang w:val="en-GB"/>
        </w:rPr>
        <w:t>and</w:t>
      </w:r>
      <w:r w:rsidRPr="00A532AE">
        <w:rPr>
          <w:b/>
          <w:lang w:val="en-GB"/>
        </w:rPr>
        <w:t xml:space="preserve"> Fan Coil Units (No Heat Recovery Ventilation):</w:t>
      </w:r>
      <w:r w:rsidRPr="00A532AE">
        <w:rPr>
          <w:lang w:val="en-GB"/>
        </w:rPr>
        <w:t xml:space="preserve"> In this configuration, the traditional boiler system and radiators are completely replaced by a heat pump system supplying fan coil units (FCUs) for both heating and cooling. The heat pump is connected to a 200 l buffer tank, from which water is circulated to FCUs and to the DHW tank via a dedicated pump. During winter, the heat pump provides both space heating and DHW. During summer, DHW is supplied by an electric heater. No mechanical ventilation with heat recovery is included in this configuration.</w:t>
      </w:r>
    </w:p>
    <w:p w14:paraId="455E986D" w14:textId="26A98398" w:rsidR="005230FE" w:rsidRPr="00A532AE" w:rsidRDefault="005230FE" w:rsidP="005230FE">
      <w:pPr>
        <w:spacing w:line="276" w:lineRule="auto"/>
        <w:jc w:val="both"/>
        <w:rPr>
          <w:lang w:val="en-GB"/>
        </w:rPr>
      </w:pPr>
      <w:r w:rsidRPr="00A532AE">
        <w:rPr>
          <w:b/>
          <w:lang w:val="en-GB"/>
        </w:rPr>
        <w:t xml:space="preserve">S6) </w:t>
      </w:r>
      <w:r w:rsidR="009171BA" w:rsidRPr="0067685F">
        <w:rPr>
          <w:b/>
          <w:lang w:val="en-GB"/>
        </w:rPr>
        <w:t xml:space="preserve">Insulated Building </w:t>
      </w:r>
      <w:r w:rsidR="009171BA">
        <w:rPr>
          <w:b/>
          <w:lang w:val="en-GB"/>
        </w:rPr>
        <w:t xml:space="preserve"> with </w:t>
      </w:r>
      <w:r w:rsidRPr="00A532AE">
        <w:rPr>
          <w:b/>
          <w:lang w:val="en-GB"/>
        </w:rPr>
        <w:t xml:space="preserve">Heat Pump </w:t>
      </w:r>
      <w:r w:rsidR="009171BA">
        <w:rPr>
          <w:b/>
          <w:lang w:val="en-GB"/>
        </w:rPr>
        <w:t>and</w:t>
      </w:r>
      <w:r w:rsidRPr="00A532AE">
        <w:rPr>
          <w:b/>
          <w:lang w:val="en-GB"/>
        </w:rPr>
        <w:t xml:space="preserve"> Fan Coil Units and Heat Recovery Ventilation: </w:t>
      </w:r>
      <w:r w:rsidRPr="00A532AE">
        <w:rPr>
          <w:lang w:val="en-GB"/>
        </w:rPr>
        <w:t>This case builds on S5 by adding a mechanical ventilation system with heat recovery. The heat pump again serves both heating and cooling via fan coil units and provides DHW during winter. In the summer period, DHW is heated by an electric heater.</w:t>
      </w:r>
    </w:p>
    <w:p w14:paraId="590A6257" w14:textId="67A1D2B8" w:rsidR="005230FE" w:rsidRPr="00A532AE" w:rsidRDefault="005230FE" w:rsidP="005230FE">
      <w:pPr>
        <w:spacing w:line="276" w:lineRule="auto"/>
        <w:jc w:val="both"/>
        <w:rPr>
          <w:lang w:val="en-GB"/>
        </w:rPr>
      </w:pPr>
      <w:r w:rsidRPr="00A532AE">
        <w:rPr>
          <w:b/>
          <w:lang w:val="en-GB"/>
        </w:rPr>
        <w:t xml:space="preserve">S7) </w:t>
      </w:r>
      <w:r w:rsidR="009171BA" w:rsidRPr="0067685F">
        <w:rPr>
          <w:b/>
          <w:lang w:val="en-GB"/>
        </w:rPr>
        <w:t xml:space="preserve">Insulated Building </w:t>
      </w:r>
      <w:r w:rsidR="009171BA">
        <w:rPr>
          <w:b/>
          <w:lang w:val="en-GB"/>
        </w:rPr>
        <w:t xml:space="preserve">with </w:t>
      </w:r>
      <w:r w:rsidRPr="00A532AE">
        <w:rPr>
          <w:b/>
          <w:lang w:val="en-GB"/>
        </w:rPr>
        <w:t xml:space="preserve">Heat Pump </w:t>
      </w:r>
      <w:r w:rsidR="009171BA">
        <w:rPr>
          <w:b/>
          <w:lang w:val="en-GB"/>
        </w:rPr>
        <w:t>and</w:t>
      </w:r>
      <w:r w:rsidRPr="00A532AE">
        <w:rPr>
          <w:b/>
          <w:lang w:val="en-GB"/>
        </w:rPr>
        <w:t xml:space="preserve"> Fan Coil Units, Heat Recovery Ventilation, and Nighttime DHW Heating: </w:t>
      </w:r>
      <w:r w:rsidRPr="00A532AE">
        <w:rPr>
          <w:lang w:val="en-GB"/>
        </w:rPr>
        <w:t xml:space="preserve">This configuration is similar to S6 but features optimized operation of the heat pump. In winter, the heat pump provides both heating and DHW. In summer, it operates in cooling mode during the day and switches to nighttime DHW heating mode, raising the tank temperature to 55 °C to ensure that the temperature does not drop below 40 °C during daily use, accounting for cold water inflow and tank heat losses. The system includes a 200 l buffer tank, thermostatic controls for both heating and cooling, and fan coil units replacing the original radiators. </w:t>
      </w:r>
    </w:p>
    <w:p w14:paraId="7E6B8E26" w14:textId="775D68AC" w:rsidR="005230FE" w:rsidRPr="00A532AE" w:rsidRDefault="005230FE" w:rsidP="005230FE">
      <w:pPr>
        <w:spacing w:line="276" w:lineRule="auto"/>
        <w:jc w:val="both"/>
        <w:rPr>
          <w:lang w:val="en-GB"/>
        </w:rPr>
      </w:pPr>
      <w:r w:rsidRPr="00A532AE">
        <w:rPr>
          <w:b/>
          <w:lang w:val="en-GB"/>
        </w:rPr>
        <w:t xml:space="preserve">S8) Insulated Building with Electric Heating and Photovoltaic System (No Heat Recovery Ventilation): </w:t>
      </w:r>
      <w:r w:rsidRPr="00A532AE">
        <w:rPr>
          <w:lang w:val="en-GB"/>
        </w:rPr>
        <w:t xml:space="preserve">In this configuration, the thermally improved building envelope is retained, corresponding to the insulated case described in S2. Space heating is provided by electric heaters, while cooling is supplied by two split-type air conditioning units per floor, each with a cooling capacity of 2.2 kW. </w:t>
      </w:r>
      <w:r w:rsidR="001276DE" w:rsidRPr="001276DE">
        <w:rPr>
          <w:lang w:val="en-GB"/>
        </w:rPr>
        <w:t>DHW</w:t>
      </w:r>
      <w:r w:rsidRPr="001276DE">
        <w:rPr>
          <w:lang w:val="en-GB"/>
        </w:rPr>
        <w:t xml:space="preserve"> </w:t>
      </w:r>
      <w:r w:rsidRPr="00A532AE">
        <w:rPr>
          <w:lang w:val="en-GB"/>
        </w:rPr>
        <w:t>is also generated using an electric heater. A photovoltaic (PV) system</w:t>
      </w:r>
      <w:r w:rsidR="00884511">
        <w:rPr>
          <w:lang w:val="en-GB"/>
        </w:rPr>
        <w:t xml:space="preserve"> with an area of </w:t>
      </w:r>
      <w:r w:rsidR="00DC38CE">
        <w:rPr>
          <w:lang w:val="en-GB"/>
        </w:rPr>
        <w:t>35</w:t>
      </w:r>
      <w:r w:rsidR="00884511">
        <w:rPr>
          <w:lang w:val="en-GB"/>
        </w:rPr>
        <w:t xml:space="preserve"> m</w:t>
      </w:r>
      <w:r w:rsidR="00884511" w:rsidRPr="00884511">
        <w:rPr>
          <w:vertAlign w:val="superscript"/>
          <w:lang w:val="en-GB"/>
        </w:rPr>
        <w:t>2</w:t>
      </w:r>
      <w:r w:rsidRPr="00A532AE">
        <w:rPr>
          <w:lang w:val="en-GB"/>
        </w:rPr>
        <w:t xml:space="preserve"> is integrated to offset part of the building’s electricity demand. No mechanical ventilation system is installed in this configuration.</w:t>
      </w:r>
    </w:p>
    <w:p w14:paraId="1105C117" w14:textId="6AE7653F" w:rsidR="001276DE" w:rsidRDefault="005230FE" w:rsidP="00E20FDB">
      <w:pPr>
        <w:spacing w:line="276" w:lineRule="auto"/>
        <w:jc w:val="both"/>
        <w:rPr>
          <w:lang w:val="en-GB"/>
        </w:rPr>
      </w:pPr>
      <w:r w:rsidRPr="00A532AE">
        <w:rPr>
          <w:b/>
          <w:lang w:val="en-GB"/>
        </w:rPr>
        <w:t xml:space="preserve">S9) Insulated Building with Electric Heating, Photovoltaic System, and Heat Recovery Ventilation: </w:t>
      </w:r>
      <w:r w:rsidRPr="00A532AE">
        <w:rPr>
          <w:lang w:val="en-GB"/>
        </w:rPr>
        <w:t xml:space="preserve">This configuration builds upon S8 by introducing a mechanical ventilation system with heat recovery, which significantly reduces ventilation heat losses. The building envelope remains identical to that of S8. Space heating is provided by electric heaters, while cooling is supplied by two split-type air conditioning units per floor, each with a cooling capacity of 2.2 kW. </w:t>
      </w:r>
      <w:r w:rsidR="001276DE" w:rsidRPr="001276DE">
        <w:rPr>
          <w:lang w:val="en-GB"/>
        </w:rPr>
        <w:t>DHW</w:t>
      </w:r>
      <w:r w:rsidRPr="001276DE">
        <w:rPr>
          <w:lang w:val="en-GB"/>
        </w:rPr>
        <w:t xml:space="preserve"> </w:t>
      </w:r>
      <w:r w:rsidRPr="00A532AE">
        <w:rPr>
          <w:lang w:val="en-GB"/>
        </w:rPr>
        <w:t xml:space="preserve">is generated using an electric heater. A photovoltaic (PV) system </w:t>
      </w:r>
      <w:r w:rsidR="00DC38CE">
        <w:rPr>
          <w:lang w:val="en-GB"/>
        </w:rPr>
        <w:t>an area of 2</w:t>
      </w:r>
      <w:r w:rsidR="005F5CC7">
        <w:rPr>
          <w:lang w:val="en-GB"/>
        </w:rPr>
        <w:t>2</w:t>
      </w:r>
      <w:r w:rsidR="00DC38CE">
        <w:rPr>
          <w:lang w:val="en-GB"/>
        </w:rPr>
        <w:t xml:space="preserve"> m</w:t>
      </w:r>
      <w:r w:rsidR="00DC38CE" w:rsidRPr="00884511">
        <w:rPr>
          <w:vertAlign w:val="superscript"/>
          <w:lang w:val="en-GB"/>
        </w:rPr>
        <w:t>2</w:t>
      </w:r>
      <w:r w:rsidR="00DC38CE">
        <w:rPr>
          <w:vertAlign w:val="superscript"/>
          <w:lang w:val="en-GB"/>
        </w:rPr>
        <w:t xml:space="preserve"> </w:t>
      </w:r>
      <w:r w:rsidRPr="00A532AE">
        <w:rPr>
          <w:lang w:val="en-GB"/>
        </w:rPr>
        <w:t>is included to offset part of the building’s electricity demand.</w:t>
      </w:r>
      <w:r w:rsidR="00EE7398">
        <w:rPr>
          <w:lang w:val="en-GB"/>
        </w:rPr>
        <w:t xml:space="preserve"> </w:t>
      </w:r>
    </w:p>
    <w:p w14:paraId="5200DA8A" w14:textId="77777777" w:rsidR="00995204" w:rsidRDefault="00995204" w:rsidP="005230FE">
      <w:pPr>
        <w:spacing w:line="276" w:lineRule="auto"/>
        <w:jc w:val="both"/>
        <w:rPr>
          <w:lang w:val="en-GB"/>
        </w:rPr>
      </w:pPr>
    </w:p>
    <w:p w14:paraId="064A3225" w14:textId="2868A7FA" w:rsidR="001276DE" w:rsidRDefault="001276DE" w:rsidP="005230FE">
      <w:pPr>
        <w:spacing w:line="276" w:lineRule="auto"/>
        <w:jc w:val="both"/>
        <w:rPr>
          <w:lang w:val="en-GB"/>
        </w:rPr>
      </w:pPr>
      <w:r w:rsidRPr="001276DE">
        <w:rPr>
          <w:lang w:val="en-GB"/>
        </w:rPr>
        <w:lastRenderedPageBreak/>
        <w:t>In order to have a more comprehensive comparison of the analy</w:t>
      </w:r>
      <w:r w:rsidR="00E20FDB">
        <w:rPr>
          <w:lang w:val="en-GB"/>
        </w:rPr>
        <w:t>s</w:t>
      </w:r>
      <w:r w:rsidRPr="001276DE">
        <w:rPr>
          <w:lang w:val="en-GB"/>
        </w:rPr>
        <w:t>ed system variants, a summary of all considered HVAC systems is presented in Ta</w:t>
      </w:r>
      <w:r w:rsidR="00E20FDB">
        <w:rPr>
          <w:lang w:val="en-GB"/>
        </w:rPr>
        <w:t>b.</w:t>
      </w:r>
      <w:r w:rsidRPr="001276DE">
        <w:rPr>
          <w:lang w:val="en-GB"/>
        </w:rPr>
        <w:t xml:space="preserve"> </w:t>
      </w:r>
      <w:r w:rsidR="00E20FDB">
        <w:rPr>
          <w:lang w:val="en-GB"/>
        </w:rPr>
        <w:t>3</w:t>
      </w:r>
      <w:r w:rsidRPr="001276DE">
        <w:rPr>
          <w:lang w:val="en-GB"/>
        </w:rPr>
        <w:t>.</w:t>
      </w:r>
    </w:p>
    <w:p w14:paraId="6A91088D" w14:textId="77777777" w:rsidR="009171BA" w:rsidRDefault="009171BA" w:rsidP="001276DE">
      <w:pPr>
        <w:spacing w:after="120"/>
        <w:ind w:firstLine="340"/>
        <w:jc w:val="center"/>
        <w:rPr>
          <w:b/>
          <w:sz w:val="16"/>
          <w:szCs w:val="16"/>
          <w:lang w:val="en-US"/>
        </w:rPr>
      </w:pPr>
    </w:p>
    <w:p w14:paraId="3BDF3B64" w14:textId="5EEAA38C" w:rsidR="001276DE" w:rsidRPr="00E47895" w:rsidRDefault="001276DE" w:rsidP="001276DE">
      <w:pPr>
        <w:spacing w:after="120"/>
        <w:ind w:firstLine="340"/>
        <w:jc w:val="center"/>
        <w:rPr>
          <w:b/>
          <w:sz w:val="16"/>
          <w:szCs w:val="16"/>
          <w:lang w:val="en-US"/>
        </w:rPr>
      </w:pPr>
      <w:r w:rsidRPr="00E47895">
        <w:rPr>
          <w:b/>
          <w:sz w:val="16"/>
          <w:szCs w:val="16"/>
          <w:lang w:val="en-US"/>
        </w:rPr>
        <w:t xml:space="preserve">Tab. </w:t>
      </w:r>
      <w:r w:rsidR="00E20FDB">
        <w:rPr>
          <w:b/>
          <w:sz w:val="16"/>
          <w:szCs w:val="16"/>
          <w:lang w:val="en-US"/>
        </w:rPr>
        <w:t>3</w:t>
      </w:r>
      <w:r w:rsidRPr="00E47895">
        <w:rPr>
          <w:b/>
          <w:sz w:val="16"/>
          <w:szCs w:val="16"/>
          <w:lang w:val="en-US"/>
        </w:rPr>
        <w:t>: System</w:t>
      </w:r>
      <w:r>
        <w:rPr>
          <w:b/>
          <w:sz w:val="16"/>
          <w:szCs w:val="16"/>
          <w:lang w:val="en-US"/>
        </w:rPr>
        <w:t xml:space="preserve"> variants</w:t>
      </w:r>
      <w:r w:rsidRPr="00E47895">
        <w:rPr>
          <w:b/>
          <w:sz w:val="16"/>
          <w:szCs w:val="16"/>
          <w:lang w:val="en-US"/>
        </w:rPr>
        <w:t xml:space="preserve"> component summary</w:t>
      </w:r>
    </w:p>
    <w:tbl>
      <w:tblPr>
        <w:tblW w:w="8767" w:type="dxa"/>
        <w:tblLook w:val="04A0" w:firstRow="1" w:lastRow="0" w:firstColumn="1" w:lastColumn="0" w:noHBand="0" w:noVBand="1"/>
      </w:tblPr>
      <w:tblGrid>
        <w:gridCol w:w="621"/>
        <w:gridCol w:w="88"/>
        <w:gridCol w:w="1840"/>
        <w:gridCol w:w="1987"/>
        <w:gridCol w:w="1276"/>
        <w:gridCol w:w="1568"/>
        <w:gridCol w:w="90"/>
        <w:gridCol w:w="1297"/>
      </w:tblGrid>
      <w:tr w:rsidR="001276DE" w:rsidRPr="00E47895" w14:paraId="3F6F07B6" w14:textId="77777777" w:rsidTr="00CE4138">
        <w:trPr>
          <w:trHeight w:val="288"/>
        </w:trPr>
        <w:tc>
          <w:tcPr>
            <w:tcW w:w="709" w:type="dxa"/>
            <w:gridSpan w:val="2"/>
            <w:tcBorders>
              <w:top w:val="single" w:sz="4" w:space="0" w:color="auto"/>
              <w:left w:val="nil"/>
              <w:bottom w:val="single" w:sz="4" w:space="0" w:color="auto"/>
              <w:right w:val="nil"/>
            </w:tcBorders>
            <w:noWrap/>
            <w:vAlign w:val="center"/>
            <w:hideMark/>
          </w:tcPr>
          <w:p w14:paraId="7DF63727" w14:textId="77777777" w:rsidR="001276DE" w:rsidRPr="00E47895" w:rsidRDefault="001276DE" w:rsidP="00CE4138">
            <w:pPr>
              <w:rPr>
                <w:b/>
                <w:bCs/>
                <w:color w:val="000000"/>
                <w:lang w:val="en-US" w:eastAsia="en-US"/>
              </w:rPr>
            </w:pPr>
            <w:r w:rsidRPr="00E47895">
              <w:rPr>
                <w:b/>
                <w:bCs/>
                <w:color w:val="000000"/>
                <w:lang w:val="en-US" w:eastAsia="en-US"/>
              </w:rPr>
              <w:t>Syst.</w:t>
            </w:r>
          </w:p>
        </w:tc>
        <w:tc>
          <w:tcPr>
            <w:tcW w:w="1840" w:type="dxa"/>
            <w:tcBorders>
              <w:top w:val="single" w:sz="4" w:space="0" w:color="auto"/>
              <w:left w:val="nil"/>
              <w:bottom w:val="single" w:sz="4" w:space="0" w:color="auto"/>
              <w:right w:val="nil"/>
            </w:tcBorders>
            <w:noWrap/>
            <w:vAlign w:val="center"/>
            <w:hideMark/>
          </w:tcPr>
          <w:p w14:paraId="69AECC7A" w14:textId="77777777" w:rsidR="001276DE" w:rsidRPr="00E47895" w:rsidRDefault="001276DE" w:rsidP="00CE4138">
            <w:pPr>
              <w:rPr>
                <w:b/>
                <w:bCs/>
                <w:color w:val="000000"/>
                <w:lang w:val="en-US" w:eastAsia="en-US"/>
              </w:rPr>
            </w:pPr>
            <w:r w:rsidRPr="00E47895">
              <w:rPr>
                <w:b/>
                <w:bCs/>
                <w:color w:val="000000"/>
                <w:lang w:val="en-US" w:eastAsia="en-US"/>
              </w:rPr>
              <w:t xml:space="preserve">Envelope </w:t>
            </w:r>
          </w:p>
        </w:tc>
        <w:tc>
          <w:tcPr>
            <w:tcW w:w="1987" w:type="dxa"/>
            <w:tcBorders>
              <w:top w:val="single" w:sz="4" w:space="0" w:color="auto"/>
              <w:left w:val="nil"/>
              <w:bottom w:val="single" w:sz="4" w:space="0" w:color="auto"/>
              <w:right w:val="nil"/>
            </w:tcBorders>
            <w:noWrap/>
            <w:vAlign w:val="center"/>
            <w:hideMark/>
          </w:tcPr>
          <w:p w14:paraId="71E74127" w14:textId="77777777" w:rsidR="001276DE" w:rsidRPr="00E47895" w:rsidRDefault="001276DE" w:rsidP="00CE4138">
            <w:pPr>
              <w:rPr>
                <w:b/>
                <w:bCs/>
                <w:color w:val="000000"/>
                <w:lang w:val="en-US" w:eastAsia="en-US"/>
              </w:rPr>
            </w:pPr>
            <w:r w:rsidRPr="00E47895">
              <w:rPr>
                <w:b/>
                <w:bCs/>
                <w:color w:val="000000"/>
                <w:lang w:val="en-US" w:eastAsia="en-US"/>
              </w:rPr>
              <w:t>Heating</w:t>
            </w:r>
          </w:p>
        </w:tc>
        <w:tc>
          <w:tcPr>
            <w:tcW w:w="1276" w:type="dxa"/>
            <w:tcBorders>
              <w:top w:val="single" w:sz="4" w:space="0" w:color="auto"/>
              <w:left w:val="nil"/>
              <w:bottom w:val="single" w:sz="4" w:space="0" w:color="auto"/>
              <w:right w:val="nil"/>
            </w:tcBorders>
            <w:noWrap/>
            <w:vAlign w:val="center"/>
            <w:hideMark/>
          </w:tcPr>
          <w:p w14:paraId="4FBB7765" w14:textId="77777777" w:rsidR="001276DE" w:rsidRPr="00E47895" w:rsidRDefault="001276DE" w:rsidP="00CE4138">
            <w:pPr>
              <w:rPr>
                <w:b/>
                <w:bCs/>
                <w:color w:val="000000"/>
                <w:lang w:val="en-US" w:eastAsia="en-US"/>
              </w:rPr>
            </w:pPr>
            <w:r w:rsidRPr="00E47895">
              <w:rPr>
                <w:b/>
                <w:bCs/>
                <w:color w:val="000000"/>
                <w:lang w:val="en-US" w:eastAsia="en-US"/>
              </w:rPr>
              <w:t>Cooling</w:t>
            </w:r>
          </w:p>
        </w:tc>
        <w:tc>
          <w:tcPr>
            <w:tcW w:w="1568" w:type="dxa"/>
            <w:tcBorders>
              <w:top w:val="single" w:sz="4" w:space="0" w:color="auto"/>
              <w:left w:val="nil"/>
              <w:bottom w:val="single" w:sz="4" w:space="0" w:color="auto"/>
              <w:right w:val="nil"/>
            </w:tcBorders>
            <w:noWrap/>
            <w:vAlign w:val="center"/>
            <w:hideMark/>
          </w:tcPr>
          <w:p w14:paraId="65E02BD7" w14:textId="77777777" w:rsidR="001276DE" w:rsidRPr="00E47895" w:rsidRDefault="001276DE" w:rsidP="00CE4138">
            <w:pPr>
              <w:rPr>
                <w:b/>
                <w:bCs/>
                <w:color w:val="000000"/>
                <w:lang w:val="en-US" w:eastAsia="en-US"/>
              </w:rPr>
            </w:pPr>
            <w:r w:rsidRPr="00E47895">
              <w:rPr>
                <w:b/>
                <w:bCs/>
                <w:color w:val="000000"/>
                <w:lang w:val="en-US" w:eastAsia="en-US"/>
              </w:rPr>
              <w:t>DHW</w:t>
            </w:r>
          </w:p>
        </w:tc>
        <w:tc>
          <w:tcPr>
            <w:tcW w:w="1387" w:type="dxa"/>
            <w:gridSpan w:val="2"/>
            <w:tcBorders>
              <w:top w:val="single" w:sz="4" w:space="0" w:color="auto"/>
              <w:left w:val="nil"/>
              <w:bottom w:val="single" w:sz="4" w:space="0" w:color="auto"/>
              <w:right w:val="nil"/>
            </w:tcBorders>
            <w:noWrap/>
            <w:vAlign w:val="center"/>
            <w:hideMark/>
          </w:tcPr>
          <w:p w14:paraId="63FEC240" w14:textId="77777777" w:rsidR="001276DE" w:rsidRPr="00E47895" w:rsidRDefault="001276DE" w:rsidP="00CE4138">
            <w:pPr>
              <w:rPr>
                <w:b/>
                <w:bCs/>
                <w:color w:val="000000"/>
                <w:lang w:val="en-US" w:eastAsia="en-US"/>
              </w:rPr>
            </w:pPr>
            <w:r w:rsidRPr="00E47895">
              <w:rPr>
                <w:b/>
                <w:bCs/>
                <w:color w:val="000000"/>
                <w:lang w:val="en-US" w:eastAsia="en-US"/>
              </w:rPr>
              <w:t>Ventilation</w:t>
            </w:r>
          </w:p>
        </w:tc>
      </w:tr>
      <w:tr w:rsidR="001276DE" w:rsidRPr="00E47895" w14:paraId="7958A236" w14:textId="77777777" w:rsidTr="00CE4138">
        <w:trPr>
          <w:trHeight w:val="288"/>
        </w:trPr>
        <w:tc>
          <w:tcPr>
            <w:tcW w:w="621" w:type="dxa"/>
            <w:tcBorders>
              <w:top w:val="nil"/>
              <w:left w:val="nil"/>
              <w:bottom w:val="nil"/>
              <w:right w:val="nil"/>
            </w:tcBorders>
            <w:noWrap/>
            <w:vAlign w:val="center"/>
            <w:hideMark/>
          </w:tcPr>
          <w:p w14:paraId="2187B1A1" w14:textId="77777777" w:rsidR="001276DE" w:rsidRPr="00E47895" w:rsidRDefault="001276DE" w:rsidP="00CE4138">
            <w:pPr>
              <w:rPr>
                <w:b/>
                <w:bCs/>
                <w:color w:val="000000"/>
                <w:lang w:val="en-US" w:eastAsia="en-US"/>
              </w:rPr>
            </w:pPr>
            <w:r w:rsidRPr="00E47895">
              <w:rPr>
                <w:b/>
                <w:bCs/>
                <w:color w:val="000000"/>
                <w:lang w:val="en-US" w:eastAsia="en-US"/>
              </w:rPr>
              <w:t>S1</w:t>
            </w:r>
          </w:p>
        </w:tc>
        <w:tc>
          <w:tcPr>
            <w:tcW w:w="1928" w:type="dxa"/>
            <w:gridSpan w:val="2"/>
            <w:tcBorders>
              <w:top w:val="nil"/>
              <w:left w:val="nil"/>
              <w:bottom w:val="nil"/>
              <w:right w:val="nil"/>
            </w:tcBorders>
            <w:vAlign w:val="center"/>
            <w:hideMark/>
          </w:tcPr>
          <w:p w14:paraId="6DB61F2A" w14:textId="77777777" w:rsidR="001276DE" w:rsidRPr="00E47895" w:rsidRDefault="001276DE" w:rsidP="00CE4138">
            <w:pPr>
              <w:rPr>
                <w:color w:val="000000"/>
                <w:lang w:val="en-US" w:eastAsia="en-US"/>
              </w:rPr>
            </w:pPr>
            <w:r w:rsidRPr="00E47895">
              <w:rPr>
                <w:color w:val="000000"/>
                <w:lang w:val="en-US" w:eastAsia="en-US"/>
              </w:rPr>
              <w:t>Original uninsulated</w:t>
            </w:r>
          </w:p>
        </w:tc>
        <w:tc>
          <w:tcPr>
            <w:tcW w:w="1987" w:type="dxa"/>
            <w:tcBorders>
              <w:top w:val="nil"/>
              <w:left w:val="nil"/>
              <w:bottom w:val="nil"/>
              <w:right w:val="nil"/>
            </w:tcBorders>
            <w:vAlign w:val="center"/>
            <w:hideMark/>
          </w:tcPr>
          <w:p w14:paraId="7ED67881" w14:textId="77777777" w:rsidR="001276DE" w:rsidRPr="00E47895" w:rsidRDefault="001276DE" w:rsidP="00CE4138">
            <w:pPr>
              <w:rPr>
                <w:color w:val="000000"/>
                <w:lang w:val="en-US" w:eastAsia="en-US"/>
              </w:rPr>
            </w:pPr>
            <w:r w:rsidRPr="00E47895">
              <w:rPr>
                <w:color w:val="000000"/>
                <w:lang w:val="en-US" w:eastAsia="en-US"/>
              </w:rPr>
              <w:t>Oil boiler, radiators</w:t>
            </w:r>
          </w:p>
        </w:tc>
        <w:tc>
          <w:tcPr>
            <w:tcW w:w="1276" w:type="dxa"/>
            <w:tcBorders>
              <w:top w:val="nil"/>
              <w:left w:val="nil"/>
              <w:bottom w:val="nil"/>
              <w:right w:val="nil"/>
            </w:tcBorders>
            <w:vAlign w:val="center"/>
            <w:hideMark/>
          </w:tcPr>
          <w:p w14:paraId="04D9DC96" w14:textId="77777777" w:rsidR="001276DE" w:rsidRPr="00E47895" w:rsidRDefault="001276DE" w:rsidP="00CE4138">
            <w:pPr>
              <w:rPr>
                <w:color w:val="000000"/>
                <w:lang w:val="en-US" w:eastAsia="en-US"/>
              </w:rPr>
            </w:pPr>
            <w:r w:rsidRPr="00E47895">
              <w:rPr>
                <w:color w:val="000000"/>
                <w:lang w:val="en-US" w:eastAsia="en-US"/>
              </w:rPr>
              <w:t>Split system</w:t>
            </w:r>
          </w:p>
        </w:tc>
        <w:tc>
          <w:tcPr>
            <w:tcW w:w="1568" w:type="dxa"/>
            <w:tcBorders>
              <w:top w:val="nil"/>
              <w:left w:val="nil"/>
              <w:bottom w:val="nil"/>
              <w:right w:val="nil"/>
            </w:tcBorders>
            <w:vAlign w:val="center"/>
            <w:hideMark/>
          </w:tcPr>
          <w:p w14:paraId="34F01360" w14:textId="77777777" w:rsidR="001276DE" w:rsidRPr="00E47895" w:rsidRDefault="001276DE" w:rsidP="00CE4138">
            <w:pPr>
              <w:rPr>
                <w:color w:val="000000"/>
                <w:lang w:val="en-US" w:eastAsia="en-US"/>
              </w:rPr>
            </w:pPr>
            <w:r w:rsidRPr="00E47895">
              <w:rPr>
                <w:color w:val="000000"/>
                <w:lang w:val="en-US" w:eastAsia="en-US"/>
              </w:rPr>
              <w:t>Oil boiler</w:t>
            </w:r>
          </w:p>
        </w:tc>
        <w:tc>
          <w:tcPr>
            <w:tcW w:w="1387" w:type="dxa"/>
            <w:gridSpan w:val="2"/>
            <w:tcBorders>
              <w:top w:val="nil"/>
              <w:left w:val="nil"/>
              <w:bottom w:val="nil"/>
              <w:right w:val="nil"/>
            </w:tcBorders>
            <w:vAlign w:val="center"/>
            <w:hideMark/>
          </w:tcPr>
          <w:p w14:paraId="79241C25" w14:textId="77777777" w:rsidR="001276DE" w:rsidRPr="00E47895" w:rsidRDefault="001276DE" w:rsidP="00CE4138">
            <w:pPr>
              <w:rPr>
                <w:color w:val="000000"/>
                <w:lang w:val="en-US" w:eastAsia="en-US"/>
              </w:rPr>
            </w:pPr>
            <w:r w:rsidRPr="00E47895">
              <w:rPr>
                <w:color w:val="000000"/>
                <w:lang w:val="en-US" w:eastAsia="en-US"/>
              </w:rPr>
              <w:t>Natural</w:t>
            </w:r>
          </w:p>
        </w:tc>
      </w:tr>
      <w:tr w:rsidR="001276DE" w:rsidRPr="00E47895" w14:paraId="565AFBFE" w14:textId="77777777" w:rsidTr="00CE4138">
        <w:trPr>
          <w:trHeight w:val="288"/>
        </w:trPr>
        <w:tc>
          <w:tcPr>
            <w:tcW w:w="621" w:type="dxa"/>
            <w:tcBorders>
              <w:top w:val="nil"/>
              <w:left w:val="nil"/>
              <w:bottom w:val="nil"/>
              <w:right w:val="nil"/>
            </w:tcBorders>
            <w:noWrap/>
            <w:vAlign w:val="center"/>
            <w:hideMark/>
          </w:tcPr>
          <w:p w14:paraId="5853EBAD" w14:textId="77777777" w:rsidR="001276DE" w:rsidRPr="00E47895" w:rsidRDefault="001276DE" w:rsidP="00CE4138">
            <w:pPr>
              <w:rPr>
                <w:b/>
                <w:bCs/>
                <w:color w:val="000000"/>
                <w:lang w:val="en-US" w:eastAsia="en-US"/>
              </w:rPr>
            </w:pPr>
            <w:r w:rsidRPr="00E47895">
              <w:rPr>
                <w:b/>
                <w:bCs/>
                <w:color w:val="000000"/>
                <w:lang w:val="en-US" w:eastAsia="en-US"/>
              </w:rPr>
              <w:t>S2</w:t>
            </w:r>
          </w:p>
        </w:tc>
        <w:tc>
          <w:tcPr>
            <w:tcW w:w="1928" w:type="dxa"/>
            <w:gridSpan w:val="2"/>
            <w:tcBorders>
              <w:top w:val="nil"/>
              <w:left w:val="nil"/>
              <w:bottom w:val="nil"/>
              <w:right w:val="nil"/>
            </w:tcBorders>
            <w:vAlign w:val="center"/>
            <w:hideMark/>
          </w:tcPr>
          <w:p w14:paraId="268521A4" w14:textId="13C3D8F1" w:rsidR="001276DE" w:rsidRPr="00E47895" w:rsidRDefault="00241D56" w:rsidP="00CE4138">
            <w:pPr>
              <w:rPr>
                <w:color w:val="000000"/>
                <w:lang w:val="en-US" w:eastAsia="en-US"/>
              </w:rPr>
            </w:pPr>
            <w:r>
              <w:rPr>
                <w:color w:val="000000"/>
                <w:lang w:val="en-US" w:eastAsia="en-US"/>
              </w:rPr>
              <w:t>Insulated</w:t>
            </w:r>
          </w:p>
        </w:tc>
        <w:tc>
          <w:tcPr>
            <w:tcW w:w="1987" w:type="dxa"/>
            <w:tcBorders>
              <w:top w:val="nil"/>
              <w:left w:val="nil"/>
              <w:bottom w:val="nil"/>
              <w:right w:val="nil"/>
            </w:tcBorders>
            <w:vAlign w:val="center"/>
            <w:hideMark/>
          </w:tcPr>
          <w:p w14:paraId="5C686997" w14:textId="77777777" w:rsidR="001276DE" w:rsidRPr="00E47895" w:rsidRDefault="001276DE" w:rsidP="00CE4138">
            <w:pPr>
              <w:rPr>
                <w:color w:val="000000"/>
                <w:lang w:val="en-US" w:eastAsia="en-US"/>
              </w:rPr>
            </w:pPr>
            <w:r w:rsidRPr="00E47895">
              <w:rPr>
                <w:color w:val="000000"/>
                <w:lang w:val="en-US" w:eastAsia="en-US"/>
              </w:rPr>
              <w:t>Gas boiler, radiators</w:t>
            </w:r>
          </w:p>
        </w:tc>
        <w:tc>
          <w:tcPr>
            <w:tcW w:w="1276" w:type="dxa"/>
            <w:tcBorders>
              <w:top w:val="nil"/>
              <w:left w:val="nil"/>
              <w:bottom w:val="nil"/>
              <w:right w:val="nil"/>
            </w:tcBorders>
            <w:vAlign w:val="center"/>
            <w:hideMark/>
          </w:tcPr>
          <w:p w14:paraId="2CA7BDF8" w14:textId="77777777" w:rsidR="001276DE" w:rsidRPr="00E47895" w:rsidRDefault="001276DE" w:rsidP="00CE4138">
            <w:pPr>
              <w:rPr>
                <w:color w:val="000000"/>
                <w:lang w:val="en-US" w:eastAsia="en-US"/>
              </w:rPr>
            </w:pPr>
            <w:r w:rsidRPr="00E47895">
              <w:rPr>
                <w:color w:val="000000"/>
                <w:lang w:val="en-US" w:eastAsia="en-US"/>
              </w:rPr>
              <w:t>Split system</w:t>
            </w:r>
          </w:p>
        </w:tc>
        <w:tc>
          <w:tcPr>
            <w:tcW w:w="1568" w:type="dxa"/>
            <w:tcBorders>
              <w:top w:val="nil"/>
              <w:left w:val="nil"/>
              <w:bottom w:val="nil"/>
              <w:right w:val="nil"/>
            </w:tcBorders>
            <w:vAlign w:val="center"/>
            <w:hideMark/>
          </w:tcPr>
          <w:p w14:paraId="3A2F8D17" w14:textId="77777777" w:rsidR="001276DE" w:rsidRPr="00E47895" w:rsidRDefault="001276DE" w:rsidP="00CE4138">
            <w:pPr>
              <w:rPr>
                <w:color w:val="000000"/>
                <w:lang w:val="en-US" w:eastAsia="en-US"/>
              </w:rPr>
            </w:pPr>
            <w:r w:rsidRPr="00E47895">
              <w:rPr>
                <w:color w:val="000000"/>
                <w:lang w:val="en-US" w:eastAsia="en-US"/>
              </w:rPr>
              <w:t>Gas boiler</w:t>
            </w:r>
          </w:p>
        </w:tc>
        <w:tc>
          <w:tcPr>
            <w:tcW w:w="1387" w:type="dxa"/>
            <w:gridSpan w:val="2"/>
            <w:tcBorders>
              <w:top w:val="nil"/>
              <w:left w:val="nil"/>
              <w:bottom w:val="nil"/>
              <w:right w:val="nil"/>
            </w:tcBorders>
            <w:vAlign w:val="center"/>
            <w:hideMark/>
          </w:tcPr>
          <w:p w14:paraId="4D447576" w14:textId="77777777" w:rsidR="001276DE" w:rsidRPr="00E47895" w:rsidRDefault="001276DE" w:rsidP="00CE4138">
            <w:pPr>
              <w:rPr>
                <w:color w:val="000000"/>
                <w:lang w:val="en-US" w:eastAsia="en-US"/>
              </w:rPr>
            </w:pPr>
            <w:r w:rsidRPr="00E47895">
              <w:rPr>
                <w:color w:val="000000"/>
                <w:lang w:val="en-US" w:eastAsia="en-US"/>
              </w:rPr>
              <w:t>Natural</w:t>
            </w:r>
          </w:p>
        </w:tc>
      </w:tr>
      <w:tr w:rsidR="001276DE" w:rsidRPr="00E47895" w14:paraId="43F3E610" w14:textId="77777777" w:rsidTr="00CE4138">
        <w:trPr>
          <w:trHeight w:val="288"/>
        </w:trPr>
        <w:tc>
          <w:tcPr>
            <w:tcW w:w="621" w:type="dxa"/>
            <w:tcBorders>
              <w:top w:val="nil"/>
              <w:left w:val="nil"/>
              <w:bottom w:val="nil"/>
              <w:right w:val="nil"/>
            </w:tcBorders>
            <w:noWrap/>
            <w:vAlign w:val="center"/>
            <w:hideMark/>
          </w:tcPr>
          <w:p w14:paraId="7B822E17" w14:textId="77777777" w:rsidR="001276DE" w:rsidRPr="00E47895" w:rsidRDefault="001276DE" w:rsidP="00CE4138">
            <w:pPr>
              <w:rPr>
                <w:b/>
                <w:bCs/>
                <w:color w:val="000000"/>
                <w:lang w:val="en-US" w:eastAsia="en-US"/>
              </w:rPr>
            </w:pPr>
            <w:r w:rsidRPr="00E47895">
              <w:rPr>
                <w:b/>
                <w:bCs/>
                <w:color w:val="000000"/>
                <w:lang w:val="en-US" w:eastAsia="en-US"/>
              </w:rPr>
              <w:t>S3</w:t>
            </w:r>
          </w:p>
        </w:tc>
        <w:tc>
          <w:tcPr>
            <w:tcW w:w="1928" w:type="dxa"/>
            <w:gridSpan w:val="2"/>
            <w:tcBorders>
              <w:top w:val="nil"/>
              <w:left w:val="nil"/>
              <w:bottom w:val="nil"/>
              <w:right w:val="nil"/>
            </w:tcBorders>
            <w:vAlign w:val="center"/>
            <w:hideMark/>
          </w:tcPr>
          <w:p w14:paraId="4C2F1AFF" w14:textId="75035E9C" w:rsidR="001276DE" w:rsidRPr="00E47895" w:rsidRDefault="00241D56" w:rsidP="00CE4138">
            <w:pPr>
              <w:rPr>
                <w:color w:val="000000"/>
                <w:lang w:val="en-US" w:eastAsia="en-US"/>
              </w:rPr>
            </w:pPr>
            <w:r>
              <w:rPr>
                <w:color w:val="000000"/>
                <w:lang w:val="en-US" w:eastAsia="en-US"/>
              </w:rPr>
              <w:t>Insulated</w:t>
            </w:r>
          </w:p>
        </w:tc>
        <w:tc>
          <w:tcPr>
            <w:tcW w:w="1987" w:type="dxa"/>
            <w:tcBorders>
              <w:top w:val="nil"/>
              <w:left w:val="nil"/>
              <w:bottom w:val="nil"/>
              <w:right w:val="nil"/>
            </w:tcBorders>
            <w:vAlign w:val="center"/>
            <w:hideMark/>
          </w:tcPr>
          <w:p w14:paraId="462B7F2E" w14:textId="77777777" w:rsidR="001276DE" w:rsidRPr="00E47895" w:rsidRDefault="001276DE" w:rsidP="00CE4138">
            <w:pPr>
              <w:rPr>
                <w:color w:val="000000"/>
                <w:lang w:val="en-US" w:eastAsia="en-US"/>
              </w:rPr>
            </w:pPr>
            <w:r w:rsidRPr="00E47895">
              <w:rPr>
                <w:color w:val="000000"/>
                <w:lang w:val="en-US" w:eastAsia="en-US"/>
              </w:rPr>
              <w:t>Gas boiler, radiators</w:t>
            </w:r>
          </w:p>
        </w:tc>
        <w:tc>
          <w:tcPr>
            <w:tcW w:w="1276" w:type="dxa"/>
            <w:tcBorders>
              <w:top w:val="nil"/>
              <w:left w:val="nil"/>
              <w:bottom w:val="nil"/>
              <w:right w:val="nil"/>
            </w:tcBorders>
            <w:vAlign w:val="center"/>
            <w:hideMark/>
          </w:tcPr>
          <w:p w14:paraId="0DBAD9B0" w14:textId="77777777" w:rsidR="001276DE" w:rsidRPr="00E47895" w:rsidRDefault="001276DE" w:rsidP="00CE4138">
            <w:pPr>
              <w:rPr>
                <w:color w:val="000000"/>
                <w:lang w:val="en-US" w:eastAsia="en-US"/>
              </w:rPr>
            </w:pPr>
            <w:r w:rsidRPr="00E47895">
              <w:rPr>
                <w:color w:val="000000"/>
                <w:lang w:val="en-US" w:eastAsia="en-US"/>
              </w:rPr>
              <w:t>Split system</w:t>
            </w:r>
          </w:p>
        </w:tc>
        <w:tc>
          <w:tcPr>
            <w:tcW w:w="1568" w:type="dxa"/>
            <w:tcBorders>
              <w:top w:val="nil"/>
              <w:left w:val="nil"/>
              <w:bottom w:val="nil"/>
              <w:right w:val="nil"/>
            </w:tcBorders>
            <w:vAlign w:val="center"/>
            <w:hideMark/>
          </w:tcPr>
          <w:p w14:paraId="543DDD79" w14:textId="77777777" w:rsidR="001276DE" w:rsidRPr="00E47895" w:rsidRDefault="001276DE" w:rsidP="00CE4138">
            <w:pPr>
              <w:rPr>
                <w:color w:val="000000"/>
                <w:lang w:val="en-US" w:eastAsia="en-US"/>
              </w:rPr>
            </w:pPr>
            <w:r w:rsidRPr="00E47895">
              <w:rPr>
                <w:color w:val="000000"/>
                <w:lang w:val="en-US" w:eastAsia="en-US"/>
              </w:rPr>
              <w:t>Gas boiler</w:t>
            </w:r>
          </w:p>
        </w:tc>
        <w:tc>
          <w:tcPr>
            <w:tcW w:w="1387" w:type="dxa"/>
            <w:gridSpan w:val="2"/>
            <w:tcBorders>
              <w:top w:val="nil"/>
              <w:left w:val="nil"/>
              <w:bottom w:val="nil"/>
              <w:right w:val="nil"/>
            </w:tcBorders>
            <w:vAlign w:val="center"/>
            <w:hideMark/>
          </w:tcPr>
          <w:p w14:paraId="64664F0F" w14:textId="77777777" w:rsidR="001276DE" w:rsidRPr="00E47895" w:rsidRDefault="001276DE" w:rsidP="00CE4138">
            <w:pPr>
              <w:rPr>
                <w:color w:val="000000"/>
                <w:lang w:val="en-US" w:eastAsia="en-US"/>
              </w:rPr>
            </w:pPr>
            <w:r w:rsidRPr="00E47895">
              <w:rPr>
                <w:color w:val="000000"/>
                <w:lang w:val="en-US" w:eastAsia="en-US"/>
              </w:rPr>
              <w:t>Heat recovery</w:t>
            </w:r>
          </w:p>
        </w:tc>
      </w:tr>
      <w:tr w:rsidR="001276DE" w:rsidRPr="00E47895" w14:paraId="0BABFA65" w14:textId="77777777" w:rsidTr="00CE4138">
        <w:trPr>
          <w:trHeight w:val="288"/>
        </w:trPr>
        <w:tc>
          <w:tcPr>
            <w:tcW w:w="621" w:type="dxa"/>
            <w:tcBorders>
              <w:top w:val="nil"/>
              <w:left w:val="nil"/>
              <w:bottom w:val="nil"/>
              <w:right w:val="nil"/>
            </w:tcBorders>
            <w:noWrap/>
            <w:vAlign w:val="center"/>
            <w:hideMark/>
          </w:tcPr>
          <w:p w14:paraId="7ECDD810" w14:textId="77777777" w:rsidR="001276DE" w:rsidRPr="00E47895" w:rsidRDefault="001276DE" w:rsidP="00CE4138">
            <w:pPr>
              <w:rPr>
                <w:b/>
                <w:bCs/>
                <w:color w:val="000000"/>
                <w:lang w:val="en-US" w:eastAsia="en-US"/>
              </w:rPr>
            </w:pPr>
            <w:r w:rsidRPr="00E47895">
              <w:rPr>
                <w:b/>
                <w:bCs/>
                <w:color w:val="000000"/>
                <w:lang w:val="en-US" w:eastAsia="en-US"/>
              </w:rPr>
              <w:t>S4</w:t>
            </w:r>
          </w:p>
        </w:tc>
        <w:tc>
          <w:tcPr>
            <w:tcW w:w="1928" w:type="dxa"/>
            <w:gridSpan w:val="2"/>
            <w:tcBorders>
              <w:top w:val="nil"/>
              <w:left w:val="nil"/>
              <w:bottom w:val="nil"/>
              <w:right w:val="nil"/>
            </w:tcBorders>
            <w:vAlign w:val="center"/>
            <w:hideMark/>
          </w:tcPr>
          <w:p w14:paraId="39E6DF5D" w14:textId="4B10414B" w:rsidR="001276DE" w:rsidRPr="00E47895" w:rsidRDefault="00241D56" w:rsidP="00CE4138">
            <w:pPr>
              <w:rPr>
                <w:color w:val="000000"/>
                <w:lang w:val="en-US" w:eastAsia="en-US"/>
              </w:rPr>
            </w:pPr>
            <w:r>
              <w:rPr>
                <w:color w:val="000000"/>
                <w:lang w:val="en-US" w:eastAsia="en-US"/>
              </w:rPr>
              <w:t>Insulated</w:t>
            </w:r>
          </w:p>
        </w:tc>
        <w:tc>
          <w:tcPr>
            <w:tcW w:w="1987" w:type="dxa"/>
            <w:tcBorders>
              <w:top w:val="nil"/>
              <w:left w:val="nil"/>
              <w:bottom w:val="nil"/>
              <w:right w:val="nil"/>
            </w:tcBorders>
            <w:vAlign w:val="center"/>
            <w:hideMark/>
          </w:tcPr>
          <w:p w14:paraId="6913CEDF" w14:textId="77777777" w:rsidR="001276DE" w:rsidRPr="00E47895" w:rsidRDefault="001276DE" w:rsidP="00CE4138">
            <w:pPr>
              <w:rPr>
                <w:color w:val="000000"/>
                <w:lang w:val="en-US" w:eastAsia="en-US"/>
              </w:rPr>
            </w:pPr>
            <w:r w:rsidRPr="00E47895">
              <w:rPr>
                <w:color w:val="000000"/>
                <w:lang w:val="en-US" w:eastAsia="en-US"/>
              </w:rPr>
              <w:t>Gas boiler, radiators</w:t>
            </w:r>
          </w:p>
        </w:tc>
        <w:tc>
          <w:tcPr>
            <w:tcW w:w="1276" w:type="dxa"/>
            <w:tcBorders>
              <w:top w:val="nil"/>
              <w:left w:val="nil"/>
              <w:bottom w:val="nil"/>
              <w:right w:val="nil"/>
            </w:tcBorders>
            <w:vAlign w:val="center"/>
            <w:hideMark/>
          </w:tcPr>
          <w:p w14:paraId="37F423EB" w14:textId="77777777" w:rsidR="001276DE" w:rsidRPr="00E47895" w:rsidRDefault="001276DE" w:rsidP="00CE4138">
            <w:pPr>
              <w:rPr>
                <w:color w:val="000000"/>
                <w:lang w:val="en-US" w:eastAsia="en-US"/>
              </w:rPr>
            </w:pPr>
            <w:r w:rsidRPr="00E47895">
              <w:rPr>
                <w:color w:val="000000"/>
                <w:lang w:val="en-US" w:eastAsia="en-US"/>
              </w:rPr>
              <w:t>Split system</w:t>
            </w:r>
          </w:p>
        </w:tc>
        <w:tc>
          <w:tcPr>
            <w:tcW w:w="1568" w:type="dxa"/>
            <w:tcBorders>
              <w:top w:val="nil"/>
              <w:left w:val="nil"/>
              <w:bottom w:val="nil"/>
              <w:right w:val="nil"/>
            </w:tcBorders>
            <w:vAlign w:val="center"/>
            <w:hideMark/>
          </w:tcPr>
          <w:p w14:paraId="2C12BF38" w14:textId="77777777" w:rsidR="001276DE" w:rsidRPr="00E47895" w:rsidRDefault="001276DE" w:rsidP="00CE4138">
            <w:pPr>
              <w:rPr>
                <w:color w:val="000000"/>
                <w:lang w:val="en-US" w:eastAsia="en-US"/>
              </w:rPr>
            </w:pPr>
            <w:r w:rsidRPr="00E47895">
              <w:rPr>
                <w:color w:val="000000"/>
                <w:lang w:val="en-US" w:eastAsia="en-US"/>
              </w:rPr>
              <w:t>Solar, gas boiler</w:t>
            </w:r>
          </w:p>
        </w:tc>
        <w:tc>
          <w:tcPr>
            <w:tcW w:w="1387" w:type="dxa"/>
            <w:gridSpan w:val="2"/>
            <w:tcBorders>
              <w:top w:val="nil"/>
              <w:left w:val="nil"/>
              <w:bottom w:val="nil"/>
              <w:right w:val="nil"/>
            </w:tcBorders>
            <w:vAlign w:val="center"/>
            <w:hideMark/>
          </w:tcPr>
          <w:p w14:paraId="663EA0CE" w14:textId="77777777" w:rsidR="001276DE" w:rsidRPr="00E47895" w:rsidRDefault="001276DE" w:rsidP="00CE4138">
            <w:pPr>
              <w:rPr>
                <w:color w:val="000000"/>
                <w:lang w:val="en-US" w:eastAsia="en-US"/>
              </w:rPr>
            </w:pPr>
            <w:r w:rsidRPr="00E47895">
              <w:rPr>
                <w:color w:val="000000"/>
                <w:lang w:val="en-US" w:eastAsia="en-US"/>
              </w:rPr>
              <w:t>Heat recovery</w:t>
            </w:r>
          </w:p>
        </w:tc>
      </w:tr>
      <w:tr w:rsidR="001276DE" w:rsidRPr="00E47895" w14:paraId="53F44DFE" w14:textId="77777777" w:rsidTr="00CE4138">
        <w:trPr>
          <w:trHeight w:val="288"/>
        </w:trPr>
        <w:tc>
          <w:tcPr>
            <w:tcW w:w="621" w:type="dxa"/>
            <w:tcBorders>
              <w:top w:val="nil"/>
              <w:left w:val="nil"/>
              <w:bottom w:val="nil"/>
              <w:right w:val="nil"/>
            </w:tcBorders>
            <w:noWrap/>
            <w:vAlign w:val="center"/>
            <w:hideMark/>
          </w:tcPr>
          <w:p w14:paraId="5FB1BC52" w14:textId="77777777" w:rsidR="001276DE" w:rsidRPr="00E47895" w:rsidRDefault="001276DE" w:rsidP="00CE4138">
            <w:pPr>
              <w:rPr>
                <w:b/>
                <w:bCs/>
                <w:color w:val="000000"/>
                <w:lang w:val="en-US" w:eastAsia="en-US"/>
              </w:rPr>
            </w:pPr>
            <w:r w:rsidRPr="00E47895">
              <w:rPr>
                <w:b/>
                <w:bCs/>
                <w:color w:val="000000"/>
                <w:lang w:val="en-US" w:eastAsia="en-US"/>
              </w:rPr>
              <w:t>S5</w:t>
            </w:r>
          </w:p>
        </w:tc>
        <w:tc>
          <w:tcPr>
            <w:tcW w:w="1928" w:type="dxa"/>
            <w:gridSpan w:val="2"/>
            <w:tcBorders>
              <w:top w:val="nil"/>
              <w:left w:val="nil"/>
              <w:bottom w:val="nil"/>
              <w:right w:val="nil"/>
            </w:tcBorders>
            <w:vAlign w:val="center"/>
            <w:hideMark/>
          </w:tcPr>
          <w:p w14:paraId="40928881" w14:textId="70D6B39B" w:rsidR="001276DE" w:rsidRPr="00E47895" w:rsidRDefault="00241D56" w:rsidP="00CE4138">
            <w:pPr>
              <w:rPr>
                <w:color w:val="000000"/>
                <w:lang w:val="en-US" w:eastAsia="en-US"/>
              </w:rPr>
            </w:pPr>
            <w:r>
              <w:rPr>
                <w:color w:val="000000"/>
                <w:lang w:val="en-US" w:eastAsia="en-US"/>
              </w:rPr>
              <w:t>Insulated</w:t>
            </w:r>
          </w:p>
        </w:tc>
        <w:tc>
          <w:tcPr>
            <w:tcW w:w="1987" w:type="dxa"/>
            <w:tcBorders>
              <w:top w:val="nil"/>
              <w:left w:val="nil"/>
              <w:bottom w:val="nil"/>
              <w:right w:val="nil"/>
            </w:tcBorders>
            <w:vAlign w:val="center"/>
            <w:hideMark/>
          </w:tcPr>
          <w:p w14:paraId="508B9A39" w14:textId="77777777" w:rsidR="001276DE" w:rsidRPr="00E47895" w:rsidRDefault="001276DE" w:rsidP="00CE4138">
            <w:pPr>
              <w:rPr>
                <w:color w:val="000000"/>
                <w:lang w:val="en-US" w:eastAsia="en-US"/>
              </w:rPr>
            </w:pPr>
            <w:r w:rsidRPr="00E47895">
              <w:rPr>
                <w:color w:val="000000"/>
                <w:lang w:val="en-US" w:eastAsia="en-US"/>
              </w:rPr>
              <w:t>Heat pump, FCUs</w:t>
            </w:r>
          </w:p>
        </w:tc>
        <w:tc>
          <w:tcPr>
            <w:tcW w:w="1276" w:type="dxa"/>
            <w:tcBorders>
              <w:top w:val="nil"/>
              <w:left w:val="nil"/>
              <w:bottom w:val="nil"/>
              <w:right w:val="nil"/>
            </w:tcBorders>
            <w:vAlign w:val="center"/>
            <w:hideMark/>
          </w:tcPr>
          <w:p w14:paraId="16A862FD" w14:textId="77777777" w:rsidR="001276DE" w:rsidRPr="00E47895" w:rsidRDefault="001276DE" w:rsidP="00CE4138">
            <w:pPr>
              <w:rPr>
                <w:color w:val="000000"/>
                <w:lang w:val="en-US" w:eastAsia="en-US"/>
              </w:rPr>
            </w:pPr>
            <w:r w:rsidRPr="00E47895">
              <w:rPr>
                <w:color w:val="000000"/>
                <w:lang w:val="en-US" w:eastAsia="en-US"/>
              </w:rPr>
              <w:t>Heat pump</w:t>
            </w:r>
          </w:p>
        </w:tc>
        <w:tc>
          <w:tcPr>
            <w:tcW w:w="1568" w:type="dxa"/>
            <w:tcBorders>
              <w:top w:val="nil"/>
              <w:left w:val="nil"/>
              <w:bottom w:val="nil"/>
              <w:right w:val="nil"/>
            </w:tcBorders>
            <w:vAlign w:val="center"/>
            <w:hideMark/>
          </w:tcPr>
          <w:p w14:paraId="54EA3510" w14:textId="77777777" w:rsidR="001276DE" w:rsidRPr="00E47895" w:rsidRDefault="001276DE" w:rsidP="00CE4138">
            <w:pPr>
              <w:rPr>
                <w:color w:val="000000"/>
                <w:lang w:val="en-US" w:eastAsia="en-US"/>
              </w:rPr>
            </w:pPr>
            <w:r w:rsidRPr="00E47895">
              <w:rPr>
                <w:color w:val="000000"/>
                <w:lang w:val="en-US" w:eastAsia="en-US"/>
              </w:rPr>
              <w:t>Electric heater</w:t>
            </w:r>
          </w:p>
        </w:tc>
        <w:tc>
          <w:tcPr>
            <w:tcW w:w="1387" w:type="dxa"/>
            <w:gridSpan w:val="2"/>
            <w:tcBorders>
              <w:top w:val="nil"/>
              <w:left w:val="nil"/>
              <w:bottom w:val="nil"/>
              <w:right w:val="nil"/>
            </w:tcBorders>
            <w:vAlign w:val="center"/>
            <w:hideMark/>
          </w:tcPr>
          <w:p w14:paraId="380286A6" w14:textId="77777777" w:rsidR="001276DE" w:rsidRPr="00E47895" w:rsidRDefault="001276DE" w:rsidP="00CE4138">
            <w:pPr>
              <w:rPr>
                <w:color w:val="000000"/>
                <w:lang w:val="en-US" w:eastAsia="en-US"/>
              </w:rPr>
            </w:pPr>
            <w:r w:rsidRPr="00E47895">
              <w:rPr>
                <w:color w:val="000000"/>
                <w:lang w:val="en-US" w:eastAsia="en-US"/>
              </w:rPr>
              <w:t>Natural</w:t>
            </w:r>
          </w:p>
        </w:tc>
      </w:tr>
      <w:tr w:rsidR="001276DE" w:rsidRPr="00E47895" w14:paraId="30CE390F" w14:textId="77777777" w:rsidTr="00CE4138">
        <w:trPr>
          <w:trHeight w:val="288"/>
        </w:trPr>
        <w:tc>
          <w:tcPr>
            <w:tcW w:w="621" w:type="dxa"/>
            <w:tcBorders>
              <w:top w:val="nil"/>
              <w:left w:val="nil"/>
              <w:bottom w:val="nil"/>
              <w:right w:val="nil"/>
            </w:tcBorders>
            <w:noWrap/>
            <w:vAlign w:val="center"/>
            <w:hideMark/>
          </w:tcPr>
          <w:p w14:paraId="5E60F23F" w14:textId="77777777" w:rsidR="001276DE" w:rsidRPr="00E47895" w:rsidRDefault="001276DE" w:rsidP="00CE4138">
            <w:pPr>
              <w:rPr>
                <w:b/>
                <w:bCs/>
                <w:color w:val="000000"/>
                <w:lang w:val="en-US" w:eastAsia="en-US"/>
              </w:rPr>
            </w:pPr>
            <w:r w:rsidRPr="00E47895">
              <w:rPr>
                <w:b/>
                <w:bCs/>
                <w:color w:val="000000"/>
                <w:lang w:val="en-US" w:eastAsia="en-US"/>
              </w:rPr>
              <w:t>S6</w:t>
            </w:r>
          </w:p>
        </w:tc>
        <w:tc>
          <w:tcPr>
            <w:tcW w:w="1928" w:type="dxa"/>
            <w:gridSpan w:val="2"/>
            <w:tcBorders>
              <w:top w:val="nil"/>
              <w:left w:val="nil"/>
              <w:bottom w:val="nil"/>
              <w:right w:val="nil"/>
            </w:tcBorders>
            <w:vAlign w:val="center"/>
            <w:hideMark/>
          </w:tcPr>
          <w:p w14:paraId="483A4715" w14:textId="7E979030" w:rsidR="001276DE" w:rsidRPr="00E47895" w:rsidRDefault="00241D56" w:rsidP="00CE4138">
            <w:pPr>
              <w:rPr>
                <w:color w:val="000000"/>
                <w:lang w:val="en-US" w:eastAsia="en-US"/>
              </w:rPr>
            </w:pPr>
            <w:r>
              <w:rPr>
                <w:color w:val="000000"/>
                <w:lang w:val="en-US" w:eastAsia="en-US"/>
              </w:rPr>
              <w:t>Insulated</w:t>
            </w:r>
          </w:p>
        </w:tc>
        <w:tc>
          <w:tcPr>
            <w:tcW w:w="1987" w:type="dxa"/>
            <w:tcBorders>
              <w:top w:val="nil"/>
              <w:left w:val="nil"/>
              <w:bottom w:val="nil"/>
              <w:right w:val="nil"/>
            </w:tcBorders>
            <w:vAlign w:val="center"/>
            <w:hideMark/>
          </w:tcPr>
          <w:p w14:paraId="7EC5D58E" w14:textId="77777777" w:rsidR="001276DE" w:rsidRPr="00E47895" w:rsidRDefault="001276DE" w:rsidP="00CE4138">
            <w:pPr>
              <w:rPr>
                <w:color w:val="000000"/>
                <w:lang w:val="en-US" w:eastAsia="en-US"/>
              </w:rPr>
            </w:pPr>
            <w:r w:rsidRPr="00E47895">
              <w:rPr>
                <w:color w:val="000000"/>
                <w:lang w:val="en-US" w:eastAsia="en-US"/>
              </w:rPr>
              <w:t>Heat pump, FCUs</w:t>
            </w:r>
          </w:p>
        </w:tc>
        <w:tc>
          <w:tcPr>
            <w:tcW w:w="1276" w:type="dxa"/>
            <w:tcBorders>
              <w:top w:val="nil"/>
              <w:left w:val="nil"/>
              <w:bottom w:val="nil"/>
              <w:right w:val="nil"/>
            </w:tcBorders>
            <w:vAlign w:val="center"/>
            <w:hideMark/>
          </w:tcPr>
          <w:p w14:paraId="069E9C21" w14:textId="77777777" w:rsidR="001276DE" w:rsidRPr="00E47895" w:rsidRDefault="001276DE" w:rsidP="00CE4138">
            <w:pPr>
              <w:rPr>
                <w:color w:val="000000"/>
                <w:lang w:val="en-US" w:eastAsia="en-US"/>
              </w:rPr>
            </w:pPr>
            <w:r w:rsidRPr="00E47895">
              <w:rPr>
                <w:color w:val="000000"/>
                <w:lang w:val="en-US" w:eastAsia="en-US"/>
              </w:rPr>
              <w:t>Heat pump</w:t>
            </w:r>
          </w:p>
        </w:tc>
        <w:tc>
          <w:tcPr>
            <w:tcW w:w="1568" w:type="dxa"/>
            <w:tcBorders>
              <w:top w:val="nil"/>
              <w:left w:val="nil"/>
              <w:bottom w:val="nil"/>
              <w:right w:val="nil"/>
            </w:tcBorders>
            <w:vAlign w:val="center"/>
            <w:hideMark/>
          </w:tcPr>
          <w:p w14:paraId="0DD85510" w14:textId="77777777" w:rsidR="001276DE" w:rsidRPr="00E47895" w:rsidRDefault="001276DE" w:rsidP="00CE4138">
            <w:pPr>
              <w:rPr>
                <w:color w:val="000000"/>
                <w:lang w:val="en-US" w:eastAsia="en-US"/>
              </w:rPr>
            </w:pPr>
            <w:r w:rsidRPr="00E47895">
              <w:rPr>
                <w:color w:val="000000"/>
                <w:lang w:val="en-US" w:eastAsia="en-US"/>
              </w:rPr>
              <w:t>Electric heater</w:t>
            </w:r>
          </w:p>
        </w:tc>
        <w:tc>
          <w:tcPr>
            <w:tcW w:w="1387" w:type="dxa"/>
            <w:gridSpan w:val="2"/>
            <w:tcBorders>
              <w:top w:val="nil"/>
              <w:left w:val="nil"/>
              <w:bottom w:val="nil"/>
              <w:right w:val="nil"/>
            </w:tcBorders>
            <w:vAlign w:val="center"/>
            <w:hideMark/>
          </w:tcPr>
          <w:p w14:paraId="3F440DB2" w14:textId="77777777" w:rsidR="001276DE" w:rsidRPr="00E47895" w:rsidRDefault="001276DE" w:rsidP="00CE4138">
            <w:pPr>
              <w:rPr>
                <w:color w:val="000000"/>
                <w:lang w:val="en-US" w:eastAsia="en-US"/>
              </w:rPr>
            </w:pPr>
            <w:r w:rsidRPr="00E47895">
              <w:rPr>
                <w:color w:val="000000"/>
                <w:lang w:val="en-US" w:eastAsia="en-US"/>
              </w:rPr>
              <w:t>Heat recovery</w:t>
            </w:r>
          </w:p>
        </w:tc>
      </w:tr>
      <w:tr w:rsidR="001276DE" w:rsidRPr="00E47895" w14:paraId="395108F7" w14:textId="77777777" w:rsidTr="00CE4138">
        <w:trPr>
          <w:trHeight w:val="288"/>
        </w:trPr>
        <w:tc>
          <w:tcPr>
            <w:tcW w:w="621" w:type="dxa"/>
            <w:tcBorders>
              <w:top w:val="nil"/>
              <w:left w:val="nil"/>
              <w:bottom w:val="nil"/>
              <w:right w:val="nil"/>
            </w:tcBorders>
            <w:noWrap/>
            <w:vAlign w:val="center"/>
            <w:hideMark/>
          </w:tcPr>
          <w:p w14:paraId="726FD4A8" w14:textId="77777777" w:rsidR="001276DE" w:rsidRPr="00E47895" w:rsidRDefault="001276DE" w:rsidP="00CE4138">
            <w:pPr>
              <w:rPr>
                <w:b/>
                <w:bCs/>
                <w:color w:val="000000"/>
                <w:lang w:val="en-US" w:eastAsia="en-US"/>
              </w:rPr>
            </w:pPr>
            <w:r w:rsidRPr="00E47895">
              <w:rPr>
                <w:b/>
                <w:bCs/>
                <w:color w:val="000000"/>
                <w:lang w:val="en-US" w:eastAsia="en-US"/>
              </w:rPr>
              <w:t>S7</w:t>
            </w:r>
          </w:p>
        </w:tc>
        <w:tc>
          <w:tcPr>
            <w:tcW w:w="1928" w:type="dxa"/>
            <w:gridSpan w:val="2"/>
            <w:tcBorders>
              <w:top w:val="nil"/>
              <w:left w:val="nil"/>
              <w:bottom w:val="nil"/>
              <w:right w:val="nil"/>
            </w:tcBorders>
            <w:vAlign w:val="center"/>
            <w:hideMark/>
          </w:tcPr>
          <w:p w14:paraId="473E1390" w14:textId="3CD3BEE8" w:rsidR="001276DE" w:rsidRPr="00E47895" w:rsidRDefault="00241D56" w:rsidP="00CE4138">
            <w:pPr>
              <w:rPr>
                <w:color w:val="000000"/>
                <w:lang w:val="en-US" w:eastAsia="en-US"/>
              </w:rPr>
            </w:pPr>
            <w:r>
              <w:rPr>
                <w:color w:val="000000"/>
                <w:lang w:val="en-US" w:eastAsia="en-US"/>
              </w:rPr>
              <w:t>Insulated</w:t>
            </w:r>
          </w:p>
        </w:tc>
        <w:tc>
          <w:tcPr>
            <w:tcW w:w="1987" w:type="dxa"/>
            <w:tcBorders>
              <w:top w:val="nil"/>
              <w:left w:val="nil"/>
              <w:bottom w:val="nil"/>
              <w:right w:val="nil"/>
            </w:tcBorders>
            <w:vAlign w:val="center"/>
            <w:hideMark/>
          </w:tcPr>
          <w:p w14:paraId="33814FC2" w14:textId="77777777" w:rsidR="001276DE" w:rsidRPr="00E47895" w:rsidRDefault="001276DE" w:rsidP="00CE4138">
            <w:pPr>
              <w:rPr>
                <w:color w:val="000000"/>
                <w:lang w:val="en-US" w:eastAsia="en-US"/>
              </w:rPr>
            </w:pPr>
            <w:r w:rsidRPr="00E47895">
              <w:rPr>
                <w:color w:val="000000"/>
                <w:lang w:val="en-US" w:eastAsia="en-US"/>
              </w:rPr>
              <w:t>Heat pump, FCUs</w:t>
            </w:r>
          </w:p>
        </w:tc>
        <w:tc>
          <w:tcPr>
            <w:tcW w:w="1276" w:type="dxa"/>
            <w:tcBorders>
              <w:top w:val="nil"/>
              <w:left w:val="nil"/>
              <w:bottom w:val="nil"/>
              <w:right w:val="nil"/>
            </w:tcBorders>
            <w:vAlign w:val="center"/>
            <w:hideMark/>
          </w:tcPr>
          <w:p w14:paraId="02DD9428" w14:textId="77777777" w:rsidR="001276DE" w:rsidRPr="00E47895" w:rsidRDefault="001276DE" w:rsidP="00CE4138">
            <w:pPr>
              <w:rPr>
                <w:color w:val="000000"/>
                <w:lang w:val="en-US" w:eastAsia="en-US"/>
              </w:rPr>
            </w:pPr>
            <w:r w:rsidRPr="00E47895">
              <w:rPr>
                <w:color w:val="000000"/>
                <w:lang w:val="en-US" w:eastAsia="en-US"/>
              </w:rPr>
              <w:t>Heat pump</w:t>
            </w:r>
          </w:p>
        </w:tc>
        <w:tc>
          <w:tcPr>
            <w:tcW w:w="1568" w:type="dxa"/>
            <w:tcBorders>
              <w:top w:val="nil"/>
              <w:left w:val="nil"/>
              <w:bottom w:val="nil"/>
              <w:right w:val="nil"/>
            </w:tcBorders>
            <w:vAlign w:val="center"/>
            <w:hideMark/>
          </w:tcPr>
          <w:p w14:paraId="09896B5F" w14:textId="77777777" w:rsidR="001276DE" w:rsidRPr="00E47895" w:rsidRDefault="001276DE" w:rsidP="00CE4138">
            <w:pPr>
              <w:rPr>
                <w:color w:val="000000"/>
                <w:lang w:val="en-US" w:eastAsia="en-US"/>
              </w:rPr>
            </w:pPr>
            <w:r w:rsidRPr="00E47895">
              <w:rPr>
                <w:color w:val="000000"/>
                <w:lang w:val="en-US" w:eastAsia="en-US"/>
              </w:rPr>
              <w:t>Heat pump</w:t>
            </w:r>
          </w:p>
        </w:tc>
        <w:tc>
          <w:tcPr>
            <w:tcW w:w="1387" w:type="dxa"/>
            <w:gridSpan w:val="2"/>
            <w:tcBorders>
              <w:top w:val="nil"/>
              <w:left w:val="nil"/>
              <w:bottom w:val="nil"/>
              <w:right w:val="nil"/>
            </w:tcBorders>
            <w:vAlign w:val="center"/>
            <w:hideMark/>
          </w:tcPr>
          <w:p w14:paraId="77E8CEC3" w14:textId="77777777" w:rsidR="001276DE" w:rsidRPr="00E47895" w:rsidRDefault="001276DE" w:rsidP="00CE4138">
            <w:pPr>
              <w:rPr>
                <w:color w:val="000000"/>
                <w:lang w:val="en-US" w:eastAsia="en-US"/>
              </w:rPr>
            </w:pPr>
            <w:r w:rsidRPr="00E47895">
              <w:rPr>
                <w:color w:val="000000"/>
                <w:lang w:val="en-US" w:eastAsia="en-US"/>
              </w:rPr>
              <w:t>Heat recovery</w:t>
            </w:r>
          </w:p>
        </w:tc>
      </w:tr>
      <w:tr w:rsidR="001276DE" w:rsidRPr="00E47895" w14:paraId="35A688E9" w14:textId="77777777" w:rsidTr="00CE4138">
        <w:trPr>
          <w:trHeight w:val="288"/>
        </w:trPr>
        <w:tc>
          <w:tcPr>
            <w:tcW w:w="621" w:type="dxa"/>
            <w:tcBorders>
              <w:top w:val="nil"/>
              <w:left w:val="nil"/>
              <w:bottom w:val="nil"/>
              <w:right w:val="nil"/>
            </w:tcBorders>
            <w:noWrap/>
            <w:vAlign w:val="center"/>
          </w:tcPr>
          <w:p w14:paraId="74D1B947" w14:textId="77777777" w:rsidR="001276DE" w:rsidRPr="00E47895" w:rsidRDefault="001276DE" w:rsidP="00CE4138">
            <w:pPr>
              <w:rPr>
                <w:b/>
                <w:bCs/>
                <w:color w:val="000000"/>
                <w:lang w:val="en-US" w:eastAsia="en-US"/>
              </w:rPr>
            </w:pPr>
            <w:r w:rsidRPr="00E47895">
              <w:rPr>
                <w:b/>
                <w:bCs/>
                <w:color w:val="000000"/>
                <w:lang w:val="en-US" w:eastAsia="en-US"/>
              </w:rPr>
              <w:t>S8</w:t>
            </w:r>
          </w:p>
        </w:tc>
        <w:tc>
          <w:tcPr>
            <w:tcW w:w="1928" w:type="dxa"/>
            <w:gridSpan w:val="2"/>
            <w:tcBorders>
              <w:top w:val="nil"/>
              <w:left w:val="nil"/>
              <w:bottom w:val="nil"/>
              <w:right w:val="nil"/>
            </w:tcBorders>
            <w:vAlign w:val="center"/>
          </w:tcPr>
          <w:p w14:paraId="2CBDD8EC" w14:textId="7FA3A63F" w:rsidR="001276DE" w:rsidRPr="00E47895" w:rsidRDefault="00241D56" w:rsidP="00CE4138">
            <w:pPr>
              <w:rPr>
                <w:color w:val="000000"/>
                <w:lang w:val="en-US" w:eastAsia="en-US"/>
              </w:rPr>
            </w:pPr>
            <w:r>
              <w:rPr>
                <w:color w:val="000000"/>
                <w:lang w:val="en-US" w:eastAsia="en-US"/>
              </w:rPr>
              <w:t>Insulated</w:t>
            </w:r>
          </w:p>
        </w:tc>
        <w:tc>
          <w:tcPr>
            <w:tcW w:w="1987" w:type="dxa"/>
            <w:tcBorders>
              <w:top w:val="nil"/>
              <w:left w:val="nil"/>
              <w:bottom w:val="nil"/>
              <w:right w:val="nil"/>
            </w:tcBorders>
            <w:vAlign w:val="center"/>
          </w:tcPr>
          <w:p w14:paraId="0A37A097" w14:textId="77777777" w:rsidR="001276DE" w:rsidRPr="00E47895" w:rsidRDefault="001276DE" w:rsidP="00CE4138">
            <w:pPr>
              <w:rPr>
                <w:color w:val="000000"/>
                <w:lang w:val="en-US" w:eastAsia="en-US"/>
              </w:rPr>
            </w:pPr>
            <w:r w:rsidRPr="00E47895">
              <w:rPr>
                <w:color w:val="000000"/>
                <w:lang w:val="en-US" w:eastAsia="en-US"/>
              </w:rPr>
              <w:t>Electric heater + PV</w:t>
            </w:r>
          </w:p>
        </w:tc>
        <w:tc>
          <w:tcPr>
            <w:tcW w:w="1276" w:type="dxa"/>
            <w:tcBorders>
              <w:top w:val="nil"/>
              <w:left w:val="nil"/>
              <w:bottom w:val="nil"/>
              <w:right w:val="nil"/>
            </w:tcBorders>
            <w:vAlign w:val="center"/>
          </w:tcPr>
          <w:p w14:paraId="131885F1" w14:textId="77777777" w:rsidR="001276DE" w:rsidRPr="00E47895" w:rsidRDefault="001276DE" w:rsidP="00CE4138">
            <w:pPr>
              <w:rPr>
                <w:color w:val="000000"/>
                <w:lang w:val="en-US" w:eastAsia="en-US"/>
              </w:rPr>
            </w:pPr>
            <w:r w:rsidRPr="00E47895">
              <w:rPr>
                <w:color w:val="000000"/>
                <w:lang w:val="en-US" w:eastAsia="en-US"/>
              </w:rPr>
              <w:t>Split system</w:t>
            </w:r>
          </w:p>
        </w:tc>
        <w:tc>
          <w:tcPr>
            <w:tcW w:w="1568" w:type="dxa"/>
            <w:tcBorders>
              <w:top w:val="nil"/>
              <w:left w:val="nil"/>
              <w:bottom w:val="nil"/>
              <w:right w:val="nil"/>
            </w:tcBorders>
            <w:vAlign w:val="center"/>
          </w:tcPr>
          <w:p w14:paraId="2ED73429" w14:textId="77777777" w:rsidR="001276DE" w:rsidRPr="00E47895" w:rsidRDefault="001276DE" w:rsidP="00CE4138">
            <w:pPr>
              <w:rPr>
                <w:color w:val="000000"/>
                <w:lang w:val="en-US" w:eastAsia="en-US"/>
              </w:rPr>
            </w:pPr>
            <w:r w:rsidRPr="00E47895">
              <w:rPr>
                <w:color w:val="000000"/>
                <w:lang w:val="en-US" w:eastAsia="en-US"/>
              </w:rPr>
              <w:t>Electric heater</w:t>
            </w:r>
          </w:p>
        </w:tc>
        <w:tc>
          <w:tcPr>
            <w:tcW w:w="1387" w:type="dxa"/>
            <w:gridSpan w:val="2"/>
            <w:tcBorders>
              <w:top w:val="nil"/>
              <w:left w:val="nil"/>
              <w:bottom w:val="nil"/>
              <w:right w:val="nil"/>
            </w:tcBorders>
            <w:vAlign w:val="center"/>
          </w:tcPr>
          <w:p w14:paraId="10F8D8EC" w14:textId="77777777" w:rsidR="001276DE" w:rsidRPr="00E47895" w:rsidRDefault="001276DE" w:rsidP="00CE4138">
            <w:pPr>
              <w:rPr>
                <w:color w:val="000000"/>
                <w:lang w:val="en-US" w:eastAsia="en-US"/>
              </w:rPr>
            </w:pPr>
            <w:r w:rsidRPr="00E47895">
              <w:rPr>
                <w:color w:val="000000"/>
                <w:lang w:val="en-US" w:eastAsia="en-US"/>
              </w:rPr>
              <w:t>Natural</w:t>
            </w:r>
          </w:p>
        </w:tc>
      </w:tr>
      <w:tr w:rsidR="001276DE" w:rsidRPr="00E47895" w14:paraId="39B26525" w14:textId="77777777" w:rsidTr="00CE4138">
        <w:trPr>
          <w:trHeight w:val="288"/>
        </w:trPr>
        <w:tc>
          <w:tcPr>
            <w:tcW w:w="621" w:type="dxa"/>
            <w:tcBorders>
              <w:top w:val="nil"/>
              <w:left w:val="nil"/>
              <w:bottom w:val="single" w:sz="4" w:space="0" w:color="auto"/>
              <w:right w:val="nil"/>
            </w:tcBorders>
            <w:noWrap/>
            <w:vAlign w:val="center"/>
          </w:tcPr>
          <w:p w14:paraId="50DF2ECE" w14:textId="77777777" w:rsidR="001276DE" w:rsidRPr="00E47895" w:rsidRDefault="001276DE" w:rsidP="00CE4138">
            <w:pPr>
              <w:rPr>
                <w:b/>
                <w:bCs/>
                <w:color w:val="000000"/>
                <w:lang w:val="en-US" w:eastAsia="en-US"/>
              </w:rPr>
            </w:pPr>
            <w:r w:rsidRPr="00E47895">
              <w:rPr>
                <w:b/>
                <w:bCs/>
                <w:color w:val="000000"/>
                <w:lang w:val="en-US" w:eastAsia="en-US"/>
              </w:rPr>
              <w:t>S9</w:t>
            </w:r>
          </w:p>
        </w:tc>
        <w:tc>
          <w:tcPr>
            <w:tcW w:w="1928" w:type="dxa"/>
            <w:gridSpan w:val="2"/>
            <w:tcBorders>
              <w:top w:val="nil"/>
              <w:left w:val="nil"/>
              <w:bottom w:val="single" w:sz="4" w:space="0" w:color="auto"/>
              <w:right w:val="nil"/>
            </w:tcBorders>
            <w:vAlign w:val="center"/>
          </w:tcPr>
          <w:p w14:paraId="1D137EB6" w14:textId="58AC692B" w:rsidR="001276DE" w:rsidRPr="00E47895" w:rsidRDefault="00241D56" w:rsidP="00CE4138">
            <w:pPr>
              <w:rPr>
                <w:color w:val="000000"/>
                <w:lang w:val="en-US" w:eastAsia="en-US"/>
              </w:rPr>
            </w:pPr>
            <w:r>
              <w:rPr>
                <w:color w:val="000000"/>
                <w:lang w:val="en-US" w:eastAsia="en-US"/>
              </w:rPr>
              <w:t>Insulated</w:t>
            </w:r>
          </w:p>
        </w:tc>
        <w:tc>
          <w:tcPr>
            <w:tcW w:w="1987" w:type="dxa"/>
            <w:tcBorders>
              <w:top w:val="nil"/>
              <w:left w:val="nil"/>
              <w:bottom w:val="single" w:sz="4" w:space="0" w:color="auto"/>
              <w:right w:val="nil"/>
            </w:tcBorders>
            <w:vAlign w:val="center"/>
          </w:tcPr>
          <w:p w14:paraId="0FF0D8D9" w14:textId="77777777" w:rsidR="001276DE" w:rsidRPr="00E47895" w:rsidRDefault="001276DE" w:rsidP="00CE4138">
            <w:pPr>
              <w:rPr>
                <w:color w:val="000000"/>
                <w:lang w:val="en-US" w:eastAsia="en-US"/>
              </w:rPr>
            </w:pPr>
            <w:r w:rsidRPr="00E47895">
              <w:rPr>
                <w:color w:val="000000"/>
                <w:lang w:val="en-US" w:eastAsia="en-US"/>
              </w:rPr>
              <w:t>Electric heater + PV</w:t>
            </w:r>
          </w:p>
        </w:tc>
        <w:tc>
          <w:tcPr>
            <w:tcW w:w="1276" w:type="dxa"/>
            <w:tcBorders>
              <w:top w:val="nil"/>
              <w:left w:val="nil"/>
              <w:bottom w:val="single" w:sz="4" w:space="0" w:color="auto"/>
              <w:right w:val="nil"/>
            </w:tcBorders>
            <w:vAlign w:val="center"/>
          </w:tcPr>
          <w:p w14:paraId="25BBB04F" w14:textId="77777777" w:rsidR="001276DE" w:rsidRPr="00E47895" w:rsidRDefault="001276DE" w:rsidP="00CE4138">
            <w:pPr>
              <w:rPr>
                <w:color w:val="000000"/>
                <w:lang w:val="en-US" w:eastAsia="en-US"/>
              </w:rPr>
            </w:pPr>
            <w:r w:rsidRPr="00E47895">
              <w:rPr>
                <w:color w:val="000000"/>
                <w:lang w:val="en-US" w:eastAsia="en-US"/>
              </w:rPr>
              <w:t>Split system</w:t>
            </w:r>
          </w:p>
        </w:tc>
        <w:tc>
          <w:tcPr>
            <w:tcW w:w="1658" w:type="dxa"/>
            <w:gridSpan w:val="2"/>
            <w:tcBorders>
              <w:top w:val="nil"/>
              <w:left w:val="nil"/>
              <w:bottom w:val="single" w:sz="4" w:space="0" w:color="auto"/>
              <w:right w:val="nil"/>
            </w:tcBorders>
            <w:vAlign w:val="center"/>
          </w:tcPr>
          <w:p w14:paraId="2C67985F" w14:textId="77777777" w:rsidR="001276DE" w:rsidRPr="00E47895" w:rsidRDefault="001276DE" w:rsidP="00CE4138">
            <w:pPr>
              <w:rPr>
                <w:color w:val="000000"/>
                <w:lang w:val="en-US" w:eastAsia="en-US"/>
              </w:rPr>
            </w:pPr>
            <w:r w:rsidRPr="00E47895">
              <w:rPr>
                <w:color w:val="000000"/>
                <w:lang w:val="en-US" w:eastAsia="en-US"/>
              </w:rPr>
              <w:t>Electric heater</w:t>
            </w:r>
          </w:p>
        </w:tc>
        <w:tc>
          <w:tcPr>
            <w:tcW w:w="1297" w:type="dxa"/>
            <w:tcBorders>
              <w:top w:val="nil"/>
              <w:left w:val="nil"/>
              <w:bottom w:val="single" w:sz="4" w:space="0" w:color="auto"/>
              <w:right w:val="nil"/>
            </w:tcBorders>
            <w:vAlign w:val="center"/>
          </w:tcPr>
          <w:p w14:paraId="1D4D4DE7" w14:textId="77777777" w:rsidR="001276DE" w:rsidRPr="00E47895" w:rsidRDefault="001276DE" w:rsidP="00CE4138">
            <w:pPr>
              <w:ind w:left="-105"/>
              <w:rPr>
                <w:color w:val="000000"/>
                <w:lang w:val="en-US" w:eastAsia="en-US"/>
              </w:rPr>
            </w:pPr>
            <w:r w:rsidRPr="00E47895">
              <w:rPr>
                <w:color w:val="000000"/>
                <w:lang w:val="en-US" w:eastAsia="en-US"/>
              </w:rPr>
              <w:t>Heat recovery</w:t>
            </w:r>
          </w:p>
        </w:tc>
      </w:tr>
    </w:tbl>
    <w:p w14:paraId="4313AD4F" w14:textId="77777777" w:rsidR="0096393A" w:rsidRDefault="0096393A" w:rsidP="008A0A2B">
      <w:pPr>
        <w:spacing w:line="276" w:lineRule="auto"/>
        <w:ind w:firstLine="340"/>
        <w:rPr>
          <w:lang w:val="en-US"/>
        </w:rPr>
      </w:pPr>
    </w:p>
    <w:p w14:paraId="33F3501E" w14:textId="77777777" w:rsidR="009D3FE7" w:rsidRDefault="009D3FE7" w:rsidP="009D3FE7">
      <w:pPr>
        <w:spacing w:line="276" w:lineRule="auto"/>
        <w:ind w:firstLine="720"/>
        <w:rPr>
          <w:lang w:val="en-US"/>
        </w:rPr>
      </w:pPr>
      <w:r w:rsidRPr="009D3FE7">
        <w:rPr>
          <w:lang w:val="en-US"/>
        </w:rPr>
        <w:t>After defining the system variants to be analyzed, each configuration was developed in TRNSYS as a dynamic simulation model.</w:t>
      </w:r>
      <w:r>
        <w:rPr>
          <w:lang w:val="en-US"/>
        </w:rPr>
        <w:t xml:space="preserve"> </w:t>
      </w:r>
      <w:r w:rsidRPr="009D3FE7">
        <w:rPr>
          <w:lang w:val="en-US"/>
        </w:rPr>
        <w:t>The simulations were carried out over a one-year period to evaluate the energy performance, economic feasibility, and emission characteristics of each system variant.</w:t>
      </w:r>
      <w:r>
        <w:rPr>
          <w:lang w:val="en-US"/>
        </w:rPr>
        <w:t xml:space="preserve"> </w:t>
      </w:r>
    </w:p>
    <w:p w14:paraId="4C03BF1C" w14:textId="35986F51" w:rsidR="008A0A2B" w:rsidRPr="008A0A2B" w:rsidRDefault="008A0A2B" w:rsidP="009D3FE7">
      <w:pPr>
        <w:spacing w:line="276" w:lineRule="auto"/>
        <w:ind w:firstLine="340"/>
        <w:rPr>
          <w:lang w:val="en-US"/>
        </w:rPr>
      </w:pPr>
      <w:r w:rsidRPr="008A0A2B">
        <w:rPr>
          <w:lang w:val="en-US"/>
        </w:rPr>
        <w:t>A summary of the principal system components used in the simulations, along with their corresponding TRNSYS Types and TESS library components, is presented in T</w:t>
      </w:r>
      <w:r w:rsidR="00AF63DA">
        <w:rPr>
          <w:lang w:val="en-US"/>
        </w:rPr>
        <w:t>ab.</w:t>
      </w:r>
      <w:r w:rsidRPr="008A0A2B">
        <w:rPr>
          <w:lang w:val="en-US"/>
        </w:rPr>
        <w:t xml:space="preserve"> 4.</w:t>
      </w:r>
    </w:p>
    <w:p w14:paraId="3DD9E685" w14:textId="77777777" w:rsidR="008A0A2B" w:rsidRDefault="008A0A2B" w:rsidP="008A0A2B">
      <w:pPr>
        <w:spacing w:line="276" w:lineRule="auto"/>
        <w:ind w:firstLine="340"/>
        <w:rPr>
          <w:b/>
          <w:sz w:val="16"/>
          <w:lang w:val="en-GB"/>
        </w:rPr>
      </w:pPr>
    </w:p>
    <w:p w14:paraId="1145F844" w14:textId="35CD0E45" w:rsidR="00E37AB6" w:rsidRPr="00A532AE" w:rsidRDefault="00E37AB6" w:rsidP="00E37AB6">
      <w:pPr>
        <w:spacing w:line="276" w:lineRule="auto"/>
        <w:ind w:firstLine="340"/>
        <w:jc w:val="center"/>
        <w:rPr>
          <w:b/>
          <w:sz w:val="16"/>
          <w:lang w:val="en-GB"/>
        </w:rPr>
      </w:pPr>
      <w:r w:rsidRPr="00A532AE">
        <w:rPr>
          <w:b/>
          <w:sz w:val="16"/>
          <w:lang w:val="en-GB"/>
        </w:rPr>
        <w:t xml:space="preserve">Tab. </w:t>
      </w:r>
      <w:r>
        <w:rPr>
          <w:b/>
          <w:sz w:val="16"/>
          <w:lang w:val="en-GB"/>
        </w:rPr>
        <w:t>4</w:t>
      </w:r>
      <w:r w:rsidRPr="00A532AE">
        <w:rPr>
          <w:b/>
          <w:sz w:val="16"/>
          <w:lang w:val="en-GB"/>
        </w:rPr>
        <w:t xml:space="preserve">: </w:t>
      </w:r>
      <w:r>
        <w:rPr>
          <w:b/>
          <w:sz w:val="16"/>
          <w:lang w:val="en-GB"/>
        </w:rPr>
        <w:t xml:space="preserve">System component </w:t>
      </w:r>
      <w:r w:rsidR="00FB654F">
        <w:rPr>
          <w:b/>
          <w:sz w:val="16"/>
          <w:lang w:val="en-GB"/>
        </w:rPr>
        <w:t>summary with</w:t>
      </w:r>
      <w:r w:rsidR="00E20FDB">
        <w:rPr>
          <w:b/>
          <w:sz w:val="16"/>
          <w:lang w:val="en-GB"/>
        </w:rPr>
        <w:t xml:space="preserve"> corresponding TRNSYS Type</w:t>
      </w:r>
    </w:p>
    <w:tbl>
      <w:tblPr>
        <w:tblW w:w="6383" w:type="dxa"/>
        <w:jc w:val="center"/>
        <w:tblLook w:val="04A0" w:firstRow="1" w:lastRow="0" w:firstColumn="1" w:lastColumn="0" w:noHBand="0" w:noVBand="1"/>
      </w:tblPr>
      <w:tblGrid>
        <w:gridCol w:w="1777"/>
        <w:gridCol w:w="350"/>
        <w:gridCol w:w="538"/>
        <w:gridCol w:w="888"/>
        <w:gridCol w:w="558"/>
        <w:gridCol w:w="2036"/>
        <w:gridCol w:w="236"/>
      </w:tblGrid>
      <w:tr w:rsidR="00E37AB6" w:rsidRPr="00E37AB6" w14:paraId="4B899028" w14:textId="77777777" w:rsidTr="00933EF3">
        <w:trPr>
          <w:gridAfter w:val="1"/>
          <w:wAfter w:w="236" w:type="dxa"/>
          <w:trHeight w:val="300"/>
          <w:jc w:val="center"/>
        </w:trPr>
        <w:tc>
          <w:tcPr>
            <w:tcW w:w="2127" w:type="dxa"/>
            <w:gridSpan w:val="2"/>
            <w:tcBorders>
              <w:top w:val="single" w:sz="4" w:space="0" w:color="auto"/>
              <w:left w:val="nil"/>
              <w:bottom w:val="single" w:sz="4" w:space="0" w:color="auto"/>
              <w:right w:val="nil"/>
            </w:tcBorders>
            <w:shd w:val="clear" w:color="auto" w:fill="auto"/>
            <w:noWrap/>
            <w:vAlign w:val="center"/>
            <w:hideMark/>
          </w:tcPr>
          <w:p w14:paraId="39169881" w14:textId="77777777" w:rsidR="00E37AB6" w:rsidRPr="00E37AB6" w:rsidRDefault="00E37AB6" w:rsidP="00E37AB6">
            <w:pPr>
              <w:autoSpaceDE/>
              <w:autoSpaceDN/>
              <w:rPr>
                <w:b/>
                <w:color w:val="000000"/>
                <w:lang w:val="en-US" w:eastAsia="en-US"/>
              </w:rPr>
            </w:pPr>
            <w:r w:rsidRPr="00E37AB6">
              <w:rPr>
                <w:b/>
                <w:color w:val="000000"/>
                <w:lang w:val="en-US" w:eastAsia="en-US"/>
              </w:rPr>
              <w:t>System component</w:t>
            </w:r>
          </w:p>
        </w:tc>
        <w:tc>
          <w:tcPr>
            <w:tcW w:w="538" w:type="dxa"/>
            <w:tcBorders>
              <w:top w:val="single" w:sz="4" w:space="0" w:color="auto"/>
              <w:left w:val="nil"/>
              <w:bottom w:val="single" w:sz="4" w:space="0" w:color="auto"/>
              <w:right w:val="nil"/>
            </w:tcBorders>
            <w:shd w:val="clear" w:color="auto" w:fill="auto"/>
            <w:noWrap/>
            <w:vAlign w:val="center"/>
            <w:hideMark/>
          </w:tcPr>
          <w:p w14:paraId="32E57191" w14:textId="186C6BDD" w:rsidR="00E37AB6" w:rsidRPr="00E37AB6" w:rsidRDefault="00E37AB6" w:rsidP="00E37AB6">
            <w:pPr>
              <w:autoSpaceDE/>
              <w:autoSpaceDN/>
              <w:rPr>
                <w:b/>
                <w:color w:val="000000"/>
                <w:lang w:val="en-US" w:eastAsia="en-US"/>
              </w:rPr>
            </w:pPr>
          </w:p>
        </w:tc>
        <w:tc>
          <w:tcPr>
            <w:tcW w:w="888" w:type="dxa"/>
            <w:tcBorders>
              <w:top w:val="single" w:sz="4" w:space="0" w:color="auto"/>
              <w:left w:val="nil"/>
              <w:bottom w:val="single" w:sz="4" w:space="0" w:color="auto"/>
              <w:right w:val="nil"/>
            </w:tcBorders>
            <w:shd w:val="clear" w:color="auto" w:fill="auto"/>
            <w:noWrap/>
            <w:vAlign w:val="center"/>
            <w:hideMark/>
          </w:tcPr>
          <w:p w14:paraId="2742A650" w14:textId="1272B27D" w:rsidR="00E37AB6" w:rsidRPr="00E37AB6" w:rsidRDefault="00E37AB6" w:rsidP="00E37AB6">
            <w:pPr>
              <w:autoSpaceDE/>
              <w:autoSpaceDN/>
              <w:rPr>
                <w:b/>
                <w:color w:val="000000"/>
                <w:lang w:val="en-US" w:eastAsia="en-US"/>
              </w:rPr>
            </w:pPr>
          </w:p>
        </w:tc>
        <w:tc>
          <w:tcPr>
            <w:tcW w:w="558" w:type="dxa"/>
            <w:tcBorders>
              <w:top w:val="single" w:sz="4" w:space="0" w:color="auto"/>
              <w:left w:val="nil"/>
              <w:bottom w:val="single" w:sz="4" w:space="0" w:color="auto"/>
              <w:right w:val="nil"/>
            </w:tcBorders>
            <w:shd w:val="clear" w:color="auto" w:fill="auto"/>
            <w:noWrap/>
            <w:vAlign w:val="center"/>
            <w:hideMark/>
          </w:tcPr>
          <w:p w14:paraId="42F30E59" w14:textId="55361789" w:rsidR="00E37AB6" w:rsidRPr="00E37AB6" w:rsidRDefault="00E37AB6" w:rsidP="00E37AB6">
            <w:pPr>
              <w:autoSpaceDE/>
              <w:autoSpaceDN/>
              <w:rPr>
                <w:b/>
                <w:color w:val="000000"/>
                <w:lang w:val="en-US" w:eastAsia="en-US"/>
              </w:rPr>
            </w:pPr>
          </w:p>
        </w:tc>
        <w:tc>
          <w:tcPr>
            <w:tcW w:w="2036" w:type="dxa"/>
            <w:tcBorders>
              <w:top w:val="single" w:sz="4" w:space="0" w:color="auto"/>
              <w:left w:val="nil"/>
              <w:bottom w:val="single" w:sz="4" w:space="0" w:color="auto"/>
              <w:right w:val="nil"/>
            </w:tcBorders>
            <w:shd w:val="clear" w:color="auto" w:fill="auto"/>
            <w:noWrap/>
            <w:vAlign w:val="center"/>
            <w:hideMark/>
          </w:tcPr>
          <w:p w14:paraId="017A4A85" w14:textId="7AD788DB" w:rsidR="00E37AB6" w:rsidRPr="00E37AB6" w:rsidRDefault="00E37AB6" w:rsidP="00E37AB6">
            <w:pPr>
              <w:autoSpaceDE/>
              <w:autoSpaceDN/>
              <w:rPr>
                <w:b/>
                <w:color w:val="000000"/>
                <w:lang w:val="en-US" w:eastAsia="en-US"/>
              </w:rPr>
            </w:pPr>
            <w:r w:rsidRPr="00E37AB6">
              <w:rPr>
                <w:b/>
                <w:color w:val="000000"/>
                <w:lang w:val="en-US" w:eastAsia="en-US"/>
              </w:rPr>
              <w:t>TRNSYS</w:t>
            </w:r>
            <w:r w:rsidR="00933EF3">
              <w:rPr>
                <w:b/>
                <w:color w:val="000000"/>
                <w:lang w:val="en-US" w:eastAsia="en-US"/>
              </w:rPr>
              <w:t>/TESS</w:t>
            </w:r>
            <w:r w:rsidRPr="00E37AB6">
              <w:rPr>
                <w:b/>
                <w:color w:val="000000"/>
                <w:lang w:val="en-US" w:eastAsia="en-US"/>
              </w:rPr>
              <w:t xml:space="preserve"> Type</w:t>
            </w:r>
          </w:p>
        </w:tc>
      </w:tr>
      <w:tr w:rsidR="00E37AB6" w:rsidRPr="00E37AB6" w14:paraId="113CEA6E" w14:textId="77777777" w:rsidTr="00933EF3">
        <w:trPr>
          <w:trHeight w:val="300"/>
          <w:jc w:val="center"/>
        </w:trPr>
        <w:tc>
          <w:tcPr>
            <w:tcW w:w="1777" w:type="dxa"/>
            <w:tcBorders>
              <w:top w:val="nil"/>
              <w:left w:val="nil"/>
              <w:bottom w:val="nil"/>
              <w:right w:val="nil"/>
            </w:tcBorders>
            <w:shd w:val="clear" w:color="auto" w:fill="auto"/>
            <w:noWrap/>
            <w:vAlign w:val="center"/>
            <w:hideMark/>
          </w:tcPr>
          <w:p w14:paraId="776C1F14" w14:textId="77777777" w:rsidR="00E37AB6" w:rsidRPr="00E37AB6" w:rsidRDefault="00E37AB6" w:rsidP="00E37AB6">
            <w:pPr>
              <w:autoSpaceDE/>
              <w:autoSpaceDN/>
              <w:rPr>
                <w:color w:val="000000"/>
                <w:lang w:val="en-US" w:eastAsia="en-US"/>
              </w:rPr>
            </w:pPr>
            <w:r w:rsidRPr="00E37AB6">
              <w:rPr>
                <w:color w:val="000000"/>
                <w:lang w:val="en-US" w:eastAsia="en-US"/>
              </w:rPr>
              <w:t>Oil-fired boiler</w:t>
            </w:r>
          </w:p>
        </w:tc>
        <w:tc>
          <w:tcPr>
            <w:tcW w:w="888" w:type="dxa"/>
            <w:gridSpan w:val="2"/>
            <w:tcBorders>
              <w:top w:val="nil"/>
              <w:left w:val="nil"/>
              <w:bottom w:val="nil"/>
              <w:right w:val="nil"/>
            </w:tcBorders>
            <w:shd w:val="clear" w:color="auto" w:fill="auto"/>
            <w:noWrap/>
            <w:vAlign w:val="center"/>
            <w:hideMark/>
          </w:tcPr>
          <w:p w14:paraId="09F131B0" w14:textId="77777777" w:rsidR="00E37AB6" w:rsidRPr="00E37AB6" w:rsidRDefault="00E37AB6" w:rsidP="00E37AB6">
            <w:pPr>
              <w:autoSpaceDE/>
              <w:autoSpaceDN/>
              <w:rPr>
                <w:color w:val="000000"/>
                <w:lang w:val="en-US" w:eastAsia="en-US"/>
              </w:rPr>
            </w:pPr>
          </w:p>
        </w:tc>
        <w:tc>
          <w:tcPr>
            <w:tcW w:w="888" w:type="dxa"/>
            <w:tcBorders>
              <w:top w:val="nil"/>
              <w:left w:val="nil"/>
              <w:bottom w:val="nil"/>
              <w:right w:val="nil"/>
            </w:tcBorders>
            <w:shd w:val="clear" w:color="auto" w:fill="auto"/>
            <w:noWrap/>
            <w:vAlign w:val="center"/>
            <w:hideMark/>
          </w:tcPr>
          <w:p w14:paraId="050BE450" w14:textId="77777777" w:rsidR="00E37AB6" w:rsidRPr="00E37AB6" w:rsidRDefault="00E37AB6" w:rsidP="00E37AB6">
            <w:pPr>
              <w:autoSpaceDE/>
              <w:autoSpaceDN/>
              <w:rPr>
                <w:lang w:val="en-US" w:eastAsia="en-US"/>
              </w:rPr>
            </w:pPr>
          </w:p>
        </w:tc>
        <w:tc>
          <w:tcPr>
            <w:tcW w:w="558" w:type="dxa"/>
            <w:tcBorders>
              <w:top w:val="nil"/>
              <w:left w:val="nil"/>
              <w:bottom w:val="nil"/>
              <w:right w:val="nil"/>
            </w:tcBorders>
            <w:shd w:val="clear" w:color="auto" w:fill="auto"/>
            <w:noWrap/>
            <w:vAlign w:val="center"/>
            <w:hideMark/>
          </w:tcPr>
          <w:p w14:paraId="34428D75" w14:textId="77777777" w:rsidR="00E37AB6" w:rsidRPr="00E37AB6" w:rsidRDefault="00E37AB6" w:rsidP="00E37AB6">
            <w:pPr>
              <w:autoSpaceDE/>
              <w:autoSpaceDN/>
              <w:rPr>
                <w:lang w:val="en-US" w:eastAsia="en-US"/>
              </w:rPr>
            </w:pPr>
          </w:p>
        </w:tc>
        <w:tc>
          <w:tcPr>
            <w:tcW w:w="2036" w:type="dxa"/>
            <w:tcBorders>
              <w:top w:val="nil"/>
              <w:left w:val="nil"/>
              <w:bottom w:val="nil"/>
              <w:right w:val="nil"/>
            </w:tcBorders>
            <w:shd w:val="clear" w:color="auto" w:fill="auto"/>
            <w:noWrap/>
            <w:vAlign w:val="center"/>
            <w:hideMark/>
          </w:tcPr>
          <w:p w14:paraId="78398469" w14:textId="77777777" w:rsidR="00E37AB6" w:rsidRPr="00E37AB6" w:rsidRDefault="00E37AB6" w:rsidP="00E37AB6">
            <w:pPr>
              <w:autoSpaceDE/>
              <w:autoSpaceDN/>
              <w:rPr>
                <w:color w:val="000000"/>
                <w:lang w:val="en-US" w:eastAsia="en-US"/>
              </w:rPr>
            </w:pPr>
            <w:r w:rsidRPr="00E37AB6">
              <w:rPr>
                <w:color w:val="000000"/>
                <w:lang w:val="en-US" w:eastAsia="en-US"/>
              </w:rPr>
              <w:t>Type 700</w:t>
            </w:r>
          </w:p>
        </w:tc>
        <w:tc>
          <w:tcPr>
            <w:tcW w:w="236" w:type="dxa"/>
            <w:tcBorders>
              <w:top w:val="nil"/>
              <w:left w:val="nil"/>
              <w:bottom w:val="nil"/>
              <w:right w:val="nil"/>
            </w:tcBorders>
            <w:shd w:val="clear" w:color="auto" w:fill="auto"/>
            <w:noWrap/>
            <w:vAlign w:val="center"/>
            <w:hideMark/>
          </w:tcPr>
          <w:p w14:paraId="5199B837" w14:textId="77777777" w:rsidR="00E37AB6" w:rsidRPr="00E37AB6" w:rsidRDefault="00E37AB6" w:rsidP="00E37AB6">
            <w:pPr>
              <w:autoSpaceDE/>
              <w:autoSpaceDN/>
              <w:rPr>
                <w:color w:val="000000"/>
                <w:lang w:val="en-US" w:eastAsia="en-US"/>
              </w:rPr>
            </w:pPr>
          </w:p>
        </w:tc>
      </w:tr>
      <w:tr w:rsidR="00E37AB6" w:rsidRPr="00E37AB6" w14:paraId="2FE508C9" w14:textId="77777777" w:rsidTr="00933EF3">
        <w:trPr>
          <w:trHeight w:val="300"/>
          <w:jc w:val="center"/>
        </w:trPr>
        <w:tc>
          <w:tcPr>
            <w:tcW w:w="2665" w:type="dxa"/>
            <w:gridSpan w:val="3"/>
            <w:tcBorders>
              <w:top w:val="nil"/>
              <w:left w:val="nil"/>
              <w:bottom w:val="nil"/>
              <w:right w:val="nil"/>
            </w:tcBorders>
            <w:shd w:val="clear" w:color="auto" w:fill="auto"/>
            <w:noWrap/>
            <w:vAlign w:val="center"/>
            <w:hideMark/>
          </w:tcPr>
          <w:p w14:paraId="68FA2645" w14:textId="31934775" w:rsidR="00E37AB6" w:rsidRPr="00E37AB6" w:rsidRDefault="00E37AB6" w:rsidP="00E37AB6">
            <w:pPr>
              <w:autoSpaceDE/>
              <w:autoSpaceDN/>
              <w:rPr>
                <w:color w:val="000000"/>
                <w:lang w:val="en-US" w:eastAsia="en-US"/>
              </w:rPr>
            </w:pPr>
            <w:r w:rsidRPr="00E37AB6">
              <w:rPr>
                <w:color w:val="000000"/>
                <w:lang w:val="en-US" w:eastAsia="en-US"/>
              </w:rPr>
              <w:t>C</w:t>
            </w:r>
            <w:r>
              <w:rPr>
                <w:color w:val="000000"/>
                <w:lang w:val="en-US" w:eastAsia="en-US"/>
              </w:rPr>
              <w:t>o</w:t>
            </w:r>
            <w:r w:rsidRPr="00E37AB6">
              <w:rPr>
                <w:color w:val="000000"/>
                <w:lang w:val="en-US" w:eastAsia="en-US"/>
              </w:rPr>
              <w:t>ndensing gas boiler</w:t>
            </w:r>
          </w:p>
        </w:tc>
        <w:tc>
          <w:tcPr>
            <w:tcW w:w="888" w:type="dxa"/>
            <w:tcBorders>
              <w:top w:val="nil"/>
              <w:left w:val="nil"/>
              <w:bottom w:val="nil"/>
              <w:right w:val="nil"/>
            </w:tcBorders>
            <w:shd w:val="clear" w:color="auto" w:fill="auto"/>
            <w:noWrap/>
            <w:vAlign w:val="center"/>
            <w:hideMark/>
          </w:tcPr>
          <w:p w14:paraId="5F9B1AA1" w14:textId="77777777" w:rsidR="00E37AB6" w:rsidRPr="00E37AB6" w:rsidRDefault="00E37AB6" w:rsidP="00E37AB6">
            <w:pPr>
              <w:autoSpaceDE/>
              <w:autoSpaceDN/>
              <w:rPr>
                <w:color w:val="000000"/>
                <w:lang w:val="en-US" w:eastAsia="en-US"/>
              </w:rPr>
            </w:pPr>
          </w:p>
        </w:tc>
        <w:tc>
          <w:tcPr>
            <w:tcW w:w="558" w:type="dxa"/>
            <w:tcBorders>
              <w:top w:val="nil"/>
              <w:left w:val="nil"/>
              <w:bottom w:val="nil"/>
              <w:right w:val="nil"/>
            </w:tcBorders>
            <w:shd w:val="clear" w:color="auto" w:fill="auto"/>
            <w:noWrap/>
            <w:vAlign w:val="center"/>
            <w:hideMark/>
          </w:tcPr>
          <w:p w14:paraId="5C596C1A" w14:textId="77777777" w:rsidR="00E37AB6" w:rsidRPr="00E37AB6" w:rsidRDefault="00E37AB6" w:rsidP="00E37AB6">
            <w:pPr>
              <w:autoSpaceDE/>
              <w:autoSpaceDN/>
              <w:rPr>
                <w:lang w:val="en-US" w:eastAsia="en-US"/>
              </w:rPr>
            </w:pPr>
          </w:p>
        </w:tc>
        <w:tc>
          <w:tcPr>
            <w:tcW w:w="2036" w:type="dxa"/>
            <w:tcBorders>
              <w:top w:val="nil"/>
              <w:left w:val="nil"/>
              <w:bottom w:val="nil"/>
              <w:right w:val="nil"/>
            </w:tcBorders>
            <w:shd w:val="clear" w:color="auto" w:fill="auto"/>
            <w:noWrap/>
            <w:vAlign w:val="center"/>
            <w:hideMark/>
          </w:tcPr>
          <w:p w14:paraId="6D950493" w14:textId="77777777" w:rsidR="00E37AB6" w:rsidRPr="00E37AB6" w:rsidRDefault="00E37AB6" w:rsidP="00E37AB6">
            <w:pPr>
              <w:autoSpaceDE/>
              <w:autoSpaceDN/>
              <w:rPr>
                <w:color w:val="000000"/>
                <w:lang w:val="en-US" w:eastAsia="en-US"/>
              </w:rPr>
            </w:pPr>
            <w:r w:rsidRPr="00E37AB6">
              <w:rPr>
                <w:color w:val="000000"/>
                <w:lang w:val="en-US" w:eastAsia="en-US"/>
              </w:rPr>
              <w:t>Type 751</w:t>
            </w:r>
          </w:p>
        </w:tc>
        <w:tc>
          <w:tcPr>
            <w:tcW w:w="236" w:type="dxa"/>
            <w:tcBorders>
              <w:top w:val="nil"/>
              <w:left w:val="nil"/>
              <w:bottom w:val="nil"/>
              <w:right w:val="nil"/>
            </w:tcBorders>
            <w:shd w:val="clear" w:color="auto" w:fill="auto"/>
            <w:noWrap/>
            <w:vAlign w:val="center"/>
            <w:hideMark/>
          </w:tcPr>
          <w:p w14:paraId="08DD6129" w14:textId="77777777" w:rsidR="00E37AB6" w:rsidRPr="00E37AB6" w:rsidRDefault="00E37AB6" w:rsidP="00E37AB6">
            <w:pPr>
              <w:autoSpaceDE/>
              <w:autoSpaceDN/>
              <w:rPr>
                <w:color w:val="000000"/>
                <w:lang w:val="en-US" w:eastAsia="en-US"/>
              </w:rPr>
            </w:pPr>
          </w:p>
        </w:tc>
      </w:tr>
      <w:tr w:rsidR="00E37AB6" w:rsidRPr="00E37AB6" w14:paraId="2EF1CB9A" w14:textId="77777777" w:rsidTr="00933EF3">
        <w:trPr>
          <w:trHeight w:val="300"/>
          <w:jc w:val="center"/>
        </w:trPr>
        <w:tc>
          <w:tcPr>
            <w:tcW w:w="1777" w:type="dxa"/>
            <w:tcBorders>
              <w:top w:val="nil"/>
              <w:left w:val="nil"/>
              <w:bottom w:val="nil"/>
              <w:right w:val="nil"/>
            </w:tcBorders>
            <w:shd w:val="clear" w:color="auto" w:fill="auto"/>
            <w:noWrap/>
            <w:vAlign w:val="center"/>
            <w:hideMark/>
          </w:tcPr>
          <w:p w14:paraId="008EC4EA" w14:textId="77777777" w:rsidR="00E37AB6" w:rsidRPr="00E37AB6" w:rsidRDefault="00E37AB6" w:rsidP="00E37AB6">
            <w:pPr>
              <w:autoSpaceDE/>
              <w:autoSpaceDN/>
              <w:rPr>
                <w:color w:val="000000"/>
                <w:lang w:val="en-US" w:eastAsia="en-US"/>
              </w:rPr>
            </w:pPr>
            <w:r w:rsidRPr="00E37AB6">
              <w:rPr>
                <w:color w:val="000000"/>
                <w:lang w:val="en-US" w:eastAsia="en-US"/>
              </w:rPr>
              <w:t>Heat pump</w:t>
            </w:r>
          </w:p>
        </w:tc>
        <w:tc>
          <w:tcPr>
            <w:tcW w:w="888" w:type="dxa"/>
            <w:gridSpan w:val="2"/>
            <w:tcBorders>
              <w:top w:val="nil"/>
              <w:left w:val="nil"/>
              <w:bottom w:val="nil"/>
              <w:right w:val="nil"/>
            </w:tcBorders>
            <w:shd w:val="clear" w:color="auto" w:fill="auto"/>
            <w:noWrap/>
            <w:vAlign w:val="center"/>
            <w:hideMark/>
          </w:tcPr>
          <w:p w14:paraId="0024F9D6" w14:textId="77777777" w:rsidR="00E37AB6" w:rsidRPr="00E37AB6" w:rsidRDefault="00E37AB6" w:rsidP="00E37AB6">
            <w:pPr>
              <w:autoSpaceDE/>
              <w:autoSpaceDN/>
              <w:rPr>
                <w:color w:val="000000"/>
                <w:lang w:val="en-US" w:eastAsia="en-US"/>
              </w:rPr>
            </w:pPr>
          </w:p>
        </w:tc>
        <w:tc>
          <w:tcPr>
            <w:tcW w:w="888" w:type="dxa"/>
            <w:tcBorders>
              <w:top w:val="nil"/>
              <w:left w:val="nil"/>
              <w:bottom w:val="nil"/>
              <w:right w:val="nil"/>
            </w:tcBorders>
            <w:shd w:val="clear" w:color="auto" w:fill="auto"/>
            <w:noWrap/>
            <w:vAlign w:val="center"/>
            <w:hideMark/>
          </w:tcPr>
          <w:p w14:paraId="25913C65" w14:textId="77777777" w:rsidR="00E37AB6" w:rsidRPr="00E37AB6" w:rsidRDefault="00E37AB6" w:rsidP="00E37AB6">
            <w:pPr>
              <w:autoSpaceDE/>
              <w:autoSpaceDN/>
              <w:rPr>
                <w:lang w:val="en-US" w:eastAsia="en-US"/>
              </w:rPr>
            </w:pPr>
          </w:p>
        </w:tc>
        <w:tc>
          <w:tcPr>
            <w:tcW w:w="558" w:type="dxa"/>
            <w:tcBorders>
              <w:top w:val="nil"/>
              <w:left w:val="nil"/>
              <w:bottom w:val="nil"/>
              <w:right w:val="nil"/>
            </w:tcBorders>
            <w:shd w:val="clear" w:color="auto" w:fill="auto"/>
            <w:noWrap/>
            <w:vAlign w:val="center"/>
            <w:hideMark/>
          </w:tcPr>
          <w:p w14:paraId="4FC6AFC4" w14:textId="77777777" w:rsidR="00E37AB6" w:rsidRPr="00E37AB6" w:rsidRDefault="00E37AB6" w:rsidP="00E37AB6">
            <w:pPr>
              <w:autoSpaceDE/>
              <w:autoSpaceDN/>
              <w:rPr>
                <w:lang w:val="en-US" w:eastAsia="en-US"/>
              </w:rPr>
            </w:pPr>
          </w:p>
        </w:tc>
        <w:tc>
          <w:tcPr>
            <w:tcW w:w="2036" w:type="dxa"/>
            <w:tcBorders>
              <w:top w:val="nil"/>
              <w:left w:val="nil"/>
              <w:bottom w:val="nil"/>
              <w:right w:val="nil"/>
            </w:tcBorders>
            <w:shd w:val="clear" w:color="auto" w:fill="auto"/>
            <w:noWrap/>
            <w:vAlign w:val="center"/>
            <w:hideMark/>
          </w:tcPr>
          <w:p w14:paraId="1451C1B4" w14:textId="77777777" w:rsidR="00E37AB6" w:rsidRPr="00E37AB6" w:rsidRDefault="00E37AB6" w:rsidP="00E37AB6">
            <w:pPr>
              <w:autoSpaceDE/>
              <w:autoSpaceDN/>
              <w:rPr>
                <w:color w:val="000000"/>
                <w:lang w:val="en-US" w:eastAsia="en-US"/>
              </w:rPr>
            </w:pPr>
            <w:r w:rsidRPr="00E37AB6">
              <w:rPr>
                <w:color w:val="000000"/>
                <w:lang w:val="en-US" w:eastAsia="en-US"/>
              </w:rPr>
              <w:t>Type 941</w:t>
            </w:r>
          </w:p>
        </w:tc>
        <w:tc>
          <w:tcPr>
            <w:tcW w:w="236" w:type="dxa"/>
            <w:tcBorders>
              <w:top w:val="nil"/>
              <w:left w:val="nil"/>
              <w:bottom w:val="nil"/>
              <w:right w:val="nil"/>
            </w:tcBorders>
            <w:shd w:val="clear" w:color="auto" w:fill="auto"/>
            <w:noWrap/>
            <w:vAlign w:val="center"/>
            <w:hideMark/>
          </w:tcPr>
          <w:p w14:paraId="1F80E584" w14:textId="77777777" w:rsidR="00E37AB6" w:rsidRPr="00E37AB6" w:rsidRDefault="00E37AB6" w:rsidP="00E37AB6">
            <w:pPr>
              <w:autoSpaceDE/>
              <w:autoSpaceDN/>
              <w:rPr>
                <w:color w:val="000000"/>
                <w:lang w:val="en-US" w:eastAsia="en-US"/>
              </w:rPr>
            </w:pPr>
          </w:p>
        </w:tc>
      </w:tr>
      <w:tr w:rsidR="00E37AB6" w:rsidRPr="00E37AB6" w14:paraId="16724471" w14:textId="77777777" w:rsidTr="00933EF3">
        <w:trPr>
          <w:trHeight w:val="300"/>
          <w:jc w:val="center"/>
        </w:trPr>
        <w:tc>
          <w:tcPr>
            <w:tcW w:w="1777" w:type="dxa"/>
            <w:tcBorders>
              <w:top w:val="nil"/>
              <w:left w:val="nil"/>
              <w:bottom w:val="nil"/>
              <w:right w:val="nil"/>
            </w:tcBorders>
            <w:shd w:val="clear" w:color="auto" w:fill="auto"/>
            <w:noWrap/>
            <w:vAlign w:val="center"/>
            <w:hideMark/>
          </w:tcPr>
          <w:p w14:paraId="0D1C93D6" w14:textId="77777777" w:rsidR="00E37AB6" w:rsidRPr="00E37AB6" w:rsidRDefault="00E37AB6" w:rsidP="00E37AB6">
            <w:pPr>
              <w:autoSpaceDE/>
              <w:autoSpaceDN/>
              <w:rPr>
                <w:color w:val="000000"/>
                <w:lang w:val="en-US" w:eastAsia="en-US"/>
              </w:rPr>
            </w:pPr>
            <w:r w:rsidRPr="00E37AB6">
              <w:rPr>
                <w:color w:val="000000"/>
                <w:lang w:val="en-US" w:eastAsia="en-US"/>
              </w:rPr>
              <w:t>Solar collectors</w:t>
            </w:r>
          </w:p>
        </w:tc>
        <w:tc>
          <w:tcPr>
            <w:tcW w:w="888" w:type="dxa"/>
            <w:gridSpan w:val="2"/>
            <w:tcBorders>
              <w:top w:val="nil"/>
              <w:left w:val="nil"/>
              <w:bottom w:val="nil"/>
              <w:right w:val="nil"/>
            </w:tcBorders>
            <w:shd w:val="clear" w:color="auto" w:fill="auto"/>
            <w:noWrap/>
            <w:vAlign w:val="center"/>
            <w:hideMark/>
          </w:tcPr>
          <w:p w14:paraId="1C6037C2" w14:textId="77777777" w:rsidR="00E37AB6" w:rsidRPr="00E37AB6" w:rsidRDefault="00E37AB6" w:rsidP="00E37AB6">
            <w:pPr>
              <w:autoSpaceDE/>
              <w:autoSpaceDN/>
              <w:rPr>
                <w:color w:val="000000"/>
                <w:lang w:val="en-US" w:eastAsia="en-US"/>
              </w:rPr>
            </w:pPr>
          </w:p>
        </w:tc>
        <w:tc>
          <w:tcPr>
            <w:tcW w:w="888" w:type="dxa"/>
            <w:tcBorders>
              <w:top w:val="nil"/>
              <w:left w:val="nil"/>
              <w:bottom w:val="nil"/>
              <w:right w:val="nil"/>
            </w:tcBorders>
            <w:shd w:val="clear" w:color="auto" w:fill="auto"/>
            <w:noWrap/>
            <w:vAlign w:val="center"/>
            <w:hideMark/>
          </w:tcPr>
          <w:p w14:paraId="3247DE1A" w14:textId="77777777" w:rsidR="00E37AB6" w:rsidRPr="00E37AB6" w:rsidRDefault="00E37AB6" w:rsidP="00E37AB6">
            <w:pPr>
              <w:autoSpaceDE/>
              <w:autoSpaceDN/>
              <w:rPr>
                <w:lang w:val="en-US" w:eastAsia="en-US"/>
              </w:rPr>
            </w:pPr>
          </w:p>
        </w:tc>
        <w:tc>
          <w:tcPr>
            <w:tcW w:w="558" w:type="dxa"/>
            <w:tcBorders>
              <w:top w:val="nil"/>
              <w:left w:val="nil"/>
              <w:bottom w:val="nil"/>
              <w:right w:val="nil"/>
            </w:tcBorders>
            <w:shd w:val="clear" w:color="auto" w:fill="auto"/>
            <w:noWrap/>
            <w:vAlign w:val="center"/>
            <w:hideMark/>
          </w:tcPr>
          <w:p w14:paraId="0A205002" w14:textId="77777777" w:rsidR="00E37AB6" w:rsidRPr="00E37AB6" w:rsidRDefault="00E37AB6" w:rsidP="00E37AB6">
            <w:pPr>
              <w:autoSpaceDE/>
              <w:autoSpaceDN/>
              <w:rPr>
                <w:lang w:val="en-US" w:eastAsia="en-US"/>
              </w:rPr>
            </w:pPr>
          </w:p>
        </w:tc>
        <w:tc>
          <w:tcPr>
            <w:tcW w:w="2036" w:type="dxa"/>
            <w:tcBorders>
              <w:top w:val="nil"/>
              <w:left w:val="nil"/>
              <w:bottom w:val="nil"/>
              <w:right w:val="nil"/>
            </w:tcBorders>
            <w:shd w:val="clear" w:color="auto" w:fill="auto"/>
            <w:noWrap/>
            <w:vAlign w:val="center"/>
            <w:hideMark/>
          </w:tcPr>
          <w:p w14:paraId="14AA17EC" w14:textId="77777777" w:rsidR="00E37AB6" w:rsidRPr="00E37AB6" w:rsidRDefault="00E37AB6" w:rsidP="00E37AB6">
            <w:pPr>
              <w:autoSpaceDE/>
              <w:autoSpaceDN/>
              <w:rPr>
                <w:color w:val="000000"/>
                <w:lang w:val="en-US" w:eastAsia="en-US"/>
              </w:rPr>
            </w:pPr>
            <w:r w:rsidRPr="00E37AB6">
              <w:rPr>
                <w:color w:val="000000"/>
                <w:lang w:val="en-US" w:eastAsia="en-US"/>
              </w:rPr>
              <w:t>Type 1</w:t>
            </w:r>
          </w:p>
        </w:tc>
        <w:tc>
          <w:tcPr>
            <w:tcW w:w="236" w:type="dxa"/>
            <w:tcBorders>
              <w:top w:val="nil"/>
              <w:left w:val="nil"/>
              <w:bottom w:val="nil"/>
              <w:right w:val="nil"/>
            </w:tcBorders>
            <w:shd w:val="clear" w:color="auto" w:fill="auto"/>
            <w:noWrap/>
            <w:vAlign w:val="center"/>
            <w:hideMark/>
          </w:tcPr>
          <w:p w14:paraId="5C647F3E" w14:textId="77777777" w:rsidR="00E37AB6" w:rsidRPr="00E37AB6" w:rsidRDefault="00E37AB6" w:rsidP="00E37AB6">
            <w:pPr>
              <w:autoSpaceDE/>
              <w:autoSpaceDN/>
              <w:rPr>
                <w:color w:val="000000"/>
                <w:lang w:val="en-US" w:eastAsia="en-US"/>
              </w:rPr>
            </w:pPr>
          </w:p>
        </w:tc>
      </w:tr>
      <w:tr w:rsidR="00E37AB6" w:rsidRPr="00E37AB6" w14:paraId="19726309" w14:textId="77777777" w:rsidTr="00933EF3">
        <w:trPr>
          <w:trHeight w:val="300"/>
          <w:jc w:val="center"/>
        </w:trPr>
        <w:tc>
          <w:tcPr>
            <w:tcW w:w="1777" w:type="dxa"/>
            <w:tcBorders>
              <w:top w:val="nil"/>
              <w:left w:val="nil"/>
              <w:bottom w:val="nil"/>
              <w:right w:val="nil"/>
            </w:tcBorders>
            <w:shd w:val="clear" w:color="auto" w:fill="auto"/>
            <w:noWrap/>
            <w:vAlign w:val="center"/>
            <w:hideMark/>
          </w:tcPr>
          <w:p w14:paraId="38B87180" w14:textId="148A4B03" w:rsidR="00E37AB6" w:rsidRPr="00E37AB6" w:rsidRDefault="00E37AB6" w:rsidP="00E37AB6">
            <w:pPr>
              <w:autoSpaceDE/>
              <w:autoSpaceDN/>
              <w:rPr>
                <w:color w:val="000000"/>
                <w:lang w:val="en-US" w:eastAsia="en-US"/>
              </w:rPr>
            </w:pPr>
            <w:r w:rsidRPr="00E37AB6">
              <w:rPr>
                <w:color w:val="000000"/>
                <w:lang w:val="en-US" w:eastAsia="en-US"/>
              </w:rPr>
              <w:t>Photovol</w:t>
            </w:r>
            <w:r>
              <w:rPr>
                <w:color w:val="000000"/>
                <w:lang w:val="en-US" w:eastAsia="en-US"/>
              </w:rPr>
              <w:t>t</w:t>
            </w:r>
            <w:r w:rsidRPr="00E37AB6">
              <w:rPr>
                <w:color w:val="000000"/>
                <w:lang w:val="en-US" w:eastAsia="en-US"/>
              </w:rPr>
              <w:t>aic array</w:t>
            </w:r>
          </w:p>
        </w:tc>
        <w:tc>
          <w:tcPr>
            <w:tcW w:w="888" w:type="dxa"/>
            <w:gridSpan w:val="2"/>
            <w:tcBorders>
              <w:top w:val="nil"/>
              <w:left w:val="nil"/>
              <w:bottom w:val="nil"/>
              <w:right w:val="nil"/>
            </w:tcBorders>
            <w:shd w:val="clear" w:color="auto" w:fill="auto"/>
            <w:noWrap/>
            <w:vAlign w:val="center"/>
            <w:hideMark/>
          </w:tcPr>
          <w:p w14:paraId="16E71C29" w14:textId="77777777" w:rsidR="00E37AB6" w:rsidRPr="00E37AB6" w:rsidRDefault="00E37AB6" w:rsidP="00E37AB6">
            <w:pPr>
              <w:autoSpaceDE/>
              <w:autoSpaceDN/>
              <w:rPr>
                <w:color w:val="000000"/>
                <w:lang w:val="en-US" w:eastAsia="en-US"/>
              </w:rPr>
            </w:pPr>
          </w:p>
        </w:tc>
        <w:tc>
          <w:tcPr>
            <w:tcW w:w="888" w:type="dxa"/>
            <w:tcBorders>
              <w:top w:val="nil"/>
              <w:left w:val="nil"/>
              <w:bottom w:val="nil"/>
              <w:right w:val="nil"/>
            </w:tcBorders>
            <w:shd w:val="clear" w:color="auto" w:fill="auto"/>
            <w:noWrap/>
            <w:vAlign w:val="center"/>
            <w:hideMark/>
          </w:tcPr>
          <w:p w14:paraId="3B301082" w14:textId="77777777" w:rsidR="00E37AB6" w:rsidRPr="00E37AB6" w:rsidRDefault="00E37AB6" w:rsidP="00E37AB6">
            <w:pPr>
              <w:autoSpaceDE/>
              <w:autoSpaceDN/>
              <w:rPr>
                <w:lang w:val="en-US" w:eastAsia="en-US"/>
              </w:rPr>
            </w:pPr>
          </w:p>
        </w:tc>
        <w:tc>
          <w:tcPr>
            <w:tcW w:w="558" w:type="dxa"/>
            <w:tcBorders>
              <w:top w:val="nil"/>
              <w:left w:val="nil"/>
              <w:bottom w:val="nil"/>
              <w:right w:val="nil"/>
            </w:tcBorders>
            <w:shd w:val="clear" w:color="auto" w:fill="auto"/>
            <w:noWrap/>
            <w:vAlign w:val="center"/>
            <w:hideMark/>
          </w:tcPr>
          <w:p w14:paraId="3DF62D3C" w14:textId="77777777" w:rsidR="00E37AB6" w:rsidRPr="00E37AB6" w:rsidRDefault="00E37AB6" w:rsidP="00E37AB6">
            <w:pPr>
              <w:autoSpaceDE/>
              <w:autoSpaceDN/>
              <w:rPr>
                <w:lang w:val="en-US" w:eastAsia="en-US"/>
              </w:rPr>
            </w:pPr>
          </w:p>
        </w:tc>
        <w:tc>
          <w:tcPr>
            <w:tcW w:w="2036" w:type="dxa"/>
            <w:tcBorders>
              <w:top w:val="nil"/>
              <w:left w:val="nil"/>
              <w:bottom w:val="nil"/>
              <w:right w:val="nil"/>
            </w:tcBorders>
            <w:shd w:val="clear" w:color="auto" w:fill="auto"/>
            <w:noWrap/>
            <w:vAlign w:val="center"/>
            <w:hideMark/>
          </w:tcPr>
          <w:p w14:paraId="283220C1" w14:textId="77777777" w:rsidR="00E37AB6" w:rsidRPr="00E37AB6" w:rsidRDefault="00E37AB6" w:rsidP="00E37AB6">
            <w:pPr>
              <w:autoSpaceDE/>
              <w:autoSpaceDN/>
              <w:rPr>
                <w:color w:val="000000"/>
                <w:lang w:val="en-US" w:eastAsia="en-US"/>
              </w:rPr>
            </w:pPr>
            <w:r w:rsidRPr="00E37AB6">
              <w:rPr>
                <w:color w:val="000000"/>
                <w:lang w:val="en-US" w:eastAsia="en-US"/>
              </w:rPr>
              <w:t>Type 103</w:t>
            </w:r>
          </w:p>
        </w:tc>
        <w:tc>
          <w:tcPr>
            <w:tcW w:w="236" w:type="dxa"/>
            <w:tcBorders>
              <w:top w:val="nil"/>
              <w:left w:val="nil"/>
              <w:bottom w:val="nil"/>
              <w:right w:val="nil"/>
            </w:tcBorders>
            <w:shd w:val="clear" w:color="auto" w:fill="auto"/>
            <w:noWrap/>
            <w:vAlign w:val="center"/>
            <w:hideMark/>
          </w:tcPr>
          <w:p w14:paraId="261F4A4E" w14:textId="77777777" w:rsidR="00E37AB6" w:rsidRPr="00E37AB6" w:rsidRDefault="00E37AB6" w:rsidP="00E37AB6">
            <w:pPr>
              <w:autoSpaceDE/>
              <w:autoSpaceDN/>
              <w:rPr>
                <w:color w:val="000000"/>
                <w:lang w:val="en-US" w:eastAsia="en-US"/>
              </w:rPr>
            </w:pPr>
          </w:p>
        </w:tc>
      </w:tr>
      <w:tr w:rsidR="00E37AB6" w:rsidRPr="00E37AB6" w14:paraId="3402F15F" w14:textId="77777777" w:rsidTr="00933EF3">
        <w:trPr>
          <w:trHeight w:val="300"/>
          <w:jc w:val="center"/>
        </w:trPr>
        <w:tc>
          <w:tcPr>
            <w:tcW w:w="1777" w:type="dxa"/>
            <w:tcBorders>
              <w:top w:val="nil"/>
              <w:left w:val="nil"/>
              <w:bottom w:val="nil"/>
              <w:right w:val="nil"/>
            </w:tcBorders>
            <w:shd w:val="clear" w:color="auto" w:fill="auto"/>
            <w:noWrap/>
            <w:vAlign w:val="center"/>
            <w:hideMark/>
          </w:tcPr>
          <w:p w14:paraId="544E1BCC" w14:textId="77777777" w:rsidR="00E37AB6" w:rsidRPr="00E37AB6" w:rsidRDefault="00E37AB6" w:rsidP="00E37AB6">
            <w:pPr>
              <w:autoSpaceDE/>
              <w:autoSpaceDN/>
              <w:rPr>
                <w:color w:val="000000"/>
                <w:lang w:val="en-US" w:eastAsia="en-US"/>
              </w:rPr>
            </w:pPr>
            <w:r w:rsidRPr="00E37AB6">
              <w:rPr>
                <w:color w:val="000000"/>
                <w:lang w:val="en-US" w:eastAsia="en-US"/>
              </w:rPr>
              <w:t>Air handling unit</w:t>
            </w:r>
          </w:p>
        </w:tc>
        <w:tc>
          <w:tcPr>
            <w:tcW w:w="888" w:type="dxa"/>
            <w:gridSpan w:val="2"/>
            <w:tcBorders>
              <w:top w:val="nil"/>
              <w:left w:val="nil"/>
              <w:bottom w:val="nil"/>
              <w:right w:val="nil"/>
            </w:tcBorders>
            <w:shd w:val="clear" w:color="auto" w:fill="auto"/>
            <w:noWrap/>
            <w:vAlign w:val="center"/>
            <w:hideMark/>
          </w:tcPr>
          <w:p w14:paraId="538D3E8B" w14:textId="77777777" w:rsidR="00E37AB6" w:rsidRPr="00E37AB6" w:rsidRDefault="00E37AB6" w:rsidP="00E37AB6">
            <w:pPr>
              <w:autoSpaceDE/>
              <w:autoSpaceDN/>
              <w:rPr>
                <w:color w:val="000000"/>
                <w:lang w:val="en-US" w:eastAsia="en-US"/>
              </w:rPr>
            </w:pPr>
          </w:p>
        </w:tc>
        <w:tc>
          <w:tcPr>
            <w:tcW w:w="888" w:type="dxa"/>
            <w:tcBorders>
              <w:top w:val="nil"/>
              <w:left w:val="nil"/>
              <w:bottom w:val="nil"/>
              <w:right w:val="nil"/>
            </w:tcBorders>
            <w:shd w:val="clear" w:color="auto" w:fill="auto"/>
            <w:noWrap/>
            <w:vAlign w:val="center"/>
            <w:hideMark/>
          </w:tcPr>
          <w:p w14:paraId="6CA547BD" w14:textId="77777777" w:rsidR="00E37AB6" w:rsidRPr="00E37AB6" w:rsidRDefault="00E37AB6" w:rsidP="00E37AB6">
            <w:pPr>
              <w:autoSpaceDE/>
              <w:autoSpaceDN/>
              <w:rPr>
                <w:lang w:val="en-US" w:eastAsia="en-US"/>
              </w:rPr>
            </w:pPr>
          </w:p>
        </w:tc>
        <w:tc>
          <w:tcPr>
            <w:tcW w:w="558" w:type="dxa"/>
            <w:tcBorders>
              <w:top w:val="nil"/>
              <w:left w:val="nil"/>
              <w:bottom w:val="nil"/>
              <w:right w:val="nil"/>
            </w:tcBorders>
            <w:shd w:val="clear" w:color="auto" w:fill="auto"/>
            <w:noWrap/>
            <w:vAlign w:val="center"/>
            <w:hideMark/>
          </w:tcPr>
          <w:p w14:paraId="1BBE176C" w14:textId="77777777" w:rsidR="00E37AB6" w:rsidRPr="00E37AB6" w:rsidRDefault="00E37AB6" w:rsidP="00E37AB6">
            <w:pPr>
              <w:autoSpaceDE/>
              <w:autoSpaceDN/>
              <w:rPr>
                <w:lang w:val="en-US" w:eastAsia="en-US"/>
              </w:rPr>
            </w:pPr>
          </w:p>
        </w:tc>
        <w:tc>
          <w:tcPr>
            <w:tcW w:w="2036" w:type="dxa"/>
            <w:tcBorders>
              <w:top w:val="nil"/>
              <w:left w:val="nil"/>
              <w:bottom w:val="nil"/>
              <w:right w:val="nil"/>
            </w:tcBorders>
            <w:shd w:val="clear" w:color="auto" w:fill="auto"/>
            <w:noWrap/>
            <w:vAlign w:val="center"/>
            <w:hideMark/>
          </w:tcPr>
          <w:p w14:paraId="66954427" w14:textId="77777777" w:rsidR="00E37AB6" w:rsidRPr="00E37AB6" w:rsidRDefault="00E37AB6" w:rsidP="00E37AB6">
            <w:pPr>
              <w:autoSpaceDE/>
              <w:autoSpaceDN/>
              <w:rPr>
                <w:color w:val="000000"/>
                <w:lang w:val="en-US" w:eastAsia="en-US"/>
              </w:rPr>
            </w:pPr>
            <w:r w:rsidRPr="00E37AB6">
              <w:rPr>
                <w:color w:val="000000"/>
                <w:lang w:val="en-US" w:eastAsia="en-US"/>
              </w:rPr>
              <w:t>Type 335</w:t>
            </w:r>
          </w:p>
        </w:tc>
        <w:tc>
          <w:tcPr>
            <w:tcW w:w="236" w:type="dxa"/>
            <w:tcBorders>
              <w:top w:val="nil"/>
              <w:left w:val="nil"/>
              <w:bottom w:val="nil"/>
              <w:right w:val="nil"/>
            </w:tcBorders>
            <w:shd w:val="clear" w:color="auto" w:fill="auto"/>
            <w:noWrap/>
            <w:vAlign w:val="center"/>
            <w:hideMark/>
          </w:tcPr>
          <w:p w14:paraId="076475AC" w14:textId="77777777" w:rsidR="00E37AB6" w:rsidRPr="00E37AB6" w:rsidRDefault="00E37AB6" w:rsidP="00E37AB6">
            <w:pPr>
              <w:autoSpaceDE/>
              <w:autoSpaceDN/>
              <w:rPr>
                <w:color w:val="000000"/>
                <w:lang w:val="en-US" w:eastAsia="en-US"/>
              </w:rPr>
            </w:pPr>
          </w:p>
        </w:tc>
      </w:tr>
      <w:tr w:rsidR="00E37AB6" w:rsidRPr="00E37AB6" w14:paraId="0EBFA6B4" w14:textId="77777777" w:rsidTr="00933EF3">
        <w:trPr>
          <w:gridAfter w:val="1"/>
          <w:wAfter w:w="236" w:type="dxa"/>
          <w:trHeight w:val="300"/>
          <w:jc w:val="center"/>
        </w:trPr>
        <w:tc>
          <w:tcPr>
            <w:tcW w:w="1777" w:type="dxa"/>
            <w:tcBorders>
              <w:top w:val="nil"/>
              <w:left w:val="nil"/>
              <w:bottom w:val="single" w:sz="4" w:space="0" w:color="auto"/>
              <w:right w:val="nil"/>
            </w:tcBorders>
            <w:shd w:val="clear" w:color="auto" w:fill="auto"/>
            <w:noWrap/>
            <w:vAlign w:val="center"/>
            <w:hideMark/>
          </w:tcPr>
          <w:p w14:paraId="6FF29197" w14:textId="77777777" w:rsidR="00E37AB6" w:rsidRPr="00E37AB6" w:rsidRDefault="00E37AB6" w:rsidP="00E37AB6">
            <w:pPr>
              <w:autoSpaceDE/>
              <w:autoSpaceDN/>
              <w:rPr>
                <w:color w:val="000000"/>
                <w:lang w:val="en-US" w:eastAsia="en-US"/>
              </w:rPr>
            </w:pPr>
            <w:r w:rsidRPr="00E37AB6">
              <w:rPr>
                <w:color w:val="000000"/>
                <w:lang w:val="en-US" w:eastAsia="en-US"/>
              </w:rPr>
              <w:t>DHW tank</w:t>
            </w:r>
          </w:p>
        </w:tc>
        <w:tc>
          <w:tcPr>
            <w:tcW w:w="888" w:type="dxa"/>
            <w:gridSpan w:val="2"/>
            <w:tcBorders>
              <w:top w:val="nil"/>
              <w:left w:val="nil"/>
              <w:bottom w:val="single" w:sz="4" w:space="0" w:color="auto"/>
              <w:right w:val="nil"/>
            </w:tcBorders>
            <w:shd w:val="clear" w:color="auto" w:fill="auto"/>
            <w:noWrap/>
            <w:vAlign w:val="center"/>
            <w:hideMark/>
          </w:tcPr>
          <w:p w14:paraId="47C84404" w14:textId="1731D078" w:rsidR="00E37AB6" w:rsidRPr="00E37AB6" w:rsidRDefault="00E37AB6" w:rsidP="00E37AB6">
            <w:pPr>
              <w:autoSpaceDE/>
              <w:autoSpaceDN/>
              <w:rPr>
                <w:color w:val="000000"/>
                <w:lang w:val="en-US" w:eastAsia="en-US"/>
              </w:rPr>
            </w:pPr>
          </w:p>
        </w:tc>
        <w:tc>
          <w:tcPr>
            <w:tcW w:w="888" w:type="dxa"/>
            <w:tcBorders>
              <w:top w:val="nil"/>
              <w:left w:val="nil"/>
              <w:bottom w:val="single" w:sz="4" w:space="0" w:color="auto"/>
              <w:right w:val="nil"/>
            </w:tcBorders>
            <w:shd w:val="clear" w:color="auto" w:fill="auto"/>
            <w:noWrap/>
            <w:vAlign w:val="center"/>
            <w:hideMark/>
          </w:tcPr>
          <w:p w14:paraId="68E63886" w14:textId="6D173C12" w:rsidR="00E37AB6" w:rsidRPr="00E37AB6" w:rsidRDefault="00E37AB6" w:rsidP="00E37AB6">
            <w:pPr>
              <w:autoSpaceDE/>
              <w:autoSpaceDN/>
              <w:rPr>
                <w:color w:val="000000"/>
                <w:lang w:val="en-US" w:eastAsia="en-US"/>
              </w:rPr>
            </w:pPr>
          </w:p>
        </w:tc>
        <w:tc>
          <w:tcPr>
            <w:tcW w:w="558" w:type="dxa"/>
            <w:tcBorders>
              <w:top w:val="nil"/>
              <w:left w:val="nil"/>
              <w:bottom w:val="single" w:sz="4" w:space="0" w:color="auto"/>
              <w:right w:val="nil"/>
            </w:tcBorders>
            <w:shd w:val="clear" w:color="auto" w:fill="auto"/>
            <w:noWrap/>
            <w:vAlign w:val="center"/>
            <w:hideMark/>
          </w:tcPr>
          <w:p w14:paraId="63135C2C" w14:textId="2F686C63" w:rsidR="00E37AB6" w:rsidRPr="00E37AB6" w:rsidRDefault="00E37AB6" w:rsidP="00E37AB6">
            <w:pPr>
              <w:autoSpaceDE/>
              <w:autoSpaceDN/>
              <w:rPr>
                <w:color w:val="000000"/>
                <w:lang w:val="en-US" w:eastAsia="en-US"/>
              </w:rPr>
            </w:pPr>
          </w:p>
        </w:tc>
        <w:tc>
          <w:tcPr>
            <w:tcW w:w="2036" w:type="dxa"/>
            <w:tcBorders>
              <w:top w:val="nil"/>
              <w:left w:val="nil"/>
              <w:bottom w:val="single" w:sz="4" w:space="0" w:color="auto"/>
              <w:right w:val="nil"/>
            </w:tcBorders>
            <w:shd w:val="clear" w:color="auto" w:fill="auto"/>
            <w:noWrap/>
            <w:vAlign w:val="center"/>
            <w:hideMark/>
          </w:tcPr>
          <w:p w14:paraId="78C3E89C" w14:textId="77777777" w:rsidR="00E37AB6" w:rsidRPr="00E37AB6" w:rsidRDefault="00E37AB6" w:rsidP="00E37AB6">
            <w:pPr>
              <w:autoSpaceDE/>
              <w:autoSpaceDN/>
              <w:rPr>
                <w:color w:val="000000"/>
                <w:lang w:val="en-US" w:eastAsia="en-US"/>
              </w:rPr>
            </w:pPr>
            <w:r w:rsidRPr="00E37AB6">
              <w:rPr>
                <w:color w:val="000000"/>
                <w:lang w:val="en-US" w:eastAsia="en-US"/>
              </w:rPr>
              <w:t>TESS Type 534</w:t>
            </w:r>
          </w:p>
        </w:tc>
      </w:tr>
    </w:tbl>
    <w:p w14:paraId="3FA11332" w14:textId="77777777" w:rsidR="00E37AB6" w:rsidRPr="00A532AE" w:rsidRDefault="00E37AB6" w:rsidP="00304383">
      <w:pPr>
        <w:autoSpaceDE/>
        <w:autoSpaceDN/>
        <w:spacing w:line="259" w:lineRule="auto"/>
        <w:rPr>
          <w:lang w:val="en-GB"/>
        </w:rPr>
      </w:pPr>
    </w:p>
    <w:p w14:paraId="6BF4B392" w14:textId="53DF7B68" w:rsidR="005230FE" w:rsidRDefault="005230FE" w:rsidP="00A70FE7">
      <w:pPr>
        <w:spacing w:line="276" w:lineRule="auto"/>
        <w:jc w:val="both"/>
        <w:rPr>
          <w:lang w:val="en-GB"/>
        </w:rPr>
      </w:pPr>
    </w:p>
    <w:p w14:paraId="2599C840" w14:textId="68468535" w:rsidR="005230FE" w:rsidRPr="00A532AE" w:rsidRDefault="00941880" w:rsidP="001619AE">
      <w:pPr>
        <w:spacing w:line="276" w:lineRule="auto"/>
        <w:jc w:val="center"/>
        <w:rPr>
          <w:rFonts w:ascii="Arial" w:hAnsi="Arial" w:cs="Arial"/>
          <w:b/>
          <w:lang w:val="en-GB"/>
        </w:rPr>
      </w:pPr>
      <w:r>
        <w:rPr>
          <w:rFonts w:ascii="Arial" w:hAnsi="Arial" w:cs="Arial"/>
          <w:b/>
          <w:lang w:val="en-GB"/>
        </w:rPr>
        <w:t>4</w:t>
      </w:r>
      <w:r w:rsidR="00354EF8" w:rsidRPr="00A532AE">
        <w:rPr>
          <w:rFonts w:ascii="Arial" w:hAnsi="Arial" w:cs="Arial"/>
          <w:b/>
          <w:lang w:val="en-GB"/>
        </w:rPr>
        <w:t>. Energy and economic analysis</w:t>
      </w:r>
    </w:p>
    <w:p w14:paraId="17A3FB6C" w14:textId="77777777" w:rsidR="005230FE" w:rsidRPr="00A532AE" w:rsidRDefault="005230FE" w:rsidP="005230FE">
      <w:pPr>
        <w:spacing w:line="276" w:lineRule="auto"/>
        <w:jc w:val="both"/>
        <w:rPr>
          <w:b/>
          <w:lang w:val="en-GB"/>
        </w:rPr>
      </w:pPr>
    </w:p>
    <w:p w14:paraId="08F10C3E" w14:textId="74816B9B" w:rsidR="005230FE" w:rsidRPr="00A532AE" w:rsidRDefault="005230FE" w:rsidP="00FE1C19">
      <w:pPr>
        <w:spacing w:after="240" w:line="276" w:lineRule="auto"/>
        <w:jc w:val="both"/>
        <w:rPr>
          <w:lang w:val="en-GB"/>
        </w:rPr>
      </w:pPr>
      <w:r w:rsidRPr="00A532AE">
        <w:rPr>
          <w:lang w:val="en-GB"/>
        </w:rPr>
        <w:t>After defining all system configurations, annual dynamic simulation</w:t>
      </w:r>
      <w:r w:rsidR="00862C69" w:rsidRPr="00A532AE">
        <w:rPr>
          <w:lang w:val="en-GB"/>
        </w:rPr>
        <w:t>s</w:t>
      </w:r>
      <w:r w:rsidRPr="00A532AE">
        <w:rPr>
          <w:lang w:val="en-GB"/>
        </w:rPr>
        <w:t xml:space="preserve"> w</w:t>
      </w:r>
      <w:r w:rsidR="00862C69" w:rsidRPr="00A532AE">
        <w:rPr>
          <w:lang w:val="en-GB"/>
        </w:rPr>
        <w:t>ere</w:t>
      </w:r>
      <w:r w:rsidRPr="00A532AE">
        <w:rPr>
          <w:lang w:val="en-GB"/>
        </w:rPr>
        <w:t xml:space="preserve"> conducted to determine the delivered energy demand of each HVAC system for the same thermally insulated building. The results of the annual simulations are shown in Fig</w:t>
      </w:r>
      <w:r w:rsidR="00C43C53" w:rsidRPr="00A532AE">
        <w:rPr>
          <w:lang w:val="en-GB"/>
        </w:rPr>
        <w:t>.</w:t>
      </w:r>
      <w:r w:rsidRPr="00A532AE">
        <w:rPr>
          <w:lang w:val="en-GB"/>
        </w:rPr>
        <w:t xml:space="preserve"> </w:t>
      </w:r>
      <w:r w:rsidR="00671CC7">
        <w:rPr>
          <w:lang w:val="en-GB"/>
        </w:rPr>
        <w:t>3</w:t>
      </w:r>
      <w:r w:rsidRPr="00A532AE">
        <w:rPr>
          <w:lang w:val="en-GB"/>
        </w:rPr>
        <w:t xml:space="preserve">, with different patterns distinguishing between electricity, fuel, and solar energy contributions. </w:t>
      </w:r>
      <w:r w:rsidR="008A0A2B" w:rsidRPr="00A532AE">
        <w:rPr>
          <w:lang w:val="en-GB"/>
        </w:rPr>
        <w:t>Fig</w:t>
      </w:r>
      <w:r w:rsidR="008A0A2B">
        <w:rPr>
          <w:lang w:val="en-GB"/>
        </w:rPr>
        <w:t>.</w:t>
      </w:r>
      <w:r w:rsidR="008A0A2B" w:rsidRPr="00A532AE">
        <w:rPr>
          <w:lang w:val="en-GB"/>
        </w:rPr>
        <w:t xml:space="preserve"> </w:t>
      </w:r>
      <w:r w:rsidR="00671CC7">
        <w:rPr>
          <w:lang w:val="en-GB"/>
        </w:rPr>
        <w:t>3</w:t>
      </w:r>
      <w:r w:rsidR="008A0A2B" w:rsidRPr="00A532AE">
        <w:rPr>
          <w:lang w:val="en-GB"/>
        </w:rPr>
        <w:t xml:space="preserve"> presents the delivered energy of each analysed HVAC system</w:t>
      </w:r>
      <w:r w:rsidR="008A0A2B">
        <w:rPr>
          <w:lang w:val="en-GB"/>
        </w:rPr>
        <w:t xml:space="preserve"> variant</w:t>
      </w:r>
      <w:r w:rsidR="008A0A2B" w:rsidRPr="00A532AE">
        <w:rPr>
          <w:lang w:val="en-GB"/>
        </w:rPr>
        <w:t>, categorized according to the energy source used. The results show a clear trend of decreasing total delivered energy as the systems become more advanced and energy-efficient.</w:t>
      </w:r>
      <w:r w:rsidR="008A0A2B">
        <w:rPr>
          <w:lang w:val="en-GB"/>
        </w:rPr>
        <w:t xml:space="preserve"> </w:t>
      </w:r>
      <w:r w:rsidR="008A0A2B" w:rsidRPr="00A532AE">
        <w:rPr>
          <w:lang w:val="en-GB"/>
        </w:rPr>
        <w:t xml:space="preserve">System </w:t>
      </w:r>
      <w:r w:rsidR="008A0A2B">
        <w:rPr>
          <w:lang w:val="en-GB"/>
        </w:rPr>
        <w:t xml:space="preserve">variant </w:t>
      </w:r>
      <w:r w:rsidR="008A0A2B" w:rsidRPr="00A532AE">
        <w:rPr>
          <w:lang w:val="en-GB"/>
        </w:rPr>
        <w:t xml:space="preserve">S1, representing the base case with an oil-fired boiler and no insulation, exhibits the highest delivered energy consumption, entirely supplied by fuel. In </w:t>
      </w:r>
      <w:r w:rsidR="008A0A2B">
        <w:rPr>
          <w:lang w:val="en-GB"/>
        </w:rPr>
        <w:t>s</w:t>
      </w:r>
      <w:r w:rsidR="008A0A2B" w:rsidRPr="00A532AE">
        <w:rPr>
          <w:lang w:val="en-GB"/>
        </w:rPr>
        <w:t xml:space="preserve">ystem </w:t>
      </w:r>
      <w:r w:rsidR="008A0A2B">
        <w:rPr>
          <w:lang w:val="en-GB"/>
        </w:rPr>
        <w:t xml:space="preserve">variant </w:t>
      </w:r>
      <w:r w:rsidR="008A0A2B" w:rsidRPr="00A532AE">
        <w:rPr>
          <w:lang w:val="en-GB"/>
        </w:rPr>
        <w:t xml:space="preserve">S2, the introduction of thermal insulation and a condensing gas boiler significantly reduces </w:t>
      </w:r>
      <w:r w:rsidR="008A0A2B">
        <w:rPr>
          <w:lang w:val="en-GB"/>
        </w:rPr>
        <w:t xml:space="preserve">the annual delivered energy and </w:t>
      </w:r>
      <w:r w:rsidR="008A0A2B" w:rsidRPr="00A532AE">
        <w:rPr>
          <w:lang w:val="en-GB"/>
        </w:rPr>
        <w:t>fuel use</w:t>
      </w:r>
      <w:r w:rsidR="008A0A2B">
        <w:rPr>
          <w:lang w:val="en-GB"/>
        </w:rPr>
        <w:t xml:space="preserve"> of the</w:t>
      </w:r>
      <w:r w:rsidR="008A0A2B" w:rsidRPr="00A532AE">
        <w:rPr>
          <w:lang w:val="en-GB"/>
        </w:rPr>
        <w:t xml:space="preserve"> heating system.</w:t>
      </w:r>
      <w:r w:rsidR="008A0A2B">
        <w:rPr>
          <w:lang w:val="en-GB"/>
        </w:rPr>
        <w:t xml:space="preserve"> </w:t>
      </w:r>
      <w:r w:rsidR="008A0A2B" w:rsidRPr="00A532AE">
        <w:rPr>
          <w:lang w:val="en-GB"/>
        </w:rPr>
        <w:t xml:space="preserve">System </w:t>
      </w:r>
      <w:r w:rsidR="008A0A2B">
        <w:rPr>
          <w:lang w:val="en-GB"/>
        </w:rPr>
        <w:t xml:space="preserve">variant </w:t>
      </w:r>
      <w:r w:rsidR="008A0A2B" w:rsidRPr="00A532AE">
        <w:rPr>
          <w:lang w:val="en-GB"/>
        </w:rPr>
        <w:t xml:space="preserve">S3, which includes a mechanical ventilation unit with heat recovery, shows </w:t>
      </w:r>
      <w:r w:rsidR="003E2E62">
        <w:rPr>
          <w:lang w:val="en-GB"/>
        </w:rPr>
        <w:t xml:space="preserve">an </w:t>
      </w:r>
      <w:r w:rsidR="008A0A2B" w:rsidRPr="00A532AE">
        <w:rPr>
          <w:lang w:val="en-GB"/>
        </w:rPr>
        <w:t>additional reduction in total energy demand compared to S2.</w:t>
      </w:r>
    </w:p>
    <w:p w14:paraId="226F6E3B" w14:textId="7E7A3F2C" w:rsidR="005230FE" w:rsidRPr="00A532AE" w:rsidRDefault="009F1DC7" w:rsidP="005230FE">
      <w:pPr>
        <w:spacing w:line="276" w:lineRule="auto"/>
        <w:jc w:val="center"/>
        <w:rPr>
          <w:lang w:val="en-GB"/>
        </w:rPr>
      </w:pPr>
      <w:r w:rsidRPr="009F1DC7">
        <w:rPr>
          <w:noProof/>
        </w:rPr>
        <w:lastRenderedPageBreak/>
        <w:drawing>
          <wp:inline distT="0" distB="0" distL="0" distR="0" wp14:anchorId="545D04A1" wp14:editId="1D078F03">
            <wp:extent cx="3960000" cy="2380854"/>
            <wp:effectExtent l="0" t="0" r="254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60000" cy="2380854"/>
                    </a:xfrm>
                    <a:prstGeom prst="rect">
                      <a:avLst/>
                    </a:prstGeom>
                    <a:noFill/>
                    <a:ln>
                      <a:noFill/>
                    </a:ln>
                  </pic:spPr>
                </pic:pic>
              </a:graphicData>
            </a:graphic>
          </wp:inline>
        </w:drawing>
      </w:r>
    </w:p>
    <w:p w14:paraId="27E4A0C1" w14:textId="27F135FE" w:rsidR="005230FE" w:rsidRPr="00A532AE" w:rsidRDefault="005230FE" w:rsidP="005230FE">
      <w:pPr>
        <w:spacing w:line="276" w:lineRule="auto"/>
        <w:jc w:val="center"/>
        <w:rPr>
          <w:b/>
          <w:sz w:val="16"/>
          <w:lang w:val="en-GB"/>
        </w:rPr>
      </w:pPr>
      <w:r w:rsidRPr="00A532AE">
        <w:rPr>
          <w:b/>
          <w:sz w:val="16"/>
          <w:lang w:val="en-GB"/>
        </w:rPr>
        <w:t>Fig</w:t>
      </w:r>
      <w:r w:rsidR="00C43C53" w:rsidRPr="00A532AE">
        <w:rPr>
          <w:b/>
          <w:sz w:val="16"/>
          <w:lang w:val="en-GB"/>
        </w:rPr>
        <w:t>.</w:t>
      </w:r>
      <w:r w:rsidRPr="00A532AE">
        <w:rPr>
          <w:b/>
          <w:sz w:val="16"/>
          <w:lang w:val="en-GB"/>
        </w:rPr>
        <w:t xml:space="preserve"> </w:t>
      </w:r>
      <w:r w:rsidR="00671CC7">
        <w:rPr>
          <w:b/>
          <w:sz w:val="16"/>
          <w:lang w:val="en-GB"/>
        </w:rPr>
        <w:t>3</w:t>
      </w:r>
      <w:r w:rsidR="00C43C53" w:rsidRPr="00A532AE">
        <w:rPr>
          <w:b/>
          <w:sz w:val="16"/>
          <w:lang w:val="en-GB"/>
        </w:rPr>
        <w:t>:</w:t>
      </w:r>
      <w:r w:rsidRPr="00A532AE">
        <w:rPr>
          <w:b/>
          <w:sz w:val="16"/>
          <w:lang w:val="en-GB"/>
        </w:rPr>
        <w:t xml:space="preserve"> Annual delivered energy from different sources</w:t>
      </w:r>
    </w:p>
    <w:p w14:paraId="08F7E55B" w14:textId="77777777" w:rsidR="005230FE" w:rsidRPr="00A532AE" w:rsidRDefault="005230FE" w:rsidP="005230FE">
      <w:pPr>
        <w:spacing w:line="276" w:lineRule="auto"/>
        <w:jc w:val="center"/>
        <w:rPr>
          <w:lang w:val="en-GB"/>
        </w:rPr>
      </w:pPr>
    </w:p>
    <w:p w14:paraId="29269459" w14:textId="1DE1CA02" w:rsidR="00862C69" w:rsidRPr="00A532AE" w:rsidRDefault="005230FE" w:rsidP="00862C69">
      <w:pPr>
        <w:spacing w:line="276" w:lineRule="auto"/>
        <w:jc w:val="both"/>
        <w:rPr>
          <w:lang w:val="en-GB"/>
        </w:rPr>
      </w:pPr>
      <w:r w:rsidRPr="00A532AE">
        <w:rPr>
          <w:lang w:val="en-GB"/>
        </w:rPr>
        <w:t xml:space="preserve">In system </w:t>
      </w:r>
      <w:r w:rsidR="000B7DAA">
        <w:rPr>
          <w:lang w:val="en-GB"/>
        </w:rPr>
        <w:t xml:space="preserve">variant </w:t>
      </w:r>
      <w:r w:rsidRPr="00A532AE">
        <w:rPr>
          <w:lang w:val="en-GB"/>
        </w:rPr>
        <w:t xml:space="preserve">S4, the integration of solar thermal collectors for domestic hot water production </w:t>
      </w:r>
      <w:r w:rsidR="00EE3A03">
        <w:rPr>
          <w:lang w:val="en-GB"/>
        </w:rPr>
        <w:t>adds a renewable energy contribution, as indicated by</w:t>
      </w:r>
      <w:r w:rsidRPr="00A532AE">
        <w:rPr>
          <w:lang w:val="en-GB"/>
        </w:rPr>
        <w:t xml:space="preserve"> the green portion of the bar, and further reduces fuel consumption. System</w:t>
      </w:r>
      <w:r w:rsidR="000B7DAA">
        <w:rPr>
          <w:lang w:val="en-GB"/>
        </w:rPr>
        <w:t xml:space="preserve"> variants</w:t>
      </w:r>
      <w:r w:rsidRPr="00A532AE">
        <w:rPr>
          <w:lang w:val="en-GB"/>
        </w:rPr>
        <w:t xml:space="preserve"> S5 to S7, which employ air-to-water heat pumps and fan coil units, rely entirely on electricity, leading to a complete transition from fuel to electrical energy and a further decrease in total delivered energy. Among these configurations, system </w:t>
      </w:r>
      <w:r w:rsidR="000B7DAA">
        <w:rPr>
          <w:lang w:val="en-GB"/>
        </w:rPr>
        <w:t xml:space="preserve">variant </w:t>
      </w:r>
      <w:r w:rsidRPr="00A532AE">
        <w:rPr>
          <w:lang w:val="en-GB"/>
        </w:rPr>
        <w:t>S7 achieves the lowest overall delivered energy consumption,</w:t>
      </w:r>
      <w:r w:rsidR="005D15D4">
        <w:rPr>
          <w:lang w:val="en-GB"/>
        </w:rPr>
        <w:t xml:space="preserve"> an improvement of 80% in relation to the base system variant S1,</w:t>
      </w:r>
      <w:r w:rsidRPr="00A532AE">
        <w:rPr>
          <w:lang w:val="en-GB"/>
        </w:rPr>
        <w:t xml:space="preserve"> demonstrating the highest level of efficiency due to the combined effects of heat recovery ventilation and optimized operation of the heat pump for both heating and domestic hot water production. </w:t>
      </w:r>
      <w:r w:rsidR="00862C69" w:rsidRPr="00A532AE">
        <w:rPr>
          <w:lang w:val="en-GB"/>
        </w:rPr>
        <w:t>System</w:t>
      </w:r>
      <w:r w:rsidR="000B7DAA">
        <w:rPr>
          <w:lang w:val="en-GB"/>
        </w:rPr>
        <w:t xml:space="preserve"> variants</w:t>
      </w:r>
      <w:r w:rsidR="00862C69" w:rsidRPr="00A532AE">
        <w:rPr>
          <w:lang w:val="en-GB"/>
        </w:rPr>
        <w:t xml:space="preserve"> S8 and S9, which use electric resistance heating for space heating and domestic hot water preparation in combination with a photovoltaic system, also show a transition from fossil fuels to electricity-based operation. In these cases, the photovoltaic system contributes renewable energy in order to achieve at least a 30% renewable energy share and to comply with primary energy regulations. Owing to the addition of heat recovery ventilation, system </w:t>
      </w:r>
      <w:r w:rsidR="000B7DAA">
        <w:rPr>
          <w:lang w:val="en-GB"/>
        </w:rPr>
        <w:t xml:space="preserve">variant </w:t>
      </w:r>
      <w:r w:rsidR="00862C69" w:rsidRPr="00A532AE">
        <w:rPr>
          <w:lang w:val="en-GB"/>
        </w:rPr>
        <w:t>S9 exhibits a lower total delivered energy demand than S8.</w:t>
      </w:r>
    </w:p>
    <w:p w14:paraId="4815EE54" w14:textId="07AFD8E3" w:rsidR="005230FE" w:rsidRPr="00061A52" w:rsidRDefault="005230FE" w:rsidP="00061A52">
      <w:pPr>
        <w:spacing w:line="276" w:lineRule="auto"/>
        <w:ind w:firstLine="340"/>
        <w:jc w:val="both"/>
        <w:rPr>
          <w:lang w:val="en-US"/>
        </w:rPr>
      </w:pPr>
      <w:r w:rsidRPr="00A532AE">
        <w:rPr>
          <w:lang w:val="en-GB"/>
        </w:rPr>
        <w:t>In order to enable a consistent and objective comparison of the performance of the analysed HVAC system</w:t>
      </w:r>
      <w:r w:rsidR="000B7DAA">
        <w:rPr>
          <w:lang w:val="en-GB"/>
        </w:rPr>
        <w:t xml:space="preserve"> variants</w:t>
      </w:r>
      <w:r w:rsidRPr="00A532AE">
        <w:rPr>
          <w:lang w:val="en-GB"/>
        </w:rPr>
        <w:t>, the delivered energy of each system</w:t>
      </w:r>
      <w:r w:rsidR="000B7DAA">
        <w:rPr>
          <w:lang w:val="en-GB"/>
        </w:rPr>
        <w:t xml:space="preserve"> variant</w:t>
      </w:r>
      <w:r w:rsidRPr="00A532AE">
        <w:rPr>
          <w:lang w:val="en-GB"/>
        </w:rPr>
        <w:t xml:space="preserve"> is converted to the level of primary energy. Primary energy represents the total amount of raw energy resources required to provide heating, cooling, ventilation, and domestic hot water (DHW), including all extraction, conversion, and transmission losses. The conversion from the delivered energy </w:t>
      </w:r>
      <w:proofErr w:type="spellStart"/>
      <w:r w:rsidRPr="00A532AE">
        <w:rPr>
          <w:i/>
          <w:lang w:val="en-GB"/>
        </w:rPr>
        <w:t>E</w:t>
      </w:r>
      <w:r w:rsidRPr="00A532AE">
        <w:rPr>
          <w:vertAlign w:val="subscript"/>
          <w:lang w:val="en-GB"/>
        </w:rPr>
        <w:t>del</w:t>
      </w:r>
      <w:proofErr w:type="spellEnd"/>
      <w:r w:rsidRPr="00A532AE">
        <w:rPr>
          <w:lang w:val="en-GB"/>
        </w:rPr>
        <w:t xml:space="preserve"> to primary energy </w:t>
      </w:r>
      <w:proofErr w:type="spellStart"/>
      <w:r w:rsidRPr="00A532AE">
        <w:rPr>
          <w:i/>
          <w:lang w:val="en-GB"/>
        </w:rPr>
        <w:t>E</w:t>
      </w:r>
      <w:r w:rsidRPr="00A532AE">
        <w:rPr>
          <w:vertAlign w:val="subscript"/>
          <w:lang w:val="en-GB"/>
        </w:rPr>
        <w:t>prim</w:t>
      </w:r>
      <w:proofErr w:type="spellEnd"/>
      <w:r w:rsidRPr="00A532AE">
        <w:rPr>
          <w:lang w:val="en-GB"/>
        </w:rPr>
        <w:t xml:space="preserve"> was done with current conversion factors valid in Croatia</w:t>
      </w:r>
      <w:r w:rsidR="00061A52">
        <w:rPr>
          <w:lang w:val="en-GB"/>
        </w:rPr>
        <w:t xml:space="preserve"> </w:t>
      </w:r>
      <w:bookmarkStart w:id="1" w:name="_Hlk230252794"/>
      <w:r w:rsidR="00061A52" w:rsidRPr="00061A52">
        <w:rPr>
          <w:lang w:val="en-GB"/>
        </w:rPr>
        <w:t>(Primary energy factors and CO</w:t>
      </w:r>
      <w:r w:rsidR="00061A52" w:rsidRPr="00061A52">
        <w:rPr>
          <w:vertAlign w:val="subscript"/>
          <w:lang w:val="en-GB"/>
        </w:rPr>
        <w:t>2</w:t>
      </w:r>
      <w:r w:rsidR="00061A52" w:rsidRPr="00061A52">
        <w:rPr>
          <w:lang w:val="en-GB"/>
        </w:rPr>
        <w:t xml:space="preserve"> emission factors</w:t>
      </w:r>
      <w:r w:rsidR="00061A52" w:rsidRPr="00061A52">
        <w:rPr>
          <w:lang w:val="en-US"/>
        </w:rPr>
        <w:t>, n.d.)</w:t>
      </w:r>
      <w:bookmarkEnd w:id="1"/>
      <w:r w:rsidRPr="00061A52">
        <w:rPr>
          <w:lang w:val="en-GB"/>
        </w:rPr>
        <w:t xml:space="preserve">, which are presented </w:t>
      </w:r>
      <w:r w:rsidRPr="00A532AE">
        <w:rPr>
          <w:lang w:val="en-GB"/>
        </w:rPr>
        <w:t>in Tab</w:t>
      </w:r>
      <w:r w:rsidR="00C43C53" w:rsidRPr="00A532AE">
        <w:rPr>
          <w:lang w:val="en-GB"/>
        </w:rPr>
        <w:t>.</w:t>
      </w:r>
      <w:r w:rsidRPr="00A532AE">
        <w:rPr>
          <w:lang w:val="en-GB"/>
        </w:rPr>
        <w:t xml:space="preserve"> 5. </w:t>
      </w:r>
    </w:p>
    <w:p w14:paraId="0C64D7BF" w14:textId="77777777" w:rsidR="005230FE" w:rsidRPr="00A532AE" w:rsidRDefault="005230FE" w:rsidP="005230FE">
      <w:pPr>
        <w:spacing w:line="276" w:lineRule="auto"/>
        <w:ind w:firstLine="340"/>
        <w:jc w:val="both"/>
        <w:rPr>
          <w:lang w:val="en-GB"/>
        </w:rPr>
      </w:pPr>
    </w:p>
    <w:p w14:paraId="13B57BF4" w14:textId="234A8DF2" w:rsidR="005230FE" w:rsidRPr="00A532AE" w:rsidRDefault="005230FE" w:rsidP="005230FE">
      <w:pPr>
        <w:spacing w:line="276" w:lineRule="auto"/>
        <w:ind w:firstLine="340"/>
        <w:jc w:val="center"/>
        <w:rPr>
          <w:b/>
          <w:sz w:val="16"/>
          <w:lang w:val="en-GB"/>
        </w:rPr>
      </w:pPr>
      <w:r w:rsidRPr="00A532AE">
        <w:rPr>
          <w:b/>
          <w:sz w:val="16"/>
          <w:lang w:val="en-GB"/>
        </w:rPr>
        <w:t>Ta</w:t>
      </w:r>
      <w:r w:rsidR="00C43C53" w:rsidRPr="00A532AE">
        <w:rPr>
          <w:b/>
          <w:sz w:val="16"/>
          <w:lang w:val="en-GB"/>
        </w:rPr>
        <w:t>b.</w:t>
      </w:r>
      <w:r w:rsidRPr="00A532AE">
        <w:rPr>
          <w:b/>
          <w:sz w:val="16"/>
          <w:lang w:val="en-GB"/>
        </w:rPr>
        <w:t xml:space="preserve"> 5</w:t>
      </w:r>
      <w:r w:rsidR="00C43C53" w:rsidRPr="00A532AE">
        <w:rPr>
          <w:b/>
          <w:sz w:val="16"/>
          <w:lang w:val="en-GB"/>
        </w:rPr>
        <w:t>:</w:t>
      </w:r>
      <w:r w:rsidRPr="00A532AE">
        <w:rPr>
          <w:b/>
          <w:sz w:val="16"/>
          <w:lang w:val="en-GB"/>
        </w:rPr>
        <w:t xml:space="preserve"> Primary energy conversion factors</w:t>
      </w:r>
    </w:p>
    <w:tbl>
      <w:tblPr>
        <w:tblW w:w="4962" w:type="dxa"/>
        <w:jc w:val="center"/>
        <w:tblLook w:val="04A0" w:firstRow="1" w:lastRow="0" w:firstColumn="1" w:lastColumn="0" w:noHBand="0" w:noVBand="1"/>
      </w:tblPr>
      <w:tblGrid>
        <w:gridCol w:w="1843"/>
        <w:gridCol w:w="277"/>
        <w:gridCol w:w="2842"/>
      </w:tblGrid>
      <w:tr w:rsidR="005230FE" w:rsidRPr="00A532AE" w14:paraId="76E5147E" w14:textId="77777777" w:rsidTr="000C14E7">
        <w:trPr>
          <w:trHeight w:val="240"/>
          <w:jc w:val="center"/>
        </w:trPr>
        <w:tc>
          <w:tcPr>
            <w:tcW w:w="1843" w:type="dxa"/>
            <w:tcBorders>
              <w:top w:val="single" w:sz="4" w:space="0" w:color="auto"/>
              <w:left w:val="nil"/>
              <w:bottom w:val="single" w:sz="4" w:space="0" w:color="auto"/>
              <w:right w:val="nil"/>
            </w:tcBorders>
            <w:noWrap/>
            <w:vAlign w:val="center"/>
            <w:hideMark/>
          </w:tcPr>
          <w:p w14:paraId="3460F0A5" w14:textId="77777777" w:rsidR="005230FE" w:rsidRPr="00A532AE" w:rsidRDefault="005230FE" w:rsidP="000C14E7">
            <w:pPr>
              <w:autoSpaceDE/>
              <w:autoSpaceDN/>
              <w:spacing w:line="276" w:lineRule="auto"/>
              <w:rPr>
                <w:b/>
                <w:bCs/>
                <w:color w:val="000000"/>
                <w:lang w:val="en-GB" w:eastAsia="en-US"/>
              </w:rPr>
            </w:pPr>
            <w:r w:rsidRPr="00A532AE">
              <w:rPr>
                <w:b/>
                <w:bCs/>
                <w:color w:val="000000"/>
                <w:lang w:val="en-GB" w:eastAsia="en-US"/>
              </w:rPr>
              <w:t>Energy source</w:t>
            </w:r>
          </w:p>
        </w:tc>
        <w:tc>
          <w:tcPr>
            <w:tcW w:w="277" w:type="dxa"/>
            <w:tcBorders>
              <w:top w:val="single" w:sz="4" w:space="0" w:color="auto"/>
              <w:left w:val="nil"/>
              <w:bottom w:val="single" w:sz="4" w:space="0" w:color="auto"/>
              <w:right w:val="nil"/>
            </w:tcBorders>
            <w:noWrap/>
            <w:vAlign w:val="bottom"/>
            <w:hideMark/>
          </w:tcPr>
          <w:p w14:paraId="05FCBBD8" w14:textId="77777777" w:rsidR="005230FE" w:rsidRPr="00A532AE" w:rsidRDefault="005230FE" w:rsidP="000C14E7">
            <w:pPr>
              <w:autoSpaceDE/>
              <w:autoSpaceDN/>
              <w:spacing w:line="276" w:lineRule="auto"/>
              <w:rPr>
                <w:b/>
                <w:bCs/>
                <w:color w:val="000000"/>
                <w:lang w:val="en-GB" w:eastAsia="en-US"/>
              </w:rPr>
            </w:pPr>
            <w:r w:rsidRPr="00A532AE">
              <w:rPr>
                <w:b/>
                <w:bCs/>
                <w:color w:val="000000"/>
                <w:lang w:val="en-GB" w:eastAsia="en-US"/>
              </w:rPr>
              <w:t> </w:t>
            </w:r>
          </w:p>
        </w:tc>
        <w:tc>
          <w:tcPr>
            <w:tcW w:w="2842" w:type="dxa"/>
            <w:tcBorders>
              <w:top w:val="single" w:sz="4" w:space="0" w:color="auto"/>
              <w:left w:val="nil"/>
              <w:bottom w:val="single" w:sz="4" w:space="0" w:color="auto"/>
              <w:right w:val="nil"/>
            </w:tcBorders>
            <w:noWrap/>
            <w:vAlign w:val="center"/>
            <w:hideMark/>
          </w:tcPr>
          <w:p w14:paraId="4BBEEF09" w14:textId="77777777" w:rsidR="005230FE" w:rsidRPr="00A532AE" w:rsidRDefault="005230FE" w:rsidP="000C14E7">
            <w:pPr>
              <w:autoSpaceDE/>
              <w:autoSpaceDN/>
              <w:spacing w:line="276" w:lineRule="auto"/>
              <w:jc w:val="center"/>
              <w:rPr>
                <w:b/>
                <w:bCs/>
                <w:color w:val="000000"/>
                <w:lang w:val="en-GB" w:eastAsia="en-US"/>
              </w:rPr>
            </w:pPr>
            <w:r w:rsidRPr="00A532AE">
              <w:rPr>
                <w:b/>
                <w:bCs/>
                <w:color w:val="000000"/>
                <w:lang w:val="en-GB" w:eastAsia="en-US"/>
              </w:rPr>
              <w:t>Primary energy factor</w:t>
            </w:r>
          </w:p>
        </w:tc>
      </w:tr>
      <w:tr w:rsidR="005230FE" w:rsidRPr="00A532AE" w14:paraId="1D71EA30" w14:textId="77777777" w:rsidTr="000C14E7">
        <w:trPr>
          <w:trHeight w:val="240"/>
          <w:jc w:val="center"/>
        </w:trPr>
        <w:tc>
          <w:tcPr>
            <w:tcW w:w="1843" w:type="dxa"/>
            <w:tcBorders>
              <w:top w:val="nil"/>
              <w:left w:val="nil"/>
              <w:bottom w:val="nil"/>
              <w:right w:val="nil"/>
            </w:tcBorders>
            <w:noWrap/>
            <w:vAlign w:val="center"/>
            <w:hideMark/>
          </w:tcPr>
          <w:p w14:paraId="4D501903" w14:textId="77777777" w:rsidR="005230FE" w:rsidRPr="00A532AE" w:rsidRDefault="005230FE" w:rsidP="000C14E7">
            <w:pPr>
              <w:autoSpaceDE/>
              <w:autoSpaceDN/>
              <w:spacing w:line="276" w:lineRule="auto"/>
              <w:rPr>
                <w:color w:val="000000"/>
                <w:lang w:val="en-GB" w:eastAsia="en-US"/>
              </w:rPr>
            </w:pPr>
            <w:r w:rsidRPr="00A532AE">
              <w:rPr>
                <w:color w:val="000000"/>
                <w:lang w:val="en-GB" w:eastAsia="en-US"/>
              </w:rPr>
              <w:t>Fuel oil</w:t>
            </w:r>
          </w:p>
        </w:tc>
        <w:tc>
          <w:tcPr>
            <w:tcW w:w="277" w:type="dxa"/>
            <w:tcBorders>
              <w:top w:val="nil"/>
              <w:left w:val="nil"/>
              <w:bottom w:val="nil"/>
              <w:right w:val="nil"/>
            </w:tcBorders>
            <w:noWrap/>
            <w:vAlign w:val="bottom"/>
            <w:hideMark/>
          </w:tcPr>
          <w:p w14:paraId="14DC7005" w14:textId="77777777" w:rsidR="005230FE" w:rsidRPr="00A532AE" w:rsidRDefault="005230FE" w:rsidP="000C14E7">
            <w:pPr>
              <w:autoSpaceDE/>
              <w:autoSpaceDN/>
              <w:spacing w:line="276" w:lineRule="auto"/>
              <w:rPr>
                <w:color w:val="000000"/>
                <w:lang w:val="en-GB" w:eastAsia="en-US"/>
              </w:rPr>
            </w:pPr>
          </w:p>
        </w:tc>
        <w:tc>
          <w:tcPr>
            <w:tcW w:w="2842" w:type="dxa"/>
            <w:tcBorders>
              <w:top w:val="nil"/>
              <w:left w:val="nil"/>
              <w:bottom w:val="nil"/>
              <w:right w:val="nil"/>
            </w:tcBorders>
            <w:noWrap/>
            <w:vAlign w:val="center"/>
            <w:hideMark/>
          </w:tcPr>
          <w:p w14:paraId="67C220D1" w14:textId="77777777" w:rsidR="005230FE" w:rsidRPr="00A532AE" w:rsidRDefault="005230FE" w:rsidP="000C14E7">
            <w:pPr>
              <w:autoSpaceDE/>
              <w:autoSpaceDN/>
              <w:spacing w:line="276" w:lineRule="auto"/>
              <w:jc w:val="center"/>
              <w:rPr>
                <w:color w:val="000000"/>
                <w:lang w:val="en-GB" w:eastAsia="en-US"/>
              </w:rPr>
            </w:pPr>
            <w:r w:rsidRPr="00A532AE">
              <w:rPr>
                <w:color w:val="000000"/>
                <w:lang w:val="en-GB" w:eastAsia="en-US"/>
              </w:rPr>
              <w:t>1.130</w:t>
            </w:r>
          </w:p>
        </w:tc>
      </w:tr>
      <w:tr w:rsidR="005230FE" w:rsidRPr="00A532AE" w14:paraId="30CD1587" w14:textId="77777777" w:rsidTr="000C14E7">
        <w:trPr>
          <w:trHeight w:val="240"/>
          <w:jc w:val="center"/>
        </w:trPr>
        <w:tc>
          <w:tcPr>
            <w:tcW w:w="1843" w:type="dxa"/>
            <w:tcBorders>
              <w:top w:val="nil"/>
              <w:left w:val="nil"/>
              <w:bottom w:val="nil"/>
              <w:right w:val="nil"/>
            </w:tcBorders>
            <w:noWrap/>
            <w:vAlign w:val="center"/>
            <w:hideMark/>
          </w:tcPr>
          <w:p w14:paraId="3631FB5F" w14:textId="77777777" w:rsidR="005230FE" w:rsidRPr="00A532AE" w:rsidRDefault="005230FE" w:rsidP="000C14E7">
            <w:pPr>
              <w:autoSpaceDE/>
              <w:autoSpaceDN/>
              <w:spacing w:line="276" w:lineRule="auto"/>
              <w:rPr>
                <w:color w:val="000000"/>
                <w:lang w:val="en-GB" w:eastAsia="en-US"/>
              </w:rPr>
            </w:pPr>
            <w:r w:rsidRPr="00A532AE">
              <w:rPr>
                <w:color w:val="000000"/>
                <w:lang w:val="en-GB" w:eastAsia="en-US"/>
              </w:rPr>
              <w:t>Natural gas</w:t>
            </w:r>
          </w:p>
        </w:tc>
        <w:tc>
          <w:tcPr>
            <w:tcW w:w="277" w:type="dxa"/>
            <w:tcBorders>
              <w:top w:val="nil"/>
              <w:left w:val="nil"/>
              <w:bottom w:val="nil"/>
              <w:right w:val="nil"/>
            </w:tcBorders>
            <w:noWrap/>
            <w:vAlign w:val="bottom"/>
            <w:hideMark/>
          </w:tcPr>
          <w:p w14:paraId="36852D60" w14:textId="77777777" w:rsidR="005230FE" w:rsidRPr="00A532AE" w:rsidRDefault="005230FE" w:rsidP="000C14E7">
            <w:pPr>
              <w:autoSpaceDE/>
              <w:autoSpaceDN/>
              <w:spacing w:line="276" w:lineRule="auto"/>
              <w:rPr>
                <w:color w:val="000000"/>
                <w:lang w:val="en-GB" w:eastAsia="en-US"/>
              </w:rPr>
            </w:pPr>
          </w:p>
        </w:tc>
        <w:tc>
          <w:tcPr>
            <w:tcW w:w="2842" w:type="dxa"/>
            <w:tcBorders>
              <w:top w:val="nil"/>
              <w:left w:val="nil"/>
              <w:bottom w:val="nil"/>
              <w:right w:val="nil"/>
            </w:tcBorders>
            <w:noWrap/>
            <w:vAlign w:val="center"/>
            <w:hideMark/>
          </w:tcPr>
          <w:p w14:paraId="2E2A88C1" w14:textId="77777777" w:rsidR="005230FE" w:rsidRPr="00A532AE" w:rsidRDefault="005230FE" w:rsidP="000C14E7">
            <w:pPr>
              <w:autoSpaceDE/>
              <w:autoSpaceDN/>
              <w:spacing w:line="276" w:lineRule="auto"/>
              <w:jc w:val="center"/>
              <w:rPr>
                <w:color w:val="000000"/>
                <w:lang w:val="en-GB" w:eastAsia="en-US"/>
              </w:rPr>
            </w:pPr>
            <w:r w:rsidRPr="00A532AE">
              <w:rPr>
                <w:color w:val="000000"/>
                <w:lang w:val="en-GB" w:eastAsia="en-US"/>
              </w:rPr>
              <w:t>1.160</w:t>
            </w:r>
          </w:p>
        </w:tc>
      </w:tr>
      <w:tr w:rsidR="005230FE" w:rsidRPr="00A532AE" w14:paraId="2D01BC9C" w14:textId="77777777" w:rsidTr="000C14E7">
        <w:trPr>
          <w:trHeight w:val="240"/>
          <w:jc w:val="center"/>
        </w:trPr>
        <w:tc>
          <w:tcPr>
            <w:tcW w:w="1843" w:type="dxa"/>
            <w:tcBorders>
              <w:top w:val="nil"/>
              <w:left w:val="nil"/>
              <w:bottom w:val="nil"/>
              <w:right w:val="nil"/>
            </w:tcBorders>
            <w:noWrap/>
            <w:vAlign w:val="center"/>
            <w:hideMark/>
          </w:tcPr>
          <w:p w14:paraId="46BFA579" w14:textId="77777777" w:rsidR="005230FE" w:rsidRPr="00A532AE" w:rsidRDefault="005230FE" w:rsidP="000C14E7">
            <w:pPr>
              <w:autoSpaceDE/>
              <w:autoSpaceDN/>
              <w:spacing w:line="276" w:lineRule="auto"/>
              <w:rPr>
                <w:color w:val="000000"/>
                <w:lang w:val="en-GB" w:eastAsia="en-US"/>
              </w:rPr>
            </w:pPr>
            <w:r w:rsidRPr="00A532AE">
              <w:rPr>
                <w:color w:val="000000"/>
                <w:lang w:val="en-GB" w:eastAsia="en-US"/>
              </w:rPr>
              <w:t>Electric energy</w:t>
            </w:r>
          </w:p>
        </w:tc>
        <w:tc>
          <w:tcPr>
            <w:tcW w:w="277" w:type="dxa"/>
            <w:tcBorders>
              <w:top w:val="nil"/>
              <w:left w:val="nil"/>
              <w:bottom w:val="nil"/>
              <w:right w:val="nil"/>
            </w:tcBorders>
            <w:noWrap/>
            <w:vAlign w:val="bottom"/>
            <w:hideMark/>
          </w:tcPr>
          <w:p w14:paraId="413BED19" w14:textId="77777777" w:rsidR="005230FE" w:rsidRPr="00A532AE" w:rsidRDefault="005230FE" w:rsidP="000C14E7">
            <w:pPr>
              <w:autoSpaceDE/>
              <w:autoSpaceDN/>
              <w:spacing w:line="276" w:lineRule="auto"/>
              <w:rPr>
                <w:color w:val="000000"/>
                <w:lang w:val="en-GB" w:eastAsia="en-US"/>
              </w:rPr>
            </w:pPr>
          </w:p>
        </w:tc>
        <w:tc>
          <w:tcPr>
            <w:tcW w:w="2842" w:type="dxa"/>
            <w:tcBorders>
              <w:top w:val="nil"/>
              <w:left w:val="nil"/>
              <w:bottom w:val="nil"/>
              <w:right w:val="nil"/>
            </w:tcBorders>
            <w:noWrap/>
            <w:vAlign w:val="center"/>
            <w:hideMark/>
          </w:tcPr>
          <w:p w14:paraId="33039F44" w14:textId="77777777" w:rsidR="005230FE" w:rsidRPr="00A532AE" w:rsidRDefault="005230FE" w:rsidP="000C14E7">
            <w:pPr>
              <w:autoSpaceDE/>
              <w:autoSpaceDN/>
              <w:spacing w:line="276" w:lineRule="auto"/>
              <w:jc w:val="center"/>
              <w:rPr>
                <w:color w:val="000000"/>
                <w:lang w:val="en-GB" w:eastAsia="en-US"/>
              </w:rPr>
            </w:pPr>
            <w:r w:rsidRPr="00A532AE">
              <w:rPr>
                <w:color w:val="000000"/>
                <w:lang w:val="en-GB" w:eastAsia="en-US"/>
              </w:rPr>
              <w:t>1.614</w:t>
            </w:r>
          </w:p>
        </w:tc>
      </w:tr>
      <w:tr w:rsidR="005230FE" w:rsidRPr="00A532AE" w14:paraId="3D61E8C9" w14:textId="77777777" w:rsidTr="000C14E7">
        <w:trPr>
          <w:trHeight w:val="240"/>
          <w:jc w:val="center"/>
        </w:trPr>
        <w:tc>
          <w:tcPr>
            <w:tcW w:w="1843" w:type="dxa"/>
            <w:tcBorders>
              <w:top w:val="nil"/>
              <w:left w:val="nil"/>
              <w:bottom w:val="single" w:sz="4" w:space="0" w:color="auto"/>
              <w:right w:val="nil"/>
            </w:tcBorders>
            <w:noWrap/>
            <w:vAlign w:val="center"/>
            <w:hideMark/>
          </w:tcPr>
          <w:p w14:paraId="36AD7C65" w14:textId="77777777" w:rsidR="005230FE" w:rsidRPr="00A532AE" w:rsidRDefault="005230FE" w:rsidP="000C14E7">
            <w:pPr>
              <w:autoSpaceDE/>
              <w:autoSpaceDN/>
              <w:spacing w:line="276" w:lineRule="auto"/>
              <w:rPr>
                <w:color w:val="000000"/>
                <w:lang w:val="en-GB" w:eastAsia="en-US"/>
              </w:rPr>
            </w:pPr>
            <w:r w:rsidRPr="00A532AE">
              <w:rPr>
                <w:color w:val="000000"/>
                <w:lang w:val="en-GB" w:eastAsia="en-US"/>
              </w:rPr>
              <w:t>Solar energy</w:t>
            </w:r>
          </w:p>
        </w:tc>
        <w:tc>
          <w:tcPr>
            <w:tcW w:w="277" w:type="dxa"/>
            <w:tcBorders>
              <w:top w:val="nil"/>
              <w:left w:val="nil"/>
              <w:bottom w:val="single" w:sz="4" w:space="0" w:color="auto"/>
              <w:right w:val="nil"/>
            </w:tcBorders>
            <w:noWrap/>
            <w:vAlign w:val="bottom"/>
            <w:hideMark/>
          </w:tcPr>
          <w:p w14:paraId="388A12B9" w14:textId="77777777" w:rsidR="005230FE" w:rsidRPr="00A532AE" w:rsidRDefault="005230FE" w:rsidP="000C14E7">
            <w:pPr>
              <w:autoSpaceDE/>
              <w:autoSpaceDN/>
              <w:spacing w:line="276" w:lineRule="auto"/>
              <w:rPr>
                <w:color w:val="000000"/>
                <w:lang w:val="en-GB" w:eastAsia="en-US"/>
              </w:rPr>
            </w:pPr>
            <w:r w:rsidRPr="00A532AE">
              <w:rPr>
                <w:color w:val="000000"/>
                <w:lang w:val="en-GB" w:eastAsia="en-US"/>
              </w:rPr>
              <w:t> </w:t>
            </w:r>
          </w:p>
        </w:tc>
        <w:tc>
          <w:tcPr>
            <w:tcW w:w="2842" w:type="dxa"/>
            <w:tcBorders>
              <w:top w:val="nil"/>
              <w:left w:val="nil"/>
              <w:bottom w:val="single" w:sz="4" w:space="0" w:color="auto"/>
              <w:right w:val="nil"/>
            </w:tcBorders>
            <w:noWrap/>
            <w:vAlign w:val="center"/>
            <w:hideMark/>
          </w:tcPr>
          <w:p w14:paraId="23FD097E" w14:textId="77777777" w:rsidR="005230FE" w:rsidRPr="00A532AE" w:rsidRDefault="005230FE" w:rsidP="000C14E7">
            <w:pPr>
              <w:autoSpaceDE/>
              <w:autoSpaceDN/>
              <w:spacing w:line="276" w:lineRule="auto"/>
              <w:jc w:val="center"/>
              <w:rPr>
                <w:color w:val="000000"/>
                <w:lang w:val="en-GB" w:eastAsia="en-US"/>
              </w:rPr>
            </w:pPr>
            <w:r w:rsidRPr="00A532AE">
              <w:rPr>
                <w:color w:val="000000"/>
                <w:lang w:val="en-GB" w:eastAsia="en-US"/>
              </w:rPr>
              <w:t>0.000</w:t>
            </w:r>
          </w:p>
        </w:tc>
      </w:tr>
    </w:tbl>
    <w:p w14:paraId="702C41D4" w14:textId="77777777" w:rsidR="005230FE" w:rsidRPr="00A532AE" w:rsidRDefault="005230FE" w:rsidP="005230FE">
      <w:pPr>
        <w:spacing w:line="276" w:lineRule="auto"/>
        <w:ind w:firstLine="340"/>
        <w:jc w:val="both"/>
        <w:rPr>
          <w:lang w:val="en-GB"/>
        </w:rPr>
      </w:pPr>
    </w:p>
    <w:p w14:paraId="6CE667E9" w14:textId="33C379DA" w:rsidR="005230FE" w:rsidRPr="00061A52" w:rsidRDefault="005230FE" w:rsidP="005230FE">
      <w:pPr>
        <w:spacing w:line="276" w:lineRule="auto"/>
        <w:jc w:val="both"/>
        <w:rPr>
          <w:lang w:val="en-US"/>
        </w:rPr>
      </w:pPr>
      <w:r w:rsidRPr="00A532AE">
        <w:rPr>
          <w:lang w:val="en-GB"/>
        </w:rPr>
        <w:t>Fig</w:t>
      </w:r>
      <w:r w:rsidR="00AF63DA">
        <w:rPr>
          <w:lang w:val="en-GB"/>
        </w:rPr>
        <w:t>.</w:t>
      </w:r>
      <w:r w:rsidRPr="00A532AE">
        <w:rPr>
          <w:lang w:val="en-GB"/>
        </w:rPr>
        <w:t xml:space="preserve"> </w:t>
      </w:r>
      <w:r w:rsidR="00671CC7">
        <w:rPr>
          <w:lang w:val="en-GB"/>
        </w:rPr>
        <w:t>4</w:t>
      </w:r>
      <w:r w:rsidRPr="00A532AE">
        <w:rPr>
          <w:lang w:val="en-GB"/>
        </w:rPr>
        <w:t xml:space="preserve"> shows the annual primary energy demand per square meter for the analysed HVAC systems (S1–S9). The red dashed line represents the maximum allowable value of 35 kWh/m² annually for single-family houses in the coastal climate zone according to national building energy efficiency requirements</w:t>
      </w:r>
      <w:r w:rsidR="00061A52" w:rsidRPr="00061A52">
        <w:rPr>
          <w:rFonts w:ascii="Segoe UI" w:hAnsi="Segoe UI" w:cs="Segoe UI"/>
          <w:sz w:val="21"/>
          <w:szCs w:val="21"/>
          <w:lang w:val="en-US" w:eastAsia="en-US"/>
        </w:rPr>
        <w:t xml:space="preserve"> </w:t>
      </w:r>
      <w:r w:rsidR="00061A52" w:rsidRPr="00061A52">
        <w:rPr>
          <w:lang w:val="en-US"/>
        </w:rPr>
        <w:t>(Technical Regulation on Rational Use of Energy and Thermal Protection in Buildings, 2020)</w:t>
      </w:r>
      <w:r w:rsidRPr="00A532AE">
        <w:rPr>
          <w:lang w:val="en-GB"/>
        </w:rPr>
        <w:t xml:space="preserve">. </w:t>
      </w:r>
      <w:r w:rsidR="00933EF3" w:rsidRPr="00A532AE">
        <w:rPr>
          <w:lang w:val="en-GB"/>
        </w:rPr>
        <w:t>The highest primary energy demand is recorded for the baseline system S1, which uses a heating oil boiler and lacks thermal insulation or mechanical ventilation with heat recovery. Progressive improvements such as thermal insulation, condensing gas boilers, ventilation with heat recovery, solar collectors, and heat pumps significantly reduce primary energy use.</w:t>
      </w:r>
    </w:p>
    <w:p w14:paraId="09ED527B" w14:textId="09E350AB" w:rsidR="005230FE" w:rsidRPr="00A532AE" w:rsidRDefault="00AC69E2" w:rsidP="005230FE">
      <w:pPr>
        <w:spacing w:line="276" w:lineRule="auto"/>
        <w:jc w:val="center"/>
        <w:rPr>
          <w:lang w:val="en-GB"/>
        </w:rPr>
      </w:pPr>
      <w:r w:rsidRPr="00AC69E2">
        <w:rPr>
          <w:noProof/>
        </w:rPr>
        <w:lastRenderedPageBreak/>
        <w:drawing>
          <wp:inline distT="0" distB="0" distL="0" distR="0" wp14:anchorId="6441992C" wp14:editId="75F9ECD2">
            <wp:extent cx="3420000" cy="2323750"/>
            <wp:effectExtent l="0" t="0" r="952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20000" cy="2323750"/>
                    </a:xfrm>
                    <a:prstGeom prst="rect">
                      <a:avLst/>
                    </a:prstGeom>
                    <a:noFill/>
                    <a:ln>
                      <a:noFill/>
                    </a:ln>
                  </pic:spPr>
                </pic:pic>
              </a:graphicData>
            </a:graphic>
          </wp:inline>
        </w:drawing>
      </w:r>
    </w:p>
    <w:p w14:paraId="7081FFDD" w14:textId="78F093C2" w:rsidR="005230FE" w:rsidRDefault="005230FE" w:rsidP="005230FE">
      <w:pPr>
        <w:spacing w:line="276" w:lineRule="auto"/>
        <w:jc w:val="center"/>
        <w:rPr>
          <w:b/>
          <w:sz w:val="16"/>
          <w:lang w:val="en-GB"/>
        </w:rPr>
      </w:pPr>
      <w:r w:rsidRPr="00A532AE">
        <w:rPr>
          <w:b/>
          <w:sz w:val="16"/>
          <w:lang w:val="en-GB"/>
        </w:rPr>
        <w:t>Fig</w:t>
      </w:r>
      <w:r w:rsidR="00C43C53" w:rsidRPr="00A532AE">
        <w:rPr>
          <w:b/>
          <w:sz w:val="16"/>
          <w:lang w:val="en-GB"/>
        </w:rPr>
        <w:t>.</w:t>
      </w:r>
      <w:r w:rsidRPr="00A532AE">
        <w:rPr>
          <w:b/>
          <w:sz w:val="16"/>
          <w:lang w:val="en-GB"/>
        </w:rPr>
        <w:t xml:space="preserve"> </w:t>
      </w:r>
      <w:r w:rsidR="00671CC7">
        <w:rPr>
          <w:b/>
          <w:sz w:val="16"/>
          <w:lang w:val="en-GB"/>
        </w:rPr>
        <w:t>4</w:t>
      </w:r>
      <w:r w:rsidR="00C43C53" w:rsidRPr="00A532AE">
        <w:rPr>
          <w:b/>
          <w:sz w:val="16"/>
          <w:lang w:val="en-GB"/>
        </w:rPr>
        <w:t>:</w:t>
      </w:r>
      <w:r w:rsidRPr="00A532AE">
        <w:rPr>
          <w:b/>
          <w:sz w:val="16"/>
          <w:lang w:val="en-GB"/>
        </w:rPr>
        <w:t xml:space="preserve"> Annual primary energy </w:t>
      </w:r>
    </w:p>
    <w:p w14:paraId="70C76098" w14:textId="77777777" w:rsidR="00725F0D" w:rsidRPr="00A532AE" w:rsidRDefault="00725F0D" w:rsidP="005230FE">
      <w:pPr>
        <w:spacing w:line="276" w:lineRule="auto"/>
        <w:jc w:val="center"/>
        <w:rPr>
          <w:b/>
          <w:sz w:val="16"/>
          <w:lang w:val="en-GB"/>
        </w:rPr>
      </w:pPr>
    </w:p>
    <w:p w14:paraId="611F0762" w14:textId="732284BB" w:rsidR="005230FE" w:rsidRPr="00A532AE" w:rsidRDefault="005230FE" w:rsidP="005230FE">
      <w:pPr>
        <w:spacing w:line="276" w:lineRule="auto"/>
        <w:jc w:val="both"/>
        <w:rPr>
          <w:lang w:val="en-GB"/>
        </w:rPr>
      </w:pPr>
      <w:r w:rsidRPr="00A532AE">
        <w:rPr>
          <w:lang w:val="en-GB"/>
        </w:rPr>
        <w:t xml:space="preserve">The transition from S1 to S2 leads to a significant reduction in primary energy demand due to the addition of thermal insulation to the building envelope and the replacement of the oil-fired boiler with a condensing gas boiler operating at lower water temperatures. The improvement from S2 to S3 is mainly attributed to the introduction of a mechanical ventilation system with heat recovery, which reduces ventilation heat losses. The further reduction observed in S4 results from the integration of flat-plate solar collectors for domestic hot water (DHW) production, which partially replace fossil fuel consumption with renewable solar energy. The reduction in primary energy consumption from S5 to S6 results from the integration of mechanical ventilation with heat recovery and the use of nighttime ventilation for passive cooling during the summer. The further reduction from S6 to S7 is achieved by assigning domestic hot water (DHW) production to the heat pump instead of electric heaters, taking advantage of the heat pump’s higher coefficient of performance (COP). </w:t>
      </w:r>
      <w:r w:rsidR="00862C69" w:rsidRPr="00A532AE">
        <w:rPr>
          <w:lang w:val="en-GB"/>
        </w:rPr>
        <w:t xml:space="preserve">Systems S8 and S9, which rely on electric resistance heating and domestic hot water preparation in combination with a photovoltaic system, also achieve relatively low primary energy demand. In these cases, the photovoltaic system was introduced to ensure a renewable energy share of at least 30% and compliance with primary energy regulations. The inclusion of heat recovery ventilation in S9 further reduces primary energy demand compared to S8. </w:t>
      </w:r>
      <w:r w:rsidRPr="00A532AE">
        <w:rPr>
          <w:lang w:val="en-GB"/>
        </w:rPr>
        <w:t xml:space="preserve">Among all configurations, only system </w:t>
      </w:r>
      <w:r w:rsidR="00862C69" w:rsidRPr="00A532AE">
        <w:rPr>
          <w:lang w:val="en-GB"/>
        </w:rPr>
        <w:t xml:space="preserve">variants </w:t>
      </w:r>
      <w:r w:rsidRPr="00A532AE">
        <w:rPr>
          <w:lang w:val="en-GB"/>
        </w:rPr>
        <w:t>S4</w:t>
      </w:r>
      <w:r w:rsidR="00862C69" w:rsidRPr="00A532AE">
        <w:rPr>
          <w:lang w:val="en-GB"/>
        </w:rPr>
        <w:t>,</w:t>
      </w:r>
      <w:r w:rsidRPr="00A532AE">
        <w:rPr>
          <w:lang w:val="en-GB"/>
        </w:rPr>
        <w:t xml:space="preserve"> S7</w:t>
      </w:r>
      <w:r w:rsidR="00862C69" w:rsidRPr="00A532AE">
        <w:rPr>
          <w:lang w:val="en-GB"/>
        </w:rPr>
        <w:t>, S8 and S9</w:t>
      </w:r>
      <w:r w:rsidRPr="00A532AE">
        <w:rPr>
          <w:lang w:val="en-GB"/>
        </w:rPr>
        <w:t xml:space="preserve"> satisfy the regulatory limit for nearly zero energy buildings (nZEB) of 35 kWh/m² annually for single family homes, achieving the lowest primary energy consumption and demonstrating the best overall energy performance and compliance with national standards. </w:t>
      </w:r>
    </w:p>
    <w:p w14:paraId="7E6B2598" w14:textId="49892688" w:rsidR="005230FE" w:rsidRPr="00A532AE" w:rsidRDefault="005230FE" w:rsidP="00C43C53">
      <w:pPr>
        <w:spacing w:line="276" w:lineRule="auto"/>
        <w:ind w:firstLine="340"/>
        <w:jc w:val="both"/>
        <w:rPr>
          <w:lang w:val="en-GB"/>
        </w:rPr>
      </w:pPr>
      <w:r w:rsidRPr="00A532AE">
        <w:rPr>
          <w:lang w:val="en-GB"/>
        </w:rPr>
        <w:t xml:space="preserve">In this study, CO₂ emissions were also calculated for each HVAC configuration, using delivered energy and national emission factors </w:t>
      </w:r>
      <w:r w:rsidR="00061A52" w:rsidRPr="00061A52">
        <w:rPr>
          <w:lang w:val="en-GB"/>
        </w:rPr>
        <w:t>(</w:t>
      </w:r>
      <w:r w:rsidR="00061A52" w:rsidRPr="004D79AC">
        <w:rPr>
          <w:lang w:val="en-GB"/>
        </w:rPr>
        <w:t>Primary energy factors and CO</w:t>
      </w:r>
      <w:r w:rsidR="00061A52" w:rsidRPr="00061A52">
        <w:rPr>
          <w:vertAlign w:val="subscript"/>
          <w:lang w:val="en-GB"/>
        </w:rPr>
        <w:t>2</w:t>
      </w:r>
      <w:r w:rsidR="00061A52" w:rsidRPr="004D79AC">
        <w:rPr>
          <w:lang w:val="en-GB"/>
        </w:rPr>
        <w:t xml:space="preserve"> emission factors</w:t>
      </w:r>
      <w:r w:rsidR="00061A52" w:rsidRPr="00061A52">
        <w:rPr>
          <w:lang w:val="en-US"/>
        </w:rPr>
        <w:t>, n.d.)</w:t>
      </w:r>
      <w:r w:rsidRPr="00A532AE">
        <w:rPr>
          <w:lang w:val="en-GB"/>
        </w:rPr>
        <w:t>, to quantify the operational climate impact of each solution beyond primary energy demand alone. This indicator is important for evaluating the decarbonisation potential of different renovation strategies and is directly aligned with UN SDG 7, which aims to achieve affordable, reliable and clean energy systems while reducing energy-related greenhouse gas emissions globally. The factors used in this study are presented in Tab</w:t>
      </w:r>
      <w:r w:rsidR="00C43C53" w:rsidRPr="00A532AE">
        <w:rPr>
          <w:lang w:val="en-GB"/>
        </w:rPr>
        <w:t>.</w:t>
      </w:r>
      <w:r w:rsidRPr="00A532AE">
        <w:rPr>
          <w:lang w:val="en-GB"/>
        </w:rPr>
        <w:t xml:space="preserve"> 6.</w:t>
      </w:r>
    </w:p>
    <w:p w14:paraId="6F8E471B" w14:textId="77777777" w:rsidR="000C14E7" w:rsidRPr="00A532AE" w:rsidRDefault="000C14E7" w:rsidP="00C43C53">
      <w:pPr>
        <w:spacing w:line="276" w:lineRule="auto"/>
        <w:ind w:firstLine="340"/>
        <w:jc w:val="both"/>
        <w:rPr>
          <w:lang w:val="en-GB"/>
        </w:rPr>
      </w:pPr>
    </w:p>
    <w:p w14:paraId="404ABFA2" w14:textId="147F3733" w:rsidR="005230FE" w:rsidRPr="00A532AE" w:rsidRDefault="005230FE" w:rsidP="005230FE">
      <w:pPr>
        <w:spacing w:line="276" w:lineRule="auto"/>
        <w:ind w:firstLine="340"/>
        <w:jc w:val="center"/>
        <w:rPr>
          <w:b/>
          <w:sz w:val="16"/>
          <w:lang w:val="en-GB"/>
        </w:rPr>
      </w:pPr>
      <w:r w:rsidRPr="00A532AE">
        <w:rPr>
          <w:b/>
          <w:sz w:val="16"/>
          <w:lang w:val="en-GB"/>
        </w:rPr>
        <w:t>Tab</w:t>
      </w:r>
      <w:r w:rsidR="00C43C53" w:rsidRPr="00A532AE">
        <w:rPr>
          <w:b/>
          <w:sz w:val="16"/>
          <w:lang w:val="en-GB"/>
        </w:rPr>
        <w:t>.</w:t>
      </w:r>
      <w:r w:rsidRPr="00A532AE">
        <w:rPr>
          <w:b/>
          <w:sz w:val="16"/>
          <w:lang w:val="en-GB"/>
        </w:rPr>
        <w:t xml:space="preserve"> 6</w:t>
      </w:r>
      <w:r w:rsidR="00C43C53" w:rsidRPr="00A532AE">
        <w:rPr>
          <w:b/>
          <w:sz w:val="16"/>
          <w:lang w:val="en-GB"/>
        </w:rPr>
        <w:t>:</w:t>
      </w:r>
      <w:r w:rsidRPr="00A532AE">
        <w:rPr>
          <w:b/>
          <w:sz w:val="16"/>
          <w:lang w:val="en-GB"/>
        </w:rPr>
        <w:t xml:space="preserve"> Carbon dioxide emission factors</w:t>
      </w:r>
    </w:p>
    <w:tbl>
      <w:tblPr>
        <w:tblW w:w="5529" w:type="dxa"/>
        <w:jc w:val="center"/>
        <w:tblLook w:val="04A0" w:firstRow="1" w:lastRow="0" w:firstColumn="1" w:lastColumn="0" w:noHBand="0" w:noVBand="1"/>
      </w:tblPr>
      <w:tblGrid>
        <w:gridCol w:w="1701"/>
        <w:gridCol w:w="284"/>
        <w:gridCol w:w="3544"/>
      </w:tblGrid>
      <w:tr w:rsidR="005230FE" w:rsidRPr="00A532AE" w14:paraId="5315E239" w14:textId="77777777" w:rsidTr="000C14E7">
        <w:trPr>
          <w:trHeight w:val="240"/>
          <w:jc w:val="center"/>
        </w:trPr>
        <w:tc>
          <w:tcPr>
            <w:tcW w:w="1701" w:type="dxa"/>
            <w:tcBorders>
              <w:top w:val="single" w:sz="4" w:space="0" w:color="auto"/>
              <w:left w:val="nil"/>
              <w:bottom w:val="single" w:sz="4" w:space="0" w:color="auto"/>
              <w:right w:val="nil"/>
            </w:tcBorders>
            <w:noWrap/>
            <w:vAlign w:val="center"/>
            <w:hideMark/>
          </w:tcPr>
          <w:p w14:paraId="0EA68831" w14:textId="77777777" w:rsidR="005230FE" w:rsidRPr="00A532AE" w:rsidRDefault="005230FE" w:rsidP="000C14E7">
            <w:pPr>
              <w:autoSpaceDE/>
              <w:autoSpaceDN/>
              <w:spacing w:line="276" w:lineRule="auto"/>
              <w:rPr>
                <w:b/>
                <w:bCs/>
                <w:color w:val="000000"/>
                <w:lang w:val="en-GB" w:eastAsia="en-US"/>
              </w:rPr>
            </w:pPr>
            <w:r w:rsidRPr="00A532AE">
              <w:rPr>
                <w:b/>
                <w:bCs/>
                <w:color w:val="000000"/>
                <w:lang w:val="en-GB" w:eastAsia="en-US"/>
              </w:rPr>
              <w:t>Energy source</w:t>
            </w:r>
          </w:p>
        </w:tc>
        <w:tc>
          <w:tcPr>
            <w:tcW w:w="284" w:type="dxa"/>
            <w:tcBorders>
              <w:top w:val="single" w:sz="4" w:space="0" w:color="auto"/>
              <w:left w:val="nil"/>
              <w:bottom w:val="single" w:sz="4" w:space="0" w:color="auto"/>
              <w:right w:val="nil"/>
            </w:tcBorders>
            <w:noWrap/>
            <w:vAlign w:val="bottom"/>
            <w:hideMark/>
          </w:tcPr>
          <w:p w14:paraId="25C36737" w14:textId="77777777" w:rsidR="005230FE" w:rsidRPr="00A532AE" w:rsidRDefault="005230FE" w:rsidP="000C14E7">
            <w:pPr>
              <w:autoSpaceDE/>
              <w:autoSpaceDN/>
              <w:spacing w:line="276" w:lineRule="auto"/>
              <w:rPr>
                <w:b/>
                <w:bCs/>
                <w:color w:val="000000"/>
                <w:lang w:val="en-GB" w:eastAsia="en-US"/>
              </w:rPr>
            </w:pPr>
            <w:r w:rsidRPr="00A532AE">
              <w:rPr>
                <w:b/>
                <w:bCs/>
                <w:color w:val="000000"/>
                <w:lang w:val="en-GB" w:eastAsia="en-US"/>
              </w:rPr>
              <w:t> </w:t>
            </w:r>
          </w:p>
        </w:tc>
        <w:tc>
          <w:tcPr>
            <w:tcW w:w="3544" w:type="dxa"/>
            <w:tcBorders>
              <w:top w:val="single" w:sz="4" w:space="0" w:color="auto"/>
              <w:left w:val="nil"/>
              <w:bottom w:val="single" w:sz="4" w:space="0" w:color="auto"/>
              <w:right w:val="nil"/>
            </w:tcBorders>
            <w:noWrap/>
            <w:vAlign w:val="center"/>
            <w:hideMark/>
          </w:tcPr>
          <w:p w14:paraId="545B7149" w14:textId="77777777" w:rsidR="005230FE" w:rsidRPr="00A532AE" w:rsidRDefault="005230FE" w:rsidP="000C14E7">
            <w:pPr>
              <w:autoSpaceDE/>
              <w:autoSpaceDN/>
              <w:spacing w:line="276" w:lineRule="auto"/>
              <w:jc w:val="center"/>
              <w:rPr>
                <w:b/>
                <w:bCs/>
                <w:color w:val="000000"/>
                <w:lang w:val="en-GB" w:eastAsia="en-US"/>
              </w:rPr>
            </w:pPr>
            <w:r w:rsidRPr="00A532AE">
              <w:rPr>
                <w:b/>
                <w:bCs/>
                <w:color w:val="000000"/>
                <w:lang w:val="en-GB" w:eastAsia="en-US"/>
              </w:rPr>
              <w:t>CO</w:t>
            </w:r>
            <w:r w:rsidRPr="00A532AE">
              <w:rPr>
                <w:b/>
                <w:bCs/>
                <w:color w:val="000000"/>
                <w:vertAlign w:val="subscript"/>
                <w:lang w:val="en-GB" w:eastAsia="en-US"/>
              </w:rPr>
              <w:t>2</w:t>
            </w:r>
            <w:r w:rsidRPr="00A532AE">
              <w:rPr>
                <w:b/>
                <w:bCs/>
                <w:color w:val="000000"/>
                <w:lang w:val="en-GB" w:eastAsia="en-US"/>
              </w:rPr>
              <w:t xml:space="preserve"> emission factor [kg/MWh]</w:t>
            </w:r>
          </w:p>
        </w:tc>
      </w:tr>
      <w:tr w:rsidR="005230FE" w:rsidRPr="00A532AE" w14:paraId="39692150" w14:textId="77777777" w:rsidTr="000C14E7">
        <w:trPr>
          <w:trHeight w:val="240"/>
          <w:jc w:val="center"/>
        </w:trPr>
        <w:tc>
          <w:tcPr>
            <w:tcW w:w="1701" w:type="dxa"/>
            <w:tcBorders>
              <w:top w:val="nil"/>
              <w:left w:val="nil"/>
              <w:bottom w:val="nil"/>
              <w:right w:val="nil"/>
            </w:tcBorders>
            <w:noWrap/>
            <w:vAlign w:val="center"/>
            <w:hideMark/>
          </w:tcPr>
          <w:p w14:paraId="09948358" w14:textId="77777777" w:rsidR="005230FE" w:rsidRPr="00A532AE" w:rsidRDefault="005230FE" w:rsidP="000C14E7">
            <w:pPr>
              <w:autoSpaceDE/>
              <w:autoSpaceDN/>
              <w:spacing w:line="276" w:lineRule="auto"/>
              <w:rPr>
                <w:color w:val="000000"/>
                <w:lang w:val="en-GB" w:eastAsia="en-US"/>
              </w:rPr>
            </w:pPr>
            <w:r w:rsidRPr="00A532AE">
              <w:rPr>
                <w:color w:val="000000"/>
                <w:lang w:val="en-GB" w:eastAsia="en-US"/>
              </w:rPr>
              <w:t>Fuel oil</w:t>
            </w:r>
          </w:p>
        </w:tc>
        <w:tc>
          <w:tcPr>
            <w:tcW w:w="284" w:type="dxa"/>
            <w:tcBorders>
              <w:top w:val="nil"/>
              <w:left w:val="nil"/>
              <w:bottom w:val="nil"/>
              <w:right w:val="nil"/>
            </w:tcBorders>
            <w:noWrap/>
            <w:vAlign w:val="bottom"/>
            <w:hideMark/>
          </w:tcPr>
          <w:p w14:paraId="217F8A42" w14:textId="77777777" w:rsidR="005230FE" w:rsidRPr="00A532AE" w:rsidRDefault="005230FE" w:rsidP="000C14E7">
            <w:pPr>
              <w:autoSpaceDE/>
              <w:autoSpaceDN/>
              <w:spacing w:line="276" w:lineRule="auto"/>
              <w:rPr>
                <w:color w:val="000000"/>
                <w:lang w:val="en-GB" w:eastAsia="en-US"/>
              </w:rPr>
            </w:pPr>
          </w:p>
        </w:tc>
        <w:tc>
          <w:tcPr>
            <w:tcW w:w="3544" w:type="dxa"/>
            <w:tcBorders>
              <w:top w:val="nil"/>
              <w:left w:val="nil"/>
              <w:bottom w:val="nil"/>
              <w:right w:val="nil"/>
            </w:tcBorders>
            <w:noWrap/>
            <w:vAlign w:val="center"/>
            <w:hideMark/>
          </w:tcPr>
          <w:p w14:paraId="34E7BDCD" w14:textId="77777777" w:rsidR="005230FE" w:rsidRPr="00A532AE" w:rsidRDefault="005230FE" w:rsidP="000C14E7">
            <w:pPr>
              <w:autoSpaceDE/>
              <w:autoSpaceDN/>
              <w:spacing w:line="276" w:lineRule="auto"/>
              <w:jc w:val="center"/>
              <w:rPr>
                <w:color w:val="000000"/>
                <w:lang w:val="en-GB" w:eastAsia="en-US"/>
              </w:rPr>
            </w:pPr>
            <w:r w:rsidRPr="00A532AE">
              <w:rPr>
                <w:color w:val="000000"/>
                <w:lang w:val="en-GB" w:eastAsia="en-US"/>
              </w:rPr>
              <w:t>310.31</w:t>
            </w:r>
          </w:p>
        </w:tc>
      </w:tr>
      <w:tr w:rsidR="005230FE" w:rsidRPr="00A532AE" w14:paraId="6C16FE0B" w14:textId="77777777" w:rsidTr="000C14E7">
        <w:trPr>
          <w:trHeight w:val="240"/>
          <w:jc w:val="center"/>
        </w:trPr>
        <w:tc>
          <w:tcPr>
            <w:tcW w:w="1701" w:type="dxa"/>
            <w:tcBorders>
              <w:top w:val="nil"/>
              <w:left w:val="nil"/>
              <w:bottom w:val="nil"/>
              <w:right w:val="nil"/>
            </w:tcBorders>
            <w:noWrap/>
            <w:vAlign w:val="center"/>
            <w:hideMark/>
          </w:tcPr>
          <w:p w14:paraId="112FCA9D" w14:textId="77777777" w:rsidR="005230FE" w:rsidRPr="00A532AE" w:rsidRDefault="005230FE" w:rsidP="000C14E7">
            <w:pPr>
              <w:autoSpaceDE/>
              <w:autoSpaceDN/>
              <w:spacing w:line="276" w:lineRule="auto"/>
              <w:rPr>
                <w:color w:val="000000"/>
                <w:lang w:val="en-GB" w:eastAsia="en-US"/>
              </w:rPr>
            </w:pPr>
            <w:r w:rsidRPr="00A532AE">
              <w:rPr>
                <w:color w:val="000000"/>
                <w:lang w:val="en-GB" w:eastAsia="en-US"/>
              </w:rPr>
              <w:t>Natural gas</w:t>
            </w:r>
          </w:p>
        </w:tc>
        <w:tc>
          <w:tcPr>
            <w:tcW w:w="284" w:type="dxa"/>
            <w:tcBorders>
              <w:top w:val="nil"/>
              <w:left w:val="nil"/>
              <w:bottom w:val="nil"/>
              <w:right w:val="nil"/>
            </w:tcBorders>
            <w:noWrap/>
            <w:vAlign w:val="bottom"/>
            <w:hideMark/>
          </w:tcPr>
          <w:p w14:paraId="717CA6A0" w14:textId="77777777" w:rsidR="005230FE" w:rsidRPr="00A532AE" w:rsidRDefault="005230FE" w:rsidP="000C14E7">
            <w:pPr>
              <w:autoSpaceDE/>
              <w:autoSpaceDN/>
              <w:spacing w:line="276" w:lineRule="auto"/>
              <w:rPr>
                <w:color w:val="000000"/>
                <w:lang w:val="en-GB" w:eastAsia="en-US"/>
              </w:rPr>
            </w:pPr>
          </w:p>
        </w:tc>
        <w:tc>
          <w:tcPr>
            <w:tcW w:w="3544" w:type="dxa"/>
            <w:tcBorders>
              <w:top w:val="nil"/>
              <w:left w:val="nil"/>
              <w:bottom w:val="nil"/>
              <w:right w:val="nil"/>
            </w:tcBorders>
            <w:noWrap/>
            <w:vAlign w:val="center"/>
            <w:hideMark/>
          </w:tcPr>
          <w:p w14:paraId="56112DCD" w14:textId="77777777" w:rsidR="005230FE" w:rsidRPr="00A532AE" w:rsidRDefault="005230FE" w:rsidP="000C14E7">
            <w:pPr>
              <w:autoSpaceDE/>
              <w:autoSpaceDN/>
              <w:spacing w:line="276" w:lineRule="auto"/>
              <w:jc w:val="center"/>
              <w:rPr>
                <w:color w:val="000000"/>
                <w:lang w:val="en-GB" w:eastAsia="en-US"/>
              </w:rPr>
            </w:pPr>
            <w:r w:rsidRPr="00A532AE">
              <w:rPr>
                <w:color w:val="000000"/>
                <w:lang w:val="en-GB" w:eastAsia="en-US"/>
              </w:rPr>
              <w:t>220.20</w:t>
            </w:r>
          </w:p>
        </w:tc>
      </w:tr>
      <w:tr w:rsidR="005230FE" w:rsidRPr="00A532AE" w14:paraId="22C9ED69" w14:textId="77777777" w:rsidTr="000C14E7">
        <w:trPr>
          <w:trHeight w:val="240"/>
          <w:jc w:val="center"/>
        </w:trPr>
        <w:tc>
          <w:tcPr>
            <w:tcW w:w="1701" w:type="dxa"/>
            <w:tcBorders>
              <w:top w:val="nil"/>
              <w:left w:val="nil"/>
              <w:bottom w:val="nil"/>
              <w:right w:val="nil"/>
            </w:tcBorders>
            <w:noWrap/>
            <w:vAlign w:val="center"/>
            <w:hideMark/>
          </w:tcPr>
          <w:p w14:paraId="491CCD67" w14:textId="77777777" w:rsidR="005230FE" w:rsidRPr="00A532AE" w:rsidRDefault="005230FE" w:rsidP="000C14E7">
            <w:pPr>
              <w:autoSpaceDE/>
              <w:autoSpaceDN/>
              <w:spacing w:line="276" w:lineRule="auto"/>
              <w:rPr>
                <w:color w:val="000000"/>
                <w:lang w:val="en-GB" w:eastAsia="en-US"/>
              </w:rPr>
            </w:pPr>
            <w:r w:rsidRPr="00A532AE">
              <w:rPr>
                <w:color w:val="000000"/>
                <w:lang w:val="en-GB" w:eastAsia="en-US"/>
              </w:rPr>
              <w:t>Electric energy</w:t>
            </w:r>
          </w:p>
        </w:tc>
        <w:tc>
          <w:tcPr>
            <w:tcW w:w="284" w:type="dxa"/>
            <w:tcBorders>
              <w:top w:val="nil"/>
              <w:left w:val="nil"/>
              <w:bottom w:val="nil"/>
              <w:right w:val="nil"/>
            </w:tcBorders>
            <w:noWrap/>
            <w:vAlign w:val="bottom"/>
            <w:hideMark/>
          </w:tcPr>
          <w:p w14:paraId="7100C759" w14:textId="77777777" w:rsidR="005230FE" w:rsidRPr="00A532AE" w:rsidRDefault="005230FE" w:rsidP="000C14E7">
            <w:pPr>
              <w:autoSpaceDE/>
              <w:autoSpaceDN/>
              <w:spacing w:line="276" w:lineRule="auto"/>
              <w:rPr>
                <w:color w:val="000000"/>
                <w:lang w:val="en-GB" w:eastAsia="en-US"/>
              </w:rPr>
            </w:pPr>
          </w:p>
        </w:tc>
        <w:tc>
          <w:tcPr>
            <w:tcW w:w="3544" w:type="dxa"/>
            <w:tcBorders>
              <w:top w:val="nil"/>
              <w:left w:val="nil"/>
              <w:bottom w:val="nil"/>
              <w:right w:val="nil"/>
            </w:tcBorders>
            <w:noWrap/>
            <w:vAlign w:val="center"/>
            <w:hideMark/>
          </w:tcPr>
          <w:p w14:paraId="45ECA6DB" w14:textId="77777777" w:rsidR="005230FE" w:rsidRPr="00A532AE" w:rsidRDefault="005230FE" w:rsidP="000C14E7">
            <w:pPr>
              <w:autoSpaceDE/>
              <w:autoSpaceDN/>
              <w:spacing w:line="276" w:lineRule="auto"/>
              <w:jc w:val="center"/>
              <w:rPr>
                <w:color w:val="000000"/>
                <w:lang w:val="en-GB" w:eastAsia="en-US"/>
              </w:rPr>
            </w:pPr>
            <w:r w:rsidRPr="00A532AE">
              <w:rPr>
                <w:color w:val="000000"/>
                <w:lang w:val="en-GB" w:eastAsia="en-US"/>
              </w:rPr>
              <w:t>234.81</w:t>
            </w:r>
          </w:p>
        </w:tc>
      </w:tr>
      <w:tr w:rsidR="005230FE" w:rsidRPr="00A532AE" w14:paraId="15CA59EF" w14:textId="77777777" w:rsidTr="000C14E7">
        <w:trPr>
          <w:trHeight w:val="240"/>
          <w:jc w:val="center"/>
        </w:trPr>
        <w:tc>
          <w:tcPr>
            <w:tcW w:w="1701" w:type="dxa"/>
            <w:tcBorders>
              <w:top w:val="nil"/>
              <w:left w:val="nil"/>
              <w:bottom w:val="single" w:sz="4" w:space="0" w:color="auto"/>
              <w:right w:val="nil"/>
            </w:tcBorders>
            <w:noWrap/>
            <w:vAlign w:val="center"/>
            <w:hideMark/>
          </w:tcPr>
          <w:p w14:paraId="37A5A46B" w14:textId="77777777" w:rsidR="005230FE" w:rsidRPr="00A532AE" w:rsidRDefault="005230FE" w:rsidP="000C14E7">
            <w:pPr>
              <w:autoSpaceDE/>
              <w:autoSpaceDN/>
              <w:spacing w:line="276" w:lineRule="auto"/>
              <w:rPr>
                <w:color w:val="000000"/>
                <w:lang w:val="en-GB" w:eastAsia="en-US"/>
              </w:rPr>
            </w:pPr>
            <w:r w:rsidRPr="00A532AE">
              <w:rPr>
                <w:color w:val="000000"/>
                <w:lang w:val="en-GB" w:eastAsia="en-US"/>
              </w:rPr>
              <w:t>Solar energy</w:t>
            </w:r>
          </w:p>
        </w:tc>
        <w:tc>
          <w:tcPr>
            <w:tcW w:w="284" w:type="dxa"/>
            <w:tcBorders>
              <w:top w:val="nil"/>
              <w:left w:val="nil"/>
              <w:bottom w:val="single" w:sz="4" w:space="0" w:color="auto"/>
              <w:right w:val="nil"/>
            </w:tcBorders>
            <w:noWrap/>
            <w:vAlign w:val="bottom"/>
            <w:hideMark/>
          </w:tcPr>
          <w:p w14:paraId="68A17D74" w14:textId="77777777" w:rsidR="005230FE" w:rsidRPr="00A532AE" w:rsidRDefault="005230FE" w:rsidP="000C14E7">
            <w:pPr>
              <w:autoSpaceDE/>
              <w:autoSpaceDN/>
              <w:spacing w:line="276" w:lineRule="auto"/>
              <w:rPr>
                <w:color w:val="000000"/>
                <w:lang w:val="en-GB" w:eastAsia="en-US"/>
              </w:rPr>
            </w:pPr>
            <w:r w:rsidRPr="00A532AE">
              <w:rPr>
                <w:color w:val="000000"/>
                <w:lang w:val="en-GB" w:eastAsia="en-US"/>
              </w:rPr>
              <w:t> </w:t>
            </w:r>
          </w:p>
        </w:tc>
        <w:tc>
          <w:tcPr>
            <w:tcW w:w="3544" w:type="dxa"/>
            <w:tcBorders>
              <w:top w:val="nil"/>
              <w:left w:val="nil"/>
              <w:bottom w:val="single" w:sz="4" w:space="0" w:color="auto"/>
              <w:right w:val="nil"/>
            </w:tcBorders>
            <w:noWrap/>
            <w:vAlign w:val="center"/>
            <w:hideMark/>
          </w:tcPr>
          <w:p w14:paraId="1656AA27" w14:textId="77777777" w:rsidR="005230FE" w:rsidRPr="00A532AE" w:rsidRDefault="005230FE" w:rsidP="000C14E7">
            <w:pPr>
              <w:autoSpaceDE/>
              <w:autoSpaceDN/>
              <w:spacing w:line="276" w:lineRule="auto"/>
              <w:jc w:val="center"/>
              <w:rPr>
                <w:color w:val="000000"/>
                <w:lang w:val="en-GB" w:eastAsia="en-US"/>
              </w:rPr>
            </w:pPr>
            <w:r w:rsidRPr="00A532AE">
              <w:rPr>
                <w:color w:val="000000"/>
                <w:lang w:val="en-GB" w:eastAsia="en-US"/>
              </w:rPr>
              <w:t>0.0000</w:t>
            </w:r>
          </w:p>
        </w:tc>
      </w:tr>
    </w:tbl>
    <w:p w14:paraId="0EE8EF68" w14:textId="77777777" w:rsidR="005230FE" w:rsidRPr="00A532AE" w:rsidRDefault="005230FE" w:rsidP="005230FE">
      <w:pPr>
        <w:spacing w:line="276" w:lineRule="auto"/>
        <w:ind w:firstLine="340"/>
        <w:jc w:val="both"/>
        <w:rPr>
          <w:lang w:val="en-GB"/>
        </w:rPr>
      </w:pPr>
    </w:p>
    <w:p w14:paraId="55B7A4E1" w14:textId="77777777" w:rsidR="005159AC" w:rsidRDefault="005230FE" w:rsidP="00FE1C19">
      <w:pPr>
        <w:spacing w:line="276" w:lineRule="auto"/>
        <w:jc w:val="both"/>
        <w:rPr>
          <w:lang w:val="en-GB"/>
        </w:rPr>
      </w:pPr>
      <w:r w:rsidRPr="00A532AE">
        <w:rPr>
          <w:lang w:val="en-GB"/>
        </w:rPr>
        <w:t>The calculated annual CO</w:t>
      </w:r>
      <w:r w:rsidRPr="00A532AE">
        <w:rPr>
          <w:vertAlign w:val="subscript"/>
          <w:lang w:val="en-GB"/>
        </w:rPr>
        <w:t>2</w:t>
      </w:r>
      <w:r w:rsidRPr="00A532AE">
        <w:rPr>
          <w:lang w:val="en-GB"/>
        </w:rPr>
        <w:t xml:space="preserve"> emissions for each considered case are presented in Fi</w:t>
      </w:r>
      <w:r w:rsidR="00C43C53" w:rsidRPr="00A532AE">
        <w:rPr>
          <w:lang w:val="en-GB"/>
        </w:rPr>
        <w:t>g.</w:t>
      </w:r>
      <w:r w:rsidRPr="00A532AE">
        <w:rPr>
          <w:lang w:val="en-GB"/>
        </w:rPr>
        <w:t xml:space="preserve"> </w:t>
      </w:r>
      <w:r w:rsidR="00671CC7">
        <w:rPr>
          <w:lang w:val="en-GB"/>
        </w:rPr>
        <w:t>5</w:t>
      </w:r>
      <w:r w:rsidRPr="00A532AE">
        <w:rPr>
          <w:lang w:val="en-GB"/>
        </w:rPr>
        <w:t>. From the results presented in Fig</w:t>
      </w:r>
      <w:r w:rsidR="00C43C53" w:rsidRPr="00A532AE">
        <w:rPr>
          <w:lang w:val="en-GB"/>
        </w:rPr>
        <w:t>.</w:t>
      </w:r>
      <w:r w:rsidRPr="00A532AE">
        <w:rPr>
          <w:lang w:val="en-GB"/>
        </w:rPr>
        <w:t xml:space="preserve"> </w:t>
      </w:r>
      <w:r w:rsidR="00D77B09">
        <w:rPr>
          <w:lang w:val="en-GB"/>
        </w:rPr>
        <w:t>5</w:t>
      </w:r>
      <w:r w:rsidRPr="00A532AE">
        <w:rPr>
          <w:lang w:val="en-GB"/>
        </w:rPr>
        <w:t>, it is clear that the improvement of the building envelope (insulation) provides the largest contribution to CO₂ emission reduction. In addition, system</w:t>
      </w:r>
      <w:r w:rsidR="000B7DAA">
        <w:rPr>
          <w:lang w:val="en-GB"/>
        </w:rPr>
        <w:t xml:space="preserve"> variants</w:t>
      </w:r>
      <w:r w:rsidRPr="00A532AE">
        <w:rPr>
          <w:lang w:val="en-GB"/>
        </w:rPr>
        <w:t xml:space="preserve"> employing renewable energy sources, such as S4, and system </w:t>
      </w:r>
      <w:r w:rsidR="000B7DAA">
        <w:rPr>
          <w:lang w:val="en-GB"/>
        </w:rPr>
        <w:t xml:space="preserve">variants </w:t>
      </w:r>
      <w:r w:rsidRPr="00A532AE">
        <w:rPr>
          <w:lang w:val="en-GB"/>
        </w:rPr>
        <w:t xml:space="preserve">based on heat pump technology exhibit the lowest CO₂ emission values. </w:t>
      </w:r>
    </w:p>
    <w:p w14:paraId="19352A7F" w14:textId="6D0AE31C" w:rsidR="00862C69" w:rsidRDefault="005230FE" w:rsidP="00FE1C19">
      <w:pPr>
        <w:spacing w:line="276" w:lineRule="auto"/>
        <w:jc w:val="both"/>
        <w:rPr>
          <w:lang w:val="en-GB"/>
        </w:rPr>
      </w:pPr>
      <w:r w:rsidRPr="00A532AE">
        <w:rPr>
          <w:lang w:val="en-GB"/>
        </w:rPr>
        <w:lastRenderedPageBreak/>
        <w:t>This outcome is particularly relevant for the Croatian context, where electricity generation already includes a significant share of hydropower (approximately 30%), further improving the environmental performance of electrified HVAC solutions. Overall, system</w:t>
      </w:r>
      <w:r w:rsidR="00862C69" w:rsidRPr="00A532AE">
        <w:rPr>
          <w:lang w:val="en-GB"/>
        </w:rPr>
        <w:t xml:space="preserve"> variants</w:t>
      </w:r>
      <w:r w:rsidRPr="00A532AE">
        <w:rPr>
          <w:lang w:val="en-GB"/>
        </w:rPr>
        <w:t xml:space="preserve"> S4</w:t>
      </w:r>
      <w:r w:rsidR="00862C69" w:rsidRPr="00A532AE">
        <w:rPr>
          <w:lang w:val="en-GB"/>
        </w:rPr>
        <w:t>,</w:t>
      </w:r>
      <w:r w:rsidRPr="00A532AE">
        <w:rPr>
          <w:lang w:val="en-GB"/>
        </w:rPr>
        <w:t xml:space="preserve"> S7 </w:t>
      </w:r>
      <w:r w:rsidR="00862C69" w:rsidRPr="00A532AE">
        <w:rPr>
          <w:lang w:val="en-GB"/>
        </w:rPr>
        <w:t xml:space="preserve">and S8 </w:t>
      </w:r>
      <w:r w:rsidRPr="00A532AE">
        <w:rPr>
          <w:lang w:val="en-GB"/>
        </w:rPr>
        <w:t>demonstrate the most favourable results, achieving reductions in CO₂ emissions of approximately</w:t>
      </w:r>
      <w:r w:rsidR="00862C69" w:rsidRPr="00A532AE">
        <w:rPr>
          <w:lang w:val="en-GB"/>
        </w:rPr>
        <w:t xml:space="preserve"> </w:t>
      </w:r>
      <w:r w:rsidRPr="00A532AE">
        <w:rPr>
          <w:lang w:val="en-GB"/>
        </w:rPr>
        <w:t>85%, relative to the uninsulated starting configuration S1.</w:t>
      </w:r>
      <w:r w:rsidR="00862C69" w:rsidRPr="00A532AE">
        <w:rPr>
          <w:lang w:val="en-GB"/>
        </w:rPr>
        <w:t xml:space="preserve"> System variant S9 exhibits a slightly higher value owing to the electricity demand of the heat recovery ventilation system.</w:t>
      </w:r>
    </w:p>
    <w:p w14:paraId="14B861B3" w14:textId="77777777" w:rsidR="00AC69E2" w:rsidRPr="00A532AE" w:rsidRDefault="00AC69E2" w:rsidP="00FE1C19">
      <w:pPr>
        <w:spacing w:line="276" w:lineRule="auto"/>
        <w:jc w:val="both"/>
        <w:rPr>
          <w:lang w:val="en-GB"/>
        </w:rPr>
      </w:pPr>
    </w:p>
    <w:p w14:paraId="2753DF6B" w14:textId="00D7AE91" w:rsidR="005230FE" w:rsidRPr="00A532AE" w:rsidRDefault="00AC69E2" w:rsidP="005230FE">
      <w:pPr>
        <w:spacing w:line="276" w:lineRule="auto"/>
        <w:jc w:val="center"/>
        <w:rPr>
          <w:lang w:val="en-GB"/>
        </w:rPr>
      </w:pPr>
      <w:r w:rsidRPr="00AC69E2">
        <w:rPr>
          <w:noProof/>
        </w:rPr>
        <w:drawing>
          <wp:inline distT="0" distB="0" distL="0" distR="0" wp14:anchorId="73A5E5E4" wp14:editId="1E8A04DA">
            <wp:extent cx="3420000" cy="2323750"/>
            <wp:effectExtent l="0" t="0" r="952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0000" cy="2323750"/>
                    </a:xfrm>
                    <a:prstGeom prst="rect">
                      <a:avLst/>
                    </a:prstGeom>
                    <a:noFill/>
                    <a:ln>
                      <a:noFill/>
                    </a:ln>
                  </pic:spPr>
                </pic:pic>
              </a:graphicData>
            </a:graphic>
          </wp:inline>
        </w:drawing>
      </w:r>
    </w:p>
    <w:p w14:paraId="57AEC6B0" w14:textId="6CA6D3C9" w:rsidR="005230FE" w:rsidRDefault="005230FE" w:rsidP="005230FE">
      <w:pPr>
        <w:spacing w:line="276" w:lineRule="auto"/>
        <w:jc w:val="center"/>
        <w:rPr>
          <w:b/>
          <w:sz w:val="16"/>
          <w:lang w:val="en-GB"/>
        </w:rPr>
      </w:pPr>
      <w:r w:rsidRPr="00A532AE">
        <w:rPr>
          <w:b/>
          <w:sz w:val="16"/>
          <w:lang w:val="en-GB"/>
        </w:rPr>
        <w:t>Fig</w:t>
      </w:r>
      <w:r w:rsidR="00C43C53" w:rsidRPr="00A532AE">
        <w:rPr>
          <w:b/>
          <w:sz w:val="16"/>
          <w:lang w:val="en-GB"/>
        </w:rPr>
        <w:t>.</w:t>
      </w:r>
      <w:r w:rsidRPr="00A532AE">
        <w:rPr>
          <w:b/>
          <w:sz w:val="16"/>
          <w:lang w:val="en-GB"/>
        </w:rPr>
        <w:t xml:space="preserve"> </w:t>
      </w:r>
      <w:r w:rsidR="00671CC7">
        <w:rPr>
          <w:b/>
          <w:sz w:val="16"/>
          <w:lang w:val="en-GB"/>
        </w:rPr>
        <w:t>5</w:t>
      </w:r>
      <w:r w:rsidR="00C43C53" w:rsidRPr="00A532AE">
        <w:rPr>
          <w:b/>
          <w:sz w:val="16"/>
          <w:lang w:val="en-GB"/>
        </w:rPr>
        <w:t>:</w:t>
      </w:r>
      <w:r w:rsidRPr="00A532AE">
        <w:rPr>
          <w:b/>
          <w:sz w:val="16"/>
          <w:lang w:val="en-GB"/>
        </w:rPr>
        <w:t xml:space="preserve"> Annual CO</w:t>
      </w:r>
      <w:r w:rsidRPr="00A532AE">
        <w:rPr>
          <w:b/>
          <w:sz w:val="16"/>
          <w:vertAlign w:val="subscript"/>
          <w:lang w:val="en-GB"/>
        </w:rPr>
        <w:t>2</w:t>
      </w:r>
      <w:r w:rsidRPr="00A532AE">
        <w:rPr>
          <w:b/>
          <w:sz w:val="16"/>
          <w:lang w:val="en-GB"/>
        </w:rPr>
        <w:t xml:space="preserve"> emissions for each HVAC system</w:t>
      </w:r>
    </w:p>
    <w:p w14:paraId="2B1B9062" w14:textId="77777777" w:rsidR="008A0A2B" w:rsidRPr="00A532AE" w:rsidRDefault="008A0A2B" w:rsidP="005230FE">
      <w:pPr>
        <w:spacing w:line="276" w:lineRule="auto"/>
        <w:jc w:val="center"/>
        <w:rPr>
          <w:b/>
          <w:sz w:val="16"/>
          <w:lang w:val="en-GB"/>
        </w:rPr>
      </w:pPr>
    </w:p>
    <w:p w14:paraId="21D2892C" w14:textId="77777777" w:rsidR="005230FE" w:rsidRPr="00A532AE" w:rsidRDefault="005230FE" w:rsidP="00F55796">
      <w:pPr>
        <w:spacing w:after="240" w:line="276" w:lineRule="auto"/>
        <w:jc w:val="both"/>
        <w:rPr>
          <w:lang w:val="en-GB"/>
        </w:rPr>
      </w:pPr>
      <w:r w:rsidRPr="00A532AE">
        <w:rPr>
          <w:lang w:val="en-GB"/>
        </w:rPr>
        <w:t>In order to provide a fair comparison of different HVAC systems, both investment and operating costs were evaluated using the global cost (</w:t>
      </w:r>
      <w:r w:rsidRPr="00A532AE">
        <w:rPr>
          <w:i/>
          <w:lang w:val="en-GB"/>
        </w:rPr>
        <w:t>G</w:t>
      </w:r>
      <w:r w:rsidRPr="00A532AE">
        <w:rPr>
          <w:vertAlign w:val="subscript"/>
          <w:lang w:val="en-GB"/>
        </w:rPr>
        <w:t>g</w:t>
      </w:r>
      <w:r w:rsidRPr="00A532AE">
        <w:rPr>
          <w:lang w:val="en-GB"/>
        </w:rPr>
        <w:t xml:space="preserve">) approach, representing the total expenditure over a 20-year period. Since the investment cost represents a one-time expenditure for equipment with an extended service life, the global cost </w:t>
      </w:r>
      <w:r w:rsidRPr="00A532AE">
        <w:rPr>
          <w:i/>
          <w:lang w:val="en-GB"/>
        </w:rPr>
        <w:t>G</w:t>
      </w:r>
      <w:r w:rsidRPr="00A532AE">
        <w:rPr>
          <w:vertAlign w:val="subscript"/>
          <w:lang w:val="en-GB"/>
        </w:rPr>
        <w:t>g</w:t>
      </w:r>
      <w:r w:rsidRPr="00A532AE">
        <w:rPr>
          <w:lang w:val="en-GB"/>
        </w:rPr>
        <w:t xml:space="preserve"> combines the initial capital investment with the discounted operating and maintenance costs over 20 years, providing a comprehensive measure of the system’s economic performance. A 20-year evaluation period was applied consistently to all components, including HVAC equipment and construction elements such as facade insulation, ensuring a uniform basis for comparison across different system configurations. The global cost of each system is defined according to the following expression: </w:t>
      </w:r>
    </w:p>
    <w:p w14:paraId="06C5E1BA" w14:textId="26BE1429" w:rsidR="005230FE" w:rsidRPr="00A532AE" w:rsidRDefault="005230FE" w:rsidP="005230FE">
      <w:pPr>
        <w:spacing w:line="276" w:lineRule="auto"/>
        <w:rPr>
          <w:lang w:val="en-GB"/>
        </w:rPr>
      </w:pPr>
      <w:r w:rsidRPr="00A532AE">
        <w:rPr>
          <w:position w:val="-26"/>
          <w:lang w:val="en-GB"/>
        </w:rPr>
        <w:object w:dxaOrig="2500" w:dyaOrig="600" w14:anchorId="5CDC87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25pt;height:30.75pt" o:ole="">
            <v:imagedata r:id="rId10" o:title=""/>
          </v:shape>
          <o:OLEObject Type="Embed" ProgID="Equation.DSMT4" ShapeID="_x0000_i1025" DrawAspect="Content" ObjectID="_1849066129" r:id="rId11"/>
        </w:object>
      </w:r>
      <w:r w:rsidRPr="00A532AE">
        <w:rPr>
          <w:lang w:val="en-GB"/>
        </w:rPr>
        <w:tab/>
      </w:r>
      <w:r w:rsidRPr="00A532AE">
        <w:rPr>
          <w:lang w:val="en-GB"/>
        </w:rPr>
        <w:tab/>
      </w:r>
      <w:r w:rsidRPr="00A532AE">
        <w:rPr>
          <w:lang w:val="en-GB"/>
        </w:rPr>
        <w:tab/>
      </w:r>
      <w:r w:rsidRPr="00A532AE">
        <w:rPr>
          <w:lang w:val="en-GB"/>
        </w:rPr>
        <w:tab/>
      </w:r>
      <w:r w:rsidR="003F14A8" w:rsidRPr="00A532AE">
        <w:rPr>
          <w:lang w:val="en-GB"/>
        </w:rPr>
        <w:tab/>
      </w:r>
      <w:r w:rsidRPr="00A532AE">
        <w:rPr>
          <w:lang w:val="en-GB"/>
        </w:rPr>
        <w:tab/>
      </w:r>
      <w:r w:rsidR="00AD7096">
        <w:rPr>
          <w:lang w:val="en-GB"/>
        </w:rPr>
        <w:tab/>
      </w:r>
      <w:r w:rsidRPr="00A532AE">
        <w:rPr>
          <w:lang w:val="en-GB"/>
        </w:rPr>
        <w:tab/>
        <w:t xml:space="preserve">  (</w:t>
      </w:r>
      <w:r w:rsidR="00167C4F">
        <w:rPr>
          <w:lang w:val="en-GB"/>
        </w:rPr>
        <w:t xml:space="preserve">eq. </w:t>
      </w:r>
      <w:r w:rsidR="00613EE5">
        <w:rPr>
          <w:lang w:val="en-GB"/>
        </w:rPr>
        <w:t>1</w:t>
      </w:r>
      <w:r w:rsidRPr="00A532AE">
        <w:rPr>
          <w:lang w:val="en-GB"/>
        </w:rPr>
        <w:t>)</w:t>
      </w:r>
    </w:p>
    <w:p w14:paraId="136D0EB4" w14:textId="77777777" w:rsidR="00F55796" w:rsidRDefault="00F55796" w:rsidP="005230FE">
      <w:pPr>
        <w:spacing w:line="276" w:lineRule="auto"/>
        <w:jc w:val="both"/>
        <w:rPr>
          <w:lang w:val="en-GB"/>
        </w:rPr>
      </w:pPr>
    </w:p>
    <w:p w14:paraId="46AE274E" w14:textId="61EE70DF" w:rsidR="005230FE" w:rsidRPr="00A532AE" w:rsidRDefault="005230FE" w:rsidP="005230FE">
      <w:pPr>
        <w:spacing w:line="276" w:lineRule="auto"/>
        <w:jc w:val="both"/>
        <w:rPr>
          <w:lang w:val="en-GB"/>
        </w:rPr>
      </w:pPr>
      <w:r w:rsidRPr="00A532AE">
        <w:rPr>
          <w:lang w:val="en-GB"/>
        </w:rPr>
        <w:t xml:space="preserve">where </w:t>
      </w:r>
      <w:r w:rsidRPr="00A532AE">
        <w:rPr>
          <w:i/>
          <w:lang w:val="en-GB"/>
        </w:rPr>
        <w:t>G</w:t>
      </w:r>
      <w:r w:rsidRPr="00A532AE">
        <w:rPr>
          <w:vertAlign w:val="subscript"/>
          <w:lang w:val="en-GB"/>
        </w:rPr>
        <w:t>I</w:t>
      </w:r>
      <w:r w:rsidRPr="00A532AE">
        <w:rPr>
          <w:lang w:val="en-GB"/>
        </w:rPr>
        <w:t xml:space="preserve"> is the initial investment cost, </w:t>
      </w:r>
      <w:proofErr w:type="spellStart"/>
      <w:r w:rsidRPr="00A532AE">
        <w:rPr>
          <w:i/>
          <w:lang w:val="en-GB"/>
        </w:rPr>
        <w:t>G</w:t>
      </w:r>
      <w:r w:rsidRPr="00A532AE">
        <w:rPr>
          <w:vertAlign w:val="subscript"/>
          <w:lang w:val="en-GB"/>
        </w:rPr>
        <w:t>a,p</w:t>
      </w:r>
      <w:proofErr w:type="spellEnd"/>
      <w:r w:rsidRPr="00A532AE">
        <w:rPr>
          <w:lang w:val="en-GB"/>
        </w:rPr>
        <w:t xml:space="preserve"> is the annual operating cost in the year </w:t>
      </w:r>
      <w:r w:rsidRPr="00A532AE">
        <w:rPr>
          <w:i/>
          <w:lang w:val="en-GB"/>
        </w:rPr>
        <w:t xml:space="preserve">p, </w:t>
      </w:r>
      <w:proofErr w:type="spellStart"/>
      <w:r w:rsidRPr="00A532AE">
        <w:rPr>
          <w:i/>
          <w:lang w:val="en-GB"/>
        </w:rPr>
        <w:t>V</w:t>
      </w:r>
      <w:r w:rsidRPr="00A532AE">
        <w:rPr>
          <w:vertAlign w:val="subscript"/>
          <w:lang w:val="en-GB"/>
        </w:rPr>
        <w:t>f</w:t>
      </w:r>
      <w:proofErr w:type="spellEnd"/>
      <w:r w:rsidRPr="00A532AE">
        <w:rPr>
          <w:lang w:val="en-GB"/>
        </w:rPr>
        <w:t xml:space="preserve"> is the residual value at the end of the period, and </w:t>
      </w:r>
      <w:r w:rsidRPr="00A532AE">
        <w:rPr>
          <w:i/>
          <w:lang w:val="en-GB"/>
        </w:rPr>
        <w:t>R</w:t>
      </w:r>
      <w:r w:rsidRPr="00A532AE">
        <w:rPr>
          <w:vertAlign w:val="subscript"/>
          <w:lang w:val="en-GB"/>
        </w:rPr>
        <w:t>d</w:t>
      </w:r>
      <w:r w:rsidRPr="00A532AE">
        <w:rPr>
          <w:lang w:val="en-GB"/>
        </w:rPr>
        <w:t xml:space="preserve"> is the discount factor, defined as:</w:t>
      </w:r>
    </w:p>
    <w:p w14:paraId="2226C4C3" w14:textId="77777777" w:rsidR="005230FE" w:rsidRPr="00A532AE" w:rsidRDefault="005230FE" w:rsidP="005230FE">
      <w:pPr>
        <w:spacing w:line="276" w:lineRule="auto"/>
        <w:jc w:val="both"/>
        <w:rPr>
          <w:lang w:val="en-GB"/>
        </w:rPr>
      </w:pPr>
    </w:p>
    <w:p w14:paraId="4457361F" w14:textId="6AD1257D" w:rsidR="005230FE" w:rsidRPr="00A532AE" w:rsidRDefault="005230FE" w:rsidP="005230FE">
      <w:pPr>
        <w:spacing w:line="276" w:lineRule="auto"/>
        <w:rPr>
          <w:lang w:val="en-GB"/>
        </w:rPr>
      </w:pPr>
      <w:r w:rsidRPr="00A532AE">
        <w:rPr>
          <w:position w:val="-30"/>
          <w:lang w:val="en-GB"/>
        </w:rPr>
        <w:object w:dxaOrig="1420" w:dyaOrig="639" w14:anchorId="133E0818">
          <v:shape id="_x0000_i1026" type="#_x0000_t75" style="width:1in;height:33pt" o:ole="">
            <v:imagedata r:id="rId12" o:title=""/>
          </v:shape>
          <o:OLEObject Type="Embed" ProgID="Equation.DSMT4" ShapeID="_x0000_i1026" DrawAspect="Content" ObjectID="_1849066130" r:id="rId13"/>
        </w:object>
      </w:r>
      <w:r w:rsidRPr="00A532AE">
        <w:rPr>
          <w:lang w:val="en-GB"/>
        </w:rPr>
        <w:tab/>
      </w:r>
      <w:r w:rsidRPr="00A532AE">
        <w:rPr>
          <w:lang w:val="en-GB"/>
        </w:rPr>
        <w:tab/>
      </w:r>
      <w:r w:rsidRPr="00A532AE">
        <w:rPr>
          <w:lang w:val="en-GB"/>
        </w:rPr>
        <w:tab/>
      </w:r>
      <w:r w:rsidRPr="00A532AE">
        <w:rPr>
          <w:lang w:val="en-GB"/>
        </w:rPr>
        <w:tab/>
      </w:r>
      <w:r w:rsidRPr="00A532AE">
        <w:rPr>
          <w:lang w:val="en-GB"/>
        </w:rPr>
        <w:tab/>
      </w:r>
      <w:r w:rsidRPr="00A532AE">
        <w:rPr>
          <w:lang w:val="en-GB"/>
        </w:rPr>
        <w:tab/>
      </w:r>
      <w:r w:rsidRPr="00A532AE">
        <w:rPr>
          <w:lang w:val="en-GB"/>
        </w:rPr>
        <w:tab/>
      </w:r>
      <w:r w:rsidRPr="00A532AE">
        <w:rPr>
          <w:lang w:val="en-GB"/>
        </w:rPr>
        <w:tab/>
      </w:r>
      <w:r w:rsidR="00AD7096">
        <w:rPr>
          <w:lang w:val="en-GB"/>
        </w:rPr>
        <w:tab/>
      </w:r>
      <w:r w:rsidRPr="00A532AE">
        <w:rPr>
          <w:lang w:val="en-GB"/>
        </w:rPr>
        <w:tab/>
        <w:t xml:space="preserve">  (</w:t>
      </w:r>
      <w:r w:rsidR="00167C4F">
        <w:rPr>
          <w:lang w:val="en-GB"/>
        </w:rPr>
        <w:t xml:space="preserve">eq. </w:t>
      </w:r>
      <w:r w:rsidR="00613EE5">
        <w:rPr>
          <w:lang w:val="en-GB"/>
        </w:rPr>
        <w:t>2</w:t>
      </w:r>
      <w:r w:rsidRPr="00A532AE">
        <w:rPr>
          <w:lang w:val="en-GB"/>
        </w:rPr>
        <w:t>)</w:t>
      </w:r>
    </w:p>
    <w:p w14:paraId="60C40F76" w14:textId="77777777" w:rsidR="005230FE" w:rsidRPr="00A532AE" w:rsidRDefault="005230FE" w:rsidP="005230FE">
      <w:pPr>
        <w:spacing w:line="276" w:lineRule="auto"/>
        <w:jc w:val="both"/>
        <w:rPr>
          <w:lang w:val="en-GB"/>
        </w:rPr>
      </w:pPr>
    </w:p>
    <w:p w14:paraId="5C9217A7" w14:textId="786B4575" w:rsidR="005230FE" w:rsidRPr="00A532AE" w:rsidRDefault="005230FE" w:rsidP="005230FE">
      <w:pPr>
        <w:spacing w:line="276" w:lineRule="auto"/>
        <w:jc w:val="both"/>
        <w:rPr>
          <w:lang w:val="en-GB"/>
        </w:rPr>
      </w:pPr>
      <w:r w:rsidRPr="00A532AE">
        <w:rPr>
          <w:lang w:val="en-GB"/>
        </w:rPr>
        <w:t xml:space="preserve">with </w:t>
      </w:r>
      <w:r w:rsidRPr="00A532AE">
        <w:rPr>
          <w:i/>
          <w:lang w:val="en-GB"/>
        </w:rPr>
        <w:t xml:space="preserve">r </w:t>
      </w:r>
      <w:r w:rsidRPr="00A532AE">
        <w:rPr>
          <w:lang w:val="en-GB"/>
        </w:rPr>
        <w:t xml:space="preserve">being the real discount rate and </w:t>
      </w:r>
      <w:r w:rsidRPr="00A532AE">
        <w:rPr>
          <w:i/>
          <w:lang w:val="en-GB"/>
        </w:rPr>
        <w:t xml:space="preserve">t </w:t>
      </w:r>
      <w:r w:rsidRPr="00A532AE">
        <w:rPr>
          <w:lang w:val="en-GB"/>
        </w:rPr>
        <w:t>the analysis period in years. In the present study</w:t>
      </w:r>
      <w:r w:rsidR="00E973D1">
        <w:rPr>
          <w:lang w:val="en-GB"/>
        </w:rPr>
        <w:t>,</w:t>
      </w:r>
      <w:r w:rsidRPr="00A532AE">
        <w:rPr>
          <w:lang w:val="en-GB"/>
        </w:rPr>
        <w:t xml:space="preserve"> all costs were calculated per net floor area. The global cost per unit area, or cost indicator </w:t>
      </w:r>
      <w:r w:rsidRPr="00A532AE">
        <w:rPr>
          <w:i/>
          <w:lang w:val="en-GB"/>
        </w:rPr>
        <w:t>C</w:t>
      </w:r>
      <w:r w:rsidRPr="00A532AE">
        <w:rPr>
          <w:vertAlign w:val="subscript"/>
          <w:lang w:val="en-GB"/>
        </w:rPr>
        <w:t>I</w:t>
      </w:r>
      <w:r w:rsidRPr="00A532AE">
        <w:rPr>
          <w:lang w:val="en-GB"/>
        </w:rPr>
        <w:t>, is defined as:</w:t>
      </w:r>
    </w:p>
    <w:p w14:paraId="6BA2502F" w14:textId="77777777" w:rsidR="005230FE" w:rsidRPr="00A532AE" w:rsidRDefault="005230FE" w:rsidP="005230FE">
      <w:pPr>
        <w:spacing w:line="276" w:lineRule="auto"/>
        <w:jc w:val="both"/>
        <w:rPr>
          <w:lang w:val="en-GB"/>
        </w:rPr>
      </w:pPr>
    </w:p>
    <w:p w14:paraId="4CEB1834" w14:textId="0BCF21FA" w:rsidR="005230FE" w:rsidRPr="00A532AE" w:rsidRDefault="005230FE" w:rsidP="005230FE">
      <w:pPr>
        <w:spacing w:line="276" w:lineRule="auto"/>
        <w:rPr>
          <w:lang w:val="en-GB"/>
        </w:rPr>
      </w:pPr>
      <w:r w:rsidRPr="00A532AE">
        <w:rPr>
          <w:position w:val="-20"/>
          <w:lang w:val="en-GB"/>
        </w:rPr>
        <w:object w:dxaOrig="960" w:dyaOrig="580" w14:anchorId="4DC94E58">
          <v:shape id="_x0000_i1027" type="#_x0000_t75" style="width:48.75pt;height:30pt" o:ole="">
            <v:imagedata r:id="rId14" o:title=""/>
          </v:shape>
          <o:OLEObject Type="Embed" ProgID="Equation.DSMT4" ShapeID="_x0000_i1027" DrawAspect="Content" ObjectID="_1849066131" r:id="rId15"/>
        </w:object>
      </w:r>
      <w:r w:rsidRPr="00A532AE">
        <w:rPr>
          <w:lang w:val="en-GB"/>
        </w:rPr>
        <w:tab/>
      </w:r>
      <w:r w:rsidRPr="00A532AE">
        <w:rPr>
          <w:lang w:val="en-GB"/>
        </w:rPr>
        <w:tab/>
      </w:r>
      <w:r w:rsidRPr="00A532AE">
        <w:rPr>
          <w:lang w:val="en-GB"/>
        </w:rPr>
        <w:tab/>
      </w:r>
      <w:r w:rsidRPr="00A532AE">
        <w:rPr>
          <w:lang w:val="en-GB"/>
        </w:rPr>
        <w:tab/>
      </w:r>
      <w:r w:rsidRPr="00A532AE">
        <w:rPr>
          <w:lang w:val="en-GB"/>
        </w:rPr>
        <w:tab/>
      </w:r>
      <w:r w:rsidRPr="00A532AE">
        <w:rPr>
          <w:lang w:val="en-GB"/>
        </w:rPr>
        <w:tab/>
      </w:r>
      <w:r w:rsidRPr="00A532AE">
        <w:rPr>
          <w:lang w:val="en-GB"/>
        </w:rPr>
        <w:tab/>
      </w:r>
      <w:r w:rsidRPr="00A532AE">
        <w:rPr>
          <w:lang w:val="en-GB"/>
        </w:rPr>
        <w:tab/>
      </w:r>
      <w:r w:rsidRPr="00A532AE">
        <w:rPr>
          <w:lang w:val="en-GB"/>
        </w:rPr>
        <w:tab/>
      </w:r>
      <w:r w:rsidR="00AD7096">
        <w:rPr>
          <w:lang w:val="en-GB"/>
        </w:rPr>
        <w:tab/>
      </w:r>
      <w:r w:rsidRPr="00A532AE">
        <w:rPr>
          <w:lang w:val="en-GB"/>
        </w:rPr>
        <w:t xml:space="preserve">  (</w:t>
      </w:r>
      <w:r w:rsidR="00167C4F">
        <w:rPr>
          <w:lang w:val="en-GB"/>
        </w:rPr>
        <w:t xml:space="preserve">eq. </w:t>
      </w:r>
      <w:r w:rsidR="00613EE5">
        <w:rPr>
          <w:lang w:val="en-GB"/>
        </w:rPr>
        <w:t>3</w:t>
      </w:r>
      <w:r w:rsidRPr="00A532AE">
        <w:rPr>
          <w:lang w:val="en-GB"/>
        </w:rPr>
        <w:t>)</w:t>
      </w:r>
    </w:p>
    <w:p w14:paraId="720C69EA" w14:textId="77777777" w:rsidR="005230FE" w:rsidRPr="00A532AE" w:rsidRDefault="005230FE" w:rsidP="005230FE">
      <w:pPr>
        <w:spacing w:line="276" w:lineRule="auto"/>
        <w:jc w:val="both"/>
        <w:rPr>
          <w:lang w:val="en-GB"/>
        </w:rPr>
      </w:pPr>
    </w:p>
    <w:p w14:paraId="7EA62BFC" w14:textId="77777777" w:rsidR="00DE2C52" w:rsidRDefault="005230FE" w:rsidP="005230FE">
      <w:pPr>
        <w:spacing w:line="276" w:lineRule="auto"/>
        <w:jc w:val="both"/>
        <w:rPr>
          <w:lang w:val="en-GB"/>
        </w:rPr>
      </w:pPr>
      <w:r w:rsidRPr="00A532AE">
        <w:rPr>
          <w:lang w:val="en-GB"/>
        </w:rPr>
        <w:t xml:space="preserve">where </w:t>
      </w:r>
      <w:r w:rsidRPr="00A532AE">
        <w:rPr>
          <w:i/>
          <w:lang w:val="en-GB"/>
        </w:rPr>
        <w:t>A</w:t>
      </w:r>
      <w:r w:rsidRPr="00A532AE">
        <w:rPr>
          <w:lang w:val="en-GB"/>
        </w:rPr>
        <w:t xml:space="preserve"> is the net usable building area. The investment </w:t>
      </w:r>
      <w:proofErr w:type="spellStart"/>
      <w:r w:rsidRPr="00A532AE">
        <w:rPr>
          <w:i/>
          <w:lang w:val="en-GB"/>
        </w:rPr>
        <w:t>C</w:t>
      </w:r>
      <w:r w:rsidRPr="00A532AE">
        <w:rPr>
          <w:vertAlign w:val="subscript"/>
          <w:lang w:val="en-GB"/>
        </w:rPr>
        <w:t>I,inv</w:t>
      </w:r>
      <w:proofErr w:type="spellEnd"/>
      <w:r w:rsidRPr="00A532AE">
        <w:rPr>
          <w:lang w:val="en-GB"/>
        </w:rPr>
        <w:t xml:space="preserve"> and operating </w:t>
      </w:r>
      <w:proofErr w:type="spellStart"/>
      <w:r w:rsidRPr="00A532AE">
        <w:rPr>
          <w:i/>
          <w:lang w:val="en-GB"/>
        </w:rPr>
        <w:t>C</w:t>
      </w:r>
      <w:r w:rsidRPr="00A532AE">
        <w:rPr>
          <w:vertAlign w:val="subscript"/>
          <w:lang w:val="en-GB"/>
        </w:rPr>
        <w:t>I,op</w:t>
      </w:r>
      <w:proofErr w:type="spellEnd"/>
      <w:r w:rsidRPr="00A532AE">
        <w:rPr>
          <w:lang w:val="en-GB"/>
        </w:rPr>
        <w:t xml:space="preserve"> components of the cost indicator, were calculated separately to allow a clear assessment of their relative contributions to the total life-time cost. </w:t>
      </w:r>
    </w:p>
    <w:p w14:paraId="61482CD8" w14:textId="5397B922" w:rsidR="005230FE" w:rsidRPr="00A532AE" w:rsidRDefault="005230FE" w:rsidP="005230FE">
      <w:pPr>
        <w:spacing w:line="276" w:lineRule="auto"/>
        <w:jc w:val="both"/>
        <w:rPr>
          <w:lang w:val="en-GB"/>
        </w:rPr>
      </w:pPr>
      <w:r w:rsidRPr="00A532AE">
        <w:rPr>
          <w:lang w:val="en-GB"/>
        </w:rPr>
        <w:lastRenderedPageBreak/>
        <w:t xml:space="preserve">The investment component </w:t>
      </w:r>
      <w:proofErr w:type="spellStart"/>
      <w:r w:rsidRPr="00A532AE">
        <w:rPr>
          <w:i/>
          <w:lang w:val="en-GB"/>
        </w:rPr>
        <w:t>C</w:t>
      </w:r>
      <w:r w:rsidRPr="00A532AE">
        <w:rPr>
          <w:vertAlign w:val="subscript"/>
          <w:lang w:val="en-GB"/>
        </w:rPr>
        <w:t>I,inv</w:t>
      </w:r>
      <w:proofErr w:type="spellEnd"/>
      <w:r w:rsidRPr="00A532AE">
        <w:rPr>
          <w:lang w:val="en-GB"/>
        </w:rPr>
        <w:t xml:space="preserve"> is defined as the initial capital cost divided by the building area:</w:t>
      </w:r>
    </w:p>
    <w:p w14:paraId="28ED379B" w14:textId="77777777" w:rsidR="005230FE" w:rsidRPr="00A532AE" w:rsidRDefault="005230FE" w:rsidP="005230FE">
      <w:pPr>
        <w:spacing w:line="276" w:lineRule="auto"/>
        <w:jc w:val="both"/>
        <w:rPr>
          <w:lang w:val="en-GB"/>
        </w:rPr>
      </w:pPr>
    </w:p>
    <w:p w14:paraId="2F7B06AF" w14:textId="3F4917BF" w:rsidR="005230FE" w:rsidRPr="00A532AE" w:rsidRDefault="005230FE" w:rsidP="00DE2C52">
      <w:pPr>
        <w:spacing w:after="120" w:line="276" w:lineRule="auto"/>
        <w:rPr>
          <w:lang w:val="en-GB"/>
        </w:rPr>
      </w:pPr>
      <w:r w:rsidRPr="00A532AE">
        <w:rPr>
          <w:position w:val="-20"/>
          <w:lang w:val="en-GB"/>
        </w:rPr>
        <w:object w:dxaOrig="880" w:dyaOrig="540" w14:anchorId="3ECF66B4">
          <v:shape id="_x0000_i1028" type="#_x0000_t75" style="width:44.25pt;height:27pt" o:ole="">
            <v:imagedata r:id="rId16" o:title=""/>
          </v:shape>
          <o:OLEObject Type="Embed" ProgID="Equation.DSMT4" ShapeID="_x0000_i1028" DrawAspect="Content" ObjectID="_1849066132" r:id="rId17"/>
        </w:object>
      </w:r>
      <w:r w:rsidRPr="00A532AE">
        <w:rPr>
          <w:lang w:val="en-GB"/>
        </w:rPr>
        <w:tab/>
      </w:r>
      <w:r w:rsidRPr="00A532AE">
        <w:rPr>
          <w:lang w:val="en-GB"/>
        </w:rPr>
        <w:tab/>
      </w:r>
      <w:r w:rsidRPr="00A532AE">
        <w:rPr>
          <w:lang w:val="en-GB"/>
        </w:rPr>
        <w:tab/>
      </w:r>
      <w:r w:rsidRPr="00A532AE">
        <w:rPr>
          <w:lang w:val="en-GB"/>
        </w:rPr>
        <w:tab/>
      </w:r>
      <w:r w:rsidRPr="00A532AE">
        <w:rPr>
          <w:lang w:val="en-GB"/>
        </w:rPr>
        <w:tab/>
      </w:r>
      <w:r w:rsidRPr="00A532AE">
        <w:rPr>
          <w:lang w:val="en-GB"/>
        </w:rPr>
        <w:tab/>
      </w:r>
      <w:r w:rsidRPr="00A532AE">
        <w:rPr>
          <w:lang w:val="en-GB"/>
        </w:rPr>
        <w:tab/>
      </w:r>
      <w:r w:rsidRPr="00A532AE">
        <w:rPr>
          <w:lang w:val="en-GB"/>
        </w:rPr>
        <w:tab/>
      </w:r>
      <w:r w:rsidRPr="00A532AE">
        <w:rPr>
          <w:lang w:val="en-GB"/>
        </w:rPr>
        <w:tab/>
      </w:r>
      <w:r w:rsidRPr="00A532AE">
        <w:rPr>
          <w:lang w:val="en-GB"/>
        </w:rPr>
        <w:tab/>
        <w:t xml:space="preserve">  (</w:t>
      </w:r>
      <w:r w:rsidR="00167C4F">
        <w:rPr>
          <w:lang w:val="en-GB"/>
        </w:rPr>
        <w:t xml:space="preserve">eq. </w:t>
      </w:r>
      <w:r w:rsidR="00613EE5">
        <w:rPr>
          <w:lang w:val="en-GB"/>
        </w:rPr>
        <w:t>4</w:t>
      </w:r>
      <w:r w:rsidRPr="00A532AE">
        <w:rPr>
          <w:lang w:val="en-GB"/>
        </w:rPr>
        <w:t>)</w:t>
      </w:r>
    </w:p>
    <w:p w14:paraId="370CD06E" w14:textId="102DACC6" w:rsidR="005230FE" w:rsidRDefault="005230FE" w:rsidP="005230FE">
      <w:pPr>
        <w:spacing w:line="276" w:lineRule="auto"/>
        <w:jc w:val="both"/>
        <w:rPr>
          <w:lang w:val="en-GB"/>
        </w:rPr>
      </w:pPr>
      <w:r w:rsidRPr="00A532AE">
        <w:rPr>
          <w:lang w:val="en-GB"/>
        </w:rPr>
        <w:t xml:space="preserve">The operating component, </w:t>
      </w:r>
      <w:proofErr w:type="spellStart"/>
      <w:r w:rsidRPr="00A532AE">
        <w:rPr>
          <w:i/>
          <w:lang w:val="en-GB"/>
        </w:rPr>
        <w:t>C</w:t>
      </w:r>
      <w:r w:rsidRPr="00A532AE">
        <w:rPr>
          <w:vertAlign w:val="subscript"/>
          <w:lang w:val="en-GB"/>
        </w:rPr>
        <w:t>I,op</w:t>
      </w:r>
      <w:proofErr w:type="spellEnd"/>
      <w:r w:rsidRPr="00A532AE">
        <w:rPr>
          <w:lang w:val="en-GB"/>
        </w:rPr>
        <w:t xml:space="preserve"> represents the discounted sum of annual operating costs per unit area:</w:t>
      </w:r>
    </w:p>
    <w:p w14:paraId="4349DE54" w14:textId="77777777" w:rsidR="00F55796" w:rsidRDefault="00F55796" w:rsidP="00F55796">
      <w:pPr>
        <w:spacing w:line="276" w:lineRule="auto"/>
        <w:jc w:val="both"/>
        <w:rPr>
          <w:lang w:val="en-GB"/>
        </w:rPr>
      </w:pPr>
    </w:p>
    <w:p w14:paraId="2E195AC2" w14:textId="6FE50D77" w:rsidR="005230FE" w:rsidRDefault="005230FE" w:rsidP="005230FE">
      <w:pPr>
        <w:spacing w:line="276" w:lineRule="auto"/>
        <w:rPr>
          <w:lang w:val="en-GB"/>
        </w:rPr>
      </w:pPr>
      <w:r w:rsidRPr="00A532AE">
        <w:rPr>
          <w:position w:val="-20"/>
          <w:lang w:val="en-GB"/>
        </w:rPr>
        <w:object w:dxaOrig="1700" w:dyaOrig="840" w14:anchorId="35A3CDF9">
          <v:shape id="_x0000_i1029" type="#_x0000_t75" style="width:84.75pt;height:42pt" o:ole="">
            <v:imagedata r:id="rId18" o:title=""/>
          </v:shape>
          <o:OLEObject Type="Embed" ProgID="Equation.DSMT4" ShapeID="_x0000_i1029" DrawAspect="Content" ObjectID="_1849066133" r:id="rId19"/>
        </w:object>
      </w:r>
      <w:r w:rsidRPr="00A532AE">
        <w:rPr>
          <w:lang w:val="en-GB"/>
        </w:rPr>
        <w:tab/>
      </w:r>
      <w:r w:rsidRPr="00A532AE">
        <w:rPr>
          <w:lang w:val="en-GB"/>
        </w:rPr>
        <w:tab/>
      </w:r>
      <w:r w:rsidRPr="00A532AE">
        <w:rPr>
          <w:lang w:val="en-GB"/>
        </w:rPr>
        <w:tab/>
      </w:r>
      <w:r w:rsidRPr="00A532AE">
        <w:rPr>
          <w:lang w:val="en-GB"/>
        </w:rPr>
        <w:tab/>
      </w:r>
      <w:r w:rsidRPr="00A532AE">
        <w:rPr>
          <w:lang w:val="en-GB"/>
        </w:rPr>
        <w:tab/>
      </w:r>
      <w:r w:rsidRPr="00A532AE">
        <w:rPr>
          <w:lang w:val="en-GB"/>
        </w:rPr>
        <w:tab/>
      </w:r>
      <w:r w:rsidRPr="00A532AE">
        <w:rPr>
          <w:lang w:val="en-GB"/>
        </w:rPr>
        <w:tab/>
      </w:r>
      <w:r w:rsidRPr="00A532AE">
        <w:rPr>
          <w:lang w:val="en-GB"/>
        </w:rPr>
        <w:tab/>
      </w:r>
      <w:r w:rsidRPr="00A532AE">
        <w:rPr>
          <w:lang w:val="en-GB"/>
        </w:rPr>
        <w:tab/>
        <w:t xml:space="preserve"> (</w:t>
      </w:r>
      <w:r w:rsidR="00167C4F">
        <w:rPr>
          <w:lang w:val="en-GB"/>
        </w:rPr>
        <w:t xml:space="preserve">eq. </w:t>
      </w:r>
      <w:r w:rsidR="00613EE5">
        <w:rPr>
          <w:lang w:val="en-GB"/>
        </w:rPr>
        <w:t>5</w:t>
      </w:r>
      <w:r w:rsidRPr="00A532AE">
        <w:rPr>
          <w:lang w:val="en-GB"/>
        </w:rPr>
        <w:t>)</w:t>
      </w:r>
    </w:p>
    <w:p w14:paraId="4FEE9DEF" w14:textId="77777777" w:rsidR="00F55796" w:rsidRPr="00A532AE" w:rsidRDefault="00F55796" w:rsidP="005230FE">
      <w:pPr>
        <w:spacing w:line="276" w:lineRule="auto"/>
        <w:rPr>
          <w:lang w:val="en-GB"/>
        </w:rPr>
      </w:pPr>
    </w:p>
    <w:p w14:paraId="3FC9DCB7" w14:textId="2D2739AF" w:rsidR="005230FE" w:rsidRDefault="005230FE" w:rsidP="00FE1C19">
      <w:pPr>
        <w:spacing w:line="276" w:lineRule="auto"/>
        <w:jc w:val="both"/>
        <w:rPr>
          <w:lang w:val="en-GB"/>
        </w:rPr>
      </w:pPr>
      <w:r w:rsidRPr="00A532AE">
        <w:rPr>
          <w:lang w:val="en-GB"/>
        </w:rPr>
        <w:t xml:space="preserve">In this study, calculations were performed over a 20-year period using a real discount rate of 4%, and the residual value </w:t>
      </w:r>
      <w:proofErr w:type="spellStart"/>
      <w:r w:rsidRPr="00A532AE">
        <w:rPr>
          <w:i/>
          <w:lang w:val="en-GB"/>
        </w:rPr>
        <w:t>V</w:t>
      </w:r>
      <w:r w:rsidRPr="00A532AE">
        <w:rPr>
          <w:vertAlign w:val="subscript"/>
          <w:lang w:val="en-GB"/>
        </w:rPr>
        <w:t>f</w:t>
      </w:r>
      <w:proofErr w:type="spellEnd"/>
      <w:r w:rsidRPr="00A532AE">
        <w:rPr>
          <w:lang w:val="en-GB"/>
        </w:rPr>
        <w:t xml:space="preserve"> is assumed to be zero, as the HVAC system is considered to have no remaining value at the end of its service life. A real discount rate of 4% was applied following standard building life-cycle cost analysis guidelines (e.g., EN 15459), consistent with values determined and used for the Croatian region in previous studies</w:t>
      </w:r>
      <w:r w:rsidR="00061A52">
        <w:rPr>
          <w:lang w:val="en-GB"/>
        </w:rPr>
        <w:t xml:space="preserve"> </w:t>
      </w:r>
      <w:r w:rsidR="00061A52" w:rsidRPr="00061A52">
        <w:rPr>
          <w:lang w:val="en-US"/>
        </w:rPr>
        <w:t>(</w:t>
      </w:r>
      <w:proofErr w:type="spellStart"/>
      <w:r w:rsidR="00061A52" w:rsidRPr="00061A52">
        <w:rPr>
          <w:lang w:val="en-US"/>
        </w:rPr>
        <w:t>Slijepčević</w:t>
      </w:r>
      <w:proofErr w:type="spellEnd"/>
      <w:r w:rsidR="00061A52" w:rsidRPr="00061A52">
        <w:rPr>
          <w:lang w:val="en-US"/>
        </w:rPr>
        <w:t xml:space="preserve"> et al., 2019</w:t>
      </w:r>
      <w:r w:rsidR="00061A52">
        <w:rPr>
          <w:lang w:val="en-US"/>
        </w:rPr>
        <w:t>;</w:t>
      </w:r>
      <w:r w:rsidR="00061A52" w:rsidRPr="00061A52">
        <w:rPr>
          <w:rFonts w:ascii="Segoe UI" w:hAnsi="Segoe UI" w:cs="Segoe UI"/>
          <w:sz w:val="21"/>
          <w:szCs w:val="21"/>
          <w:lang w:val="en-US" w:eastAsia="en-US"/>
        </w:rPr>
        <w:t xml:space="preserve"> </w:t>
      </w:r>
      <w:proofErr w:type="spellStart"/>
      <w:r w:rsidR="00061A52" w:rsidRPr="00061A52">
        <w:rPr>
          <w:lang w:val="en-US"/>
        </w:rPr>
        <w:t>Keček</w:t>
      </w:r>
      <w:proofErr w:type="spellEnd"/>
      <w:r w:rsidR="00061A52">
        <w:rPr>
          <w:lang w:val="en-US"/>
        </w:rPr>
        <w:t xml:space="preserve">, </w:t>
      </w:r>
      <w:r w:rsidR="00061A52" w:rsidRPr="00061A52">
        <w:rPr>
          <w:lang w:val="en-US"/>
        </w:rPr>
        <w:t>2023)</w:t>
      </w:r>
      <w:r w:rsidRPr="00A532AE">
        <w:rPr>
          <w:lang w:val="en-GB"/>
        </w:rPr>
        <w:t xml:space="preserve">. Investment costs for HVAC equipment were based on moderately priced units available in the Croatian market at the time of this study. The cost of associated works, including the installation, connection, and commissioning of HVAC equipment, was estimated at 30% of the equipment value, in accordance with established engineering design guidelines and professional practice standards. All prices in this study are inclusive of value-added tax (VAT). The bar chart </w:t>
      </w:r>
      <w:r w:rsidR="00E973D1">
        <w:rPr>
          <w:lang w:val="en-GB"/>
        </w:rPr>
        <w:t>in</w:t>
      </w:r>
      <w:r w:rsidRPr="00A532AE">
        <w:rPr>
          <w:lang w:val="en-GB"/>
        </w:rPr>
        <w:t xml:space="preserve"> Fig</w:t>
      </w:r>
      <w:r w:rsidR="00190FD1" w:rsidRPr="00A532AE">
        <w:rPr>
          <w:lang w:val="en-GB"/>
        </w:rPr>
        <w:t>.</w:t>
      </w:r>
      <w:r w:rsidRPr="00A532AE">
        <w:rPr>
          <w:lang w:val="en-GB"/>
        </w:rPr>
        <w:t xml:space="preserve"> </w:t>
      </w:r>
      <w:r w:rsidR="00671CC7">
        <w:rPr>
          <w:lang w:val="en-GB"/>
        </w:rPr>
        <w:t>6</w:t>
      </w:r>
      <w:r w:rsidRPr="00A532AE">
        <w:rPr>
          <w:lang w:val="en-GB"/>
        </w:rPr>
        <w:t xml:space="preserve"> presents the global cost per unit floor area or cost indicator </w:t>
      </w:r>
      <w:r w:rsidRPr="00A532AE">
        <w:rPr>
          <w:i/>
          <w:lang w:val="en-GB"/>
        </w:rPr>
        <w:t>C</w:t>
      </w:r>
      <w:r w:rsidRPr="00A532AE">
        <w:rPr>
          <w:vertAlign w:val="subscript"/>
          <w:lang w:val="en-GB"/>
        </w:rPr>
        <w:t>I</w:t>
      </w:r>
      <w:r w:rsidRPr="00A532AE">
        <w:rPr>
          <w:lang w:val="en-GB"/>
        </w:rPr>
        <w:t xml:space="preserve">, for </w:t>
      </w:r>
      <w:r w:rsidR="00B21CFB">
        <w:rPr>
          <w:lang w:val="en-GB"/>
        </w:rPr>
        <w:t>nine</w:t>
      </w:r>
      <w:r w:rsidRPr="00A532AE">
        <w:rPr>
          <w:lang w:val="en-GB"/>
        </w:rPr>
        <w:t xml:space="preserve"> HVAC system configurations (S1–S</w:t>
      </w:r>
      <w:r w:rsidR="004D4DA7" w:rsidRPr="00A532AE">
        <w:rPr>
          <w:lang w:val="en-GB"/>
        </w:rPr>
        <w:t>9</w:t>
      </w:r>
      <w:r w:rsidRPr="00A532AE">
        <w:rPr>
          <w:lang w:val="en-GB"/>
        </w:rPr>
        <w:t xml:space="preserve">), distinguishing investment cost (blue hatched) and operating cost (red hatched) for a period of 20 years. </w:t>
      </w:r>
    </w:p>
    <w:p w14:paraId="1BC035EE" w14:textId="77777777" w:rsidR="00AD7096" w:rsidRDefault="00AD7096" w:rsidP="00FE1C19">
      <w:pPr>
        <w:spacing w:line="276" w:lineRule="auto"/>
        <w:jc w:val="both"/>
        <w:rPr>
          <w:lang w:val="en-GB"/>
        </w:rPr>
      </w:pPr>
    </w:p>
    <w:p w14:paraId="7D42774C" w14:textId="77777777" w:rsidR="00AD7096" w:rsidRPr="00A532AE" w:rsidRDefault="00AD7096" w:rsidP="00AD7096">
      <w:pPr>
        <w:spacing w:line="276" w:lineRule="auto"/>
        <w:jc w:val="center"/>
        <w:rPr>
          <w:lang w:val="en-GB"/>
        </w:rPr>
      </w:pPr>
      <w:r w:rsidRPr="00A532AE">
        <w:rPr>
          <w:noProof/>
          <w:lang w:val="en-GB"/>
        </w:rPr>
        <w:drawing>
          <wp:inline distT="0" distB="0" distL="0" distR="0" wp14:anchorId="42F8A396" wp14:editId="62E2F3C4">
            <wp:extent cx="3420000" cy="217038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20000" cy="2170385"/>
                    </a:xfrm>
                    <a:prstGeom prst="rect">
                      <a:avLst/>
                    </a:prstGeom>
                    <a:noFill/>
                    <a:ln>
                      <a:noFill/>
                    </a:ln>
                  </pic:spPr>
                </pic:pic>
              </a:graphicData>
            </a:graphic>
          </wp:inline>
        </w:drawing>
      </w:r>
    </w:p>
    <w:p w14:paraId="79E78C27" w14:textId="34A84031" w:rsidR="00AD7096" w:rsidRPr="00A532AE" w:rsidRDefault="00AD7096" w:rsidP="00AD7096">
      <w:pPr>
        <w:spacing w:line="276" w:lineRule="auto"/>
        <w:jc w:val="center"/>
        <w:rPr>
          <w:b/>
          <w:sz w:val="16"/>
          <w:lang w:val="en-GB"/>
        </w:rPr>
      </w:pPr>
      <w:r w:rsidRPr="00A532AE">
        <w:rPr>
          <w:b/>
          <w:sz w:val="16"/>
          <w:lang w:val="en-GB"/>
        </w:rPr>
        <w:t xml:space="preserve">Fig. </w:t>
      </w:r>
      <w:r w:rsidR="00671CC7">
        <w:rPr>
          <w:b/>
          <w:sz w:val="16"/>
          <w:lang w:val="en-GB"/>
        </w:rPr>
        <w:t>6</w:t>
      </w:r>
      <w:r w:rsidRPr="00A532AE">
        <w:rPr>
          <w:b/>
          <w:sz w:val="16"/>
          <w:lang w:val="en-GB"/>
        </w:rPr>
        <w:t>: Cost indicators for investment and operation over a 20-year period</w:t>
      </w:r>
    </w:p>
    <w:p w14:paraId="3204CD3D" w14:textId="77777777" w:rsidR="00AD7096" w:rsidRPr="00061A52" w:rsidRDefault="00AD7096" w:rsidP="00FE1C19">
      <w:pPr>
        <w:spacing w:line="276" w:lineRule="auto"/>
        <w:jc w:val="both"/>
        <w:rPr>
          <w:lang w:val="en-US"/>
        </w:rPr>
      </w:pPr>
    </w:p>
    <w:p w14:paraId="1B12CDC0" w14:textId="2611A0C4" w:rsidR="00AD7096" w:rsidRDefault="005230FE" w:rsidP="00FE1C19">
      <w:pPr>
        <w:spacing w:line="276" w:lineRule="auto"/>
        <w:jc w:val="both"/>
        <w:rPr>
          <w:lang w:val="en-GB"/>
        </w:rPr>
      </w:pPr>
      <w:r w:rsidRPr="00A532AE">
        <w:rPr>
          <w:lang w:val="en-GB"/>
        </w:rPr>
        <w:t>The analysis indicates that the investment cost generally increases with system complexity (S4, S6, S7</w:t>
      </w:r>
      <w:r w:rsidR="004D4DA7" w:rsidRPr="00A532AE">
        <w:rPr>
          <w:lang w:val="en-GB"/>
        </w:rPr>
        <w:t>, S8, S9</w:t>
      </w:r>
      <w:r w:rsidRPr="00A532AE">
        <w:rPr>
          <w:lang w:val="en-GB"/>
        </w:rPr>
        <w:t>), whereas simpler systems (S1, S2</w:t>
      </w:r>
      <w:r w:rsidR="004D4DA7" w:rsidRPr="00A532AE">
        <w:rPr>
          <w:lang w:val="en-GB"/>
        </w:rPr>
        <w:t>, S5</w:t>
      </w:r>
      <w:r w:rsidRPr="00A532AE">
        <w:rPr>
          <w:lang w:val="en-GB"/>
        </w:rPr>
        <w:t xml:space="preserve">) require lower initial investments. In contrast, operating costs decrease with increasing system complexity. High-performance system </w:t>
      </w:r>
      <w:r w:rsidR="001F1330" w:rsidRPr="00A532AE">
        <w:rPr>
          <w:lang w:val="en-GB"/>
        </w:rPr>
        <w:t xml:space="preserve">variants, </w:t>
      </w:r>
      <w:r w:rsidRPr="00A532AE">
        <w:rPr>
          <w:lang w:val="en-GB"/>
        </w:rPr>
        <w:t>such as S4</w:t>
      </w:r>
      <w:r w:rsidR="001F1330" w:rsidRPr="00A532AE">
        <w:rPr>
          <w:lang w:val="en-GB"/>
        </w:rPr>
        <w:t>,</w:t>
      </w:r>
      <w:r w:rsidRPr="00A532AE">
        <w:rPr>
          <w:lang w:val="en-GB"/>
        </w:rPr>
        <w:t xml:space="preserve"> S7</w:t>
      </w:r>
      <w:r w:rsidR="001F1330" w:rsidRPr="00A532AE">
        <w:rPr>
          <w:lang w:val="en-GB"/>
        </w:rPr>
        <w:t xml:space="preserve"> and S8</w:t>
      </w:r>
      <w:r w:rsidRPr="00A532AE">
        <w:rPr>
          <w:lang w:val="en-GB"/>
        </w:rPr>
        <w:t xml:space="preserve"> demonstrate the lowest operating costs, reflecting improved energy efficiency, while basic systems require higher energy related expenses.</w:t>
      </w:r>
      <w:r w:rsidR="000B7DAA">
        <w:rPr>
          <w:lang w:val="en-GB"/>
        </w:rPr>
        <w:t xml:space="preserve"> </w:t>
      </w:r>
      <w:r w:rsidRPr="00A532AE">
        <w:rPr>
          <w:lang w:val="en-GB"/>
        </w:rPr>
        <w:t>This illustrates a classic trade-off between capital and operational expenditures, where increased investment partially offsets energy costs. System</w:t>
      </w:r>
      <w:r w:rsidR="004D4DA7" w:rsidRPr="00A532AE">
        <w:rPr>
          <w:lang w:val="en-GB"/>
        </w:rPr>
        <w:t xml:space="preserve"> variants</w:t>
      </w:r>
      <w:r w:rsidRPr="00A532AE">
        <w:rPr>
          <w:lang w:val="en-GB"/>
        </w:rPr>
        <w:t xml:space="preserve"> S4</w:t>
      </w:r>
      <w:r w:rsidR="004D4DA7" w:rsidRPr="00A532AE">
        <w:rPr>
          <w:lang w:val="en-GB"/>
        </w:rPr>
        <w:t>,</w:t>
      </w:r>
      <w:r w:rsidRPr="00A532AE">
        <w:rPr>
          <w:lang w:val="en-GB"/>
        </w:rPr>
        <w:t xml:space="preserve"> S7</w:t>
      </w:r>
      <w:r w:rsidR="004D4DA7" w:rsidRPr="00A532AE">
        <w:rPr>
          <w:lang w:val="en-GB"/>
        </w:rPr>
        <w:t xml:space="preserve"> and S8</w:t>
      </w:r>
      <w:r w:rsidRPr="00A532AE">
        <w:rPr>
          <w:lang w:val="en-GB"/>
        </w:rPr>
        <w:t xml:space="preserve"> achieve a good balance with moderate total costs, while S2 and S5 keep total costs low through moderate investment and operating expenses. </w:t>
      </w:r>
      <w:r w:rsidR="004D4DA7" w:rsidRPr="00A532AE">
        <w:rPr>
          <w:lang w:val="en-GB"/>
        </w:rPr>
        <w:t>S</w:t>
      </w:r>
      <w:r w:rsidRPr="00A532AE">
        <w:rPr>
          <w:lang w:val="en-GB"/>
        </w:rPr>
        <w:t xml:space="preserve">ystem </w:t>
      </w:r>
      <w:r w:rsidR="004D4DA7" w:rsidRPr="00A532AE">
        <w:rPr>
          <w:lang w:val="en-GB"/>
        </w:rPr>
        <w:t xml:space="preserve">variants </w:t>
      </w:r>
      <w:r w:rsidRPr="00A532AE">
        <w:rPr>
          <w:lang w:val="en-GB"/>
        </w:rPr>
        <w:t xml:space="preserve">S6 </w:t>
      </w:r>
      <w:r w:rsidR="004D4DA7" w:rsidRPr="00A532AE">
        <w:rPr>
          <w:lang w:val="en-GB"/>
        </w:rPr>
        <w:t xml:space="preserve">and S9 </w:t>
      </w:r>
      <w:r w:rsidR="00E973D1">
        <w:rPr>
          <w:lang w:val="en-GB"/>
        </w:rPr>
        <w:t>demonstrate</w:t>
      </w:r>
      <w:r w:rsidRPr="00A532AE">
        <w:rPr>
          <w:lang w:val="en-GB"/>
        </w:rPr>
        <w:t xml:space="preserve"> that </w:t>
      </w:r>
      <w:r w:rsidR="004D4DA7" w:rsidRPr="00A532AE">
        <w:rPr>
          <w:lang w:val="en-GB"/>
        </w:rPr>
        <w:t>higher</w:t>
      </w:r>
      <w:r w:rsidRPr="00A532AE">
        <w:rPr>
          <w:lang w:val="en-GB"/>
        </w:rPr>
        <w:t xml:space="preserve"> investment does not always guarantee the best overall savings.</w:t>
      </w:r>
      <w:r w:rsidR="001F1330" w:rsidRPr="00A532AE">
        <w:rPr>
          <w:lang w:val="en-GB"/>
        </w:rPr>
        <w:t xml:space="preserve"> </w:t>
      </w:r>
    </w:p>
    <w:p w14:paraId="77D77339" w14:textId="3C303F63" w:rsidR="005230FE" w:rsidRPr="00A532AE" w:rsidRDefault="005230FE" w:rsidP="009D3FE7">
      <w:pPr>
        <w:spacing w:line="276" w:lineRule="auto"/>
        <w:ind w:firstLine="720"/>
        <w:jc w:val="both"/>
        <w:rPr>
          <w:lang w:val="en-GB"/>
        </w:rPr>
      </w:pPr>
      <w:r w:rsidRPr="00A532AE">
        <w:rPr>
          <w:lang w:val="en-GB"/>
        </w:rPr>
        <w:t>Fig</w:t>
      </w:r>
      <w:r w:rsidR="00190FD1" w:rsidRPr="00A532AE">
        <w:rPr>
          <w:lang w:val="en-GB"/>
        </w:rPr>
        <w:t>.</w:t>
      </w:r>
      <w:r w:rsidRPr="00A532AE">
        <w:rPr>
          <w:lang w:val="en-GB"/>
        </w:rPr>
        <w:t xml:space="preserve"> </w:t>
      </w:r>
      <w:r w:rsidR="00671CC7">
        <w:rPr>
          <w:lang w:val="en-GB"/>
        </w:rPr>
        <w:t>7</w:t>
      </w:r>
      <w:r w:rsidRPr="00A532AE">
        <w:rPr>
          <w:lang w:val="en-GB"/>
        </w:rPr>
        <w:t xml:space="preserve"> illustrates the relationship between the cost indicator </w:t>
      </w:r>
      <w:r w:rsidRPr="00A532AE">
        <w:rPr>
          <w:i/>
          <w:lang w:val="en-GB"/>
        </w:rPr>
        <w:t>C</w:t>
      </w:r>
      <w:r w:rsidRPr="00A532AE">
        <w:rPr>
          <w:vertAlign w:val="subscript"/>
          <w:lang w:val="en-GB"/>
        </w:rPr>
        <w:t>I</w:t>
      </w:r>
      <w:r w:rsidRPr="00A532AE">
        <w:rPr>
          <w:lang w:val="en-GB"/>
        </w:rPr>
        <w:t xml:space="preserve"> calculated for a period of 20 years and the annual primary energy consumption (</w:t>
      </w:r>
      <w:proofErr w:type="spellStart"/>
      <w:r w:rsidRPr="00A532AE">
        <w:rPr>
          <w:i/>
          <w:lang w:val="en-GB"/>
        </w:rPr>
        <w:t>E</w:t>
      </w:r>
      <w:r w:rsidRPr="00A532AE">
        <w:rPr>
          <w:vertAlign w:val="subscript"/>
          <w:lang w:val="en-GB"/>
        </w:rPr>
        <w:t>prim</w:t>
      </w:r>
      <w:proofErr w:type="spellEnd"/>
      <w:r w:rsidRPr="00A532AE">
        <w:rPr>
          <w:lang w:val="en-GB"/>
        </w:rPr>
        <w:t>/</w:t>
      </w:r>
      <w:r w:rsidRPr="00A532AE">
        <w:rPr>
          <w:i/>
          <w:lang w:val="en-GB"/>
        </w:rPr>
        <w:t>A</w:t>
      </w:r>
      <w:r w:rsidRPr="00A532AE">
        <w:rPr>
          <w:lang w:val="en-GB"/>
        </w:rPr>
        <w:t>) for the evaluated HVAC system configurations (S1–S</w:t>
      </w:r>
      <w:r w:rsidR="004D4DA7" w:rsidRPr="00A532AE">
        <w:rPr>
          <w:lang w:val="en-GB"/>
        </w:rPr>
        <w:t>9</w:t>
      </w:r>
      <w:r w:rsidRPr="00A532AE">
        <w:rPr>
          <w:lang w:val="en-GB"/>
        </w:rPr>
        <w:t xml:space="preserve">). </w:t>
      </w:r>
      <w:r w:rsidR="0049726C" w:rsidRPr="00A532AE">
        <w:rPr>
          <w:lang w:val="en-GB"/>
        </w:rPr>
        <w:t xml:space="preserve">The results indicate that only system variants S4, S7, S8 and S9 comply with the 35 kWh/m² primary energy requirement </w:t>
      </w:r>
      <w:r w:rsidR="0049726C">
        <w:rPr>
          <w:lang w:val="en-GB"/>
        </w:rPr>
        <w:t>(</w:t>
      </w:r>
      <w:r w:rsidR="0049726C" w:rsidRPr="00061A52">
        <w:rPr>
          <w:lang w:val="en-US"/>
        </w:rPr>
        <w:t>Technical Regulation on Rational Use of Energy and Thermal Protection in Buildings, 2020</w:t>
      </w:r>
      <w:r w:rsidR="0049726C">
        <w:rPr>
          <w:lang w:val="en-GB"/>
        </w:rPr>
        <w:t>)</w:t>
      </w:r>
      <w:r w:rsidR="0049726C" w:rsidRPr="00A532AE">
        <w:rPr>
          <w:lang w:val="en-GB"/>
        </w:rPr>
        <w:t xml:space="preserve">. </w:t>
      </w:r>
      <w:r w:rsidR="0049726C" w:rsidRPr="00A532AE">
        <w:rPr>
          <w:lang w:val="en-GB"/>
        </w:rPr>
        <w:lastRenderedPageBreak/>
        <w:t>These systems exhibit superior energy performance, resulting in a significant reduction in annual operating costs, even though their investment costs are comparatively higher.</w:t>
      </w:r>
    </w:p>
    <w:p w14:paraId="1F6C3C2F" w14:textId="77777777" w:rsidR="005230FE" w:rsidRPr="00A532AE" w:rsidRDefault="005230FE" w:rsidP="005230FE">
      <w:pPr>
        <w:spacing w:line="276" w:lineRule="auto"/>
        <w:ind w:firstLine="340"/>
        <w:jc w:val="both"/>
        <w:rPr>
          <w:lang w:val="en-GB"/>
        </w:rPr>
      </w:pPr>
    </w:p>
    <w:p w14:paraId="164D8EE6" w14:textId="77777777" w:rsidR="005230FE" w:rsidRPr="00A532AE" w:rsidRDefault="005230FE" w:rsidP="005230FE">
      <w:pPr>
        <w:spacing w:line="276" w:lineRule="auto"/>
        <w:jc w:val="center"/>
        <w:rPr>
          <w:lang w:val="en-GB"/>
        </w:rPr>
      </w:pPr>
      <w:r w:rsidRPr="00A532AE">
        <w:rPr>
          <w:noProof/>
          <w:lang w:val="en-GB"/>
        </w:rPr>
        <w:drawing>
          <wp:inline distT="0" distB="0" distL="0" distR="0" wp14:anchorId="025B35A5" wp14:editId="2B54E30C">
            <wp:extent cx="3420000" cy="2170385"/>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20000" cy="2170385"/>
                    </a:xfrm>
                    <a:prstGeom prst="rect">
                      <a:avLst/>
                    </a:prstGeom>
                    <a:noFill/>
                    <a:ln>
                      <a:noFill/>
                    </a:ln>
                  </pic:spPr>
                </pic:pic>
              </a:graphicData>
            </a:graphic>
          </wp:inline>
        </w:drawing>
      </w:r>
    </w:p>
    <w:p w14:paraId="386FCD65" w14:textId="6E993D09" w:rsidR="005230FE" w:rsidRPr="00A532AE" w:rsidRDefault="005230FE" w:rsidP="005230FE">
      <w:pPr>
        <w:spacing w:line="276" w:lineRule="auto"/>
        <w:jc w:val="center"/>
        <w:rPr>
          <w:b/>
          <w:sz w:val="16"/>
          <w:lang w:val="en-GB"/>
        </w:rPr>
      </w:pPr>
      <w:r w:rsidRPr="00A532AE">
        <w:rPr>
          <w:b/>
          <w:sz w:val="16"/>
          <w:lang w:val="en-GB"/>
        </w:rPr>
        <w:t>Fig</w:t>
      </w:r>
      <w:r w:rsidR="00190FD1" w:rsidRPr="00A532AE">
        <w:rPr>
          <w:b/>
          <w:sz w:val="16"/>
          <w:lang w:val="en-GB"/>
        </w:rPr>
        <w:t>.</w:t>
      </w:r>
      <w:r w:rsidRPr="00A532AE">
        <w:rPr>
          <w:b/>
          <w:sz w:val="16"/>
          <w:lang w:val="en-GB"/>
        </w:rPr>
        <w:t xml:space="preserve"> </w:t>
      </w:r>
      <w:r w:rsidR="00671CC7">
        <w:rPr>
          <w:b/>
          <w:sz w:val="16"/>
          <w:lang w:val="en-GB"/>
        </w:rPr>
        <w:t>7</w:t>
      </w:r>
      <w:r w:rsidR="00190FD1" w:rsidRPr="00A532AE">
        <w:rPr>
          <w:b/>
          <w:sz w:val="16"/>
          <w:lang w:val="en-GB"/>
        </w:rPr>
        <w:t>:</w:t>
      </w:r>
      <w:r w:rsidRPr="00A532AE">
        <w:rPr>
          <w:b/>
          <w:sz w:val="16"/>
          <w:lang w:val="en-GB"/>
        </w:rPr>
        <w:t xml:space="preserve"> Cost indicator for a period of 20 years in relation to annual system primary energy requirements</w:t>
      </w:r>
    </w:p>
    <w:p w14:paraId="34276C3E" w14:textId="77777777" w:rsidR="005230FE" w:rsidRPr="00A532AE" w:rsidRDefault="005230FE" w:rsidP="005230FE">
      <w:pPr>
        <w:spacing w:line="276" w:lineRule="auto"/>
        <w:jc w:val="center"/>
        <w:rPr>
          <w:lang w:val="en-GB"/>
        </w:rPr>
      </w:pPr>
    </w:p>
    <w:p w14:paraId="6770441D" w14:textId="621FAB30" w:rsidR="005230FE" w:rsidRPr="00061A52" w:rsidRDefault="005230FE" w:rsidP="008D5394">
      <w:pPr>
        <w:spacing w:line="276" w:lineRule="auto"/>
        <w:jc w:val="both"/>
        <w:rPr>
          <w:lang w:val="en-US"/>
        </w:rPr>
      </w:pPr>
      <w:r w:rsidRPr="00A532AE">
        <w:rPr>
          <w:lang w:val="en-GB"/>
        </w:rPr>
        <w:t>The remaining configurations show increased primary energy consumption, primarily because they lack heat recovery or renewable energy sources, or because DHW production is not covered by the heat pump, even though their total costs are comparable or slightly lower. Consequently, S4</w:t>
      </w:r>
      <w:r w:rsidR="004D4DA7" w:rsidRPr="00A532AE">
        <w:rPr>
          <w:lang w:val="en-GB"/>
        </w:rPr>
        <w:t>,</w:t>
      </w:r>
      <w:r w:rsidRPr="00A532AE">
        <w:rPr>
          <w:lang w:val="en-GB"/>
        </w:rPr>
        <w:t xml:space="preserve"> S7</w:t>
      </w:r>
      <w:r w:rsidR="004D4DA7" w:rsidRPr="00A532AE">
        <w:rPr>
          <w:lang w:val="en-GB"/>
        </w:rPr>
        <w:t xml:space="preserve"> and S8</w:t>
      </w:r>
      <w:r w:rsidRPr="00A532AE">
        <w:rPr>
          <w:lang w:val="en-GB"/>
        </w:rPr>
        <w:t xml:space="preserve"> can be identified as the most energy-efficient solutions, providing an optimal balance between economic performance and energy demand over the system’s operational lifetime.</w:t>
      </w:r>
    </w:p>
    <w:p w14:paraId="58F1F236" w14:textId="207E5009" w:rsidR="00CD1BBD" w:rsidRDefault="00CD1BBD" w:rsidP="005230FE">
      <w:pPr>
        <w:spacing w:line="276" w:lineRule="auto"/>
        <w:ind w:firstLine="340"/>
        <w:jc w:val="both"/>
        <w:rPr>
          <w:lang w:val="en-GB"/>
        </w:rPr>
      </w:pPr>
    </w:p>
    <w:p w14:paraId="736DDC08" w14:textId="35F5CC5C" w:rsidR="005230FE" w:rsidRPr="00A532AE" w:rsidRDefault="00941880" w:rsidP="001619AE">
      <w:pPr>
        <w:spacing w:line="276" w:lineRule="auto"/>
        <w:jc w:val="center"/>
        <w:rPr>
          <w:rFonts w:ascii="Arial" w:hAnsi="Arial" w:cs="Arial"/>
          <w:b/>
          <w:lang w:val="en-GB"/>
        </w:rPr>
      </w:pPr>
      <w:r>
        <w:rPr>
          <w:rFonts w:ascii="Arial" w:hAnsi="Arial" w:cs="Arial"/>
          <w:b/>
          <w:lang w:val="en-GB"/>
        </w:rPr>
        <w:t>5</w:t>
      </w:r>
      <w:r w:rsidR="00354EF8" w:rsidRPr="00A532AE">
        <w:rPr>
          <w:rFonts w:ascii="Arial" w:hAnsi="Arial" w:cs="Arial"/>
          <w:b/>
          <w:lang w:val="en-GB"/>
        </w:rPr>
        <w:t>. Conclusion</w:t>
      </w:r>
    </w:p>
    <w:p w14:paraId="589F1A16" w14:textId="77777777" w:rsidR="005230FE" w:rsidRPr="00A532AE" w:rsidRDefault="005230FE" w:rsidP="005230FE">
      <w:pPr>
        <w:spacing w:line="276" w:lineRule="auto"/>
        <w:ind w:firstLine="340"/>
        <w:jc w:val="both"/>
        <w:rPr>
          <w:b/>
          <w:lang w:val="en-GB"/>
        </w:rPr>
      </w:pPr>
    </w:p>
    <w:p w14:paraId="6AB8AF82" w14:textId="46B6E821" w:rsidR="005230FE" w:rsidRPr="00A532AE" w:rsidRDefault="005230FE" w:rsidP="00FE1C19">
      <w:pPr>
        <w:spacing w:line="276" w:lineRule="auto"/>
        <w:jc w:val="both"/>
        <w:rPr>
          <w:lang w:val="en-GB"/>
        </w:rPr>
      </w:pPr>
      <w:r w:rsidRPr="00A532AE">
        <w:rPr>
          <w:lang w:val="en-GB"/>
        </w:rPr>
        <w:t xml:space="preserve">This study investigated the impact of various HVAC system configurations on the energy and </w:t>
      </w:r>
      <w:r w:rsidR="00E973D1">
        <w:rPr>
          <w:lang w:val="en-GB"/>
        </w:rPr>
        <w:t>economic</w:t>
      </w:r>
      <w:r w:rsidRPr="00A532AE">
        <w:rPr>
          <w:lang w:val="en-GB"/>
        </w:rPr>
        <w:t xml:space="preserve"> performance of a typical single-family residential building representative of the Croatian coastal region. The simulations were conducted using </w:t>
      </w:r>
      <w:r w:rsidRPr="00A532AE">
        <w:rPr>
          <w:i/>
          <w:lang w:val="en-GB"/>
        </w:rPr>
        <w:t xml:space="preserve">TRNSYS Simulation Studio </w:t>
      </w:r>
      <w:r w:rsidRPr="00A532AE">
        <w:rPr>
          <w:lang w:val="en-GB"/>
        </w:rPr>
        <w:t>to evaluate both envelope and system-level improvements in accordance with current national energy efficiency regulations</w:t>
      </w:r>
      <w:r w:rsidR="00725F0D">
        <w:rPr>
          <w:lang w:val="en-GB"/>
        </w:rPr>
        <w:t>.</w:t>
      </w:r>
      <w:r w:rsidRPr="00A532AE">
        <w:rPr>
          <w:lang w:val="en-GB"/>
        </w:rPr>
        <w:t xml:space="preserve"> </w:t>
      </w:r>
      <w:r w:rsidR="00725F0D">
        <w:rPr>
          <w:lang w:val="en-GB"/>
        </w:rPr>
        <w:t>S</w:t>
      </w:r>
      <w:r w:rsidRPr="00A532AE">
        <w:rPr>
          <w:lang w:val="en-GB"/>
        </w:rPr>
        <w:t xml:space="preserve">everal HVAC system </w:t>
      </w:r>
      <w:r w:rsidR="001F1330" w:rsidRPr="00A532AE">
        <w:rPr>
          <w:lang w:val="en-GB"/>
        </w:rPr>
        <w:t xml:space="preserve">variants </w:t>
      </w:r>
      <w:r w:rsidRPr="00A532AE">
        <w:rPr>
          <w:lang w:val="en-GB"/>
        </w:rPr>
        <w:t xml:space="preserve">were simulated to identify the most energy-efficient and cost-effective configurations. </w:t>
      </w:r>
      <w:r w:rsidR="001F1330" w:rsidRPr="00A532AE">
        <w:rPr>
          <w:lang w:val="en-GB"/>
        </w:rPr>
        <w:t>The analysed system variants included oil and gas boilers, condensing gas boilers combined with solar domestic hot water (DHW) production, mechanical ventilation with heat recovery, heat pumps with auxiliary electric heating, and fully electric heating systems coupled with photovoltaic panels.</w:t>
      </w:r>
      <w:r w:rsidRPr="00A532AE">
        <w:rPr>
          <w:lang w:val="en-GB"/>
        </w:rPr>
        <w:t xml:space="preserve"> From an energy and economic perspective, the condensing gas boiler system with solar collectors (S4)</w:t>
      </w:r>
      <w:r w:rsidR="001F1330" w:rsidRPr="00A532AE">
        <w:rPr>
          <w:lang w:val="en-GB"/>
        </w:rPr>
        <w:t xml:space="preserve">, </w:t>
      </w:r>
      <w:r w:rsidRPr="00A532AE">
        <w:rPr>
          <w:lang w:val="en-GB"/>
        </w:rPr>
        <w:t xml:space="preserve">the heat pump system (S7) </w:t>
      </w:r>
      <w:r w:rsidR="001F1330" w:rsidRPr="00A532AE">
        <w:rPr>
          <w:lang w:val="en-GB"/>
        </w:rPr>
        <w:t xml:space="preserve">and systems with electric heating with photovoltaics (S8 and S9) </w:t>
      </w:r>
      <w:r w:rsidRPr="00A532AE">
        <w:rPr>
          <w:lang w:val="en-GB"/>
        </w:rPr>
        <w:t>demonstrated the lowest primary energy consumption satisfying the maximum allowable primary energy condition of 35 kWh/m</w:t>
      </w:r>
      <w:r w:rsidRPr="00A532AE">
        <w:rPr>
          <w:vertAlign w:val="superscript"/>
          <w:lang w:val="en-GB"/>
        </w:rPr>
        <w:t>2</w:t>
      </w:r>
      <w:r w:rsidRPr="00A532AE">
        <w:rPr>
          <w:lang w:val="en-GB"/>
        </w:rPr>
        <w:t xml:space="preserve"> annually for family homes in coastal Croatia, maintaining moderate overall costs. Since other system</w:t>
      </w:r>
      <w:r w:rsidR="001F1330" w:rsidRPr="00A532AE">
        <w:rPr>
          <w:lang w:val="en-GB"/>
        </w:rPr>
        <w:t xml:space="preserve"> variants</w:t>
      </w:r>
      <w:r w:rsidRPr="00A532AE">
        <w:rPr>
          <w:lang w:val="en-GB"/>
        </w:rPr>
        <w:t xml:space="preserve"> do not comply with national regulations, only S4</w:t>
      </w:r>
      <w:r w:rsidR="001F1330" w:rsidRPr="00A532AE">
        <w:rPr>
          <w:lang w:val="en-GB"/>
        </w:rPr>
        <w:t xml:space="preserve">, </w:t>
      </w:r>
      <w:r w:rsidRPr="00A532AE">
        <w:rPr>
          <w:lang w:val="en-GB"/>
        </w:rPr>
        <w:t>S7</w:t>
      </w:r>
      <w:r w:rsidR="001F1330" w:rsidRPr="00A532AE">
        <w:rPr>
          <w:lang w:val="en-GB"/>
        </w:rPr>
        <w:t>, S8 and S9</w:t>
      </w:r>
      <w:r w:rsidRPr="00A532AE">
        <w:rPr>
          <w:lang w:val="en-GB"/>
        </w:rPr>
        <w:t xml:space="preserve"> should be considered for retrofitting projects. </w:t>
      </w:r>
      <w:r w:rsidR="001F1330" w:rsidRPr="00A532AE">
        <w:rPr>
          <w:lang w:val="en-GB"/>
        </w:rPr>
        <w:t xml:space="preserve">System variants S4, S7, S8, and S9 meet the nZEB requirement that at least 30% of the annual delivered energy must originate from renewable sources. The analysis demonstrates that existing coastal residential buildings can achieve high energy performance with moderate wall insulation thicknesses (8 cm), combined either with an efficient condensing boiler, a solar thermal system, and heat recovery ventilation, or with an efficient heat pump system. A further alternative is fully electric heating coupled with photovoltaics, which has become increasingly popular in recent years, especially in mild climates. The findings also indicate that domestic hot water (DHW) production should be covered by either a heat pump or a solar thermal system in order to satisfy the maximum primary energy requirements. </w:t>
      </w:r>
      <w:r w:rsidRPr="00A532AE">
        <w:rPr>
          <w:lang w:val="en-GB"/>
        </w:rPr>
        <w:t xml:space="preserve">From a CO₂ emissions perspective, system </w:t>
      </w:r>
      <w:r w:rsidR="001F1330" w:rsidRPr="00A532AE">
        <w:rPr>
          <w:lang w:val="en-GB"/>
        </w:rPr>
        <w:t xml:space="preserve">variants S4, </w:t>
      </w:r>
      <w:r w:rsidRPr="00A532AE">
        <w:rPr>
          <w:lang w:val="en-GB"/>
        </w:rPr>
        <w:t>S7</w:t>
      </w:r>
      <w:r w:rsidR="001F1330" w:rsidRPr="00A532AE">
        <w:rPr>
          <w:lang w:val="en-GB"/>
        </w:rPr>
        <w:t xml:space="preserve"> and S8</w:t>
      </w:r>
      <w:r w:rsidRPr="00A532AE">
        <w:rPr>
          <w:lang w:val="en-GB"/>
        </w:rPr>
        <w:t xml:space="preserve"> are the most favourable, achieving reductions of approximately 85%, compared to the uninsulated baseline system S1. </w:t>
      </w:r>
    </w:p>
    <w:p w14:paraId="4A31EF2F" w14:textId="407BCFC8" w:rsidR="005230FE" w:rsidRDefault="005230FE" w:rsidP="00FE1C19">
      <w:pPr>
        <w:spacing w:line="276" w:lineRule="auto"/>
        <w:jc w:val="both"/>
        <w:rPr>
          <w:lang w:val="en-GB"/>
        </w:rPr>
      </w:pPr>
      <w:r w:rsidRPr="00A532AE">
        <w:rPr>
          <w:lang w:val="en-GB"/>
        </w:rPr>
        <w:t>The presented methodology and results may serve as a guideline for similar retrofit projects aimed at achieving cost optimal and regulation compliant energy performance levels in the residential building sector, especially in Mediterranean areas with comparable climate to the one considered in this study.</w:t>
      </w:r>
    </w:p>
    <w:p w14:paraId="5FC187A1" w14:textId="58EDEB3F" w:rsidR="005230FE" w:rsidRDefault="005230FE" w:rsidP="005230FE">
      <w:pPr>
        <w:spacing w:line="276" w:lineRule="auto"/>
        <w:jc w:val="both"/>
        <w:rPr>
          <w:lang w:val="en-GB"/>
        </w:rPr>
      </w:pPr>
      <w:r w:rsidRPr="0049726C">
        <w:rPr>
          <w:rFonts w:ascii="Arial" w:hAnsi="Arial" w:cs="Arial"/>
          <w:b/>
          <w:lang w:val="en-GB"/>
        </w:rPr>
        <w:lastRenderedPageBreak/>
        <w:t>Acknowledgment</w:t>
      </w:r>
      <w:r w:rsidRPr="00A532AE">
        <w:rPr>
          <w:b/>
          <w:lang w:val="en-GB"/>
        </w:rPr>
        <w:t>:</w:t>
      </w:r>
      <w:r w:rsidRPr="00A532AE">
        <w:rPr>
          <w:lang w:val="en-GB"/>
        </w:rPr>
        <w:t xml:space="preserve"> </w:t>
      </w:r>
      <w:r w:rsidR="00CD1BBD" w:rsidRPr="00A532AE">
        <w:rPr>
          <w:lang w:val="en-GB"/>
        </w:rPr>
        <w:t xml:space="preserve">This work has been funded by the European Union – </w:t>
      </w:r>
      <w:proofErr w:type="spellStart"/>
      <w:r w:rsidR="00CD1BBD" w:rsidRPr="00A532AE">
        <w:rPr>
          <w:lang w:val="en-GB"/>
        </w:rPr>
        <w:t>NextGenerationEU</w:t>
      </w:r>
      <w:proofErr w:type="spellEnd"/>
      <w:r w:rsidR="00CD1BBD" w:rsidRPr="00A532AE">
        <w:rPr>
          <w:lang w:val="en-GB"/>
        </w:rPr>
        <w:t xml:space="preserve"> – HEEGES – uniri-mzi-25-33.</w:t>
      </w:r>
    </w:p>
    <w:p w14:paraId="3A66B976" w14:textId="77777777" w:rsidR="00935A16" w:rsidRPr="00A532AE" w:rsidRDefault="00935A16" w:rsidP="005230FE">
      <w:pPr>
        <w:spacing w:line="276" w:lineRule="auto"/>
        <w:jc w:val="both"/>
        <w:rPr>
          <w:lang w:val="en-GB"/>
        </w:rPr>
      </w:pPr>
    </w:p>
    <w:p w14:paraId="46D84A95" w14:textId="720239D6" w:rsidR="005230FE" w:rsidRPr="00A532AE" w:rsidRDefault="00941880" w:rsidP="001619AE">
      <w:pPr>
        <w:spacing w:line="276" w:lineRule="auto"/>
        <w:jc w:val="center"/>
        <w:rPr>
          <w:rFonts w:ascii="Arial" w:hAnsi="Arial" w:cs="Arial"/>
          <w:b/>
          <w:color w:val="808080" w:themeColor="background1" w:themeShade="80"/>
          <w:lang w:val="en-GB"/>
        </w:rPr>
      </w:pPr>
      <w:r>
        <w:rPr>
          <w:rFonts w:ascii="Arial" w:hAnsi="Arial" w:cs="Arial"/>
          <w:b/>
          <w:lang w:val="en-GB"/>
        </w:rPr>
        <w:t>6</w:t>
      </w:r>
      <w:r w:rsidR="00354EF8" w:rsidRPr="00A532AE">
        <w:rPr>
          <w:rFonts w:ascii="Arial" w:hAnsi="Arial" w:cs="Arial"/>
          <w:b/>
          <w:lang w:val="en-GB"/>
        </w:rPr>
        <w:t xml:space="preserve">. </w:t>
      </w:r>
      <w:r w:rsidR="005230FE" w:rsidRPr="00A532AE">
        <w:rPr>
          <w:rFonts w:ascii="Arial" w:hAnsi="Arial" w:cs="Arial"/>
          <w:b/>
          <w:lang w:val="en-GB"/>
        </w:rPr>
        <w:t>R</w:t>
      </w:r>
      <w:r w:rsidR="00354EF8" w:rsidRPr="00A532AE">
        <w:rPr>
          <w:rFonts w:ascii="Arial" w:hAnsi="Arial" w:cs="Arial"/>
          <w:b/>
          <w:lang w:val="en-GB"/>
        </w:rPr>
        <w:t>eferences</w:t>
      </w:r>
    </w:p>
    <w:p w14:paraId="72B20CF8" w14:textId="27E7E2E7" w:rsidR="005230FE" w:rsidRPr="004D79AC" w:rsidRDefault="005230FE" w:rsidP="005230FE">
      <w:pPr>
        <w:spacing w:line="276" w:lineRule="auto"/>
        <w:jc w:val="both"/>
        <w:rPr>
          <w:lang w:val="en-GB"/>
        </w:rPr>
      </w:pPr>
    </w:p>
    <w:p w14:paraId="39D45F7A" w14:textId="77777777" w:rsidR="007D68F1" w:rsidRPr="004D79AC" w:rsidRDefault="007D68F1" w:rsidP="004D79AC">
      <w:pPr>
        <w:spacing w:after="120" w:line="276" w:lineRule="auto"/>
        <w:jc w:val="both"/>
        <w:rPr>
          <w:lang w:val="en-GB"/>
        </w:rPr>
      </w:pPr>
      <w:proofErr w:type="spellStart"/>
      <w:r w:rsidRPr="004D79AC">
        <w:rPr>
          <w:lang w:val="en-GB"/>
        </w:rPr>
        <w:t>Ascione</w:t>
      </w:r>
      <w:proofErr w:type="spellEnd"/>
      <w:r w:rsidRPr="004D79AC">
        <w:rPr>
          <w:lang w:val="en-GB"/>
        </w:rPr>
        <w:t xml:space="preserve">, F., Borrelli, M., De </w:t>
      </w:r>
      <w:proofErr w:type="spellStart"/>
      <w:r w:rsidRPr="004D79AC">
        <w:rPr>
          <w:lang w:val="en-GB"/>
        </w:rPr>
        <w:t>Masi</w:t>
      </w:r>
      <w:proofErr w:type="spellEnd"/>
      <w:r w:rsidRPr="004D79AC">
        <w:rPr>
          <w:lang w:val="en-GB"/>
        </w:rPr>
        <w:t xml:space="preserve">, R.F., de Rossi, F., </w:t>
      </w:r>
      <w:proofErr w:type="spellStart"/>
      <w:r w:rsidRPr="004D79AC">
        <w:rPr>
          <w:lang w:val="en-GB"/>
        </w:rPr>
        <w:t>Vanoli</w:t>
      </w:r>
      <w:proofErr w:type="spellEnd"/>
      <w:r w:rsidRPr="004D79AC">
        <w:rPr>
          <w:lang w:val="en-GB"/>
        </w:rPr>
        <w:t>, G.P., 2019. A framework for NZEB design in Mediterranean climate: Design, building and set-up monitoring of a lab-small villa. Solar Energy 184, 11–29.</w:t>
      </w:r>
    </w:p>
    <w:p w14:paraId="23C3906F" w14:textId="77777777" w:rsidR="007D68F1" w:rsidRPr="004D79AC" w:rsidRDefault="007D68F1" w:rsidP="004D79AC">
      <w:pPr>
        <w:spacing w:after="120" w:line="276" w:lineRule="auto"/>
        <w:jc w:val="both"/>
        <w:rPr>
          <w:lang w:val="en-GB"/>
        </w:rPr>
      </w:pPr>
      <w:proofErr w:type="spellStart"/>
      <w:r w:rsidRPr="004D79AC">
        <w:rPr>
          <w:lang w:val="en-GB"/>
        </w:rPr>
        <w:t>Baglivo</w:t>
      </w:r>
      <w:proofErr w:type="spellEnd"/>
      <w:r w:rsidRPr="004D79AC">
        <w:rPr>
          <w:lang w:val="en-GB"/>
        </w:rPr>
        <w:t xml:space="preserve">, C., </w:t>
      </w:r>
      <w:proofErr w:type="spellStart"/>
      <w:r w:rsidRPr="004D79AC">
        <w:rPr>
          <w:lang w:val="en-GB"/>
        </w:rPr>
        <w:t>Congedo</w:t>
      </w:r>
      <w:proofErr w:type="spellEnd"/>
      <w:r w:rsidRPr="004D79AC">
        <w:rPr>
          <w:lang w:val="en-GB"/>
        </w:rPr>
        <w:t xml:space="preserve">, P.M., D’Agostino, D., </w:t>
      </w:r>
      <w:proofErr w:type="spellStart"/>
      <w:r w:rsidRPr="004D79AC">
        <w:rPr>
          <w:lang w:val="en-GB"/>
        </w:rPr>
        <w:t>Zacà</w:t>
      </w:r>
      <w:proofErr w:type="spellEnd"/>
      <w:r w:rsidRPr="004D79AC">
        <w:rPr>
          <w:lang w:val="en-GB"/>
        </w:rPr>
        <w:t>, I., 2015. Cost-optimal analysis and technical comparison between standard and high efficient mono-residential buildings in a warm climate. Energy 83, 560–575.</w:t>
      </w:r>
    </w:p>
    <w:p w14:paraId="3AAB7D54" w14:textId="77777777" w:rsidR="007D68F1" w:rsidRPr="004D79AC" w:rsidRDefault="007D68F1" w:rsidP="004D79AC">
      <w:pPr>
        <w:spacing w:after="120" w:line="276" w:lineRule="auto"/>
        <w:jc w:val="both"/>
        <w:rPr>
          <w:lang w:val="en-GB"/>
        </w:rPr>
      </w:pPr>
      <w:proofErr w:type="spellStart"/>
      <w:r w:rsidRPr="004D79AC">
        <w:rPr>
          <w:lang w:val="en-GB"/>
        </w:rPr>
        <w:t>Barthelmes</w:t>
      </w:r>
      <w:proofErr w:type="spellEnd"/>
      <w:r w:rsidRPr="004D79AC">
        <w:rPr>
          <w:lang w:val="en-GB"/>
        </w:rPr>
        <w:t xml:space="preserve">, V.M., </w:t>
      </w:r>
      <w:proofErr w:type="spellStart"/>
      <w:r w:rsidRPr="004D79AC">
        <w:rPr>
          <w:lang w:val="en-GB"/>
        </w:rPr>
        <w:t>Becchio</w:t>
      </w:r>
      <w:proofErr w:type="spellEnd"/>
      <w:r w:rsidRPr="004D79AC">
        <w:rPr>
          <w:lang w:val="en-GB"/>
        </w:rPr>
        <w:t xml:space="preserve">, C., </w:t>
      </w:r>
      <w:proofErr w:type="spellStart"/>
      <w:r w:rsidRPr="004D79AC">
        <w:rPr>
          <w:lang w:val="en-GB"/>
        </w:rPr>
        <w:t>Corgnati</w:t>
      </w:r>
      <w:proofErr w:type="spellEnd"/>
      <w:r w:rsidRPr="004D79AC">
        <w:rPr>
          <w:lang w:val="en-GB"/>
        </w:rPr>
        <w:t xml:space="preserve">, S.P., </w:t>
      </w:r>
      <w:proofErr w:type="spellStart"/>
      <w:r w:rsidRPr="004D79AC">
        <w:rPr>
          <w:lang w:val="en-GB"/>
        </w:rPr>
        <w:t>Guala</w:t>
      </w:r>
      <w:proofErr w:type="spellEnd"/>
      <w:r w:rsidRPr="004D79AC">
        <w:rPr>
          <w:lang w:val="en-GB"/>
        </w:rPr>
        <w:t xml:space="preserve">, C., </w:t>
      </w:r>
      <w:proofErr w:type="spellStart"/>
      <w:r w:rsidRPr="004D79AC">
        <w:rPr>
          <w:lang w:val="en-GB"/>
        </w:rPr>
        <w:t>Lequio</w:t>
      </w:r>
      <w:proofErr w:type="spellEnd"/>
      <w:r w:rsidRPr="004D79AC">
        <w:rPr>
          <w:lang w:val="en-GB"/>
        </w:rPr>
        <w:t xml:space="preserve">, M., 2015. Replicability of </w:t>
      </w:r>
      <w:proofErr w:type="spellStart"/>
      <w:r w:rsidRPr="004D79AC">
        <w:rPr>
          <w:lang w:val="en-GB"/>
        </w:rPr>
        <w:t>nZEBs</w:t>
      </w:r>
      <w:proofErr w:type="spellEnd"/>
      <w:r w:rsidRPr="004D79AC">
        <w:rPr>
          <w:lang w:val="en-GB"/>
        </w:rPr>
        <w:t xml:space="preserve"> on real estate market in Mediterranean countries. Energy Procedia 82, 452–457.</w:t>
      </w:r>
    </w:p>
    <w:p w14:paraId="463FCD05" w14:textId="77777777" w:rsidR="007D68F1" w:rsidRPr="004D79AC" w:rsidRDefault="007D68F1" w:rsidP="004D79AC">
      <w:pPr>
        <w:spacing w:after="120" w:line="276" w:lineRule="auto"/>
        <w:jc w:val="both"/>
        <w:rPr>
          <w:lang w:val="en-GB"/>
        </w:rPr>
      </w:pPr>
      <w:proofErr w:type="spellStart"/>
      <w:r w:rsidRPr="004D79AC">
        <w:rPr>
          <w:lang w:val="en-GB"/>
        </w:rPr>
        <w:t>Eksi</w:t>
      </w:r>
      <w:proofErr w:type="spellEnd"/>
      <w:r w:rsidRPr="004D79AC">
        <w:rPr>
          <w:lang w:val="en-GB"/>
        </w:rPr>
        <w:t xml:space="preserve">, M., </w:t>
      </w:r>
      <w:proofErr w:type="spellStart"/>
      <w:r w:rsidRPr="004D79AC">
        <w:rPr>
          <w:lang w:val="en-GB"/>
        </w:rPr>
        <w:t>Ozcan</w:t>
      </w:r>
      <w:proofErr w:type="spellEnd"/>
      <w:r w:rsidRPr="004D79AC">
        <w:rPr>
          <w:lang w:val="en-GB"/>
        </w:rPr>
        <w:t>, M., 2025. Towards nearly zero energy buildings: Energy and environmental analysis of retrofit scenarios for a residential building in Izmir. Engineering Research Express 7 (2), 025339.</w:t>
      </w:r>
    </w:p>
    <w:p w14:paraId="296B86A3" w14:textId="77777777" w:rsidR="007D68F1" w:rsidRPr="004D79AC" w:rsidRDefault="007D68F1" w:rsidP="004D79AC">
      <w:pPr>
        <w:spacing w:after="120" w:line="276" w:lineRule="auto"/>
        <w:jc w:val="both"/>
        <w:rPr>
          <w:lang w:val="en-GB"/>
        </w:rPr>
      </w:pPr>
      <w:r w:rsidRPr="004D79AC">
        <w:rPr>
          <w:lang w:val="en-GB"/>
        </w:rPr>
        <w:t>European Parliament, Council of the European Union, 2010. Energy Performance of Buildings Directive (EPBD) 2010/31/EU of the European Parliament and of the Council of 19 May 2010 on the energy performance of buildings (recast). Official Journal of the European Union, Brussels, Belgium. Revised 2018.</w:t>
      </w:r>
    </w:p>
    <w:p w14:paraId="5D4ADC20" w14:textId="77777777" w:rsidR="007D68F1" w:rsidRPr="004D79AC" w:rsidRDefault="007D68F1" w:rsidP="004D79AC">
      <w:pPr>
        <w:spacing w:after="120" w:line="276" w:lineRule="auto"/>
        <w:jc w:val="both"/>
        <w:rPr>
          <w:lang w:val="en-GB"/>
        </w:rPr>
      </w:pPr>
      <w:proofErr w:type="spellStart"/>
      <w:r w:rsidRPr="004D79AC">
        <w:rPr>
          <w:lang w:val="en-GB"/>
        </w:rPr>
        <w:t>Hamdy</w:t>
      </w:r>
      <w:proofErr w:type="spellEnd"/>
      <w:r w:rsidRPr="004D79AC">
        <w:rPr>
          <w:lang w:val="en-GB"/>
        </w:rPr>
        <w:t>, M., Hasan, A., Siren, K., 2013. A multi-stage optimization method for cost-optimal and nearly-zero-energy building solutions in line with the EPBD-recast 2010. Energy and Buildings 56, 189–203.</w:t>
      </w:r>
    </w:p>
    <w:p w14:paraId="798B5BF4" w14:textId="77777777" w:rsidR="007D68F1" w:rsidRPr="004D79AC" w:rsidRDefault="007D68F1" w:rsidP="004D79AC">
      <w:pPr>
        <w:spacing w:after="120" w:line="276" w:lineRule="auto"/>
        <w:jc w:val="both"/>
        <w:rPr>
          <w:lang w:val="en-GB"/>
        </w:rPr>
      </w:pPr>
      <w:proofErr w:type="spellStart"/>
      <w:r w:rsidRPr="004D79AC">
        <w:rPr>
          <w:lang w:val="en-GB"/>
        </w:rPr>
        <w:t>Keček</w:t>
      </w:r>
      <w:proofErr w:type="spellEnd"/>
      <w:r w:rsidRPr="004D79AC">
        <w:rPr>
          <w:lang w:val="en-GB"/>
        </w:rPr>
        <w:t>, D., 2023. The effects of rising energy prices on inflation in Croatia. Energies 16 (4), 1583.</w:t>
      </w:r>
    </w:p>
    <w:p w14:paraId="0CB4F864" w14:textId="77777777" w:rsidR="007D68F1" w:rsidRPr="004D79AC" w:rsidRDefault="007D68F1" w:rsidP="004D79AC">
      <w:pPr>
        <w:spacing w:after="120" w:line="276" w:lineRule="auto"/>
        <w:jc w:val="both"/>
        <w:rPr>
          <w:lang w:val="en-GB"/>
        </w:rPr>
      </w:pPr>
      <w:proofErr w:type="spellStart"/>
      <w:r w:rsidRPr="004D79AC">
        <w:rPr>
          <w:lang w:val="en-GB"/>
        </w:rPr>
        <w:t>Meteonorm</w:t>
      </w:r>
      <w:proofErr w:type="spellEnd"/>
      <w:r w:rsidRPr="004D79AC">
        <w:rPr>
          <w:lang w:val="en-GB"/>
        </w:rPr>
        <w:t xml:space="preserve">, 2012. </w:t>
      </w:r>
      <w:proofErr w:type="spellStart"/>
      <w:r w:rsidRPr="004D79AC">
        <w:rPr>
          <w:lang w:val="en-GB"/>
        </w:rPr>
        <w:t>Meteonorm</w:t>
      </w:r>
      <w:proofErr w:type="spellEnd"/>
      <w:r w:rsidRPr="004D79AC">
        <w:rPr>
          <w:lang w:val="en-GB"/>
        </w:rPr>
        <w:t xml:space="preserve">—Global Meteorological Database. </w:t>
      </w:r>
      <w:proofErr w:type="spellStart"/>
      <w:r w:rsidRPr="004D79AC">
        <w:rPr>
          <w:lang w:val="en-GB"/>
        </w:rPr>
        <w:t>Meteotest</w:t>
      </w:r>
      <w:proofErr w:type="spellEnd"/>
      <w:r w:rsidRPr="004D79AC">
        <w:rPr>
          <w:lang w:val="en-GB"/>
        </w:rPr>
        <w:t>, Bern, Switzerland.</w:t>
      </w:r>
    </w:p>
    <w:p w14:paraId="2B5AC960" w14:textId="37D8D63B" w:rsidR="007D68F1" w:rsidRPr="004D79AC" w:rsidRDefault="007D68F1" w:rsidP="004D79AC">
      <w:pPr>
        <w:spacing w:after="120" w:line="276" w:lineRule="auto"/>
        <w:jc w:val="both"/>
        <w:rPr>
          <w:lang w:val="en-GB"/>
        </w:rPr>
      </w:pPr>
      <w:r w:rsidRPr="004D79AC">
        <w:rPr>
          <w:lang w:val="en-GB"/>
        </w:rPr>
        <w:t>Primary energy factors and CO</w:t>
      </w:r>
      <w:r w:rsidRPr="00061A52">
        <w:rPr>
          <w:vertAlign w:val="subscript"/>
          <w:lang w:val="en-GB"/>
        </w:rPr>
        <w:t>2</w:t>
      </w:r>
      <w:r w:rsidRPr="004D79AC">
        <w:rPr>
          <w:lang w:val="en-GB"/>
        </w:rPr>
        <w:t xml:space="preserve"> emission factors [</w:t>
      </w:r>
      <w:proofErr w:type="spellStart"/>
      <w:r w:rsidRPr="004D79AC">
        <w:rPr>
          <w:lang w:val="en-GB"/>
        </w:rPr>
        <w:t>Faktori</w:t>
      </w:r>
      <w:proofErr w:type="spellEnd"/>
      <w:r w:rsidRPr="004D79AC">
        <w:rPr>
          <w:lang w:val="en-GB"/>
        </w:rPr>
        <w:t xml:space="preserve"> </w:t>
      </w:r>
      <w:proofErr w:type="spellStart"/>
      <w:r w:rsidRPr="004D79AC">
        <w:rPr>
          <w:lang w:val="en-GB"/>
        </w:rPr>
        <w:t>primarne</w:t>
      </w:r>
      <w:proofErr w:type="spellEnd"/>
      <w:r w:rsidRPr="004D79AC">
        <w:rPr>
          <w:lang w:val="en-GB"/>
        </w:rPr>
        <w:t xml:space="preserve"> </w:t>
      </w:r>
      <w:proofErr w:type="spellStart"/>
      <w:r w:rsidRPr="004D79AC">
        <w:rPr>
          <w:lang w:val="en-GB"/>
        </w:rPr>
        <w:t>energije</w:t>
      </w:r>
      <w:proofErr w:type="spellEnd"/>
      <w:r w:rsidRPr="004D79AC">
        <w:rPr>
          <w:lang w:val="en-GB"/>
        </w:rPr>
        <w:t xml:space="preserve"> </w:t>
      </w:r>
      <w:proofErr w:type="spellStart"/>
      <w:r w:rsidRPr="004D79AC">
        <w:rPr>
          <w:lang w:val="en-GB"/>
        </w:rPr>
        <w:t>i</w:t>
      </w:r>
      <w:proofErr w:type="spellEnd"/>
      <w:r w:rsidRPr="004D79AC">
        <w:rPr>
          <w:lang w:val="en-GB"/>
        </w:rPr>
        <w:t xml:space="preserve"> </w:t>
      </w:r>
      <w:proofErr w:type="spellStart"/>
      <w:r w:rsidRPr="004D79AC">
        <w:rPr>
          <w:lang w:val="en-GB"/>
        </w:rPr>
        <w:t>emisija</w:t>
      </w:r>
      <w:proofErr w:type="spellEnd"/>
      <w:r w:rsidRPr="004D79AC">
        <w:rPr>
          <w:lang w:val="en-GB"/>
        </w:rPr>
        <w:t xml:space="preserve"> CO</w:t>
      </w:r>
      <w:r w:rsidRPr="00061A52">
        <w:rPr>
          <w:vertAlign w:val="subscript"/>
          <w:lang w:val="en-GB"/>
        </w:rPr>
        <w:t>2</w:t>
      </w:r>
      <w:r w:rsidRPr="004D79AC">
        <w:rPr>
          <w:lang w:val="en-GB"/>
        </w:rPr>
        <w:t xml:space="preserve">], n.d. Available online: </w:t>
      </w:r>
      <w:r w:rsidR="001756B6">
        <w:rPr>
          <w:lang w:val="en-GB"/>
        </w:rPr>
        <w:t>h</w:t>
      </w:r>
      <w:r w:rsidRPr="004D79AC">
        <w:rPr>
          <w:lang w:val="en-GB"/>
        </w:rPr>
        <w:t>ttps://mpgi.gov.hr/UserDocsImages/dokumenti/EnergetskaUcinkovitost/meteoroloski_podaci/</w:t>
      </w:r>
      <w:r w:rsidR="001756B6">
        <w:rPr>
          <w:lang w:val="en-GB"/>
        </w:rPr>
        <w:br/>
      </w:r>
      <w:r w:rsidRPr="004D79AC">
        <w:rPr>
          <w:lang w:val="en-GB"/>
        </w:rPr>
        <w:t>FAKTORI_primarne_energije.pdf (accessed 12 May 2026).</w:t>
      </w:r>
    </w:p>
    <w:p w14:paraId="06DE3871" w14:textId="77777777" w:rsidR="007D68F1" w:rsidRPr="004D79AC" w:rsidRDefault="007D68F1" w:rsidP="004D79AC">
      <w:pPr>
        <w:spacing w:after="120" w:line="276" w:lineRule="auto"/>
        <w:jc w:val="both"/>
        <w:rPr>
          <w:lang w:val="en-GB"/>
        </w:rPr>
      </w:pPr>
      <w:proofErr w:type="spellStart"/>
      <w:r w:rsidRPr="004D79AC">
        <w:rPr>
          <w:lang w:val="en-GB"/>
        </w:rPr>
        <w:t>Recknagel</w:t>
      </w:r>
      <w:proofErr w:type="spellEnd"/>
      <w:r w:rsidRPr="004D79AC">
        <w:rPr>
          <w:lang w:val="en-GB"/>
        </w:rPr>
        <w:t xml:space="preserve">, E., Sprenger, H., </w:t>
      </w:r>
      <w:proofErr w:type="spellStart"/>
      <w:r w:rsidRPr="004D79AC">
        <w:rPr>
          <w:lang w:val="en-GB"/>
        </w:rPr>
        <w:t>Schramek</w:t>
      </w:r>
      <w:proofErr w:type="spellEnd"/>
      <w:r w:rsidRPr="004D79AC">
        <w:rPr>
          <w:lang w:val="en-GB"/>
        </w:rPr>
        <w:t xml:space="preserve">, E.-R., 2007. </w:t>
      </w:r>
      <w:proofErr w:type="spellStart"/>
      <w:r w:rsidRPr="004D79AC">
        <w:rPr>
          <w:lang w:val="en-GB"/>
        </w:rPr>
        <w:t>Taschenbuch</w:t>
      </w:r>
      <w:proofErr w:type="spellEnd"/>
      <w:r w:rsidRPr="004D79AC">
        <w:rPr>
          <w:lang w:val="en-GB"/>
        </w:rPr>
        <w:t xml:space="preserve"> </w:t>
      </w:r>
      <w:proofErr w:type="spellStart"/>
      <w:r w:rsidRPr="004D79AC">
        <w:rPr>
          <w:lang w:val="en-GB"/>
        </w:rPr>
        <w:t>für</w:t>
      </w:r>
      <w:proofErr w:type="spellEnd"/>
      <w:r w:rsidRPr="004D79AC">
        <w:rPr>
          <w:lang w:val="en-GB"/>
        </w:rPr>
        <w:t xml:space="preserve"> </w:t>
      </w:r>
      <w:proofErr w:type="spellStart"/>
      <w:r w:rsidRPr="004D79AC">
        <w:rPr>
          <w:lang w:val="en-GB"/>
        </w:rPr>
        <w:t>Heizung</w:t>
      </w:r>
      <w:proofErr w:type="spellEnd"/>
      <w:r w:rsidRPr="004D79AC">
        <w:rPr>
          <w:lang w:val="en-GB"/>
        </w:rPr>
        <w:t xml:space="preserve"> und </w:t>
      </w:r>
      <w:proofErr w:type="spellStart"/>
      <w:r w:rsidRPr="004D79AC">
        <w:rPr>
          <w:lang w:val="en-GB"/>
        </w:rPr>
        <w:t>Klimatechnik</w:t>
      </w:r>
      <w:proofErr w:type="spellEnd"/>
      <w:r w:rsidRPr="004D79AC">
        <w:rPr>
          <w:lang w:val="en-GB"/>
        </w:rPr>
        <w:t xml:space="preserve">. </w:t>
      </w:r>
      <w:proofErr w:type="spellStart"/>
      <w:r w:rsidRPr="004D79AC">
        <w:rPr>
          <w:lang w:val="en-GB"/>
        </w:rPr>
        <w:t>Oldenbourg</w:t>
      </w:r>
      <w:proofErr w:type="spellEnd"/>
      <w:r w:rsidRPr="004D79AC">
        <w:rPr>
          <w:lang w:val="en-GB"/>
        </w:rPr>
        <w:t xml:space="preserve"> </w:t>
      </w:r>
      <w:proofErr w:type="spellStart"/>
      <w:r w:rsidRPr="004D79AC">
        <w:rPr>
          <w:lang w:val="en-GB"/>
        </w:rPr>
        <w:t>Industrieverlag</w:t>
      </w:r>
      <w:proofErr w:type="spellEnd"/>
      <w:r w:rsidRPr="004D79AC">
        <w:rPr>
          <w:lang w:val="en-GB"/>
        </w:rPr>
        <w:t>, München, Germany.</w:t>
      </w:r>
    </w:p>
    <w:p w14:paraId="1539106F" w14:textId="77777777" w:rsidR="007D68F1" w:rsidRPr="004D79AC" w:rsidRDefault="007D68F1" w:rsidP="004D79AC">
      <w:pPr>
        <w:spacing w:after="120" w:line="276" w:lineRule="auto"/>
        <w:jc w:val="both"/>
        <w:rPr>
          <w:lang w:val="en-GB"/>
        </w:rPr>
      </w:pPr>
      <w:proofErr w:type="spellStart"/>
      <w:r w:rsidRPr="004D79AC">
        <w:rPr>
          <w:lang w:val="en-GB"/>
        </w:rPr>
        <w:t>Slijepčević</w:t>
      </w:r>
      <w:proofErr w:type="spellEnd"/>
      <w:r w:rsidRPr="004D79AC">
        <w:rPr>
          <w:lang w:val="en-GB"/>
        </w:rPr>
        <w:t xml:space="preserve">, S., </w:t>
      </w:r>
      <w:proofErr w:type="spellStart"/>
      <w:r w:rsidRPr="004D79AC">
        <w:rPr>
          <w:lang w:val="en-GB"/>
        </w:rPr>
        <w:t>Mikulić</w:t>
      </w:r>
      <w:proofErr w:type="spellEnd"/>
      <w:r w:rsidRPr="004D79AC">
        <w:rPr>
          <w:lang w:val="en-GB"/>
        </w:rPr>
        <w:t>, D., Horvat, K., 2019. Evaluation of the cost-effectiveness of the installation of heat-cost allocators in multifamily buildings in Croatia. Energies 12 (3), 507.</w:t>
      </w:r>
    </w:p>
    <w:p w14:paraId="0E1CAC76" w14:textId="77777777" w:rsidR="007D68F1" w:rsidRPr="004D79AC" w:rsidRDefault="007D68F1" w:rsidP="004D79AC">
      <w:pPr>
        <w:spacing w:after="120" w:line="276" w:lineRule="auto"/>
        <w:jc w:val="both"/>
        <w:rPr>
          <w:lang w:val="en-GB"/>
        </w:rPr>
      </w:pPr>
      <w:r w:rsidRPr="004D79AC">
        <w:rPr>
          <w:lang w:val="en-GB"/>
        </w:rPr>
        <w:t>Technical Regulation on the Rational Use of Energy and Thermal Insulation in Buildings [</w:t>
      </w:r>
      <w:proofErr w:type="spellStart"/>
      <w:r w:rsidRPr="004D79AC">
        <w:rPr>
          <w:lang w:val="en-GB"/>
        </w:rPr>
        <w:t>Tehnički</w:t>
      </w:r>
      <w:proofErr w:type="spellEnd"/>
      <w:r w:rsidRPr="004D79AC">
        <w:rPr>
          <w:lang w:val="en-GB"/>
        </w:rPr>
        <w:t xml:space="preserve"> </w:t>
      </w:r>
      <w:proofErr w:type="spellStart"/>
      <w:r w:rsidRPr="004D79AC">
        <w:rPr>
          <w:lang w:val="en-GB"/>
        </w:rPr>
        <w:t>propis</w:t>
      </w:r>
      <w:proofErr w:type="spellEnd"/>
      <w:r w:rsidRPr="004D79AC">
        <w:rPr>
          <w:lang w:val="en-GB"/>
        </w:rPr>
        <w:t xml:space="preserve"> o </w:t>
      </w:r>
      <w:proofErr w:type="spellStart"/>
      <w:r w:rsidRPr="004D79AC">
        <w:rPr>
          <w:lang w:val="en-GB"/>
        </w:rPr>
        <w:t>racionalnoj</w:t>
      </w:r>
      <w:proofErr w:type="spellEnd"/>
      <w:r w:rsidRPr="004D79AC">
        <w:rPr>
          <w:lang w:val="en-GB"/>
        </w:rPr>
        <w:t xml:space="preserve"> </w:t>
      </w:r>
      <w:proofErr w:type="spellStart"/>
      <w:r w:rsidRPr="004D79AC">
        <w:rPr>
          <w:lang w:val="en-GB"/>
        </w:rPr>
        <w:t>uporabi</w:t>
      </w:r>
      <w:proofErr w:type="spellEnd"/>
      <w:r w:rsidRPr="004D79AC">
        <w:rPr>
          <w:lang w:val="en-GB"/>
        </w:rPr>
        <w:t xml:space="preserve"> </w:t>
      </w:r>
      <w:proofErr w:type="spellStart"/>
      <w:r w:rsidRPr="004D79AC">
        <w:rPr>
          <w:lang w:val="en-GB"/>
        </w:rPr>
        <w:t>energije</w:t>
      </w:r>
      <w:proofErr w:type="spellEnd"/>
      <w:r w:rsidRPr="004D79AC">
        <w:rPr>
          <w:lang w:val="en-GB"/>
        </w:rPr>
        <w:t xml:space="preserve"> </w:t>
      </w:r>
      <w:proofErr w:type="spellStart"/>
      <w:r w:rsidRPr="004D79AC">
        <w:rPr>
          <w:lang w:val="en-GB"/>
        </w:rPr>
        <w:t>i</w:t>
      </w:r>
      <w:proofErr w:type="spellEnd"/>
      <w:r w:rsidRPr="004D79AC">
        <w:rPr>
          <w:lang w:val="en-GB"/>
        </w:rPr>
        <w:t xml:space="preserve"> </w:t>
      </w:r>
      <w:proofErr w:type="spellStart"/>
      <w:r w:rsidRPr="004D79AC">
        <w:rPr>
          <w:lang w:val="en-GB"/>
        </w:rPr>
        <w:t>toplinskoj</w:t>
      </w:r>
      <w:proofErr w:type="spellEnd"/>
      <w:r w:rsidRPr="004D79AC">
        <w:rPr>
          <w:lang w:val="en-GB"/>
        </w:rPr>
        <w:t xml:space="preserve"> </w:t>
      </w:r>
      <w:proofErr w:type="spellStart"/>
      <w:r w:rsidRPr="004D79AC">
        <w:rPr>
          <w:lang w:val="en-GB"/>
        </w:rPr>
        <w:t>zaštiti</w:t>
      </w:r>
      <w:proofErr w:type="spellEnd"/>
      <w:r w:rsidRPr="004D79AC">
        <w:rPr>
          <w:lang w:val="en-GB"/>
        </w:rPr>
        <w:t xml:space="preserve"> u </w:t>
      </w:r>
      <w:proofErr w:type="spellStart"/>
      <w:r w:rsidRPr="004D79AC">
        <w:rPr>
          <w:lang w:val="en-GB"/>
        </w:rPr>
        <w:t>zgradama</w:t>
      </w:r>
      <w:proofErr w:type="spellEnd"/>
      <w:r w:rsidRPr="004D79AC">
        <w:rPr>
          <w:lang w:val="en-GB"/>
        </w:rPr>
        <w:t xml:space="preserve">], 2020. </w:t>
      </w:r>
      <w:proofErr w:type="spellStart"/>
      <w:r w:rsidRPr="004D79AC">
        <w:rPr>
          <w:lang w:val="en-GB"/>
        </w:rPr>
        <w:t>Narodne</w:t>
      </w:r>
      <w:proofErr w:type="spellEnd"/>
      <w:r w:rsidRPr="004D79AC">
        <w:rPr>
          <w:lang w:val="en-GB"/>
        </w:rPr>
        <w:t xml:space="preserve"> </w:t>
      </w:r>
      <w:proofErr w:type="spellStart"/>
      <w:r w:rsidRPr="004D79AC">
        <w:rPr>
          <w:lang w:val="en-GB"/>
        </w:rPr>
        <w:t>novine</w:t>
      </w:r>
      <w:proofErr w:type="spellEnd"/>
      <w:r w:rsidRPr="004D79AC">
        <w:rPr>
          <w:lang w:val="en-GB"/>
        </w:rPr>
        <w:t xml:space="preserve"> 128/15, 70/18, 73/18, 86/18, 102/20.</w:t>
      </w:r>
    </w:p>
    <w:p w14:paraId="0C6239CE" w14:textId="77777777" w:rsidR="007D68F1" w:rsidRPr="004D79AC" w:rsidRDefault="007D68F1" w:rsidP="004D79AC">
      <w:pPr>
        <w:spacing w:after="120" w:line="276" w:lineRule="auto"/>
        <w:jc w:val="both"/>
        <w:rPr>
          <w:lang w:val="en-GB"/>
        </w:rPr>
      </w:pPr>
      <w:r w:rsidRPr="004D79AC">
        <w:rPr>
          <w:lang w:val="en-GB"/>
        </w:rPr>
        <w:t>United Nations, 2015. Transforming our world: The 2030 Agenda for Sustainable Development (A/RES/70/1). United Nations General Assembly, New York.</w:t>
      </w:r>
    </w:p>
    <w:p w14:paraId="38A6B8E3" w14:textId="77777777" w:rsidR="007D68F1" w:rsidRPr="004D79AC" w:rsidRDefault="007D68F1" w:rsidP="004D79AC">
      <w:pPr>
        <w:spacing w:after="120" w:line="276" w:lineRule="auto"/>
        <w:jc w:val="both"/>
        <w:rPr>
          <w:lang w:val="en-GB"/>
        </w:rPr>
      </w:pPr>
      <w:r w:rsidRPr="004D79AC">
        <w:rPr>
          <w:lang w:val="en-GB"/>
        </w:rPr>
        <w:t>United Nations Department of Economic and Social Affairs, n.d. Sustainable Development Goal 7: Affordable and clean energy. Available online: https://sdgs.un.org/goals/goal7 (accessed 12 May 2026).</w:t>
      </w:r>
    </w:p>
    <w:p w14:paraId="05F89210" w14:textId="471CB3AA" w:rsidR="007D68F1" w:rsidRPr="004D79AC" w:rsidRDefault="007D68F1" w:rsidP="004D79AC">
      <w:pPr>
        <w:spacing w:after="120" w:line="276" w:lineRule="auto"/>
        <w:jc w:val="both"/>
        <w:rPr>
          <w:lang w:val="en-GB"/>
        </w:rPr>
      </w:pPr>
      <w:r w:rsidRPr="004D79AC">
        <w:rPr>
          <w:lang w:val="en-GB"/>
        </w:rPr>
        <w:t>Zhen, X., Jiao, R., Li, S., Wu, W., Peng, J., 2025. Analysis of building envelope for energy consumption and indoor comfort in a near-zero-energy building in Northwest China. Results in Engineering 104243. https://doi.org/10.1016/j.rineng.2025.104243</w:t>
      </w:r>
    </w:p>
    <w:sectPr w:rsidR="007D68F1" w:rsidRPr="004D79AC" w:rsidSect="000C14E7">
      <w:pgSz w:w="11906" w:h="16838" w:code="9"/>
      <w:pgMar w:top="1701" w:right="1440" w:bottom="1440" w:left="1701"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DE4C25" w16cex:dateUtc="2026-06-18T08:51:00Z"/>
  <w16cex:commentExtensible w16cex:durableId="2DE903E0" w16cex:dateUtc="2026-06-26T11:57:00Z"/>
  <w16cex:commentExtensible w16cex:durableId="2DE9053F" w16cex:dateUtc="2026-06-26T12:03:00Z"/>
  <w16cex:commentExtensible w16cex:durableId="2DE90477" w16cex:dateUtc="2026-06-26T12:00:00Z"/>
  <w16cex:commentExtensible w16cex:durableId="2DE904F4" w16cex:dateUtc="2026-06-26T12:02: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Prop BT">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RO_Swiss_Light-Normal">
    <w:altName w:val="Times New Roman"/>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D56252"/>
    <w:multiLevelType w:val="hybridMultilevel"/>
    <w:tmpl w:val="7E0E70DA"/>
    <w:lvl w:ilvl="0" w:tplc="59B6EF22">
      <w:start w:val="1"/>
      <w:numFmt w:val="decimal"/>
      <w:lvlText w:val="%1)"/>
      <w:lvlJc w:val="left"/>
      <w:pPr>
        <w:ind w:left="502" w:hanging="360"/>
      </w:pPr>
      <w:rPr>
        <w:rFonts w:ascii="Trebuchet MS" w:hAnsi="Trebuchet MS" w:hint="default"/>
        <w:b w:val="0"/>
        <w:i w:val="0"/>
        <w:w w:val="100"/>
        <w:sz w:val="22"/>
        <w:szCs w:val="24"/>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2" w15:restartNumberingAfterBreak="0">
    <w:nsid w:val="0B9D4237"/>
    <w:multiLevelType w:val="hybridMultilevel"/>
    <w:tmpl w:val="D79E64AA"/>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 w15:restartNumberingAfterBreak="0">
    <w:nsid w:val="13E156FF"/>
    <w:multiLevelType w:val="singleLevel"/>
    <w:tmpl w:val="E4A42446"/>
    <w:lvl w:ilvl="0">
      <w:start w:val="1"/>
      <w:numFmt w:val="decimal"/>
      <w:lvlText w:val="%1"/>
      <w:legacy w:legacy="1" w:legacySpace="0" w:legacyIndent="340"/>
      <w:lvlJc w:val="left"/>
      <w:pPr>
        <w:ind w:left="340" w:hanging="340"/>
      </w:pPr>
    </w:lvl>
  </w:abstractNum>
  <w:abstractNum w:abstractNumId="4" w15:restartNumberingAfterBreak="0">
    <w:nsid w:val="1FF40C18"/>
    <w:multiLevelType w:val="hybridMultilevel"/>
    <w:tmpl w:val="3CDC2AD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 w15:restartNumberingAfterBreak="0">
    <w:nsid w:val="25F96D29"/>
    <w:multiLevelType w:val="hybridMultilevel"/>
    <w:tmpl w:val="0F405ACA"/>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6392067"/>
    <w:multiLevelType w:val="hybridMultilevel"/>
    <w:tmpl w:val="B192BAB6"/>
    <w:lvl w:ilvl="0" w:tplc="971CABFC">
      <w:start w:val="1"/>
      <w:numFmt w:val="bullet"/>
      <w:lvlText w:val=""/>
      <w:lvlJc w:val="left"/>
      <w:pPr>
        <w:ind w:left="360" w:hanging="360"/>
      </w:pPr>
      <w:rPr>
        <w:rFonts w:ascii="Symbol" w:hAnsi="Symbol" w:hint="default"/>
        <w:b w:val="0"/>
        <w:bCs w:val="0"/>
        <w:i w:val="0"/>
        <w:iCs w:val="0"/>
        <w:color w:val="auto"/>
        <w:spacing w:val="0"/>
        <w:w w:val="100"/>
        <w:position w:val="0"/>
        <w:sz w:val="16"/>
        <w:szCs w:val="22"/>
        <w:u w:val="none"/>
        <w:effect w:val="none"/>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15:restartNumberingAfterBreak="0">
    <w:nsid w:val="28FC0190"/>
    <w:multiLevelType w:val="hybridMultilevel"/>
    <w:tmpl w:val="37DC452A"/>
    <w:lvl w:ilvl="0" w:tplc="D8A24590">
      <w:start w:val="1"/>
      <w:numFmt w:val="decimal"/>
      <w:lvlText w:val="%1)"/>
      <w:lvlJc w:val="left"/>
      <w:pPr>
        <w:ind w:left="502" w:hanging="360"/>
      </w:pPr>
      <w:rPr>
        <w:rFonts w:ascii="Times New Roman" w:hAnsi="Times New Roman" w:hint="default"/>
        <w:b w:val="0"/>
        <w:i w:val="0"/>
        <w:w w:val="100"/>
        <w:sz w:val="20"/>
        <w:szCs w:val="24"/>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8" w15:restartNumberingAfterBreak="0">
    <w:nsid w:val="2FD25960"/>
    <w:multiLevelType w:val="hybridMultilevel"/>
    <w:tmpl w:val="DE6A1B8E"/>
    <w:lvl w:ilvl="0" w:tplc="041A000B">
      <w:start w:val="1"/>
      <w:numFmt w:val="bullet"/>
      <w:lvlText w:val=""/>
      <w:lvlJc w:val="left"/>
      <w:pPr>
        <w:ind w:left="720" w:hanging="360"/>
      </w:pPr>
      <w:rPr>
        <w:rFonts w:ascii="Wingdings" w:hAnsi="Wingdings" w:hint="default"/>
      </w:rPr>
    </w:lvl>
    <w:lvl w:ilvl="1" w:tplc="C42EAAEC">
      <w:start w:val="5"/>
      <w:numFmt w:val="bullet"/>
      <w:lvlText w:val="-"/>
      <w:lvlJc w:val="left"/>
      <w:pPr>
        <w:ind w:left="1440" w:hanging="360"/>
      </w:pPr>
      <w:rPr>
        <w:rFonts w:ascii="Arial" w:eastAsia="Times New Roman"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C554584"/>
    <w:multiLevelType w:val="singleLevel"/>
    <w:tmpl w:val="BB786848"/>
    <w:lvl w:ilvl="0">
      <w:start w:val="1"/>
      <w:numFmt w:val="decimal"/>
      <w:lvlText w:val="[%1]"/>
      <w:lvlJc w:val="left"/>
      <w:pPr>
        <w:ind w:left="360" w:hanging="360"/>
      </w:pPr>
      <w:rPr>
        <w:rFonts w:hint="default"/>
      </w:rPr>
    </w:lvl>
  </w:abstractNum>
  <w:abstractNum w:abstractNumId="10" w15:restartNumberingAfterBreak="0">
    <w:nsid w:val="48B47568"/>
    <w:multiLevelType w:val="hybridMultilevel"/>
    <w:tmpl w:val="30F6A898"/>
    <w:lvl w:ilvl="0" w:tplc="1AAA4256">
      <w:start w:val="1"/>
      <w:numFmt w:val="decimal"/>
      <w:lvlText w:val="%1."/>
      <w:lvlJc w:val="left"/>
      <w:pPr>
        <w:ind w:left="717" w:hanging="360"/>
      </w:pPr>
      <w:rPr>
        <w:rFonts w:hint="default"/>
      </w:rPr>
    </w:lvl>
    <w:lvl w:ilvl="1" w:tplc="041A0019" w:tentative="1">
      <w:start w:val="1"/>
      <w:numFmt w:val="lowerLetter"/>
      <w:lvlText w:val="%2."/>
      <w:lvlJc w:val="left"/>
      <w:pPr>
        <w:ind w:left="1437" w:hanging="360"/>
      </w:pPr>
    </w:lvl>
    <w:lvl w:ilvl="2" w:tplc="041A001B" w:tentative="1">
      <w:start w:val="1"/>
      <w:numFmt w:val="lowerRoman"/>
      <w:lvlText w:val="%3."/>
      <w:lvlJc w:val="right"/>
      <w:pPr>
        <w:ind w:left="2157" w:hanging="180"/>
      </w:pPr>
    </w:lvl>
    <w:lvl w:ilvl="3" w:tplc="041A000F" w:tentative="1">
      <w:start w:val="1"/>
      <w:numFmt w:val="decimal"/>
      <w:lvlText w:val="%4."/>
      <w:lvlJc w:val="left"/>
      <w:pPr>
        <w:ind w:left="2877" w:hanging="360"/>
      </w:pPr>
    </w:lvl>
    <w:lvl w:ilvl="4" w:tplc="041A0019" w:tentative="1">
      <w:start w:val="1"/>
      <w:numFmt w:val="lowerLetter"/>
      <w:lvlText w:val="%5."/>
      <w:lvlJc w:val="left"/>
      <w:pPr>
        <w:ind w:left="3597" w:hanging="360"/>
      </w:pPr>
    </w:lvl>
    <w:lvl w:ilvl="5" w:tplc="041A001B" w:tentative="1">
      <w:start w:val="1"/>
      <w:numFmt w:val="lowerRoman"/>
      <w:lvlText w:val="%6."/>
      <w:lvlJc w:val="right"/>
      <w:pPr>
        <w:ind w:left="4317" w:hanging="180"/>
      </w:pPr>
    </w:lvl>
    <w:lvl w:ilvl="6" w:tplc="041A000F" w:tentative="1">
      <w:start w:val="1"/>
      <w:numFmt w:val="decimal"/>
      <w:lvlText w:val="%7."/>
      <w:lvlJc w:val="left"/>
      <w:pPr>
        <w:ind w:left="5037" w:hanging="360"/>
      </w:pPr>
    </w:lvl>
    <w:lvl w:ilvl="7" w:tplc="041A0019" w:tentative="1">
      <w:start w:val="1"/>
      <w:numFmt w:val="lowerLetter"/>
      <w:lvlText w:val="%8."/>
      <w:lvlJc w:val="left"/>
      <w:pPr>
        <w:ind w:left="5757" w:hanging="360"/>
      </w:pPr>
    </w:lvl>
    <w:lvl w:ilvl="8" w:tplc="041A001B" w:tentative="1">
      <w:start w:val="1"/>
      <w:numFmt w:val="lowerRoman"/>
      <w:lvlText w:val="%9."/>
      <w:lvlJc w:val="right"/>
      <w:pPr>
        <w:ind w:left="6477" w:hanging="180"/>
      </w:pPr>
    </w:lvl>
  </w:abstractNum>
  <w:abstractNum w:abstractNumId="11" w15:restartNumberingAfterBreak="0">
    <w:nsid w:val="577C0608"/>
    <w:multiLevelType w:val="hybridMultilevel"/>
    <w:tmpl w:val="0C489AA6"/>
    <w:lvl w:ilvl="0" w:tplc="041A000B">
      <w:start w:val="1"/>
      <w:numFmt w:val="bullet"/>
      <w:lvlText w:val=""/>
      <w:lvlJc w:val="left"/>
      <w:pPr>
        <w:ind w:left="720" w:hanging="360"/>
      </w:pPr>
      <w:rPr>
        <w:rFonts w:ascii="Wingdings" w:hAnsi="Wingdings" w:hint="default"/>
      </w:rPr>
    </w:lvl>
    <w:lvl w:ilvl="1" w:tplc="C42EAAEC">
      <w:start w:val="5"/>
      <w:numFmt w:val="bullet"/>
      <w:lvlText w:val="-"/>
      <w:lvlJc w:val="left"/>
      <w:pPr>
        <w:ind w:left="1440" w:hanging="360"/>
      </w:pPr>
      <w:rPr>
        <w:rFonts w:ascii="Arial" w:eastAsia="Times New Roman"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CF45251"/>
    <w:multiLevelType w:val="hybridMultilevel"/>
    <w:tmpl w:val="D376D1E6"/>
    <w:lvl w:ilvl="0" w:tplc="BB78684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68C47D87"/>
    <w:multiLevelType w:val="hybridMultilevel"/>
    <w:tmpl w:val="D6643D32"/>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4" w15:restartNumberingAfterBreak="0">
    <w:nsid w:val="732F21F6"/>
    <w:multiLevelType w:val="hybridMultilevel"/>
    <w:tmpl w:val="3BD2421C"/>
    <w:lvl w:ilvl="0" w:tplc="A1863F14">
      <w:start w:val="1"/>
      <w:numFmt w:val="bullet"/>
      <w:lvlText w:val=""/>
      <w:lvlJc w:val="left"/>
      <w:pPr>
        <w:tabs>
          <w:tab w:val="num" w:pos="340"/>
        </w:tabs>
        <w:ind w:left="340" w:hanging="340"/>
      </w:pPr>
      <w:rPr>
        <w:rFonts w:ascii="SymbolProp BT" w:hAnsi="SymbolProp BT" w:hint="default"/>
        <w:b w:val="0"/>
        <w:i w:val="0"/>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A04D14"/>
    <w:multiLevelType w:val="hybridMultilevel"/>
    <w:tmpl w:val="9BE4FB8E"/>
    <w:lvl w:ilvl="0" w:tplc="041A000B">
      <w:start w:val="1"/>
      <w:numFmt w:val="bullet"/>
      <w:lvlText w:val=""/>
      <w:lvlJc w:val="left"/>
      <w:pPr>
        <w:ind w:left="720" w:hanging="360"/>
      </w:pPr>
      <w:rPr>
        <w:rFonts w:ascii="Wingdings" w:hAnsi="Wingdings" w:hint="default"/>
      </w:rPr>
    </w:lvl>
    <w:lvl w:ilvl="1" w:tplc="C42EAAEC">
      <w:start w:val="5"/>
      <w:numFmt w:val="bullet"/>
      <w:lvlText w:val="-"/>
      <w:lvlJc w:val="left"/>
      <w:pPr>
        <w:ind w:left="1440" w:hanging="360"/>
      </w:pPr>
      <w:rPr>
        <w:rFonts w:ascii="Arial" w:eastAsia="Times New Roman"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11"/>
  </w:num>
  <w:num w:numId="4">
    <w:abstractNumId w:val="15"/>
  </w:num>
  <w:num w:numId="5">
    <w:abstractNumId w:val="8"/>
  </w:num>
  <w:num w:numId="6">
    <w:abstractNumId w:val="10"/>
  </w:num>
  <w:num w:numId="7">
    <w:abstractNumId w:val="0"/>
    <w:lvlOverride w:ilvl="0">
      <w:lvl w:ilvl="0">
        <w:start w:val="1"/>
        <w:numFmt w:val="bullet"/>
        <w:lvlText w:val=""/>
        <w:legacy w:legacy="1" w:legacySpace="0" w:legacyIndent="340"/>
        <w:lvlJc w:val="left"/>
        <w:pPr>
          <w:ind w:left="340" w:hanging="340"/>
        </w:pPr>
        <w:rPr>
          <w:rFonts w:ascii="Symbol" w:hAnsi="Symbol" w:hint="default"/>
        </w:rPr>
      </w:lvl>
    </w:lvlOverride>
  </w:num>
  <w:num w:numId="8">
    <w:abstractNumId w:val="3"/>
  </w:num>
  <w:num w:numId="9">
    <w:abstractNumId w:val="3"/>
    <w:lvlOverride w:ilvl="0">
      <w:lvl w:ilvl="0">
        <w:start w:val="3"/>
        <w:numFmt w:val="decimal"/>
        <w:lvlText w:val="%1"/>
        <w:legacy w:legacy="1" w:legacySpace="0" w:legacyIndent="340"/>
        <w:lvlJc w:val="left"/>
        <w:pPr>
          <w:ind w:left="340" w:hanging="340"/>
        </w:pPr>
      </w:lvl>
    </w:lvlOverride>
  </w:num>
  <w:num w:numId="10">
    <w:abstractNumId w:val="3"/>
    <w:lvlOverride w:ilvl="0">
      <w:lvl w:ilvl="0">
        <w:start w:val="4"/>
        <w:numFmt w:val="decimal"/>
        <w:lvlText w:val="%1"/>
        <w:legacy w:legacy="1" w:legacySpace="0" w:legacyIndent="340"/>
        <w:lvlJc w:val="left"/>
        <w:pPr>
          <w:ind w:left="340" w:hanging="340"/>
        </w:pPr>
      </w:lvl>
    </w:lvlOverride>
  </w:num>
  <w:num w:numId="11">
    <w:abstractNumId w:val="3"/>
    <w:lvlOverride w:ilvl="0">
      <w:lvl w:ilvl="0">
        <w:start w:val="5"/>
        <w:numFmt w:val="decimal"/>
        <w:lvlText w:val="%1"/>
        <w:legacy w:legacy="1" w:legacySpace="0" w:legacyIndent="340"/>
        <w:lvlJc w:val="left"/>
        <w:pPr>
          <w:ind w:left="340" w:hanging="340"/>
        </w:pPr>
      </w:lvl>
    </w:lvlOverride>
  </w:num>
  <w:num w:numId="12">
    <w:abstractNumId w:val="3"/>
    <w:lvlOverride w:ilvl="0">
      <w:lvl w:ilvl="0">
        <w:start w:val="6"/>
        <w:numFmt w:val="decimal"/>
        <w:lvlText w:val="%1"/>
        <w:legacy w:legacy="1" w:legacySpace="0" w:legacyIndent="340"/>
        <w:lvlJc w:val="left"/>
        <w:pPr>
          <w:ind w:left="340" w:hanging="340"/>
        </w:pPr>
      </w:lvl>
    </w:lvlOverride>
  </w:num>
  <w:num w:numId="13">
    <w:abstractNumId w:val="14"/>
  </w:num>
  <w:num w:numId="14">
    <w:abstractNumId w:val="2"/>
  </w:num>
  <w:num w:numId="15">
    <w:abstractNumId w:val="3"/>
    <w:lvlOverride w:ilvl="0">
      <w:lvl w:ilvl="0">
        <w:start w:val="1"/>
        <w:numFmt w:val="decimal"/>
        <w:lvlText w:val="%1"/>
        <w:legacy w:legacy="1" w:legacySpace="0" w:legacyIndent="340"/>
        <w:lvlJc w:val="left"/>
        <w:pPr>
          <w:ind w:left="340" w:hanging="340"/>
        </w:pPr>
      </w:lvl>
    </w:lvlOverride>
  </w:num>
  <w:num w:numId="16">
    <w:abstractNumId w:val="3"/>
    <w:lvlOverride w:ilvl="0">
      <w:lvl w:ilvl="0">
        <w:start w:val="1"/>
        <w:numFmt w:val="decimal"/>
        <w:lvlText w:val="%1"/>
        <w:legacy w:legacy="1" w:legacySpace="0" w:legacyIndent="340"/>
        <w:lvlJc w:val="left"/>
        <w:pPr>
          <w:ind w:left="340" w:hanging="340"/>
        </w:pPr>
      </w:lvl>
    </w:lvlOverride>
  </w:num>
  <w:num w:numId="17">
    <w:abstractNumId w:val="3"/>
    <w:lvlOverride w:ilvl="0">
      <w:lvl w:ilvl="0">
        <w:start w:val="1"/>
        <w:numFmt w:val="decimal"/>
        <w:lvlText w:val="%1"/>
        <w:legacy w:legacy="1" w:legacySpace="0" w:legacyIndent="340"/>
        <w:lvlJc w:val="left"/>
        <w:pPr>
          <w:ind w:left="340" w:hanging="340"/>
        </w:pPr>
      </w:lvl>
    </w:lvlOverride>
  </w:num>
  <w:num w:numId="18">
    <w:abstractNumId w:val="3"/>
    <w:lvlOverride w:ilvl="0">
      <w:lvl w:ilvl="0">
        <w:start w:val="1"/>
        <w:numFmt w:val="decimal"/>
        <w:lvlText w:val="%1"/>
        <w:legacy w:legacy="1" w:legacySpace="0" w:legacyIndent="340"/>
        <w:lvlJc w:val="left"/>
        <w:pPr>
          <w:ind w:left="340" w:hanging="340"/>
        </w:pPr>
      </w:lvl>
    </w:lvlOverride>
  </w:num>
  <w:num w:numId="19">
    <w:abstractNumId w:val="9"/>
  </w:num>
  <w:num w:numId="20">
    <w:abstractNumId w:val="4"/>
  </w:num>
  <w:num w:numId="21">
    <w:abstractNumId w:val="13"/>
  </w:num>
  <w:num w:numId="22">
    <w:abstractNumId w:val="6"/>
  </w:num>
  <w:num w:numId="23">
    <w:abstractNumId w:val="1"/>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0FE"/>
    <w:rsid w:val="00013F75"/>
    <w:rsid w:val="00016441"/>
    <w:rsid w:val="000203CC"/>
    <w:rsid w:val="0002569D"/>
    <w:rsid w:val="00034B4D"/>
    <w:rsid w:val="00061A52"/>
    <w:rsid w:val="000704FD"/>
    <w:rsid w:val="0008048B"/>
    <w:rsid w:val="000873F6"/>
    <w:rsid w:val="000B7DAA"/>
    <w:rsid w:val="000C14E7"/>
    <w:rsid w:val="00100E4F"/>
    <w:rsid w:val="00114427"/>
    <w:rsid w:val="001276DE"/>
    <w:rsid w:val="00156C81"/>
    <w:rsid w:val="001619AE"/>
    <w:rsid w:val="00165111"/>
    <w:rsid w:val="00167C4F"/>
    <w:rsid w:val="001702E0"/>
    <w:rsid w:val="001756B6"/>
    <w:rsid w:val="00187CBC"/>
    <w:rsid w:val="00190FD1"/>
    <w:rsid w:val="00192C75"/>
    <w:rsid w:val="001A6564"/>
    <w:rsid w:val="001C07AC"/>
    <w:rsid w:val="001C471E"/>
    <w:rsid w:val="001F1330"/>
    <w:rsid w:val="001F1A65"/>
    <w:rsid w:val="00241D56"/>
    <w:rsid w:val="00253475"/>
    <w:rsid w:val="002674B5"/>
    <w:rsid w:val="00270D2A"/>
    <w:rsid w:val="00274B92"/>
    <w:rsid w:val="002802CE"/>
    <w:rsid w:val="00283AA3"/>
    <w:rsid w:val="00287966"/>
    <w:rsid w:val="0029432E"/>
    <w:rsid w:val="00297DEF"/>
    <w:rsid w:val="002A00DA"/>
    <w:rsid w:val="002B7D34"/>
    <w:rsid w:val="002C267E"/>
    <w:rsid w:val="002D65AD"/>
    <w:rsid w:val="00304383"/>
    <w:rsid w:val="00304C30"/>
    <w:rsid w:val="00336EC5"/>
    <w:rsid w:val="00354EF8"/>
    <w:rsid w:val="0039305C"/>
    <w:rsid w:val="003976E1"/>
    <w:rsid w:val="003A1084"/>
    <w:rsid w:val="003C4F61"/>
    <w:rsid w:val="003E2E62"/>
    <w:rsid w:val="003F14A8"/>
    <w:rsid w:val="004178AE"/>
    <w:rsid w:val="00426B61"/>
    <w:rsid w:val="00431CE3"/>
    <w:rsid w:val="004337F0"/>
    <w:rsid w:val="00453055"/>
    <w:rsid w:val="0045535E"/>
    <w:rsid w:val="004932CB"/>
    <w:rsid w:val="0049726C"/>
    <w:rsid w:val="004A6BB8"/>
    <w:rsid w:val="004D4DA7"/>
    <w:rsid w:val="004D79AC"/>
    <w:rsid w:val="004F163A"/>
    <w:rsid w:val="005159AC"/>
    <w:rsid w:val="005230FE"/>
    <w:rsid w:val="00546E17"/>
    <w:rsid w:val="00563AE4"/>
    <w:rsid w:val="00577E13"/>
    <w:rsid w:val="005A342E"/>
    <w:rsid w:val="005D15D4"/>
    <w:rsid w:val="005E3EE7"/>
    <w:rsid w:val="005F5CC7"/>
    <w:rsid w:val="00604571"/>
    <w:rsid w:val="00613EE5"/>
    <w:rsid w:val="00633505"/>
    <w:rsid w:val="00671CC7"/>
    <w:rsid w:val="00673DAA"/>
    <w:rsid w:val="00673F47"/>
    <w:rsid w:val="0067685F"/>
    <w:rsid w:val="006833FF"/>
    <w:rsid w:val="006A16D4"/>
    <w:rsid w:val="00711176"/>
    <w:rsid w:val="00714FA4"/>
    <w:rsid w:val="00725D2A"/>
    <w:rsid w:val="00725F0D"/>
    <w:rsid w:val="00741371"/>
    <w:rsid w:val="00743FF9"/>
    <w:rsid w:val="007654D6"/>
    <w:rsid w:val="007A0B58"/>
    <w:rsid w:val="007C4B39"/>
    <w:rsid w:val="007D68F1"/>
    <w:rsid w:val="007E3AF9"/>
    <w:rsid w:val="00810CC9"/>
    <w:rsid w:val="0084668E"/>
    <w:rsid w:val="00862C69"/>
    <w:rsid w:val="00864F18"/>
    <w:rsid w:val="00884511"/>
    <w:rsid w:val="00884B6D"/>
    <w:rsid w:val="008A0A2B"/>
    <w:rsid w:val="008A0F86"/>
    <w:rsid w:val="008B58B3"/>
    <w:rsid w:val="008C25DA"/>
    <w:rsid w:val="008C307D"/>
    <w:rsid w:val="008C671C"/>
    <w:rsid w:val="008D5394"/>
    <w:rsid w:val="008D78A5"/>
    <w:rsid w:val="00901764"/>
    <w:rsid w:val="009171BA"/>
    <w:rsid w:val="00922722"/>
    <w:rsid w:val="00933EF3"/>
    <w:rsid w:val="00935A16"/>
    <w:rsid w:val="00941880"/>
    <w:rsid w:val="00945C6A"/>
    <w:rsid w:val="0096393A"/>
    <w:rsid w:val="00995204"/>
    <w:rsid w:val="009A0CB3"/>
    <w:rsid w:val="009B39AC"/>
    <w:rsid w:val="009C0943"/>
    <w:rsid w:val="009D3FE7"/>
    <w:rsid w:val="009F0E70"/>
    <w:rsid w:val="009F1DC7"/>
    <w:rsid w:val="009F4D59"/>
    <w:rsid w:val="009F5E10"/>
    <w:rsid w:val="00A15583"/>
    <w:rsid w:val="00A17B49"/>
    <w:rsid w:val="00A21324"/>
    <w:rsid w:val="00A27BB2"/>
    <w:rsid w:val="00A532AE"/>
    <w:rsid w:val="00A703A9"/>
    <w:rsid w:val="00A70FE7"/>
    <w:rsid w:val="00A85B1F"/>
    <w:rsid w:val="00A907A9"/>
    <w:rsid w:val="00AA3F7C"/>
    <w:rsid w:val="00AB5307"/>
    <w:rsid w:val="00AC69E2"/>
    <w:rsid w:val="00AC6BDC"/>
    <w:rsid w:val="00AD7096"/>
    <w:rsid w:val="00AF63DA"/>
    <w:rsid w:val="00B21CFB"/>
    <w:rsid w:val="00B233CD"/>
    <w:rsid w:val="00B35E4C"/>
    <w:rsid w:val="00B42F2E"/>
    <w:rsid w:val="00B70D5F"/>
    <w:rsid w:val="00BE0514"/>
    <w:rsid w:val="00BF498C"/>
    <w:rsid w:val="00C152FC"/>
    <w:rsid w:val="00C43C53"/>
    <w:rsid w:val="00C7229C"/>
    <w:rsid w:val="00CA1BEE"/>
    <w:rsid w:val="00CA3AD3"/>
    <w:rsid w:val="00CA5953"/>
    <w:rsid w:val="00CA5E09"/>
    <w:rsid w:val="00CA7C45"/>
    <w:rsid w:val="00CB58E2"/>
    <w:rsid w:val="00CD1BBD"/>
    <w:rsid w:val="00CD4E91"/>
    <w:rsid w:val="00CE0ABE"/>
    <w:rsid w:val="00CE7ABF"/>
    <w:rsid w:val="00CF7D35"/>
    <w:rsid w:val="00D07526"/>
    <w:rsid w:val="00D1275A"/>
    <w:rsid w:val="00D479E4"/>
    <w:rsid w:val="00D77B09"/>
    <w:rsid w:val="00D826F5"/>
    <w:rsid w:val="00D86852"/>
    <w:rsid w:val="00D92836"/>
    <w:rsid w:val="00DA133B"/>
    <w:rsid w:val="00DB5CD9"/>
    <w:rsid w:val="00DC38CE"/>
    <w:rsid w:val="00DD709D"/>
    <w:rsid w:val="00DD76AB"/>
    <w:rsid w:val="00DE2C52"/>
    <w:rsid w:val="00E06205"/>
    <w:rsid w:val="00E20565"/>
    <w:rsid w:val="00E20FDB"/>
    <w:rsid w:val="00E37AB6"/>
    <w:rsid w:val="00E453A2"/>
    <w:rsid w:val="00E973D1"/>
    <w:rsid w:val="00EC7242"/>
    <w:rsid w:val="00ED278F"/>
    <w:rsid w:val="00ED49F3"/>
    <w:rsid w:val="00EE3A03"/>
    <w:rsid w:val="00EE7398"/>
    <w:rsid w:val="00F0750B"/>
    <w:rsid w:val="00F12D95"/>
    <w:rsid w:val="00F16EFA"/>
    <w:rsid w:val="00F55796"/>
    <w:rsid w:val="00F74FA5"/>
    <w:rsid w:val="00F9006C"/>
    <w:rsid w:val="00F95674"/>
    <w:rsid w:val="00FB654F"/>
    <w:rsid w:val="00FB7AC8"/>
    <w:rsid w:val="00FD0D92"/>
    <w:rsid w:val="00FE0D53"/>
    <w:rsid w:val="00FE1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6ABE8"/>
  <w15:chartTrackingRefBased/>
  <w15:docId w15:val="{9F378C0E-8F08-40E1-A469-5749E3C61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30FE"/>
    <w:pPr>
      <w:autoSpaceDE w:val="0"/>
      <w:autoSpaceDN w:val="0"/>
      <w:spacing w:after="0" w:line="240" w:lineRule="auto"/>
    </w:pPr>
    <w:rPr>
      <w:rFonts w:ascii="Times New Roman" w:eastAsia="Times New Roman" w:hAnsi="Times New Roman" w:cs="Times New Roman"/>
      <w:sz w:val="20"/>
      <w:szCs w:val="20"/>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230FE"/>
    <w:rPr>
      <w:rFonts w:ascii="Arial" w:hAnsi="Arial"/>
      <w:sz w:val="24"/>
      <w:szCs w:val="24"/>
      <w:lang w:val="x-none"/>
    </w:rPr>
  </w:style>
  <w:style w:type="character" w:customStyle="1" w:styleId="BodyTextChar">
    <w:name w:val="Body Text Char"/>
    <w:basedOn w:val="DefaultParagraphFont"/>
    <w:link w:val="BodyText"/>
    <w:rsid w:val="005230FE"/>
    <w:rPr>
      <w:rFonts w:ascii="Arial" w:eastAsia="Times New Roman" w:hAnsi="Arial" w:cs="Times New Roman"/>
      <w:sz w:val="24"/>
      <w:szCs w:val="24"/>
      <w:lang w:val="x-none" w:eastAsia="hr-HR"/>
    </w:rPr>
  </w:style>
  <w:style w:type="paragraph" w:styleId="Header">
    <w:name w:val="header"/>
    <w:basedOn w:val="Normal"/>
    <w:link w:val="HeaderChar"/>
    <w:rsid w:val="005230FE"/>
    <w:pPr>
      <w:tabs>
        <w:tab w:val="center" w:pos="4536"/>
        <w:tab w:val="right" w:pos="9072"/>
      </w:tabs>
    </w:pPr>
    <w:rPr>
      <w:lang w:val="en-AU"/>
    </w:rPr>
  </w:style>
  <w:style w:type="character" w:customStyle="1" w:styleId="HeaderChar">
    <w:name w:val="Header Char"/>
    <w:basedOn w:val="DefaultParagraphFont"/>
    <w:link w:val="Header"/>
    <w:rsid w:val="005230FE"/>
    <w:rPr>
      <w:rFonts w:ascii="Times New Roman" w:eastAsia="Times New Roman" w:hAnsi="Times New Roman" w:cs="Times New Roman"/>
      <w:sz w:val="20"/>
      <w:szCs w:val="20"/>
      <w:lang w:val="en-AU" w:eastAsia="hr-HR"/>
    </w:rPr>
  </w:style>
  <w:style w:type="character" w:styleId="Hyperlink">
    <w:name w:val="Hyperlink"/>
    <w:rsid w:val="005230FE"/>
    <w:rPr>
      <w:color w:val="0000FF"/>
      <w:u w:val="single"/>
    </w:rPr>
  </w:style>
  <w:style w:type="character" w:customStyle="1" w:styleId="BalloonTextChar">
    <w:name w:val="Balloon Text Char"/>
    <w:basedOn w:val="DefaultParagraphFont"/>
    <w:link w:val="BalloonText"/>
    <w:uiPriority w:val="99"/>
    <w:semiHidden/>
    <w:rsid w:val="005230FE"/>
    <w:rPr>
      <w:rFonts w:ascii="Tahoma" w:eastAsia="Times New Roman" w:hAnsi="Tahoma" w:cs="Times New Roman"/>
      <w:sz w:val="16"/>
      <w:szCs w:val="16"/>
      <w:lang w:val="en-AU" w:eastAsia="hr-HR"/>
    </w:rPr>
  </w:style>
  <w:style w:type="paragraph" w:styleId="BalloonText">
    <w:name w:val="Balloon Text"/>
    <w:basedOn w:val="Normal"/>
    <w:link w:val="BalloonTextChar"/>
    <w:uiPriority w:val="99"/>
    <w:semiHidden/>
    <w:unhideWhenUsed/>
    <w:rsid w:val="005230FE"/>
    <w:rPr>
      <w:rFonts w:ascii="Tahoma" w:hAnsi="Tahoma"/>
      <w:sz w:val="16"/>
      <w:szCs w:val="16"/>
      <w:lang w:val="en-AU"/>
    </w:rPr>
  </w:style>
  <w:style w:type="character" w:customStyle="1" w:styleId="postbody">
    <w:name w:val="postbody"/>
    <w:basedOn w:val="DefaultParagraphFont"/>
    <w:rsid w:val="005230FE"/>
  </w:style>
  <w:style w:type="paragraph" w:styleId="ListParagraph">
    <w:name w:val="List Paragraph"/>
    <w:basedOn w:val="Normal"/>
    <w:uiPriority w:val="34"/>
    <w:qFormat/>
    <w:rsid w:val="005230FE"/>
    <w:pPr>
      <w:ind w:left="720"/>
      <w:contextualSpacing/>
    </w:pPr>
  </w:style>
  <w:style w:type="paragraph" w:styleId="FootnoteText">
    <w:name w:val="footnote text"/>
    <w:basedOn w:val="Normal"/>
    <w:link w:val="FootnoteTextChar"/>
    <w:semiHidden/>
    <w:rsid w:val="005230FE"/>
    <w:pPr>
      <w:autoSpaceDE/>
      <w:autoSpaceDN/>
    </w:pPr>
    <w:rPr>
      <w:lang w:val="x-none" w:eastAsia="x-none"/>
    </w:rPr>
  </w:style>
  <w:style w:type="character" w:customStyle="1" w:styleId="FootnoteTextChar">
    <w:name w:val="Footnote Text Char"/>
    <w:basedOn w:val="DefaultParagraphFont"/>
    <w:link w:val="FootnoteText"/>
    <w:semiHidden/>
    <w:rsid w:val="005230FE"/>
    <w:rPr>
      <w:rFonts w:ascii="Times New Roman" w:eastAsia="Times New Roman" w:hAnsi="Times New Roman" w:cs="Times New Roman"/>
      <w:sz w:val="20"/>
      <w:szCs w:val="20"/>
      <w:lang w:val="x-none" w:eastAsia="x-none"/>
    </w:rPr>
  </w:style>
  <w:style w:type="paragraph" w:styleId="Footer">
    <w:name w:val="footer"/>
    <w:basedOn w:val="Normal"/>
    <w:link w:val="FooterChar"/>
    <w:uiPriority w:val="99"/>
    <w:unhideWhenUsed/>
    <w:rsid w:val="005230FE"/>
    <w:pPr>
      <w:tabs>
        <w:tab w:val="center" w:pos="4536"/>
        <w:tab w:val="right" w:pos="9072"/>
      </w:tabs>
    </w:pPr>
    <w:rPr>
      <w:lang w:val="en-AU"/>
    </w:rPr>
  </w:style>
  <w:style w:type="character" w:customStyle="1" w:styleId="FooterChar">
    <w:name w:val="Footer Char"/>
    <w:basedOn w:val="DefaultParagraphFont"/>
    <w:link w:val="Footer"/>
    <w:uiPriority w:val="99"/>
    <w:rsid w:val="005230FE"/>
    <w:rPr>
      <w:rFonts w:ascii="Times New Roman" w:eastAsia="Times New Roman" w:hAnsi="Times New Roman" w:cs="Times New Roman"/>
      <w:sz w:val="20"/>
      <w:szCs w:val="20"/>
      <w:lang w:val="en-AU" w:eastAsia="hr-HR"/>
    </w:rPr>
  </w:style>
  <w:style w:type="paragraph" w:customStyle="1" w:styleId="NormalNaslov">
    <w:name w:val="Normal.Naslov"/>
    <w:rsid w:val="005230FE"/>
    <w:pPr>
      <w:spacing w:after="0" w:line="240" w:lineRule="auto"/>
      <w:jc w:val="both"/>
    </w:pPr>
    <w:rPr>
      <w:rFonts w:ascii="CRO_Swiss_Light-Normal" w:eastAsia="Times New Roman" w:hAnsi="CRO_Swiss_Light-Normal" w:cs="Times New Roman"/>
      <w:sz w:val="24"/>
      <w:szCs w:val="20"/>
    </w:rPr>
  </w:style>
  <w:style w:type="character" w:styleId="Strong">
    <w:name w:val="Strong"/>
    <w:basedOn w:val="DefaultParagraphFont"/>
    <w:uiPriority w:val="22"/>
    <w:qFormat/>
    <w:rsid w:val="005230FE"/>
    <w:rPr>
      <w:b/>
      <w:bCs/>
    </w:rPr>
  </w:style>
  <w:style w:type="paragraph" w:customStyle="1" w:styleId="StylePaperTitle8ptNotLatinBoldRightBefore5pt">
    <w:name w:val="Style PaperTitle + 8 pt Not (Latin) Bold Right Before:  5 pt"/>
    <w:basedOn w:val="Normal"/>
    <w:rsid w:val="005230FE"/>
    <w:pPr>
      <w:spacing w:before="100"/>
      <w:jc w:val="right"/>
    </w:pPr>
    <w:rPr>
      <w:rFonts w:ascii="Arial Narrow" w:hAnsi="Arial Narrow"/>
      <w:sz w:val="16"/>
      <w:szCs w:val="16"/>
      <w:lang w:val="en-US"/>
    </w:rPr>
  </w:style>
  <w:style w:type="character" w:customStyle="1" w:styleId="form-control">
    <w:name w:val="form-control"/>
    <w:rsid w:val="005230FE"/>
  </w:style>
  <w:style w:type="paragraph" w:styleId="NormalWeb">
    <w:name w:val="Normal (Web)"/>
    <w:basedOn w:val="Normal"/>
    <w:uiPriority w:val="99"/>
    <w:unhideWhenUsed/>
    <w:rsid w:val="005230FE"/>
    <w:rPr>
      <w:sz w:val="24"/>
      <w:szCs w:val="24"/>
    </w:rPr>
  </w:style>
  <w:style w:type="character" w:customStyle="1" w:styleId="katex-mathml">
    <w:name w:val="katex-mathml"/>
    <w:basedOn w:val="DefaultParagraphFont"/>
    <w:rsid w:val="005230FE"/>
  </w:style>
  <w:style w:type="character" w:customStyle="1" w:styleId="mord">
    <w:name w:val="mord"/>
    <w:basedOn w:val="DefaultParagraphFont"/>
    <w:rsid w:val="005230FE"/>
  </w:style>
  <w:style w:type="character" w:customStyle="1" w:styleId="mspace">
    <w:name w:val="mspace"/>
    <w:basedOn w:val="DefaultParagraphFont"/>
    <w:rsid w:val="005230FE"/>
  </w:style>
  <w:style w:type="character" w:customStyle="1" w:styleId="mrel">
    <w:name w:val="mrel"/>
    <w:basedOn w:val="DefaultParagraphFont"/>
    <w:rsid w:val="005230FE"/>
  </w:style>
  <w:style w:type="character" w:styleId="CommentReference">
    <w:name w:val="annotation reference"/>
    <w:basedOn w:val="DefaultParagraphFont"/>
    <w:uiPriority w:val="99"/>
    <w:semiHidden/>
    <w:unhideWhenUsed/>
    <w:rsid w:val="00D07526"/>
    <w:rPr>
      <w:sz w:val="16"/>
      <w:szCs w:val="16"/>
    </w:rPr>
  </w:style>
  <w:style w:type="paragraph" w:styleId="CommentText">
    <w:name w:val="annotation text"/>
    <w:basedOn w:val="Normal"/>
    <w:link w:val="CommentTextChar"/>
    <w:uiPriority w:val="99"/>
    <w:semiHidden/>
    <w:unhideWhenUsed/>
    <w:rsid w:val="00D07526"/>
  </w:style>
  <w:style w:type="character" w:customStyle="1" w:styleId="CommentTextChar">
    <w:name w:val="Comment Text Char"/>
    <w:basedOn w:val="DefaultParagraphFont"/>
    <w:link w:val="CommentText"/>
    <w:uiPriority w:val="99"/>
    <w:semiHidden/>
    <w:rsid w:val="00D07526"/>
    <w:rPr>
      <w:rFonts w:ascii="Times New Roman" w:eastAsia="Times New Roman" w:hAnsi="Times New Roman" w:cs="Times New Roman"/>
      <w:sz w:val="20"/>
      <w:szCs w:val="20"/>
      <w:lang w:val="hr-HR" w:eastAsia="hr-HR"/>
    </w:rPr>
  </w:style>
  <w:style w:type="paragraph" w:styleId="CommentSubject">
    <w:name w:val="annotation subject"/>
    <w:basedOn w:val="CommentText"/>
    <w:next w:val="CommentText"/>
    <w:link w:val="CommentSubjectChar"/>
    <w:uiPriority w:val="99"/>
    <w:semiHidden/>
    <w:unhideWhenUsed/>
    <w:rsid w:val="00D07526"/>
    <w:rPr>
      <w:b/>
      <w:bCs/>
    </w:rPr>
  </w:style>
  <w:style w:type="character" w:customStyle="1" w:styleId="CommentSubjectChar">
    <w:name w:val="Comment Subject Char"/>
    <w:basedOn w:val="CommentTextChar"/>
    <w:link w:val="CommentSubject"/>
    <w:uiPriority w:val="99"/>
    <w:semiHidden/>
    <w:rsid w:val="00D07526"/>
    <w:rPr>
      <w:rFonts w:ascii="Times New Roman" w:eastAsia="Times New Roman" w:hAnsi="Times New Roman" w:cs="Times New Roman"/>
      <w:b/>
      <w:bCs/>
      <w:sz w:val="20"/>
      <w:szCs w:val="20"/>
      <w:lang w:val="hr-HR" w:eastAsia="hr-HR"/>
    </w:rPr>
  </w:style>
  <w:style w:type="character" w:styleId="UnresolvedMention">
    <w:name w:val="Unresolved Mention"/>
    <w:basedOn w:val="DefaultParagraphFont"/>
    <w:uiPriority w:val="99"/>
    <w:semiHidden/>
    <w:unhideWhenUsed/>
    <w:rsid w:val="001A6564"/>
    <w:rPr>
      <w:color w:val="605E5C"/>
      <w:shd w:val="clear" w:color="auto" w:fill="E1DFDD"/>
    </w:rPr>
  </w:style>
  <w:style w:type="paragraph" w:customStyle="1" w:styleId="SWCTitle">
    <w:name w:val="SWC_Title"/>
    <w:basedOn w:val="Normal"/>
    <w:qFormat/>
    <w:rsid w:val="008B58B3"/>
    <w:pPr>
      <w:autoSpaceDE/>
      <w:autoSpaceDN/>
      <w:spacing w:before="360" w:after="120" w:line="280" w:lineRule="exact"/>
      <w:jc w:val="center"/>
    </w:pPr>
    <w:rPr>
      <w:rFonts w:ascii="Arial" w:hAnsi="Arial"/>
      <w:b/>
      <w:color w:val="000000"/>
      <w:sz w:val="24"/>
      <w:szCs w:val="24"/>
      <w:lang w:val="en-US" w:eastAsia="de-DE"/>
    </w:rPr>
  </w:style>
  <w:style w:type="paragraph" w:customStyle="1" w:styleId="SWCText">
    <w:name w:val="SWC_Text"/>
    <w:qFormat/>
    <w:rsid w:val="00D92836"/>
    <w:pPr>
      <w:widowControl w:val="0"/>
      <w:spacing w:after="120" w:line="276" w:lineRule="auto"/>
      <w:jc w:val="both"/>
    </w:pPr>
    <w:rPr>
      <w:rFonts w:ascii="Times New Roman" w:eastAsia="Times New Roman" w:hAnsi="Times New Roman" w:cs="Times New Roman"/>
      <w:color w:val="000000"/>
      <w:sz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45464">
      <w:bodyDiv w:val="1"/>
      <w:marLeft w:val="0"/>
      <w:marRight w:val="0"/>
      <w:marTop w:val="0"/>
      <w:marBottom w:val="0"/>
      <w:divBdr>
        <w:top w:val="none" w:sz="0" w:space="0" w:color="auto"/>
        <w:left w:val="none" w:sz="0" w:space="0" w:color="auto"/>
        <w:bottom w:val="none" w:sz="0" w:space="0" w:color="auto"/>
        <w:right w:val="none" w:sz="0" w:space="0" w:color="auto"/>
      </w:divBdr>
    </w:div>
    <w:div w:id="111945920">
      <w:bodyDiv w:val="1"/>
      <w:marLeft w:val="0"/>
      <w:marRight w:val="0"/>
      <w:marTop w:val="0"/>
      <w:marBottom w:val="0"/>
      <w:divBdr>
        <w:top w:val="none" w:sz="0" w:space="0" w:color="auto"/>
        <w:left w:val="none" w:sz="0" w:space="0" w:color="auto"/>
        <w:bottom w:val="none" w:sz="0" w:space="0" w:color="auto"/>
        <w:right w:val="none" w:sz="0" w:space="0" w:color="auto"/>
      </w:divBdr>
      <w:divsChild>
        <w:div w:id="1732072818">
          <w:marLeft w:val="0"/>
          <w:marRight w:val="0"/>
          <w:marTop w:val="0"/>
          <w:marBottom w:val="0"/>
          <w:divBdr>
            <w:top w:val="none" w:sz="0" w:space="0" w:color="auto"/>
            <w:left w:val="none" w:sz="0" w:space="0" w:color="auto"/>
            <w:bottom w:val="none" w:sz="0" w:space="0" w:color="auto"/>
            <w:right w:val="none" w:sz="0" w:space="0" w:color="auto"/>
          </w:divBdr>
        </w:div>
      </w:divsChild>
    </w:div>
    <w:div w:id="169301535">
      <w:bodyDiv w:val="1"/>
      <w:marLeft w:val="0"/>
      <w:marRight w:val="0"/>
      <w:marTop w:val="0"/>
      <w:marBottom w:val="0"/>
      <w:divBdr>
        <w:top w:val="none" w:sz="0" w:space="0" w:color="auto"/>
        <w:left w:val="none" w:sz="0" w:space="0" w:color="auto"/>
        <w:bottom w:val="none" w:sz="0" w:space="0" w:color="auto"/>
        <w:right w:val="none" w:sz="0" w:space="0" w:color="auto"/>
      </w:divBdr>
      <w:divsChild>
        <w:div w:id="1911691259">
          <w:marLeft w:val="0"/>
          <w:marRight w:val="0"/>
          <w:marTop w:val="0"/>
          <w:marBottom w:val="0"/>
          <w:divBdr>
            <w:top w:val="none" w:sz="0" w:space="0" w:color="auto"/>
            <w:left w:val="none" w:sz="0" w:space="0" w:color="auto"/>
            <w:bottom w:val="none" w:sz="0" w:space="0" w:color="auto"/>
            <w:right w:val="none" w:sz="0" w:space="0" w:color="auto"/>
          </w:divBdr>
        </w:div>
      </w:divsChild>
    </w:div>
    <w:div w:id="218522678">
      <w:bodyDiv w:val="1"/>
      <w:marLeft w:val="0"/>
      <w:marRight w:val="0"/>
      <w:marTop w:val="0"/>
      <w:marBottom w:val="0"/>
      <w:divBdr>
        <w:top w:val="none" w:sz="0" w:space="0" w:color="auto"/>
        <w:left w:val="none" w:sz="0" w:space="0" w:color="auto"/>
        <w:bottom w:val="none" w:sz="0" w:space="0" w:color="auto"/>
        <w:right w:val="none" w:sz="0" w:space="0" w:color="auto"/>
      </w:divBdr>
      <w:divsChild>
        <w:div w:id="951785524">
          <w:marLeft w:val="0"/>
          <w:marRight w:val="0"/>
          <w:marTop w:val="0"/>
          <w:marBottom w:val="0"/>
          <w:divBdr>
            <w:top w:val="none" w:sz="0" w:space="0" w:color="auto"/>
            <w:left w:val="none" w:sz="0" w:space="0" w:color="auto"/>
            <w:bottom w:val="none" w:sz="0" w:space="0" w:color="auto"/>
            <w:right w:val="none" w:sz="0" w:space="0" w:color="auto"/>
          </w:divBdr>
        </w:div>
      </w:divsChild>
    </w:div>
    <w:div w:id="237985537">
      <w:bodyDiv w:val="1"/>
      <w:marLeft w:val="0"/>
      <w:marRight w:val="0"/>
      <w:marTop w:val="0"/>
      <w:marBottom w:val="0"/>
      <w:divBdr>
        <w:top w:val="none" w:sz="0" w:space="0" w:color="auto"/>
        <w:left w:val="none" w:sz="0" w:space="0" w:color="auto"/>
        <w:bottom w:val="none" w:sz="0" w:space="0" w:color="auto"/>
        <w:right w:val="none" w:sz="0" w:space="0" w:color="auto"/>
      </w:divBdr>
      <w:divsChild>
        <w:div w:id="818497915">
          <w:marLeft w:val="0"/>
          <w:marRight w:val="0"/>
          <w:marTop w:val="0"/>
          <w:marBottom w:val="0"/>
          <w:divBdr>
            <w:top w:val="none" w:sz="0" w:space="0" w:color="auto"/>
            <w:left w:val="none" w:sz="0" w:space="0" w:color="auto"/>
            <w:bottom w:val="none" w:sz="0" w:space="0" w:color="auto"/>
            <w:right w:val="none" w:sz="0" w:space="0" w:color="auto"/>
          </w:divBdr>
        </w:div>
      </w:divsChild>
    </w:div>
    <w:div w:id="282734412">
      <w:bodyDiv w:val="1"/>
      <w:marLeft w:val="0"/>
      <w:marRight w:val="0"/>
      <w:marTop w:val="0"/>
      <w:marBottom w:val="0"/>
      <w:divBdr>
        <w:top w:val="none" w:sz="0" w:space="0" w:color="auto"/>
        <w:left w:val="none" w:sz="0" w:space="0" w:color="auto"/>
        <w:bottom w:val="none" w:sz="0" w:space="0" w:color="auto"/>
        <w:right w:val="none" w:sz="0" w:space="0" w:color="auto"/>
      </w:divBdr>
      <w:divsChild>
        <w:div w:id="1185093581">
          <w:marLeft w:val="0"/>
          <w:marRight w:val="0"/>
          <w:marTop w:val="0"/>
          <w:marBottom w:val="0"/>
          <w:divBdr>
            <w:top w:val="none" w:sz="0" w:space="0" w:color="auto"/>
            <w:left w:val="none" w:sz="0" w:space="0" w:color="auto"/>
            <w:bottom w:val="none" w:sz="0" w:space="0" w:color="auto"/>
            <w:right w:val="none" w:sz="0" w:space="0" w:color="auto"/>
          </w:divBdr>
        </w:div>
      </w:divsChild>
    </w:div>
    <w:div w:id="526793508">
      <w:bodyDiv w:val="1"/>
      <w:marLeft w:val="0"/>
      <w:marRight w:val="0"/>
      <w:marTop w:val="0"/>
      <w:marBottom w:val="0"/>
      <w:divBdr>
        <w:top w:val="none" w:sz="0" w:space="0" w:color="auto"/>
        <w:left w:val="none" w:sz="0" w:space="0" w:color="auto"/>
        <w:bottom w:val="none" w:sz="0" w:space="0" w:color="auto"/>
        <w:right w:val="none" w:sz="0" w:space="0" w:color="auto"/>
      </w:divBdr>
      <w:divsChild>
        <w:div w:id="1608268231">
          <w:marLeft w:val="0"/>
          <w:marRight w:val="0"/>
          <w:marTop w:val="0"/>
          <w:marBottom w:val="0"/>
          <w:divBdr>
            <w:top w:val="none" w:sz="0" w:space="0" w:color="auto"/>
            <w:left w:val="none" w:sz="0" w:space="0" w:color="auto"/>
            <w:bottom w:val="none" w:sz="0" w:space="0" w:color="auto"/>
            <w:right w:val="none" w:sz="0" w:space="0" w:color="auto"/>
          </w:divBdr>
        </w:div>
      </w:divsChild>
    </w:div>
    <w:div w:id="637878902">
      <w:bodyDiv w:val="1"/>
      <w:marLeft w:val="0"/>
      <w:marRight w:val="0"/>
      <w:marTop w:val="0"/>
      <w:marBottom w:val="0"/>
      <w:divBdr>
        <w:top w:val="none" w:sz="0" w:space="0" w:color="auto"/>
        <w:left w:val="none" w:sz="0" w:space="0" w:color="auto"/>
        <w:bottom w:val="none" w:sz="0" w:space="0" w:color="auto"/>
        <w:right w:val="none" w:sz="0" w:space="0" w:color="auto"/>
      </w:divBdr>
      <w:divsChild>
        <w:div w:id="1999262773">
          <w:marLeft w:val="0"/>
          <w:marRight w:val="0"/>
          <w:marTop w:val="0"/>
          <w:marBottom w:val="0"/>
          <w:divBdr>
            <w:top w:val="none" w:sz="0" w:space="0" w:color="auto"/>
            <w:left w:val="none" w:sz="0" w:space="0" w:color="auto"/>
            <w:bottom w:val="none" w:sz="0" w:space="0" w:color="auto"/>
            <w:right w:val="none" w:sz="0" w:space="0" w:color="auto"/>
          </w:divBdr>
        </w:div>
      </w:divsChild>
    </w:div>
    <w:div w:id="770859388">
      <w:bodyDiv w:val="1"/>
      <w:marLeft w:val="0"/>
      <w:marRight w:val="0"/>
      <w:marTop w:val="0"/>
      <w:marBottom w:val="0"/>
      <w:divBdr>
        <w:top w:val="none" w:sz="0" w:space="0" w:color="auto"/>
        <w:left w:val="none" w:sz="0" w:space="0" w:color="auto"/>
        <w:bottom w:val="none" w:sz="0" w:space="0" w:color="auto"/>
        <w:right w:val="none" w:sz="0" w:space="0" w:color="auto"/>
      </w:divBdr>
      <w:divsChild>
        <w:div w:id="978531806">
          <w:marLeft w:val="0"/>
          <w:marRight w:val="0"/>
          <w:marTop w:val="0"/>
          <w:marBottom w:val="0"/>
          <w:divBdr>
            <w:top w:val="none" w:sz="0" w:space="0" w:color="auto"/>
            <w:left w:val="none" w:sz="0" w:space="0" w:color="auto"/>
            <w:bottom w:val="none" w:sz="0" w:space="0" w:color="auto"/>
            <w:right w:val="none" w:sz="0" w:space="0" w:color="auto"/>
          </w:divBdr>
        </w:div>
      </w:divsChild>
    </w:div>
    <w:div w:id="782114063">
      <w:bodyDiv w:val="1"/>
      <w:marLeft w:val="0"/>
      <w:marRight w:val="0"/>
      <w:marTop w:val="0"/>
      <w:marBottom w:val="0"/>
      <w:divBdr>
        <w:top w:val="none" w:sz="0" w:space="0" w:color="auto"/>
        <w:left w:val="none" w:sz="0" w:space="0" w:color="auto"/>
        <w:bottom w:val="none" w:sz="0" w:space="0" w:color="auto"/>
        <w:right w:val="none" w:sz="0" w:space="0" w:color="auto"/>
      </w:divBdr>
    </w:div>
    <w:div w:id="789858095">
      <w:bodyDiv w:val="1"/>
      <w:marLeft w:val="0"/>
      <w:marRight w:val="0"/>
      <w:marTop w:val="0"/>
      <w:marBottom w:val="0"/>
      <w:divBdr>
        <w:top w:val="none" w:sz="0" w:space="0" w:color="auto"/>
        <w:left w:val="none" w:sz="0" w:space="0" w:color="auto"/>
        <w:bottom w:val="none" w:sz="0" w:space="0" w:color="auto"/>
        <w:right w:val="none" w:sz="0" w:space="0" w:color="auto"/>
      </w:divBdr>
      <w:divsChild>
        <w:div w:id="1746143103">
          <w:marLeft w:val="0"/>
          <w:marRight w:val="0"/>
          <w:marTop w:val="0"/>
          <w:marBottom w:val="0"/>
          <w:divBdr>
            <w:top w:val="none" w:sz="0" w:space="0" w:color="auto"/>
            <w:left w:val="none" w:sz="0" w:space="0" w:color="auto"/>
            <w:bottom w:val="none" w:sz="0" w:space="0" w:color="auto"/>
            <w:right w:val="none" w:sz="0" w:space="0" w:color="auto"/>
          </w:divBdr>
        </w:div>
      </w:divsChild>
    </w:div>
    <w:div w:id="842164818">
      <w:bodyDiv w:val="1"/>
      <w:marLeft w:val="0"/>
      <w:marRight w:val="0"/>
      <w:marTop w:val="0"/>
      <w:marBottom w:val="0"/>
      <w:divBdr>
        <w:top w:val="none" w:sz="0" w:space="0" w:color="auto"/>
        <w:left w:val="none" w:sz="0" w:space="0" w:color="auto"/>
        <w:bottom w:val="none" w:sz="0" w:space="0" w:color="auto"/>
        <w:right w:val="none" w:sz="0" w:space="0" w:color="auto"/>
      </w:divBdr>
      <w:divsChild>
        <w:div w:id="1408576396">
          <w:marLeft w:val="0"/>
          <w:marRight w:val="0"/>
          <w:marTop w:val="0"/>
          <w:marBottom w:val="0"/>
          <w:divBdr>
            <w:top w:val="none" w:sz="0" w:space="0" w:color="auto"/>
            <w:left w:val="none" w:sz="0" w:space="0" w:color="auto"/>
            <w:bottom w:val="none" w:sz="0" w:space="0" w:color="auto"/>
            <w:right w:val="none" w:sz="0" w:space="0" w:color="auto"/>
          </w:divBdr>
        </w:div>
      </w:divsChild>
    </w:div>
    <w:div w:id="844831505">
      <w:bodyDiv w:val="1"/>
      <w:marLeft w:val="0"/>
      <w:marRight w:val="0"/>
      <w:marTop w:val="0"/>
      <w:marBottom w:val="0"/>
      <w:divBdr>
        <w:top w:val="none" w:sz="0" w:space="0" w:color="auto"/>
        <w:left w:val="none" w:sz="0" w:space="0" w:color="auto"/>
        <w:bottom w:val="none" w:sz="0" w:space="0" w:color="auto"/>
        <w:right w:val="none" w:sz="0" w:space="0" w:color="auto"/>
      </w:divBdr>
    </w:div>
    <w:div w:id="882134921">
      <w:bodyDiv w:val="1"/>
      <w:marLeft w:val="0"/>
      <w:marRight w:val="0"/>
      <w:marTop w:val="0"/>
      <w:marBottom w:val="0"/>
      <w:divBdr>
        <w:top w:val="none" w:sz="0" w:space="0" w:color="auto"/>
        <w:left w:val="none" w:sz="0" w:space="0" w:color="auto"/>
        <w:bottom w:val="none" w:sz="0" w:space="0" w:color="auto"/>
        <w:right w:val="none" w:sz="0" w:space="0" w:color="auto"/>
      </w:divBdr>
    </w:div>
    <w:div w:id="987438519">
      <w:bodyDiv w:val="1"/>
      <w:marLeft w:val="0"/>
      <w:marRight w:val="0"/>
      <w:marTop w:val="0"/>
      <w:marBottom w:val="0"/>
      <w:divBdr>
        <w:top w:val="none" w:sz="0" w:space="0" w:color="auto"/>
        <w:left w:val="none" w:sz="0" w:space="0" w:color="auto"/>
        <w:bottom w:val="none" w:sz="0" w:space="0" w:color="auto"/>
        <w:right w:val="none" w:sz="0" w:space="0" w:color="auto"/>
      </w:divBdr>
      <w:divsChild>
        <w:div w:id="96412727">
          <w:marLeft w:val="0"/>
          <w:marRight w:val="0"/>
          <w:marTop w:val="0"/>
          <w:marBottom w:val="0"/>
          <w:divBdr>
            <w:top w:val="none" w:sz="0" w:space="0" w:color="auto"/>
            <w:left w:val="none" w:sz="0" w:space="0" w:color="auto"/>
            <w:bottom w:val="none" w:sz="0" w:space="0" w:color="auto"/>
            <w:right w:val="none" w:sz="0" w:space="0" w:color="auto"/>
          </w:divBdr>
        </w:div>
        <w:div w:id="1752653034">
          <w:marLeft w:val="0"/>
          <w:marRight w:val="0"/>
          <w:marTop w:val="0"/>
          <w:marBottom w:val="0"/>
          <w:divBdr>
            <w:top w:val="none" w:sz="0" w:space="0" w:color="auto"/>
            <w:left w:val="none" w:sz="0" w:space="0" w:color="auto"/>
            <w:bottom w:val="none" w:sz="0" w:space="0" w:color="auto"/>
            <w:right w:val="none" w:sz="0" w:space="0" w:color="auto"/>
          </w:divBdr>
        </w:div>
        <w:div w:id="341393349">
          <w:marLeft w:val="0"/>
          <w:marRight w:val="0"/>
          <w:marTop w:val="0"/>
          <w:marBottom w:val="0"/>
          <w:divBdr>
            <w:top w:val="none" w:sz="0" w:space="0" w:color="auto"/>
            <w:left w:val="none" w:sz="0" w:space="0" w:color="auto"/>
            <w:bottom w:val="none" w:sz="0" w:space="0" w:color="auto"/>
            <w:right w:val="none" w:sz="0" w:space="0" w:color="auto"/>
          </w:divBdr>
        </w:div>
        <w:div w:id="2105875508">
          <w:marLeft w:val="0"/>
          <w:marRight w:val="0"/>
          <w:marTop w:val="0"/>
          <w:marBottom w:val="0"/>
          <w:divBdr>
            <w:top w:val="none" w:sz="0" w:space="0" w:color="auto"/>
            <w:left w:val="none" w:sz="0" w:space="0" w:color="auto"/>
            <w:bottom w:val="none" w:sz="0" w:space="0" w:color="auto"/>
            <w:right w:val="none" w:sz="0" w:space="0" w:color="auto"/>
          </w:divBdr>
        </w:div>
        <w:div w:id="146098410">
          <w:marLeft w:val="0"/>
          <w:marRight w:val="0"/>
          <w:marTop w:val="0"/>
          <w:marBottom w:val="0"/>
          <w:divBdr>
            <w:top w:val="none" w:sz="0" w:space="0" w:color="auto"/>
            <w:left w:val="none" w:sz="0" w:space="0" w:color="auto"/>
            <w:bottom w:val="none" w:sz="0" w:space="0" w:color="auto"/>
            <w:right w:val="none" w:sz="0" w:space="0" w:color="auto"/>
          </w:divBdr>
        </w:div>
        <w:div w:id="1185755283">
          <w:marLeft w:val="0"/>
          <w:marRight w:val="0"/>
          <w:marTop w:val="0"/>
          <w:marBottom w:val="0"/>
          <w:divBdr>
            <w:top w:val="none" w:sz="0" w:space="0" w:color="auto"/>
            <w:left w:val="none" w:sz="0" w:space="0" w:color="auto"/>
            <w:bottom w:val="none" w:sz="0" w:space="0" w:color="auto"/>
            <w:right w:val="none" w:sz="0" w:space="0" w:color="auto"/>
          </w:divBdr>
        </w:div>
        <w:div w:id="2124299432">
          <w:marLeft w:val="0"/>
          <w:marRight w:val="0"/>
          <w:marTop w:val="0"/>
          <w:marBottom w:val="0"/>
          <w:divBdr>
            <w:top w:val="none" w:sz="0" w:space="0" w:color="auto"/>
            <w:left w:val="none" w:sz="0" w:space="0" w:color="auto"/>
            <w:bottom w:val="none" w:sz="0" w:space="0" w:color="auto"/>
            <w:right w:val="none" w:sz="0" w:space="0" w:color="auto"/>
          </w:divBdr>
        </w:div>
        <w:div w:id="425879392">
          <w:marLeft w:val="0"/>
          <w:marRight w:val="0"/>
          <w:marTop w:val="0"/>
          <w:marBottom w:val="0"/>
          <w:divBdr>
            <w:top w:val="none" w:sz="0" w:space="0" w:color="auto"/>
            <w:left w:val="none" w:sz="0" w:space="0" w:color="auto"/>
            <w:bottom w:val="none" w:sz="0" w:space="0" w:color="auto"/>
            <w:right w:val="none" w:sz="0" w:space="0" w:color="auto"/>
          </w:divBdr>
        </w:div>
        <w:div w:id="2139834702">
          <w:marLeft w:val="0"/>
          <w:marRight w:val="0"/>
          <w:marTop w:val="0"/>
          <w:marBottom w:val="0"/>
          <w:divBdr>
            <w:top w:val="none" w:sz="0" w:space="0" w:color="auto"/>
            <w:left w:val="none" w:sz="0" w:space="0" w:color="auto"/>
            <w:bottom w:val="none" w:sz="0" w:space="0" w:color="auto"/>
            <w:right w:val="none" w:sz="0" w:space="0" w:color="auto"/>
          </w:divBdr>
        </w:div>
        <w:div w:id="1275551165">
          <w:marLeft w:val="0"/>
          <w:marRight w:val="0"/>
          <w:marTop w:val="0"/>
          <w:marBottom w:val="0"/>
          <w:divBdr>
            <w:top w:val="none" w:sz="0" w:space="0" w:color="auto"/>
            <w:left w:val="none" w:sz="0" w:space="0" w:color="auto"/>
            <w:bottom w:val="none" w:sz="0" w:space="0" w:color="auto"/>
            <w:right w:val="none" w:sz="0" w:space="0" w:color="auto"/>
          </w:divBdr>
        </w:div>
        <w:div w:id="1334453210">
          <w:marLeft w:val="0"/>
          <w:marRight w:val="0"/>
          <w:marTop w:val="0"/>
          <w:marBottom w:val="0"/>
          <w:divBdr>
            <w:top w:val="none" w:sz="0" w:space="0" w:color="auto"/>
            <w:left w:val="none" w:sz="0" w:space="0" w:color="auto"/>
            <w:bottom w:val="none" w:sz="0" w:space="0" w:color="auto"/>
            <w:right w:val="none" w:sz="0" w:space="0" w:color="auto"/>
          </w:divBdr>
        </w:div>
        <w:div w:id="51582025">
          <w:marLeft w:val="0"/>
          <w:marRight w:val="0"/>
          <w:marTop w:val="0"/>
          <w:marBottom w:val="0"/>
          <w:divBdr>
            <w:top w:val="none" w:sz="0" w:space="0" w:color="auto"/>
            <w:left w:val="none" w:sz="0" w:space="0" w:color="auto"/>
            <w:bottom w:val="none" w:sz="0" w:space="0" w:color="auto"/>
            <w:right w:val="none" w:sz="0" w:space="0" w:color="auto"/>
          </w:divBdr>
        </w:div>
        <w:div w:id="1018315044">
          <w:marLeft w:val="0"/>
          <w:marRight w:val="0"/>
          <w:marTop w:val="0"/>
          <w:marBottom w:val="0"/>
          <w:divBdr>
            <w:top w:val="none" w:sz="0" w:space="0" w:color="auto"/>
            <w:left w:val="none" w:sz="0" w:space="0" w:color="auto"/>
            <w:bottom w:val="none" w:sz="0" w:space="0" w:color="auto"/>
            <w:right w:val="none" w:sz="0" w:space="0" w:color="auto"/>
          </w:divBdr>
        </w:div>
        <w:div w:id="436174792">
          <w:marLeft w:val="0"/>
          <w:marRight w:val="0"/>
          <w:marTop w:val="0"/>
          <w:marBottom w:val="0"/>
          <w:divBdr>
            <w:top w:val="none" w:sz="0" w:space="0" w:color="auto"/>
            <w:left w:val="none" w:sz="0" w:space="0" w:color="auto"/>
            <w:bottom w:val="none" w:sz="0" w:space="0" w:color="auto"/>
            <w:right w:val="none" w:sz="0" w:space="0" w:color="auto"/>
          </w:divBdr>
        </w:div>
        <w:div w:id="1469325519">
          <w:marLeft w:val="0"/>
          <w:marRight w:val="0"/>
          <w:marTop w:val="0"/>
          <w:marBottom w:val="0"/>
          <w:divBdr>
            <w:top w:val="none" w:sz="0" w:space="0" w:color="auto"/>
            <w:left w:val="none" w:sz="0" w:space="0" w:color="auto"/>
            <w:bottom w:val="none" w:sz="0" w:space="0" w:color="auto"/>
            <w:right w:val="none" w:sz="0" w:space="0" w:color="auto"/>
          </w:divBdr>
        </w:div>
        <w:div w:id="751778511">
          <w:marLeft w:val="0"/>
          <w:marRight w:val="0"/>
          <w:marTop w:val="0"/>
          <w:marBottom w:val="0"/>
          <w:divBdr>
            <w:top w:val="none" w:sz="0" w:space="0" w:color="auto"/>
            <w:left w:val="none" w:sz="0" w:space="0" w:color="auto"/>
            <w:bottom w:val="none" w:sz="0" w:space="0" w:color="auto"/>
            <w:right w:val="none" w:sz="0" w:space="0" w:color="auto"/>
          </w:divBdr>
        </w:div>
        <w:div w:id="934242516">
          <w:marLeft w:val="0"/>
          <w:marRight w:val="0"/>
          <w:marTop w:val="0"/>
          <w:marBottom w:val="0"/>
          <w:divBdr>
            <w:top w:val="none" w:sz="0" w:space="0" w:color="auto"/>
            <w:left w:val="none" w:sz="0" w:space="0" w:color="auto"/>
            <w:bottom w:val="none" w:sz="0" w:space="0" w:color="auto"/>
            <w:right w:val="none" w:sz="0" w:space="0" w:color="auto"/>
          </w:divBdr>
        </w:div>
        <w:div w:id="668604322">
          <w:marLeft w:val="0"/>
          <w:marRight w:val="0"/>
          <w:marTop w:val="0"/>
          <w:marBottom w:val="0"/>
          <w:divBdr>
            <w:top w:val="none" w:sz="0" w:space="0" w:color="auto"/>
            <w:left w:val="none" w:sz="0" w:space="0" w:color="auto"/>
            <w:bottom w:val="none" w:sz="0" w:space="0" w:color="auto"/>
            <w:right w:val="none" w:sz="0" w:space="0" w:color="auto"/>
          </w:divBdr>
        </w:div>
        <w:div w:id="983504946">
          <w:marLeft w:val="0"/>
          <w:marRight w:val="0"/>
          <w:marTop w:val="0"/>
          <w:marBottom w:val="0"/>
          <w:divBdr>
            <w:top w:val="none" w:sz="0" w:space="0" w:color="auto"/>
            <w:left w:val="none" w:sz="0" w:space="0" w:color="auto"/>
            <w:bottom w:val="none" w:sz="0" w:space="0" w:color="auto"/>
            <w:right w:val="none" w:sz="0" w:space="0" w:color="auto"/>
          </w:divBdr>
        </w:div>
      </w:divsChild>
    </w:div>
    <w:div w:id="992291988">
      <w:bodyDiv w:val="1"/>
      <w:marLeft w:val="0"/>
      <w:marRight w:val="0"/>
      <w:marTop w:val="0"/>
      <w:marBottom w:val="0"/>
      <w:divBdr>
        <w:top w:val="none" w:sz="0" w:space="0" w:color="auto"/>
        <w:left w:val="none" w:sz="0" w:space="0" w:color="auto"/>
        <w:bottom w:val="none" w:sz="0" w:space="0" w:color="auto"/>
        <w:right w:val="none" w:sz="0" w:space="0" w:color="auto"/>
      </w:divBdr>
      <w:divsChild>
        <w:div w:id="2096586250">
          <w:marLeft w:val="0"/>
          <w:marRight w:val="0"/>
          <w:marTop w:val="0"/>
          <w:marBottom w:val="0"/>
          <w:divBdr>
            <w:top w:val="none" w:sz="0" w:space="0" w:color="auto"/>
            <w:left w:val="none" w:sz="0" w:space="0" w:color="auto"/>
            <w:bottom w:val="none" w:sz="0" w:space="0" w:color="auto"/>
            <w:right w:val="none" w:sz="0" w:space="0" w:color="auto"/>
          </w:divBdr>
        </w:div>
      </w:divsChild>
    </w:div>
    <w:div w:id="1022974996">
      <w:bodyDiv w:val="1"/>
      <w:marLeft w:val="0"/>
      <w:marRight w:val="0"/>
      <w:marTop w:val="0"/>
      <w:marBottom w:val="0"/>
      <w:divBdr>
        <w:top w:val="none" w:sz="0" w:space="0" w:color="auto"/>
        <w:left w:val="none" w:sz="0" w:space="0" w:color="auto"/>
        <w:bottom w:val="none" w:sz="0" w:space="0" w:color="auto"/>
        <w:right w:val="none" w:sz="0" w:space="0" w:color="auto"/>
      </w:divBdr>
      <w:divsChild>
        <w:div w:id="909117502">
          <w:marLeft w:val="0"/>
          <w:marRight w:val="0"/>
          <w:marTop w:val="0"/>
          <w:marBottom w:val="0"/>
          <w:divBdr>
            <w:top w:val="none" w:sz="0" w:space="0" w:color="auto"/>
            <w:left w:val="none" w:sz="0" w:space="0" w:color="auto"/>
            <w:bottom w:val="none" w:sz="0" w:space="0" w:color="auto"/>
            <w:right w:val="none" w:sz="0" w:space="0" w:color="auto"/>
          </w:divBdr>
        </w:div>
      </w:divsChild>
    </w:div>
    <w:div w:id="1028456849">
      <w:bodyDiv w:val="1"/>
      <w:marLeft w:val="0"/>
      <w:marRight w:val="0"/>
      <w:marTop w:val="0"/>
      <w:marBottom w:val="0"/>
      <w:divBdr>
        <w:top w:val="none" w:sz="0" w:space="0" w:color="auto"/>
        <w:left w:val="none" w:sz="0" w:space="0" w:color="auto"/>
        <w:bottom w:val="none" w:sz="0" w:space="0" w:color="auto"/>
        <w:right w:val="none" w:sz="0" w:space="0" w:color="auto"/>
      </w:divBdr>
      <w:divsChild>
        <w:div w:id="2065059597">
          <w:marLeft w:val="0"/>
          <w:marRight w:val="0"/>
          <w:marTop w:val="0"/>
          <w:marBottom w:val="0"/>
          <w:divBdr>
            <w:top w:val="none" w:sz="0" w:space="0" w:color="auto"/>
            <w:left w:val="none" w:sz="0" w:space="0" w:color="auto"/>
            <w:bottom w:val="none" w:sz="0" w:space="0" w:color="auto"/>
            <w:right w:val="none" w:sz="0" w:space="0" w:color="auto"/>
          </w:divBdr>
        </w:div>
      </w:divsChild>
    </w:div>
    <w:div w:id="1226524490">
      <w:bodyDiv w:val="1"/>
      <w:marLeft w:val="0"/>
      <w:marRight w:val="0"/>
      <w:marTop w:val="0"/>
      <w:marBottom w:val="0"/>
      <w:divBdr>
        <w:top w:val="none" w:sz="0" w:space="0" w:color="auto"/>
        <w:left w:val="none" w:sz="0" w:space="0" w:color="auto"/>
        <w:bottom w:val="none" w:sz="0" w:space="0" w:color="auto"/>
        <w:right w:val="none" w:sz="0" w:space="0" w:color="auto"/>
      </w:divBdr>
      <w:divsChild>
        <w:div w:id="1764836292">
          <w:marLeft w:val="0"/>
          <w:marRight w:val="0"/>
          <w:marTop w:val="0"/>
          <w:marBottom w:val="0"/>
          <w:divBdr>
            <w:top w:val="none" w:sz="0" w:space="0" w:color="auto"/>
            <w:left w:val="none" w:sz="0" w:space="0" w:color="auto"/>
            <w:bottom w:val="none" w:sz="0" w:space="0" w:color="auto"/>
            <w:right w:val="none" w:sz="0" w:space="0" w:color="auto"/>
          </w:divBdr>
        </w:div>
      </w:divsChild>
    </w:div>
    <w:div w:id="1266959502">
      <w:bodyDiv w:val="1"/>
      <w:marLeft w:val="0"/>
      <w:marRight w:val="0"/>
      <w:marTop w:val="0"/>
      <w:marBottom w:val="0"/>
      <w:divBdr>
        <w:top w:val="none" w:sz="0" w:space="0" w:color="auto"/>
        <w:left w:val="none" w:sz="0" w:space="0" w:color="auto"/>
        <w:bottom w:val="none" w:sz="0" w:space="0" w:color="auto"/>
        <w:right w:val="none" w:sz="0" w:space="0" w:color="auto"/>
      </w:divBdr>
    </w:div>
    <w:div w:id="1337348162">
      <w:bodyDiv w:val="1"/>
      <w:marLeft w:val="0"/>
      <w:marRight w:val="0"/>
      <w:marTop w:val="0"/>
      <w:marBottom w:val="0"/>
      <w:divBdr>
        <w:top w:val="none" w:sz="0" w:space="0" w:color="auto"/>
        <w:left w:val="none" w:sz="0" w:space="0" w:color="auto"/>
        <w:bottom w:val="none" w:sz="0" w:space="0" w:color="auto"/>
        <w:right w:val="none" w:sz="0" w:space="0" w:color="auto"/>
      </w:divBdr>
      <w:divsChild>
        <w:div w:id="1290474583">
          <w:marLeft w:val="0"/>
          <w:marRight w:val="0"/>
          <w:marTop w:val="0"/>
          <w:marBottom w:val="0"/>
          <w:divBdr>
            <w:top w:val="none" w:sz="0" w:space="0" w:color="auto"/>
            <w:left w:val="none" w:sz="0" w:space="0" w:color="auto"/>
            <w:bottom w:val="none" w:sz="0" w:space="0" w:color="auto"/>
            <w:right w:val="none" w:sz="0" w:space="0" w:color="auto"/>
          </w:divBdr>
        </w:div>
        <w:div w:id="1395395980">
          <w:marLeft w:val="0"/>
          <w:marRight w:val="0"/>
          <w:marTop w:val="0"/>
          <w:marBottom w:val="0"/>
          <w:divBdr>
            <w:top w:val="none" w:sz="0" w:space="0" w:color="auto"/>
            <w:left w:val="none" w:sz="0" w:space="0" w:color="auto"/>
            <w:bottom w:val="none" w:sz="0" w:space="0" w:color="auto"/>
            <w:right w:val="none" w:sz="0" w:space="0" w:color="auto"/>
          </w:divBdr>
        </w:div>
        <w:div w:id="1256012733">
          <w:marLeft w:val="0"/>
          <w:marRight w:val="0"/>
          <w:marTop w:val="0"/>
          <w:marBottom w:val="0"/>
          <w:divBdr>
            <w:top w:val="none" w:sz="0" w:space="0" w:color="auto"/>
            <w:left w:val="none" w:sz="0" w:space="0" w:color="auto"/>
            <w:bottom w:val="none" w:sz="0" w:space="0" w:color="auto"/>
            <w:right w:val="none" w:sz="0" w:space="0" w:color="auto"/>
          </w:divBdr>
        </w:div>
      </w:divsChild>
    </w:div>
    <w:div w:id="1385984323">
      <w:bodyDiv w:val="1"/>
      <w:marLeft w:val="0"/>
      <w:marRight w:val="0"/>
      <w:marTop w:val="0"/>
      <w:marBottom w:val="0"/>
      <w:divBdr>
        <w:top w:val="none" w:sz="0" w:space="0" w:color="auto"/>
        <w:left w:val="none" w:sz="0" w:space="0" w:color="auto"/>
        <w:bottom w:val="none" w:sz="0" w:space="0" w:color="auto"/>
        <w:right w:val="none" w:sz="0" w:space="0" w:color="auto"/>
      </w:divBdr>
    </w:div>
    <w:div w:id="1428423583">
      <w:bodyDiv w:val="1"/>
      <w:marLeft w:val="0"/>
      <w:marRight w:val="0"/>
      <w:marTop w:val="0"/>
      <w:marBottom w:val="0"/>
      <w:divBdr>
        <w:top w:val="none" w:sz="0" w:space="0" w:color="auto"/>
        <w:left w:val="none" w:sz="0" w:space="0" w:color="auto"/>
        <w:bottom w:val="none" w:sz="0" w:space="0" w:color="auto"/>
        <w:right w:val="none" w:sz="0" w:space="0" w:color="auto"/>
      </w:divBdr>
      <w:divsChild>
        <w:div w:id="1698581144">
          <w:marLeft w:val="0"/>
          <w:marRight w:val="0"/>
          <w:marTop w:val="0"/>
          <w:marBottom w:val="0"/>
          <w:divBdr>
            <w:top w:val="none" w:sz="0" w:space="0" w:color="auto"/>
            <w:left w:val="none" w:sz="0" w:space="0" w:color="auto"/>
            <w:bottom w:val="none" w:sz="0" w:space="0" w:color="auto"/>
            <w:right w:val="none" w:sz="0" w:space="0" w:color="auto"/>
          </w:divBdr>
        </w:div>
      </w:divsChild>
    </w:div>
    <w:div w:id="1602224447">
      <w:bodyDiv w:val="1"/>
      <w:marLeft w:val="0"/>
      <w:marRight w:val="0"/>
      <w:marTop w:val="0"/>
      <w:marBottom w:val="0"/>
      <w:divBdr>
        <w:top w:val="none" w:sz="0" w:space="0" w:color="auto"/>
        <w:left w:val="none" w:sz="0" w:space="0" w:color="auto"/>
        <w:bottom w:val="none" w:sz="0" w:space="0" w:color="auto"/>
        <w:right w:val="none" w:sz="0" w:space="0" w:color="auto"/>
      </w:divBdr>
      <w:divsChild>
        <w:div w:id="1973749059">
          <w:marLeft w:val="0"/>
          <w:marRight w:val="0"/>
          <w:marTop w:val="0"/>
          <w:marBottom w:val="0"/>
          <w:divBdr>
            <w:top w:val="none" w:sz="0" w:space="0" w:color="auto"/>
            <w:left w:val="none" w:sz="0" w:space="0" w:color="auto"/>
            <w:bottom w:val="none" w:sz="0" w:space="0" w:color="auto"/>
            <w:right w:val="none" w:sz="0" w:space="0" w:color="auto"/>
          </w:divBdr>
        </w:div>
      </w:divsChild>
    </w:div>
    <w:div w:id="1604411360">
      <w:bodyDiv w:val="1"/>
      <w:marLeft w:val="0"/>
      <w:marRight w:val="0"/>
      <w:marTop w:val="0"/>
      <w:marBottom w:val="0"/>
      <w:divBdr>
        <w:top w:val="none" w:sz="0" w:space="0" w:color="auto"/>
        <w:left w:val="none" w:sz="0" w:space="0" w:color="auto"/>
        <w:bottom w:val="none" w:sz="0" w:space="0" w:color="auto"/>
        <w:right w:val="none" w:sz="0" w:space="0" w:color="auto"/>
      </w:divBdr>
      <w:divsChild>
        <w:div w:id="39668857">
          <w:marLeft w:val="0"/>
          <w:marRight w:val="0"/>
          <w:marTop w:val="0"/>
          <w:marBottom w:val="0"/>
          <w:divBdr>
            <w:top w:val="none" w:sz="0" w:space="0" w:color="auto"/>
            <w:left w:val="none" w:sz="0" w:space="0" w:color="auto"/>
            <w:bottom w:val="none" w:sz="0" w:space="0" w:color="auto"/>
            <w:right w:val="none" w:sz="0" w:space="0" w:color="auto"/>
          </w:divBdr>
        </w:div>
      </w:divsChild>
    </w:div>
    <w:div w:id="1610233740">
      <w:bodyDiv w:val="1"/>
      <w:marLeft w:val="0"/>
      <w:marRight w:val="0"/>
      <w:marTop w:val="0"/>
      <w:marBottom w:val="0"/>
      <w:divBdr>
        <w:top w:val="none" w:sz="0" w:space="0" w:color="auto"/>
        <w:left w:val="none" w:sz="0" w:space="0" w:color="auto"/>
        <w:bottom w:val="none" w:sz="0" w:space="0" w:color="auto"/>
        <w:right w:val="none" w:sz="0" w:space="0" w:color="auto"/>
      </w:divBdr>
      <w:divsChild>
        <w:div w:id="1189485165">
          <w:marLeft w:val="0"/>
          <w:marRight w:val="0"/>
          <w:marTop w:val="0"/>
          <w:marBottom w:val="0"/>
          <w:divBdr>
            <w:top w:val="none" w:sz="0" w:space="0" w:color="auto"/>
            <w:left w:val="none" w:sz="0" w:space="0" w:color="auto"/>
            <w:bottom w:val="none" w:sz="0" w:space="0" w:color="auto"/>
            <w:right w:val="none" w:sz="0" w:space="0" w:color="auto"/>
          </w:divBdr>
        </w:div>
      </w:divsChild>
    </w:div>
    <w:div w:id="1699693533">
      <w:bodyDiv w:val="1"/>
      <w:marLeft w:val="0"/>
      <w:marRight w:val="0"/>
      <w:marTop w:val="0"/>
      <w:marBottom w:val="0"/>
      <w:divBdr>
        <w:top w:val="none" w:sz="0" w:space="0" w:color="auto"/>
        <w:left w:val="none" w:sz="0" w:space="0" w:color="auto"/>
        <w:bottom w:val="none" w:sz="0" w:space="0" w:color="auto"/>
        <w:right w:val="none" w:sz="0" w:space="0" w:color="auto"/>
      </w:divBdr>
      <w:divsChild>
        <w:div w:id="1209534754">
          <w:marLeft w:val="0"/>
          <w:marRight w:val="0"/>
          <w:marTop w:val="0"/>
          <w:marBottom w:val="0"/>
          <w:divBdr>
            <w:top w:val="none" w:sz="0" w:space="0" w:color="auto"/>
            <w:left w:val="none" w:sz="0" w:space="0" w:color="auto"/>
            <w:bottom w:val="none" w:sz="0" w:space="0" w:color="auto"/>
            <w:right w:val="none" w:sz="0" w:space="0" w:color="auto"/>
          </w:divBdr>
        </w:div>
      </w:divsChild>
    </w:div>
    <w:div w:id="1769425031">
      <w:bodyDiv w:val="1"/>
      <w:marLeft w:val="0"/>
      <w:marRight w:val="0"/>
      <w:marTop w:val="0"/>
      <w:marBottom w:val="0"/>
      <w:divBdr>
        <w:top w:val="none" w:sz="0" w:space="0" w:color="auto"/>
        <w:left w:val="none" w:sz="0" w:space="0" w:color="auto"/>
        <w:bottom w:val="none" w:sz="0" w:space="0" w:color="auto"/>
        <w:right w:val="none" w:sz="0" w:space="0" w:color="auto"/>
      </w:divBdr>
      <w:divsChild>
        <w:div w:id="875241390">
          <w:marLeft w:val="0"/>
          <w:marRight w:val="0"/>
          <w:marTop w:val="0"/>
          <w:marBottom w:val="0"/>
          <w:divBdr>
            <w:top w:val="none" w:sz="0" w:space="0" w:color="auto"/>
            <w:left w:val="none" w:sz="0" w:space="0" w:color="auto"/>
            <w:bottom w:val="none" w:sz="0" w:space="0" w:color="auto"/>
            <w:right w:val="none" w:sz="0" w:space="0" w:color="auto"/>
          </w:divBdr>
        </w:div>
      </w:divsChild>
    </w:div>
    <w:div w:id="1915433994">
      <w:bodyDiv w:val="1"/>
      <w:marLeft w:val="0"/>
      <w:marRight w:val="0"/>
      <w:marTop w:val="0"/>
      <w:marBottom w:val="0"/>
      <w:divBdr>
        <w:top w:val="none" w:sz="0" w:space="0" w:color="auto"/>
        <w:left w:val="none" w:sz="0" w:space="0" w:color="auto"/>
        <w:bottom w:val="none" w:sz="0" w:space="0" w:color="auto"/>
        <w:right w:val="none" w:sz="0" w:space="0" w:color="auto"/>
      </w:divBdr>
    </w:div>
    <w:div w:id="1996449754">
      <w:bodyDiv w:val="1"/>
      <w:marLeft w:val="0"/>
      <w:marRight w:val="0"/>
      <w:marTop w:val="0"/>
      <w:marBottom w:val="0"/>
      <w:divBdr>
        <w:top w:val="none" w:sz="0" w:space="0" w:color="auto"/>
        <w:left w:val="none" w:sz="0" w:space="0" w:color="auto"/>
        <w:bottom w:val="none" w:sz="0" w:space="0" w:color="auto"/>
        <w:right w:val="none" w:sz="0" w:space="0" w:color="auto"/>
      </w:divBdr>
      <w:divsChild>
        <w:div w:id="608123718">
          <w:marLeft w:val="0"/>
          <w:marRight w:val="0"/>
          <w:marTop w:val="0"/>
          <w:marBottom w:val="0"/>
          <w:divBdr>
            <w:top w:val="none" w:sz="0" w:space="0" w:color="auto"/>
            <w:left w:val="none" w:sz="0" w:space="0" w:color="auto"/>
            <w:bottom w:val="none" w:sz="0" w:space="0" w:color="auto"/>
            <w:right w:val="none" w:sz="0" w:space="0" w:color="auto"/>
          </w:divBdr>
        </w:div>
      </w:divsChild>
    </w:div>
    <w:div w:id="2010668690">
      <w:bodyDiv w:val="1"/>
      <w:marLeft w:val="0"/>
      <w:marRight w:val="0"/>
      <w:marTop w:val="0"/>
      <w:marBottom w:val="0"/>
      <w:divBdr>
        <w:top w:val="none" w:sz="0" w:space="0" w:color="auto"/>
        <w:left w:val="none" w:sz="0" w:space="0" w:color="auto"/>
        <w:bottom w:val="none" w:sz="0" w:space="0" w:color="auto"/>
        <w:right w:val="none" w:sz="0" w:space="0" w:color="auto"/>
      </w:divBdr>
      <w:divsChild>
        <w:div w:id="1044597428">
          <w:marLeft w:val="0"/>
          <w:marRight w:val="0"/>
          <w:marTop w:val="0"/>
          <w:marBottom w:val="0"/>
          <w:divBdr>
            <w:top w:val="none" w:sz="0" w:space="0" w:color="auto"/>
            <w:left w:val="none" w:sz="0" w:space="0" w:color="auto"/>
            <w:bottom w:val="none" w:sz="0" w:space="0" w:color="auto"/>
            <w:right w:val="none" w:sz="0" w:space="0" w:color="auto"/>
          </w:divBdr>
        </w:div>
      </w:divsChild>
    </w:div>
    <w:div w:id="213451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oleObject" Target="embeddings/oleObject2.bin"/><Relationship Id="rId18" Type="http://schemas.openxmlformats.org/officeDocument/2006/relationships/image" Target="media/image10.wmf"/><Relationship Id="rId3" Type="http://schemas.openxmlformats.org/officeDocument/2006/relationships/settings" Target="settings.xml"/><Relationship Id="rId21" Type="http://schemas.openxmlformats.org/officeDocument/2006/relationships/image" Target="media/image12.emf"/><Relationship Id="rId7" Type="http://schemas.openxmlformats.org/officeDocument/2006/relationships/image" Target="media/image3.emf"/><Relationship Id="rId12" Type="http://schemas.openxmlformats.org/officeDocument/2006/relationships/image" Target="media/image7.wmf"/><Relationship Id="rId17" Type="http://schemas.openxmlformats.org/officeDocument/2006/relationships/oleObject" Target="embeddings/oleObject4.bin"/><Relationship Id="rId2" Type="http://schemas.openxmlformats.org/officeDocument/2006/relationships/styles" Target="styles.xml"/><Relationship Id="rId16" Type="http://schemas.openxmlformats.org/officeDocument/2006/relationships/image" Target="media/image9.wmf"/><Relationship Id="rId20" Type="http://schemas.openxmlformats.org/officeDocument/2006/relationships/image" Target="media/image11.emf"/><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oleObject" Target="embeddings/oleObject1.bin"/><Relationship Id="rId24" Type="http://schemas.microsoft.com/office/2018/08/relationships/commentsExtensible" Target="commentsExtensible.xml"/><Relationship Id="rId5" Type="http://schemas.openxmlformats.org/officeDocument/2006/relationships/image" Target="media/image1.png"/><Relationship Id="rId15" Type="http://schemas.openxmlformats.org/officeDocument/2006/relationships/oleObject" Target="embeddings/oleObject3.bin"/><Relationship Id="rId23" Type="http://schemas.openxmlformats.org/officeDocument/2006/relationships/theme" Target="theme/theme1.xml"/><Relationship Id="rId10" Type="http://schemas.openxmlformats.org/officeDocument/2006/relationships/image" Target="media/image6.wmf"/><Relationship Id="rId19" Type="http://schemas.openxmlformats.org/officeDocument/2006/relationships/oleObject" Target="embeddings/oleObject5.bin"/><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8.w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1392</TotalTime>
  <Pages>12</Pages>
  <Words>5896</Words>
  <Characters>33609</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Ugo Gruden</dc:creator>
  <cp:keywords/>
  <dc:description/>
  <cp:lastModifiedBy>Ugo Gruden</cp:lastModifiedBy>
  <cp:revision>26</cp:revision>
  <cp:lastPrinted>2026-06-30T08:55:00Z</cp:lastPrinted>
  <dcterms:created xsi:type="dcterms:W3CDTF">2026-06-29T09:43:00Z</dcterms:created>
  <dcterms:modified xsi:type="dcterms:W3CDTF">2026-08-24T06:42:00Z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c6b66b89-9361-4a8e-88ac-fe829eba71a4</vt:lpwstr>
  </property>
</Properties>
</file>