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FC622" w14:textId="2E23E522" w:rsidR="00DB52E7" w:rsidRDefault="004053B5" w:rsidP="00B32703">
      <w:pPr>
        <w:pStyle w:val="SWCTitle"/>
        <w:rPr>
          <w:sz w:val="28"/>
          <w:szCs w:val="28"/>
        </w:rPr>
      </w:pPr>
      <w:r w:rsidRPr="0C79E7B2">
        <w:rPr>
          <w:sz w:val="28"/>
          <w:szCs w:val="28"/>
        </w:rPr>
        <w:t>EuroSun</w:t>
      </w:r>
      <w:r w:rsidR="00FC1781" w:rsidRPr="0C79E7B2">
        <w:rPr>
          <w:sz w:val="28"/>
          <w:szCs w:val="28"/>
        </w:rPr>
        <w:t>202</w:t>
      </w:r>
      <w:r w:rsidR="00FA4DF8" w:rsidRPr="0C79E7B2">
        <w:rPr>
          <w:sz w:val="28"/>
          <w:szCs w:val="28"/>
        </w:rPr>
        <w:t>6</w:t>
      </w:r>
    </w:p>
    <w:p w14:paraId="7EB3865B" w14:textId="058AD6F9" w:rsidR="00A01B7A" w:rsidRPr="003472DC" w:rsidRDefault="00B32703" w:rsidP="00A01B7A">
      <w:pPr>
        <w:jc w:val="center"/>
        <w:rPr>
          <w:b/>
          <w:bCs/>
          <w:lang w:val="en-US"/>
        </w:rPr>
      </w:pPr>
      <w:r w:rsidRPr="00A01B7A">
        <w:rPr>
          <w:sz w:val="28"/>
          <w:szCs w:val="28"/>
          <w:lang w:val="en-US"/>
        </w:rPr>
        <w:br/>
      </w:r>
      <w:r w:rsidR="00A01B7A" w:rsidRPr="00A01B7A">
        <w:rPr>
          <w:rFonts w:ascii="Arial" w:hAnsi="Arial"/>
          <w:b/>
          <w:color w:val="000000"/>
          <w:sz w:val="28"/>
          <w:szCs w:val="28"/>
          <w:lang w:val="en-US"/>
        </w:rPr>
        <w:t>Supporting solar photoreactor development for Solar-to-X applications with key performance indicator framework</w:t>
      </w:r>
    </w:p>
    <w:p w14:paraId="2B536CB4" w14:textId="77777777" w:rsidR="001A775B" w:rsidRPr="00792BAB" w:rsidRDefault="001A775B" w:rsidP="00792BAB">
      <w:pPr>
        <w:pStyle w:val="SWCTitle"/>
        <w:pBdr>
          <w:bottom w:val="single" w:sz="6" w:space="1" w:color="auto"/>
        </w:pBdr>
        <w:spacing w:before="0" w:line="240" w:lineRule="auto"/>
        <w:rPr>
          <w:sz w:val="16"/>
          <w:szCs w:val="16"/>
        </w:rPr>
      </w:pPr>
    </w:p>
    <w:p w14:paraId="3A7DF4B5" w14:textId="77777777" w:rsidR="001A775B" w:rsidRDefault="001A775B" w:rsidP="001A775B">
      <w:pPr>
        <w:pStyle w:val="SWCSummary"/>
      </w:pPr>
      <w:r>
        <w:t>Summary</w:t>
      </w:r>
    </w:p>
    <w:p w14:paraId="0D2189E4" w14:textId="59D18303" w:rsidR="001A775B" w:rsidRDefault="00A01B7A" w:rsidP="7D522D5D">
      <w:pPr>
        <w:pStyle w:val="SWCText"/>
        <w:pBdr>
          <w:bottom w:val="single" w:sz="6" w:space="1" w:color="auto"/>
        </w:pBdr>
      </w:pPr>
      <w:r w:rsidRPr="00A01B7A">
        <w:t xml:space="preserve">This work elaborates a framework of key performance indicators for Solar-to-X devices as recommendation to research, industry and policy for a transparent and fair evaluation of solar photoreactors and systems </w:t>
      </w:r>
      <w:proofErr w:type="gramStart"/>
      <w:r w:rsidRPr="00A01B7A">
        <w:t>in order to</w:t>
      </w:r>
      <w:proofErr w:type="gramEnd"/>
      <w:r w:rsidRPr="00A01B7A">
        <w:t xml:space="preserve"> enable comparability and deduct conclusions for further development needs.</w:t>
      </w:r>
    </w:p>
    <w:p w14:paraId="5AB3A3E7" w14:textId="1F4BCD3F" w:rsidR="00DB52E7" w:rsidRDefault="00DB52E7" w:rsidP="001A775B">
      <w:pPr>
        <w:pStyle w:val="SWCText"/>
        <w:pBdr>
          <w:bottom w:val="single" w:sz="6" w:space="1" w:color="auto"/>
        </w:pBdr>
        <w:rPr>
          <w:i/>
          <w:iCs/>
        </w:rPr>
      </w:pPr>
      <w:r w:rsidRPr="0004545F">
        <w:rPr>
          <w:i/>
          <w:iCs/>
        </w:rPr>
        <w:t xml:space="preserve">Keywords: </w:t>
      </w:r>
      <w:r w:rsidR="00A01B7A">
        <w:rPr>
          <w:i/>
          <w:iCs/>
        </w:rPr>
        <w:t>Solar-to-X devices, key performance indicators, assessment under real sunlight</w:t>
      </w:r>
    </w:p>
    <w:p w14:paraId="01458796" w14:textId="72B1D315" w:rsidR="00FA4DF8" w:rsidRDefault="002C089D" w:rsidP="001A775B">
      <w:pPr>
        <w:pStyle w:val="SWCText"/>
        <w:pBdr>
          <w:bottom w:val="single" w:sz="6" w:space="1" w:color="auto"/>
        </w:pBdr>
        <w:rPr>
          <w:i/>
          <w:iCs/>
        </w:rPr>
      </w:pPr>
      <w:r>
        <w:rPr>
          <w:i/>
          <w:iCs/>
        </w:rPr>
        <w:t>Field of application for the findings:</w:t>
      </w:r>
      <w:r w:rsidR="00A01B7A">
        <w:rPr>
          <w:i/>
          <w:iCs/>
        </w:rPr>
        <w:t xml:space="preserve"> Solar-to-X</w:t>
      </w:r>
    </w:p>
    <w:p w14:paraId="185A319D" w14:textId="5661942D" w:rsidR="002C089D" w:rsidRDefault="00CC3B0C" w:rsidP="001A775B">
      <w:pPr>
        <w:pStyle w:val="SWCText"/>
        <w:pBdr>
          <w:bottom w:val="single" w:sz="6" w:space="1" w:color="auto"/>
        </w:pBdr>
      </w:pPr>
      <w:r>
        <w:rPr>
          <w:i/>
          <w:iCs/>
        </w:rPr>
        <w:t>Addressed audience:</w:t>
      </w:r>
      <w:r w:rsidR="00A01B7A">
        <w:rPr>
          <w:i/>
          <w:iCs/>
        </w:rPr>
        <w:t xml:space="preserve"> research, solar industry</w:t>
      </w:r>
    </w:p>
    <w:p w14:paraId="51CD8377" w14:textId="68A40265" w:rsidR="00D32EF0" w:rsidRPr="004C4EE9" w:rsidRDefault="00D32EF0" w:rsidP="004C4EE9">
      <w:pPr>
        <w:pStyle w:val="SWCHeading1"/>
      </w:pPr>
      <w:r w:rsidRPr="004C4EE9">
        <w:t>Introduction</w:t>
      </w:r>
      <w:r w:rsidR="009E0D67">
        <w:t xml:space="preserve"> </w:t>
      </w:r>
    </w:p>
    <w:p w14:paraId="54395C19" w14:textId="05AF43E1" w:rsidR="00CD4EFC" w:rsidRDefault="00A01B7A" w:rsidP="007C1632">
      <w:pPr>
        <w:pStyle w:val="SWCText"/>
      </w:pPr>
      <w:r>
        <w:t xml:space="preserve">Solar-to-X devices are widely researched in interdisciplinary research networks across material science, reactor engineering and solar sciences. The evaluation parameters applied however vary widely in literature, based on the use of </w:t>
      </w:r>
      <w:proofErr w:type="gramStart"/>
      <w:r>
        <w:t>materials,</w:t>
      </w:r>
      <w:proofErr w:type="gramEnd"/>
      <w:r>
        <w:t xml:space="preserve"> studied reaction mechanisms, reactor types and scales as well as based on the light sources applied in research. Here, specifically real sunlight experiments are available rather limited, and lack a clear assessment framework for evaluation and further development. </w:t>
      </w:r>
    </w:p>
    <w:p w14:paraId="378F0C31" w14:textId="674B1D54" w:rsidR="00D32EF0" w:rsidRPr="006309AA" w:rsidRDefault="00A01B7A" w:rsidP="00490F10">
      <w:pPr>
        <w:pStyle w:val="SWCHeading1"/>
      </w:pPr>
      <w:r>
        <w:t>Methodology</w:t>
      </w:r>
    </w:p>
    <w:p w14:paraId="063F17E2" w14:textId="6E8C6985" w:rsidR="0064403B" w:rsidRDefault="00A01B7A" w:rsidP="007C1632">
      <w:pPr>
        <w:pStyle w:val="SWCText"/>
      </w:pPr>
      <w:r>
        <w:t xml:space="preserve">Within the IEA SHC Task 72 this lack of a clear framework of key performance indicators in Solar-to-X research has </w:t>
      </w:r>
      <w:r w:rsidR="00D4101D">
        <w:t xml:space="preserve">triggered a work across all Subtasks (Materials, Solar Photoreactors and System Integration) to commonly define recommendations to research, policy and industry on a fair assessment scheme of such devices. </w:t>
      </w:r>
    </w:p>
    <w:p w14:paraId="3EAD4F73" w14:textId="51E8F204" w:rsidR="00453296" w:rsidRDefault="00D4101D" w:rsidP="00792BAB">
      <w:pPr>
        <w:pStyle w:val="SWCText"/>
      </w:pPr>
      <w:r>
        <w:t xml:space="preserve">The elaboration methodology started with an expert survey to gain </w:t>
      </w:r>
      <w:proofErr w:type="gramStart"/>
      <w:r>
        <w:t>insights</w:t>
      </w:r>
      <w:proofErr w:type="gramEnd"/>
      <w:r>
        <w:t xml:space="preserve"> into the variety of metrics applied among the Task 72 network. This triggered a discussion workshop, </w:t>
      </w:r>
      <w:r w:rsidR="00792BAB">
        <w:t>which led to the definition of</w:t>
      </w:r>
      <w:r w:rsidRPr="00D4101D">
        <w:t xml:space="preserve"> four distinct classes of research scales and objectives, for each of which distinct evaluation indicators are relevant. Most important evaluation aspects have been elaborated in working groups for each class as basis for key performance indicator definition. </w:t>
      </w:r>
    </w:p>
    <w:p w14:paraId="672EAD55" w14:textId="5F3923EB" w:rsidR="00792BAB" w:rsidRDefault="00792BAB" w:rsidP="00792BAB">
      <w:pPr>
        <w:pStyle w:val="SWCText"/>
        <w:keepNext/>
        <w:jc w:val="center"/>
      </w:pPr>
      <w:r>
        <w:rPr>
          <w:noProof/>
        </w:rPr>
        <w:drawing>
          <wp:inline distT="0" distB="0" distL="0" distR="0" wp14:anchorId="1D6FBD21" wp14:editId="609B6276">
            <wp:extent cx="1616827" cy="2267044"/>
            <wp:effectExtent l="0" t="0" r="0" b="0"/>
            <wp:docPr id="17457914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19161" cy="2270317"/>
                    </a:xfrm>
                    <a:prstGeom prst="rect">
                      <a:avLst/>
                    </a:prstGeom>
                    <a:noFill/>
                  </pic:spPr>
                </pic:pic>
              </a:graphicData>
            </a:graphic>
          </wp:inline>
        </w:drawing>
      </w:r>
    </w:p>
    <w:p w14:paraId="3C276402" w14:textId="4EF2669D" w:rsidR="00453296" w:rsidRPr="006309AA" w:rsidRDefault="00792BAB" w:rsidP="00792BAB">
      <w:pPr>
        <w:pStyle w:val="Beschriftung"/>
        <w:jc w:val="both"/>
      </w:pPr>
      <w:r>
        <w:t xml:space="preserve">Figure </w:t>
      </w:r>
      <w:r>
        <w:fldChar w:fldCharType="begin"/>
      </w:r>
      <w:r>
        <w:instrText xml:space="preserve"> SEQ Figure \* ARABIC </w:instrText>
      </w:r>
      <w:r>
        <w:fldChar w:fldCharType="separate"/>
      </w:r>
      <w:r>
        <w:rPr>
          <w:noProof/>
        </w:rPr>
        <w:t>1</w:t>
      </w:r>
      <w:r>
        <w:fldChar w:fldCharType="end"/>
      </w:r>
      <w:r>
        <w:t xml:space="preserve">: </w:t>
      </w:r>
      <w:proofErr w:type="spellStart"/>
      <w:r>
        <w:t>Visualization</w:t>
      </w:r>
      <w:proofErr w:type="spellEnd"/>
      <w:r>
        <w:t xml:space="preserve"> </w:t>
      </w:r>
      <w:proofErr w:type="spellStart"/>
      <w:r>
        <w:t>of</w:t>
      </w:r>
      <w:proofErr w:type="spellEnd"/>
      <w:r>
        <w:t xml:space="preserve"> </w:t>
      </w:r>
      <w:proofErr w:type="spellStart"/>
      <w:r>
        <w:t>elaboration</w:t>
      </w:r>
      <w:proofErr w:type="spellEnd"/>
      <w:r>
        <w:t xml:space="preserve"> </w:t>
      </w:r>
      <w:proofErr w:type="spellStart"/>
      <w:r>
        <w:t>methodology</w:t>
      </w:r>
      <w:proofErr w:type="spellEnd"/>
    </w:p>
    <w:p w14:paraId="3D83E22A" w14:textId="758B25F3" w:rsidR="003E1E1C" w:rsidRPr="006309AA" w:rsidRDefault="00792BAB" w:rsidP="00490F10">
      <w:pPr>
        <w:pStyle w:val="SWCHeading1"/>
      </w:pPr>
      <w:r>
        <w:lastRenderedPageBreak/>
        <w:t>Results</w:t>
      </w:r>
    </w:p>
    <w:p w14:paraId="4C5423EF" w14:textId="7CBA3FB0" w:rsidR="00792BAB" w:rsidRDefault="00792BAB" w:rsidP="00792BAB">
      <w:pPr>
        <w:pStyle w:val="SWCText"/>
      </w:pPr>
      <w:r w:rsidRPr="00D4101D">
        <w:t>The following table summarizes the four defined research scales and their respective objectives and resulting evaluation aspects.</w:t>
      </w:r>
    </w:p>
    <w:p w14:paraId="32DBC3D2" w14:textId="77777777" w:rsidR="00792BAB" w:rsidRDefault="00792BAB" w:rsidP="00792BAB">
      <w:pPr>
        <w:pStyle w:val="SWCText"/>
      </w:pPr>
    </w:p>
    <w:p w14:paraId="254DD657" w14:textId="51EFA296" w:rsidR="00792BAB" w:rsidRPr="00792BAB" w:rsidRDefault="00792BAB" w:rsidP="00792BAB">
      <w:pPr>
        <w:pStyle w:val="SWCTableFigureCaption"/>
      </w:pPr>
      <w:r>
        <w:t xml:space="preserve">Table </w:t>
      </w:r>
      <w:r>
        <w:fldChar w:fldCharType="begin"/>
      </w:r>
      <w:r>
        <w:instrText xml:space="preserve"> SEQ Table \* ARABIC </w:instrText>
      </w:r>
      <w:r>
        <w:fldChar w:fldCharType="separate"/>
      </w:r>
      <w:r>
        <w:rPr>
          <w:noProof/>
        </w:rPr>
        <w:t>1</w:t>
      </w:r>
      <w:r>
        <w:fldChar w:fldCharType="end"/>
      </w:r>
      <w:r>
        <w:t>:</w:t>
      </w:r>
      <w:r w:rsidRPr="006309AA">
        <w:t xml:space="preserve"> </w:t>
      </w:r>
      <w:r>
        <w:t>Defined research classes and evaluation aspects in Solar-to-X research, as basis for defining key performance indicator sets for each research class</w:t>
      </w:r>
    </w:p>
    <w:tbl>
      <w:tblPr>
        <w:tblW w:w="8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43"/>
        <w:gridCol w:w="2664"/>
        <w:gridCol w:w="4140"/>
      </w:tblGrid>
      <w:tr w:rsidR="00792BAB" w:rsidRPr="00DB1F82" w14:paraId="5C170008" w14:textId="77777777" w:rsidTr="00792BAB">
        <w:trPr>
          <w:trHeight w:val="867"/>
        </w:trPr>
        <w:tc>
          <w:tcPr>
            <w:tcW w:w="1843" w:type="dxa"/>
            <w:vAlign w:val="center"/>
            <w:hideMark/>
          </w:tcPr>
          <w:p w14:paraId="388F6EB0" w14:textId="77777777" w:rsidR="00792BAB" w:rsidRPr="00792BAB" w:rsidRDefault="00792BAB" w:rsidP="00792BAB">
            <w:pPr>
              <w:pStyle w:val="SWCTableHeader"/>
            </w:pPr>
            <w:r w:rsidRPr="00792BAB">
              <w:t>Research and Device Scale</w:t>
            </w:r>
          </w:p>
        </w:tc>
        <w:tc>
          <w:tcPr>
            <w:tcW w:w="2664" w:type="dxa"/>
            <w:vAlign w:val="center"/>
            <w:hideMark/>
          </w:tcPr>
          <w:p w14:paraId="719636AB" w14:textId="77777777" w:rsidR="00792BAB" w:rsidRPr="00792BAB" w:rsidRDefault="00792BAB" w:rsidP="00792BAB">
            <w:pPr>
              <w:pStyle w:val="SWCTableHeader"/>
            </w:pPr>
            <w:r w:rsidRPr="00792BAB">
              <w:t xml:space="preserve">Research </w:t>
            </w:r>
          </w:p>
          <w:p w14:paraId="2ABC2B12" w14:textId="77777777" w:rsidR="00792BAB" w:rsidRPr="00792BAB" w:rsidRDefault="00792BAB" w:rsidP="00792BAB">
            <w:pPr>
              <w:pStyle w:val="SWCTableHeader"/>
            </w:pPr>
            <w:proofErr w:type="spellStart"/>
            <w:r w:rsidRPr="00792BAB">
              <w:t>Objective</w:t>
            </w:r>
            <w:proofErr w:type="spellEnd"/>
          </w:p>
        </w:tc>
        <w:tc>
          <w:tcPr>
            <w:tcW w:w="4140" w:type="dxa"/>
          </w:tcPr>
          <w:p w14:paraId="47E734E2" w14:textId="77777777" w:rsidR="00792BAB" w:rsidRPr="00792BAB" w:rsidRDefault="00792BAB" w:rsidP="00792BAB">
            <w:pPr>
              <w:pStyle w:val="SWCTableHeader"/>
            </w:pPr>
            <w:r w:rsidRPr="00792BAB">
              <w:t xml:space="preserve">Important </w:t>
            </w:r>
          </w:p>
          <w:p w14:paraId="0BE49AE5" w14:textId="77777777" w:rsidR="00792BAB" w:rsidRPr="00792BAB" w:rsidRDefault="00792BAB" w:rsidP="00792BAB">
            <w:pPr>
              <w:pStyle w:val="SWCTableHeader"/>
            </w:pPr>
            <w:r w:rsidRPr="00792BAB">
              <w:t xml:space="preserve">Evaluation </w:t>
            </w:r>
            <w:proofErr w:type="spellStart"/>
            <w:r w:rsidRPr="00792BAB">
              <w:t>Aspects</w:t>
            </w:r>
            <w:proofErr w:type="spellEnd"/>
          </w:p>
        </w:tc>
      </w:tr>
      <w:tr w:rsidR="00792BAB" w:rsidRPr="0064432F" w14:paraId="7BC1662A" w14:textId="77777777" w:rsidTr="00792BAB">
        <w:trPr>
          <w:trHeight w:val="1050"/>
        </w:trPr>
        <w:tc>
          <w:tcPr>
            <w:tcW w:w="1843" w:type="dxa"/>
            <w:vAlign w:val="center"/>
            <w:hideMark/>
          </w:tcPr>
          <w:p w14:paraId="79691FA0" w14:textId="77777777" w:rsidR="00792BAB" w:rsidRPr="00792BAB" w:rsidRDefault="00792BAB" w:rsidP="00792BAB">
            <w:pPr>
              <w:pStyle w:val="SWCTableText"/>
              <w:rPr>
                <w:b/>
                <w:bCs/>
              </w:rPr>
            </w:pPr>
            <w:r w:rsidRPr="00792BAB">
              <w:rPr>
                <w:b/>
                <w:bCs/>
              </w:rPr>
              <w:t>Lab scale under artificial light</w:t>
            </w:r>
          </w:p>
        </w:tc>
        <w:tc>
          <w:tcPr>
            <w:tcW w:w="2664" w:type="dxa"/>
            <w:vAlign w:val="center"/>
            <w:hideMark/>
          </w:tcPr>
          <w:p w14:paraId="50EF2C78" w14:textId="77777777" w:rsidR="00792BAB" w:rsidRPr="00792BAB" w:rsidRDefault="00792BAB" w:rsidP="00792BAB">
            <w:pPr>
              <w:pStyle w:val="SWCTableText"/>
            </w:pPr>
            <w:r w:rsidRPr="00792BAB">
              <w:t>Material development, material stability, new materials</w:t>
            </w:r>
          </w:p>
        </w:tc>
        <w:tc>
          <w:tcPr>
            <w:tcW w:w="4140" w:type="dxa"/>
          </w:tcPr>
          <w:p w14:paraId="0289CE71" w14:textId="77777777" w:rsidR="00792BAB" w:rsidRPr="00792BAB" w:rsidRDefault="00792BAB" w:rsidP="00792BAB">
            <w:pPr>
              <w:pStyle w:val="SWCTableText"/>
            </w:pPr>
            <w:r w:rsidRPr="00792BAB">
              <w:t>Material screening, requirement of reference processes for yield and QE comparison, material stability</w:t>
            </w:r>
          </w:p>
        </w:tc>
      </w:tr>
      <w:tr w:rsidR="00792BAB" w:rsidRPr="00B75501" w14:paraId="63A8E4F1" w14:textId="77777777" w:rsidTr="00792BAB">
        <w:trPr>
          <w:trHeight w:val="600"/>
        </w:trPr>
        <w:tc>
          <w:tcPr>
            <w:tcW w:w="1843" w:type="dxa"/>
            <w:vAlign w:val="center"/>
            <w:hideMark/>
          </w:tcPr>
          <w:p w14:paraId="45796467" w14:textId="77777777" w:rsidR="00792BAB" w:rsidRPr="00792BAB" w:rsidRDefault="00792BAB" w:rsidP="00792BAB">
            <w:pPr>
              <w:pStyle w:val="SWCTableText"/>
              <w:rPr>
                <w:b/>
                <w:bCs/>
              </w:rPr>
            </w:pPr>
            <w:r w:rsidRPr="00792BAB">
              <w:rPr>
                <w:b/>
                <w:bCs/>
              </w:rPr>
              <w:t>Lab reactor testing under artificial light</w:t>
            </w:r>
          </w:p>
        </w:tc>
        <w:tc>
          <w:tcPr>
            <w:tcW w:w="2664" w:type="dxa"/>
            <w:vAlign w:val="center"/>
            <w:hideMark/>
          </w:tcPr>
          <w:p w14:paraId="5D0D99A9" w14:textId="77777777" w:rsidR="00792BAB" w:rsidRPr="00792BAB" w:rsidRDefault="00792BAB" w:rsidP="00792BAB">
            <w:pPr>
              <w:pStyle w:val="SWCTableText"/>
            </w:pPr>
            <w:r w:rsidRPr="00792BAB">
              <w:t xml:space="preserve">Most </w:t>
            </w:r>
            <w:proofErr w:type="spellStart"/>
            <w:r w:rsidRPr="00792BAB">
              <w:t>efficient</w:t>
            </w:r>
            <w:proofErr w:type="spellEnd"/>
            <w:r w:rsidRPr="00792BAB">
              <w:t xml:space="preserve"> </w:t>
            </w:r>
            <w:proofErr w:type="spellStart"/>
            <w:r w:rsidRPr="00792BAB">
              <w:t>reactor</w:t>
            </w:r>
            <w:proofErr w:type="spellEnd"/>
            <w:r w:rsidRPr="00792BAB">
              <w:t xml:space="preserve"> type</w:t>
            </w:r>
          </w:p>
        </w:tc>
        <w:tc>
          <w:tcPr>
            <w:tcW w:w="4140" w:type="dxa"/>
          </w:tcPr>
          <w:p w14:paraId="6DCCC4DB" w14:textId="77777777" w:rsidR="00792BAB" w:rsidRPr="00792BAB" w:rsidRDefault="00792BAB" w:rsidP="00792BAB">
            <w:pPr>
              <w:pStyle w:val="SWCTableText"/>
            </w:pPr>
            <w:r w:rsidRPr="00792BAB">
              <w:t>Reference reactors and reference materials, light source definition, reactor classification, evaluation without material limitation</w:t>
            </w:r>
          </w:p>
        </w:tc>
      </w:tr>
      <w:tr w:rsidR="00792BAB" w:rsidRPr="0064432F" w14:paraId="0C9F4C7C" w14:textId="77777777" w:rsidTr="00792BAB">
        <w:trPr>
          <w:trHeight w:val="1180"/>
        </w:trPr>
        <w:tc>
          <w:tcPr>
            <w:tcW w:w="1843" w:type="dxa"/>
            <w:vAlign w:val="center"/>
            <w:hideMark/>
          </w:tcPr>
          <w:p w14:paraId="6163D43B" w14:textId="77777777" w:rsidR="00792BAB" w:rsidRPr="00792BAB" w:rsidRDefault="00792BAB" w:rsidP="00792BAB">
            <w:pPr>
              <w:pStyle w:val="SWCTableText"/>
              <w:rPr>
                <w:b/>
                <w:bCs/>
              </w:rPr>
            </w:pPr>
            <w:r w:rsidRPr="00792BAB">
              <w:rPr>
                <w:b/>
                <w:bCs/>
              </w:rPr>
              <w:t>Real sunlight experiments for specific reactors and catalyst (small-medium scale)</w:t>
            </w:r>
          </w:p>
        </w:tc>
        <w:tc>
          <w:tcPr>
            <w:tcW w:w="2664" w:type="dxa"/>
            <w:vAlign w:val="center"/>
            <w:hideMark/>
          </w:tcPr>
          <w:p w14:paraId="4DD1BDBD" w14:textId="77777777" w:rsidR="00792BAB" w:rsidRPr="00792BAB" w:rsidRDefault="00792BAB" w:rsidP="00792BAB">
            <w:pPr>
              <w:pStyle w:val="SWCTableText"/>
            </w:pPr>
            <w:r w:rsidRPr="00792BAB">
              <w:t>Evaluation of photoreactor (incl. Components) performance under real sunlight (short - long term)</w:t>
            </w:r>
          </w:p>
        </w:tc>
        <w:tc>
          <w:tcPr>
            <w:tcW w:w="4140" w:type="dxa"/>
          </w:tcPr>
          <w:p w14:paraId="0268E17E" w14:textId="77777777" w:rsidR="00792BAB" w:rsidRPr="00792BAB" w:rsidRDefault="00792BAB" w:rsidP="00792BAB">
            <w:pPr>
              <w:pStyle w:val="SWCTableText"/>
            </w:pPr>
            <w:r w:rsidRPr="00792BAB">
              <w:t>Definition of sunlight conditions and its measurement, measurement strategies for energy of incident DNI reaching reactor surface incl. spectral, energy and mass balances, time-varying evaluation of performance (collector efficiency, reactor-collector efficiency, product yield)</w:t>
            </w:r>
          </w:p>
        </w:tc>
      </w:tr>
      <w:tr w:rsidR="00792BAB" w:rsidRPr="0064432F" w14:paraId="22C488C8" w14:textId="77777777" w:rsidTr="00792BAB">
        <w:trPr>
          <w:trHeight w:val="600"/>
        </w:trPr>
        <w:tc>
          <w:tcPr>
            <w:tcW w:w="1843" w:type="dxa"/>
            <w:vAlign w:val="center"/>
            <w:hideMark/>
          </w:tcPr>
          <w:p w14:paraId="5645DCE2" w14:textId="77777777" w:rsidR="00792BAB" w:rsidRPr="00792BAB" w:rsidRDefault="00792BAB" w:rsidP="00792BAB">
            <w:pPr>
              <w:pStyle w:val="SWCTableText"/>
              <w:rPr>
                <w:b/>
                <w:bCs/>
              </w:rPr>
            </w:pPr>
            <w:r w:rsidRPr="00792BAB">
              <w:rPr>
                <w:b/>
                <w:bCs/>
              </w:rPr>
              <w:t xml:space="preserve">Larger </w:t>
            </w:r>
            <w:proofErr w:type="spellStart"/>
            <w:r w:rsidRPr="00792BAB">
              <w:rPr>
                <w:b/>
                <w:bCs/>
              </w:rPr>
              <w:t>prototypes</w:t>
            </w:r>
            <w:proofErr w:type="spellEnd"/>
          </w:p>
        </w:tc>
        <w:tc>
          <w:tcPr>
            <w:tcW w:w="2664" w:type="dxa"/>
            <w:vAlign w:val="center"/>
            <w:hideMark/>
          </w:tcPr>
          <w:p w14:paraId="51379E89" w14:textId="77777777" w:rsidR="00792BAB" w:rsidRPr="00792BAB" w:rsidRDefault="00792BAB" w:rsidP="00792BAB">
            <w:pPr>
              <w:pStyle w:val="SWCTableText"/>
            </w:pPr>
            <w:r w:rsidRPr="00792BAB">
              <w:t>Energy balance of plant; (long-term) system performance</w:t>
            </w:r>
          </w:p>
        </w:tc>
        <w:tc>
          <w:tcPr>
            <w:tcW w:w="4140" w:type="dxa"/>
          </w:tcPr>
          <w:p w14:paraId="5DC9D385" w14:textId="77777777" w:rsidR="00792BAB" w:rsidRPr="00792BAB" w:rsidRDefault="00792BAB" w:rsidP="00792BAB">
            <w:pPr>
              <w:pStyle w:val="SWCTableText"/>
            </w:pPr>
            <w:r w:rsidRPr="00792BAB">
              <w:t>Energy and resource efficiency, environmental parameters, economic deployment parameters</w:t>
            </w:r>
          </w:p>
        </w:tc>
      </w:tr>
    </w:tbl>
    <w:p w14:paraId="5D249C80" w14:textId="77777777" w:rsidR="00792BAB" w:rsidRDefault="00792BAB" w:rsidP="00792BAB">
      <w:pPr>
        <w:pStyle w:val="SWCText"/>
      </w:pPr>
    </w:p>
    <w:p w14:paraId="6EF36CBE" w14:textId="3D788387" w:rsidR="00792BAB" w:rsidRDefault="00792BAB" w:rsidP="00B214A1">
      <w:pPr>
        <w:pStyle w:val="SWCText"/>
      </w:pPr>
      <w:r>
        <w:t xml:space="preserve">Specifically for real sunlight experiments evaluation parameters </w:t>
      </w:r>
      <w:proofErr w:type="gramStart"/>
      <w:r w:rsidR="00F431A7">
        <w:t>have to</w:t>
      </w:r>
      <w:proofErr w:type="gramEnd"/>
      <w:r w:rsidR="00F431A7">
        <w:t xml:space="preserve"> consider the time-dependency of radiation. This adds </w:t>
      </w:r>
      <w:proofErr w:type="gramStart"/>
      <w:r w:rsidR="00F431A7">
        <w:t>on</w:t>
      </w:r>
      <w:proofErr w:type="gramEnd"/>
      <w:r w:rsidR="00F431A7">
        <w:t xml:space="preserve"> the complexity of the need for wavelength specific radiation distribution </w:t>
      </w:r>
      <w:proofErr w:type="gramStart"/>
      <w:r w:rsidR="00F431A7">
        <w:t>in order to</w:t>
      </w:r>
      <w:proofErr w:type="gramEnd"/>
      <w:r w:rsidR="00F431A7">
        <w:t xml:space="preserve"> evaluate </w:t>
      </w:r>
      <w:proofErr w:type="gramStart"/>
      <w:r w:rsidR="00F431A7">
        <w:t>both,</w:t>
      </w:r>
      <w:proofErr w:type="gramEnd"/>
      <w:r w:rsidR="00F431A7">
        <w:t xml:space="preserve"> the overall solar energy reaching the reactor surface, as well as the share of photons in the </w:t>
      </w:r>
      <w:proofErr w:type="spellStart"/>
      <w:r w:rsidR="00F431A7">
        <w:t>targetd</w:t>
      </w:r>
      <w:proofErr w:type="spellEnd"/>
      <w:r w:rsidR="00F431A7">
        <w:t xml:space="preserve"> wavelength range accessible by the photocatalysts in place.</w:t>
      </w:r>
    </w:p>
    <w:p w14:paraId="0E431247" w14:textId="776EC11D" w:rsidR="009B4816" w:rsidRDefault="00792BAB" w:rsidP="00B214A1">
      <w:pPr>
        <w:pStyle w:val="SWCText"/>
      </w:pPr>
      <w:r>
        <w:t xml:space="preserve">Besides presenting first key performance indicators and definitions for each research class, the presentation will give insights into research examples of the IEA Task 72 network where varying key performance indicators have been applied for different research scales. Focus will be given on Class 3 “real sunlight experiments for specific reactor types” where different reactor types have been recently tested under real </w:t>
      </w:r>
      <w:r>
        <w:t>sunlight.</w:t>
      </w:r>
    </w:p>
    <w:sectPr w:rsidR="009B4816" w:rsidSect="00F431A7">
      <w:footnotePr>
        <w:numRestart w:val="eachPage"/>
      </w:footnotePr>
      <w:pgSz w:w="11908" w:h="16838"/>
      <w:pgMar w:top="1078" w:right="1440" w:bottom="1440" w:left="1701" w:header="284" w:footer="284"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AE071" w14:textId="77777777" w:rsidR="003152F2" w:rsidRDefault="003152F2">
      <w:r>
        <w:separator/>
      </w:r>
    </w:p>
  </w:endnote>
  <w:endnote w:type="continuationSeparator" w:id="0">
    <w:p w14:paraId="52EB21FC" w14:textId="77777777" w:rsidR="003152F2" w:rsidRDefault="003152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933C0C" w14:textId="77777777" w:rsidR="003152F2" w:rsidRDefault="003152F2">
      <w:r>
        <w:separator/>
      </w:r>
    </w:p>
  </w:footnote>
  <w:footnote w:type="continuationSeparator" w:id="0">
    <w:p w14:paraId="56EDD4D1" w14:textId="77777777" w:rsidR="003152F2" w:rsidRDefault="003152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Aufzhlungszeichen"/>
      <w:lvlText w:val=""/>
      <w:lvlJc w:val="left"/>
      <w:pPr>
        <w:tabs>
          <w:tab w:val="num" w:pos="360"/>
        </w:tabs>
        <w:ind w:left="360" w:hanging="360"/>
      </w:pPr>
      <w:rPr>
        <w:rFonts w:ascii="Symbol" w:hAnsi="Symbol" w:hint="default"/>
      </w:rPr>
    </w:lvl>
  </w:abstractNum>
  <w:abstractNum w:abstractNumId="6"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7"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9"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0" w15:restartNumberingAfterBreak="0">
    <w:nsid w:val="35B80708"/>
    <w:multiLevelType w:val="hybridMultilevel"/>
    <w:tmpl w:val="727EE29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1"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3"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6"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17"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640279AF"/>
    <w:multiLevelType w:val="hybridMultilevel"/>
    <w:tmpl w:val="6AEA0D5A"/>
    <w:lvl w:ilvl="0" w:tplc="84FAF57A">
      <w:start w:val="1"/>
      <w:numFmt w:val="decimal"/>
      <w:pStyle w:val="SWCHeading1"/>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0"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1"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2"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1164541409">
    <w:abstractNumId w:val="5"/>
  </w:num>
  <w:num w:numId="2" w16cid:durableId="824710626">
    <w:abstractNumId w:val="11"/>
  </w:num>
  <w:num w:numId="3" w16cid:durableId="1779980318">
    <w:abstractNumId w:val="10"/>
  </w:num>
  <w:num w:numId="4" w16cid:durableId="691154539">
    <w:abstractNumId w:val="22"/>
  </w:num>
  <w:num w:numId="5" w16cid:durableId="849176114">
    <w:abstractNumId w:val="4"/>
  </w:num>
  <w:num w:numId="6" w16cid:durableId="701899166">
    <w:abstractNumId w:val="3"/>
  </w:num>
  <w:num w:numId="7" w16cid:durableId="1122382050">
    <w:abstractNumId w:val="0"/>
  </w:num>
  <w:num w:numId="8" w16cid:durableId="151144171">
    <w:abstractNumId w:val="2"/>
  </w:num>
  <w:num w:numId="9" w16cid:durableId="1882550196">
    <w:abstractNumId w:val="1"/>
  </w:num>
  <w:num w:numId="10" w16cid:durableId="78913249">
    <w:abstractNumId w:val="6"/>
  </w:num>
  <w:num w:numId="11" w16cid:durableId="95492358">
    <w:abstractNumId w:val="18"/>
  </w:num>
  <w:num w:numId="12" w16cid:durableId="355472642">
    <w:abstractNumId w:val="14"/>
  </w:num>
  <w:num w:numId="13" w16cid:durableId="311523580">
    <w:abstractNumId w:val="6"/>
    <w:lvlOverride w:ilvl="0">
      <w:startOverride w:val="1"/>
    </w:lvlOverride>
  </w:num>
  <w:num w:numId="14" w16cid:durableId="1496726486">
    <w:abstractNumId w:val="17"/>
  </w:num>
  <w:num w:numId="15" w16cid:durableId="1806385346">
    <w:abstractNumId w:val="7"/>
  </w:num>
  <w:num w:numId="16" w16cid:durableId="1758162859">
    <w:abstractNumId w:val="13"/>
  </w:num>
  <w:num w:numId="17" w16cid:durableId="569772207">
    <w:abstractNumId w:val="16"/>
  </w:num>
  <w:num w:numId="18" w16cid:durableId="1080835087">
    <w:abstractNumId w:val="20"/>
  </w:num>
  <w:num w:numId="19" w16cid:durableId="1514802717">
    <w:abstractNumId w:val="9"/>
  </w:num>
  <w:num w:numId="20" w16cid:durableId="1328480391">
    <w:abstractNumId w:val="8"/>
  </w:num>
  <w:num w:numId="21" w16cid:durableId="1166094805">
    <w:abstractNumId w:val="12"/>
  </w:num>
  <w:num w:numId="22" w16cid:durableId="679743871">
    <w:abstractNumId w:val="19"/>
  </w:num>
  <w:num w:numId="23" w16cid:durableId="612976666">
    <w:abstractNumId w:val="15"/>
  </w:num>
  <w:num w:numId="24" w16cid:durableId="782998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5037"/>
    <w:rsid w:val="000067DB"/>
    <w:rsid w:val="00010262"/>
    <w:rsid w:val="0004235D"/>
    <w:rsid w:val="000533E4"/>
    <w:rsid w:val="000534F5"/>
    <w:rsid w:val="00053E02"/>
    <w:rsid w:val="00055DB9"/>
    <w:rsid w:val="00057B5E"/>
    <w:rsid w:val="00066B26"/>
    <w:rsid w:val="000678AC"/>
    <w:rsid w:val="000712A1"/>
    <w:rsid w:val="00074DBF"/>
    <w:rsid w:val="00092ED5"/>
    <w:rsid w:val="000A0ADB"/>
    <w:rsid w:val="000A30A5"/>
    <w:rsid w:val="000A36B5"/>
    <w:rsid w:val="000A52A1"/>
    <w:rsid w:val="000B04BE"/>
    <w:rsid w:val="000B1F4D"/>
    <w:rsid w:val="000C2344"/>
    <w:rsid w:val="000D6E1A"/>
    <w:rsid w:val="000E1855"/>
    <w:rsid w:val="000F739B"/>
    <w:rsid w:val="0010501A"/>
    <w:rsid w:val="0015090D"/>
    <w:rsid w:val="00155FB8"/>
    <w:rsid w:val="00157CE5"/>
    <w:rsid w:val="001647D2"/>
    <w:rsid w:val="00166C42"/>
    <w:rsid w:val="00176EF6"/>
    <w:rsid w:val="001904A7"/>
    <w:rsid w:val="0019232E"/>
    <w:rsid w:val="00194E9A"/>
    <w:rsid w:val="001968B5"/>
    <w:rsid w:val="001969B9"/>
    <w:rsid w:val="001A117A"/>
    <w:rsid w:val="001A775B"/>
    <w:rsid w:val="001A7F40"/>
    <w:rsid w:val="001B13D6"/>
    <w:rsid w:val="001B6BCF"/>
    <w:rsid w:val="001B7B01"/>
    <w:rsid w:val="001C3A3D"/>
    <w:rsid w:val="001C63A2"/>
    <w:rsid w:val="001D0384"/>
    <w:rsid w:val="001D4912"/>
    <w:rsid w:val="001E2B93"/>
    <w:rsid w:val="001F2881"/>
    <w:rsid w:val="00205626"/>
    <w:rsid w:val="00206116"/>
    <w:rsid w:val="00212628"/>
    <w:rsid w:val="0022299B"/>
    <w:rsid w:val="00225724"/>
    <w:rsid w:val="00243214"/>
    <w:rsid w:val="002647A0"/>
    <w:rsid w:val="00266E47"/>
    <w:rsid w:val="00270E75"/>
    <w:rsid w:val="0027288C"/>
    <w:rsid w:val="00273341"/>
    <w:rsid w:val="002972D1"/>
    <w:rsid w:val="002A04A9"/>
    <w:rsid w:val="002A39BB"/>
    <w:rsid w:val="002B417A"/>
    <w:rsid w:val="002C089D"/>
    <w:rsid w:val="002C68AD"/>
    <w:rsid w:val="002D322C"/>
    <w:rsid w:val="002D4864"/>
    <w:rsid w:val="002E5D62"/>
    <w:rsid w:val="002F1386"/>
    <w:rsid w:val="002F6B87"/>
    <w:rsid w:val="00303345"/>
    <w:rsid w:val="003152F2"/>
    <w:rsid w:val="003357AC"/>
    <w:rsid w:val="0035638A"/>
    <w:rsid w:val="003605B9"/>
    <w:rsid w:val="00362122"/>
    <w:rsid w:val="00364A52"/>
    <w:rsid w:val="00373F97"/>
    <w:rsid w:val="00374216"/>
    <w:rsid w:val="0038545D"/>
    <w:rsid w:val="003869E8"/>
    <w:rsid w:val="00391288"/>
    <w:rsid w:val="00395E5A"/>
    <w:rsid w:val="0039742D"/>
    <w:rsid w:val="003A3A38"/>
    <w:rsid w:val="003A7DB9"/>
    <w:rsid w:val="003B2055"/>
    <w:rsid w:val="003C0806"/>
    <w:rsid w:val="003C18DE"/>
    <w:rsid w:val="003C1B31"/>
    <w:rsid w:val="003C2B1A"/>
    <w:rsid w:val="003C39C6"/>
    <w:rsid w:val="003D0C22"/>
    <w:rsid w:val="003E1E1C"/>
    <w:rsid w:val="003F0403"/>
    <w:rsid w:val="003F5B99"/>
    <w:rsid w:val="004019FD"/>
    <w:rsid w:val="00403E6A"/>
    <w:rsid w:val="004053B5"/>
    <w:rsid w:val="0040615A"/>
    <w:rsid w:val="00411E29"/>
    <w:rsid w:val="0042033E"/>
    <w:rsid w:val="004357AD"/>
    <w:rsid w:val="00453296"/>
    <w:rsid w:val="00467DFD"/>
    <w:rsid w:val="00476879"/>
    <w:rsid w:val="00490F10"/>
    <w:rsid w:val="00493C81"/>
    <w:rsid w:val="00494006"/>
    <w:rsid w:val="004A3506"/>
    <w:rsid w:val="004C39AD"/>
    <w:rsid w:val="004C4EE9"/>
    <w:rsid w:val="004E5D79"/>
    <w:rsid w:val="004F4904"/>
    <w:rsid w:val="004F5FF9"/>
    <w:rsid w:val="00500640"/>
    <w:rsid w:val="00500D7D"/>
    <w:rsid w:val="005067AC"/>
    <w:rsid w:val="00514890"/>
    <w:rsid w:val="0051584D"/>
    <w:rsid w:val="00532138"/>
    <w:rsid w:val="0053532A"/>
    <w:rsid w:val="005404F1"/>
    <w:rsid w:val="00550776"/>
    <w:rsid w:val="00556004"/>
    <w:rsid w:val="00566460"/>
    <w:rsid w:val="0057075C"/>
    <w:rsid w:val="005721F8"/>
    <w:rsid w:val="005836C7"/>
    <w:rsid w:val="005B3E86"/>
    <w:rsid w:val="005B6F55"/>
    <w:rsid w:val="005D5CF6"/>
    <w:rsid w:val="005E04EA"/>
    <w:rsid w:val="005E0D7D"/>
    <w:rsid w:val="005E7208"/>
    <w:rsid w:val="00607C4E"/>
    <w:rsid w:val="00613AF9"/>
    <w:rsid w:val="0061732F"/>
    <w:rsid w:val="0062257E"/>
    <w:rsid w:val="00625BC2"/>
    <w:rsid w:val="00627E34"/>
    <w:rsid w:val="006309AA"/>
    <w:rsid w:val="00633473"/>
    <w:rsid w:val="006379BD"/>
    <w:rsid w:val="0064403B"/>
    <w:rsid w:val="006500EC"/>
    <w:rsid w:val="00652071"/>
    <w:rsid w:val="00653551"/>
    <w:rsid w:val="0065563B"/>
    <w:rsid w:val="00665471"/>
    <w:rsid w:val="006722C6"/>
    <w:rsid w:val="00692D7F"/>
    <w:rsid w:val="006A0AE2"/>
    <w:rsid w:val="006A2F10"/>
    <w:rsid w:val="006A77D0"/>
    <w:rsid w:val="006B4C9F"/>
    <w:rsid w:val="006C756C"/>
    <w:rsid w:val="006D4A96"/>
    <w:rsid w:val="006F5B85"/>
    <w:rsid w:val="00702AE0"/>
    <w:rsid w:val="007174DA"/>
    <w:rsid w:val="00725ED2"/>
    <w:rsid w:val="007535ED"/>
    <w:rsid w:val="0075406E"/>
    <w:rsid w:val="00756702"/>
    <w:rsid w:val="00762EA3"/>
    <w:rsid w:val="007763CB"/>
    <w:rsid w:val="007804A7"/>
    <w:rsid w:val="007908F6"/>
    <w:rsid w:val="00792BAB"/>
    <w:rsid w:val="007954D9"/>
    <w:rsid w:val="007A7952"/>
    <w:rsid w:val="007B0BDB"/>
    <w:rsid w:val="007B33DF"/>
    <w:rsid w:val="007C1632"/>
    <w:rsid w:val="007C36EF"/>
    <w:rsid w:val="007C6BDE"/>
    <w:rsid w:val="007D0678"/>
    <w:rsid w:val="007D1C2C"/>
    <w:rsid w:val="007E7634"/>
    <w:rsid w:val="00800E25"/>
    <w:rsid w:val="00801634"/>
    <w:rsid w:val="0080537B"/>
    <w:rsid w:val="008219CF"/>
    <w:rsid w:val="00834062"/>
    <w:rsid w:val="00837104"/>
    <w:rsid w:val="00840E8F"/>
    <w:rsid w:val="0084100F"/>
    <w:rsid w:val="00845AE3"/>
    <w:rsid w:val="00893500"/>
    <w:rsid w:val="008B618F"/>
    <w:rsid w:val="008D44C5"/>
    <w:rsid w:val="008D7E85"/>
    <w:rsid w:val="008E19FF"/>
    <w:rsid w:val="008E53FF"/>
    <w:rsid w:val="008F249D"/>
    <w:rsid w:val="008F54F8"/>
    <w:rsid w:val="009011AA"/>
    <w:rsid w:val="00906CC3"/>
    <w:rsid w:val="00917D56"/>
    <w:rsid w:val="00931C9D"/>
    <w:rsid w:val="00933A00"/>
    <w:rsid w:val="00933BFD"/>
    <w:rsid w:val="00941691"/>
    <w:rsid w:val="00942AED"/>
    <w:rsid w:val="00944E25"/>
    <w:rsid w:val="00953F15"/>
    <w:rsid w:val="009642AB"/>
    <w:rsid w:val="00982BCB"/>
    <w:rsid w:val="00993F03"/>
    <w:rsid w:val="0099435F"/>
    <w:rsid w:val="00996BC5"/>
    <w:rsid w:val="009A6D34"/>
    <w:rsid w:val="009B4816"/>
    <w:rsid w:val="009B7C3F"/>
    <w:rsid w:val="009C1BA8"/>
    <w:rsid w:val="009C2D0D"/>
    <w:rsid w:val="009C3492"/>
    <w:rsid w:val="009C49C6"/>
    <w:rsid w:val="009C5AA4"/>
    <w:rsid w:val="009D02D4"/>
    <w:rsid w:val="009D60E3"/>
    <w:rsid w:val="009E0D67"/>
    <w:rsid w:val="009E4985"/>
    <w:rsid w:val="009F16C5"/>
    <w:rsid w:val="009F3E11"/>
    <w:rsid w:val="009F6AF8"/>
    <w:rsid w:val="009F6E78"/>
    <w:rsid w:val="009F7C7E"/>
    <w:rsid w:val="00A01148"/>
    <w:rsid w:val="00A01B7A"/>
    <w:rsid w:val="00A31DC5"/>
    <w:rsid w:val="00A40C81"/>
    <w:rsid w:val="00A436CD"/>
    <w:rsid w:val="00A5180B"/>
    <w:rsid w:val="00A55E36"/>
    <w:rsid w:val="00A6457C"/>
    <w:rsid w:val="00A8757B"/>
    <w:rsid w:val="00A92044"/>
    <w:rsid w:val="00A9727D"/>
    <w:rsid w:val="00AA16B9"/>
    <w:rsid w:val="00AA47DC"/>
    <w:rsid w:val="00AB624E"/>
    <w:rsid w:val="00AC2C09"/>
    <w:rsid w:val="00AC6B6F"/>
    <w:rsid w:val="00AE11FC"/>
    <w:rsid w:val="00AE6354"/>
    <w:rsid w:val="00AF15AF"/>
    <w:rsid w:val="00AF6EB4"/>
    <w:rsid w:val="00B01141"/>
    <w:rsid w:val="00B02E33"/>
    <w:rsid w:val="00B04CF2"/>
    <w:rsid w:val="00B214A1"/>
    <w:rsid w:val="00B22D5C"/>
    <w:rsid w:val="00B263F0"/>
    <w:rsid w:val="00B2716E"/>
    <w:rsid w:val="00B32703"/>
    <w:rsid w:val="00B54313"/>
    <w:rsid w:val="00B60B5F"/>
    <w:rsid w:val="00B6496F"/>
    <w:rsid w:val="00B8064D"/>
    <w:rsid w:val="00B80F06"/>
    <w:rsid w:val="00B827C6"/>
    <w:rsid w:val="00B84CEB"/>
    <w:rsid w:val="00B93F09"/>
    <w:rsid w:val="00BB1390"/>
    <w:rsid w:val="00BC738E"/>
    <w:rsid w:val="00BD0576"/>
    <w:rsid w:val="00BE50D0"/>
    <w:rsid w:val="00BF16FE"/>
    <w:rsid w:val="00C012F5"/>
    <w:rsid w:val="00C068BC"/>
    <w:rsid w:val="00C17081"/>
    <w:rsid w:val="00C2040E"/>
    <w:rsid w:val="00C20A85"/>
    <w:rsid w:val="00C27FD4"/>
    <w:rsid w:val="00C365E2"/>
    <w:rsid w:val="00C44EFB"/>
    <w:rsid w:val="00C55264"/>
    <w:rsid w:val="00C6695C"/>
    <w:rsid w:val="00C97946"/>
    <w:rsid w:val="00CA4F91"/>
    <w:rsid w:val="00CA7ABB"/>
    <w:rsid w:val="00CB57E5"/>
    <w:rsid w:val="00CB7EE8"/>
    <w:rsid w:val="00CC0BDA"/>
    <w:rsid w:val="00CC3B0C"/>
    <w:rsid w:val="00CD4EFC"/>
    <w:rsid w:val="00CE432C"/>
    <w:rsid w:val="00CE6DBB"/>
    <w:rsid w:val="00D0520C"/>
    <w:rsid w:val="00D14555"/>
    <w:rsid w:val="00D17DCC"/>
    <w:rsid w:val="00D31359"/>
    <w:rsid w:val="00D32EF0"/>
    <w:rsid w:val="00D34665"/>
    <w:rsid w:val="00D35E52"/>
    <w:rsid w:val="00D36FA6"/>
    <w:rsid w:val="00D4101D"/>
    <w:rsid w:val="00D41E9A"/>
    <w:rsid w:val="00D53F31"/>
    <w:rsid w:val="00D5584D"/>
    <w:rsid w:val="00D62269"/>
    <w:rsid w:val="00D62EDC"/>
    <w:rsid w:val="00D63D44"/>
    <w:rsid w:val="00D976DC"/>
    <w:rsid w:val="00DA244B"/>
    <w:rsid w:val="00DA7F88"/>
    <w:rsid w:val="00DB52E7"/>
    <w:rsid w:val="00DC0318"/>
    <w:rsid w:val="00DD1D5F"/>
    <w:rsid w:val="00DE0269"/>
    <w:rsid w:val="00E012C5"/>
    <w:rsid w:val="00E023A9"/>
    <w:rsid w:val="00E07D1B"/>
    <w:rsid w:val="00E218E2"/>
    <w:rsid w:val="00E23FEE"/>
    <w:rsid w:val="00E548A7"/>
    <w:rsid w:val="00E57E49"/>
    <w:rsid w:val="00E61C50"/>
    <w:rsid w:val="00E65D4A"/>
    <w:rsid w:val="00E7237D"/>
    <w:rsid w:val="00E9249A"/>
    <w:rsid w:val="00EA50D7"/>
    <w:rsid w:val="00EA56BF"/>
    <w:rsid w:val="00EC3533"/>
    <w:rsid w:val="00EF2F33"/>
    <w:rsid w:val="00EF596C"/>
    <w:rsid w:val="00F07750"/>
    <w:rsid w:val="00F30A77"/>
    <w:rsid w:val="00F431A7"/>
    <w:rsid w:val="00F4393F"/>
    <w:rsid w:val="00F46A3A"/>
    <w:rsid w:val="00F5375D"/>
    <w:rsid w:val="00F5454E"/>
    <w:rsid w:val="00F715C3"/>
    <w:rsid w:val="00F718BD"/>
    <w:rsid w:val="00F80507"/>
    <w:rsid w:val="00F83CD3"/>
    <w:rsid w:val="00F85F61"/>
    <w:rsid w:val="00F95487"/>
    <w:rsid w:val="00F95DEF"/>
    <w:rsid w:val="00FA1553"/>
    <w:rsid w:val="00FA4DF8"/>
    <w:rsid w:val="00FB45FB"/>
    <w:rsid w:val="00FC09A1"/>
    <w:rsid w:val="00FC1781"/>
    <w:rsid w:val="00FC244F"/>
    <w:rsid w:val="00FD79DA"/>
    <w:rsid w:val="00FE2ADC"/>
    <w:rsid w:val="00FE5997"/>
    <w:rsid w:val="00FF0950"/>
    <w:rsid w:val="00FF5484"/>
    <w:rsid w:val="00FF6BDD"/>
    <w:rsid w:val="0C79E7B2"/>
    <w:rsid w:val="138FE9CB"/>
    <w:rsid w:val="2C8553D4"/>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A8223"/>
  <w15:docId w15:val="{182EC8EE-1EE2-40B6-904D-E8FAC5346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4C4EE9"/>
    <w:rPr>
      <w:sz w:val="24"/>
      <w:szCs w:val="24"/>
      <w:lang w:val="de-DE" w:eastAsia="de-DE"/>
    </w:rPr>
  </w:style>
  <w:style w:type="paragraph" w:styleId="berschrift1">
    <w:name w:val="heading 1"/>
    <w:basedOn w:val="Standard"/>
    <w:next w:val="Standard"/>
    <w:rsid w:val="004C4EE9"/>
    <w:pPr>
      <w:keepNext/>
      <w:outlineLvl w:val="0"/>
    </w:pPr>
    <w:rPr>
      <w:b/>
      <w:sz w:val="28"/>
      <w:szCs w:val="20"/>
      <w:lang w:val="en-GB"/>
    </w:rPr>
  </w:style>
  <w:style w:type="paragraph" w:styleId="berschrift2">
    <w:name w:val="heading 2"/>
    <w:basedOn w:val="Standard"/>
    <w:next w:val="Standard"/>
    <w:autoRedefine/>
    <w:rsid w:val="004C4EE9"/>
    <w:pPr>
      <w:keepNext/>
      <w:spacing w:before="240" w:after="60"/>
      <w:outlineLvl w:val="1"/>
    </w:pPr>
    <w:rPr>
      <w:rFonts w:cs="Arial"/>
      <w:bCs/>
      <w:iCs/>
      <w:sz w:val="22"/>
      <w:szCs w:val="22"/>
    </w:rPr>
  </w:style>
  <w:style w:type="paragraph" w:styleId="berschrift3">
    <w:name w:val="heading 3"/>
    <w:basedOn w:val="Standard"/>
    <w:next w:val="Standard"/>
    <w:autoRedefine/>
    <w:rsid w:val="004C4EE9"/>
    <w:pPr>
      <w:keepNext/>
      <w:outlineLvl w:val="2"/>
    </w:pPr>
    <w:rPr>
      <w:b/>
      <w:lang w:val="en-GB"/>
    </w:rPr>
  </w:style>
  <w:style w:type="paragraph" w:styleId="berschrift4">
    <w:name w:val="heading 4"/>
    <w:basedOn w:val="Standard"/>
    <w:next w:val="Standard"/>
    <w:rsid w:val="004C4EE9"/>
    <w:pPr>
      <w:keepNext/>
      <w:spacing w:before="240" w:after="60"/>
      <w:outlineLvl w:val="3"/>
    </w:pPr>
    <w:rPr>
      <w:b/>
      <w:bCs/>
      <w:sz w:val="28"/>
      <w:szCs w:val="28"/>
    </w:rPr>
  </w:style>
  <w:style w:type="paragraph" w:styleId="berschrift5">
    <w:name w:val="heading 5"/>
    <w:basedOn w:val="Standard"/>
    <w:next w:val="Standard"/>
    <w:autoRedefine/>
    <w:rsid w:val="004C4EE9"/>
    <w:pPr>
      <w:keepNext/>
      <w:outlineLvl w:val="4"/>
    </w:pPr>
    <w:rPr>
      <w:b/>
      <w:sz w:val="20"/>
      <w:szCs w:val="20"/>
      <w:lang w:val="en-GB"/>
    </w:rPr>
  </w:style>
  <w:style w:type="paragraph" w:styleId="berschrift6">
    <w:name w:val="heading 6"/>
    <w:basedOn w:val="Standard"/>
    <w:next w:val="Standard"/>
    <w:autoRedefine/>
    <w:rsid w:val="004C4EE9"/>
    <w:pPr>
      <w:keepNext/>
      <w:jc w:val="center"/>
      <w:outlineLvl w:val="5"/>
    </w:pPr>
    <w:rPr>
      <w:rFonts w:cs="Arial"/>
      <w:color w:val="000000"/>
      <w:sz w:val="22"/>
      <w:szCs w:val="22"/>
    </w:rPr>
  </w:style>
  <w:style w:type="paragraph" w:styleId="berschrift7">
    <w:name w:val="heading 7"/>
    <w:basedOn w:val="Standard"/>
    <w:next w:val="Standard"/>
    <w:rsid w:val="004C4EE9"/>
    <w:pPr>
      <w:spacing w:before="240" w:after="60"/>
      <w:outlineLvl w:val="6"/>
    </w:pPr>
  </w:style>
  <w:style w:type="paragraph" w:styleId="berschrift8">
    <w:name w:val="heading 8"/>
    <w:basedOn w:val="Standard"/>
    <w:next w:val="Standard"/>
    <w:rsid w:val="004C4EE9"/>
    <w:pPr>
      <w:spacing w:before="240" w:after="60"/>
      <w:outlineLvl w:val="7"/>
    </w:pPr>
    <w:rPr>
      <w:i/>
      <w:iCs/>
    </w:rPr>
  </w:style>
  <w:style w:type="paragraph" w:styleId="berschrift9">
    <w:name w:val="heading 9"/>
    <w:basedOn w:val="Standard"/>
    <w:next w:val="Standard"/>
    <w:rsid w:val="004C4EE9"/>
    <w:pPr>
      <w:spacing w:before="240" w:after="60"/>
      <w:outlineLvl w:val="8"/>
    </w:pPr>
    <w:rPr>
      <w:rFonts w:ascii="Arial" w:hAnsi="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Aufzhlungszeichen">
    <w:name w:val="List Bullet"/>
    <w:basedOn w:val="Standard"/>
    <w:autoRedefine/>
    <w:rsid w:val="00A55E36"/>
    <w:pPr>
      <w:numPr>
        <w:numId w:val="1"/>
      </w:numPr>
    </w:pPr>
  </w:style>
  <w:style w:type="character" w:customStyle="1" w:styleId="texto">
    <w:name w:val="texto"/>
    <w:basedOn w:val="Absatz-Standardschriftart"/>
    <w:rsid w:val="00A6457C"/>
  </w:style>
  <w:style w:type="character" w:styleId="Kommentarzeichen">
    <w:name w:val="annotation reference"/>
    <w:basedOn w:val="Absatz-Standardschriftart"/>
    <w:semiHidden/>
    <w:rsid w:val="009E4985"/>
    <w:rPr>
      <w:sz w:val="16"/>
      <w:szCs w:val="16"/>
    </w:rPr>
  </w:style>
  <w:style w:type="paragraph" w:styleId="Kommentartext">
    <w:name w:val="annotation text"/>
    <w:basedOn w:val="Standard"/>
    <w:semiHidden/>
    <w:rsid w:val="009E4985"/>
    <w:rPr>
      <w:sz w:val="20"/>
      <w:szCs w:val="20"/>
    </w:rPr>
  </w:style>
  <w:style w:type="character" w:customStyle="1" w:styleId="SWCBulletedListCar">
    <w:name w:val="SWC_BulletedList Car"/>
    <w:basedOn w:val="Absatz-Standardschriftart"/>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ind w:left="240" w:firstLine="0"/>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Absatz-Standardschriftart"/>
    <w:link w:val="CPV-7Heading1Character"/>
    <w:rsid w:val="00FE2ADC"/>
    <w:rPr>
      <w:b/>
      <w:color w:val="000000"/>
      <w:sz w:val="22"/>
      <w:szCs w:val="24"/>
      <w:lang w:val="en-US" w:eastAsia="de-DE" w:bidi="ar-SA"/>
    </w:rPr>
  </w:style>
  <w:style w:type="paragraph" w:customStyle="1" w:styleId="SWCHeading11">
    <w:name w:val="SWC_Heading1.1"/>
    <w:basedOn w:val="SWCHeading1"/>
    <w:next w:val="Standard"/>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Kommentarthema">
    <w:name w:val="annotation subject"/>
    <w:basedOn w:val="Kommentartext"/>
    <w:next w:val="Kommentartext"/>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yperlink">
    <w:name w:val="Hyperlink"/>
    <w:basedOn w:val="Absatz-Standardschriftart"/>
    <w:rsid w:val="005D5CF6"/>
    <w:rPr>
      <w:color w:val="0000FF"/>
      <w:u w:val="single"/>
    </w:rPr>
  </w:style>
  <w:style w:type="paragraph" w:styleId="Sprechblasentext">
    <w:name w:val="Balloon Text"/>
    <w:basedOn w:val="Standard"/>
    <w:semiHidden/>
    <w:rsid w:val="009E4985"/>
    <w:rPr>
      <w:rFonts w:ascii="Tahoma" w:hAnsi="Tahoma" w:cs="Tahoma"/>
      <w:sz w:val="16"/>
      <w:szCs w:val="16"/>
    </w:rPr>
  </w:style>
  <w:style w:type="paragraph" w:customStyle="1" w:styleId="SP09Heading111">
    <w:name w:val="SP09_Heading1.1.1"/>
    <w:basedOn w:val="Standard"/>
    <w:rsid w:val="00DC0318"/>
    <w:pPr>
      <w:spacing w:before="160" w:after="80" w:line="240" w:lineRule="exact"/>
    </w:pPr>
    <w:rPr>
      <w:b/>
      <w:color w:val="000000"/>
      <w:sz w:val="20"/>
      <w:szCs w:val="22"/>
      <w:lang w:val="en-US"/>
    </w:rPr>
  </w:style>
  <w:style w:type="table" w:styleId="Tabellenraster">
    <w:name w:val="Table Grid"/>
    <w:basedOn w:val="NormaleTabelle"/>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Standard"/>
    <w:next w:val="AuthorAdress"/>
    <w:rsid w:val="00155FB8"/>
    <w:pPr>
      <w:spacing w:after="240"/>
      <w:jc w:val="center"/>
    </w:pPr>
    <w:rPr>
      <w:szCs w:val="20"/>
      <w:lang w:val="en-GB" w:eastAsia="es-ES"/>
    </w:rPr>
  </w:style>
  <w:style w:type="paragraph" w:customStyle="1" w:styleId="AuthorAdress">
    <w:name w:val="AuthorAdress"/>
    <w:basedOn w:val="Standard"/>
    <w:next w:val="Affiliations"/>
    <w:rsid w:val="00155FB8"/>
    <w:pPr>
      <w:spacing w:after="120" w:line="320" w:lineRule="atLeast"/>
      <w:jc w:val="center"/>
    </w:pPr>
    <w:rPr>
      <w:i/>
      <w:lang w:val="en-GB" w:eastAsia="es-ES"/>
    </w:rPr>
  </w:style>
  <w:style w:type="paragraph" w:customStyle="1" w:styleId="TableText">
    <w:name w:val="TableText"/>
    <w:basedOn w:val="Standard"/>
    <w:next w:val="Standard"/>
    <w:rsid w:val="00155FB8"/>
    <w:pPr>
      <w:jc w:val="center"/>
    </w:pPr>
    <w:rPr>
      <w:sz w:val="20"/>
      <w:szCs w:val="20"/>
      <w:lang w:val="es-ES" w:eastAsia="es-ES"/>
    </w:rPr>
  </w:style>
  <w:style w:type="paragraph" w:customStyle="1" w:styleId="Text">
    <w:name w:val="Text"/>
    <w:basedOn w:val="Standard"/>
    <w:rsid w:val="009B4816"/>
    <w:pPr>
      <w:spacing w:after="240" w:line="320" w:lineRule="atLeast"/>
      <w:jc w:val="both"/>
    </w:pPr>
    <w:rPr>
      <w:szCs w:val="20"/>
      <w:lang w:val="en-GB" w:eastAsia="es-ES"/>
    </w:rPr>
  </w:style>
  <w:style w:type="paragraph" w:customStyle="1" w:styleId="FigureCaption">
    <w:name w:val="FigureCaption"/>
    <w:basedOn w:val="Standard"/>
    <w:next w:val="Standard"/>
    <w:rsid w:val="00AC2C09"/>
    <w:pPr>
      <w:jc w:val="center"/>
    </w:pPr>
    <w:rPr>
      <w:szCs w:val="20"/>
      <w:lang w:val="es-ES" w:eastAsia="es-ES"/>
    </w:rPr>
  </w:style>
  <w:style w:type="paragraph" w:customStyle="1" w:styleId="Title2">
    <w:name w:val="Title2"/>
    <w:basedOn w:val="Standard"/>
    <w:link w:val="Title2CarCar"/>
    <w:rsid w:val="00AC2C09"/>
    <w:pPr>
      <w:keepNext/>
      <w:spacing w:before="240" w:after="120" w:line="320" w:lineRule="atLeast"/>
    </w:pPr>
    <w:rPr>
      <w:b/>
      <w:szCs w:val="20"/>
      <w:lang w:val="en-GB" w:eastAsia="es-ES"/>
    </w:rPr>
  </w:style>
  <w:style w:type="character" w:customStyle="1" w:styleId="Title2CarCar">
    <w:name w:val="Title2 Car Car"/>
    <w:basedOn w:val="Absatz-Standardschriftart"/>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Standard"/>
    <w:link w:val="SWCHeading1Car"/>
    <w:qFormat/>
    <w:rsid w:val="002972D1"/>
    <w:pPr>
      <w:numPr>
        <w:numId w:val="11"/>
      </w:numPr>
      <w:spacing w:before="360" w:after="120" w:line="280" w:lineRule="exact"/>
      <w:ind w:left="714" w:hanging="357"/>
      <w:jc w:val="center"/>
    </w:pPr>
    <w:rPr>
      <w:rFonts w:ascii="Arial" w:hAnsi="Arial"/>
      <w:b/>
      <w:color w:val="000000"/>
      <w:szCs w:val="24"/>
      <w:lang w:val="en-US" w:eastAsia="de-DE"/>
    </w:rPr>
  </w:style>
  <w:style w:type="paragraph" w:customStyle="1" w:styleId="SP09Heading11">
    <w:name w:val="SP09_Heading1.1"/>
    <w:next w:val="Standard"/>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Funotentext">
    <w:name w:val="footnote text"/>
    <w:basedOn w:val="Standard"/>
    <w:semiHidden/>
    <w:rsid w:val="003869E8"/>
    <w:rPr>
      <w:sz w:val="20"/>
      <w:szCs w:val="20"/>
    </w:rPr>
  </w:style>
  <w:style w:type="character" w:styleId="Funotenzeichen">
    <w:name w:val="footnote reference"/>
    <w:basedOn w:val="Absatz-Standardschriftart"/>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Absatz-Standardschriftart"/>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Platzhaltertext">
    <w:name w:val="Placeholder Text"/>
    <w:basedOn w:val="Absatz-Standardschriftart"/>
    <w:uiPriority w:val="99"/>
    <w:semiHidden/>
    <w:rsid w:val="00653551"/>
    <w:rPr>
      <w:color w:val="808080"/>
    </w:rPr>
  </w:style>
  <w:style w:type="character" w:customStyle="1" w:styleId="NichtaufgelsteErwhnung1">
    <w:name w:val="Nicht aufgelöste Erwähnung1"/>
    <w:basedOn w:val="Absatz-Standardschriftart"/>
    <w:uiPriority w:val="99"/>
    <w:semiHidden/>
    <w:unhideWhenUsed/>
    <w:rsid w:val="00E218E2"/>
    <w:rPr>
      <w:color w:val="605E5C"/>
      <w:shd w:val="clear" w:color="auto" w:fill="E1DFDD"/>
    </w:rPr>
  </w:style>
  <w:style w:type="paragraph" w:styleId="berarbeitung">
    <w:name w:val="Revision"/>
    <w:hidden/>
    <w:uiPriority w:val="99"/>
    <w:semiHidden/>
    <w:rsid w:val="00FA4DF8"/>
    <w:rPr>
      <w:sz w:val="24"/>
      <w:szCs w:val="24"/>
      <w:lang w:val="de-DE" w:eastAsia="de-DE"/>
    </w:rPr>
  </w:style>
  <w:style w:type="paragraph" w:styleId="Beschriftung">
    <w:name w:val="caption"/>
    <w:basedOn w:val="Standard"/>
    <w:next w:val="Standard"/>
    <w:uiPriority w:val="35"/>
    <w:unhideWhenUsed/>
    <w:qFormat/>
    <w:rsid w:val="00792BAB"/>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FC0B9-1264-4AA4-B888-3E543AC5F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583</Words>
  <Characters>3680</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ISES SWC2015 – Paper Formatting Guidelines</vt:lpstr>
    </vt:vector>
  </TitlesOfParts>
  <Company>Oxford Brookes University</Company>
  <LinksUpToDate>false</LinksUpToDate>
  <CharactersWithSpaces>4255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creator>ISES</dc:creator>
  <cp:lastModifiedBy>Bettina Muster</cp:lastModifiedBy>
  <cp:revision>2</cp:revision>
  <cp:lastPrinted>2023-02-22T09:40:00Z</cp:lastPrinted>
  <dcterms:created xsi:type="dcterms:W3CDTF">2026-04-11T08:33:00Z</dcterms:created>
  <dcterms:modified xsi:type="dcterms:W3CDTF">2026-04-11T08:33:00Z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