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EF81829" w14:textId="77777777" w:rsidR="009F6478" w:rsidRDefault="009F6478" w:rsidP="00E917F8">
      <w:pPr>
        <w:pStyle w:val="SWCTitle"/>
        <w:spacing w:before="0" w:after="0"/>
        <w:jc w:val="left"/>
        <w:rPr>
          <w:sz w:val="28"/>
          <w:szCs w:val="28"/>
        </w:rPr>
      </w:pPr>
      <w:r w:rsidRPr="009F6478">
        <w:rPr>
          <w:sz w:val="28"/>
          <w:szCs w:val="28"/>
        </w:rPr>
        <w:t>Affordable photovoltaic and heat pump water heating for cold climates</w:t>
      </w:r>
    </w:p>
    <w:p w14:paraId="5850DC36" w14:textId="132B4B65" w:rsidR="006B3D49" w:rsidRPr="005A2D9D" w:rsidRDefault="00AC3B56" w:rsidP="00E917F8">
      <w:pPr>
        <w:pStyle w:val="SWCTitle"/>
        <w:spacing w:before="0" w:after="0"/>
        <w:jc w:val="left"/>
        <w:rPr>
          <w:rFonts w:ascii="Times New Roman" w:hAnsi="Times New Roman"/>
          <w:b w:val="0"/>
          <w:sz w:val="20"/>
          <w:szCs w:val="20"/>
          <w:vertAlign w:val="subscript"/>
        </w:rPr>
      </w:pPr>
      <w:r>
        <w:rPr>
          <w:rFonts w:ascii="Times New Roman" w:hAnsi="Times New Roman"/>
          <w:b w:val="0"/>
          <w:sz w:val="20"/>
          <w:szCs w:val="20"/>
        </w:rPr>
        <w:t>Isabelle Kosteniuk</w:t>
      </w:r>
      <w:r w:rsidR="0007036D">
        <w:rPr>
          <w:rFonts w:ascii="Times New Roman" w:hAnsi="Times New Roman"/>
          <w:b w:val="0"/>
          <w:sz w:val="20"/>
          <w:szCs w:val="20"/>
          <w:vertAlign w:val="subscript"/>
        </w:rPr>
        <w:t>a</w:t>
      </w:r>
      <w:r>
        <w:rPr>
          <w:rFonts w:ascii="Times New Roman" w:hAnsi="Times New Roman"/>
          <w:b w:val="0"/>
          <w:sz w:val="20"/>
          <w:szCs w:val="20"/>
        </w:rPr>
        <w:t>, Lucio Mesquita</w:t>
      </w:r>
      <w:r w:rsidR="0007036D">
        <w:rPr>
          <w:rFonts w:ascii="Times New Roman" w:hAnsi="Times New Roman"/>
          <w:b w:val="0"/>
          <w:sz w:val="20"/>
          <w:szCs w:val="20"/>
          <w:vertAlign w:val="subscript"/>
        </w:rPr>
        <w:t>a</w:t>
      </w:r>
      <w:r w:rsidR="007F31F3">
        <w:rPr>
          <w:rFonts w:ascii="Times New Roman" w:hAnsi="Times New Roman"/>
          <w:b w:val="0"/>
          <w:sz w:val="20"/>
          <w:szCs w:val="20"/>
        </w:rPr>
        <w:t>, David Bradley</w:t>
      </w:r>
      <w:r w:rsidR="0007036D">
        <w:rPr>
          <w:rFonts w:ascii="Times New Roman" w:hAnsi="Times New Roman"/>
          <w:b w:val="0"/>
          <w:sz w:val="20"/>
          <w:szCs w:val="20"/>
          <w:vertAlign w:val="subscript"/>
        </w:rPr>
        <w:t>b</w:t>
      </w:r>
      <w:r w:rsidR="007F31F3">
        <w:rPr>
          <w:rFonts w:ascii="Times New Roman" w:hAnsi="Times New Roman"/>
          <w:b w:val="0"/>
          <w:sz w:val="20"/>
          <w:szCs w:val="20"/>
        </w:rPr>
        <w:t>, Jeff Thornton</w:t>
      </w:r>
      <w:r w:rsidR="0007036D">
        <w:rPr>
          <w:rFonts w:ascii="Times New Roman" w:hAnsi="Times New Roman"/>
          <w:b w:val="0"/>
          <w:sz w:val="20"/>
          <w:szCs w:val="20"/>
          <w:vertAlign w:val="subscript"/>
        </w:rPr>
        <w:t>b</w:t>
      </w:r>
    </w:p>
    <w:p w14:paraId="311CE447" w14:textId="2EBC2D73" w:rsidR="006B3D49" w:rsidRPr="006B3D49" w:rsidRDefault="0007036D" w:rsidP="00E917F8">
      <w:pPr>
        <w:pStyle w:val="SWCTitle"/>
        <w:spacing w:before="0" w:after="0"/>
        <w:jc w:val="left"/>
        <w:rPr>
          <w:rFonts w:ascii="Times New Roman" w:hAnsi="Times New Roman"/>
          <w:b w:val="0"/>
          <w:sz w:val="20"/>
          <w:szCs w:val="22"/>
        </w:rPr>
      </w:pPr>
      <w:r>
        <w:rPr>
          <w:rFonts w:ascii="Times New Roman" w:hAnsi="Times New Roman"/>
          <w:b w:val="0"/>
          <w:sz w:val="20"/>
          <w:szCs w:val="22"/>
          <w:vertAlign w:val="superscript"/>
        </w:rPr>
        <w:t>a</w:t>
      </w:r>
      <w:r w:rsidR="00AC3B56">
        <w:rPr>
          <w:rFonts w:ascii="Times New Roman" w:hAnsi="Times New Roman"/>
          <w:b w:val="0"/>
          <w:sz w:val="20"/>
          <w:szCs w:val="22"/>
        </w:rPr>
        <w:t>Natural Resources Canada</w:t>
      </w:r>
      <w:r w:rsidR="007F31F3">
        <w:rPr>
          <w:rFonts w:ascii="Times New Roman" w:hAnsi="Times New Roman"/>
          <w:b w:val="0"/>
          <w:sz w:val="20"/>
          <w:szCs w:val="22"/>
        </w:rPr>
        <w:t xml:space="preserve">, </w:t>
      </w:r>
      <w:r>
        <w:rPr>
          <w:rFonts w:ascii="Times New Roman" w:hAnsi="Times New Roman"/>
          <w:b w:val="0"/>
          <w:sz w:val="20"/>
          <w:szCs w:val="22"/>
          <w:vertAlign w:val="superscript"/>
        </w:rPr>
        <w:t>b</w:t>
      </w:r>
      <w:r w:rsidR="007F31F3">
        <w:rPr>
          <w:rFonts w:ascii="Times New Roman" w:hAnsi="Times New Roman"/>
          <w:b w:val="0"/>
          <w:sz w:val="20"/>
          <w:szCs w:val="22"/>
        </w:rPr>
        <w:t>Salas O’Brien</w:t>
      </w:r>
    </w:p>
    <w:p w14:paraId="79FD5255" w14:textId="1426C5CD" w:rsidR="00EC2E97" w:rsidRDefault="00EC2E97" w:rsidP="00D5556A">
      <w:pPr>
        <w:pStyle w:val="SWCText"/>
      </w:pPr>
      <w:r w:rsidRPr="00801BE5">
        <w:t>isabelle.kosteniuk@nrcan-rncan.gc.ca</w:t>
      </w:r>
      <w:r>
        <w:t>, lucio.mesquita@nrcan-rncan.gc.ca</w:t>
      </w:r>
      <w:r w:rsidR="00C152F2">
        <w:t xml:space="preserve">, </w:t>
      </w:r>
      <w:r w:rsidR="00D90036" w:rsidRPr="00D90036">
        <w:t>david.bradley@salasobrien.com</w:t>
      </w:r>
      <w:r w:rsidR="00D90036">
        <w:t>, j</w:t>
      </w:r>
      <w:r w:rsidR="00D90036" w:rsidRPr="00D90036">
        <w:t>eff.</w:t>
      </w:r>
      <w:r w:rsidR="00D90036">
        <w:t>t</w:t>
      </w:r>
      <w:r w:rsidR="00D90036" w:rsidRPr="00D90036">
        <w:t>hornton@salasobrien.com</w:t>
      </w:r>
    </w:p>
    <w:p w14:paraId="3A7DF4B5" w14:textId="6F51DBA9" w:rsidR="001A775B" w:rsidRDefault="0C3545CD" w:rsidP="0C3545CD">
      <w:pPr>
        <w:pStyle w:val="SWCSummary"/>
        <w:pBdr>
          <w:bottom w:val="single" w:sz="6" w:space="1" w:color="auto"/>
        </w:pBdr>
      </w:pPr>
      <w:r>
        <w:t>Summary</w:t>
      </w:r>
    </w:p>
    <w:p w14:paraId="2D9BF0A8" w14:textId="7F74BB76" w:rsidR="0031685E" w:rsidRDefault="0054341B" w:rsidP="00D5556A">
      <w:pPr>
        <w:pStyle w:val="SWCText"/>
      </w:pPr>
      <w:r w:rsidRPr="004E77F7">
        <w:t>The low cost of PV panels has expanded the market for new applications, including residential water heating. Given the trend towards high efficien</w:t>
      </w:r>
      <w:r w:rsidR="001535AE">
        <w:t>cy</w:t>
      </w:r>
      <w:r w:rsidRPr="004E77F7">
        <w:t xml:space="preserve"> water heating technologies across North America, this study compares PV water heating</w:t>
      </w:r>
      <w:r w:rsidR="00F040AF">
        <w:t xml:space="preserve"> to </w:t>
      </w:r>
      <w:r w:rsidR="00BC19BD">
        <w:t>alternative</w:t>
      </w:r>
      <w:r w:rsidR="00F040AF">
        <w:t xml:space="preserve"> technologies including </w:t>
      </w:r>
      <w:r w:rsidRPr="004E77F7">
        <w:t>heat pump water heaters</w:t>
      </w:r>
      <w:r w:rsidR="00F040AF">
        <w:t>, PVT-heat pump water heaters,</w:t>
      </w:r>
      <w:r w:rsidRPr="004E77F7">
        <w:t xml:space="preserve"> and conventional electric water heating. The technical and economic performance of photovoltaic water heaters in 1</w:t>
      </w:r>
      <w:r w:rsidR="007953F9">
        <w:t>4</w:t>
      </w:r>
      <w:r w:rsidRPr="004E77F7">
        <w:t xml:space="preserve"> Canadian cities was assessed using energy modelling in TRNSYS. The PV water heaters use inverters and </w:t>
      </w:r>
      <w:r w:rsidR="005F1C6E">
        <w:t>maximum power point tracking (</w:t>
      </w:r>
      <w:r w:rsidRPr="004E77F7">
        <w:t>MPPT</w:t>
      </w:r>
      <w:r w:rsidR="005F1C6E">
        <w:t>)</w:t>
      </w:r>
      <w:r w:rsidRPr="004E77F7">
        <w:t xml:space="preserve"> with varying array sizes of 1</w:t>
      </w:r>
      <w:r w:rsidR="00462192">
        <w:t>.</w:t>
      </w:r>
      <w:r w:rsidRPr="004E77F7">
        <w:t>5</w:t>
      </w:r>
      <w:r w:rsidR="00462192">
        <w:t xml:space="preserve"> kW</w:t>
      </w:r>
      <w:r w:rsidRPr="004E77F7">
        <w:t xml:space="preserve"> to 3</w:t>
      </w:r>
      <w:r w:rsidR="00462192">
        <w:t>.0</w:t>
      </w:r>
      <w:r w:rsidRPr="004E77F7">
        <w:t xml:space="preserve"> </w:t>
      </w:r>
      <w:r w:rsidR="00462192">
        <w:t>kW</w:t>
      </w:r>
      <w:r w:rsidRPr="004E77F7">
        <w:t>, resulting in solar fractions ranging from</w:t>
      </w:r>
      <w:r w:rsidR="00462192">
        <w:t xml:space="preserve"> 0.45 to 0.91</w:t>
      </w:r>
      <w:r w:rsidRPr="004E77F7">
        <w:t>. Findings sug</w:t>
      </w:r>
      <w:r w:rsidR="00CE4F98">
        <w:t>gest that</w:t>
      </w:r>
      <w:r w:rsidR="00E75F42" w:rsidRPr="00E75F42">
        <w:t xml:space="preserve"> </w:t>
      </w:r>
      <w:r w:rsidR="00E75F42">
        <w:t>t</w:t>
      </w:r>
      <w:r w:rsidR="00E75F42" w:rsidRPr="00E75F42">
        <w:t>here is significant regional variation, with provincial electricity costs and space heating loads impacting the performance and affordability of the different low-carbon options</w:t>
      </w:r>
      <w:r w:rsidR="00E75F42">
        <w:t>.</w:t>
      </w:r>
      <w:r w:rsidR="00E75F42" w:rsidRPr="00E75F42">
        <w:t xml:space="preserve"> Compared to conventional electric water heating,</w:t>
      </w:r>
      <w:r w:rsidR="0067771B">
        <w:t xml:space="preserve"> heat pump water heaters</w:t>
      </w:r>
      <w:r w:rsidR="00E75F42" w:rsidRPr="00E75F42">
        <w:t xml:space="preserve"> require an average subsidy of $</w:t>
      </w:r>
      <w:r w:rsidR="00AB22C5">
        <w:t>1504</w:t>
      </w:r>
      <w:r w:rsidR="00E75F42" w:rsidRPr="00E75F42">
        <w:t xml:space="preserve"> to be cost-competitive, PVT-</w:t>
      </w:r>
      <w:r w:rsidR="0067771B">
        <w:t>heat pump water heaters</w:t>
      </w:r>
      <w:r w:rsidR="00E75F42" w:rsidRPr="00E75F42">
        <w:t xml:space="preserve"> on average $6,330, and PV</w:t>
      </w:r>
      <w:r w:rsidR="0067771B">
        <w:t xml:space="preserve"> water heaters</w:t>
      </w:r>
      <w:r w:rsidR="00E75F42" w:rsidRPr="00E75F42">
        <w:t xml:space="preserve"> on average $2,9</w:t>
      </w:r>
      <w:r w:rsidR="00FE6500">
        <w:t>68</w:t>
      </w:r>
      <w:r w:rsidR="00E75F42" w:rsidRPr="00E75F42">
        <w:t xml:space="preserve">, excluding northern locations with </w:t>
      </w:r>
      <w:r w:rsidR="004E23FC" w:rsidRPr="00E75F42">
        <w:t>extremely</w:t>
      </w:r>
      <w:r w:rsidR="00E75F42" w:rsidRPr="00E75F42">
        <w:t xml:space="preserve"> high electricity costs. Considering a low-cost PV scenario, this average falls to $</w:t>
      </w:r>
      <w:r w:rsidR="00B36F94">
        <w:t>2,002</w:t>
      </w:r>
      <w:r w:rsidR="00E75F42" w:rsidRPr="00E75F42">
        <w:t xml:space="preserve">. The analysis found that while PV water heating is not yet economic compared to conventional electric water heating, the </w:t>
      </w:r>
      <w:r w:rsidR="00E26A1F">
        <w:t xml:space="preserve">low-cost </w:t>
      </w:r>
      <w:r w:rsidR="00E75F42" w:rsidRPr="00E75F42">
        <w:t>PV</w:t>
      </w:r>
      <w:r w:rsidR="0067771B">
        <w:t xml:space="preserve"> water heating</w:t>
      </w:r>
      <w:r w:rsidR="00E75F42" w:rsidRPr="00E75F42">
        <w:t xml:space="preserve"> system is on average only $</w:t>
      </w:r>
      <w:r w:rsidR="00687CA5">
        <w:t>498</w:t>
      </w:r>
      <w:r w:rsidR="00E75F42" w:rsidRPr="00E75F42">
        <w:t xml:space="preserve"> more expensive than a </w:t>
      </w:r>
      <w:r w:rsidR="001D59E1" w:rsidRPr="00E75F42">
        <w:t>compara</w:t>
      </w:r>
      <w:r w:rsidR="001D59E1">
        <w:t>ble</w:t>
      </w:r>
      <w:r w:rsidR="001D59E1" w:rsidRPr="00E75F42">
        <w:t xml:space="preserve"> </w:t>
      </w:r>
      <w:r w:rsidR="0067771B">
        <w:t>heat pump water heater</w:t>
      </w:r>
      <w:r w:rsidR="00E75F42" w:rsidRPr="00E75F42">
        <w:t>, ranging from -$</w:t>
      </w:r>
      <w:r w:rsidR="00656F06">
        <w:t>13</w:t>
      </w:r>
      <w:r w:rsidR="00E75F42" w:rsidRPr="00E75F42">
        <w:t xml:space="preserve"> in Regina to $1,1</w:t>
      </w:r>
      <w:r w:rsidR="00656F06">
        <w:t>57</w:t>
      </w:r>
      <w:r w:rsidR="00E75F42" w:rsidRPr="00E75F42">
        <w:t xml:space="preserve"> in St. John’s.</w:t>
      </w:r>
    </w:p>
    <w:p w14:paraId="5AB3A3E7" w14:textId="18455923" w:rsidR="00DB52E7" w:rsidRDefault="004764E9" w:rsidP="001A775B">
      <w:pPr>
        <w:pStyle w:val="SWCText"/>
        <w:pBdr>
          <w:bottom w:val="single" w:sz="6" w:space="1" w:color="auto"/>
        </w:pBdr>
        <w:rPr>
          <w:i/>
          <w:iCs/>
        </w:rPr>
      </w:pPr>
      <w:r>
        <w:rPr>
          <w:i/>
          <w:iCs/>
        </w:rPr>
        <w:t>PV-to-heat</w:t>
      </w:r>
      <w:r w:rsidR="00D72E92" w:rsidRPr="00D72E92">
        <w:rPr>
          <w:i/>
          <w:iCs/>
        </w:rPr>
        <w:t xml:space="preserve">, </w:t>
      </w:r>
      <w:r>
        <w:rPr>
          <w:i/>
          <w:iCs/>
        </w:rPr>
        <w:t>solar water heating</w:t>
      </w:r>
      <w:r w:rsidR="00D72E92" w:rsidRPr="00D72E92">
        <w:rPr>
          <w:i/>
          <w:iCs/>
        </w:rPr>
        <w:t xml:space="preserve">, </w:t>
      </w:r>
      <w:r>
        <w:rPr>
          <w:i/>
          <w:iCs/>
        </w:rPr>
        <w:t>techno-economic</w:t>
      </w:r>
      <w:r w:rsidR="00D54483">
        <w:rPr>
          <w:i/>
          <w:iCs/>
        </w:rPr>
        <w:t>,</w:t>
      </w:r>
      <w:r w:rsidR="00D72E92" w:rsidRPr="00D72E92">
        <w:rPr>
          <w:i/>
          <w:iCs/>
        </w:rPr>
        <w:t xml:space="preserve"> </w:t>
      </w:r>
      <w:r>
        <w:rPr>
          <w:i/>
          <w:iCs/>
        </w:rPr>
        <w:t>PV water heating</w:t>
      </w:r>
    </w:p>
    <w:p w14:paraId="01458796" w14:textId="4EC8C5F5" w:rsidR="00FA4DF8" w:rsidRDefault="002C089D" w:rsidP="001A775B">
      <w:pPr>
        <w:pStyle w:val="SWCText"/>
        <w:pBdr>
          <w:bottom w:val="single" w:sz="6" w:space="1" w:color="auto"/>
        </w:pBdr>
        <w:rPr>
          <w:i/>
          <w:iCs/>
        </w:rPr>
      </w:pPr>
      <w:r>
        <w:rPr>
          <w:i/>
          <w:iCs/>
        </w:rPr>
        <w:t>Field of application for the findings:</w:t>
      </w:r>
      <w:r w:rsidR="0093489F">
        <w:rPr>
          <w:i/>
          <w:iCs/>
        </w:rPr>
        <w:t xml:space="preserve"> </w:t>
      </w:r>
      <w:r w:rsidR="001A757D">
        <w:rPr>
          <w:i/>
          <w:iCs/>
        </w:rPr>
        <w:t xml:space="preserve">building energy efficiency, electrification of building energy systems, </w:t>
      </w:r>
      <w:r w:rsidR="00507A97">
        <w:rPr>
          <w:i/>
          <w:iCs/>
        </w:rPr>
        <w:t>energy policy and residential decarbonization</w:t>
      </w:r>
    </w:p>
    <w:p w14:paraId="185A319D" w14:textId="3C4889B1" w:rsidR="002C089D" w:rsidRDefault="00CC3B0C" w:rsidP="001A775B">
      <w:pPr>
        <w:pStyle w:val="SWCText"/>
        <w:pBdr>
          <w:bottom w:val="single" w:sz="6" w:space="1" w:color="auto"/>
        </w:pBdr>
        <w:rPr>
          <w:i/>
          <w:iCs/>
        </w:rPr>
      </w:pPr>
      <w:r>
        <w:rPr>
          <w:i/>
          <w:iCs/>
        </w:rPr>
        <w:t>Addressed audience:</w:t>
      </w:r>
      <w:r w:rsidR="00507A97">
        <w:rPr>
          <w:i/>
          <w:iCs/>
        </w:rPr>
        <w:t xml:space="preserve"> researchers and policymakers in renewable heating </w:t>
      </w:r>
      <w:r w:rsidR="00B76D51">
        <w:rPr>
          <w:i/>
          <w:iCs/>
        </w:rPr>
        <w:t>and building decarbonization, utilities and energy planners</w:t>
      </w:r>
    </w:p>
    <w:p w14:paraId="378F0C31" w14:textId="39973897" w:rsidR="00D32EF0" w:rsidRPr="006309AA" w:rsidRDefault="0061610D" w:rsidP="00490F10">
      <w:pPr>
        <w:pStyle w:val="SWCHeading1"/>
      </w:pPr>
      <w:r>
        <w:t>Introduction</w:t>
      </w:r>
    </w:p>
    <w:p w14:paraId="7344A7F5" w14:textId="45D70D76" w:rsidR="001572E7" w:rsidRDefault="00AB6BDA" w:rsidP="00AB6BDA">
      <w:pPr>
        <w:pStyle w:val="SWCText"/>
      </w:pPr>
      <w:r w:rsidRPr="004E77F7">
        <w:t>In 2022, domestic water heating made up 18.3% of total energy used in Canadian households, equivalent to 266.8 PJ</w:t>
      </w:r>
      <w:r w:rsidR="00D343B5">
        <w:t xml:space="preserve">, </w:t>
      </w:r>
      <w:r w:rsidRPr="004E77F7">
        <w:t>mak</w:t>
      </w:r>
      <w:r w:rsidR="00D343B5">
        <w:t>ing</w:t>
      </w:r>
      <w:r w:rsidRPr="004E77F7">
        <w:t xml:space="preserve"> water heaters the second highest energy consumer in the home behind only total home heating </w:t>
      </w:r>
      <w:r w:rsidR="00D343B5" w:rsidRPr="004E77F7">
        <w:fldChar w:fldCharType="begin"/>
      </w:r>
      <w:r w:rsidR="009C5B3C">
        <w:instrText xml:space="preserve"> ADDIN ZOTERO_ITEM CSL_CITATION {"citationID":"wJLxvEBI","properties":{"formattedCitation":"(Natural Resources Canada, 2025)","plainCitation":"(Natural Resources Canada, 2025)","noteIndex":0},"citationItems":[{"id":4498,"uris":["http://zotero.org/users/11724601/items/9E85P526"],"itemData":{"id":4498,"type":"webpage","language":"eng","note":"Last Modified: 2025-03-18","publisher":"Government of Canada, Natural Resources Canada","title":"Residential Sector - Energy Use Analysis","URL":"https://oee.nrcan.gc.ca/corporate/statistics/neud/dpa/showTable.cfm?type=AN&amp;sector=res&amp;juris=00&amp;year=2022&amp;rn=11&amp;page=0","author":[{"family":"Natural Resources Canada","given":""}],"accessed":{"date-parts":[["2025",7,16]]},"issued":{"date-parts":[["2025",3,18]]}}}],"schema":"https://github.com/citation-style-language/schema/raw/master/csl-citation.json"} </w:instrText>
      </w:r>
      <w:r w:rsidR="00D343B5" w:rsidRPr="004E77F7">
        <w:fldChar w:fldCharType="separate"/>
      </w:r>
      <w:r w:rsidR="009C5B3C" w:rsidRPr="009C5B3C">
        <w:t>(Natural Resources Canada, 2025)</w:t>
      </w:r>
      <w:r w:rsidR="00D343B5" w:rsidRPr="004E77F7">
        <w:fldChar w:fldCharType="end"/>
      </w:r>
      <w:r w:rsidR="00D343B5">
        <w:t xml:space="preserve">. </w:t>
      </w:r>
      <w:r w:rsidRPr="004E77F7">
        <w:t>In single detached households, over 70% of hot water heating in Canada is supplied by natural gas</w:t>
      </w:r>
      <w:r w:rsidR="00245981">
        <w:t>, as shown in Figure 1</w:t>
      </w:r>
      <w:r w:rsidRPr="004E77F7">
        <w:t>.</w:t>
      </w:r>
      <w:r>
        <w:t xml:space="preserve"> </w:t>
      </w:r>
      <w:r w:rsidR="00EB2167">
        <w:t>E</w:t>
      </w:r>
      <w:r w:rsidR="00EB2167" w:rsidRPr="00EB2167">
        <w:t>stimates show that in the quest towards electrification, the Canadian electrical grid will need significant capacity upgrades to meet NetZero by 2050 targets</w:t>
      </w:r>
      <w:r w:rsidR="0087682C">
        <w:t xml:space="preserve"> </w:t>
      </w:r>
      <w:r w:rsidR="00C2371F">
        <w:fldChar w:fldCharType="begin"/>
      </w:r>
      <w:r w:rsidR="005A3838">
        <w:instrText xml:space="preserve"> ADDIN ZOTERO_ITEM CSL_CITATION {"citationID":"mlQZ8VKN","properties":{"unsorted":false,"formattedCitation":"(Canadian Climate Institute, 2021)","plainCitation":"(Canadian Climate Institute, 2021)","noteIndex":0},"citationItems":[{"id":4508,"uris":["http://zotero.org/users/11724601/items/LTILVZAT"],"itemData":{"id":4508,"type":"report","abstract":"Canada has committed to reach net zero greenhouse gas emissions by 2050, and we have many ways to get there.","language":"en-US","title":"Canada's Net Zero Future","URL":"https://climateinstitute.ca/reports/canadas-net-zero-future/","author":[{"family":"Canadian Climate Institute","given":""}],"accessed":{"date-parts":[["2025",7,16]]},"issued":{"date-parts":[["2021"]]}}}],"schema":"https://github.com/citation-style-language/schema/raw/master/csl-citation.json"} </w:instrText>
      </w:r>
      <w:r w:rsidR="00C2371F">
        <w:fldChar w:fldCharType="separate"/>
      </w:r>
      <w:r w:rsidR="005A3838" w:rsidRPr="005A3838">
        <w:t>(Canadian Climate Institute, 2021)</w:t>
      </w:r>
      <w:r w:rsidR="00C2371F">
        <w:fldChar w:fldCharType="end"/>
      </w:r>
      <w:r w:rsidR="00EB2167">
        <w:t xml:space="preserve">. The </w:t>
      </w:r>
      <w:r w:rsidR="00A27D70">
        <w:t>residential</w:t>
      </w:r>
      <w:r w:rsidR="00EB2167" w:rsidRPr="00EB2167">
        <w:t xml:space="preserve"> sector </w:t>
      </w:r>
      <w:proofErr w:type="gramStart"/>
      <w:r w:rsidR="00974FD7">
        <w:t>has the opportunity to</w:t>
      </w:r>
      <w:proofErr w:type="gramEnd"/>
      <w:r w:rsidR="00974FD7">
        <w:t xml:space="preserve"> support emissions targets while </w:t>
      </w:r>
      <w:r w:rsidR="00A27D70">
        <w:t xml:space="preserve">avoiding </w:t>
      </w:r>
      <w:r w:rsidR="00C1173D">
        <w:t>unnecessary</w:t>
      </w:r>
      <w:r w:rsidR="00A27D70">
        <w:t xml:space="preserve"> </w:t>
      </w:r>
      <w:r w:rsidR="00B4609E">
        <w:t xml:space="preserve">and costly grid infrastructure investment through adoption of low-carbon, grid-friendly </w:t>
      </w:r>
      <w:r w:rsidR="002B45ED">
        <w:t>water heating technologies.</w:t>
      </w:r>
    </w:p>
    <w:p w14:paraId="412B7BBA" w14:textId="3E558E66" w:rsidR="00C548B2" w:rsidRDefault="001572E7" w:rsidP="001572E7">
      <w:pPr>
        <w:pStyle w:val="SWCText"/>
        <w:jc w:val="center"/>
      </w:pPr>
      <w:r>
        <w:rPr>
          <w:noProof/>
        </w:rPr>
        <w:drawing>
          <wp:inline distT="0" distB="0" distL="0" distR="0" wp14:anchorId="74750A39" wp14:editId="7E7FBB6A">
            <wp:extent cx="2512612" cy="1753349"/>
            <wp:effectExtent l="0" t="0" r="2540" b="0"/>
            <wp:docPr id="4648535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8">
                      <a:extLst>
                        <a:ext uri="{28A0092B-C50C-407E-A947-70E740481C1C}">
                          <a14:useLocalDpi xmlns:a14="http://schemas.microsoft.com/office/drawing/2010/main" val="0"/>
                        </a:ext>
                      </a:extLst>
                    </a:blip>
                    <a:srcRect l="5180" t="819" r="2455" b="7427"/>
                    <a:stretch>
                      <a:fillRect/>
                    </a:stretch>
                  </pic:blipFill>
                  <pic:spPr bwMode="auto">
                    <a:xfrm>
                      <a:off x="0" y="0"/>
                      <a:ext cx="2515027" cy="1755034"/>
                    </a:xfrm>
                    <a:prstGeom prst="rect">
                      <a:avLst/>
                    </a:prstGeom>
                    <a:noFill/>
                    <a:ln>
                      <a:noFill/>
                    </a:ln>
                    <a:extLst>
                      <a:ext uri="{53640926-AAD7-44D8-BBD7-CCE9431645EC}">
                        <a14:shadowObscured xmlns:a14="http://schemas.microsoft.com/office/drawing/2010/main"/>
                      </a:ext>
                    </a:extLst>
                  </pic:spPr>
                </pic:pic>
              </a:graphicData>
            </a:graphic>
          </wp:inline>
        </w:drawing>
      </w:r>
    </w:p>
    <w:p w14:paraId="4D659225" w14:textId="7EB732C7" w:rsidR="00245981" w:rsidRPr="004516D0" w:rsidRDefault="00245981" w:rsidP="00D5556A">
      <w:pPr>
        <w:pStyle w:val="SWCTableFigureCaption"/>
      </w:pPr>
      <w:r>
        <w:t>Figure 1: Water heating in Canadian residential sector by energy source</w:t>
      </w:r>
    </w:p>
    <w:p w14:paraId="1E5929EA" w14:textId="02DE153C" w:rsidR="00FF1B69" w:rsidRPr="004E77F7" w:rsidRDefault="00AB6BDA" w:rsidP="00AB6BDA">
      <w:pPr>
        <w:pStyle w:val="SWCText"/>
      </w:pPr>
      <w:r w:rsidRPr="004E77F7">
        <w:lastRenderedPageBreak/>
        <w:t>There are a suite of low-carbon water heating options which may be effective and cost-efficient in Canada</w:t>
      </w:r>
      <w:r w:rsidR="008F71C2">
        <w:t xml:space="preserve">, including heat pump water heaters (HPWH), solar thermal and </w:t>
      </w:r>
      <w:r w:rsidR="009E0A25">
        <w:t>photovoltaic-thermal (PVT)</w:t>
      </w:r>
      <w:r w:rsidR="00B800CE">
        <w:t xml:space="preserve"> water heaters</w:t>
      </w:r>
      <w:r w:rsidR="009E0A25">
        <w:t>, and photovoltaic</w:t>
      </w:r>
      <w:r w:rsidR="00B800CE">
        <w:t xml:space="preserve"> water heaters</w:t>
      </w:r>
      <w:r w:rsidR="009E0A25">
        <w:t xml:space="preserve"> (PVWH).</w:t>
      </w:r>
      <w:r w:rsidRPr="004E77F7">
        <w:t xml:space="preserve"> </w:t>
      </w:r>
      <w:r w:rsidR="000244FA">
        <w:t>HPWH</w:t>
      </w:r>
      <w:r w:rsidRPr="004E77F7">
        <w:t xml:space="preserve"> have much higher efficiencies than standard electric water heaters due to their use of  vapour compression cycles which upgrade energy from the ambient to provide hot water. </w:t>
      </w:r>
      <w:r w:rsidR="00B30C23">
        <w:fldChar w:fldCharType="begin"/>
      </w:r>
      <w:r w:rsidR="00B30C23">
        <w:instrText xml:space="preserve"> ADDIN ZOTERO_ITEM CSL_CITATION {"citationID":"mRocPqtx","properties":{"unsorted":false,"formattedCitation":"(Kegel et al., 2017)","plainCitation":"(Kegel et al., 2017)","noteIndex":0},"citationItems":[{"id":3327,"uris":["http://zotero.org/users/11724601/items/QIPGM7LT"],"itemData":{"id":3327,"type":"paper-conference","event-title":"12th IEA Heat Pump Conference","publisher-place":"Rotterdam","title":"Heat Pump Water Heaters in the Canadian Residential Market.pdf","author":[{"family":"Kegel","given":"Martin"},{"family":"Tamasauskas","given":"Justin"},{"family":"Sunye","given":"Roberto"},{"family":"Giguere","given":"Daniel"}],"issued":{"date-parts":[["2017"]]}}}],"schema":"https://github.com/citation-style-language/schema/raw/master/csl-citation.json"} </w:instrText>
      </w:r>
      <w:r w:rsidR="00B30C23">
        <w:fldChar w:fldCharType="separate"/>
      </w:r>
      <w:r w:rsidR="00B30C23" w:rsidRPr="00B30C23">
        <w:t>(Kegel et al., 2017)</w:t>
      </w:r>
      <w:r w:rsidR="00B30C23">
        <w:fldChar w:fldCharType="end"/>
      </w:r>
      <w:r w:rsidR="00BC2546">
        <w:t xml:space="preserve"> </w:t>
      </w:r>
      <w:r w:rsidR="00FF1B69" w:rsidRPr="004E77F7">
        <w:t xml:space="preserve">conducted a TRNSYS-based technoeconomic analysis of </w:t>
      </w:r>
      <w:r w:rsidR="00E76EAB">
        <w:t>HPWH</w:t>
      </w:r>
      <w:r w:rsidR="00FF1B69" w:rsidRPr="004E77F7">
        <w:t xml:space="preserve"> in the Canadian residential market and found that HPWH reduced space temperatures and increased energy use of the space heating system. Additionally, they found that system costs and tank temperature recovery rate were barriers to the uptake of HPWH systems in Canadian markets. </w:t>
      </w:r>
      <w:r w:rsidR="00FF1B69" w:rsidRPr="004E77F7">
        <w:fldChar w:fldCharType="begin"/>
      </w:r>
      <w:r w:rsidR="007922D5">
        <w:instrText xml:space="preserve"> ADDIN ZOTERO_ITEM CSL_CITATION {"citationID":"kpe2aCCy","properties":{"unsorted":false,"formattedCitation":"(Treichel and Cruickshank, 2021)","plainCitation":"(Treichel and Cruickshank, 2021)","noteIndex":0},"citationItems":[{"id":3103,"uris":["http://zotero.org/users/11724601/items/5HDQMHL5"],"itemData":{"id":3103,"type":"article-journal","abstract":"Heat pump water heaters (HPWHs) could reduce residential energy consumption but there are two barriers preventing their uptake: the space cooling effect which increases space heating costs in cold climates and the high capital costs. These barriers may be mitigated by coupling a HPWH with an air-based solar collector to preheat inlet HPWH air, and using a lifecycle thinking approach to evaluate HPWHs or solar-assisted HPWHs (SAHPWHs) to encompass low operating costs. The objective of this study was to economically analyze the HPWH and SAHPWH across Canada and the United States to determine locations in which the systems are economically feasible as a method for reducing residential greenhouse gas emissions. The methodology for this included simulating the HPWH and SAHPWH performance using an experimentally validated TRNSYS model. The results show that HPWHs are typically more feasible than SAHPWHs except in locations with high electricity rates or long heating seasons, or locations with fossil fuel dominant electricity grids when carbon pricing is considered. As such, each location must be studied to determine which options are economically suitable. The findings presented illustrate economical clean water heating options, and subsidies that could be introduced to further encourage uptake of low carbon water heating.","container-title":"Journal of Building Engineering","DOI":"10.1016/j.jobe.2020.102034","ISSN":"2352-7102","journalAbbreviation":"Journal of Building Engineering","page":"102034","source":"ScienceDirect","title":"Economic analysis of heat pump water heaters coupled with air-based solar thermal collectors in Canada and the United States","volume":"35","author":[{"family":"Treichel","given":"Calene"},{"family":"Cruickshank","given":"Cynthia A."}],"issued":{"date-parts":[["2021",3,1]]}}}],"schema":"https://github.com/citation-style-language/schema/raw/master/csl-citation.json"} </w:instrText>
      </w:r>
      <w:r w:rsidR="00FF1B69" w:rsidRPr="004E77F7">
        <w:fldChar w:fldCharType="separate"/>
      </w:r>
      <w:r w:rsidR="007922D5" w:rsidRPr="007922D5">
        <w:t>(Treichel and Cruickshank, 2021)</w:t>
      </w:r>
      <w:r w:rsidR="00FF1B69" w:rsidRPr="004E77F7">
        <w:fldChar w:fldCharType="end"/>
      </w:r>
      <w:r w:rsidR="00FF1B69" w:rsidRPr="004E77F7">
        <w:t xml:space="preserve"> studied the technoeconomic performance of HPWH and </w:t>
      </w:r>
      <w:r w:rsidR="00E028B7">
        <w:t>solar assisted-</w:t>
      </w:r>
      <w:r w:rsidR="00FF1B69" w:rsidRPr="004E77F7">
        <w:t xml:space="preserve">HPWH and found that HWPH are generally more economic than </w:t>
      </w:r>
      <w:r w:rsidR="00E028B7">
        <w:t>solar assisted-</w:t>
      </w:r>
      <w:r w:rsidR="00FF1B69" w:rsidRPr="004E77F7">
        <w:t xml:space="preserve">HPWH, despite the space cooling impact of the HPWH in cold climates. The exception to this is in locations with high electricity costs, long heating seasons, or high electricity emission factors, in the case of carbon pricing. </w:t>
      </w:r>
      <w:r w:rsidR="002F77B8">
        <w:t xml:space="preserve">The study found that the </w:t>
      </w:r>
      <w:r w:rsidR="00C942B1">
        <w:t>addition of a solar air collector</w:t>
      </w:r>
      <w:r w:rsidR="00EC4904" w:rsidRPr="00EC4904">
        <w:t xml:space="preserve"> decreased space heating and cooling loads by 1–3% and 7–15%, respectively.</w:t>
      </w:r>
      <w:r w:rsidR="00C942B1">
        <w:t xml:space="preserve"> </w:t>
      </w:r>
    </w:p>
    <w:p w14:paraId="6C4132F2" w14:textId="2B2559F5" w:rsidR="00C61DC3" w:rsidRDefault="0000417C" w:rsidP="006819D4">
      <w:pPr>
        <w:pStyle w:val="SWCText"/>
      </w:pPr>
      <w:r>
        <w:t xml:space="preserve">Residential </w:t>
      </w:r>
      <w:r w:rsidR="00AB6BDA" w:rsidRPr="004E77F7">
        <w:t>water heating</w:t>
      </w:r>
      <w:r>
        <w:t xml:space="preserve"> using PV</w:t>
      </w:r>
      <w:r w:rsidR="00AB6BDA" w:rsidRPr="004E77F7">
        <w:t xml:space="preserve"> is a nascent technology,</w:t>
      </w:r>
      <w:r w:rsidR="006819D4">
        <w:t xml:space="preserve"> though it has been </w:t>
      </w:r>
      <w:r w:rsidR="00043DE7">
        <w:t xml:space="preserve">gaining momentum </w:t>
      </w:r>
      <w:r w:rsidR="00255512">
        <w:t>in recent years</w:t>
      </w:r>
      <w:r w:rsidR="00043DE7">
        <w:t xml:space="preserve">. </w:t>
      </w:r>
      <w:r w:rsidR="00AB6BDA" w:rsidRPr="004E77F7">
        <w:t>From 2018 to 2023, over 34,000 PV water heating systems were installed in South Africa</w:t>
      </w:r>
      <w:r w:rsidR="00427985">
        <w:t xml:space="preserve"> </w:t>
      </w:r>
      <w:r w:rsidR="00427985">
        <w:fldChar w:fldCharType="begin"/>
      </w:r>
      <w:r w:rsidR="00427985">
        <w:instrText xml:space="preserve"> ADDIN ZOTERO_ITEM CSL_CITATION {"citationID":"bfotmqJb","properties":{"unsorted":false,"formattedCitation":"(Taylor et al., 2025)","plainCitation":"(Taylor et al., 2025)","noteIndex":0},"citationItems":[{"id":4759,"uris":["http://zotero.org/users/11724601/items/54FLJ8FI"],"itemData":{"id":4759,"type":"article-journal","DOI":"10.18777/ieashc-task69-2025-0001","language":"en","publisher":"IEA SHC Task 69","source":"Zotero","title":"The Emergence of PV  Hot Water Systems: A Technology Brief","URL":"https://task69.iea-shc.org/Data/Sites/1/publications/IEA-SHC-Task69-C.3_23-PV-Hot-Water-Technology-Brief.pdf","author":[{"family":"Taylor","given":"Robert A"},{"family":"Day","given":"Tony"},{"family":"Yildiz","given":"Baran"},{"family":"Clift","given":"Dean"},{"family":"Suehrcke","given":"Harry"},{"family":"Liu","given":"Xianping"}],"issued":{"date-parts":[["2025"]]}}}],"schema":"https://github.com/citation-style-language/schema/raw/master/csl-citation.json"} </w:instrText>
      </w:r>
      <w:r w:rsidR="00427985">
        <w:fldChar w:fldCharType="separate"/>
      </w:r>
      <w:r w:rsidR="00427985" w:rsidRPr="00427985">
        <w:t>(Taylor et al., 2025)</w:t>
      </w:r>
      <w:r w:rsidR="00427985">
        <w:fldChar w:fldCharType="end"/>
      </w:r>
      <w:r w:rsidR="00AB6BDA" w:rsidRPr="004E77F7">
        <w:t>. Systems range in complexity but generally consist of a single tank, a PV array, and power electronics such as inverters</w:t>
      </w:r>
      <w:r w:rsidR="00A546FA">
        <w:t xml:space="preserve"> </w:t>
      </w:r>
      <w:r w:rsidR="00A546FA">
        <w:fldChar w:fldCharType="begin"/>
      </w:r>
      <w:r w:rsidR="00A546FA">
        <w:instrText xml:space="preserve"> ADDIN ZOTERO_ITEM CSL_CITATION {"citationID":"xgtNs02P","properties":{"unsorted":false,"formattedCitation":"(Clift and Suehrcke, 2021)","plainCitation":"(Clift and Suehrcke, 2021)","noteIndex":0},"citationItems":[{"id":1292,"uris":["http://zotero.org/users/11724601/items/7XIF7ZVU"],"itemData":{"id":1292,"type":"article-journal","abstract":"Domestic rooftop photovoltaic (PV) systems are typically installed without energy storage and power generated in excess of the building electric load must be exported to the grid or curtailed. In this paper the use of excess PV electricity for water heating is investigated, with the hot water storage tank acting as a low-cost thermal battery. A 3.6 kWp PV system installed on a domestic house with a 315 L storage hot water heater is analysed. It is shown that advanced control of the water heater is critical to make effective use of local intermittent PV power. Without appropriate controls the excess PV power can only reduce the grid energy consumption of an electric storage water heater by approximately 13%. However, with appropriate control, savings of purchased grid electricity above 80% can be achieved for electric storage water heaters. Similarly, using a heat pump, the consumption of purchased grid electricity for water heating can be reduced by close to 90% by making use of excess PV power. The use of excess PV electricity for water heating purposes can also significantly reduce export PV electricity, thereby also assisting the voltage and frequency stabilisation of the electrical distribution network.","container-title":"Solar Energy","DOI":"10.1016/j.solener.2021.08.059","ISSN":"0038-092X","journalAbbreviation":"Solar Energy","page":"489-500","source":"ScienceDirect","title":"Control optimization of PV powered electric storage and heat pump water heaters","volume":"226","author":[{"family":"Clift","given":"Dean Holland"},{"family":"Suehrcke","given":"Harry"}],"issued":{"date-parts":[["2021",9,15]]}}}],"schema":"https://github.com/citation-style-language/schema/raw/master/csl-citation.json"} </w:instrText>
      </w:r>
      <w:r w:rsidR="00A546FA">
        <w:fldChar w:fldCharType="separate"/>
      </w:r>
      <w:r w:rsidR="00A546FA" w:rsidRPr="00A546FA">
        <w:t>(Clift and Suehrcke, 2021)</w:t>
      </w:r>
      <w:r w:rsidR="00A546FA">
        <w:fldChar w:fldCharType="end"/>
      </w:r>
      <w:r w:rsidR="00BE100A">
        <w:t>.</w:t>
      </w:r>
      <w:r w:rsidR="00427985">
        <w:t xml:space="preserve"> </w:t>
      </w:r>
      <w:r w:rsidR="006819D4">
        <w:t>Research efforts have been underway in various cold climate countries</w:t>
      </w:r>
      <w:r w:rsidR="00FF1B69" w:rsidRPr="004E77F7">
        <w:t xml:space="preserve"> considering the overall opportunity for PV water heaters in the national market. </w:t>
      </w:r>
      <w:r w:rsidR="006819D4">
        <w:t xml:space="preserve">In Canada, </w:t>
      </w:r>
      <w:r w:rsidR="00427985">
        <w:fldChar w:fldCharType="begin"/>
      </w:r>
      <w:r w:rsidR="00055CCA">
        <w:instrText xml:space="preserve"> ADDIN ZOTERO_ITEM CSL_CITATION {"citationID":"PP4qo90G","properties":{"unsorted":false,"formattedCitation":"(Hachchadi et al., 2023a)","plainCitation":"(Hachchadi et al., 2023a)","noteIndex":0},"citationItems":[{"id":3333,"uris":["http://zotero.org/users/11724601/items/FBFF325S"],"itemData":{"id":3333,"type":"article-journal","abstract":"Nowadays, solar energy is a viable solution for producing domestic hot water and reducing greenhouse gas emissions in remote regions that rely on fossil fuels for this purpose. In this context, the current research work compares the performance of flat-plate, evacuated tube, and photovoltaic solar water heating systems. The objective is to determine which solar water heater is the most efficient from a techno-economic and environmental point of view. The analysis of the energy, economic and environmental performances of these three systems was carried out using energy simulation tools (MATLAB and TRNSYS) and a life cycle analysis tool (SimaPro). Despite the low annual thermal efficiency of the PV water heater, the results show that it is more efficient from a techno-economic point of view since its levelized cost of heat (LCOH) varies between 0.14 and 0.23 $CAD/kWh. Although the photovoltaic water heater is carbon neutral compared to fuel-fired water heaters, the life cycle analysis reveals that it has a higher environmental impact than its solar thermal counterparts. Specifically, it emits three times more CO2 during its life cycle, equivalent to 4.3 tCO2.","container-title":"Energy Conversion and Management","DOI":"10.1016/j.enconman.2023.117725","ISSN":"0196-8904","journalAbbreviation":"Energy Conversion and Management","page":"117725","source":"ScienceDirect","title":"Techno-economic assessment and environmental impact of photovoltaic and conventional solar water heating systems in cold climates","volume":"297","author":[{"family":"Hachchadi","given":"Oussama"},{"family":"Rousse","given":"Daniel R."},{"family":"Irandoostshahrestani","given":"Misagh"},{"family":"Mechaqrane","given":"Abdellah"}],"issued":{"date-parts":[["2023",12,1]]}}}],"schema":"https://github.com/citation-style-language/schema/raw/master/csl-citation.json"} </w:instrText>
      </w:r>
      <w:r w:rsidR="00427985">
        <w:fldChar w:fldCharType="separate"/>
      </w:r>
      <w:r w:rsidR="00055CCA" w:rsidRPr="00055CCA">
        <w:t>(Hachchadi et al., 2023a)</w:t>
      </w:r>
      <w:r w:rsidR="00427985">
        <w:fldChar w:fldCharType="end"/>
      </w:r>
      <w:r w:rsidR="00440A77">
        <w:t xml:space="preserve"> </w:t>
      </w:r>
      <w:r w:rsidR="00FF1B69" w:rsidRPr="004E77F7">
        <w:t>recommend a direct coupled system with customized element resistance based on annual radiation levels in cold climates due to simplicity and low operating costs. The authors</w:t>
      </w:r>
      <w:r w:rsidR="000614C8">
        <w:t xml:space="preserve"> found PVWH to be the most economic solar water heating technology </w:t>
      </w:r>
      <w:r w:rsidR="00FF1B69" w:rsidRPr="004E77F7">
        <w:t>for two Quebec locations</w:t>
      </w:r>
      <w:r w:rsidR="007D7808">
        <w:t xml:space="preserve"> </w:t>
      </w:r>
      <w:r w:rsidR="00055CCA">
        <w:fldChar w:fldCharType="begin"/>
      </w:r>
      <w:r w:rsidR="00055CCA">
        <w:instrText xml:space="preserve"> ADDIN ZOTERO_ITEM CSL_CITATION {"citationID":"E0mBUBwY","properties":{"unsorted":false,"formattedCitation":"(Hachchadi et al., 2023b)","plainCitation":"(Hachchadi et al., 2023b)","noteIndex":0},"citationItems":[{"id":3329,"uris":["http://zotero.org/users/11724601/items/BAB9D6Z4"],"itemData":{"id":3329,"type":"article-journal","abstract":"In the last few years, the price of photovoltaic (PV) modules has decreased significantly. As a result, solar PV has become an interesting option for water heating. In a direct-coupled PV water heater (DPVWH) system, the PV array is directly connected to the heating element. Therefore, the optimization of the heating element resistance value is an essential step to design a DPVWH system. This research aims to optimize the resistance value of the heating element for different climatic conditions (Montreal and Bagotville in Canada, and Fez in Morocco). Simulation models were developed using MATLAB/Simulink and TRNSYS software to evaluate the performance of a PV system directly connected with the heating element over a one-year period. This simulation model was validated with an experimental setup. The coefficient of determination (R2) ranges from 98.75% to 99.89%. The results of the experimental optimization indicate that in areas with high incident solar irradiation, the optimal resistance value is low, while the opposite is true for areas with lower solar irradiation. Furthermore, it is found that a direct-coupled PV water heater with a capacity of 3000 Wp achieves an average annual solar fraction of 41% in Montreal, and 73% in Fez. Additionally, the simulation results show that the use of an MPPT (Maximum Power Point Tracking) controller could increase the PV energy production by 29% in average. However, a direct-coupled PV solar water heater system is recommended for a remote and cold region, due to its robustness, its low operating cost, and its simplicity.","container-title":"Solar Energy","DOI":"10.1016/j.solener.2023.112037","ISSN":"0038-092X","journalAbbreviation":"Solar Energy","page":"112037","source":"ScienceDirect","title":"Experimental optimization of the heating element for a direct-coupled solar photovoltaic water heater","volume":"264","author":[{"family":"Hachchadi","given":"Oussama"},{"family":"Tapsoba","given":"Gildas R."},{"family":"Dery","given":"Patrick"},{"family":"Mechaqrane","given":"Abdellah"},{"family":"Bourbonnais","given":"Martin"},{"family":"Meloche","given":"Philippe"},{"family":"Izquierdo","given":"Ricardo"}],"issued":{"date-parts":[["2023",11,1]]}}}],"schema":"https://github.com/citation-style-language/schema/raw/master/csl-citation.json"} </w:instrText>
      </w:r>
      <w:r w:rsidR="00055CCA">
        <w:fldChar w:fldCharType="separate"/>
      </w:r>
      <w:r w:rsidR="00055CCA" w:rsidRPr="00055CCA">
        <w:t>(Hachchadi et al., 2023b)</w:t>
      </w:r>
      <w:r w:rsidR="00055CCA">
        <w:fldChar w:fldCharType="end"/>
      </w:r>
      <w:r w:rsidR="00FF1B69" w:rsidRPr="004E77F7">
        <w:t>.</w:t>
      </w:r>
      <w:r w:rsidR="00C61DC3">
        <w:t xml:space="preserve"> In Denmark, Neilsen et al</w:t>
      </w:r>
      <w:r w:rsidR="00D80758">
        <w:t>.</w:t>
      </w:r>
      <w:r w:rsidR="00C61DC3">
        <w:t xml:space="preserve"> developed a</w:t>
      </w:r>
      <w:r w:rsidR="00884C31">
        <w:t>n inverter-based</w:t>
      </w:r>
      <w:r w:rsidR="00C61DC3">
        <w:t xml:space="preserve"> PVWH, </w:t>
      </w:r>
      <w:r w:rsidR="00884C31">
        <w:t xml:space="preserve">using </w:t>
      </w:r>
      <w:r w:rsidR="00C61DC3">
        <w:t xml:space="preserve">wraparound heating coils </w:t>
      </w:r>
      <w:r w:rsidR="00055CCA">
        <w:fldChar w:fldCharType="begin"/>
      </w:r>
      <w:r w:rsidR="00C54EB4">
        <w:instrText xml:space="preserve"> ADDIN ZOTERO_ITEM CSL_CITATION {"citationID":"5bNqjchx","properties":{"unsorted":false,"formattedCitation":"(Nielsen et al., 2024)","plainCitation":"(Nielsen et al., 2024)","noteIndex":0},"citationItems":[{"id":2968,"uris":["http://zotero.org/users/11724601/items/2BZ8KHKM"],"itemData":{"id":2968,"type":"paper-conference","abstract":"A solar domestic hot water tank with direct electrical heating is investigated experimentally. The investigations are carried out from January to June 2024 under Danish weather conditions. The tank has five electrical heating foils on the outside vertical tank surface. The tank is well insulated, and thermal bridges are avoided by having all the pipe connections at the bottom. The different electrical foils are supplied with electricity from PV panels or the grid. A semi-smart controller allows the tank to be heated with electricity from the grid at night to establish the energy needed to cover the demand the following day. The investigations show that the domestic hot water system can supply all the energy needed for domestic hot water at a levelized cost of heat of 0.28 €/kWh. The levelized cost of heat can be directly compared to the electricity price users pay for purchasing electricity from the grid.","DOI":"10.18086/eurosun.2024.02.14","language":"en","source":"Zotero","title":"Domestic hot water heating with direct electricity from PV panels and the grid","author":[{"family":"Nielsen","given":"Elsabet"},{"family":"Furbo","given":"Simon"},{"family":"Fan","given":"Jianhua"}],"issued":{"date-parts":[["2024"]]}}}],"schema":"https://github.com/citation-style-language/schema/raw/master/csl-citation.json"} </w:instrText>
      </w:r>
      <w:r w:rsidR="00055CCA">
        <w:fldChar w:fldCharType="separate"/>
      </w:r>
      <w:r w:rsidR="00C54EB4" w:rsidRPr="00C54EB4">
        <w:t>(Nielsen et al., 2024)</w:t>
      </w:r>
      <w:r w:rsidR="00055CCA">
        <w:fldChar w:fldCharType="end"/>
      </w:r>
      <w:r w:rsidR="0092144F">
        <w:t xml:space="preserve">, </w:t>
      </w:r>
      <w:r w:rsidR="007D7808">
        <w:t xml:space="preserve">with </w:t>
      </w:r>
      <w:r w:rsidR="00F64914">
        <w:t xml:space="preserve">the </w:t>
      </w:r>
      <w:r w:rsidR="000958D9">
        <w:t xml:space="preserve">levelized cost of heat </w:t>
      </w:r>
      <w:r w:rsidR="00C61DC3">
        <w:t xml:space="preserve">calculated as 0.28 </w:t>
      </w:r>
      <w:r w:rsidR="008F5C5D" w:rsidRPr="008F5C5D">
        <w:t>€</w:t>
      </w:r>
      <w:r w:rsidR="00C61DC3">
        <w:t>/kWh</w:t>
      </w:r>
      <w:r w:rsidR="008F5C5D">
        <w:t>.</w:t>
      </w:r>
    </w:p>
    <w:p w14:paraId="0314F1AE" w14:textId="07821F0A" w:rsidR="00AB6BDA" w:rsidRPr="004E77F7" w:rsidRDefault="00AB6BDA" w:rsidP="00AB6BDA">
      <w:pPr>
        <w:pStyle w:val="SWCText"/>
      </w:pPr>
      <w:r w:rsidRPr="004E77F7">
        <w:t xml:space="preserve">The present work investigates the </w:t>
      </w:r>
      <w:r w:rsidR="0074464C">
        <w:t xml:space="preserve">energy </w:t>
      </w:r>
      <w:r w:rsidRPr="004E77F7">
        <w:t xml:space="preserve">performance </w:t>
      </w:r>
      <w:r w:rsidR="0074464C">
        <w:t xml:space="preserve">and economic feasibility </w:t>
      </w:r>
      <w:r w:rsidRPr="004E77F7">
        <w:t>of three low carbon water heating systems for locations across Canada compared to standard electric water heaters</w:t>
      </w:r>
      <w:r w:rsidR="0074464C">
        <w:t xml:space="preserve">. </w:t>
      </w:r>
      <w:r w:rsidRPr="004E77F7">
        <w:t>The objective</w:t>
      </w:r>
      <w:r w:rsidR="0074464C">
        <w:t xml:space="preserve"> of this study</w:t>
      </w:r>
      <w:r w:rsidRPr="004E77F7">
        <w:t xml:space="preserve"> is to analyze the potential for PV water heating and other high efficiency water heating technologies to provide Canadian residences with cost-effective, reliable water heating while mitigating impacts to electricity demand. In this way, water heating will play a role in supporting Canada’s energy transition and the goal of NetZero by 2050. </w:t>
      </w:r>
    </w:p>
    <w:p w14:paraId="466C78CC" w14:textId="77777777" w:rsidR="00C5093E" w:rsidRPr="004E77F7" w:rsidRDefault="00C5093E" w:rsidP="00902F9C">
      <w:pPr>
        <w:pStyle w:val="SWCHeading1"/>
      </w:pPr>
      <w:r w:rsidRPr="004E77F7">
        <w:t>APPROACH</w:t>
      </w:r>
    </w:p>
    <w:p w14:paraId="4A62F257" w14:textId="609DD710" w:rsidR="00C5093E" w:rsidRPr="004E77F7" w:rsidRDefault="00C5093E" w:rsidP="00B515AA">
      <w:pPr>
        <w:pStyle w:val="SWCText"/>
      </w:pPr>
      <w:r w:rsidRPr="004E77F7">
        <w:t xml:space="preserve">To </w:t>
      </w:r>
      <w:r>
        <w:t xml:space="preserve">conduct an energy analysis and </w:t>
      </w:r>
      <w:r w:rsidRPr="004E77F7">
        <w:t>compa</w:t>
      </w:r>
      <w:r>
        <w:t>rison of</w:t>
      </w:r>
      <w:r w:rsidRPr="004E77F7">
        <w:t xml:space="preserve"> a suite of low-carbon hot water heaters, TRNSYS models were developed of </w:t>
      </w:r>
      <w:r>
        <w:t xml:space="preserve">four </w:t>
      </w:r>
      <w:r w:rsidRPr="004E77F7">
        <w:t xml:space="preserve">representative </w:t>
      </w:r>
      <w:r w:rsidR="00501353">
        <w:t>domestic hot water (DHW)</w:t>
      </w:r>
      <w:r w:rsidRPr="004E77F7">
        <w:t xml:space="preserve"> systems</w:t>
      </w:r>
      <w:r>
        <w:t xml:space="preserve">: </w:t>
      </w:r>
      <w:r w:rsidRPr="004E77F7">
        <w:t>PV</w:t>
      </w:r>
      <w:r w:rsidR="004E2DEA">
        <w:t>WH</w:t>
      </w:r>
      <w:r w:rsidRPr="004E77F7">
        <w:t xml:space="preserve">, </w:t>
      </w:r>
      <w:r w:rsidR="004E2DEA">
        <w:t>HPWH</w:t>
      </w:r>
      <w:r w:rsidRPr="004E77F7">
        <w:t>, PVT-</w:t>
      </w:r>
      <w:r w:rsidR="004E2DEA">
        <w:t>HPWH</w:t>
      </w:r>
      <w:r w:rsidRPr="004E77F7">
        <w:t>, and a conventional electric resistance water heater</w:t>
      </w:r>
      <w:r w:rsidR="00B56F24">
        <w:t xml:space="preserve"> (EWH)</w:t>
      </w:r>
      <w:r w:rsidRPr="004E77F7">
        <w:t xml:space="preserve"> for baseline comparison. The HPWH and PVT-HPWH models include a housing component to account for the impact on space conditioning that the HPWH has on the total house load, while the PVWH and EWH systems are standalone and assume constant ambient indoor air temperature in relation to the tank. The models were simulated in 1</w:t>
      </w:r>
      <w:r w:rsidR="0032688C">
        <w:t>4</w:t>
      </w:r>
      <w:r w:rsidRPr="004E77F7">
        <w:t xml:space="preserve"> major population centers across Canada </w:t>
      </w:r>
      <w:r>
        <w:t>using</w:t>
      </w:r>
      <w:r w:rsidRPr="004E77F7">
        <w:t xml:space="preserve"> </w:t>
      </w:r>
      <w:r w:rsidR="00785CD3">
        <w:t>Canadian Weather for Energy Calculation (</w:t>
      </w:r>
      <w:r w:rsidRPr="004E77F7">
        <w:t>CWEC</w:t>
      </w:r>
      <w:r w:rsidR="00785CD3">
        <w:t>)</w:t>
      </w:r>
      <w:r w:rsidRPr="004E77F7">
        <w:t xml:space="preserve"> weather files</w:t>
      </w:r>
      <w:r>
        <w:t xml:space="preserve">, with </w:t>
      </w:r>
      <w:r w:rsidRPr="004E77F7">
        <w:t xml:space="preserve">simulations run for a period of 1 year, providing ambient temperature and solar radiation inputs to the models including the solar collectors and the housing archetype. </w:t>
      </w:r>
      <w:r>
        <w:t>The 1</w:t>
      </w:r>
      <w:r w:rsidR="00501353">
        <w:t>4</w:t>
      </w:r>
      <w:r>
        <w:t xml:space="preserve"> locations were selected to represent a wide range of climactic and economic conditions across the country, such as electricity costs. </w:t>
      </w:r>
      <w:r>
        <w:fldChar w:fldCharType="begin"/>
      </w:r>
      <w:r>
        <w:instrText xml:space="preserve"> REF _Ref213155184 \h </w:instrText>
      </w:r>
      <w:r w:rsidR="00B515AA">
        <w:instrText xml:space="preserve"> \* MERGEFORMAT </w:instrText>
      </w:r>
      <w:r>
        <w:fldChar w:fldCharType="separate"/>
      </w:r>
      <w:r>
        <w:t xml:space="preserve">Table </w:t>
      </w:r>
      <w:r>
        <w:rPr>
          <w:noProof/>
        </w:rPr>
        <w:t>1</w:t>
      </w:r>
      <w:r>
        <w:fldChar w:fldCharType="end"/>
      </w:r>
      <w:r>
        <w:t xml:space="preserve"> lists the climate conditions for the selected locations. The daily average temperature ranges from 10.3°C in Victoria, British Columbia, to -8.6°C in Iqaluit, Nunavut. </w:t>
      </w:r>
    </w:p>
    <w:p w14:paraId="50F7D157" w14:textId="0FA66A08" w:rsidR="00C5093E" w:rsidRDefault="00C5093E" w:rsidP="00B515AA">
      <w:pPr>
        <w:pStyle w:val="SWCText"/>
      </w:pPr>
      <w:r w:rsidRPr="004E77F7">
        <w:t xml:space="preserve">The low-carbon systems were sized generally to achieve a 50%-70% reduction in the amount of electricity required to meet the load. They each use a 170L tank </w:t>
      </w:r>
      <w:r w:rsidR="00956478">
        <w:t xml:space="preserve">(actual </w:t>
      </w:r>
      <w:r w:rsidRPr="004E77F7">
        <w:t xml:space="preserve">volume) and a daily </w:t>
      </w:r>
      <w:proofErr w:type="gramStart"/>
      <w:r w:rsidRPr="004E77F7">
        <w:t>draw</w:t>
      </w:r>
      <w:proofErr w:type="gramEnd"/>
      <w:r w:rsidRPr="004E77F7">
        <w:t xml:space="preserve"> profile of 50 gallons per day based on ASHRAE 90.2 standard. The systems are all standalone and do not interact directly with the other house loads (space heating, electrical), or bidirectionally with the grid. </w:t>
      </w:r>
      <w:r w:rsidR="00883146" w:rsidRPr="004E77F7">
        <w:t>A parametric study was performed for the PVWH considering array size and tank size. Tank sizes of 50, 80, and 120 gallons were considered, and the tank was ultimately sized at 50 gallons –larger tanks reduced the solar fraction and associated electricity savings due to increased losses, though for higher draw profiles a larger tank may be necessary</w:t>
      </w:r>
      <w:r w:rsidR="0098691E">
        <w:t>.</w:t>
      </w:r>
    </w:p>
    <w:p w14:paraId="4E26D95C" w14:textId="7E3E630F" w:rsidR="00C5093E" w:rsidRPr="004E77F7" w:rsidRDefault="00C5093E" w:rsidP="00B515AA">
      <w:pPr>
        <w:pStyle w:val="SWCText"/>
      </w:pPr>
      <w:r>
        <w:t>Once energy results were obtained for the four types of DHW systems, an economic analysis was conducted including a cost survey and life cycle cost analysis to determine the overall cost of each system over the full lifespan of the equipment.</w:t>
      </w:r>
    </w:p>
    <w:p w14:paraId="436D87B2" w14:textId="77777777" w:rsidR="00C5093E" w:rsidRDefault="00C5093E" w:rsidP="00D5556A">
      <w:pPr>
        <w:pStyle w:val="SWCTableFigureCaption"/>
      </w:pPr>
      <w:bookmarkStart w:id="0" w:name="_Ref213155184"/>
      <w:r>
        <w:lastRenderedPageBreak/>
        <w:t xml:space="preserve">Table </w:t>
      </w:r>
      <w:r>
        <w:fldChar w:fldCharType="begin"/>
      </w:r>
      <w:r>
        <w:instrText xml:space="preserve"> SEQ Table \* ARABIC </w:instrText>
      </w:r>
      <w:r>
        <w:fldChar w:fldCharType="separate"/>
      </w:r>
      <w:r>
        <w:rPr>
          <w:noProof/>
        </w:rPr>
        <w:t>1</w:t>
      </w:r>
      <w:r>
        <w:fldChar w:fldCharType="end"/>
      </w:r>
      <w:bookmarkEnd w:id="0"/>
      <w:r>
        <w:t>: Climate conditions for the selected locations</w:t>
      </w:r>
    </w:p>
    <w:tbl>
      <w:tblPr>
        <w:tblStyle w:val="TableGrid"/>
        <w:tblW w:w="7513" w:type="dxa"/>
        <w:jc w:val="center"/>
        <w:tblLook w:val="04A0" w:firstRow="1" w:lastRow="0" w:firstColumn="1" w:lastColumn="0" w:noHBand="0" w:noVBand="1"/>
      </w:tblPr>
      <w:tblGrid>
        <w:gridCol w:w="1981"/>
        <w:gridCol w:w="1563"/>
        <w:gridCol w:w="1843"/>
        <w:gridCol w:w="2126"/>
      </w:tblGrid>
      <w:tr w:rsidR="00C5093E" w:rsidRPr="004E77F7" w14:paraId="30D955C3" w14:textId="77777777" w:rsidTr="00D5556A">
        <w:trPr>
          <w:trHeight w:val="300"/>
          <w:jc w:val="center"/>
        </w:trPr>
        <w:tc>
          <w:tcPr>
            <w:tcW w:w="1981" w:type="dxa"/>
            <w:noWrap/>
          </w:tcPr>
          <w:p w14:paraId="5BFB995F" w14:textId="77777777" w:rsidR="00C5093E" w:rsidRPr="004E77F7" w:rsidRDefault="00C5093E" w:rsidP="00D5556A">
            <w:pPr>
              <w:pStyle w:val="SWCTableHeader"/>
              <w:rPr>
                <w:lang w:eastAsia="en-CA"/>
              </w:rPr>
            </w:pPr>
            <w:r w:rsidRPr="004E77F7">
              <w:rPr>
                <w:lang w:eastAsia="en-CA"/>
              </w:rPr>
              <w:t>Location</w:t>
            </w:r>
          </w:p>
        </w:tc>
        <w:tc>
          <w:tcPr>
            <w:tcW w:w="1563" w:type="dxa"/>
            <w:noWrap/>
          </w:tcPr>
          <w:p w14:paraId="5E37A5F4" w14:textId="77777777" w:rsidR="00C5093E" w:rsidRPr="004E77F7" w:rsidRDefault="00C5093E" w:rsidP="00D5556A">
            <w:pPr>
              <w:pStyle w:val="SWCTableHeader"/>
              <w:rPr>
                <w:lang w:eastAsia="en-CA"/>
              </w:rPr>
            </w:pPr>
            <w:r w:rsidRPr="004E77F7">
              <w:rPr>
                <w:lang w:eastAsia="en-CA"/>
              </w:rPr>
              <w:t>Degree Days Below 18 °C</w:t>
            </w:r>
          </w:p>
        </w:tc>
        <w:tc>
          <w:tcPr>
            <w:tcW w:w="1843" w:type="dxa"/>
            <w:noWrap/>
          </w:tcPr>
          <w:p w14:paraId="17E676AE" w14:textId="77777777" w:rsidR="00C5093E" w:rsidRPr="004E77F7" w:rsidRDefault="00C5093E" w:rsidP="00D5556A">
            <w:pPr>
              <w:pStyle w:val="SWCTableHeader"/>
              <w:rPr>
                <w:lang w:eastAsia="en-CA"/>
              </w:rPr>
            </w:pPr>
            <w:r w:rsidRPr="004E77F7">
              <w:rPr>
                <w:lang w:eastAsia="en-CA"/>
              </w:rPr>
              <w:t>Daily Average Temperature (°C)</w:t>
            </w:r>
          </w:p>
        </w:tc>
        <w:tc>
          <w:tcPr>
            <w:tcW w:w="2126" w:type="dxa"/>
            <w:noWrap/>
          </w:tcPr>
          <w:p w14:paraId="7F63C068" w14:textId="3A6B3275" w:rsidR="00C5093E" w:rsidRPr="004E77F7" w:rsidRDefault="00C5093E" w:rsidP="00D5556A">
            <w:pPr>
              <w:pStyle w:val="SWCTableHeader"/>
              <w:rPr>
                <w:lang w:eastAsia="en-CA"/>
              </w:rPr>
            </w:pPr>
            <w:r w:rsidRPr="004E77F7">
              <w:rPr>
                <w:lang w:eastAsia="en-CA"/>
              </w:rPr>
              <w:t>Mean annual global insolation (kWh/m</w:t>
            </w:r>
            <w:r w:rsidR="00046EED" w:rsidRPr="00A7635E">
              <w:rPr>
                <w:vertAlign w:val="superscript"/>
              </w:rPr>
              <w:t>2</w:t>
            </w:r>
            <w:r w:rsidRPr="004E77F7">
              <w:rPr>
                <w:lang w:eastAsia="en-CA"/>
              </w:rPr>
              <w:t>)</w:t>
            </w:r>
          </w:p>
        </w:tc>
      </w:tr>
      <w:tr w:rsidR="00C5093E" w:rsidRPr="004E77F7" w14:paraId="45CDB674" w14:textId="77777777" w:rsidTr="00D5556A">
        <w:trPr>
          <w:trHeight w:val="300"/>
          <w:jc w:val="center"/>
        </w:trPr>
        <w:tc>
          <w:tcPr>
            <w:tcW w:w="1981" w:type="dxa"/>
            <w:noWrap/>
            <w:hideMark/>
          </w:tcPr>
          <w:p w14:paraId="1CBBD69C" w14:textId="3D7B7DA8" w:rsidR="00C5093E" w:rsidRPr="004E77F7" w:rsidRDefault="00E978E3" w:rsidP="00D5556A">
            <w:pPr>
              <w:pStyle w:val="SWCTableText"/>
              <w:rPr>
                <w:lang w:eastAsia="en-CA"/>
              </w:rPr>
            </w:pPr>
            <w:r w:rsidRPr="004E77F7">
              <w:rPr>
                <w:lang w:eastAsia="en-CA"/>
              </w:rPr>
              <w:t xml:space="preserve">Edmonton </w:t>
            </w:r>
          </w:p>
        </w:tc>
        <w:tc>
          <w:tcPr>
            <w:tcW w:w="1563" w:type="dxa"/>
            <w:noWrap/>
            <w:hideMark/>
          </w:tcPr>
          <w:p w14:paraId="6D24DE0F" w14:textId="225078ED" w:rsidR="00C5093E" w:rsidRPr="004E77F7" w:rsidRDefault="00C5093E" w:rsidP="00D5556A">
            <w:pPr>
              <w:pStyle w:val="SWCTableText"/>
              <w:rPr>
                <w:lang w:eastAsia="en-CA"/>
              </w:rPr>
            </w:pPr>
            <w:r w:rsidRPr="004E77F7">
              <w:rPr>
                <w:lang w:eastAsia="en-CA"/>
              </w:rPr>
              <w:t>5697</w:t>
            </w:r>
          </w:p>
        </w:tc>
        <w:tc>
          <w:tcPr>
            <w:tcW w:w="1843" w:type="dxa"/>
            <w:noWrap/>
            <w:hideMark/>
          </w:tcPr>
          <w:p w14:paraId="3A67D8EA" w14:textId="043BD619" w:rsidR="00C5093E" w:rsidRPr="004E77F7" w:rsidRDefault="00C5093E" w:rsidP="00D5556A">
            <w:pPr>
              <w:pStyle w:val="SWCTableText"/>
              <w:rPr>
                <w:lang w:eastAsia="en-CA"/>
              </w:rPr>
            </w:pPr>
            <w:r w:rsidRPr="004E77F7">
              <w:rPr>
                <w:lang w:eastAsia="en-CA"/>
              </w:rPr>
              <w:t>2.4</w:t>
            </w:r>
          </w:p>
        </w:tc>
        <w:tc>
          <w:tcPr>
            <w:tcW w:w="2126" w:type="dxa"/>
            <w:noWrap/>
            <w:hideMark/>
          </w:tcPr>
          <w:p w14:paraId="3CF95F67" w14:textId="069120D4" w:rsidR="00C5093E" w:rsidRPr="004E77F7" w:rsidRDefault="00C5093E" w:rsidP="00D5556A">
            <w:pPr>
              <w:pStyle w:val="SWCTableText"/>
              <w:rPr>
                <w:lang w:eastAsia="en-CA"/>
              </w:rPr>
            </w:pPr>
            <w:r w:rsidRPr="004E77F7">
              <w:rPr>
                <w:lang w:eastAsia="en-CA"/>
              </w:rPr>
              <w:t>1257</w:t>
            </w:r>
          </w:p>
        </w:tc>
      </w:tr>
      <w:tr w:rsidR="00C5093E" w:rsidRPr="004E77F7" w14:paraId="460D4C1D" w14:textId="77777777" w:rsidTr="00D5556A">
        <w:trPr>
          <w:trHeight w:val="300"/>
          <w:jc w:val="center"/>
        </w:trPr>
        <w:tc>
          <w:tcPr>
            <w:tcW w:w="1981" w:type="dxa"/>
            <w:noWrap/>
            <w:hideMark/>
          </w:tcPr>
          <w:p w14:paraId="7FDD5747" w14:textId="459076FD" w:rsidR="00C5093E" w:rsidRPr="004E77F7" w:rsidRDefault="00E978E3" w:rsidP="00D5556A">
            <w:pPr>
              <w:pStyle w:val="SWCTableText"/>
              <w:rPr>
                <w:lang w:eastAsia="en-CA"/>
              </w:rPr>
            </w:pPr>
            <w:r w:rsidRPr="004E77F7">
              <w:rPr>
                <w:lang w:eastAsia="en-CA"/>
              </w:rPr>
              <w:t>Charlottetown</w:t>
            </w:r>
          </w:p>
        </w:tc>
        <w:tc>
          <w:tcPr>
            <w:tcW w:w="1563" w:type="dxa"/>
            <w:noWrap/>
            <w:hideMark/>
          </w:tcPr>
          <w:p w14:paraId="696A4882" w14:textId="08A50AC8" w:rsidR="00C5093E" w:rsidRPr="004E77F7" w:rsidRDefault="00C5093E" w:rsidP="00D5556A">
            <w:pPr>
              <w:pStyle w:val="SWCTableText"/>
              <w:rPr>
                <w:lang w:eastAsia="en-CA"/>
              </w:rPr>
            </w:pPr>
            <w:r w:rsidRPr="004E77F7">
              <w:rPr>
                <w:lang w:eastAsia="en-CA"/>
              </w:rPr>
              <w:t>451</w:t>
            </w:r>
            <w:r w:rsidR="00FE4544">
              <w:rPr>
                <w:lang w:eastAsia="en-CA"/>
              </w:rPr>
              <w:t>7</w:t>
            </w:r>
          </w:p>
        </w:tc>
        <w:tc>
          <w:tcPr>
            <w:tcW w:w="1843" w:type="dxa"/>
            <w:noWrap/>
            <w:hideMark/>
          </w:tcPr>
          <w:p w14:paraId="2D6C9E09" w14:textId="3E9B631D" w:rsidR="00C5093E" w:rsidRPr="004E77F7" w:rsidRDefault="00C5093E" w:rsidP="00D5556A">
            <w:pPr>
              <w:pStyle w:val="SWCTableText"/>
              <w:rPr>
                <w:lang w:eastAsia="en-CA"/>
              </w:rPr>
            </w:pPr>
            <w:r w:rsidRPr="004E77F7">
              <w:rPr>
                <w:lang w:eastAsia="en-CA"/>
              </w:rPr>
              <w:t>5.9</w:t>
            </w:r>
          </w:p>
        </w:tc>
        <w:tc>
          <w:tcPr>
            <w:tcW w:w="2126" w:type="dxa"/>
            <w:noWrap/>
            <w:hideMark/>
          </w:tcPr>
          <w:p w14:paraId="3AF78DF2" w14:textId="6A361BCF" w:rsidR="00C5093E" w:rsidRPr="004E77F7" w:rsidRDefault="00C5093E" w:rsidP="00D5556A">
            <w:pPr>
              <w:pStyle w:val="SWCTableText"/>
              <w:rPr>
                <w:lang w:eastAsia="en-CA"/>
              </w:rPr>
            </w:pPr>
            <w:r w:rsidRPr="004E77F7">
              <w:rPr>
                <w:lang w:eastAsia="en-CA"/>
              </w:rPr>
              <w:t>107</w:t>
            </w:r>
            <w:r w:rsidR="00FE4544">
              <w:rPr>
                <w:lang w:eastAsia="en-CA"/>
              </w:rPr>
              <w:t>5</w:t>
            </w:r>
          </w:p>
        </w:tc>
      </w:tr>
      <w:tr w:rsidR="00C5093E" w:rsidRPr="004E77F7" w14:paraId="52DFFBF8" w14:textId="77777777" w:rsidTr="00D5556A">
        <w:trPr>
          <w:trHeight w:val="300"/>
          <w:jc w:val="center"/>
        </w:trPr>
        <w:tc>
          <w:tcPr>
            <w:tcW w:w="1981" w:type="dxa"/>
            <w:noWrap/>
            <w:hideMark/>
          </w:tcPr>
          <w:p w14:paraId="072DCE27" w14:textId="5231A366" w:rsidR="00C5093E" w:rsidRPr="004E77F7" w:rsidRDefault="00E978E3" w:rsidP="00D5556A">
            <w:pPr>
              <w:pStyle w:val="SWCTableText"/>
              <w:rPr>
                <w:lang w:eastAsia="en-CA"/>
              </w:rPr>
            </w:pPr>
            <w:r w:rsidRPr="004E77F7">
              <w:rPr>
                <w:lang w:eastAsia="en-CA"/>
              </w:rPr>
              <w:t xml:space="preserve">Fredericton </w:t>
            </w:r>
          </w:p>
        </w:tc>
        <w:tc>
          <w:tcPr>
            <w:tcW w:w="1563" w:type="dxa"/>
            <w:noWrap/>
            <w:hideMark/>
          </w:tcPr>
          <w:p w14:paraId="034A6AF0" w14:textId="38D5D0F5" w:rsidR="00C5093E" w:rsidRPr="004E77F7" w:rsidRDefault="00C5093E" w:rsidP="00D5556A">
            <w:pPr>
              <w:pStyle w:val="SWCTableText"/>
              <w:rPr>
                <w:lang w:eastAsia="en-CA"/>
              </w:rPr>
            </w:pPr>
            <w:r w:rsidRPr="004E77F7">
              <w:rPr>
                <w:lang w:eastAsia="en-CA"/>
              </w:rPr>
              <w:t>460</w:t>
            </w:r>
            <w:r w:rsidR="00FE4544">
              <w:rPr>
                <w:lang w:eastAsia="en-CA"/>
              </w:rPr>
              <w:t>1</w:t>
            </w:r>
          </w:p>
        </w:tc>
        <w:tc>
          <w:tcPr>
            <w:tcW w:w="1843" w:type="dxa"/>
            <w:noWrap/>
            <w:hideMark/>
          </w:tcPr>
          <w:p w14:paraId="58F53893" w14:textId="7DBE0B09" w:rsidR="00C5093E" w:rsidRPr="004E77F7" w:rsidRDefault="00C5093E" w:rsidP="00D5556A">
            <w:pPr>
              <w:pStyle w:val="SWCTableText"/>
              <w:rPr>
                <w:lang w:eastAsia="en-CA"/>
              </w:rPr>
            </w:pPr>
            <w:r w:rsidRPr="004E77F7">
              <w:rPr>
                <w:lang w:eastAsia="en-CA"/>
              </w:rPr>
              <w:t>5.8</w:t>
            </w:r>
          </w:p>
        </w:tc>
        <w:tc>
          <w:tcPr>
            <w:tcW w:w="2126" w:type="dxa"/>
            <w:noWrap/>
            <w:hideMark/>
          </w:tcPr>
          <w:p w14:paraId="528852DE" w14:textId="7EBA55C5" w:rsidR="00C5093E" w:rsidRPr="004E77F7" w:rsidRDefault="00C5093E" w:rsidP="00D5556A">
            <w:pPr>
              <w:pStyle w:val="SWCTableText"/>
              <w:rPr>
                <w:lang w:eastAsia="en-CA"/>
              </w:rPr>
            </w:pPr>
            <w:r w:rsidRPr="004E77F7">
              <w:rPr>
                <w:lang w:eastAsia="en-CA"/>
              </w:rPr>
              <w:t>1257</w:t>
            </w:r>
          </w:p>
        </w:tc>
      </w:tr>
      <w:tr w:rsidR="00C5093E" w:rsidRPr="004E77F7" w14:paraId="3D7A5A4B" w14:textId="77777777" w:rsidTr="00D5556A">
        <w:trPr>
          <w:trHeight w:val="300"/>
          <w:jc w:val="center"/>
        </w:trPr>
        <w:tc>
          <w:tcPr>
            <w:tcW w:w="1981" w:type="dxa"/>
            <w:noWrap/>
            <w:hideMark/>
          </w:tcPr>
          <w:p w14:paraId="75D23374" w14:textId="55565193" w:rsidR="00C5093E" w:rsidRPr="004E77F7" w:rsidRDefault="00E978E3" w:rsidP="00D5556A">
            <w:pPr>
              <w:pStyle w:val="SWCTableText"/>
              <w:rPr>
                <w:lang w:eastAsia="en-CA"/>
              </w:rPr>
            </w:pPr>
            <w:r w:rsidRPr="004E77F7">
              <w:rPr>
                <w:lang w:eastAsia="en-CA"/>
              </w:rPr>
              <w:t>Halifax</w:t>
            </w:r>
          </w:p>
        </w:tc>
        <w:tc>
          <w:tcPr>
            <w:tcW w:w="1563" w:type="dxa"/>
            <w:noWrap/>
            <w:hideMark/>
          </w:tcPr>
          <w:p w14:paraId="1C0CEB98" w14:textId="4D79705C" w:rsidR="00C5093E" w:rsidRPr="004E77F7" w:rsidRDefault="00C5093E" w:rsidP="00D5556A">
            <w:pPr>
              <w:pStyle w:val="SWCTableText"/>
              <w:rPr>
                <w:lang w:eastAsia="en-CA"/>
              </w:rPr>
            </w:pPr>
            <w:r w:rsidRPr="004E77F7">
              <w:rPr>
                <w:lang w:eastAsia="en-CA"/>
              </w:rPr>
              <w:t>4189</w:t>
            </w:r>
          </w:p>
        </w:tc>
        <w:tc>
          <w:tcPr>
            <w:tcW w:w="1843" w:type="dxa"/>
            <w:noWrap/>
            <w:hideMark/>
          </w:tcPr>
          <w:p w14:paraId="36B6E2D6" w14:textId="46D854C2" w:rsidR="00C5093E" w:rsidRPr="004E77F7" w:rsidRDefault="00C5093E" w:rsidP="00D5556A">
            <w:pPr>
              <w:pStyle w:val="SWCTableText"/>
              <w:rPr>
                <w:lang w:eastAsia="en-CA"/>
              </w:rPr>
            </w:pPr>
            <w:r w:rsidRPr="004E77F7">
              <w:rPr>
                <w:lang w:eastAsia="en-CA"/>
              </w:rPr>
              <w:t>6.9</w:t>
            </w:r>
          </w:p>
        </w:tc>
        <w:tc>
          <w:tcPr>
            <w:tcW w:w="2126" w:type="dxa"/>
            <w:noWrap/>
            <w:hideMark/>
          </w:tcPr>
          <w:p w14:paraId="2129038F" w14:textId="7438806C" w:rsidR="00C5093E" w:rsidRPr="004E77F7" w:rsidRDefault="00C5093E" w:rsidP="00D5556A">
            <w:pPr>
              <w:pStyle w:val="SWCTableText"/>
              <w:rPr>
                <w:lang w:eastAsia="en-CA"/>
              </w:rPr>
            </w:pPr>
            <w:r w:rsidRPr="004E77F7">
              <w:rPr>
                <w:lang w:eastAsia="en-CA"/>
              </w:rPr>
              <w:t>123</w:t>
            </w:r>
            <w:r w:rsidR="00FE4544">
              <w:rPr>
                <w:lang w:eastAsia="en-CA"/>
              </w:rPr>
              <w:t>7</w:t>
            </w:r>
          </w:p>
        </w:tc>
      </w:tr>
      <w:tr w:rsidR="00C5093E" w:rsidRPr="004E77F7" w14:paraId="64965FB3" w14:textId="77777777" w:rsidTr="00D5556A">
        <w:trPr>
          <w:trHeight w:val="300"/>
          <w:jc w:val="center"/>
        </w:trPr>
        <w:tc>
          <w:tcPr>
            <w:tcW w:w="1981" w:type="dxa"/>
            <w:noWrap/>
            <w:hideMark/>
          </w:tcPr>
          <w:p w14:paraId="19E6C4D1" w14:textId="4AA31D43" w:rsidR="00C5093E" w:rsidRPr="004E77F7" w:rsidRDefault="00E978E3" w:rsidP="00D5556A">
            <w:pPr>
              <w:pStyle w:val="SWCTableText"/>
              <w:rPr>
                <w:lang w:eastAsia="en-CA"/>
              </w:rPr>
            </w:pPr>
            <w:r w:rsidRPr="004E77F7">
              <w:rPr>
                <w:lang w:eastAsia="en-CA"/>
              </w:rPr>
              <w:t>Iqaluit</w:t>
            </w:r>
          </w:p>
        </w:tc>
        <w:tc>
          <w:tcPr>
            <w:tcW w:w="1563" w:type="dxa"/>
            <w:noWrap/>
            <w:hideMark/>
          </w:tcPr>
          <w:p w14:paraId="45194A09" w14:textId="36A3A94B" w:rsidR="00C5093E" w:rsidRPr="004E77F7" w:rsidRDefault="00C5093E" w:rsidP="00D5556A">
            <w:pPr>
              <w:pStyle w:val="SWCTableText"/>
              <w:rPr>
                <w:lang w:eastAsia="en-CA"/>
              </w:rPr>
            </w:pPr>
            <w:r w:rsidRPr="004E77F7">
              <w:rPr>
                <w:lang w:eastAsia="en-CA"/>
              </w:rPr>
              <w:t>964</w:t>
            </w:r>
            <w:r w:rsidR="00FE4544">
              <w:rPr>
                <w:lang w:eastAsia="en-CA"/>
              </w:rPr>
              <w:t>2</w:t>
            </w:r>
          </w:p>
        </w:tc>
        <w:tc>
          <w:tcPr>
            <w:tcW w:w="1843" w:type="dxa"/>
            <w:noWrap/>
            <w:hideMark/>
          </w:tcPr>
          <w:p w14:paraId="763A1960" w14:textId="3FA2780A" w:rsidR="00C5093E" w:rsidRPr="004E77F7" w:rsidRDefault="00C5093E" w:rsidP="00D5556A">
            <w:pPr>
              <w:pStyle w:val="SWCTableText"/>
              <w:rPr>
                <w:lang w:eastAsia="en-CA"/>
              </w:rPr>
            </w:pPr>
            <w:r w:rsidRPr="004E77F7">
              <w:rPr>
                <w:lang w:eastAsia="en-CA"/>
              </w:rPr>
              <w:t>-8.6</w:t>
            </w:r>
          </w:p>
        </w:tc>
        <w:tc>
          <w:tcPr>
            <w:tcW w:w="2126" w:type="dxa"/>
            <w:noWrap/>
            <w:hideMark/>
          </w:tcPr>
          <w:p w14:paraId="2DEC7D79" w14:textId="56E3F0A6" w:rsidR="00C5093E" w:rsidRPr="004E77F7" w:rsidRDefault="00C5093E" w:rsidP="00D5556A">
            <w:pPr>
              <w:pStyle w:val="SWCTableText"/>
              <w:rPr>
                <w:lang w:eastAsia="en-CA"/>
              </w:rPr>
            </w:pPr>
            <w:r w:rsidRPr="004E77F7">
              <w:rPr>
                <w:lang w:eastAsia="en-CA"/>
              </w:rPr>
              <w:t>953</w:t>
            </w:r>
          </w:p>
        </w:tc>
      </w:tr>
      <w:tr w:rsidR="00C5093E" w:rsidRPr="004E77F7" w14:paraId="7061BA1D" w14:textId="77777777" w:rsidTr="00D5556A">
        <w:trPr>
          <w:trHeight w:val="300"/>
          <w:jc w:val="center"/>
        </w:trPr>
        <w:tc>
          <w:tcPr>
            <w:tcW w:w="1981" w:type="dxa"/>
            <w:noWrap/>
            <w:hideMark/>
          </w:tcPr>
          <w:p w14:paraId="77E24093" w14:textId="6B846637" w:rsidR="00C5093E" w:rsidRPr="004E77F7" w:rsidRDefault="00E978E3" w:rsidP="00D5556A">
            <w:pPr>
              <w:pStyle w:val="SWCTableText"/>
              <w:rPr>
                <w:lang w:eastAsia="en-CA"/>
              </w:rPr>
            </w:pPr>
            <w:r w:rsidRPr="004E77F7">
              <w:rPr>
                <w:lang w:eastAsia="en-CA"/>
              </w:rPr>
              <w:t xml:space="preserve">Ottawa </w:t>
            </w:r>
          </w:p>
        </w:tc>
        <w:tc>
          <w:tcPr>
            <w:tcW w:w="1563" w:type="dxa"/>
            <w:noWrap/>
            <w:hideMark/>
          </w:tcPr>
          <w:p w14:paraId="3DD42C7B" w14:textId="0193E20E" w:rsidR="00C5093E" w:rsidRPr="004E77F7" w:rsidRDefault="00C5093E" w:rsidP="00D5556A">
            <w:pPr>
              <w:pStyle w:val="SWCTableText"/>
              <w:rPr>
                <w:lang w:eastAsia="en-CA"/>
              </w:rPr>
            </w:pPr>
            <w:r w:rsidRPr="004E77F7">
              <w:rPr>
                <w:lang w:eastAsia="en-CA"/>
              </w:rPr>
              <w:t>4434</w:t>
            </w:r>
          </w:p>
        </w:tc>
        <w:tc>
          <w:tcPr>
            <w:tcW w:w="1843" w:type="dxa"/>
            <w:noWrap/>
            <w:hideMark/>
          </w:tcPr>
          <w:p w14:paraId="0FBB45E0" w14:textId="2153ED15" w:rsidR="00C5093E" w:rsidRPr="004E77F7" w:rsidRDefault="00C5093E" w:rsidP="00D5556A">
            <w:pPr>
              <w:pStyle w:val="SWCTableText"/>
              <w:rPr>
                <w:lang w:eastAsia="en-CA"/>
              </w:rPr>
            </w:pPr>
            <w:r w:rsidRPr="004E77F7">
              <w:rPr>
                <w:lang w:eastAsia="en-CA"/>
              </w:rPr>
              <w:t>6.5</w:t>
            </w:r>
          </w:p>
        </w:tc>
        <w:tc>
          <w:tcPr>
            <w:tcW w:w="2126" w:type="dxa"/>
            <w:noWrap/>
            <w:hideMark/>
          </w:tcPr>
          <w:p w14:paraId="1E745807" w14:textId="2BBB08BC" w:rsidR="00C5093E" w:rsidRPr="004E77F7" w:rsidRDefault="00C5093E" w:rsidP="00D5556A">
            <w:pPr>
              <w:pStyle w:val="SWCTableText"/>
              <w:rPr>
                <w:lang w:eastAsia="en-CA"/>
              </w:rPr>
            </w:pPr>
            <w:r w:rsidRPr="004E77F7">
              <w:rPr>
                <w:lang w:eastAsia="en-CA"/>
              </w:rPr>
              <w:t>130</w:t>
            </w:r>
            <w:r w:rsidR="00FE4544">
              <w:rPr>
                <w:lang w:eastAsia="en-CA"/>
              </w:rPr>
              <w:t>8</w:t>
            </w:r>
          </w:p>
        </w:tc>
      </w:tr>
      <w:tr w:rsidR="00C5093E" w:rsidRPr="004E77F7" w14:paraId="636B594F" w14:textId="77777777" w:rsidTr="00D5556A">
        <w:trPr>
          <w:trHeight w:val="300"/>
          <w:jc w:val="center"/>
        </w:trPr>
        <w:tc>
          <w:tcPr>
            <w:tcW w:w="1981" w:type="dxa"/>
            <w:noWrap/>
            <w:hideMark/>
          </w:tcPr>
          <w:p w14:paraId="702DE5DD" w14:textId="515248CF" w:rsidR="00C5093E" w:rsidRPr="004E77F7" w:rsidRDefault="00E978E3" w:rsidP="00D5556A">
            <w:pPr>
              <w:pStyle w:val="SWCTableText"/>
              <w:rPr>
                <w:lang w:eastAsia="en-CA"/>
              </w:rPr>
            </w:pPr>
            <w:r w:rsidRPr="004E77F7">
              <w:rPr>
                <w:lang w:eastAsia="en-CA"/>
              </w:rPr>
              <w:t xml:space="preserve">Quebec </w:t>
            </w:r>
          </w:p>
        </w:tc>
        <w:tc>
          <w:tcPr>
            <w:tcW w:w="1563" w:type="dxa"/>
            <w:noWrap/>
            <w:hideMark/>
          </w:tcPr>
          <w:p w14:paraId="2BD84EE4" w14:textId="414AEBED" w:rsidR="00C5093E" w:rsidRPr="004E77F7" w:rsidRDefault="00C5093E" w:rsidP="00D5556A">
            <w:pPr>
              <w:pStyle w:val="SWCTableText"/>
              <w:rPr>
                <w:lang w:eastAsia="en-CA"/>
              </w:rPr>
            </w:pPr>
            <w:r w:rsidRPr="004E77F7">
              <w:rPr>
                <w:lang w:eastAsia="en-CA"/>
              </w:rPr>
              <w:t>4977</w:t>
            </w:r>
          </w:p>
        </w:tc>
        <w:tc>
          <w:tcPr>
            <w:tcW w:w="1843" w:type="dxa"/>
            <w:noWrap/>
            <w:hideMark/>
          </w:tcPr>
          <w:p w14:paraId="24574132" w14:textId="7249BA33" w:rsidR="00C5093E" w:rsidRPr="004E77F7" w:rsidRDefault="00C5093E" w:rsidP="00D5556A">
            <w:pPr>
              <w:pStyle w:val="SWCTableText"/>
              <w:rPr>
                <w:lang w:eastAsia="en-CA"/>
              </w:rPr>
            </w:pPr>
            <w:r w:rsidRPr="004E77F7">
              <w:rPr>
                <w:lang w:eastAsia="en-CA"/>
              </w:rPr>
              <w:t>4.7</w:t>
            </w:r>
          </w:p>
        </w:tc>
        <w:tc>
          <w:tcPr>
            <w:tcW w:w="2126" w:type="dxa"/>
            <w:noWrap/>
            <w:hideMark/>
          </w:tcPr>
          <w:p w14:paraId="426CCFC4" w14:textId="1179299F" w:rsidR="00C5093E" w:rsidRPr="004E77F7" w:rsidRDefault="00C5093E" w:rsidP="00D5556A">
            <w:pPr>
              <w:pStyle w:val="SWCTableText"/>
              <w:rPr>
                <w:lang w:eastAsia="en-CA"/>
              </w:rPr>
            </w:pPr>
            <w:r w:rsidRPr="004E77F7">
              <w:rPr>
                <w:lang w:eastAsia="en-CA"/>
              </w:rPr>
              <w:t>123</w:t>
            </w:r>
            <w:r w:rsidR="00FE4544">
              <w:rPr>
                <w:lang w:eastAsia="en-CA"/>
              </w:rPr>
              <w:t>7</w:t>
            </w:r>
          </w:p>
        </w:tc>
      </w:tr>
      <w:tr w:rsidR="00C5093E" w:rsidRPr="004E77F7" w14:paraId="51C3B894" w14:textId="77777777" w:rsidTr="00D5556A">
        <w:trPr>
          <w:trHeight w:val="300"/>
          <w:jc w:val="center"/>
        </w:trPr>
        <w:tc>
          <w:tcPr>
            <w:tcW w:w="1981" w:type="dxa"/>
            <w:noWrap/>
            <w:hideMark/>
          </w:tcPr>
          <w:p w14:paraId="284E1400" w14:textId="5CC01EB7" w:rsidR="00C5093E" w:rsidRPr="004E77F7" w:rsidRDefault="00E978E3" w:rsidP="00D5556A">
            <w:pPr>
              <w:pStyle w:val="SWCTableText"/>
              <w:rPr>
                <w:lang w:eastAsia="en-CA"/>
              </w:rPr>
            </w:pPr>
            <w:r w:rsidRPr="004E77F7">
              <w:rPr>
                <w:lang w:eastAsia="en-CA"/>
              </w:rPr>
              <w:t xml:space="preserve">Regina </w:t>
            </w:r>
          </w:p>
        </w:tc>
        <w:tc>
          <w:tcPr>
            <w:tcW w:w="1563" w:type="dxa"/>
            <w:noWrap/>
            <w:hideMark/>
          </w:tcPr>
          <w:p w14:paraId="566217D8" w14:textId="703E6C3C" w:rsidR="00C5093E" w:rsidRPr="004E77F7" w:rsidRDefault="00C5093E" w:rsidP="00D5556A">
            <w:pPr>
              <w:pStyle w:val="SWCTableText"/>
              <w:rPr>
                <w:lang w:eastAsia="en-CA"/>
              </w:rPr>
            </w:pPr>
            <w:r w:rsidRPr="004E77F7">
              <w:rPr>
                <w:lang w:eastAsia="en-CA"/>
              </w:rPr>
              <w:t>5626</w:t>
            </w:r>
          </w:p>
        </w:tc>
        <w:tc>
          <w:tcPr>
            <w:tcW w:w="1843" w:type="dxa"/>
            <w:noWrap/>
            <w:hideMark/>
          </w:tcPr>
          <w:p w14:paraId="0C399D20" w14:textId="25CB31D5" w:rsidR="00C5093E" w:rsidRPr="004E77F7" w:rsidRDefault="00C5093E" w:rsidP="00D5556A">
            <w:pPr>
              <w:pStyle w:val="SWCTableText"/>
              <w:rPr>
                <w:lang w:eastAsia="en-CA"/>
              </w:rPr>
            </w:pPr>
            <w:r w:rsidRPr="004E77F7">
              <w:rPr>
                <w:lang w:eastAsia="en-CA"/>
              </w:rPr>
              <w:t>2.8</w:t>
            </w:r>
          </w:p>
        </w:tc>
        <w:tc>
          <w:tcPr>
            <w:tcW w:w="2126" w:type="dxa"/>
            <w:noWrap/>
            <w:hideMark/>
          </w:tcPr>
          <w:p w14:paraId="194D9E6F" w14:textId="7F4391EA" w:rsidR="00C5093E" w:rsidRPr="004E77F7" w:rsidRDefault="00C5093E" w:rsidP="00D5556A">
            <w:pPr>
              <w:pStyle w:val="SWCTableText"/>
              <w:rPr>
                <w:lang w:eastAsia="en-CA"/>
              </w:rPr>
            </w:pPr>
            <w:r w:rsidRPr="004E77F7">
              <w:rPr>
                <w:lang w:eastAsia="en-CA"/>
              </w:rPr>
              <w:t>1348</w:t>
            </w:r>
          </w:p>
        </w:tc>
      </w:tr>
      <w:tr w:rsidR="00C5093E" w:rsidRPr="004E77F7" w14:paraId="56A420D0" w14:textId="77777777" w:rsidTr="00D5556A">
        <w:trPr>
          <w:trHeight w:val="300"/>
          <w:jc w:val="center"/>
        </w:trPr>
        <w:tc>
          <w:tcPr>
            <w:tcW w:w="1981" w:type="dxa"/>
            <w:noWrap/>
            <w:hideMark/>
          </w:tcPr>
          <w:p w14:paraId="5C8CDEB4" w14:textId="51673370" w:rsidR="00C5093E" w:rsidRPr="004E77F7" w:rsidRDefault="00E978E3" w:rsidP="00D5556A">
            <w:pPr>
              <w:pStyle w:val="SWCTableText"/>
              <w:rPr>
                <w:lang w:eastAsia="en-CA"/>
              </w:rPr>
            </w:pPr>
            <w:r w:rsidRPr="004E77F7">
              <w:rPr>
                <w:lang w:eastAsia="en-CA"/>
              </w:rPr>
              <w:t xml:space="preserve">St. John's </w:t>
            </w:r>
          </w:p>
        </w:tc>
        <w:tc>
          <w:tcPr>
            <w:tcW w:w="1563" w:type="dxa"/>
            <w:noWrap/>
            <w:hideMark/>
          </w:tcPr>
          <w:p w14:paraId="23489089" w14:textId="5E41C088" w:rsidR="00C5093E" w:rsidRPr="004E77F7" w:rsidRDefault="00C5093E" w:rsidP="00D5556A">
            <w:pPr>
              <w:pStyle w:val="SWCTableText"/>
              <w:rPr>
                <w:lang w:eastAsia="en-CA"/>
              </w:rPr>
            </w:pPr>
            <w:r w:rsidRPr="004E77F7">
              <w:rPr>
                <w:lang w:eastAsia="en-CA"/>
              </w:rPr>
              <w:t>4690</w:t>
            </w:r>
          </w:p>
        </w:tc>
        <w:tc>
          <w:tcPr>
            <w:tcW w:w="1843" w:type="dxa"/>
            <w:noWrap/>
            <w:hideMark/>
          </w:tcPr>
          <w:p w14:paraId="31DD95E3" w14:textId="1B840B6F" w:rsidR="00C5093E" w:rsidRPr="004E77F7" w:rsidRDefault="00C5093E" w:rsidP="00D5556A">
            <w:pPr>
              <w:pStyle w:val="SWCTableText"/>
              <w:rPr>
                <w:lang w:eastAsia="en-CA"/>
              </w:rPr>
            </w:pPr>
            <w:r w:rsidRPr="004E77F7">
              <w:rPr>
                <w:lang w:eastAsia="en-CA"/>
              </w:rPr>
              <w:t>5.3</w:t>
            </w:r>
          </w:p>
        </w:tc>
        <w:tc>
          <w:tcPr>
            <w:tcW w:w="2126" w:type="dxa"/>
            <w:noWrap/>
            <w:hideMark/>
          </w:tcPr>
          <w:p w14:paraId="1CCBEF32" w14:textId="33B755A0" w:rsidR="00C5093E" w:rsidRPr="004E77F7" w:rsidRDefault="00C5093E" w:rsidP="00D5556A">
            <w:pPr>
              <w:pStyle w:val="SWCTableText"/>
              <w:rPr>
                <w:lang w:eastAsia="en-CA"/>
              </w:rPr>
            </w:pPr>
            <w:r w:rsidRPr="004E77F7">
              <w:rPr>
                <w:lang w:eastAsia="en-CA"/>
              </w:rPr>
              <w:t>113</w:t>
            </w:r>
            <w:r w:rsidR="00FE4544">
              <w:rPr>
                <w:lang w:eastAsia="en-CA"/>
              </w:rPr>
              <w:t>6</w:t>
            </w:r>
          </w:p>
        </w:tc>
      </w:tr>
      <w:tr w:rsidR="00C5093E" w:rsidRPr="004E77F7" w14:paraId="168D5F8C" w14:textId="77777777" w:rsidTr="00D5556A">
        <w:trPr>
          <w:trHeight w:val="300"/>
          <w:jc w:val="center"/>
        </w:trPr>
        <w:tc>
          <w:tcPr>
            <w:tcW w:w="1981" w:type="dxa"/>
            <w:noWrap/>
            <w:hideMark/>
          </w:tcPr>
          <w:p w14:paraId="718BA89F" w14:textId="7F2D2B2C" w:rsidR="00C5093E" w:rsidRPr="004E77F7" w:rsidRDefault="00E978E3" w:rsidP="00D5556A">
            <w:pPr>
              <w:pStyle w:val="SWCTableText"/>
              <w:rPr>
                <w:lang w:eastAsia="en-CA"/>
              </w:rPr>
            </w:pPr>
            <w:r w:rsidRPr="004E77F7">
              <w:rPr>
                <w:lang w:eastAsia="en-CA"/>
              </w:rPr>
              <w:t xml:space="preserve">Toronto </w:t>
            </w:r>
          </w:p>
        </w:tc>
        <w:tc>
          <w:tcPr>
            <w:tcW w:w="1563" w:type="dxa"/>
            <w:noWrap/>
            <w:hideMark/>
          </w:tcPr>
          <w:p w14:paraId="15D0CC88" w14:textId="1B5CACB9" w:rsidR="00C5093E" w:rsidRPr="004E77F7" w:rsidRDefault="00C5093E" w:rsidP="00D5556A">
            <w:pPr>
              <w:pStyle w:val="SWCTableText"/>
              <w:rPr>
                <w:lang w:eastAsia="en-CA"/>
              </w:rPr>
            </w:pPr>
            <w:r w:rsidRPr="004E77F7">
              <w:rPr>
                <w:lang w:eastAsia="en-CA"/>
              </w:rPr>
              <w:t>3434</w:t>
            </w:r>
          </w:p>
        </w:tc>
        <w:tc>
          <w:tcPr>
            <w:tcW w:w="1843" w:type="dxa"/>
            <w:noWrap/>
            <w:hideMark/>
          </w:tcPr>
          <w:p w14:paraId="06433F1F" w14:textId="4D5B07A1" w:rsidR="00C5093E" w:rsidRPr="004E77F7" w:rsidRDefault="00C5093E" w:rsidP="00D5556A">
            <w:pPr>
              <w:pStyle w:val="SWCTableText"/>
              <w:rPr>
                <w:lang w:eastAsia="en-CA"/>
              </w:rPr>
            </w:pPr>
            <w:r w:rsidRPr="004E77F7">
              <w:rPr>
                <w:lang w:eastAsia="en-CA"/>
              </w:rPr>
              <w:t>9.7</w:t>
            </w:r>
          </w:p>
        </w:tc>
        <w:tc>
          <w:tcPr>
            <w:tcW w:w="2126" w:type="dxa"/>
            <w:noWrap/>
            <w:hideMark/>
          </w:tcPr>
          <w:p w14:paraId="5CD94733" w14:textId="38407DD6" w:rsidR="00C5093E" w:rsidRPr="004E77F7" w:rsidRDefault="00C5093E" w:rsidP="00D5556A">
            <w:pPr>
              <w:pStyle w:val="SWCTableText"/>
              <w:rPr>
                <w:lang w:eastAsia="en-CA"/>
              </w:rPr>
            </w:pPr>
            <w:r w:rsidRPr="004E77F7">
              <w:rPr>
                <w:lang w:eastAsia="en-CA"/>
              </w:rPr>
              <w:t>1348</w:t>
            </w:r>
          </w:p>
        </w:tc>
      </w:tr>
      <w:tr w:rsidR="00C5093E" w:rsidRPr="004E77F7" w14:paraId="722B4555" w14:textId="77777777" w:rsidTr="00D5556A">
        <w:trPr>
          <w:trHeight w:val="300"/>
          <w:jc w:val="center"/>
        </w:trPr>
        <w:tc>
          <w:tcPr>
            <w:tcW w:w="1981" w:type="dxa"/>
            <w:noWrap/>
            <w:hideMark/>
          </w:tcPr>
          <w:p w14:paraId="4897468A" w14:textId="02DE2EE0" w:rsidR="00C5093E" w:rsidRPr="004E77F7" w:rsidRDefault="00E978E3" w:rsidP="00D5556A">
            <w:pPr>
              <w:pStyle w:val="SWCTableText"/>
              <w:rPr>
                <w:lang w:eastAsia="en-CA"/>
              </w:rPr>
            </w:pPr>
            <w:r w:rsidRPr="004E77F7">
              <w:rPr>
                <w:lang w:eastAsia="en-CA"/>
              </w:rPr>
              <w:t xml:space="preserve">Victoria </w:t>
            </w:r>
          </w:p>
        </w:tc>
        <w:tc>
          <w:tcPr>
            <w:tcW w:w="1563" w:type="dxa"/>
            <w:noWrap/>
            <w:hideMark/>
          </w:tcPr>
          <w:p w14:paraId="6E79FD50" w14:textId="1D28461F" w:rsidR="00C5093E" w:rsidRPr="004E77F7" w:rsidRDefault="00C5093E" w:rsidP="00D5556A">
            <w:pPr>
              <w:pStyle w:val="SWCTableText"/>
              <w:rPr>
                <w:lang w:eastAsia="en-CA"/>
              </w:rPr>
            </w:pPr>
            <w:r w:rsidRPr="004E77F7">
              <w:rPr>
                <w:lang w:eastAsia="en-CA"/>
              </w:rPr>
              <w:t>287</w:t>
            </w:r>
            <w:r w:rsidR="00FE4544">
              <w:rPr>
                <w:lang w:eastAsia="en-CA"/>
              </w:rPr>
              <w:t>8</w:t>
            </w:r>
          </w:p>
        </w:tc>
        <w:tc>
          <w:tcPr>
            <w:tcW w:w="1843" w:type="dxa"/>
            <w:noWrap/>
            <w:hideMark/>
          </w:tcPr>
          <w:p w14:paraId="58F7D674" w14:textId="2D16E2C3" w:rsidR="00C5093E" w:rsidRPr="004E77F7" w:rsidRDefault="00C5093E" w:rsidP="00D5556A">
            <w:pPr>
              <w:pStyle w:val="SWCTableText"/>
              <w:rPr>
                <w:lang w:eastAsia="en-CA"/>
              </w:rPr>
            </w:pPr>
            <w:r w:rsidRPr="004E77F7">
              <w:rPr>
                <w:lang w:eastAsia="en-CA"/>
              </w:rPr>
              <w:t>10.3</w:t>
            </w:r>
          </w:p>
        </w:tc>
        <w:tc>
          <w:tcPr>
            <w:tcW w:w="2126" w:type="dxa"/>
            <w:noWrap/>
            <w:hideMark/>
          </w:tcPr>
          <w:p w14:paraId="36EB0BAA" w14:textId="620621F6" w:rsidR="00C5093E" w:rsidRPr="004E77F7" w:rsidRDefault="00C5093E" w:rsidP="00D5556A">
            <w:pPr>
              <w:pStyle w:val="SWCTableText"/>
              <w:rPr>
                <w:lang w:eastAsia="en-CA"/>
              </w:rPr>
            </w:pPr>
            <w:r w:rsidRPr="004E77F7">
              <w:rPr>
                <w:lang w:eastAsia="en-CA"/>
              </w:rPr>
              <w:t>127</w:t>
            </w:r>
            <w:r w:rsidR="00FE4544">
              <w:rPr>
                <w:lang w:eastAsia="en-CA"/>
              </w:rPr>
              <w:t>8</w:t>
            </w:r>
          </w:p>
        </w:tc>
      </w:tr>
      <w:tr w:rsidR="00C5093E" w:rsidRPr="004E77F7" w14:paraId="536DA2A0" w14:textId="77777777" w:rsidTr="00D5556A">
        <w:trPr>
          <w:trHeight w:val="300"/>
          <w:jc w:val="center"/>
        </w:trPr>
        <w:tc>
          <w:tcPr>
            <w:tcW w:w="1981" w:type="dxa"/>
            <w:noWrap/>
            <w:hideMark/>
          </w:tcPr>
          <w:p w14:paraId="010FC026" w14:textId="351EFE1E" w:rsidR="00C5093E" w:rsidRPr="004E77F7" w:rsidRDefault="00E978E3" w:rsidP="00D5556A">
            <w:pPr>
              <w:pStyle w:val="SWCTableText"/>
              <w:rPr>
                <w:lang w:eastAsia="en-CA"/>
              </w:rPr>
            </w:pPr>
            <w:r w:rsidRPr="004E77F7">
              <w:rPr>
                <w:lang w:eastAsia="en-CA"/>
              </w:rPr>
              <w:t>Whitehorse</w:t>
            </w:r>
          </w:p>
        </w:tc>
        <w:tc>
          <w:tcPr>
            <w:tcW w:w="1563" w:type="dxa"/>
            <w:noWrap/>
            <w:hideMark/>
          </w:tcPr>
          <w:p w14:paraId="544B256E" w14:textId="2051D361" w:rsidR="00C5093E" w:rsidRPr="004E77F7" w:rsidRDefault="00C5093E" w:rsidP="00D5556A">
            <w:pPr>
              <w:pStyle w:val="SWCTableText"/>
              <w:rPr>
                <w:lang w:eastAsia="en-CA"/>
              </w:rPr>
            </w:pPr>
            <w:r w:rsidRPr="004E77F7">
              <w:rPr>
                <w:lang w:eastAsia="en-CA"/>
              </w:rPr>
              <w:t>649</w:t>
            </w:r>
            <w:r w:rsidR="00FE4544">
              <w:rPr>
                <w:lang w:eastAsia="en-CA"/>
              </w:rPr>
              <w:t>1</w:t>
            </w:r>
          </w:p>
        </w:tc>
        <w:tc>
          <w:tcPr>
            <w:tcW w:w="1843" w:type="dxa"/>
            <w:noWrap/>
            <w:hideMark/>
          </w:tcPr>
          <w:p w14:paraId="61E7CC92" w14:textId="7E26F11F" w:rsidR="00C5093E" w:rsidRPr="004E77F7" w:rsidRDefault="00C5093E" w:rsidP="00D5556A">
            <w:pPr>
              <w:pStyle w:val="SWCTableText"/>
              <w:rPr>
                <w:lang w:eastAsia="en-CA"/>
              </w:rPr>
            </w:pPr>
            <w:r w:rsidRPr="004E77F7">
              <w:rPr>
                <w:lang w:eastAsia="en-CA"/>
              </w:rPr>
              <w:t>0.2</w:t>
            </w:r>
          </w:p>
        </w:tc>
        <w:tc>
          <w:tcPr>
            <w:tcW w:w="2126" w:type="dxa"/>
            <w:noWrap/>
            <w:hideMark/>
          </w:tcPr>
          <w:p w14:paraId="149FD9A7" w14:textId="36FD3E01" w:rsidR="00C5093E" w:rsidRPr="004E77F7" w:rsidRDefault="00C5093E" w:rsidP="00D5556A">
            <w:pPr>
              <w:pStyle w:val="SWCTableText"/>
              <w:rPr>
                <w:lang w:eastAsia="en-CA"/>
              </w:rPr>
            </w:pPr>
            <w:r w:rsidRPr="004E77F7">
              <w:rPr>
                <w:lang w:eastAsia="en-CA"/>
              </w:rPr>
              <w:t>101</w:t>
            </w:r>
            <w:r w:rsidR="00FE4544">
              <w:rPr>
                <w:lang w:eastAsia="en-CA"/>
              </w:rPr>
              <w:t>4</w:t>
            </w:r>
          </w:p>
        </w:tc>
      </w:tr>
      <w:tr w:rsidR="00C5093E" w:rsidRPr="004E77F7" w14:paraId="46EA99EF" w14:textId="77777777" w:rsidTr="00D5556A">
        <w:trPr>
          <w:trHeight w:val="300"/>
          <w:jc w:val="center"/>
        </w:trPr>
        <w:tc>
          <w:tcPr>
            <w:tcW w:w="1981" w:type="dxa"/>
            <w:noWrap/>
            <w:hideMark/>
          </w:tcPr>
          <w:p w14:paraId="3004AE7D" w14:textId="20B8EC77" w:rsidR="00C5093E" w:rsidRPr="004E77F7" w:rsidRDefault="00E978E3" w:rsidP="00D5556A">
            <w:pPr>
              <w:pStyle w:val="SWCTableText"/>
              <w:rPr>
                <w:lang w:eastAsia="en-CA"/>
              </w:rPr>
            </w:pPr>
            <w:r w:rsidRPr="004E77F7">
              <w:rPr>
                <w:lang w:eastAsia="en-CA"/>
              </w:rPr>
              <w:t xml:space="preserve">Winnipeg </w:t>
            </w:r>
          </w:p>
        </w:tc>
        <w:tc>
          <w:tcPr>
            <w:tcW w:w="1563" w:type="dxa"/>
            <w:noWrap/>
            <w:hideMark/>
          </w:tcPr>
          <w:p w14:paraId="3EA6CD7F" w14:textId="2C407D10" w:rsidR="00C5093E" w:rsidRPr="004E77F7" w:rsidRDefault="00C5093E" w:rsidP="00D5556A">
            <w:pPr>
              <w:pStyle w:val="SWCTableText"/>
              <w:rPr>
                <w:lang w:eastAsia="en-CA"/>
              </w:rPr>
            </w:pPr>
            <w:r w:rsidRPr="004E77F7">
              <w:rPr>
                <w:lang w:eastAsia="en-CA"/>
              </w:rPr>
              <w:t>5672</w:t>
            </w:r>
          </w:p>
        </w:tc>
        <w:tc>
          <w:tcPr>
            <w:tcW w:w="1843" w:type="dxa"/>
            <w:noWrap/>
            <w:hideMark/>
          </w:tcPr>
          <w:p w14:paraId="2026640B" w14:textId="410A9A57" w:rsidR="00C5093E" w:rsidRPr="004E77F7" w:rsidRDefault="00C5093E" w:rsidP="00D5556A">
            <w:pPr>
              <w:pStyle w:val="SWCTableText"/>
              <w:rPr>
                <w:lang w:eastAsia="en-CA"/>
              </w:rPr>
            </w:pPr>
            <w:r w:rsidRPr="004E77F7">
              <w:rPr>
                <w:lang w:eastAsia="en-CA"/>
              </w:rPr>
              <w:t>2.9</w:t>
            </w:r>
          </w:p>
        </w:tc>
        <w:tc>
          <w:tcPr>
            <w:tcW w:w="2126" w:type="dxa"/>
            <w:noWrap/>
            <w:hideMark/>
          </w:tcPr>
          <w:p w14:paraId="7BD8CAD7" w14:textId="4ECFD90A" w:rsidR="00C5093E" w:rsidRPr="004E77F7" w:rsidRDefault="00C5093E" w:rsidP="00D5556A">
            <w:pPr>
              <w:pStyle w:val="SWCTableText"/>
              <w:rPr>
                <w:lang w:eastAsia="en-CA"/>
              </w:rPr>
            </w:pPr>
            <w:r w:rsidRPr="004E77F7">
              <w:rPr>
                <w:lang w:eastAsia="en-CA"/>
              </w:rPr>
              <w:t>1318</w:t>
            </w:r>
          </w:p>
        </w:tc>
      </w:tr>
      <w:tr w:rsidR="00C5093E" w:rsidRPr="004E77F7" w14:paraId="61D33458" w14:textId="77777777" w:rsidTr="00D5556A">
        <w:trPr>
          <w:trHeight w:val="300"/>
          <w:jc w:val="center"/>
        </w:trPr>
        <w:tc>
          <w:tcPr>
            <w:tcW w:w="1981" w:type="dxa"/>
            <w:noWrap/>
            <w:hideMark/>
          </w:tcPr>
          <w:p w14:paraId="31203B2B" w14:textId="715467B3" w:rsidR="00C5093E" w:rsidRPr="004E77F7" w:rsidRDefault="00E978E3" w:rsidP="00D5556A">
            <w:pPr>
              <w:pStyle w:val="SWCTableText"/>
              <w:rPr>
                <w:lang w:eastAsia="en-CA"/>
              </w:rPr>
            </w:pPr>
            <w:r w:rsidRPr="004E77F7">
              <w:rPr>
                <w:lang w:eastAsia="en-CA"/>
              </w:rPr>
              <w:t>Yellowknife</w:t>
            </w:r>
          </w:p>
        </w:tc>
        <w:tc>
          <w:tcPr>
            <w:tcW w:w="1563" w:type="dxa"/>
            <w:noWrap/>
            <w:hideMark/>
          </w:tcPr>
          <w:p w14:paraId="3C8AB631" w14:textId="16C641E2" w:rsidR="00C5093E" w:rsidRPr="004E77F7" w:rsidRDefault="00C5093E" w:rsidP="00D5556A">
            <w:pPr>
              <w:pStyle w:val="SWCTableText"/>
              <w:rPr>
                <w:lang w:eastAsia="en-CA"/>
              </w:rPr>
            </w:pPr>
            <w:r w:rsidRPr="004E77F7">
              <w:rPr>
                <w:lang w:eastAsia="en-CA"/>
              </w:rPr>
              <w:t>8009</w:t>
            </w:r>
          </w:p>
        </w:tc>
        <w:tc>
          <w:tcPr>
            <w:tcW w:w="1843" w:type="dxa"/>
            <w:noWrap/>
            <w:hideMark/>
          </w:tcPr>
          <w:p w14:paraId="307C39E9" w14:textId="4EDA2822" w:rsidR="00C5093E" w:rsidRPr="004E77F7" w:rsidRDefault="00C5093E" w:rsidP="00D5556A">
            <w:pPr>
              <w:pStyle w:val="SWCTableText"/>
              <w:rPr>
                <w:lang w:eastAsia="en-CA"/>
              </w:rPr>
            </w:pPr>
            <w:r w:rsidRPr="004E77F7">
              <w:rPr>
                <w:lang w:eastAsia="en-CA"/>
              </w:rPr>
              <w:t>-4.0</w:t>
            </w:r>
          </w:p>
        </w:tc>
        <w:tc>
          <w:tcPr>
            <w:tcW w:w="2126" w:type="dxa"/>
            <w:noWrap/>
            <w:hideMark/>
          </w:tcPr>
          <w:p w14:paraId="28C67DC2" w14:textId="22428090" w:rsidR="00C5093E" w:rsidRPr="004E77F7" w:rsidRDefault="00C5093E" w:rsidP="00D5556A">
            <w:pPr>
              <w:pStyle w:val="SWCTableText"/>
              <w:rPr>
                <w:lang w:eastAsia="en-CA"/>
              </w:rPr>
            </w:pPr>
            <w:r w:rsidRPr="004E77F7">
              <w:rPr>
                <w:lang w:eastAsia="en-CA"/>
              </w:rPr>
              <w:t>1054</w:t>
            </w:r>
          </w:p>
        </w:tc>
      </w:tr>
    </w:tbl>
    <w:p w14:paraId="0B614258" w14:textId="77777777" w:rsidR="00C5093E" w:rsidRPr="004E77F7" w:rsidRDefault="00C5093E" w:rsidP="00B515AA">
      <w:pPr>
        <w:pStyle w:val="SWCText"/>
      </w:pPr>
    </w:p>
    <w:p w14:paraId="2D3AD80D" w14:textId="77777777" w:rsidR="00C5093E" w:rsidRPr="004E77F7" w:rsidRDefault="00C5093E" w:rsidP="00DC3E65">
      <w:pPr>
        <w:pStyle w:val="SWCHeading11"/>
      </w:pPr>
      <w:r w:rsidRPr="004E77F7">
        <w:t>PV water heater system</w:t>
      </w:r>
    </w:p>
    <w:p w14:paraId="457F3966" w14:textId="1C7A49D3" w:rsidR="00C5093E" w:rsidRPr="004E77F7" w:rsidRDefault="00C5093E" w:rsidP="00B515AA">
      <w:pPr>
        <w:pStyle w:val="SWCText"/>
      </w:pPr>
      <w:r w:rsidRPr="004E77F7">
        <w:t>The PVWH considered in this study consists of a single tank with 170</w:t>
      </w:r>
      <w:r w:rsidR="00093B82">
        <w:t xml:space="preserve"> </w:t>
      </w:r>
      <w:r w:rsidRPr="004E77F7">
        <w:t>L capacity and an inverter-connected PV array that uses MPPT. The PV array consists of 300</w:t>
      </w:r>
      <w:r>
        <w:t xml:space="preserve"> </w:t>
      </w:r>
      <w:r w:rsidRPr="004E77F7">
        <w:t>W panels with an area of 1.8 m</w:t>
      </w:r>
      <w:r w:rsidRPr="00950417">
        <w:rPr>
          <w:vertAlign w:val="superscript"/>
        </w:rPr>
        <w:t>2</w:t>
      </w:r>
      <w:r w:rsidRPr="004E77F7">
        <w:t xml:space="preserve"> each and</w:t>
      </w:r>
      <w:r>
        <w:t xml:space="preserve"> the panel</w:t>
      </w:r>
      <w:r w:rsidRPr="004E77F7">
        <w:t xml:space="preserve"> tilt set to the location latitude</w:t>
      </w:r>
      <w:r w:rsidR="00A74EF5">
        <w:t xml:space="preserve"> to represent a best-case scenario</w:t>
      </w:r>
      <w:r w:rsidRPr="004E77F7">
        <w:t>. Simulations were performed with array sizes varying from 5 to 10 panels, equivalent to 1.5 kW to 3</w:t>
      </w:r>
      <w:r w:rsidR="00AB10E7">
        <w:t>.0</w:t>
      </w:r>
      <w:r w:rsidRPr="004E77F7">
        <w:t xml:space="preserve"> kW systems. </w:t>
      </w:r>
      <w:r w:rsidRPr="004E77F7">
        <w:fldChar w:fldCharType="begin"/>
      </w:r>
      <w:r w:rsidRPr="004E77F7">
        <w:instrText xml:space="preserve"> REF _Ref213057300 \h </w:instrText>
      </w:r>
      <w:r>
        <w:instrText xml:space="preserve"> \* MERGEFORMAT </w:instrText>
      </w:r>
      <w:r w:rsidRPr="004E77F7">
        <w:fldChar w:fldCharType="separate"/>
      </w:r>
      <w:r w:rsidRPr="004E77F7">
        <w:t xml:space="preserve">Table </w:t>
      </w:r>
      <w:r>
        <w:rPr>
          <w:noProof/>
        </w:rPr>
        <w:t>2</w:t>
      </w:r>
      <w:r w:rsidRPr="004E77F7">
        <w:fldChar w:fldCharType="end"/>
      </w:r>
      <w:r w:rsidRPr="004E77F7">
        <w:t xml:space="preserve"> lists the PV parameters used in the modelling</w:t>
      </w:r>
      <w:r>
        <w:t>, selected to be representative of commercially available panels</w:t>
      </w:r>
      <w:r w:rsidRPr="004E77F7">
        <w:t>.</w:t>
      </w:r>
      <w:r w:rsidR="00F25D9F">
        <w:t xml:space="preserve"> Figure 2 provides diagrams of the three considered low-carbon systems.</w:t>
      </w:r>
    </w:p>
    <w:p w14:paraId="3254C1F2" w14:textId="74D2F8CA" w:rsidR="00156F86" w:rsidRDefault="00156F86" w:rsidP="00D5556A">
      <w:pPr>
        <w:pStyle w:val="SWCText"/>
        <w:jc w:val="center"/>
      </w:pPr>
      <w:r w:rsidRPr="00156F86">
        <w:rPr>
          <w:noProof/>
        </w:rPr>
        <w:drawing>
          <wp:inline distT="0" distB="0" distL="0" distR="0" wp14:anchorId="056A8585" wp14:editId="791F21FD">
            <wp:extent cx="4000809" cy="3445490"/>
            <wp:effectExtent l="0" t="0" r="0" b="3175"/>
            <wp:docPr id="257480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80319" name=""/>
                    <pic:cNvPicPr/>
                  </pic:nvPicPr>
                  <pic:blipFill rotWithShape="1">
                    <a:blip r:embed="rId9"/>
                    <a:srcRect r="5867"/>
                    <a:stretch>
                      <a:fillRect/>
                    </a:stretch>
                  </pic:blipFill>
                  <pic:spPr bwMode="auto">
                    <a:xfrm>
                      <a:off x="0" y="0"/>
                      <a:ext cx="4030087" cy="3470705"/>
                    </a:xfrm>
                    <a:prstGeom prst="rect">
                      <a:avLst/>
                    </a:prstGeom>
                    <a:ln>
                      <a:noFill/>
                    </a:ln>
                    <a:extLst>
                      <a:ext uri="{53640926-AAD7-44D8-BBD7-CCE9431645EC}">
                        <a14:shadowObscured xmlns:a14="http://schemas.microsoft.com/office/drawing/2010/main"/>
                      </a:ext>
                    </a:extLst>
                  </pic:spPr>
                </pic:pic>
              </a:graphicData>
            </a:graphic>
          </wp:inline>
        </w:drawing>
      </w:r>
    </w:p>
    <w:p w14:paraId="5E32EE11" w14:textId="6C4AD07A" w:rsidR="00734E43" w:rsidRDefault="00C5093E">
      <w:pPr>
        <w:pStyle w:val="SWCTableFigureCaption"/>
      </w:pPr>
      <w:r>
        <w:t xml:space="preserve">Figure </w:t>
      </w:r>
      <w:r w:rsidR="00F25D9F">
        <w:rPr>
          <w:b w:val="0"/>
        </w:rPr>
        <w:t>2</w:t>
      </w:r>
      <w:r>
        <w:t>:</w:t>
      </w:r>
      <w:r w:rsidR="000C5568">
        <w:t xml:space="preserve"> (a)</w:t>
      </w:r>
      <w:r>
        <w:t xml:space="preserve"> Simplified schematic diagram of PVWH system</w:t>
      </w:r>
      <w:r w:rsidR="000C5568">
        <w:t xml:space="preserve">, (b) HPWH system. </w:t>
      </w:r>
      <w:r w:rsidR="000C5568">
        <w:rPr>
          <w:noProof/>
        </w:rPr>
        <w:t xml:space="preserve">(c) </w:t>
      </w:r>
      <w:r w:rsidR="000C5568">
        <w:t>PVT/HPWH system</w:t>
      </w:r>
      <w:r w:rsidR="008153C2">
        <w:t>.</w:t>
      </w:r>
      <w:r w:rsidR="008153C2" w:rsidRPr="008153C2">
        <w:t xml:space="preserve"> </w:t>
      </w:r>
      <w:r w:rsidR="008153C2">
        <w:t xml:space="preserve">The HPWH and PVT-HPWH systems incorporate a housing archetype with a </w:t>
      </w:r>
      <w:r w:rsidR="0035393E">
        <w:t xml:space="preserve">cold climate </w:t>
      </w:r>
      <w:r w:rsidR="00201062">
        <w:t>air-source heat pump</w:t>
      </w:r>
      <w:r w:rsidR="00C4785E">
        <w:t xml:space="preserve"> (CCASHP)</w:t>
      </w:r>
      <w:r w:rsidR="008153C2">
        <w:t xml:space="preserve"> heat source</w:t>
      </w:r>
      <w:r w:rsidR="0035393E">
        <w:t>.</w:t>
      </w:r>
    </w:p>
    <w:p w14:paraId="1033DE49" w14:textId="0BA987F2" w:rsidR="00C5093E" w:rsidRPr="004E77F7" w:rsidRDefault="00734E43" w:rsidP="00734E43">
      <w:pPr>
        <w:pStyle w:val="SWCText"/>
      </w:pPr>
      <w:r w:rsidRPr="004E77F7">
        <w:t xml:space="preserve">The tank </w:t>
      </w:r>
      <w:r>
        <w:t xml:space="preserve">is represented by 12 evenly spaced nodes and is equipped with three electric resistance elements. Two are situated at node 6, halfway up the tank </w:t>
      </w:r>
      <w:r w:rsidRPr="004E77F7">
        <w:t xml:space="preserve">and </w:t>
      </w:r>
      <w:r>
        <w:t xml:space="preserve">one is located at node 12, at the </w:t>
      </w:r>
      <w:r w:rsidRPr="004E77F7">
        <w:t>bottom of</w:t>
      </w:r>
      <w:r>
        <w:t xml:space="preserve"> the</w:t>
      </w:r>
      <w:r w:rsidRPr="004E77F7">
        <w:t xml:space="preserve"> tank. </w:t>
      </w:r>
      <w:r>
        <w:t xml:space="preserve">Two of the elements have a wattage of 3.0 kW each and are connected to the PV array. </w:t>
      </w:r>
      <w:r w:rsidR="006B3431">
        <w:t xml:space="preserve">Table 3 lists the control conditions </w:t>
      </w:r>
      <w:r w:rsidR="006B3431">
        <w:lastRenderedPageBreak/>
        <w:t xml:space="preserve">for the three elements. </w:t>
      </w:r>
      <w:r>
        <w:t xml:space="preserve">The middle PV element located at node 6 is controlled by an aquastat with a setpoint temperature of 51.7-55 °C (deadband of 2.7 °C). The bottom PV connected element has a setpoint of 87.8 – 93.3 °C to allow for “overheating” of the tank to maximize the amount of solar energy that can be collected. The bottom element is only enabled when the middle PV element is </w:t>
      </w:r>
      <w:proofErr w:type="gramStart"/>
      <w:r>
        <w:t>satisfied, and</w:t>
      </w:r>
      <w:proofErr w:type="gramEnd"/>
      <w:r>
        <w:t xml:space="preserve"> is located at node 12. </w:t>
      </w:r>
      <w:r w:rsidRPr="004E77F7">
        <w:t xml:space="preserve">The </w:t>
      </w:r>
      <w:r>
        <w:t xml:space="preserve">third element is </w:t>
      </w:r>
      <w:r w:rsidRPr="004E77F7">
        <w:t>grid</w:t>
      </w:r>
      <w:r>
        <w:t>-</w:t>
      </w:r>
      <w:r w:rsidRPr="004E77F7">
        <w:t>connected</w:t>
      </w:r>
      <w:r>
        <w:t xml:space="preserve"> with a wattage of</w:t>
      </w:r>
      <w:r w:rsidRPr="004E77F7">
        <w:t xml:space="preserve"> 4.5 kW</w:t>
      </w:r>
      <w:r>
        <w:t xml:space="preserve"> and draws energy on demand to maintain a setpoint temperature of 48.9 °C</w:t>
      </w:r>
      <w:r w:rsidRPr="004E77F7">
        <w:t>.</w:t>
      </w:r>
      <w:r>
        <w:t xml:space="preserve"> This element is located at the same height as the node 6 PV element but is only activated when there is not enough solar energy available to maintain the aquastat at node 6 at 51.7 °C.</w:t>
      </w:r>
      <w:r w:rsidRPr="004E77F7">
        <w:t xml:space="preserve"> The</w:t>
      </w:r>
      <w:r>
        <w:t xml:space="preserve"> PVWH system modelled in this study uses simple controls</w:t>
      </w:r>
      <w:r w:rsidRPr="004E77F7">
        <w:t xml:space="preserve"> </w:t>
      </w:r>
      <w:r>
        <w:t>to charge the tank when there is solar availability, relying on the grid connected element as backup</w:t>
      </w:r>
      <w:r w:rsidRPr="004E77F7">
        <w:t xml:space="preserve">. The PV water heater is standalone, </w:t>
      </w:r>
      <w:r>
        <w:t xml:space="preserve">modelled </w:t>
      </w:r>
      <w:r w:rsidRPr="004E77F7">
        <w:t>without a home archetype and a</w:t>
      </w:r>
      <w:r>
        <w:t>ssuming a</w:t>
      </w:r>
      <w:r w:rsidRPr="004E77F7">
        <w:t xml:space="preserve"> constant</w:t>
      </w:r>
      <w:r w:rsidR="00C90573">
        <w:t xml:space="preserve"> indoor</w:t>
      </w:r>
      <w:r w:rsidRPr="004E77F7">
        <w:t xml:space="preserve"> temperature. </w:t>
      </w:r>
      <w:r>
        <w:t>D</w:t>
      </w:r>
      <w:r w:rsidRPr="004E77F7">
        <w:t xml:space="preserve">ue to the assumption of a constant </w:t>
      </w:r>
      <w:r w:rsidR="00C4785E">
        <w:t xml:space="preserve">indoor </w:t>
      </w:r>
      <w:r w:rsidRPr="004E77F7">
        <w:t xml:space="preserve">temperature in the tank room, the total annual DHW load considered in the PVWH scenarios varies slightly compared to the HPWH and PVT-HPWH systems but remains within 1% on an annual basis. </w:t>
      </w:r>
    </w:p>
    <w:p w14:paraId="30E33D69" w14:textId="77777777" w:rsidR="00C5093E" w:rsidRPr="004E77F7" w:rsidRDefault="00C5093E" w:rsidP="00D5556A">
      <w:pPr>
        <w:pStyle w:val="SWCTableFigureCaption"/>
      </w:pPr>
      <w:bookmarkStart w:id="1" w:name="_Ref213057300"/>
      <w:r w:rsidRPr="004E77F7">
        <w:t xml:space="preserve">Table </w:t>
      </w:r>
      <w:r w:rsidRPr="004E77F7">
        <w:fldChar w:fldCharType="begin"/>
      </w:r>
      <w:r w:rsidRPr="004E77F7">
        <w:instrText xml:space="preserve"> SEQ Table \* ARABIC </w:instrText>
      </w:r>
      <w:r w:rsidRPr="004E77F7">
        <w:fldChar w:fldCharType="separate"/>
      </w:r>
      <w:r>
        <w:rPr>
          <w:noProof/>
        </w:rPr>
        <w:t>2</w:t>
      </w:r>
      <w:r w:rsidRPr="004E77F7">
        <w:fldChar w:fldCharType="end"/>
      </w:r>
      <w:bookmarkEnd w:id="1"/>
      <w:r w:rsidRPr="004E77F7">
        <w:t>: PV module parameters used in PVWH system modelling</w:t>
      </w:r>
    </w:p>
    <w:tbl>
      <w:tblPr>
        <w:tblStyle w:val="TableGrid"/>
        <w:tblW w:w="0" w:type="auto"/>
        <w:jc w:val="center"/>
        <w:tblLook w:val="04A0" w:firstRow="1" w:lastRow="0" w:firstColumn="1" w:lastColumn="0" w:noHBand="0" w:noVBand="1"/>
      </w:tblPr>
      <w:tblGrid>
        <w:gridCol w:w="3114"/>
        <w:gridCol w:w="992"/>
        <w:gridCol w:w="851"/>
        <w:gridCol w:w="2126"/>
        <w:gridCol w:w="1134"/>
        <w:gridCol w:w="752"/>
      </w:tblGrid>
      <w:tr w:rsidR="0069222F" w:rsidRPr="004E77F7" w14:paraId="4A7BFAE4" w14:textId="29837AA0" w:rsidTr="00D5556A">
        <w:trPr>
          <w:jc w:val="center"/>
        </w:trPr>
        <w:tc>
          <w:tcPr>
            <w:tcW w:w="3114" w:type="dxa"/>
          </w:tcPr>
          <w:p w14:paraId="18B7A30A" w14:textId="77777777" w:rsidR="0069222F" w:rsidRPr="004516D0" w:rsidRDefault="0069222F" w:rsidP="00D5556A">
            <w:pPr>
              <w:pStyle w:val="SWCTableHeader"/>
            </w:pPr>
            <w:r w:rsidRPr="004516D0">
              <w:t xml:space="preserve">Parameter </w:t>
            </w:r>
          </w:p>
        </w:tc>
        <w:tc>
          <w:tcPr>
            <w:tcW w:w="992" w:type="dxa"/>
          </w:tcPr>
          <w:p w14:paraId="57F66B75" w14:textId="77777777" w:rsidR="0069222F" w:rsidRPr="004516D0" w:rsidRDefault="0069222F" w:rsidP="00D5556A">
            <w:pPr>
              <w:pStyle w:val="SWCTableHeader"/>
            </w:pPr>
            <w:r w:rsidRPr="004516D0">
              <w:t>Value</w:t>
            </w:r>
          </w:p>
        </w:tc>
        <w:tc>
          <w:tcPr>
            <w:tcW w:w="851" w:type="dxa"/>
          </w:tcPr>
          <w:p w14:paraId="23854385" w14:textId="77777777" w:rsidR="0069222F" w:rsidRPr="004516D0" w:rsidRDefault="0069222F" w:rsidP="00D5556A">
            <w:pPr>
              <w:pStyle w:val="SWCTableHeader"/>
            </w:pPr>
            <w:r w:rsidRPr="004516D0">
              <w:t>Unit</w:t>
            </w:r>
          </w:p>
        </w:tc>
        <w:tc>
          <w:tcPr>
            <w:tcW w:w="2126" w:type="dxa"/>
          </w:tcPr>
          <w:p w14:paraId="48FD3CDF" w14:textId="66C85904" w:rsidR="0069222F" w:rsidRPr="004516D0" w:rsidRDefault="0069222F" w:rsidP="0069222F">
            <w:pPr>
              <w:pStyle w:val="SWCTableHeader"/>
            </w:pPr>
            <w:r w:rsidRPr="004516D0">
              <w:t xml:space="preserve">Parameter </w:t>
            </w:r>
          </w:p>
        </w:tc>
        <w:tc>
          <w:tcPr>
            <w:tcW w:w="1134" w:type="dxa"/>
          </w:tcPr>
          <w:p w14:paraId="40C3CB12" w14:textId="2F0BDF26" w:rsidR="0069222F" w:rsidRPr="004516D0" w:rsidRDefault="0069222F" w:rsidP="0069222F">
            <w:pPr>
              <w:pStyle w:val="SWCTableHeader"/>
            </w:pPr>
            <w:r w:rsidRPr="004516D0">
              <w:t>Value</w:t>
            </w:r>
          </w:p>
        </w:tc>
        <w:tc>
          <w:tcPr>
            <w:tcW w:w="752" w:type="dxa"/>
          </w:tcPr>
          <w:p w14:paraId="340415EE" w14:textId="757C6F78" w:rsidR="0069222F" w:rsidRPr="004516D0" w:rsidRDefault="0069222F" w:rsidP="0069222F">
            <w:pPr>
              <w:pStyle w:val="SWCTableHeader"/>
            </w:pPr>
            <w:r w:rsidRPr="004516D0">
              <w:t>Unit</w:t>
            </w:r>
          </w:p>
        </w:tc>
      </w:tr>
      <w:tr w:rsidR="0069222F" w:rsidRPr="004E77F7" w14:paraId="111BA7C3" w14:textId="34B4E609" w:rsidTr="00D5556A">
        <w:trPr>
          <w:jc w:val="center"/>
        </w:trPr>
        <w:tc>
          <w:tcPr>
            <w:tcW w:w="3114" w:type="dxa"/>
          </w:tcPr>
          <w:p w14:paraId="1154D1CD" w14:textId="77777777" w:rsidR="0069222F" w:rsidRPr="004E77F7" w:rsidRDefault="0069222F" w:rsidP="0069222F">
            <w:pPr>
              <w:pStyle w:val="SWCText"/>
            </w:pPr>
            <w:r w:rsidRPr="004E77F7">
              <w:t>Short circuit current</w:t>
            </w:r>
          </w:p>
        </w:tc>
        <w:tc>
          <w:tcPr>
            <w:tcW w:w="992" w:type="dxa"/>
          </w:tcPr>
          <w:p w14:paraId="7E015832" w14:textId="77777777" w:rsidR="0069222F" w:rsidRPr="004E77F7" w:rsidRDefault="0069222F" w:rsidP="0069222F">
            <w:pPr>
              <w:pStyle w:val="SWCText"/>
            </w:pPr>
            <w:r w:rsidRPr="004E77F7">
              <w:t>9.65</w:t>
            </w:r>
          </w:p>
        </w:tc>
        <w:tc>
          <w:tcPr>
            <w:tcW w:w="851" w:type="dxa"/>
          </w:tcPr>
          <w:p w14:paraId="14A1753F" w14:textId="77777777" w:rsidR="0069222F" w:rsidRPr="004E77F7" w:rsidRDefault="0069222F" w:rsidP="0069222F">
            <w:pPr>
              <w:pStyle w:val="SWCText"/>
            </w:pPr>
            <w:r w:rsidRPr="004E77F7">
              <w:t>A</w:t>
            </w:r>
          </w:p>
        </w:tc>
        <w:tc>
          <w:tcPr>
            <w:tcW w:w="2126" w:type="dxa"/>
          </w:tcPr>
          <w:p w14:paraId="756EDFDB" w14:textId="4F7F31E1" w:rsidR="0069222F" w:rsidRPr="004E77F7" w:rsidRDefault="0069222F" w:rsidP="0069222F">
            <w:pPr>
              <w:pStyle w:val="SWCText"/>
            </w:pPr>
            <w:r w:rsidRPr="004E77F7">
              <w:t>Slope</w:t>
            </w:r>
          </w:p>
        </w:tc>
        <w:tc>
          <w:tcPr>
            <w:tcW w:w="1134" w:type="dxa"/>
          </w:tcPr>
          <w:p w14:paraId="052858D0" w14:textId="5DA952E3" w:rsidR="0069222F" w:rsidRPr="004E77F7" w:rsidRDefault="0069222F" w:rsidP="0069222F">
            <w:pPr>
              <w:pStyle w:val="SWCText"/>
            </w:pPr>
            <w:r w:rsidRPr="004E77F7">
              <w:t>Latitude</w:t>
            </w:r>
          </w:p>
        </w:tc>
        <w:tc>
          <w:tcPr>
            <w:tcW w:w="752" w:type="dxa"/>
          </w:tcPr>
          <w:p w14:paraId="1AE9A563" w14:textId="43DDB99D" w:rsidR="0069222F" w:rsidRPr="004E77F7" w:rsidRDefault="0069222F" w:rsidP="0069222F">
            <w:pPr>
              <w:pStyle w:val="SWCText"/>
            </w:pPr>
            <w:r w:rsidRPr="004E77F7">
              <w:t>°</w:t>
            </w:r>
          </w:p>
        </w:tc>
      </w:tr>
      <w:tr w:rsidR="0069222F" w:rsidRPr="004E77F7" w14:paraId="1DAC864E" w14:textId="3163F620" w:rsidTr="00D5556A">
        <w:trPr>
          <w:jc w:val="center"/>
        </w:trPr>
        <w:tc>
          <w:tcPr>
            <w:tcW w:w="3114" w:type="dxa"/>
          </w:tcPr>
          <w:p w14:paraId="6CFFAE51" w14:textId="77777777" w:rsidR="0069222F" w:rsidRPr="004E77F7" w:rsidRDefault="0069222F" w:rsidP="0069222F">
            <w:pPr>
              <w:pStyle w:val="SWCText"/>
            </w:pPr>
            <w:r w:rsidRPr="004E77F7">
              <w:t>Open circuit voltage</w:t>
            </w:r>
          </w:p>
        </w:tc>
        <w:tc>
          <w:tcPr>
            <w:tcW w:w="992" w:type="dxa"/>
          </w:tcPr>
          <w:p w14:paraId="27CF4865" w14:textId="77777777" w:rsidR="0069222F" w:rsidRPr="004E77F7" w:rsidRDefault="0069222F" w:rsidP="0069222F">
            <w:pPr>
              <w:pStyle w:val="SWCText"/>
            </w:pPr>
            <w:r w:rsidRPr="004E77F7">
              <w:t>39.3</w:t>
            </w:r>
          </w:p>
        </w:tc>
        <w:tc>
          <w:tcPr>
            <w:tcW w:w="851" w:type="dxa"/>
          </w:tcPr>
          <w:p w14:paraId="561924FB" w14:textId="77777777" w:rsidR="0069222F" w:rsidRPr="004E77F7" w:rsidRDefault="0069222F" w:rsidP="0069222F">
            <w:pPr>
              <w:pStyle w:val="SWCText"/>
            </w:pPr>
            <w:r w:rsidRPr="004E77F7">
              <w:t>V</w:t>
            </w:r>
          </w:p>
        </w:tc>
        <w:tc>
          <w:tcPr>
            <w:tcW w:w="2126" w:type="dxa"/>
          </w:tcPr>
          <w:p w14:paraId="0F243F2F" w14:textId="2C268C23" w:rsidR="0069222F" w:rsidRPr="004E77F7" w:rsidRDefault="0069222F" w:rsidP="0069222F">
            <w:pPr>
              <w:pStyle w:val="SWCText"/>
            </w:pPr>
            <w:r w:rsidRPr="004E77F7">
              <w:t>Module area</w:t>
            </w:r>
          </w:p>
        </w:tc>
        <w:tc>
          <w:tcPr>
            <w:tcW w:w="1134" w:type="dxa"/>
          </w:tcPr>
          <w:p w14:paraId="7EB228B6" w14:textId="5DDAD4DC" w:rsidR="0069222F" w:rsidRPr="004E77F7" w:rsidRDefault="0069222F" w:rsidP="0069222F">
            <w:pPr>
              <w:pStyle w:val="SWCText"/>
            </w:pPr>
            <w:r w:rsidRPr="004E77F7">
              <w:t>1.8</w:t>
            </w:r>
          </w:p>
        </w:tc>
        <w:tc>
          <w:tcPr>
            <w:tcW w:w="752" w:type="dxa"/>
          </w:tcPr>
          <w:p w14:paraId="62E5F407" w14:textId="2F24D3F7" w:rsidR="0069222F" w:rsidRPr="004E77F7" w:rsidRDefault="0069222F" w:rsidP="0069222F">
            <w:pPr>
              <w:pStyle w:val="SWCText"/>
            </w:pPr>
            <w:r w:rsidRPr="004E77F7">
              <w:t>m</w:t>
            </w:r>
            <w:r w:rsidRPr="004E77F7">
              <w:rPr>
                <w:vertAlign w:val="superscript"/>
              </w:rPr>
              <w:t>2</w:t>
            </w:r>
          </w:p>
        </w:tc>
      </w:tr>
      <w:tr w:rsidR="0069222F" w:rsidRPr="004E77F7" w14:paraId="1851F818" w14:textId="3F0CBB28" w:rsidTr="00D5556A">
        <w:trPr>
          <w:jc w:val="center"/>
        </w:trPr>
        <w:tc>
          <w:tcPr>
            <w:tcW w:w="3114" w:type="dxa"/>
          </w:tcPr>
          <w:p w14:paraId="7EA91EFF" w14:textId="77777777" w:rsidR="0069222F" w:rsidRPr="004E77F7" w:rsidRDefault="0069222F" w:rsidP="0069222F">
            <w:pPr>
              <w:pStyle w:val="SWCText"/>
            </w:pPr>
            <w:r w:rsidRPr="004E77F7">
              <w:t>Current at max power point</w:t>
            </w:r>
          </w:p>
        </w:tc>
        <w:tc>
          <w:tcPr>
            <w:tcW w:w="992" w:type="dxa"/>
          </w:tcPr>
          <w:p w14:paraId="39171379" w14:textId="77777777" w:rsidR="0069222F" w:rsidRPr="004E77F7" w:rsidRDefault="0069222F" w:rsidP="0069222F">
            <w:pPr>
              <w:pStyle w:val="SWCText"/>
            </w:pPr>
            <w:r w:rsidRPr="004E77F7">
              <w:t>9.18</w:t>
            </w:r>
          </w:p>
        </w:tc>
        <w:tc>
          <w:tcPr>
            <w:tcW w:w="851" w:type="dxa"/>
          </w:tcPr>
          <w:p w14:paraId="4552E618" w14:textId="77777777" w:rsidR="0069222F" w:rsidRPr="004E77F7" w:rsidRDefault="0069222F" w:rsidP="0069222F">
            <w:pPr>
              <w:pStyle w:val="SWCText"/>
            </w:pPr>
            <w:r w:rsidRPr="004E77F7">
              <w:t>A</w:t>
            </w:r>
          </w:p>
        </w:tc>
        <w:tc>
          <w:tcPr>
            <w:tcW w:w="2126" w:type="dxa"/>
          </w:tcPr>
          <w:p w14:paraId="1E6470E3" w14:textId="32E46E9E" w:rsidR="0069222F" w:rsidRPr="004E77F7" w:rsidRDefault="0069222F" w:rsidP="0069222F">
            <w:pPr>
              <w:pStyle w:val="SWCText"/>
            </w:pPr>
            <w:r w:rsidRPr="004E77F7">
              <w:t>Inverter efficiency</w:t>
            </w:r>
          </w:p>
        </w:tc>
        <w:tc>
          <w:tcPr>
            <w:tcW w:w="1134" w:type="dxa"/>
          </w:tcPr>
          <w:p w14:paraId="675A247E" w14:textId="3C466BF1" w:rsidR="0069222F" w:rsidRPr="004E77F7" w:rsidRDefault="00292812" w:rsidP="0069222F">
            <w:pPr>
              <w:pStyle w:val="SWCText"/>
            </w:pPr>
            <w:r>
              <w:t>94</w:t>
            </w:r>
          </w:p>
        </w:tc>
        <w:tc>
          <w:tcPr>
            <w:tcW w:w="752" w:type="dxa"/>
          </w:tcPr>
          <w:p w14:paraId="6674B5FC" w14:textId="00746C9C" w:rsidR="0069222F" w:rsidRPr="004E77F7" w:rsidRDefault="0069222F" w:rsidP="0069222F">
            <w:pPr>
              <w:pStyle w:val="SWCText"/>
            </w:pPr>
            <w:r w:rsidRPr="004E77F7">
              <w:t>%</w:t>
            </w:r>
          </w:p>
        </w:tc>
      </w:tr>
      <w:tr w:rsidR="0069222F" w:rsidRPr="004E77F7" w14:paraId="4DE13BC0" w14:textId="5C5BA96A" w:rsidTr="00D5556A">
        <w:trPr>
          <w:jc w:val="center"/>
        </w:trPr>
        <w:tc>
          <w:tcPr>
            <w:tcW w:w="3114" w:type="dxa"/>
          </w:tcPr>
          <w:p w14:paraId="1BA76E3D" w14:textId="77777777" w:rsidR="0069222F" w:rsidRPr="004E77F7" w:rsidRDefault="0069222F" w:rsidP="0069222F">
            <w:pPr>
              <w:pStyle w:val="SWCText"/>
            </w:pPr>
            <w:r w:rsidRPr="004E77F7">
              <w:t>Voltage at max power point</w:t>
            </w:r>
          </w:p>
        </w:tc>
        <w:tc>
          <w:tcPr>
            <w:tcW w:w="992" w:type="dxa"/>
          </w:tcPr>
          <w:p w14:paraId="013CD283" w14:textId="77777777" w:rsidR="0069222F" w:rsidRPr="004E77F7" w:rsidRDefault="0069222F" w:rsidP="0069222F">
            <w:pPr>
              <w:pStyle w:val="SWCText"/>
            </w:pPr>
            <w:r w:rsidRPr="004E77F7">
              <w:t>32.7</w:t>
            </w:r>
          </w:p>
        </w:tc>
        <w:tc>
          <w:tcPr>
            <w:tcW w:w="851" w:type="dxa"/>
          </w:tcPr>
          <w:p w14:paraId="15648F7C" w14:textId="77777777" w:rsidR="0069222F" w:rsidRPr="004E77F7" w:rsidRDefault="0069222F" w:rsidP="0069222F">
            <w:pPr>
              <w:pStyle w:val="SWCText"/>
            </w:pPr>
            <w:r w:rsidRPr="004E77F7">
              <w:t>V</w:t>
            </w:r>
          </w:p>
        </w:tc>
        <w:tc>
          <w:tcPr>
            <w:tcW w:w="2126" w:type="dxa"/>
          </w:tcPr>
          <w:p w14:paraId="5C16C0E0" w14:textId="0D773B8C" w:rsidR="0069222F" w:rsidRPr="004E77F7" w:rsidRDefault="0069222F" w:rsidP="0069222F">
            <w:pPr>
              <w:pStyle w:val="SWCText"/>
            </w:pPr>
            <w:r w:rsidRPr="004E77F7">
              <w:t>Number of panels</w:t>
            </w:r>
          </w:p>
        </w:tc>
        <w:tc>
          <w:tcPr>
            <w:tcW w:w="1134" w:type="dxa"/>
          </w:tcPr>
          <w:p w14:paraId="28A6B697" w14:textId="3234170B" w:rsidR="0069222F" w:rsidRPr="004E77F7" w:rsidRDefault="0069222F" w:rsidP="0069222F">
            <w:pPr>
              <w:pStyle w:val="SWCText"/>
            </w:pPr>
            <w:r w:rsidRPr="004E77F7">
              <w:t>5-10</w:t>
            </w:r>
          </w:p>
        </w:tc>
        <w:tc>
          <w:tcPr>
            <w:tcW w:w="752" w:type="dxa"/>
          </w:tcPr>
          <w:p w14:paraId="437F1EA6" w14:textId="1364D448" w:rsidR="0069222F" w:rsidRPr="004E77F7" w:rsidRDefault="0069222F" w:rsidP="0069222F">
            <w:pPr>
              <w:pStyle w:val="SWCText"/>
            </w:pPr>
            <w:r w:rsidRPr="004E77F7">
              <w:t>-</w:t>
            </w:r>
          </w:p>
        </w:tc>
      </w:tr>
      <w:tr w:rsidR="0069222F" w:rsidRPr="004E77F7" w14:paraId="1D30A347" w14:textId="2B56231E" w:rsidTr="00D5556A">
        <w:trPr>
          <w:jc w:val="center"/>
        </w:trPr>
        <w:tc>
          <w:tcPr>
            <w:tcW w:w="3114" w:type="dxa"/>
          </w:tcPr>
          <w:p w14:paraId="54BE0077" w14:textId="77777777" w:rsidR="0069222F" w:rsidRPr="004E77F7" w:rsidRDefault="0069222F" w:rsidP="0069222F">
            <w:pPr>
              <w:pStyle w:val="SWCText"/>
            </w:pPr>
            <w:r w:rsidRPr="004E77F7">
              <w:t>Temperature coefficient of short circuit current</w:t>
            </w:r>
          </w:p>
        </w:tc>
        <w:tc>
          <w:tcPr>
            <w:tcW w:w="992" w:type="dxa"/>
          </w:tcPr>
          <w:p w14:paraId="1824B0F2" w14:textId="77777777" w:rsidR="0069222F" w:rsidRPr="004E77F7" w:rsidRDefault="0069222F" w:rsidP="0069222F">
            <w:pPr>
              <w:pStyle w:val="SWCText"/>
            </w:pPr>
            <w:r w:rsidRPr="004E77F7">
              <w:t>0.0048</w:t>
            </w:r>
          </w:p>
        </w:tc>
        <w:tc>
          <w:tcPr>
            <w:tcW w:w="851" w:type="dxa"/>
          </w:tcPr>
          <w:p w14:paraId="52A4F3FA" w14:textId="77777777" w:rsidR="0069222F" w:rsidRPr="004E77F7" w:rsidRDefault="0069222F" w:rsidP="0069222F">
            <w:pPr>
              <w:pStyle w:val="SWCText"/>
            </w:pPr>
            <w:r w:rsidRPr="004E77F7">
              <w:t>A/K</w:t>
            </w:r>
          </w:p>
        </w:tc>
        <w:tc>
          <w:tcPr>
            <w:tcW w:w="2126" w:type="dxa"/>
          </w:tcPr>
          <w:p w14:paraId="77D46443" w14:textId="1E3090BC" w:rsidR="0069222F" w:rsidRPr="004E77F7" w:rsidRDefault="0069222F" w:rsidP="0069222F">
            <w:pPr>
              <w:pStyle w:val="SWCText"/>
            </w:pPr>
            <w:r w:rsidRPr="004E77F7">
              <w:t>Array rated capacity</w:t>
            </w:r>
          </w:p>
        </w:tc>
        <w:tc>
          <w:tcPr>
            <w:tcW w:w="1134" w:type="dxa"/>
          </w:tcPr>
          <w:p w14:paraId="6AFBF537" w14:textId="482D2B77" w:rsidR="0069222F" w:rsidRPr="004E77F7" w:rsidRDefault="0069222F" w:rsidP="0069222F">
            <w:pPr>
              <w:pStyle w:val="SWCText"/>
            </w:pPr>
            <w:r w:rsidRPr="004E77F7">
              <w:t xml:space="preserve">1.5 – 3.0 </w:t>
            </w:r>
          </w:p>
        </w:tc>
        <w:tc>
          <w:tcPr>
            <w:tcW w:w="752" w:type="dxa"/>
          </w:tcPr>
          <w:p w14:paraId="228DEDF2" w14:textId="07E9480B" w:rsidR="0069222F" w:rsidRPr="004E77F7" w:rsidRDefault="0069222F" w:rsidP="0069222F">
            <w:pPr>
              <w:pStyle w:val="SWCText"/>
            </w:pPr>
            <w:r w:rsidRPr="004E77F7">
              <w:t>kW</w:t>
            </w:r>
          </w:p>
        </w:tc>
      </w:tr>
      <w:tr w:rsidR="0069222F" w:rsidRPr="004E77F7" w14:paraId="270784DE" w14:textId="0494E6D9" w:rsidTr="00D5556A">
        <w:trPr>
          <w:jc w:val="center"/>
        </w:trPr>
        <w:tc>
          <w:tcPr>
            <w:tcW w:w="3114" w:type="dxa"/>
          </w:tcPr>
          <w:p w14:paraId="6DF48C05" w14:textId="77777777" w:rsidR="0069222F" w:rsidRPr="004E77F7" w:rsidRDefault="0069222F" w:rsidP="0069222F">
            <w:pPr>
              <w:pStyle w:val="SWCText"/>
            </w:pPr>
            <w:r w:rsidRPr="004E77F7">
              <w:t>Temperature coefficient of open circuit voltage</w:t>
            </w:r>
          </w:p>
        </w:tc>
        <w:tc>
          <w:tcPr>
            <w:tcW w:w="992" w:type="dxa"/>
          </w:tcPr>
          <w:p w14:paraId="59AC829E" w14:textId="77777777" w:rsidR="0069222F" w:rsidRPr="004E77F7" w:rsidRDefault="0069222F" w:rsidP="0069222F">
            <w:pPr>
              <w:pStyle w:val="SWCText"/>
            </w:pPr>
            <w:r w:rsidRPr="004E77F7">
              <w:t>-0.1415</w:t>
            </w:r>
          </w:p>
        </w:tc>
        <w:tc>
          <w:tcPr>
            <w:tcW w:w="851" w:type="dxa"/>
          </w:tcPr>
          <w:p w14:paraId="4A1BC954" w14:textId="77777777" w:rsidR="0069222F" w:rsidRPr="004E77F7" w:rsidRDefault="0069222F" w:rsidP="0069222F">
            <w:pPr>
              <w:pStyle w:val="SWCText"/>
            </w:pPr>
            <w:r w:rsidRPr="004E77F7">
              <w:t>V/K</w:t>
            </w:r>
          </w:p>
        </w:tc>
        <w:tc>
          <w:tcPr>
            <w:tcW w:w="2126" w:type="dxa"/>
          </w:tcPr>
          <w:p w14:paraId="00F26A6A" w14:textId="123E1252" w:rsidR="0069222F" w:rsidRPr="004E77F7" w:rsidRDefault="0069222F" w:rsidP="0069222F">
            <w:pPr>
              <w:pStyle w:val="SWCText"/>
            </w:pPr>
            <w:r w:rsidRPr="004E77F7">
              <w:t>Maximum power</w:t>
            </w:r>
          </w:p>
        </w:tc>
        <w:tc>
          <w:tcPr>
            <w:tcW w:w="1134" w:type="dxa"/>
          </w:tcPr>
          <w:p w14:paraId="4DAF6BFD" w14:textId="72517E32" w:rsidR="0069222F" w:rsidRPr="004E77F7" w:rsidRDefault="0069222F" w:rsidP="0069222F">
            <w:pPr>
              <w:pStyle w:val="SWCText"/>
            </w:pPr>
            <w:r w:rsidRPr="004E77F7">
              <w:t>300</w:t>
            </w:r>
          </w:p>
        </w:tc>
        <w:tc>
          <w:tcPr>
            <w:tcW w:w="752" w:type="dxa"/>
          </w:tcPr>
          <w:p w14:paraId="5F68C795" w14:textId="3B633D06" w:rsidR="0069222F" w:rsidRPr="004E77F7" w:rsidRDefault="0069222F" w:rsidP="0069222F">
            <w:pPr>
              <w:pStyle w:val="SWCText"/>
            </w:pPr>
            <w:r w:rsidRPr="004E77F7">
              <w:t>W</w:t>
            </w:r>
          </w:p>
        </w:tc>
      </w:tr>
    </w:tbl>
    <w:p w14:paraId="48F8B45A" w14:textId="0892A4DC" w:rsidR="00C4720F" w:rsidRPr="004E77F7" w:rsidRDefault="009C4E82" w:rsidP="00D5556A">
      <w:pPr>
        <w:pStyle w:val="SWCTableFigureCaption"/>
      </w:pPr>
      <w:r>
        <w:t>Table 3: Operating conditions of PV water heater elements</w:t>
      </w:r>
    </w:p>
    <w:tbl>
      <w:tblPr>
        <w:tblStyle w:val="TableGrid"/>
        <w:tblW w:w="0" w:type="auto"/>
        <w:jc w:val="center"/>
        <w:tblLook w:val="04A0" w:firstRow="1" w:lastRow="0" w:firstColumn="1" w:lastColumn="0" w:noHBand="0" w:noVBand="1"/>
      </w:tblPr>
      <w:tblGrid>
        <w:gridCol w:w="2830"/>
        <w:gridCol w:w="4117"/>
        <w:gridCol w:w="1984"/>
      </w:tblGrid>
      <w:tr w:rsidR="003960B0" w:rsidRPr="004E77F7" w14:paraId="613F1A15" w14:textId="77777777" w:rsidTr="00D5556A">
        <w:trPr>
          <w:jc w:val="center"/>
        </w:trPr>
        <w:tc>
          <w:tcPr>
            <w:tcW w:w="2830" w:type="dxa"/>
          </w:tcPr>
          <w:p w14:paraId="7010B426" w14:textId="77777777" w:rsidR="003960B0" w:rsidRPr="004516D0" w:rsidRDefault="003960B0" w:rsidP="00A7635E">
            <w:pPr>
              <w:pStyle w:val="SWCTableHeader"/>
            </w:pPr>
            <w:r>
              <w:t>Element</w:t>
            </w:r>
          </w:p>
        </w:tc>
        <w:tc>
          <w:tcPr>
            <w:tcW w:w="4117" w:type="dxa"/>
          </w:tcPr>
          <w:p w14:paraId="4BDC14E2" w14:textId="77777777" w:rsidR="003960B0" w:rsidRPr="004516D0" w:rsidRDefault="003960B0" w:rsidP="00A7635E">
            <w:pPr>
              <w:pStyle w:val="SWCTableHeader"/>
            </w:pPr>
            <w:r>
              <w:t>On conditions</w:t>
            </w:r>
          </w:p>
        </w:tc>
        <w:tc>
          <w:tcPr>
            <w:tcW w:w="1984" w:type="dxa"/>
          </w:tcPr>
          <w:p w14:paraId="5519FE56" w14:textId="77777777" w:rsidR="003960B0" w:rsidRPr="004516D0" w:rsidRDefault="003960B0" w:rsidP="00A7635E">
            <w:pPr>
              <w:pStyle w:val="SWCTableHeader"/>
            </w:pPr>
            <w:r>
              <w:t>Off condition</w:t>
            </w:r>
          </w:p>
        </w:tc>
      </w:tr>
      <w:tr w:rsidR="003960B0" w:rsidRPr="004E77F7" w14:paraId="37058C20" w14:textId="77777777" w:rsidTr="00D5556A">
        <w:trPr>
          <w:jc w:val="center"/>
        </w:trPr>
        <w:tc>
          <w:tcPr>
            <w:tcW w:w="2830" w:type="dxa"/>
          </w:tcPr>
          <w:p w14:paraId="4CD88699" w14:textId="13DD57DF" w:rsidR="003960B0" w:rsidRPr="004E77F7" w:rsidRDefault="003960B0" w:rsidP="00A7635E">
            <w:pPr>
              <w:pStyle w:val="SWCText"/>
            </w:pPr>
            <w:r>
              <w:t>Upper PV Element (Node 6)</w:t>
            </w:r>
          </w:p>
        </w:tc>
        <w:tc>
          <w:tcPr>
            <w:tcW w:w="4117" w:type="dxa"/>
          </w:tcPr>
          <w:p w14:paraId="29B075CC" w14:textId="5FDDE04A" w:rsidR="003960B0" w:rsidRPr="004E77F7" w:rsidRDefault="003960B0" w:rsidP="00A7635E">
            <w:pPr>
              <w:pStyle w:val="SWCText"/>
            </w:pPr>
            <w:r>
              <w:t>T</w:t>
            </w:r>
            <w:r w:rsidRPr="00D5556A">
              <w:rPr>
                <w:vertAlign w:val="subscript"/>
              </w:rPr>
              <w:t xml:space="preserve">stat,6 </w:t>
            </w:r>
            <w:r>
              <w:t>&lt; 51.7 °C</w:t>
            </w:r>
            <w:r w:rsidR="00EB5D09">
              <w:t>, PV available</w:t>
            </w:r>
          </w:p>
        </w:tc>
        <w:tc>
          <w:tcPr>
            <w:tcW w:w="1984" w:type="dxa"/>
          </w:tcPr>
          <w:p w14:paraId="71A3E142" w14:textId="2E52A393" w:rsidR="003960B0" w:rsidRPr="004E77F7" w:rsidRDefault="00F86493" w:rsidP="00A7635E">
            <w:pPr>
              <w:pStyle w:val="SWCText"/>
            </w:pPr>
            <w:r>
              <w:t>T</w:t>
            </w:r>
            <w:r w:rsidRPr="00A7635E">
              <w:rPr>
                <w:vertAlign w:val="subscript"/>
              </w:rPr>
              <w:t xml:space="preserve">stat,6 </w:t>
            </w:r>
            <w:r w:rsidRPr="00D5556A">
              <w:t>&gt;</w:t>
            </w:r>
            <w:r>
              <w:t xml:space="preserve"> 54.4 °C</w:t>
            </w:r>
          </w:p>
        </w:tc>
      </w:tr>
      <w:tr w:rsidR="003960B0" w:rsidRPr="004E77F7" w14:paraId="1C9860B7" w14:textId="77777777" w:rsidTr="00D5556A">
        <w:trPr>
          <w:jc w:val="center"/>
        </w:trPr>
        <w:tc>
          <w:tcPr>
            <w:tcW w:w="2830" w:type="dxa"/>
          </w:tcPr>
          <w:p w14:paraId="6ADD77DF" w14:textId="5700BD3D" w:rsidR="003960B0" w:rsidRPr="004E77F7" w:rsidRDefault="003960B0" w:rsidP="00A7635E">
            <w:pPr>
              <w:pStyle w:val="SWCText"/>
            </w:pPr>
            <w:r>
              <w:t>Lower PV Element (Node 12)</w:t>
            </w:r>
          </w:p>
        </w:tc>
        <w:tc>
          <w:tcPr>
            <w:tcW w:w="4117" w:type="dxa"/>
          </w:tcPr>
          <w:p w14:paraId="4D4C9475" w14:textId="3F67BDBC" w:rsidR="003960B0" w:rsidRPr="004E77F7" w:rsidRDefault="003960B0" w:rsidP="00A7635E">
            <w:pPr>
              <w:pStyle w:val="SWCText"/>
            </w:pPr>
            <w:r>
              <w:t>T</w:t>
            </w:r>
            <w:r w:rsidRPr="00D5556A">
              <w:rPr>
                <w:vertAlign w:val="subscript"/>
              </w:rPr>
              <w:t xml:space="preserve">stat,6 </w:t>
            </w:r>
            <w:r>
              <w:t>&gt; 5</w:t>
            </w:r>
            <w:r w:rsidR="00275455">
              <w:t>5</w:t>
            </w:r>
            <w:r w:rsidR="00EB5D09">
              <w:t xml:space="preserve"> °</w:t>
            </w:r>
            <w:proofErr w:type="gramStart"/>
            <w:r w:rsidR="00EB5D09">
              <w:t>C</w:t>
            </w:r>
            <w:r>
              <w:t xml:space="preserve"> ,</w:t>
            </w:r>
            <w:proofErr w:type="gramEnd"/>
            <w:r>
              <w:t xml:space="preserve"> T</w:t>
            </w:r>
            <w:r w:rsidRPr="00D5556A">
              <w:rPr>
                <w:vertAlign w:val="subscript"/>
              </w:rPr>
              <w:t>stat,12</w:t>
            </w:r>
            <w:r w:rsidRPr="00940A81">
              <w:t xml:space="preserve"> </w:t>
            </w:r>
            <w:r w:rsidR="001C6311">
              <w:t xml:space="preserve">&lt; 87.8 °C, </w:t>
            </w:r>
            <w:r>
              <w:t>PV available</w:t>
            </w:r>
          </w:p>
        </w:tc>
        <w:tc>
          <w:tcPr>
            <w:tcW w:w="1984" w:type="dxa"/>
          </w:tcPr>
          <w:p w14:paraId="0DE81C75" w14:textId="3F2F8284" w:rsidR="003960B0" w:rsidRPr="004E77F7" w:rsidRDefault="003960B0" w:rsidP="00A7635E">
            <w:pPr>
              <w:pStyle w:val="SWCText"/>
            </w:pPr>
            <w:r>
              <w:t>T</w:t>
            </w:r>
            <w:r w:rsidR="00F86493">
              <w:rPr>
                <w:vertAlign w:val="subscript"/>
              </w:rPr>
              <w:t>stat,12</w:t>
            </w:r>
            <w:r>
              <w:t xml:space="preserve"> &gt; 93.3</w:t>
            </w:r>
            <w:r w:rsidR="00F86493">
              <w:t xml:space="preserve"> °C</w:t>
            </w:r>
          </w:p>
        </w:tc>
      </w:tr>
      <w:tr w:rsidR="003960B0" w:rsidRPr="004E77F7" w14:paraId="4C8594D3" w14:textId="77777777" w:rsidTr="00D5556A">
        <w:trPr>
          <w:jc w:val="center"/>
        </w:trPr>
        <w:tc>
          <w:tcPr>
            <w:tcW w:w="2830" w:type="dxa"/>
          </w:tcPr>
          <w:p w14:paraId="1CC30667" w14:textId="54764688" w:rsidR="003960B0" w:rsidRPr="004E77F7" w:rsidRDefault="003960B0" w:rsidP="00A7635E">
            <w:pPr>
              <w:pStyle w:val="SWCText"/>
            </w:pPr>
            <w:r>
              <w:t>Electric element (Node 6)</w:t>
            </w:r>
          </w:p>
        </w:tc>
        <w:tc>
          <w:tcPr>
            <w:tcW w:w="4117" w:type="dxa"/>
          </w:tcPr>
          <w:p w14:paraId="00D9608F" w14:textId="241E9CBD" w:rsidR="003960B0" w:rsidRPr="004E77F7" w:rsidRDefault="003960B0" w:rsidP="00A7635E">
            <w:pPr>
              <w:pStyle w:val="SWCText"/>
            </w:pPr>
            <w:r>
              <w:t xml:space="preserve"> T</w:t>
            </w:r>
            <w:r w:rsidRPr="00A7635E">
              <w:rPr>
                <w:vertAlign w:val="subscript"/>
              </w:rPr>
              <w:t>stat</w:t>
            </w:r>
            <w:r w:rsidR="00940A81">
              <w:rPr>
                <w:vertAlign w:val="subscript"/>
              </w:rPr>
              <w:t>,6</w:t>
            </w:r>
            <w:r>
              <w:t xml:space="preserve"> &lt; </w:t>
            </w:r>
            <w:r w:rsidR="00940A81">
              <w:t>51.7 °C, no PV available</w:t>
            </w:r>
          </w:p>
        </w:tc>
        <w:tc>
          <w:tcPr>
            <w:tcW w:w="1984" w:type="dxa"/>
          </w:tcPr>
          <w:p w14:paraId="2E59F7D6" w14:textId="22F01AE8" w:rsidR="003960B0" w:rsidRPr="004E77F7" w:rsidRDefault="003960B0" w:rsidP="00A7635E">
            <w:pPr>
              <w:pStyle w:val="SWCText"/>
            </w:pPr>
            <w:r>
              <w:t>T</w:t>
            </w:r>
            <w:r w:rsidRPr="00A7635E">
              <w:rPr>
                <w:vertAlign w:val="subscript"/>
              </w:rPr>
              <w:t>stat</w:t>
            </w:r>
            <w:r w:rsidR="00940A81">
              <w:rPr>
                <w:vertAlign w:val="subscript"/>
              </w:rPr>
              <w:t>,6</w:t>
            </w:r>
            <w:r>
              <w:t xml:space="preserve"> &gt; </w:t>
            </w:r>
            <w:r w:rsidR="00940A81">
              <w:t>5</w:t>
            </w:r>
            <w:r w:rsidR="00966F01">
              <w:t>4.4</w:t>
            </w:r>
            <w:r w:rsidR="00940A81">
              <w:t xml:space="preserve"> °C</w:t>
            </w:r>
          </w:p>
        </w:tc>
      </w:tr>
    </w:tbl>
    <w:p w14:paraId="54E1725A" w14:textId="77777777" w:rsidR="00C5093E" w:rsidRPr="004E77F7" w:rsidRDefault="00C5093E" w:rsidP="00B515AA">
      <w:pPr>
        <w:pStyle w:val="SWCText"/>
      </w:pPr>
    </w:p>
    <w:p w14:paraId="02BF251F" w14:textId="07BF2176" w:rsidR="00C5093E" w:rsidRDefault="00C5093E" w:rsidP="00D5556A">
      <w:pPr>
        <w:pStyle w:val="SWCHeading11"/>
      </w:pPr>
      <w:r w:rsidRPr="004E77F7">
        <w:t xml:space="preserve">HPWH system </w:t>
      </w:r>
    </w:p>
    <w:p w14:paraId="79FFBFB2" w14:textId="77777777" w:rsidR="00C5093E" w:rsidRPr="004E77F7" w:rsidRDefault="00C5093E" w:rsidP="00B515AA">
      <w:pPr>
        <w:pStyle w:val="SWCText"/>
      </w:pPr>
      <w:r w:rsidRPr="004E77F7">
        <w:t>The HPWH in this study is a single tank integrated model</w:t>
      </w:r>
      <w:r>
        <w:t xml:space="preserve"> and includes </w:t>
      </w:r>
      <w:r w:rsidRPr="004E77F7">
        <w:t>a building component to reflect the impact the water heater has on its surroundings and vice versa. The HPWH cools the environment</w:t>
      </w:r>
      <w:r>
        <w:t>, drawing energy from the air as it operates.</w:t>
      </w:r>
      <w:r w:rsidRPr="004E77F7">
        <w:t xml:space="preserve"> The building component used was a post-1980 home archetype with multiple zones representing the basement, 1</w:t>
      </w:r>
      <w:r w:rsidRPr="004E77F7">
        <w:rPr>
          <w:vertAlign w:val="superscript"/>
        </w:rPr>
        <w:t>st</w:t>
      </w:r>
      <w:r w:rsidRPr="004E77F7">
        <w:t xml:space="preserve"> floor, and 2</w:t>
      </w:r>
      <w:r w:rsidRPr="004E77F7">
        <w:rPr>
          <w:vertAlign w:val="superscript"/>
        </w:rPr>
        <w:t>nd</w:t>
      </w:r>
      <w:r w:rsidRPr="004E77F7">
        <w:t xml:space="preserve"> floor. The component includes an infiltration schedule, mixing between zones (natural and fan</w:t>
      </w:r>
      <w:r>
        <w:t>-</w:t>
      </w:r>
      <w:r w:rsidRPr="004E77F7">
        <w:t xml:space="preserve">driven). For the current work, the fan is operating 24/7 to equalize the temperatures between the zones. </w:t>
      </w:r>
      <w:r>
        <w:t>In addition to the CWEC weather files, data files with soil temperatures specific to each location are input to the model and impact the basement zone temperature</w:t>
      </w:r>
      <w:r w:rsidRPr="004E77F7">
        <w:t xml:space="preserve">. Internal </w:t>
      </w:r>
      <w:r>
        <w:t>gain schedules are included, consisting</w:t>
      </w:r>
      <w:r w:rsidRPr="004E77F7">
        <w:t xml:space="preserve"> of plug, light, and occupant loads. The space conditioning system is assumed to be a cold climate air source heat pump with a 21.1 °C heating setpoint and a 24 °C cooling setpoint. The</w:t>
      </w:r>
      <w:r>
        <w:t xml:space="preserve"> building controls rely on a</w:t>
      </w:r>
      <w:r w:rsidRPr="004E77F7">
        <w:t xml:space="preserve"> thermostat located on the first floor. The HPWH </w:t>
      </w:r>
      <w:proofErr w:type="gramStart"/>
      <w:r w:rsidRPr="004E77F7">
        <w:t>is located in</w:t>
      </w:r>
      <w:proofErr w:type="gramEnd"/>
      <w:r w:rsidRPr="004E77F7">
        <w:t xml:space="preserve"> the basement therefore its thermal losses and </w:t>
      </w:r>
      <w:r>
        <w:t xml:space="preserve">the effect on the air temperature of the </w:t>
      </w:r>
      <w:r w:rsidRPr="004E77F7">
        <w:t xml:space="preserve">energy </w:t>
      </w:r>
      <w:r>
        <w:t xml:space="preserve">it </w:t>
      </w:r>
      <w:r w:rsidRPr="004E77F7">
        <w:t>absorb</w:t>
      </w:r>
      <w:r>
        <w:t xml:space="preserve">s primarily impacts </w:t>
      </w:r>
      <w:r w:rsidRPr="004E77F7">
        <w:t xml:space="preserve">the basement zone. </w:t>
      </w:r>
    </w:p>
    <w:p w14:paraId="196DD3FC" w14:textId="6A72A3E6" w:rsidR="00C77F76" w:rsidRPr="004E77F7" w:rsidRDefault="00C5093E" w:rsidP="000C5568">
      <w:pPr>
        <w:pStyle w:val="SWCText"/>
      </w:pPr>
      <w:r>
        <w:t>The 2.8 kW HPWH</w:t>
      </w:r>
      <w:r w:rsidRPr="004E77F7">
        <w:t xml:space="preserve"> </w:t>
      </w:r>
      <w:r>
        <w:t>is equipped with</w:t>
      </w:r>
      <w:r w:rsidRPr="004E77F7">
        <w:t xml:space="preserve"> two auxiliary 4.5 kW electric resistance heater elements</w:t>
      </w:r>
      <w:r>
        <w:t>. The model uses s</w:t>
      </w:r>
      <w:r w:rsidRPr="004E77F7">
        <w:t xml:space="preserve">ample catalogue data </w:t>
      </w:r>
      <w:r>
        <w:t xml:space="preserve">to map </w:t>
      </w:r>
      <w:proofErr w:type="gramStart"/>
      <w:r>
        <w:t>the HPWH</w:t>
      </w:r>
      <w:proofErr w:type="gramEnd"/>
      <w:r>
        <w:t xml:space="preserve"> performance</w:t>
      </w:r>
      <w:r w:rsidRPr="004E77F7">
        <w:t xml:space="preserve">. </w:t>
      </w:r>
      <w:r w:rsidR="00164126">
        <w:t>Table 4</w:t>
      </w:r>
      <w:r w:rsidRPr="004E77F7">
        <w:t xml:space="preserve"> lists the control conditions of the tank elements. The heat pump operates when the thermostat temperature</w:t>
      </w:r>
      <w:r w:rsidR="00873489">
        <w:t>, T</w:t>
      </w:r>
      <w:r w:rsidR="00873489" w:rsidRPr="00A7635E">
        <w:rPr>
          <w:vertAlign w:val="subscript"/>
        </w:rPr>
        <w:t>s</w:t>
      </w:r>
      <w:r w:rsidR="00873489">
        <w:rPr>
          <w:vertAlign w:val="subscript"/>
        </w:rPr>
        <w:t>tat</w:t>
      </w:r>
      <w:r w:rsidR="00873489">
        <w:t>,</w:t>
      </w:r>
      <w:r w:rsidRPr="004E77F7">
        <w:t xml:space="preserve"> drops below 0.8 °C under the </w:t>
      </w:r>
      <w:r w:rsidR="000C34F8">
        <w:t xml:space="preserve">tank </w:t>
      </w:r>
      <w:r w:rsidRPr="004E77F7">
        <w:t>setpoint temperature</w:t>
      </w:r>
      <w:r w:rsidR="00CD19CD">
        <w:t xml:space="preserve"> of 5</w:t>
      </w:r>
      <w:r w:rsidR="006F640F">
        <w:t>4.4</w:t>
      </w:r>
      <w:r w:rsidR="00CD19CD">
        <w:t xml:space="preserve"> °C</w:t>
      </w:r>
      <w:r w:rsidR="00873489">
        <w:t>, T</w:t>
      </w:r>
      <w:r w:rsidR="00873489" w:rsidRPr="00A7635E">
        <w:rPr>
          <w:vertAlign w:val="subscript"/>
        </w:rPr>
        <w:t>set</w:t>
      </w:r>
      <w:r w:rsidRPr="004E77F7">
        <w:t>. If either electric element turn</w:t>
      </w:r>
      <w:r>
        <w:t>s</w:t>
      </w:r>
      <w:r w:rsidRPr="004E77F7">
        <w:t xml:space="preserve"> on, or once the temperature reaches </w:t>
      </w:r>
      <w:proofErr w:type="gramStart"/>
      <w:r w:rsidR="00132435">
        <w:t>T</w:t>
      </w:r>
      <w:r w:rsidR="00132435" w:rsidRPr="00A7635E">
        <w:rPr>
          <w:vertAlign w:val="subscript"/>
        </w:rPr>
        <w:t>set</w:t>
      </w:r>
      <w:r w:rsidR="00132435" w:rsidRPr="004E77F7" w:rsidDel="00132435">
        <w:t xml:space="preserve"> </w:t>
      </w:r>
      <w:r w:rsidRPr="004E77F7">
        <w:t>,</w:t>
      </w:r>
      <w:proofErr w:type="gramEnd"/>
      <w:r w:rsidRPr="004E77F7">
        <w:t xml:space="preserve"> the heat pump turns off.</w:t>
      </w:r>
    </w:p>
    <w:p w14:paraId="26F9B807" w14:textId="4FF7318E" w:rsidR="00C5093E" w:rsidRDefault="00C77F76">
      <w:pPr>
        <w:pStyle w:val="SWCTableFigureCaption"/>
      </w:pPr>
      <w:bookmarkStart w:id="2" w:name="_Ref213057413"/>
      <w:r w:rsidRPr="004E77F7">
        <w:t xml:space="preserve">Table </w:t>
      </w:r>
      <w:r w:rsidR="00164126">
        <w:t>4</w:t>
      </w:r>
      <w:r w:rsidRPr="004E77F7">
        <w:t>: Control conditions of HPWH elements</w:t>
      </w:r>
      <w:bookmarkEnd w:id="2"/>
    </w:p>
    <w:tbl>
      <w:tblPr>
        <w:tblStyle w:val="TableGrid"/>
        <w:tblW w:w="0" w:type="auto"/>
        <w:jc w:val="center"/>
        <w:tblLook w:val="04A0" w:firstRow="1" w:lastRow="0" w:firstColumn="1" w:lastColumn="0" w:noHBand="0" w:noVBand="1"/>
      </w:tblPr>
      <w:tblGrid>
        <w:gridCol w:w="2122"/>
        <w:gridCol w:w="2976"/>
        <w:gridCol w:w="3691"/>
      </w:tblGrid>
      <w:tr w:rsidR="00930AAD" w:rsidRPr="004E77F7" w14:paraId="655E2791" w14:textId="77777777" w:rsidTr="00D5556A">
        <w:trPr>
          <w:jc w:val="center"/>
        </w:trPr>
        <w:tc>
          <w:tcPr>
            <w:tcW w:w="2122" w:type="dxa"/>
          </w:tcPr>
          <w:p w14:paraId="565E784D" w14:textId="474BEF24" w:rsidR="00930AAD" w:rsidRPr="004516D0" w:rsidRDefault="00930AAD" w:rsidP="00A7635E">
            <w:pPr>
              <w:pStyle w:val="SWCTableHeader"/>
            </w:pPr>
            <w:r>
              <w:t>Element</w:t>
            </w:r>
          </w:p>
        </w:tc>
        <w:tc>
          <w:tcPr>
            <w:tcW w:w="2976" w:type="dxa"/>
          </w:tcPr>
          <w:p w14:paraId="013A172A" w14:textId="4B1649C3" w:rsidR="00930AAD" w:rsidRPr="004516D0" w:rsidRDefault="00930AAD" w:rsidP="00A7635E">
            <w:pPr>
              <w:pStyle w:val="SWCTableHeader"/>
            </w:pPr>
            <w:r>
              <w:t>On condition</w:t>
            </w:r>
          </w:p>
        </w:tc>
        <w:tc>
          <w:tcPr>
            <w:tcW w:w="3691" w:type="dxa"/>
          </w:tcPr>
          <w:p w14:paraId="2C975D08" w14:textId="333F54A9" w:rsidR="00930AAD" w:rsidRPr="004516D0" w:rsidRDefault="00930AAD" w:rsidP="00A7635E">
            <w:pPr>
              <w:pStyle w:val="SWCTableHeader"/>
            </w:pPr>
            <w:r>
              <w:t>Off condition</w:t>
            </w:r>
          </w:p>
        </w:tc>
      </w:tr>
      <w:tr w:rsidR="00930AAD" w:rsidRPr="004E77F7" w14:paraId="46AE876E" w14:textId="77777777" w:rsidTr="00D5556A">
        <w:trPr>
          <w:jc w:val="center"/>
        </w:trPr>
        <w:tc>
          <w:tcPr>
            <w:tcW w:w="2122" w:type="dxa"/>
          </w:tcPr>
          <w:p w14:paraId="6820E401" w14:textId="363C4207" w:rsidR="00930AAD" w:rsidRPr="004E77F7" w:rsidRDefault="00930AAD" w:rsidP="00A7635E">
            <w:pPr>
              <w:pStyle w:val="SWCText"/>
            </w:pPr>
            <w:r>
              <w:lastRenderedPageBreak/>
              <w:t>Heat pump</w:t>
            </w:r>
          </w:p>
        </w:tc>
        <w:tc>
          <w:tcPr>
            <w:tcW w:w="2976" w:type="dxa"/>
          </w:tcPr>
          <w:p w14:paraId="50D7DDA4" w14:textId="5575A034" w:rsidR="00930AAD" w:rsidRPr="004E77F7" w:rsidRDefault="00930AAD" w:rsidP="00A7635E">
            <w:pPr>
              <w:pStyle w:val="SWCText"/>
            </w:pPr>
            <w:r>
              <w:t>T</w:t>
            </w:r>
            <w:r w:rsidRPr="00D5556A">
              <w:rPr>
                <w:vertAlign w:val="subscript"/>
              </w:rPr>
              <w:t>stat</w:t>
            </w:r>
            <w:r>
              <w:t xml:space="preserve"> &lt; T</w:t>
            </w:r>
            <w:r w:rsidRPr="00D5556A">
              <w:rPr>
                <w:vertAlign w:val="subscript"/>
              </w:rPr>
              <w:t>set</w:t>
            </w:r>
            <w:r>
              <w:t xml:space="preserve"> – 0.8</w:t>
            </w:r>
            <w:r w:rsidR="00AB4A0F">
              <w:t xml:space="preserve"> °</w:t>
            </w:r>
            <w:r>
              <w:t>C</w:t>
            </w:r>
          </w:p>
        </w:tc>
        <w:tc>
          <w:tcPr>
            <w:tcW w:w="3691" w:type="dxa"/>
          </w:tcPr>
          <w:p w14:paraId="045ED045" w14:textId="261726EE" w:rsidR="00930AAD" w:rsidRPr="004E77F7" w:rsidRDefault="00930AAD" w:rsidP="00A7635E">
            <w:pPr>
              <w:pStyle w:val="SWCText"/>
            </w:pPr>
            <w:r>
              <w:t xml:space="preserve">Actication of either element, or </w:t>
            </w:r>
            <w:r w:rsidR="00873489">
              <w:t>T</w:t>
            </w:r>
            <w:r w:rsidR="00873489" w:rsidRPr="00A7635E">
              <w:rPr>
                <w:vertAlign w:val="subscript"/>
              </w:rPr>
              <w:t>set</w:t>
            </w:r>
            <w:r>
              <w:t xml:space="preserve"> met</w:t>
            </w:r>
          </w:p>
        </w:tc>
      </w:tr>
      <w:tr w:rsidR="00930AAD" w:rsidRPr="004E77F7" w14:paraId="15A35F17" w14:textId="77777777" w:rsidTr="00D5556A">
        <w:trPr>
          <w:jc w:val="center"/>
        </w:trPr>
        <w:tc>
          <w:tcPr>
            <w:tcW w:w="2122" w:type="dxa"/>
          </w:tcPr>
          <w:p w14:paraId="308E74A8" w14:textId="476F7E80" w:rsidR="00930AAD" w:rsidRPr="004E77F7" w:rsidRDefault="00930AAD" w:rsidP="00A7635E">
            <w:pPr>
              <w:pStyle w:val="SWCText"/>
            </w:pPr>
            <w:r>
              <w:t xml:space="preserve">Lower Electric Element </w:t>
            </w:r>
          </w:p>
        </w:tc>
        <w:tc>
          <w:tcPr>
            <w:tcW w:w="2976" w:type="dxa"/>
          </w:tcPr>
          <w:p w14:paraId="641E27DF" w14:textId="4CC80981" w:rsidR="00930AAD" w:rsidRPr="004E77F7" w:rsidRDefault="00873489" w:rsidP="00A7635E">
            <w:pPr>
              <w:pStyle w:val="SWCText"/>
            </w:pPr>
            <w:r>
              <w:t>T</w:t>
            </w:r>
            <w:r w:rsidRPr="00A7635E">
              <w:rPr>
                <w:vertAlign w:val="subscript"/>
              </w:rPr>
              <w:t>stat</w:t>
            </w:r>
            <w:r w:rsidR="009A006B">
              <w:t xml:space="preserve"> &lt; </w:t>
            </w:r>
            <w:r>
              <w:t>T</w:t>
            </w:r>
            <w:r w:rsidRPr="00A7635E">
              <w:rPr>
                <w:vertAlign w:val="subscript"/>
              </w:rPr>
              <w:t>set</w:t>
            </w:r>
            <w:r w:rsidR="009A006B">
              <w:t xml:space="preserve"> – 13.9</w:t>
            </w:r>
            <w:r w:rsidR="00AB4A0F">
              <w:t xml:space="preserve"> °</w:t>
            </w:r>
            <w:r w:rsidR="009A006B">
              <w:t>C or T</w:t>
            </w:r>
            <w:r w:rsidR="009A006B" w:rsidRPr="00D5556A">
              <w:rPr>
                <w:vertAlign w:val="subscript"/>
              </w:rPr>
              <w:t xml:space="preserve">stat </w:t>
            </w:r>
            <w:r w:rsidR="009A006B">
              <w:t>&lt; T</w:t>
            </w:r>
            <w:r w:rsidR="009A006B" w:rsidRPr="00D5556A">
              <w:rPr>
                <w:vertAlign w:val="subscript"/>
              </w:rPr>
              <w:t>set</w:t>
            </w:r>
            <w:r w:rsidR="009A006B">
              <w:t xml:space="preserve"> (if upper element previously on)</w:t>
            </w:r>
          </w:p>
        </w:tc>
        <w:tc>
          <w:tcPr>
            <w:tcW w:w="3691" w:type="dxa"/>
          </w:tcPr>
          <w:p w14:paraId="73EC83DB" w14:textId="127DA8B3" w:rsidR="00930AAD" w:rsidRPr="004E77F7" w:rsidRDefault="009A006B" w:rsidP="00A7635E">
            <w:pPr>
              <w:pStyle w:val="SWCText"/>
            </w:pPr>
            <w:r>
              <w:t xml:space="preserve">Activation of upper element, or </w:t>
            </w:r>
            <w:r w:rsidR="00873489">
              <w:t>T</w:t>
            </w:r>
            <w:r w:rsidR="00873489" w:rsidRPr="00A7635E">
              <w:rPr>
                <w:vertAlign w:val="subscript"/>
              </w:rPr>
              <w:t>set</w:t>
            </w:r>
            <w:r>
              <w:t xml:space="preserve"> met</w:t>
            </w:r>
          </w:p>
        </w:tc>
      </w:tr>
      <w:tr w:rsidR="00930AAD" w:rsidRPr="004E77F7" w14:paraId="267CF38C" w14:textId="77777777" w:rsidTr="00D5556A">
        <w:trPr>
          <w:jc w:val="center"/>
        </w:trPr>
        <w:tc>
          <w:tcPr>
            <w:tcW w:w="2122" w:type="dxa"/>
          </w:tcPr>
          <w:p w14:paraId="3783B20C" w14:textId="76453A06" w:rsidR="00930AAD" w:rsidRPr="004E77F7" w:rsidRDefault="009A006B" w:rsidP="00A7635E">
            <w:pPr>
              <w:pStyle w:val="SWCText"/>
            </w:pPr>
            <w:r>
              <w:t>Upper electric element</w:t>
            </w:r>
          </w:p>
        </w:tc>
        <w:tc>
          <w:tcPr>
            <w:tcW w:w="2976" w:type="dxa"/>
          </w:tcPr>
          <w:p w14:paraId="52525525" w14:textId="716365A3" w:rsidR="00930AAD" w:rsidRPr="004E77F7" w:rsidRDefault="00AD1C6D" w:rsidP="00A7635E">
            <w:pPr>
              <w:pStyle w:val="SWCText"/>
            </w:pPr>
            <w:r>
              <w:t xml:space="preserve"> </w:t>
            </w:r>
            <w:r w:rsidR="00873489">
              <w:t>T</w:t>
            </w:r>
            <w:r w:rsidR="00873489" w:rsidRPr="00A7635E">
              <w:rPr>
                <w:vertAlign w:val="subscript"/>
              </w:rPr>
              <w:t>stat</w:t>
            </w:r>
            <w:r>
              <w:t xml:space="preserve"> &lt; </w:t>
            </w:r>
            <w:r w:rsidR="00873489">
              <w:t>T</w:t>
            </w:r>
            <w:r w:rsidR="00873489" w:rsidRPr="00A7635E">
              <w:rPr>
                <w:vertAlign w:val="subscript"/>
              </w:rPr>
              <w:t>set</w:t>
            </w:r>
            <w:r w:rsidR="00873489">
              <w:t xml:space="preserve"> </w:t>
            </w:r>
            <w:r>
              <w:t>– 25</w:t>
            </w:r>
            <w:r w:rsidR="00AB4A0F">
              <w:t xml:space="preserve"> °</w:t>
            </w:r>
            <w:r>
              <w:t>C</w:t>
            </w:r>
          </w:p>
        </w:tc>
        <w:tc>
          <w:tcPr>
            <w:tcW w:w="3691" w:type="dxa"/>
          </w:tcPr>
          <w:p w14:paraId="3B993DAA" w14:textId="1C3F7D65" w:rsidR="00930AAD" w:rsidRPr="004E77F7" w:rsidRDefault="00873489" w:rsidP="00A7635E">
            <w:pPr>
              <w:pStyle w:val="SWCText"/>
            </w:pPr>
            <w:r>
              <w:t>T</w:t>
            </w:r>
            <w:r w:rsidRPr="00A7635E">
              <w:rPr>
                <w:vertAlign w:val="subscript"/>
              </w:rPr>
              <w:t>stat</w:t>
            </w:r>
            <w:r w:rsidR="00AD1C6D">
              <w:t xml:space="preserve"> &gt; </w:t>
            </w:r>
            <w:r>
              <w:t>T</w:t>
            </w:r>
            <w:r w:rsidRPr="00A7635E">
              <w:rPr>
                <w:vertAlign w:val="subscript"/>
              </w:rPr>
              <w:t>set</w:t>
            </w:r>
            <w:r w:rsidR="00AD1C6D">
              <w:t xml:space="preserve"> – </w:t>
            </w:r>
            <w:proofErr w:type="gramStart"/>
            <w:r w:rsidR="00AD1C6D">
              <w:t xml:space="preserve">8.3 </w:t>
            </w:r>
            <w:r w:rsidR="00AB4A0F">
              <w:t xml:space="preserve"> °</w:t>
            </w:r>
            <w:proofErr w:type="gramEnd"/>
            <w:r w:rsidR="00AD1C6D">
              <w:t>C</w:t>
            </w:r>
          </w:p>
        </w:tc>
      </w:tr>
    </w:tbl>
    <w:p w14:paraId="53576F04" w14:textId="77777777" w:rsidR="00C5093E" w:rsidRPr="00AD1C6D" w:rsidRDefault="00C5093E" w:rsidP="00AD1C6D">
      <w:pPr>
        <w:pStyle w:val="SWCText"/>
      </w:pPr>
    </w:p>
    <w:p w14:paraId="5C4AD4FA" w14:textId="77777777" w:rsidR="00C5093E" w:rsidRPr="004E77F7" w:rsidRDefault="00C5093E" w:rsidP="00DC3E65">
      <w:pPr>
        <w:pStyle w:val="SWCHeading11"/>
      </w:pPr>
      <w:r w:rsidRPr="004E77F7">
        <w:t>PVT-assisted heat pump:</w:t>
      </w:r>
    </w:p>
    <w:p w14:paraId="57CDAF54" w14:textId="5E195AAF" w:rsidR="00C5093E" w:rsidRPr="004E77F7" w:rsidRDefault="00C5093E" w:rsidP="00B515AA">
      <w:pPr>
        <w:pStyle w:val="SWCText"/>
      </w:pPr>
      <w:r w:rsidRPr="004E77F7">
        <w:t xml:space="preserve">The PVT-assisted HPWH scenario is built on the </w:t>
      </w:r>
      <w:r w:rsidR="007949D2">
        <w:t xml:space="preserve">HPWH </w:t>
      </w:r>
      <w:r w:rsidRPr="004E77F7">
        <w:t>model</w:t>
      </w:r>
      <w:r w:rsidR="007949D2">
        <w:t xml:space="preserve"> and </w:t>
      </w:r>
      <w:r w:rsidRPr="004E77F7">
        <w:t xml:space="preserve">adds a preheat tank which is supplied by the thermal output of the PVT. The electrical output from the PVT is accounted for and reported for its contribution on an annual basis. The solar thermal and photovoltaic parameters of the collector are listed in </w:t>
      </w:r>
      <w:r w:rsidR="00C0468C">
        <w:t xml:space="preserve">Table </w:t>
      </w:r>
      <w:r w:rsidR="00164126">
        <w:t>5</w:t>
      </w:r>
      <w:r w:rsidRPr="004E77F7">
        <w:t xml:space="preserve"> below. The collector tilt and area was selected based on the location, ranging from 5.88 m</w:t>
      </w:r>
      <w:r w:rsidRPr="00D5556A">
        <w:rPr>
          <w:vertAlign w:val="superscript"/>
        </w:rPr>
        <w:t>2</w:t>
      </w:r>
      <w:r w:rsidRPr="004E77F7">
        <w:t xml:space="preserve"> to 13.72 m</w:t>
      </w:r>
      <w:r w:rsidRPr="00D5556A">
        <w:rPr>
          <w:vertAlign w:val="superscript"/>
        </w:rPr>
        <w:t>2</w:t>
      </w:r>
      <w:r w:rsidRPr="004E77F7">
        <w:t xml:space="preserve">.  </w:t>
      </w:r>
    </w:p>
    <w:p w14:paraId="08CC1AD0" w14:textId="0E64E041" w:rsidR="00C5093E" w:rsidRDefault="00C5093E" w:rsidP="00B515AA">
      <w:pPr>
        <w:pStyle w:val="SWCText"/>
      </w:pPr>
      <w:r w:rsidRPr="004E77F7">
        <w:t>This scenario uses the same building archetype and primary DHW system as the HPWH scenarios. The preheat tank is 170L with immersed coil tube heat exchanger. There is an ON/OFF pump control with a delta</w:t>
      </w:r>
      <w:r w:rsidR="007E3121">
        <w:t xml:space="preserve"> </w:t>
      </w:r>
      <w:r w:rsidRPr="004E77F7">
        <w:t>T</w:t>
      </w:r>
      <w:r w:rsidR="00C0468C">
        <w:t xml:space="preserve"> of</w:t>
      </w:r>
      <w:r w:rsidRPr="004E77F7">
        <w:t xml:space="preserve"> 2.2 °C. </w:t>
      </w:r>
    </w:p>
    <w:p w14:paraId="751773D7" w14:textId="2D885882" w:rsidR="00C5093E" w:rsidRDefault="00C5093E" w:rsidP="00D5556A">
      <w:pPr>
        <w:pStyle w:val="SWCTableFigureCaption"/>
      </w:pPr>
      <w:r>
        <w:t xml:space="preserve">Table </w:t>
      </w:r>
      <w:r w:rsidR="00164126">
        <w:t>5</w:t>
      </w:r>
      <w:r>
        <w:t>: PVT array parameters</w:t>
      </w:r>
    </w:p>
    <w:tbl>
      <w:tblPr>
        <w:tblStyle w:val="TableGrid"/>
        <w:tblW w:w="0" w:type="auto"/>
        <w:jc w:val="center"/>
        <w:tblLayout w:type="fixed"/>
        <w:tblLook w:val="04A0" w:firstRow="1" w:lastRow="0" w:firstColumn="1" w:lastColumn="0" w:noHBand="0" w:noVBand="1"/>
      </w:tblPr>
      <w:tblGrid>
        <w:gridCol w:w="2770"/>
        <w:gridCol w:w="911"/>
        <w:gridCol w:w="992"/>
        <w:gridCol w:w="2621"/>
        <w:gridCol w:w="966"/>
        <w:gridCol w:w="709"/>
      </w:tblGrid>
      <w:tr w:rsidR="00A639E4" w:rsidRPr="004E77F7" w14:paraId="7FF2AFE4" w14:textId="153D3C50" w:rsidTr="00D5556A">
        <w:trPr>
          <w:jc w:val="center"/>
        </w:trPr>
        <w:tc>
          <w:tcPr>
            <w:tcW w:w="2770" w:type="dxa"/>
          </w:tcPr>
          <w:p w14:paraId="1FC3FB90" w14:textId="510D1265" w:rsidR="00A639E4" w:rsidRPr="004516D0" w:rsidRDefault="00A132BE" w:rsidP="00A639E4">
            <w:pPr>
              <w:pStyle w:val="SWCText"/>
              <w:rPr>
                <w:b/>
                <w:bCs/>
              </w:rPr>
            </w:pPr>
            <w:r>
              <w:rPr>
                <w:b/>
                <w:bCs/>
              </w:rPr>
              <w:t>P</w:t>
            </w:r>
            <w:r w:rsidR="00A639E4" w:rsidRPr="004516D0">
              <w:rPr>
                <w:b/>
                <w:bCs/>
              </w:rPr>
              <w:t>arameter</w:t>
            </w:r>
          </w:p>
        </w:tc>
        <w:tc>
          <w:tcPr>
            <w:tcW w:w="911" w:type="dxa"/>
          </w:tcPr>
          <w:p w14:paraId="3C9691EA" w14:textId="77777777" w:rsidR="00A639E4" w:rsidRPr="004516D0" w:rsidRDefault="00A639E4" w:rsidP="00A639E4">
            <w:pPr>
              <w:pStyle w:val="SWCText"/>
              <w:rPr>
                <w:b/>
                <w:bCs/>
              </w:rPr>
            </w:pPr>
            <w:r w:rsidRPr="004516D0">
              <w:rPr>
                <w:b/>
                <w:bCs/>
              </w:rPr>
              <w:t>Value</w:t>
            </w:r>
          </w:p>
        </w:tc>
        <w:tc>
          <w:tcPr>
            <w:tcW w:w="992" w:type="dxa"/>
          </w:tcPr>
          <w:p w14:paraId="7768863C" w14:textId="77777777" w:rsidR="00A639E4" w:rsidRPr="004516D0" w:rsidRDefault="00A639E4" w:rsidP="00A639E4">
            <w:pPr>
              <w:pStyle w:val="SWCText"/>
              <w:rPr>
                <w:b/>
                <w:bCs/>
              </w:rPr>
            </w:pPr>
            <w:r w:rsidRPr="004516D0">
              <w:rPr>
                <w:b/>
                <w:bCs/>
              </w:rPr>
              <w:t>Unit</w:t>
            </w:r>
          </w:p>
        </w:tc>
        <w:tc>
          <w:tcPr>
            <w:tcW w:w="2621" w:type="dxa"/>
          </w:tcPr>
          <w:p w14:paraId="114EBDE7" w14:textId="11706F37" w:rsidR="00A639E4" w:rsidRPr="004516D0" w:rsidRDefault="00A132BE" w:rsidP="00A639E4">
            <w:pPr>
              <w:pStyle w:val="SWCText"/>
              <w:rPr>
                <w:b/>
                <w:bCs/>
              </w:rPr>
            </w:pPr>
            <w:r>
              <w:rPr>
                <w:b/>
                <w:bCs/>
              </w:rPr>
              <w:t>Parameter</w:t>
            </w:r>
          </w:p>
        </w:tc>
        <w:tc>
          <w:tcPr>
            <w:tcW w:w="966" w:type="dxa"/>
          </w:tcPr>
          <w:p w14:paraId="32D132C8" w14:textId="25848301" w:rsidR="00A639E4" w:rsidRPr="004516D0" w:rsidRDefault="00A639E4" w:rsidP="00A639E4">
            <w:pPr>
              <w:pStyle w:val="SWCText"/>
              <w:rPr>
                <w:b/>
                <w:bCs/>
              </w:rPr>
            </w:pPr>
            <w:r w:rsidRPr="004516D0">
              <w:rPr>
                <w:b/>
                <w:bCs/>
              </w:rPr>
              <w:t>Value</w:t>
            </w:r>
          </w:p>
        </w:tc>
        <w:tc>
          <w:tcPr>
            <w:tcW w:w="709" w:type="dxa"/>
          </w:tcPr>
          <w:p w14:paraId="693F79B0" w14:textId="67A27F00" w:rsidR="00A639E4" w:rsidRPr="004516D0" w:rsidRDefault="00A639E4" w:rsidP="00A639E4">
            <w:pPr>
              <w:pStyle w:val="SWCText"/>
              <w:rPr>
                <w:b/>
                <w:bCs/>
              </w:rPr>
            </w:pPr>
            <w:r w:rsidRPr="004516D0">
              <w:rPr>
                <w:b/>
                <w:bCs/>
              </w:rPr>
              <w:t>Unit</w:t>
            </w:r>
          </w:p>
        </w:tc>
      </w:tr>
      <w:tr w:rsidR="000E6C59" w:rsidRPr="004E77F7" w14:paraId="02E533FC" w14:textId="1E209298" w:rsidTr="00D5556A">
        <w:trPr>
          <w:jc w:val="center"/>
        </w:trPr>
        <w:tc>
          <w:tcPr>
            <w:tcW w:w="2770" w:type="dxa"/>
          </w:tcPr>
          <w:p w14:paraId="1C52C706" w14:textId="77777777" w:rsidR="000E6C59" w:rsidRPr="004E77F7" w:rsidRDefault="000E6C59" w:rsidP="00A639E4">
            <w:pPr>
              <w:pStyle w:val="SWCText"/>
            </w:pPr>
            <w:r w:rsidRPr="004E77F7">
              <w:t>Intercept Efficiency</w:t>
            </w:r>
          </w:p>
        </w:tc>
        <w:tc>
          <w:tcPr>
            <w:tcW w:w="911" w:type="dxa"/>
          </w:tcPr>
          <w:p w14:paraId="2EA9FB23" w14:textId="77777777" w:rsidR="000E6C59" w:rsidRPr="004E77F7" w:rsidRDefault="000E6C59" w:rsidP="00A639E4">
            <w:pPr>
              <w:pStyle w:val="SWCText"/>
            </w:pPr>
            <w:r w:rsidRPr="004E77F7">
              <w:t>0.7</w:t>
            </w:r>
          </w:p>
        </w:tc>
        <w:tc>
          <w:tcPr>
            <w:tcW w:w="992" w:type="dxa"/>
          </w:tcPr>
          <w:p w14:paraId="4A142BE8" w14:textId="77777777" w:rsidR="000E6C59" w:rsidRPr="004E77F7" w:rsidRDefault="000E6C59" w:rsidP="00A639E4">
            <w:pPr>
              <w:pStyle w:val="SWCText"/>
            </w:pPr>
            <w:r w:rsidRPr="004E77F7">
              <w:t>-</w:t>
            </w:r>
          </w:p>
        </w:tc>
        <w:tc>
          <w:tcPr>
            <w:tcW w:w="2621" w:type="dxa"/>
          </w:tcPr>
          <w:p w14:paraId="4F29225B" w14:textId="15961B3C" w:rsidR="000E6C59" w:rsidRPr="004E77F7" w:rsidRDefault="000E6C59" w:rsidP="00A639E4">
            <w:pPr>
              <w:pStyle w:val="SWCText"/>
            </w:pPr>
            <w:r w:rsidRPr="004E77F7">
              <w:t>Current at max power</w:t>
            </w:r>
          </w:p>
        </w:tc>
        <w:tc>
          <w:tcPr>
            <w:tcW w:w="966" w:type="dxa"/>
          </w:tcPr>
          <w:p w14:paraId="33CF3B3A" w14:textId="135C56DD" w:rsidR="000E6C59" w:rsidRPr="004E77F7" w:rsidRDefault="000E6C59" w:rsidP="00A639E4">
            <w:pPr>
              <w:pStyle w:val="SWCText"/>
            </w:pPr>
            <w:r w:rsidRPr="004E77F7">
              <w:t>8.86</w:t>
            </w:r>
          </w:p>
        </w:tc>
        <w:tc>
          <w:tcPr>
            <w:tcW w:w="709" w:type="dxa"/>
          </w:tcPr>
          <w:p w14:paraId="62A48957" w14:textId="5350A0CD" w:rsidR="000E6C59" w:rsidRPr="004E77F7" w:rsidRDefault="000E6C59" w:rsidP="00A639E4">
            <w:pPr>
              <w:pStyle w:val="SWCText"/>
            </w:pPr>
            <w:r w:rsidRPr="004E77F7">
              <w:t>A</w:t>
            </w:r>
          </w:p>
        </w:tc>
      </w:tr>
      <w:tr w:rsidR="000E6C59" w:rsidRPr="004E77F7" w14:paraId="2F3E834A" w14:textId="4E404FA6" w:rsidTr="00D5556A">
        <w:trPr>
          <w:jc w:val="center"/>
        </w:trPr>
        <w:tc>
          <w:tcPr>
            <w:tcW w:w="2770" w:type="dxa"/>
          </w:tcPr>
          <w:p w14:paraId="2E07EFB6" w14:textId="77777777" w:rsidR="000E6C59" w:rsidRPr="004E77F7" w:rsidRDefault="000E6C59" w:rsidP="00A639E4">
            <w:pPr>
              <w:pStyle w:val="SWCText"/>
            </w:pPr>
            <w:r w:rsidRPr="004E77F7">
              <w:t>1st Order Loss Coefficient (a1)</w:t>
            </w:r>
          </w:p>
        </w:tc>
        <w:tc>
          <w:tcPr>
            <w:tcW w:w="911" w:type="dxa"/>
          </w:tcPr>
          <w:p w14:paraId="0183F68F" w14:textId="77777777" w:rsidR="000E6C59" w:rsidRPr="004E77F7" w:rsidRDefault="000E6C59" w:rsidP="00A639E4">
            <w:pPr>
              <w:pStyle w:val="SWCText"/>
            </w:pPr>
            <w:r w:rsidRPr="004E77F7">
              <w:t>5.98</w:t>
            </w:r>
          </w:p>
        </w:tc>
        <w:tc>
          <w:tcPr>
            <w:tcW w:w="992" w:type="dxa"/>
          </w:tcPr>
          <w:p w14:paraId="3E968379" w14:textId="77777777" w:rsidR="000E6C59" w:rsidRPr="004E77F7" w:rsidRDefault="000E6C59" w:rsidP="00A639E4">
            <w:pPr>
              <w:pStyle w:val="SWCText"/>
            </w:pPr>
            <w:r w:rsidRPr="004E77F7">
              <w:t>W/m</w:t>
            </w:r>
            <w:r w:rsidRPr="00D5556A">
              <w:rPr>
                <w:vertAlign w:val="superscript"/>
              </w:rPr>
              <w:t>2</w:t>
            </w:r>
            <w:r w:rsidRPr="004E77F7">
              <w:t>K</w:t>
            </w:r>
          </w:p>
        </w:tc>
        <w:tc>
          <w:tcPr>
            <w:tcW w:w="2621" w:type="dxa"/>
          </w:tcPr>
          <w:p w14:paraId="735B4955" w14:textId="42D56F6C" w:rsidR="000E6C59" w:rsidRPr="004E77F7" w:rsidRDefault="000E6C59" w:rsidP="00A639E4">
            <w:pPr>
              <w:pStyle w:val="SWCText"/>
            </w:pPr>
            <w:r w:rsidRPr="004E77F7">
              <w:t>Voltage at max power</w:t>
            </w:r>
          </w:p>
        </w:tc>
        <w:tc>
          <w:tcPr>
            <w:tcW w:w="966" w:type="dxa"/>
          </w:tcPr>
          <w:p w14:paraId="76883AF4" w14:textId="22EEC5C4" w:rsidR="000E6C59" w:rsidRPr="004E77F7" w:rsidRDefault="000E6C59" w:rsidP="00A639E4">
            <w:pPr>
              <w:pStyle w:val="SWCText"/>
            </w:pPr>
            <w:r w:rsidRPr="004E77F7">
              <w:t>39.86</w:t>
            </w:r>
          </w:p>
        </w:tc>
        <w:tc>
          <w:tcPr>
            <w:tcW w:w="709" w:type="dxa"/>
          </w:tcPr>
          <w:p w14:paraId="143C6B0C" w14:textId="68279A54" w:rsidR="000E6C59" w:rsidRPr="004E77F7" w:rsidRDefault="000E6C59" w:rsidP="00A639E4">
            <w:pPr>
              <w:pStyle w:val="SWCText"/>
            </w:pPr>
            <w:r w:rsidRPr="004E77F7">
              <w:t>V</w:t>
            </w:r>
          </w:p>
        </w:tc>
      </w:tr>
      <w:tr w:rsidR="000E6C59" w:rsidRPr="004E77F7" w14:paraId="5B880509" w14:textId="45C67FB8" w:rsidTr="00D5556A">
        <w:trPr>
          <w:jc w:val="center"/>
        </w:trPr>
        <w:tc>
          <w:tcPr>
            <w:tcW w:w="2770" w:type="dxa"/>
          </w:tcPr>
          <w:p w14:paraId="0C3F7405" w14:textId="3CF301AF" w:rsidR="000E6C59" w:rsidRPr="004E77F7" w:rsidRDefault="000E6C59" w:rsidP="00A639E4">
            <w:pPr>
              <w:pStyle w:val="SWCText"/>
            </w:pPr>
            <w:r w:rsidRPr="004E77F7">
              <w:t>2nd Order Loss Coefficient (a2</w:t>
            </w:r>
            <w:r>
              <w:t>)</w:t>
            </w:r>
          </w:p>
        </w:tc>
        <w:tc>
          <w:tcPr>
            <w:tcW w:w="911" w:type="dxa"/>
          </w:tcPr>
          <w:p w14:paraId="795297E3" w14:textId="77777777" w:rsidR="000E6C59" w:rsidRPr="004E77F7" w:rsidRDefault="000E6C59" w:rsidP="00A639E4">
            <w:pPr>
              <w:pStyle w:val="SWCText"/>
            </w:pPr>
            <w:r w:rsidRPr="004E77F7">
              <w:t>0</w:t>
            </w:r>
          </w:p>
        </w:tc>
        <w:tc>
          <w:tcPr>
            <w:tcW w:w="992" w:type="dxa"/>
          </w:tcPr>
          <w:p w14:paraId="7099E8E1" w14:textId="528049BE" w:rsidR="000E6C59" w:rsidRPr="004E77F7" w:rsidRDefault="000E6C59" w:rsidP="00A639E4">
            <w:pPr>
              <w:pStyle w:val="SWCText"/>
            </w:pPr>
            <w:r w:rsidRPr="004E77F7">
              <w:t>W/m</w:t>
            </w:r>
            <w:r w:rsidRPr="00A7635E">
              <w:rPr>
                <w:vertAlign w:val="superscript"/>
              </w:rPr>
              <w:t>2</w:t>
            </w:r>
            <w:r w:rsidRPr="004E77F7">
              <w:t>K</w:t>
            </w:r>
            <w:r w:rsidRPr="00A7635E">
              <w:rPr>
                <w:vertAlign w:val="superscript"/>
              </w:rPr>
              <w:t>2</w:t>
            </w:r>
          </w:p>
        </w:tc>
        <w:tc>
          <w:tcPr>
            <w:tcW w:w="2621" w:type="dxa"/>
          </w:tcPr>
          <w:p w14:paraId="2426A5B1" w14:textId="27C7206F" w:rsidR="000E6C59" w:rsidRPr="004E77F7" w:rsidRDefault="000E6C59" w:rsidP="00A639E4">
            <w:pPr>
              <w:pStyle w:val="SWCText"/>
            </w:pPr>
            <w:r w:rsidRPr="004E77F7">
              <w:t>Temp coefficient of short circuit current</w:t>
            </w:r>
          </w:p>
        </w:tc>
        <w:tc>
          <w:tcPr>
            <w:tcW w:w="966" w:type="dxa"/>
          </w:tcPr>
          <w:p w14:paraId="499BB797" w14:textId="707767F7" w:rsidR="000E6C59" w:rsidRPr="004E77F7" w:rsidRDefault="000E6C59" w:rsidP="00A639E4">
            <w:pPr>
              <w:pStyle w:val="SWCText"/>
            </w:pPr>
            <w:r w:rsidRPr="004E77F7">
              <w:t>0.005496</w:t>
            </w:r>
          </w:p>
        </w:tc>
        <w:tc>
          <w:tcPr>
            <w:tcW w:w="709" w:type="dxa"/>
          </w:tcPr>
          <w:p w14:paraId="6B1E9E84" w14:textId="354567D5" w:rsidR="000E6C59" w:rsidRPr="004E77F7" w:rsidRDefault="000E6C59" w:rsidP="00A639E4">
            <w:pPr>
              <w:pStyle w:val="SWCText"/>
            </w:pPr>
            <w:r w:rsidRPr="004E77F7">
              <w:t>A/K</w:t>
            </w:r>
          </w:p>
        </w:tc>
      </w:tr>
      <w:tr w:rsidR="000E6C59" w:rsidRPr="004E77F7" w14:paraId="66FBBEBF" w14:textId="7C49CA2A" w:rsidTr="00D5556A">
        <w:trPr>
          <w:jc w:val="center"/>
        </w:trPr>
        <w:tc>
          <w:tcPr>
            <w:tcW w:w="2770" w:type="dxa"/>
          </w:tcPr>
          <w:p w14:paraId="0C360982" w14:textId="1E99DF0F" w:rsidR="000E6C59" w:rsidRPr="004E77F7" w:rsidRDefault="000E6C59" w:rsidP="00A639E4">
            <w:pPr>
              <w:pStyle w:val="SWCText"/>
            </w:pPr>
            <w:r w:rsidRPr="004E77F7">
              <w:t>Short-circuit current</w:t>
            </w:r>
          </w:p>
        </w:tc>
        <w:tc>
          <w:tcPr>
            <w:tcW w:w="911" w:type="dxa"/>
          </w:tcPr>
          <w:p w14:paraId="10176E89" w14:textId="1C02F985" w:rsidR="000E6C59" w:rsidRPr="004E77F7" w:rsidRDefault="000E6C59" w:rsidP="00A639E4">
            <w:pPr>
              <w:pStyle w:val="SWCText"/>
            </w:pPr>
            <w:r w:rsidRPr="004E77F7">
              <w:t>9.16</w:t>
            </w:r>
          </w:p>
        </w:tc>
        <w:tc>
          <w:tcPr>
            <w:tcW w:w="992" w:type="dxa"/>
          </w:tcPr>
          <w:p w14:paraId="6DF83AFC" w14:textId="392B34C4" w:rsidR="000E6C59" w:rsidRPr="004E77F7" w:rsidRDefault="000E6C59" w:rsidP="00A639E4">
            <w:pPr>
              <w:pStyle w:val="SWCText"/>
            </w:pPr>
            <w:r w:rsidRPr="004E77F7">
              <w:t>A</w:t>
            </w:r>
          </w:p>
        </w:tc>
        <w:tc>
          <w:tcPr>
            <w:tcW w:w="2621" w:type="dxa"/>
          </w:tcPr>
          <w:p w14:paraId="4A28A2ED" w14:textId="083C903C" w:rsidR="000E6C59" w:rsidRPr="004E77F7" w:rsidRDefault="000E6C59" w:rsidP="00A639E4">
            <w:pPr>
              <w:pStyle w:val="SWCText"/>
            </w:pPr>
            <w:r w:rsidRPr="004E77F7">
              <w:t>Temp coefficient of open circuit voltage</w:t>
            </w:r>
          </w:p>
        </w:tc>
        <w:tc>
          <w:tcPr>
            <w:tcW w:w="966" w:type="dxa"/>
          </w:tcPr>
          <w:p w14:paraId="51A6A2D7" w14:textId="4AD62CAD" w:rsidR="000E6C59" w:rsidRPr="004E77F7" w:rsidRDefault="000E6C59" w:rsidP="00A639E4">
            <w:pPr>
              <w:pStyle w:val="SWCText"/>
            </w:pPr>
            <w:r w:rsidRPr="004E77F7">
              <w:t>-0.1361</w:t>
            </w:r>
          </w:p>
        </w:tc>
        <w:tc>
          <w:tcPr>
            <w:tcW w:w="709" w:type="dxa"/>
          </w:tcPr>
          <w:p w14:paraId="35DD98A2" w14:textId="6D9C133D" w:rsidR="000E6C59" w:rsidRPr="004E77F7" w:rsidRDefault="000E6C59" w:rsidP="00A639E4">
            <w:pPr>
              <w:pStyle w:val="SWCText"/>
            </w:pPr>
            <w:r w:rsidRPr="004E77F7">
              <w:t>V/K</w:t>
            </w:r>
          </w:p>
        </w:tc>
      </w:tr>
      <w:tr w:rsidR="000E6C59" w:rsidRPr="004E77F7" w14:paraId="2C0BCA2B" w14:textId="6CAF206D" w:rsidTr="00D5556A">
        <w:trPr>
          <w:jc w:val="center"/>
        </w:trPr>
        <w:tc>
          <w:tcPr>
            <w:tcW w:w="2770" w:type="dxa"/>
          </w:tcPr>
          <w:p w14:paraId="62D18020" w14:textId="100EFE8C" w:rsidR="000E6C59" w:rsidRPr="004E77F7" w:rsidRDefault="000E6C59" w:rsidP="00A639E4">
            <w:pPr>
              <w:pStyle w:val="SWCText"/>
            </w:pPr>
            <w:r w:rsidRPr="004E77F7" w:rsidDel="00A639E4">
              <w:t>Open-circuit voltage</w:t>
            </w:r>
          </w:p>
        </w:tc>
        <w:tc>
          <w:tcPr>
            <w:tcW w:w="911" w:type="dxa"/>
          </w:tcPr>
          <w:p w14:paraId="1A2D2431" w14:textId="2A47E7E6" w:rsidR="000E6C59" w:rsidRPr="004E77F7" w:rsidRDefault="000E6C59" w:rsidP="00A639E4">
            <w:pPr>
              <w:pStyle w:val="SWCText"/>
            </w:pPr>
            <w:r w:rsidRPr="004E77F7" w:rsidDel="00A639E4">
              <w:t>48.61</w:t>
            </w:r>
          </w:p>
        </w:tc>
        <w:tc>
          <w:tcPr>
            <w:tcW w:w="992" w:type="dxa"/>
          </w:tcPr>
          <w:p w14:paraId="50D23A1A" w14:textId="23982E62" w:rsidR="000E6C59" w:rsidRPr="004E77F7" w:rsidRDefault="000E6C59" w:rsidP="00A639E4">
            <w:pPr>
              <w:pStyle w:val="SWCText"/>
            </w:pPr>
            <w:r w:rsidRPr="004E77F7" w:rsidDel="00A639E4">
              <w:t>V</w:t>
            </w:r>
          </w:p>
        </w:tc>
        <w:tc>
          <w:tcPr>
            <w:tcW w:w="2621" w:type="dxa"/>
          </w:tcPr>
          <w:p w14:paraId="09F5D4E0" w14:textId="1B9F25E5" w:rsidR="000E6C59" w:rsidRPr="004E77F7" w:rsidRDefault="000E6C59" w:rsidP="00A639E4">
            <w:pPr>
              <w:pStyle w:val="SWCText"/>
            </w:pPr>
            <w:r>
              <w:t>-</w:t>
            </w:r>
          </w:p>
        </w:tc>
        <w:tc>
          <w:tcPr>
            <w:tcW w:w="966" w:type="dxa"/>
          </w:tcPr>
          <w:p w14:paraId="54D694E4" w14:textId="3161EDEE" w:rsidR="000E6C59" w:rsidRPr="004E77F7" w:rsidRDefault="000E6C59" w:rsidP="00A639E4">
            <w:pPr>
              <w:pStyle w:val="SWCText"/>
            </w:pPr>
            <w:r>
              <w:t>-</w:t>
            </w:r>
          </w:p>
        </w:tc>
        <w:tc>
          <w:tcPr>
            <w:tcW w:w="709" w:type="dxa"/>
          </w:tcPr>
          <w:p w14:paraId="157BD5A9" w14:textId="323CAC06" w:rsidR="000E6C59" w:rsidRPr="004E77F7" w:rsidRDefault="000E6C59" w:rsidP="00A639E4">
            <w:pPr>
              <w:pStyle w:val="SWCText"/>
            </w:pPr>
            <w:r>
              <w:t>-</w:t>
            </w:r>
          </w:p>
        </w:tc>
      </w:tr>
    </w:tbl>
    <w:p w14:paraId="2E2E5301" w14:textId="77777777" w:rsidR="00C5093E" w:rsidRPr="004E77F7" w:rsidRDefault="00C5093E" w:rsidP="00DC3E65">
      <w:pPr>
        <w:pStyle w:val="SWCHeading1"/>
      </w:pPr>
      <w:r w:rsidRPr="004E77F7">
        <w:t xml:space="preserve">Energy </w:t>
      </w:r>
      <w:r>
        <w:t>Analysis</w:t>
      </w:r>
    </w:p>
    <w:p w14:paraId="42330CD4" w14:textId="77777777" w:rsidR="00C5093E" w:rsidRDefault="00C5093E" w:rsidP="00DC3E65">
      <w:pPr>
        <w:pStyle w:val="SWCHeading11"/>
      </w:pPr>
      <w:r>
        <w:t xml:space="preserve">Metrics </w:t>
      </w:r>
    </w:p>
    <w:p w14:paraId="3B7FF516" w14:textId="09898FB2" w:rsidR="00C5093E" w:rsidRPr="004E77F7" w:rsidRDefault="00C5093E" w:rsidP="00B515AA">
      <w:pPr>
        <w:pStyle w:val="SWCText"/>
      </w:pPr>
      <w:r w:rsidRPr="004E77F7">
        <w:t>The main</w:t>
      </w:r>
      <w:r w:rsidR="007E3121">
        <w:t xml:space="preserve"> energy</w:t>
      </w:r>
      <w:r w:rsidRPr="004E77F7">
        <w:t xml:space="preserve"> metric considered in this work is the annual energy savings that can be realized from installation of a low-carbon water heating system</w:t>
      </w:r>
      <w:r w:rsidR="007E3121">
        <w:t xml:space="preserve">. </w:t>
      </w:r>
      <w:r w:rsidRPr="004E77F7">
        <w:t xml:space="preserve">The annual electricity consumption associated with domestic hot water using an electric water heater is compared to the consumption when using the </w:t>
      </w:r>
      <w:r w:rsidR="007E3121">
        <w:t>PVWH, HPWH, and PVT-HPWH</w:t>
      </w:r>
      <w:r w:rsidRPr="004E77F7">
        <w:t xml:space="preserve"> </w:t>
      </w:r>
      <w:r w:rsidR="007E3121">
        <w:t>systems</w:t>
      </w:r>
      <w:r w:rsidRPr="004E77F7">
        <w:t>.</w:t>
      </w:r>
      <w:r>
        <w:t xml:space="preserve"> Additionally, this study analyses the seasonal performance factor of the systems, which describes how much heating is delivered compared to how much electricity is consumed.</w:t>
      </w:r>
      <w:r w:rsidRPr="004E77F7">
        <w:t xml:space="preserve"> </w:t>
      </w:r>
    </w:p>
    <w:p w14:paraId="6AE6096B" w14:textId="01D109D0" w:rsidR="005E2331" w:rsidRPr="004F3F4E" w:rsidRDefault="00641A58" w:rsidP="004F3F4E">
      <w:pPr>
        <w:pStyle w:val="SWCText"/>
      </w:pPr>
      <w:r>
        <w:t>The reference energy use, that is, the e</w:t>
      </w:r>
      <w:r w:rsidR="00C5093E" w:rsidRPr="004E77F7">
        <w:t>nergy consumed by the EWH system</w:t>
      </w:r>
      <w:r>
        <w:t>,</w:t>
      </w:r>
      <w:r w:rsidR="00C5093E" w:rsidRPr="004E77F7">
        <w:t xml:space="preserve"> is equivalent to the grid electricity</w:t>
      </w:r>
      <w:r>
        <w:t xml:space="preserve"> consumed by the </w:t>
      </w:r>
      <w:r w:rsidR="004E0C0C">
        <w:t>water heater over the course of one year in each location</w:t>
      </w:r>
      <w:r w:rsidR="008837B9">
        <w:t>.</w:t>
      </w:r>
      <w:r w:rsidR="004E0C0C">
        <w:t xml:space="preserve"> The electricity consumption of the three low-carbon options is calculated as follows:</w:t>
      </w:r>
      <w:r w:rsidR="00470548">
        <w:t xml:space="preserve"> </w:t>
      </w:r>
      <w:r w:rsidR="004E0C0C">
        <w:t>e</w:t>
      </w:r>
      <w:r w:rsidR="00C5093E">
        <w:t>lectricity</w:t>
      </w:r>
      <w:r w:rsidR="00C5093E" w:rsidRPr="004E77F7">
        <w:t xml:space="preserve"> consumed by the P</w:t>
      </w:r>
      <w:r w:rsidR="00D56B3E">
        <w:t>V</w:t>
      </w:r>
      <w:r w:rsidR="00C5093E" w:rsidRPr="004E77F7">
        <w:t>WH systems is equal to the total electricity that goes to the water via the element, E</w:t>
      </w:r>
      <w:r w:rsidR="00C5093E" w:rsidRPr="00D5556A">
        <w:rPr>
          <w:vertAlign w:val="subscript"/>
        </w:rPr>
        <w:t>element</w:t>
      </w:r>
      <w:r w:rsidR="00C5093E" w:rsidRPr="004E77F7">
        <w:t>, minus the electricity provided from the collectors</w:t>
      </w:r>
      <w:r w:rsidR="00D56B3E">
        <w:t>, E</w:t>
      </w:r>
      <w:r w:rsidR="00D56B3E">
        <w:rPr>
          <w:vertAlign w:val="subscript"/>
        </w:rPr>
        <w:t>coll</w:t>
      </w:r>
      <w:r w:rsidR="00A639E4">
        <w:t xml:space="preserve">. </w:t>
      </w:r>
      <w:r w:rsidR="005E2331">
        <w:t>Similarly, the electricity</w:t>
      </w:r>
      <w:r w:rsidR="005E2331" w:rsidRPr="004E77F7">
        <w:t xml:space="preserve"> consumed by the HPWH system </w:t>
      </w:r>
      <w:r w:rsidR="005E2331">
        <w:t>is equal to the electricity consumed by the element, plus the fan and the compressor</w:t>
      </w:r>
      <w:r w:rsidR="00E664C8">
        <w:t xml:space="preserve"> (E</w:t>
      </w:r>
      <w:r w:rsidR="00E664C8">
        <w:rPr>
          <w:vertAlign w:val="subscript"/>
        </w:rPr>
        <w:t>fan</w:t>
      </w:r>
      <w:r w:rsidR="00E664C8">
        <w:t>, E</w:t>
      </w:r>
      <w:r w:rsidR="00E664C8">
        <w:rPr>
          <w:vertAlign w:val="subscript"/>
        </w:rPr>
        <w:t>comp</w:t>
      </w:r>
      <w:r w:rsidR="00E6055F">
        <w:t>)</w:t>
      </w:r>
      <w:r w:rsidR="005E2331">
        <w:t>, with no energy generation term. Energy consumed by the PVT-HPWH system is equal to the energy consumed by the HPWH components minus the electrical energy produced by the PVT panels</w:t>
      </w:r>
      <w:r w:rsidR="00E6055F">
        <w:t xml:space="preserve"> (</w:t>
      </w:r>
      <w:proofErr w:type="gramStart"/>
      <w:r w:rsidR="00E6055F">
        <w:t>E</w:t>
      </w:r>
      <w:r w:rsidR="00E6055F">
        <w:rPr>
          <w:vertAlign w:val="subscript"/>
        </w:rPr>
        <w:t>coll,elec</w:t>
      </w:r>
      <w:proofErr w:type="gramEnd"/>
      <w:r w:rsidR="00E6055F">
        <w:t>)</w:t>
      </w:r>
      <w:r w:rsidR="005E2331">
        <w:t>, net of required pumping power</w:t>
      </w:r>
      <w:r w:rsidR="00E6055F">
        <w:t xml:space="preserve"> (E</w:t>
      </w:r>
      <w:r w:rsidR="00E6055F">
        <w:rPr>
          <w:vertAlign w:val="subscript"/>
        </w:rPr>
        <w:t>pump</w:t>
      </w:r>
      <w:r w:rsidR="00E6055F">
        <w:t>)</w:t>
      </w:r>
      <w:r w:rsidR="005E2331">
        <w:t>.</w:t>
      </w:r>
      <w:r w:rsidR="000F70EC">
        <w:t xml:space="preserve"> The energy savings</w:t>
      </w:r>
      <w:r w:rsidR="001A6EE4">
        <w:t>, E</w:t>
      </w:r>
      <w:r w:rsidR="001A6EE4">
        <w:rPr>
          <w:vertAlign w:val="subscript"/>
        </w:rPr>
        <w:t xml:space="preserve">savings </w:t>
      </w:r>
      <w:r w:rsidR="000F70EC">
        <w:t>for each system is therefore the energy used by t</w:t>
      </w:r>
      <w:r w:rsidR="000F70EC" w:rsidRPr="004F3F4E">
        <w:t xml:space="preserve">he reference system, </w:t>
      </w:r>
      <w:r w:rsidR="000F70EC" w:rsidRPr="00D5556A">
        <w:t>EWH</w:t>
      </w:r>
      <w:r w:rsidR="000F70EC" w:rsidRPr="004F3F4E">
        <w:t>, minus the energy used by the low carbon system</w:t>
      </w:r>
      <w:r w:rsidR="006A4D6B" w:rsidRPr="004F3F4E">
        <w:t>.</w:t>
      </w:r>
      <w:r w:rsidR="000E6C59">
        <w:t xml:space="preserve"> Equations 1 and 2 below </w:t>
      </w:r>
      <w:r w:rsidR="002722AA">
        <w:t>describe the PVWH system as an example.</w:t>
      </w:r>
    </w:p>
    <w:p w14:paraId="401B1B0F" w14:textId="0A748615" w:rsidR="00E664C8" w:rsidRPr="004F3F4E" w:rsidRDefault="00000000" w:rsidP="00D5556A">
      <w:pPr>
        <w:pStyle w:val="SWCText"/>
        <w:jc w:val="left"/>
      </w:pPr>
      <m:oMath>
        <m:sSub>
          <m:sSubPr>
            <m:ctrlPr>
              <w:rPr>
                <w:rFonts w:ascii="Cambria Math" w:hAnsi="Cambria Math"/>
              </w:rPr>
            </m:ctrlPr>
          </m:sSubPr>
          <m:e>
            <m:r>
              <w:rPr>
                <w:rFonts w:ascii="Cambria Math" w:hAnsi="Cambria Math"/>
              </w:rPr>
              <m:t>E</m:t>
            </m:r>
          </m:e>
          <m:sub>
            <m:r>
              <w:rPr>
                <w:rFonts w:ascii="Cambria Math" w:hAnsi="Cambria Math"/>
              </w:rPr>
              <m:t>PVWH</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w:rPr>
                <w:rFonts w:ascii="Cambria Math" w:hAnsi="Cambria Math"/>
              </w:rPr>
              <m:t>element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w:rPr>
                <w:rFonts w:ascii="Cambria Math" w:hAnsi="Cambria Math"/>
              </w:rPr>
              <m:t>coll</m:t>
            </m:r>
          </m:sub>
        </m:sSub>
      </m:oMath>
      <w:r w:rsidR="006A4D6B" w:rsidRPr="004F3F4E">
        <w:t xml:space="preserve">      </w:t>
      </w:r>
      <w:r w:rsidR="005C0403">
        <w:tab/>
      </w:r>
      <w:r w:rsidR="005C0403">
        <w:tab/>
      </w:r>
      <w:r w:rsidR="005C0403">
        <w:tab/>
      </w:r>
      <w:r w:rsidR="005C0403">
        <w:tab/>
      </w:r>
      <w:r w:rsidR="005C0403">
        <w:tab/>
      </w:r>
      <w:r w:rsidR="005C0403">
        <w:tab/>
      </w:r>
      <w:r w:rsidR="005C0403">
        <w:tab/>
      </w:r>
      <w:r w:rsidR="005C0403">
        <w:tab/>
      </w:r>
      <w:r w:rsidR="00892CD9">
        <w:t>(eq.</w:t>
      </w:r>
      <w:r w:rsidR="006A4D6B" w:rsidRPr="004F3F4E">
        <w:t xml:space="preserve"> 1</w:t>
      </w:r>
      <w:r w:rsidR="00892CD9">
        <w:t>)</w:t>
      </w:r>
    </w:p>
    <w:p w14:paraId="1ED923F4" w14:textId="4D184BB0" w:rsidR="001A6EE4" w:rsidRPr="004F3F4E" w:rsidRDefault="00000000" w:rsidP="00D5556A">
      <w:pPr>
        <w:pStyle w:val="SWCText"/>
        <w:jc w:val="left"/>
      </w:pPr>
      <m:oMath>
        <m:sSub>
          <m:sSubPr>
            <m:ctrlPr>
              <w:rPr>
                <w:rFonts w:ascii="Cambria Math" w:hAnsi="Cambria Math"/>
              </w:rPr>
            </m:ctrlPr>
          </m:sSubPr>
          <m:e>
            <m:r>
              <w:rPr>
                <w:rFonts w:ascii="Cambria Math" w:hAnsi="Cambria Math"/>
              </w:rPr>
              <m:t>E</m:t>
            </m:r>
          </m:e>
          <m:sub>
            <m:r>
              <w:rPr>
                <w:rFonts w:ascii="Cambria Math" w:hAnsi="Cambria Math"/>
              </w:rPr>
              <m:t>savings</m:t>
            </m:r>
            <m:r>
              <m:rPr>
                <m:sty m:val="p"/>
              </m:rPr>
              <w:rPr>
                <w:rFonts w:ascii="Cambria Math" w:hAnsi="Cambria Math"/>
              </w:rPr>
              <m:t>,</m:t>
            </m:r>
            <m:r>
              <w:rPr>
                <w:rFonts w:ascii="Cambria Math" w:hAnsi="Cambria Math"/>
              </w:rPr>
              <m:t>PVWH</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w:rPr>
                <w:rFonts w:ascii="Cambria Math" w:hAnsi="Cambria Math"/>
              </w:rPr>
              <m:t>EWH</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w:rPr>
                <w:rFonts w:ascii="Cambria Math" w:hAnsi="Cambria Math"/>
              </w:rPr>
              <m:t>PVWH</m:t>
            </m:r>
          </m:sub>
        </m:sSub>
      </m:oMath>
      <w:r w:rsidR="006A4D6B" w:rsidRPr="004F3F4E">
        <w:t xml:space="preserve"> </w:t>
      </w:r>
      <w:r w:rsidR="005C0403">
        <w:tab/>
      </w:r>
      <w:r w:rsidR="005C0403">
        <w:tab/>
      </w:r>
      <w:r w:rsidR="005C0403">
        <w:tab/>
      </w:r>
      <w:r w:rsidR="005C0403">
        <w:tab/>
      </w:r>
      <w:r w:rsidR="005C0403">
        <w:tab/>
      </w:r>
      <w:r w:rsidR="005C0403">
        <w:tab/>
      </w:r>
      <w:r w:rsidR="005C0403">
        <w:tab/>
      </w:r>
      <w:r w:rsidR="005C0403">
        <w:tab/>
      </w:r>
      <w:r w:rsidR="00892CD9">
        <w:t>(eq.</w:t>
      </w:r>
      <w:r w:rsidR="00892CD9" w:rsidRPr="004F3F4E">
        <w:t xml:space="preserve"> </w:t>
      </w:r>
      <w:r w:rsidR="002722AA">
        <w:t>2</w:t>
      </w:r>
      <w:r w:rsidR="00892CD9">
        <w:t>)</w:t>
      </w:r>
    </w:p>
    <w:p w14:paraId="04351A45" w14:textId="759702BD" w:rsidR="00C5093E" w:rsidRDefault="005E2331" w:rsidP="00B515AA">
      <w:pPr>
        <w:pStyle w:val="SWCText"/>
      </w:pPr>
      <w:r>
        <w:t xml:space="preserve">To </w:t>
      </w:r>
      <w:proofErr w:type="gramStart"/>
      <w:r>
        <w:t>take into account</w:t>
      </w:r>
      <w:proofErr w:type="gramEnd"/>
      <w:r>
        <w:t xml:space="preserve"> the thermal performance of the three systems</w:t>
      </w:r>
      <w:r w:rsidR="000F59F9">
        <w:t>,</w:t>
      </w:r>
      <w:r w:rsidRPr="004E77F7">
        <w:t xml:space="preserve"> a seasonal </w:t>
      </w:r>
      <w:r>
        <w:t>performance factor (SPF) can be used, defined as the ratio between the delivered heating and the consumed electricity</w:t>
      </w:r>
      <w:r w:rsidRPr="004E77F7">
        <w:t>.</w:t>
      </w:r>
      <w:r>
        <w:t xml:space="preserve"> In the case of the renewables-integrated systems (i.e. the PV and PVT systems), the net consumed electricity is used in </w:t>
      </w:r>
      <w:r w:rsidR="002722AA">
        <w:t>Equation 3 below</w:t>
      </w:r>
      <w:r w:rsidR="00EE42D9">
        <w:t>, again using the PVWH system as an example</w:t>
      </w:r>
      <w:r>
        <w:t>.</w:t>
      </w:r>
      <w:r w:rsidRPr="004E77F7">
        <w:t xml:space="preserve"> </w:t>
      </w:r>
    </w:p>
    <w:p w14:paraId="0B9908DA" w14:textId="3A6B936A" w:rsidR="00C5093E" w:rsidRPr="004E77F7" w:rsidRDefault="00000000" w:rsidP="00D5556A">
      <w:pPr>
        <w:pStyle w:val="SWCText"/>
        <w:jc w:val="left"/>
      </w:pPr>
      <m:oMath>
        <m:sSub>
          <m:sSubPr>
            <m:ctrlPr>
              <w:rPr>
                <w:rFonts w:ascii="Cambria Math" w:hAnsi="Cambria Math"/>
                <w:i/>
              </w:rPr>
            </m:ctrlPr>
          </m:sSubPr>
          <m:e>
            <m:r>
              <w:rPr>
                <w:rFonts w:ascii="Cambria Math" w:hAnsi="Cambria Math"/>
              </w:rPr>
              <m:t>SPF</m:t>
            </m:r>
          </m:e>
          <m:sub>
            <m:r>
              <w:rPr>
                <w:rFonts w:ascii="Cambria Math" w:hAnsi="Cambria Math"/>
              </w:rPr>
              <m:t>PVWH</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delivered</m:t>
                </m:r>
              </m:sub>
            </m:sSub>
          </m:num>
          <m:den>
            <m:sSub>
              <m:sSubPr>
                <m:ctrlPr>
                  <w:rPr>
                    <w:rFonts w:ascii="Cambria Math" w:hAnsi="Cambria Math"/>
                    <w:i/>
                  </w:rPr>
                </m:ctrlPr>
              </m:sSubPr>
              <m:e>
                <m:r>
                  <w:rPr>
                    <w:rFonts w:ascii="Cambria Math" w:hAnsi="Cambria Math"/>
                  </w:rPr>
                  <m:t>E</m:t>
                </m:r>
              </m:e>
              <m:sub>
                <m:r>
                  <w:rPr>
                    <w:rFonts w:ascii="Cambria Math" w:hAnsi="Cambria Math"/>
                  </w:rPr>
                  <m:t>PVWH</m:t>
                </m:r>
              </m:sub>
            </m:sSub>
          </m:den>
        </m:f>
      </m:oMath>
      <w:r w:rsidR="004F3F4E">
        <w:t xml:space="preserve"> </w:t>
      </w:r>
      <w:r w:rsidR="005C0403">
        <w:tab/>
      </w:r>
      <w:r w:rsidR="005C0403">
        <w:tab/>
      </w:r>
      <w:r w:rsidR="005C0403">
        <w:tab/>
      </w:r>
      <w:r w:rsidR="005C0403">
        <w:tab/>
      </w:r>
      <w:r w:rsidR="005C0403">
        <w:tab/>
      </w:r>
      <w:r w:rsidR="005C0403">
        <w:tab/>
      </w:r>
      <w:r w:rsidR="005C0403">
        <w:tab/>
      </w:r>
      <w:r w:rsidR="005C0403">
        <w:tab/>
      </w:r>
      <w:r w:rsidR="005C0403">
        <w:tab/>
      </w:r>
      <w:r w:rsidR="00892CD9">
        <w:t>(eq.</w:t>
      </w:r>
      <w:r w:rsidR="00892CD9" w:rsidRPr="004F3F4E">
        <w:t xml:space="preserve"> </w:t>
      </w:r>
      <w:r w:rsidR="002722AA">
        <w:t>3</w:t>
      </w:r>
      <w:r w:rsidR="00892CD9">
        <w:t>)</w:t>
      </w:r>
    </w:p>
    <w:p w14:paraId="08F557AF" w14:textId="738A3491" w:rsidR="00C5093E" w:rsidRPr="004E77F7" w:rsidRDefault="00C5093E" w:rsidP="00B515AA">
      <w:pPr>
        <w:pStyle w:val="SWCText"/>
      </w:pPr>
      <w:r>
        <w:t xml:space="preserve">Heat pump water heaters </w:t>
      </w:r>
      <w:r w:rsidRPr="004E77F7">
        <w:t xml:space="preserve">can have an impact on the space heating load of a home, as they remove energy from their surroundings to </w:t>
      </w:r>
      <w:r w:rsidR="00B451D2">
        <w:t>increase</w:t>
      </w:r>
      <w:r w:rsidR="00B451D2" w:rsidRPr="004E77F7">
        <w:t xml:space="preserve"> </w:t>
      </w:r>
      <w:r w:rsidRPr="004E77F7">
        <w:t>the temperature within the tank. This causes an increase in space heating load in the winter and a decrease in cooling load in the summer</w:t>
      </w:r>
      <w:r w:rsidR="00392045">
        <w:t xml:space="preserve">. </w:t>
      </w:r>
      <w:r w:rsidR="001C0A51">
        <w:t xml:space="preserve">To determine the overall </w:t>
      </w:r>
      <w:r w:rsidR="00B451D2">
        <w:t>performance</w:t>
      </w:r>
      <w:r w:rsidR="001C0A51">
        <w:t xml:space="preserve"> of the HPWH, an overall energy balance on the household is conducted, consider</w:t>
      </w:r>
      <w:r w:rsidR="00AA0EF0">
        <w:t>i</w:t>
      </w:r>
      <w:r w:rsidR="001C0A51">
        <w:t>ng the DWH energy in addition to the total space heating and cooling.</w:t>
      </w:r>
    </w:p>
    <w:p w14:paraId="473188CD" w14:textId="180F82A2" w:rsidR="00C5093E" w:rsidRDefault="00AA0EF0" w:rsidP="00B515AA">
      <w:pPr>
        <w:pStyle w:val="SWCText"/>
      </w:pPr>
      <w:r>
        <w:t>The t</w:t>
      </w:r>
      <w:r w:rsidR="00C5093E" w:rsidRPr="004E77F7">
        <w:t>otal DWH energy</w:t>
      </w:r>
      <w:r>
        <w:t xml:space="preserve"> used by the HPWH system is defined b</w:t>
      </w:r>
      <w:r w:rsidR="00B451D2">
        <w:t>y</w:t>
      </w:r>
      <w:r>
        <w:t xml:space="preserve"> Equation </w:t>
      </w:r>
      <w:r w:rsidR="00EE42D9">
        <w:t>4</w:t>
      </w:r>
      <w:r w:rsidR="00C5093E" w:rsidRPr="004E77F7">
        <w:t>:</w:t>
      </w:r>
    </w:p>
    <w:p w14:paraId="5259EB1A" w14:textId="155D0415" w:rsidR="00C5093E" w:rsidRPr="004E77F7" w:rsidRDefault="00000000" w:rsidP="00D5556A">
      <w:pPr>
        <w:pStyle w:val="SWCText"/>
        <w:jc w:val="left"/>
      </w:pPr>
      <m:oMath>
        <m:sSub>
          <m:sSubPr>
            <m:ctrlPr>
              <w:rPr>
                <w:rFonts w:ascii="Cambria Math" w:hAnsi="Cambria Math"/>
                <w:i/>
              </w:rPr>
            </m:ctrlPr>
          </m:sSubPr>
          <m:e>
            <m:r>
              <w:rPr>
                <w:rFonts w:ascii="Cambria Math" w:hAnsi="Cambria Math"/>
              </w:rPr>
              <m:t>E</m:t>
            </m:r>
          </m:e>
          <m:sub>
            <m:r>
              <w:rPr>
                <w:rFonts w:ascii="Cambria Math" w:hAnsi="Cambria Math"/>
              </w:rPr>
              <m:t>HPWH</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comp,HPWH</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fan,HPWH</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element,HPWH</m:t>
            </m:r>
          </m:sub>
        </m:sSub>
      </m:oMath>
      <w:r w:rsidR="00892CD9">
        <w:t xml:space="preserve"> </w:t>
      </w:r>
      <w:r w:rsidR="005C0403">
        <w:tab/>
      </w:r>
      <w:r w:rsidR="005C0403">
        <w:tab/>
      </w:r>
      <w:r w:rsidR="005C0403">
        <w:tab/>
      </w:r>
      <w:r w:rsidR="005C0403">
        <w:tab/>
      </w:r>
      <w:r w:rsidR="005C0403">
        <w:tab/>
      </w:r>
      <w:r w:rsidR="00892CD9">
        <w:t>(eq.</w:t>
      </w:r>
      <w:r w:rsidR="00892CD9" w:rsidRPr="004F3F4E">
        <w:t xml:space="preserve"> </w:t>
      </w:r>
      <w:r w:rsidR="00EE42D9">
        <w:t>4</w:t>
      </w:r>
      <w:r w:rsidR="00892CD9">
        <w:t>)</w:t>
      </w:r>
    </w:p>
    <w:p w14:paraId="5E9D1AFC" w14:textId="149F6191" w:rsidR="00C5093E" w:rsidRDefault="00980680" w:rsidP="00B515AA">
      <w:pPr>
        <w:pStyle w:val="SWCText"/>
      </w:pPr>
      <w:r>
        <w:t>Equation</w:t>
      </w:r>
      <w:r w:rsidR="002A7057">
        <w:t xml:space="preserve"> </w:t>
      </w:r>
      <w:r w:rsidR="00EE42D9">
        <w:t>5 describes the</w:t>
      </w:r>
      <w:r>
        <w:t xml:space="preserve"> </w:t>
      </w:r>
      <w:r w:rsidR="00EE42D9">
        <w:t>t</w:t>
      </w:r>
      <w:r w:rsidR="00C5093E" w:rsidRPr="004E77F7">
        <w:t>otal space heating and cooling energy</w:t>
      </w:r>
      <w:r w:rsidR="009D304B">
        <w:t>, E</w:t>
      </w:r>
      <w:r w:rsidR="009D304B">
        <w:rPr>
          <w:vertAlign w:val="subscript"/>
        </w:rPr>
        <w:t>space</w:t>
      </w:r>
      <w:r w:rsidR="009D304B">
        <w:t>,</w:t>
      </w:r>
      <w:r w:rsidR="00C5093E" w:rsidRPr="004E77F7">
        <w:t xml:space="preserve"> </w:t>
      </w:r>
      <w:r w:rsidR="00EE42D9">
        <w:t xml:space="preserve">which </w:t>
      </w:r>
      <w:r w:rsidR="00C5093E" w:rsidRPr="004E77F7">
        <w:t>includes the power used by the CCASHP compressor for both heating and cooling</w:t>
      </w:r>
      <w:r w:rsidR="00FF1DC3">
        <w:t xml:space="preserve"> (</w:t>
      </w:r>
      <w:proofErr w:type="gramStart"/>
      <w:r w:rsidR="00FF1DC3">
        <w:t>E</w:t>
      </w:r>
      <w:r w:rsidR="00FF1DC3">
        <w:rPr>
          <w:vertAlign w:val="subscript"/>
        </w:rPr>
        <w:t>comp,heat</w:t>
      </w:r>
      <w:proofErr w:type="gramEnd"/>
      <w:r w:rsidR="00FF1DC3">
        <w:rPr>
          <w:vertAlign w:val="subscript"/>
        </w:rPr>
        <w:t xml:space="preserve"> </w:t>
      </w:r>
      <w:r w:rsidR="00FF1DC3">
        <w:t xml:space="preserve">and </w:t>
      </w:r>
      <w:proofErr w:type="gramStart"/>
      <w:r w:rsidR="00FF1DC3">
        <w:t>E</w:t>
      </w:r>
      <w:r w:rsidR="00FF1DC3">
        <w:rPr>
          <w:vertAlign w:val="subscript"/>
        </w:rPr>
        <w:t>comp,</w:t>
      </w:r>
      <w:r w:rsidR="00CC6256">
        <w:rPr>
          <w:vertAlign w:val="subscript"/>
        </w:rPr>
        <w:t>cool</w:t>
      </w:r>
      <w:proofErr w:type="gramEnd"/>
      <w:r w:rsidR="00CC6256">
        <w:t>)</w:t>
      </w:r>
      <w:r w:rsidR="00C5093E" w:rsidRPr="004E77F7">
        <w:t>, the fan power for indoor and outdoor fan units</w:t>
      </w:r>
      <w:r w:rsidR="00CC6256">
        <w:t xml:space="preserve"> (</w:t>
      </w:r>
      <w:proofErr w:type="gramStart"/>
      <w:r w:rsidR="00CC6256">
        <w:t>E</w:t>
      </w:r>
      <w:r w:rsidR="00CC6256">
        <w:rPr>
          <w:vertAlign w:val="subscript"/>
        </w:rPr>
        <w:t>fan,indoor</w:t>
      </w:r>
      <w:proofErr w:type="gramEnd"/>
      <w:r w:rsidR="00CC6256">
        <w:rPr>
          <w:vertAlign w:val="subscript"/>
        </w:rPr>
        <w:t xml:space="preserve"> </w:t>
      </w:r>
      <w:r w:rsidR="00CC6256">
        <w:t xml:space="preserve">and </w:t>
      </w:r>
      <w:proofErr w:type="gramStart"/>
      <w:r w:rsidR="00CC6256">
        <w:t>E</w:t>
      </w:r>
      <w:r w:rsidR="00CC6256">
        <w:rPr>
          <w:vertAlign w:val="subscript"/>
        </w:rPr>
        <w:t>fan,outdoor</w:t>
      </w:r>
      <w:proofErr w:type="gramEnd"/>
      <w:r w:rsidR="00CC6256">
        <w:t>)</w:t>
      </w:r>
      <w:r w:rsidR="00C5093E" w:rsidRPr="004E77F7">
        <w:t xml:space="preserve">, and the backup electric heating used </w:t>
      </w:r>
      <w:r w:rsidR="00C5093E" w:rsidRPr="00D5556A">
        <w:t xml:space="preserve">when </w:t>
      </w:r>
      <w:r w:rsidR="00CC6256">
        <w:t>the outdoor air temperature</w:t>
      </w:r>
      <w:r w:rsidR="00C5093E" w:rsidRPr="00D5556A">
        <w:t xml:space="preserve"> is below -20</w:t>
      </w:r>
      <w:r w:rsidR="006F640F">
        <w:t xml:space="preserve"> °</w:t>
      </w:r>
      <w:r w:rsidR="00C5093E" w:rsidRPr="00D5556A">
        <w:t>C</w:t>
      </w:r>
      <w:r w:rsidR="00CC6256">
        <w:t xml:space="preserve"> and the CCASHP </w:t>
      </w:r>
      <w:r w:rsidR="009D304B">
        <w:t>does not operate (E</w:t>
      </w:r>
      <w:r w:rsidR="009D304B">
        <w:rPr>
          <w:vertAlign w:val="subscript"/>
        </w:rPr>
        <w:t>aux</w:t>
      </w:r>
      <w:r w:rsidR="009D304B">
        <w:t>)</w:t>
      </w:r>
      <w:r w:rsidR="00C5093E" w:rsidRPr="00D5556A">
        <w:t>:</w:t>
      </w:r>
    </w:p>
    <w:p w14:paraId="4C212DE2" w14:textId="510C6590" w:rsidR="00C5093E" w:rsidRPr="004E77F7" w:rsidRDefault="00000000" w:rsidP="00D5556A">
      <w:pPr>
        <w:pStyle w:val="SWCText"/>
        <w:jc w:val="left"/>
      </w:pPr>
      <m:oMath>
        <m:sSub>
          <m:sSubPr>
            <m:ctrlPr>
              <w:rPr>
                <w:rFonts w:ascii="Cambria Math" w:hAnsi="Cambria Math"/>
                <w:i/>
              </w:rPr>
            </m:ctrlPr>
          </m:sSubPr>
          <m:e>
            <m:r>
              <w:rPr>
                <w:rFonts w:ascii="Cambria Math" w:hAnsi="Cambria Math"/>
              </w:rPr>
              <m:t>E</m:t>
            </m:r>
          </m:e>
          <m:sub>
            <m:r>
              <w:rPr>
                <w:rFonts w:ascii="Cambria Math" w:hAnsi="Cambria Math"/>
              </w:rPr>
              <m:t>space</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comp,heat</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comp,cool</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fan,indoor</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fan,outdoor</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aux</m:t>
            </m:r>
          </m:sub>
        </m:sSub>
      </m:oMath>
      <w:r w:rsidR="00892CD9">
        <w:t xml:space="preserve"> </w:t>
      </w:r>
      <w:r w:rsidR="005C0403">
        <w:tab/>
      </w:r>
      <w:r w:rsidR="005C0403">
        <w:tab/>
      </w:r>
      <w:r w:rsidR="005C0403">
        <w:tab/>
      </w:r>
      <w:r w:rsidR="00892CD9">
        <w:t>(eq.</w:t>
      </w:r>
      <w:r w:rsidR="00892CD9" w:rsidRPr="004F3F4E">
        <w:t xml:space="preserve"> </w:t>
      </w:r>
      <w:r w:rsidR="00EE42D9">
        <w:t>5</w:t>
      </w:r>
      <w:r w:rsidR="00892CD9">
        <w:t>)</w:t>
      </w:r>
    </w:p>
    <w:p w14:paraId="2FEA0601" w14:textId="416EA562" w:rsidR="00C5093E" w:rsidRDefault="00C5093E" w:rsidP="00B515AA">
      <w:pPr>
        <w:pStyle w:val="SWCText"/>
      </w:pPr>
      <w:r>
        <w:t>The difference in electricity consumed for the purposes of heating and cooling</w:t>
      </w:r>
      <w:r w:rsidR="009C0407">
        <w:t xml:space="preserve"> when using the HPWH system versus the EWH system </w:t>
      </w:r>
      <w:r w:rsidR="00980680">
        <w:t xml:space="preserve">is calculated using Equation </w:t>
      </w:r>
      <w:r w:rsidR="00EE42D9">
        <w:t>6</w:t>
      </w:r>
      <w:r>
        <w:t>:</w:t>
      </w:r>
    </w:p>
    <w:p w14:paraId="3FF5121B" w14:textId="22780207" w:rsidR="00C5093E" w:rsidRPr="00817CF5" w:rsidRDefault="00000000" w:rsidP="00D5556A">
      <w:pPr>
        <w:pStyle w:val="SWCText"/>
        <w:jc w:val="left"/>
      </w:pPr>
      <m:oMath>
        <m:sSub>
          <m:sSubPr>
            <m:ctrlPr>
              <w:rPr>
                <w:rFonts w:ascii="Cambria Math" w:hAnsi="Cambria Math"/>
                <w:i/>
              </w:rPr>
            </m:ctrlPr>
          </m:sSubPr>
          <m:e>
            <m:r>
              <w:rPr>
                <w:rFonts w:ascii="Cambria Math" w:hAnsi="Cambria Math"/>
              </w:rPr>
              <m:t>∆E</m:t>
            </m:r>
          </m:e>
          <m:sub>
            <m:r>
              <w:rPr>
                <w:rFonts w:ascii="Cambria Math" w:hAnsi="Cambria Math"/>
              </w:rPr>
              <m:t>space</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space,EWH</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space,HPWH</m:t>
            </m:r>
          </m:sub>
        </m:sSub>
      </m:oMath>
      <w:r w:rsidR="00892CD9">
        <w:t xml:space="preserve"> </w:t>
      </w:r>
      <w:r w:rsidR="005C0403">
        <w:tab/>
      </w:r>
      <w:r w:rsidR="005C0403">
        <w:tab/>
      </w:r>
      <w:r w:rsidR="005C0403">
        <w:tab/>
      </w:r>
      <w:r w:rsidR="005C0403">
        <w:tab/>
      </w:r>
      <w:r w:rsidR="005C0403">
        <w:tab/>
      </w:r>
      <w:r w:rsidR="005C0403">
        <w:tab/>
      </w:r>
      <w:r w:rsidR="005C0403">
        <w:tab/>
      </w:r>
      <w:r w:rsidR="00892CD9">
        <w:t>(eq.</w:t>
      </w:r>
      <w:r w:rsidR="00892CD9" w:rsidRPr="004F3F4E">
        <w:t xml:space="preserve"> </w:t>
      </w:r>
      <w:r w:rsidR="00EE42D9">
        <w:t>6</w:t>
      </w:r>
      <w:r w:rsidR="00892CD9">
        <w:t>)</w:t>
      </w:r>
    </w:p>
    <w:p w14:paraId="37C4630F" w14:textId="37725836" w:rsidR="00C5093E" w:rsidRPr="00817CF5" w:rsidRDefault="00C5093E" w:rsidP="00B515AA">
      <w:pPr>
        <w:pStyle w:val="SWCText"/>
      </w:pPr>
      <w:r>
        <w:t>As a result, the net SPF for the HPWH (and similarly for the PVT</w:t>
      </w:r>
      <w:r w:rsidR="00254D59">
        <w:t>-</w:t>
      </w:r>
      <w:r>
        <w:t xml:space="preserve">HPWH) can be defined </w:t>
      </w:r>
      <w:r w:rsidR="00EE42D9">
        <w:t>by Equation 7</w:t>
      </w:r>
      <w:r>
        <w:t>:</w:t>
      </w:r>
    </w:p>
    <w:p w14:paraId="04191AB5" w14:textId="7B0C9A0A" w:rsidR="00C5093E" w:rsidRPr="004E77F7" w:rsidRDefault="00000000" w:rsidP="00D5556A">
      <w:pPr>
        <w:pStyle w:val="SWCText"/>
        <w:jc w:val="left"/>
      </w:pPr>
      <m:oMath>
        <m:sSub>
          <m:sSubPr>
            <m:ctrlPr>
              <w:rPr>
                <w:rFonts w:ascii="Cambria Math" w:hAnsi="Cambria Math"/>
                <w:i/>
              </w:rPr>
            </m:ctrlPr>
          </m:sSubPr>
          <m:e>
            <m:r>
              <w:rPr>
                <w:rFonts w:ascii="Cambria Math" w:hAnsi="Cambria Math"/>
              </w:rPr>
              <m:t>SPF</m:t>
            </m:r>
          </m:e>
          <m:sub>
            <m:r>
              <w:rPr>
                <w:rFonts w:ascii="Cambria Math" w:hAnsi="Cambria Math"/>
              </w:rPr>
              <m:t>HPWH,net</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delivered</m:t>
                </m:r>
              </m:sub>
            </m:sSub>
          </m:num>
          <m:den>
            <m:sSub>
              <m:sSubPr>
                <m:ctrlPr>
                  <w:rPr>
                    <w:rFonts w:ascii="Cambria Math" w:hAnsi="Cambria Math"/>
                    <w:i/>
                  </w:rPr>
                </m:ctrlPr>
              </m:sSubPr>
              <m:e>
                <m:r>
                  <w:rPr>
                    <w:rFonts w:ascii="Cambria Math" w:hAnsi="Cambria Math"/>
                  </w:rPr>
                  <m:t>E</m:t>
                </m:r>
              </m:e>
              <m:sub>
                <m:r>
                  <w:rPr>
                    <w:rFonts w:ascii="Cambria Math" w:hAnsi="Cambria Math"/>
                  </w:rPr>
                  <m:t>HPWH</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space</m:t>
                </m:r>
              </m:sub>
            </m:sSub>
          </m:den>
        </m:f>
      </m:oMath>
      <w:r w:rsidR="00892CD9">
        <w:t xml:space="preserve"> </w:t>
      </w:r>
      <w:r w:rsidR="005C0403">
        <w:tab/>
      </w:r>
      <w:r w:rsidR="005C0403">
        <w:tab/>
      </w:r>
      <w:r w:rsidR="005C0403">
        <w:tab/>
      </w:r>
      <w:r w:rsidR="005C0403">
        <w:tab/>
      </w:r>
      <w:r w:rsidR="005C0403">
        <w:tab/>
      </w:r>
      <w:r w:rsidR="005C0403">
        <w:tab/>
      </w:r>
      <w:r w:rsidR="005C0403">
        <w:tab/>
      </w:r>
      <w:r w:rsidR="005C0403">
        <w:tab/>
      </w:r>
      <w:r w:rsidR="00892CD9">
        <w:t>(eq.</w:t>
      </w:r>
      <w:r w:rsidR="00892CD9" w:rsidRPr="004F3F4E">
        <w:t xml:space="preserve"> </w:t>
      </w:r>
      <w:r w:rsidR="00EE42D9">
        <w:t>7</w:t>
      </w:r>
      <w:r w:rsidR="00892CD9">
        <w:t>)</w:t>
      </w:r>
    </w:p>
    <w:p w14:paraId="52224694" w14:textId="77777777" w:rsidR="00C5093E" w:rsidRDefault="00C5093E" w:rsidP="00294D31">
      <w:pPr>
        <w:pStyle w:val="SWCHeading11"/>
      </w:pPr>
      <w:r>
        <w:t>Energy results</w:t>
      </w:r>
    </w:p>
    <w:p w14:paraId="30328B0C" w14:textId="4B97377F" w:rsidR="00C5093E" w:rsidRDefault="00C5093E" w:rsidP="00B515AA">
      <w:pPr>
        <w:pStyle w:val="SWCText"/>
        <w:rPr>
          <w:noProof/>
        </w:rPr>
      </w:pPr>
      <w:r w:rsidRPr="004E77F7">
        <w:t xml:space="preserve">For the </w:t>
      </w:r>
      <w:r w:rsidR="008F7DF0">
        <w:t>PVWH</w:t>
      </w:r>
      <w:r w:rsidRPr="004E77F7">
        <w:t xml:space="preserve">, six scenarios were run for each location, with </w:t>
      </w:r>
      <w:r w:rsidR="008F7DF0">
        <w:t>various array sizes</w:t>
      </w:r>
      <w:r w:rsidRPr="004E77F7">
        <w:t xml:space="preserve"> </w:t>
      </w:r>
      <w:r w:rsidR="00EE42D9">
        <w:t>ranging from</w:t>
      </w:r>
      <w:r w:rsidRPr="004E77F7">
        <w:t xml:space="preserve"> 1.5 kW to 3 kW</w:t>
      </w:r>
      <w:r w:rsidR="00E12CA3">
        <w:t xml:space="preserve"> (</w:t>
      </w:r>
      <w:r w:rsidRPr="004E77F7">
        <w:t>9 to 18 m</w:t>
      </w:r>
      <w:r w:rsidR="00E32D46" w:rsidRPr="00A7635E">
        <w:rPr>
          <w:vertAlign w:val="superscript"/>
        </w:rPr>
        <w:t>2</w:t>
      </w:r>
      <w:r w:rsidR="008F7DF0">
        <w:t xml:space="preserve"> </w:t>
      </w:r>
      <w:r w:rsidR="00E12CA3">
        <w:t>collector area)</w:t>
      </w:r>
      <w:r w:rsidR="008F7DF0">
        <w:t>.</w:t>
      </w:r>
      <w:r w:rsidRPr="004E77F7">
        <w:t xml:space="preserve"> </w:t>
      </w:r>
      <w:r w:rsidR="008F7DF0">
        <w:t>PVWH</w:t>
      </w:r>
      <w:r w:rsidRPr="004E77F7">
        <w:t xml:space="preserve"> solar fractions for each location and array size are shown in </w:t>
      </w:r>
      <w:r w:rsidR="00A16B6F">
        <w:t>F</w:t>
      </w:r>
      <w:r w:rsidRPr="004E77F7">
        <w:t>igure</w:t>
      </w:r>
      <w:r w:rsidR="00A16B6F">
        <w:t xml:space="preserve"> 3</w:t>
      </w:r>
      <w:r w:rsidRPr="004E77F7">
        <w:t xml:space="preserve"> below.</w:t>
      </w:r>
      <w:r>
        <w:t xml:space="preserve"> For the smallest array size considered, solar fractions range from a maximum of 0.64 in Toronto, Winnipeg, and Regina to a minimum of 0.45 in Iqaluit. For the </w:t>
      </w:r>
      <w:proofErr w:type="gramStart"/>
      <w:r>
        <w:t>3 kW</w:t>
      </w:r>
      <w:proofErr w:type="gramEnd"/>
      <w:r>
        <w:t xml:space="preserve"> array size, solar fractions range from 0.91 in Winnipeg to 0.71 in Iqaluit.</w:t>
      </w:r>
    </w:p>
    <w:p w14:paraId="1E0D0A3A" w14:textId="1A400734" w:rsidR="00C5093E" w:rsidRDefault="00A81874" w:rsidP="008217D8">
      <w:pPr>
        <w:pStyle w:val="SWCText"/>
        <w:jc w:val="center"/>
      </w:pPr>
      <w:r>
        <w:rPr>
          <w:noProof/>
        </w:rPr>
        <w:drawing>
          <wp:inline distT="0" distB="0" distL="0" distR="0" wp14:anchorId="1D338039" wp14:editId="2518F531">
            <wp:extent cx="4423592" cy="2409825"/>
            <wp:effectExtent l="0" t="0" r="0" b="0"/>
            <wp:docPr id="14896418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37689" cy="2417504"/>
                    </a:xfrm>
                    <a:prstGeom prst="rect">
                      <a:avLst/>
                    </a:prstGeom>
                    <a:noFill/>
                  </pic:spPr>
                </pic:pic>
              </a:graphicData>
            </a:graphic>
          </wp:inline>
        </w:drawing>
      </w:r>
    </w:p>
    <w:p w14:paraId="53127C59" w14:textId="0338D556" w:rsidR="00734E43" w:rsidRDefault="00F25D9F" w:rsidP="00F25D9F">
      <w:pPr>
        <w:pStyle w:val="SWCTableFigureCaption"/>
      </w:pPr>
      <w:r>
        <w:t xml:space="preserve">Figure </w:t>
      </w:r>
      <w:r w:rsidR="00A16B6F">
        <w:t>3: Solar fractions of PVWH systems for 1</w:t>
      </w:r>
      <w:r w:rsidR="0032688C">
        <w:t>4</w:t>
      </w:r>
      <w:r w:rsidR="00A16B6F">
        <w:t xml:space="preserve"> locations, array sizes ranging from 1.5 kW to 3.0 kW</w:t>
      </w:r>
    </w:p>
    <w:p w14:paraId="6DC8D66A" w14:textId="77F97E08" w:rsidR="00F25D9F" w:rsidRDefault="00734E43" w:rsidP="00734E43">
      <w:pPr>
        <w:pStyle w:val="SWCText"/>
      </w:pPr>
      <w:r w:rsidRPr="00734E43">
        <w:t xml:space="preserve"> </w:t>
      </w:r>
      <w:r>
        <w:t xml:space="preserve">To directly compare the energy performance of the various systems, </w:t>
      </w:r>
      <w:r w:rsidR="001861D6">
        <w:t xml:space="preserve">Figure </w:t>
      </w:r>
      <w:r>
        <w:t>4 shows the SPF achieved by each configuration. The SPF of the EWH is of course under 1, as the energy conversion when taking losses into account is below 100%. The PVWH performance ranges from 1.8 to 2.2 for the smallest array size considered, and from 2.5 to 10 for the largest 3 kW system. The HPWH achieves an SPF of approximately 4 for each city before considering space heating effects, while the PVWH and PVT-HPWH are more dependent on location due to varying temperature and solar availability. The net SPF of the HPWH and PVT-HPWH systems demonstrate the influence of climate and location on the system performance, as the net increase to the annual space heating load results in lower SPF that varies from city to city. When considering the net SPF, the HPWH achieves performance comparable to the 1.8 kW PVWH.</w:t>
      </w:r>
    </w:p>
    <w:p w14:paraId="66F0020A" w14:textId="41CD59BD" w:rsidR="0004651B" w:rsidRDefault="0004651B" w:rsidP="00D5556A">
      <w:pPr>
        <w:pStyle w:val="SWCText"/>
        <w:jc w:val="center"/>
      </w:pPr>
      <w:r w:rsidRPr="0004651B">
        <w:rPr>
          <w:noProof/>
        </w:rPr>
        <w:lastRenderedPageBreak/>
        <w:drawing>
          <wp:inline distT="0" distB="0" distL="0" distR="0" wp14:anchorId="7DF88A1D" wp14:editId="5020FBCE">
            <wp:extent cx="5560695" cy="2987602"/>
            <wp:effectExtent l="0" t="0" r="1905" b="3810"/>
            <wp:docPr id="1238189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89013" name=""/>
                    <pic:cNvPicPr/>
                  </pic:nvPicPr>
                  <pic:blipFill>
                    <a:blip r:embed="rId11"/>
                    <a:stretch>
                      <a:fillRect/>
                    </a:stretch>
                  </pic:blipFill>
                  <pic:spPr>
                    <a:xfrm>
                      <a:off x="0" y="0"/>
                      <a:ext cx="5565323" cy="2990088"/>
                    </a:xfrm>
                    <a:prstGeom prst="rect">
                      <a:avLst/>
                    </a:prstGeom>
                  </pic:spPr>
                </pic:pic>
              </a:graphicData>
            </a:graphic>
          </wp:inline>
        </w:drawing>
      </w:r>
    </w:p>
    <w:p w14:paraId="754E15C1" w14:textId="25611F19" w:rsidR="00C5093E" w:rsidRDefault="00C5093E" w:rsidP="00D5556A">
      <w:pPr>
        <w:pStyle w:val="SWCTableFigureCaption"/>
      </w:pPr>
      <w:bookmarkStart w:id="3" w:name="_Ref214284409"/>
      <w:r>
        <w:t xml:space="preserve">Figure </w:t>
      </w:r>
      <w:bookmarkEnd w:id="3"/>
      <w:r w:rsidR="00EB44FC">
        <w:t>4</w:t>
      </w:r>
      <w:r>
        <w:t>: SPF of the PVWH, HPWH, PVT/HPWH systems for each location</w:t>
      </w:r>
    </w:p>
    <w:p w14:paraId="4FA58047" w14:textId="63F1826C" w:rsidR="00C5093E" w:rsidRDefault="00C5093E" w:rsidP="00B515AA">
      <w:pPr>
        <w:pStyle w:val="SWCText"/>
      </w:pPr>
      <w:r>
        <w:t>The impact on HPWH performance from environmental conditions is dominated by outdoor air temperature, while the PVWH is more impacted by solar availability, so the performance of each system varies according to location</w:t>
      </w:r>
      <w:r w:rsidR="00EB44FC">
        <w:t>, as shown in Figure 5</w:t>
      </w:r>
      <w:r>
        <w:t xml:space="preserve">. </w:t>
      </w:r>
      <w:r w:rsidR="004D5C70">
        <w:t>That is,</w:t>
      </w:r>
      <w:r>
        <w:t xml:space="preserve"> the PVWH performs better</w:t>
      </w:r>
      <w:r w:rsidR="00C11BD2">
        <w:t xml:space="preserve"> than the HPWH</w:t>
      </w:r>
      <w:r>
        <w:t xml:space="preserve"> in a sunny but cold location like Winnipeg</w:t>
      </w:r>
      <w:r w:rsidR="004B1629">
        <w:t xml:space="preserve"> </w:t>
      </w:r>
      <w:r w:rsidR="00C11BD2">
        <w:t>(</w:t>
      </w:r>
      <w:r w:rsidR="004B1629">
        <w:t>SPF</w:t>
      </w:r>
      <w:r w:rsidR="00C11BD2">
        <w:rPr>
          <w:vertAlign w:val="subscript"/>
        </w:rPr>
        <w:t>PVWH</w:t>
      </w:r>
      <w:r w:rsidR="004B1629">
        <w:t xml:space="preserve"> of </w:t>
      </w:r>
      <w:r w:rsidR="00FE4955">
        <w:t xml:space="preserve">3.56 </w:t>
      </w:r>
      <w:r w:rsidR="00C11BD2">
        <w:t xml:space="preserve">vs. </w:t>
      </w:r>
      <w:proofErr w:type="gramStart"/>
      <w:r w:rsidR="00C11BD2">
        <w:t>SPF</w:t>
      </w:r>
      <w:r w:rsidR="00C11BD2">
        <w:rPr>
          <w:vertAlign w:val="subscript"/>
        </w:rPr>
        <w:t>HPWH,net</w:t>
      </w:r>
      <w:proofErr w:type="gramEnd"/>
      <w:r w:rsidR="00C11BD2">
        <w:t xml:space="preserve"> of </w:t>
      </w:r>
      <w:r w:rsidR="00FE4955">
        <w:t>2.6</w:t>
      </w:r>
      <w:r w:rsidR="00C11BD2">
        <w:t>)</w:t>
      </w:r>
      <w:r w:rsidR="00FE4955">
        <w:t xml:space="preserve"> </w:t>
      </w:r>
      <w:r w:rsidR="00C82397">
        <w:t>while the</w:t>
      </w:r>
      <w:r>
        <w:t xml:space="preserve"> HPWH performs better in a mild but low solar resource location like Victoria</w:t>
      </w:r>
      <w:r w:rsidR="00C11BD2">
        <w:t xml:space="preserve"> (SPF</w:t>
      </w:r>
      <w:r w:rsidR="00C11BD2">
        <w:rPr>
          <w:vertAlign w:val="subscript"/>
        </w:rPr>
        <w:t>PVWH</w:t>
      </w:r>
      <w:r w:rsidR="00C11BD2">
        <w:t xml:space="preserve"> of </w:t>
      </w:r>
      <w:r w:rsidR="00F933D2">
        <w:t>2.67</w:t>
      </w:r>
      <w:r w:rsidR="00C11BD2">
        <w:t xml:space="preserve"> vs. </w:t>
      </w:r>
      <w:proofErr w:type="gramStart"/>
      <w:r w:rsidR="00C11BD2">
        <w:t>SPF</w:t>
      </w:r>
      <w:r w:rsidR="00C11BD2">
        <w:rPr>
          <w:vertAlign w:val="subscript"/>
        </w:rPr>
        <w:t>HPWH,net</w:t>
      </w:r>
      <w:proofErr w:type="gramEnd"/>
      <w:r w:rsidR="00C11BD2">
        <w:t xml:space="preserve"> of </w:t>
      </w:r>
      <w:r w:rsidR="00F933D2">
        <w:t>3.51</w:t>
      </w:r>
      <w:r w:rsidR="00C11BD2">
        <w:t>)</w:t>
      </w:r>
      <w:r w:rsidR="00526181">
        <w:t>.</w:t>
      </w:r>
    </w:p>
    <w:p w14:paraId="10C78F5D" w14:textId="72EDFB41" w:rsidR="000F34D0" w:rsidRDefault="00447C45" w:rsidP="00447C45">
      <w:pPr>
        <w:pStyle w:val="SWCText"/>
        <w:jc w:val="center"/>
      </w:pPr>
      <w:r>
        <w:rPr>
          <w:noProof/>
        </w:rPr>
        <w:drawing>
          <wp:inline distT="0" distB="0" distL="0" distR="0" wp14:anchorId="091B7435" wp14:editId="3646C3A5">
            <wp:extent cx="4731148" cy="2495550"/>
            <wp:effectExtent l="0" t="0" r="0" b="0"/>
            <wp:docPr id="85706429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37248" cy="2498767"/>
                    </a:xfrm>
                    <a:prstGeom prst="rect">
                      <a:avLst/>
                    </a:prstGeom>
                    <a:noFill/>
                  </pic:spPr>
                </pic:pic>
              </a:graphicData>
            </a:graphic>
          </wp:inline>
        </w:drawing>
      </w:r>
    </w:p>
    <w:p w14:paraId="3DF819E4" w14:textId="365D01AF" w:rsidR="006C7009" w:rsidRDefault="006C7009" w:rsidP="00D5556A">
      <w:pPr>
        <w:pStyle w:val="SWCTableFigureCaption"/>
      </w:pPr>
      <w:r>
        <w:t xml:space="preserve">Figure </w:t>
      </w:r>
      <w:r w:rsidR="00EB44FC">
        <w:t>5</w:t>
      </w:r>
      <w:r>
        <w:t>: S</w:t>
      </w:r>
      <w:r w:rsidR="00EB44FC">
        <w:t>easonal Performance Factor</w:t>
      </w:r>
      <w:r>
        <w:t xml:space="preserve"> of HPWH and PVWH (1.8 kW) in the 1</w:t>
      </w:r>
      <w:r w:rsidR="0032688C">
        <w:t>4</w:t>
      </w:r>
      <w:r>
        <w:t xml:space="preserve"> locations. </w:t>
      </w:r>
    </w:p>
    <w:p w14:paraId="4FD4A068" w14:textId="29166E52" w:rsidR="001535AE" w:rsidRDefault="00C5093E">
      <w:pPr>
        <w:pStyle w:val="SWCText"/>
      </w:pPr>
      <w:r>
        <w:t xml:space="preserve">For the end user, the main impact on cost effectiveness is electricity consumption. </w:t>
      </w:r>
      <w:r w:rsidRPr="004E77F7">
        <w:t xml:space="preserve">The annual electricity consumption of each modelled scenario is shown in </w:t>
      </w:r>
      <w:r w:rsidR="00B63C92">
        <w:t xml:space="preserve">Figure 6 </w:t>
      </w:r>
      <w:r w:rsidRPr="004E77F7">
        <w:t>below. The addition of each 300</w:t>
      </w:r>
      <w:r w:rsidR="00E52AF6">
        <w:t xml:space="preserve"> </w:t>
      </w:r>
      <w:r w:rsidRPr="004E77F7">
        <w:t xml:space="preserve">W </w:t>
      </w:r>
      <w:r w:rsidR="007A0042">
        <w:t xml:space="preserve">PV </w:t>
      </w:r>
      <w:r w:rsidRPr="004E77F7">
        <w:t>panel reduces the electricity requirements of the system in an inverse exponential relationship</w:t>
      </w:r>
      <w:r>
        <w:t xml:space="preserve">, </w:t>
      </w:r>
      <w:proofErr w:type="gramStart"/>
      <w:r>
        <w:t>and</w:t>
      </w:r>
      <w:r w:rsidR="007A0042">
        <w:t>,</w:t>
      </w:r>
      <w:proofErr w:type="gramEnd"/>
      <w:r>
        <w:t xml:space="preserve"> as indicated by the SPF results, the HPWH is comparable in most locations to the 1</w:t>
      </w:r>
      <w:r w:rsidR="00967ACC">
        <w:t>.8 k</w:t>
      </w:r>
      <w:r>
        <w:t>W PVWH</w:t>
      </w:r>
      <w:r w:rsidRPr="004E77F7">
        <w:t xml:space="preserve">. </w:t>
      </w:r>
    </w:p>
    <w:p w14:paraId="673C47D5" w14:textId="3B6ED40A" w:rsidR="001535AE" w:rsidRPr="00D5556A" w:rsidRDefault="001535AE" w:rsidP="00B515AA">
      <w:pPr>
        <w:pStyle w:val="SWCText"/>
      </w:pPr>
      <w:r>
        <w:t xml:space="preserve">Figure 6 </w:t>
      </w:r>
      <w:r w:rsidRPr="004E77F7">
        <w:t xml:space="preserve">incorporates the overall savings from the HPWH, and </w:t>
      </w:r>
      <w:r>
        <w:t xml:space="preserve">Figure 7 </w:t>
      </w:r>
      <w:r w:rsidRPr="004E77F7">
        <w:t xml:space="preserve">breaks down the annual energy savings associated with a </w:t>
      </w:r>
      <w:r w:rsidR="007F1B09">
        <w:t>HPWH</w:t>
      </w:r>
      <w:r w:rsidRPr="004E77F7">
        <w:t xml:space="preserve"> compared to a base </w:t>
      </w:r>
      <w:r w:rsidR="007F1B09">
        <w:t>EWH</w:t>
      </w:r>
      <w:r w:rsidRPr="004E77F7">
        <w:t>, with</w:t>
      </w:r>
      <w:r>
        <w:t xml:space="preserve"> the</w:t>
      </w:r>
      <w:r w:rsidRPr="004E77F7">
        <w:t xml:space="preserve"> increase in space heating load shown in orange. </w:t>
      </w:r>
      <w:r w:rsidR="00690953">
        <w:t>The PVWH is excluded from this analysis given that there is no heat pump element to the water heating, and therefore no reliance on ambient energy in the tank room</w:t>
      </w:r>
      <w:r w:rsidR="00B70AF0">
        <w:t xml:space="preserve">. </w:t>
      </w:r>
      <w:r w:rsidRPr="004E77F7">
        <w:t xml:space="preserve">The results of the simulations show that the DHW savings outweigh the penalty to space heating. One </w:t>
      </w:r>
      <w:r>
        <w:t>contributing factor</w:t>
      </w:r>
      <w:r w:rsidRPr="004E77F7">
        <w:t xml:space="preserve"> for this is that the water heater </w:t>
      </w:r>
      <w:proofErr w:type="gramStart"/>
      <w:r w:rsidRPr="004E77F7">
        <w:t>is located in</w:t>
      </w:r>
      <w:proofErr w:type="gramEnd"/>
      <w:r w:rsidRPr="004E77F7">
        <w:t xml:space="preserve"> the basement, and small fluctuations in air temperature do not immediately trigger the need for space heating. Additionally, on an annual basis, the heat pump is removing energy from the surrounding air during periods of both space heating and space cooling, so the overall annual impact is balanced somewhat. The results show that total energy savings are greatest in areas with lowest space heating requirements and lowest reliance on backup </w:t>
      </w:r>
      <w:r w:rsidRPr="004E77F7">
        <w:lastRenderedPageBreak/>
        <w:t>auxiliary heating. The maximum savings are found in Victoria, with 29% for HPWH and 35% for PVT-HPWH, which has 5222 kWh space heating and zero auxiliary electric heating load. The lowest percent savings are in</w:t>
      </w:r>
      <w:r w:rsidR="00DF04B1">
        <w:t xml:space="preserve"> </w:t>
      </w:r>
      <w:r w:rsidRPr="004E77F7">
        <w:t xml:space="preserve">Iqaluit, </w:t>
      </w:r>
      <w:r w:rsidR="00DF04B1" w:rsidRPr="004E77F7">
        <w:t>which depend</w:t>
      </w:r>
      <w:r w:rsidR="00DF04B1">
        <w:t>s</w:t>
      </w:r>
      <w:r w:rsidR="00DF04B1" w:rsidRPr="004E77F7">
        <w:t xml:space="preserve"> heavily on backup resistance heating given the extremely low outdoor air temperatures in the winter</w:t>
      </w:r>
      <w:r w:rsidR="00DF04B1">
        <w:t>, with savings of 5% and 6% for HPWH and PVT-HPWH respectively</w:t>
      </w:r>
      <w:r w:rsidRPr="004E77F7">
        <w:t>.</w:t>
      </w:r>
    </w:p>
    <w:p w14:paraId="28BB355E" w14:textId="3A92DFA0" w:rsidR="00C5093E" w:rsidRDefault="00C5093E" w:rsidP="00D5556A">
      <w:pPr>
        <w:pStyle w:val="SWCText"/>
      </w:pPr>
    </w:p>
    <w:p w14:paraId="7A5F6944" w14:textId="1E8BFFF9" w:rsidR="00CD1802" w:rsidRDefault="000E76F1" w:rsidP="00D5556A">
      <w:pPr>
        <w:pStyle w:val="SWCText"/>
        <w:jc w:val="center"/>
      </w:pPr>
      <w:r w:rsidRPr="000E76F1">
        <w:rPr>
          <w:noProof/>
        </w:rPr>
        <w:drawing>
          <wp:inline distT="0" distB="0" distL="0" distR="0" wp14:anchorId="5B2B462F" wp14:editId="263060B4">
            <wp:extent cx="5296359" cy="3505504"/>
            <wp:effectExtent l="0" t="0" r="0" b="0"/>
            <wp:docPr id="1953753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53561" name=""/>
                    <pic:cNvPicPr/>
                  </pic:nvPicPr>
                  <pic:blipFill>
                    <a:blip r:embed="rId13"/>
                    <a:stretch>
                      <a:fillRect/>
                    </a:stretch>
                  </pic:blipFill>
                  <pic:spPr>
                    <a:xfrm>
                      <a:off x="0" y="0"/>
                      <a:ext cx="5296359" cy="3505504"/>
                    </a:xfrm>
                    <a:prstGeom prst="rect">
                      <a:avLst/>
                    </a:prstGeom>
                  </pic:spPr>
                </pic:pic>
              </a:graphicData>
            </a:graphic>
          </wp:inline>
        </w:drawing>
      </w:r>
    </w:p>
    <w:p w14:paraId="30FB2CCB" w14:textId="2F99D22C" w:rsidR="00C5093E" w:rsidRDefault="00C5093E" w:rsidP="00D5556A">
      <w:pPr>
        <w:pStyle w:val="SWCTableFigureCaption"/>
      </w:pPr>
      <w:bookmarkStart w:id="4" w:name="_Ref214285408"/>
      <w:r>
        <w:t xml:space="preserve">Figure </w:t>
      </w:r>
      <w:bookmarkEnd w:id="4"/>
      <w:r w:rsidR="00EB44FC">
        <w:rPr>
          <w:color w:val="1F497D" w:themeColor="text2"/>
          <w:sz w:val="18"/>
          <w:szCs w:val="18"/>
        </w:rPr>
        <w:t>6</w:t>
      </w:r>
      <w:r>
        <w:t>: Comparison of the annual electricity consumption of PVWH systems ranging from 1500 to 3000 W, HPWH, PVT/HPWH, and EWH systems for 14 locations across Canada</w:t>
      </w:r>
    </w:p>
    <w:p w14:paraId="110DFB97" w14:textId="6A5382C6" w:rsidR="00C5093E" w:rsidRDefault="00C5093E" w:rsidP="00D5556A">
      <w:pPr>
        <w:pStyle w:val="SWCText"/>
      </w:pPr>
    </w:p>
    <w:p w14:paraId="72560D9C" w14:textId="6B1EF0B5" w:rsidR="00E56507" w:rsidRDefault="00EE2431" w:rsidP="00D5556A">
      <w:pPr>
        <w:pStyle w:val="SWCText"/>
        <w:jc w:val="center"/>
      </w:pPr>
      <w:r>
        <w:rPr>
          <w:noProof/>
        </w:rPr>
        <w:drawing>
          <wp:inline distT="0" distB="0" distL="0" distR="0" wp14:anchorId="162ECE40" wp14:editId="1F8EC52B">
            <wp:extent cx="5429624" cy="3484908"/>
            <wp:effectExtent l="0" t="0" r="0" b="1270"/>
            <wp:docPr id="16217502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33724" cy="3487540"/>
                    </a:xfrm>
                    <a:prstGeom prst="rect">
                      <a:avLst/>
                    </a:prstGeom>
                    <a:noFill/>
                  </pic:spPr>
                </pic:pic>
              </a:graphicData>
            </a:graphic>
          </wp:inline>
        </w:drawing>
      </w:r>
    </w:p>
    <w:p w14:paraId="57FB4354" w14:textId="476FFBC9" w:rsidR="001535AE" w:rsidRDefault="00C5093E">
      <w:pPr>
        <w:pStyle w:val="SWCTableFigureCaption"/>
      </w:pPr>
      <w:bookmarkStart w:id="5" w:name="_Ref214285438"/>
      <w:r>
        <w:t xml:space="preserve">Figure </w:t>
      </w:r>
      <w:bookmarkEnd w:id="5"/>
      <w:r w:rsidR="009A232E">
        <w:t>7</w:t>
      </w:r>
      <w:r>
        <w:t>: Impact of water heating on electricity consumption for houses equipped with HPWH or PVT/HPWH systems</w:t>
      </w:r>
    </w:p>
    <w:p w14:paraId="4B928047" w14:textId="77777777" w:rsidR="001535AE" w:rsidRDefault="001535AE">
      <w:pPr>
        <w:pStyle w:val="SWCTableFigureCaption"/>
      </w:pPr>
    </w:p>
    <w:p w14:paraId="32638622" w14:textId="77777777" w:rsidR="00E12E1C" w:rsidRDefault="00E12E1C" w:rsidP="00D5556A">
      <w:pPr>
        <w:pStyle w:val="SWCTableFigureCaption"/>
      </w:pPr>
    </w:p>
    <w:p w14:paraId="7ABB7176" w14:textId="77777777" w:rsidR="00C5093E" w:rsidRPr="004E77F7" w:rsidRDefault="00C5093E" w:rsidP="00294D31">
      <w:pPr>
        <w:pStyle w:val="SWCHeading1"/>
      </w:pPr>
      <w:r w:rsidRPr="004E77F7">
        <w:lastRenderedPageBreak/>
        <w:t>Economic Analysis</w:t>
      </w:r>
    </w:p>
    <w:p w14:paraId="4129F122" w14:textId="77777777" w:rsidR="00C5093E" w:rsidRPr="004E77F7" w:rsidRDefault="00C5093E" w:rsidP="00D5556A">
      <w:pPr>
        <w:pStyle w:val="SWCHeading11"/>
      </w:pPr>
      <w:r w:rsidRPr="004E77F7">
        <w:t>Capital and Operating Costs</w:t>
      </w:r>
    </w:p>
    <w:p w14:paraId="48C91C1E" w14:textId="38A3A1AC" w:rsidR="00A17C8E" w:rsidRPr="004E77F7" w:rsidRDefault="000E152B" w:rsidP="00A17C8E">
      <w:pPr>
        <w:pStyle w:val="SWCText"/>
      </w:pPr>
      <w:r>
        <w:t xml:space="preserve">There is a </w:t>
      </w:r>
      <w:r w:rsidR="00C5093E" w:rsidRPr="004E77F7">
        <w:t xml:space="preserve">lack of </w:t>
      </w:r>
      <w:r w:rsidR="004C0F0B">
        <w:t xml:space="preserve">published data for recent, national scale costing </w:t>
      </w:r>
      <w:r w:rsidR="00C5093E" w:rsidRPr="004E77F7">
        <w:t xml:space="preserve">for </w:t>
      </w:r>
      <w:r w:rsidR="004C0F0B">
        <w:t xml:space="preserve">residential </w:t>
      </w:r>
      <w:r w:rsidR="00C5093E" w:rsidRPr="004E77F7">
        <w:t xml:space="preserve">water heating </w:t>
      </w:r>
      <w:r w:rsidR="004C0F0B">
        <w:t xml:space="preserve">technologies in </w:t>
      </w:r>
      <w:r w:rsidR="00C5093E" w:rsidRPr="004E77F7">
        <w:t>Canada</w:t>
      </w:r>
      <w:r w:rsidR="004C0F0B">
        <w:t xml:space="preserve">. This study </w:t>
      </w:r>
      <w:r w:rsidR="00594930">
        <w:t>estimates</w:t>
      </w:r>
      <w:r w:rsidR="004C0F0B">
        <w:t xml:space="preserve"> </w:t>
      </w:r>
      <w:r w:rsidR="00C5093E" w:rsidRPr="004E77F7">
        <w:t xml:space="preserve">CAPEX for PVWH, HPWH, </w:t>
      </w:r>
      <w:r w:rsidR="00B04316">
        <w:t>EHW</w:t>
      </w:r>
      <w:r w:rsidR="00C5093E" w:rsidRPr="004E77F7">
        <w:t>, and PVT-HPWH</w:t>
      </w:r>
      <w:r w:rsidR="004C0F0B">
        <w:t xml:space="preserve"> using a variety of data sources including quotations </w:t>
      </w:r>
      <w:r w:rsidR="004C0F0B" w:rsidRPr="004E77F7">
        <w:t>from local suppliers</w:t>
      </w:r>
      <w:r w:rsidR="004C0F0B">
        <w:t xml:space="preserve"> based on personal communications, commercially available products</w:t>
      </w:r>
      <w:r w:rsidR="004C0F0B" w:rsidRPr="004E77F7">
        <w:t>, Greener Homes program</w:t>
      </w:r>
      <w:r w:rsidR="00DC2BBF">
        <w:t xml:space="preserve"> data</w:t>
      </w:r>
      <w:r w:rsidR="004C0F0B">
        <w:t xml:space="preserve"> </w:t>
      </w:r>
      <w:r w:rsidR="004C0F0B">
        <w:fldChar w:fldCharType="begin"/>
      </w:r>
      <w:r w:rsidR="00E806D2">
        <w:instrText xml:space="preserve"> ADDIN ZOTERO_ITEM CSL_CITATION {"citationID":"sbVuTrSP","properties":{"unsorted":false,"formattedCitation":"(Natural Resources Canada, 2022)","plainCitation":"(Natural Resources Canada, 2022)","noteIndex":0},"citationItems":[{"id":5271,"uris":["http://zotero.org/users/11724601/items/WUCXQM8L"],"itemData":{"id":5271,"type":"webpage","abstract":"The Canada Greener Homes Initiative helps homeowners save money, create jobs, and fight climate change.","language":"eng","note":"Last Modified: 2026-08-04","title":"Canada Greener Homes Initiative","URL":"https://natural-resources.canada.ca/energy-efficiency/home-energy-efficiency/canada-greener-homes-initiative/canada-greener-homes-initiative","author":[{"family":"Natural Resources Canada","given":""}],"accessed":{"date-parts":[["2026",8,7]]},"issued":{"date-parts":[["2022",12,28]]}}}],"schema":"https://github.com/citation-style-language/schema/raw/master/csl-citation.json"} </w:instrText>
      </w:r>
      <w:r w:rsidR="004C0F0B">
        <w:fldChar w:fldCharType="separate"/>
      </w:r>
      <w:r w:rsidR="00E806D2" w:rsidRPr="00E806D2">
        <w:t>(Natural Resources Canada, 2022)</w:t>
      </w:r>
      <w:r w:rsidR="004C0F0B">
        <w:fldChar w:fldCharType="end"/>
      </w:r>
      <w:r w:rsidR="00DC2BBF">
        <w:t xml:space="preserve">, and </w:t>
      </w:r>
      <w:r w:rsidR="00186A35">
        <w:t>U.S.</w:t>
      </w:r>
      <w:r w:rsidR="003D77F4">
        <w:t>-</w:t>
      </w:r>
      <w:r w:rsidR="00186A35">
        <w:t xml:space="preserve">based costing </w:t>
      </w:r>
      <w:r w:rsidR="004C0F0B">
        <w:fldChar w:fldCharType="begin"/>
      </w:r>
      <w:r w:rsidR="004C0F0B">
        <w:instrText xml:space="preserve"> ADDIN ZOTERO_ITEM CSL_CITATION {"citationID":"a311lBqM","properties":{"unsorted":false,"formattedCitation":"(Maguire et al., 2013)","plainCitation":"(Maguire et al., 2013)","noteIndex":0},"citationItems":[{"id":3377,"uris":["http://zotero.org/users/11724601/items/U7TT38NC"],"itemData":{"id":3377,"type":"article-journal","container-title":"Renewable Energy","language":"en","source":"Zotero","title":"Comparison of Advanced Residential Water Heating Technologies in the United States","author":[{"family":"Maguire","given":"Jeff"},{"family":"Fang","given":"Xia"},{"family":"Wilson","given":"Eric"}],"issued":{"date-parts":[["2013"]]}}}],"schema":"https://github.com/citation-style-language/schema/raw/master/csl-citation.json"} </w:instrText>
      </w:r>
      <w:r w:rsidR="004C0F0B">
        <w:fldChar w:fldCharType="separate"/>
      </w:r>
      <w:r w:rsidR="004C0F0B" w:rsidRPr="00880487">
        <w:t>(Maguire et al., 2013)</w:t>
      </w:r>
      <w:r w:rsidR="004C0F0B">
        <w:fldChar w:fldCharType="end"/>
      </w:r>
      <w:r w:rsidR="002D25A9">
        <w:t xml:space="preserve">. Based on the collected information, </w:t>
      </w:r>
      <w:r w:rsidR="004D4695">
        <w:t xml:space="preserve">average values for </w:t>
      </w:r>
      <w:r w:rsidR="002D25A9">
        <w:t xml:space="preserve">the </w:t>
      </w:r>
      <w:r w:rsidR="004D4695">
        <w:t>CAPEX</w:t>
      </w:r>
      <w:r w:rsidR="002D25A9">
        <w:t xml:space="preserve"> of each water heating technology</w:t>
      </w:r>
      <w:r w:rsidR="004D4695">
        <w:t xml:space="preserve"> were used in the analysis</w:t>
      </w:r>
      <w:r w:rsidR="00C5093E">
        <w:t>.</w:t>
      </w:r>
      <w:r w:rsidR="00681E3A">
        <w:t xml:space="preserve"> For example,</w:t>
      </w:r>
      <w:r w:rsidR="00C5093E">
        <w:t xml:space="preserve"> </w:t>
      </w:r>
      <w:r w:rsidR="00681E3A">
        <w:t xml:space="preserve">the range of costs of installed PV systems is between $2,486 and $3,534 CAD per kW, including inverter costs, therefore an average of $3,162 CAD per kW is used. </w:t>
      </w:r>
      <w:r w:rsidR="00F818D1">
        <w:t xml:space="preserve">In addition, a low-cost PVWH scenario was used to represent </w:t>
      </w:r>
      <w:r w:rsidR="002039A9">
        <w:t>favourable conditions for PV installation</w:t>
      </w:r>
      <w:r w:rsidR="00681E3A">
        <w:t xml:space="preserve">, using </w:t>
      </w:r>
      <w:r w:rsidR="00594930">
        <w:t>the lower bound of cost data points</w:t>
      </w:r>
      <w:r w:rsidR="002039A9">
        <w:t>.</w:t>
      </w:r>
      <w:r w:rsidR="008475D0">
        <w:t xml:space="preserve"> </w:t>
      </w:r>
    </w:p>
    <w:p w14:paraId="5771994D" w14:textId="0D95537B" w:rsidR="00C5093E" w:rsidRDefault="00C5093E" w:rsidP="00D5556A">
      <w:pPr>
        <w:pStyle w:val="SWCTableFigureCaption"/>
      </w:pPr>
      <w:r>
        <w:t xml:space="preserve">Table </w:t>
      </w:r>
      <w:r>
        <w:fldChar w:fldCharType="begin"/>
      </w:r>
      <w:r>
        <w:instrText xml:space="preserve"> SEQ Table \* ARABIC </w:instrText>
      </w:r>
      <w:r>
        <w:fldChar w:fldCharType="separate"/>
      </w:r>
      <w:r>
        <w:rPr>
          <w:noProof/>
        </w:rPr>
        <w:t>5</w:t>
      </w:r>
      <w:r>
        <w:fldChar w:fldCharType="end"/>
      </w:r>
      <w:r>
        <w:t>: CAPEX of example scenarios with no location factor</w:t>
      </w:r>
      <w:r w:rsidR="0098160B">
        <w:t xml:space="preserve">. </w:t>
      </w:r>
    </w:p>
    <w:tbl>
      <w:tblPr>
        <w:tblStyle w:val="TableGrid"/>
        <w:tblW w:w="0" w:type="auto"/>
        <w:jc w:val="center"/>
        <w:tblLayout w:type="fixed"/>
        <w:tblLook w:val="04A0" w:firstRow="1" w:lastRow="0" w:firstColumn="1" w:lastColumn="0" w:noHBand="0" w:noVBand="1"/>
      </w:tblPr>
      <w:tblGrid>
        <w:gridCol w:w="1838"/>
        <w:gridCol w:w="1134"/>
        <w:gridCol w:w="1394"/>
        <w:gridCol w:w="1753"/>
        <w:gridCol w:w="1636"/>
      </w:tblGrid>
      <w:tr w:rsidR="00CF4A56" w:rsidRPr="0066764F" w14:paraId="11E44812" w14:textId="77777777" w:rsidTr="00D5556A">
        <w:trPr>
          <w:trHeight w:val="330"/>
          <w:jc w:val="center"/>
        </w:trPr>
        <w:tc>
          <w:tcPr>
            <w:tcW w:w="1838" w:type="dxa"/>
          </w:tcPr>
          <w:p w14:paraId="429D4A2B" w14:textId="77777777" w:rsidR="00CF4A56" w:rsidRPr="00F61913" w:rsidRDefault="00CF4A56" w:rsidP="00D5556A">
            <w:pPr>
              <w:pStyle w:val="SWCTableHeader"/>
            </w:pPr>
            <w:r>
              <w:t>System</w:t>
            </w:r>
          </w:p>
        </w:tc>
        <w:tc>
          <w:tcPr>
            <w:tcW w:w="1134" w:type="dxa"/>
          </w:tcPr>
          <w:p w14:paraId="273335C7" w14:textId="1D23C0F4" w:rsidR="00CF4A56" w:rsidRPr="00F61913" w:rsidRDefault="00F3738F" w:rsidP="00D5556A">
            <w:pPr>
              <w:pStyle w:val="SWCTableHeader"/>
            </w:pPr>
            <w:r>
              <w:t>Array size (</w:t>
            </w:r>
            <w:r w:rsidR="00402266">
              <w:t>k</w:t>
            </w:r>
            <w:r>
              <w:t>W)</w:t>
            </w:r>
          </w:p>
        </w:tc>
        <w:tc>
          <w:tcPr>
            <w:tcW w:w="1394" w:type="dxa"/>
          </w:tcPr>
          <w:p w14:paraId="72A2EB2E" w14:textId="676C704D" w:rsidR="00CF4A56" w:rsidRPr="0066764F" w:rsidRDefault="0098160B" w:rsidP="00D5556A">
            <w:pPr>
              <w:pStyle w:val="SWCTableHeader"/>
            </w:pPr>
            <w:r>
              <w:t xml:space="preserve">Installed </w:t>
            </w:r>
            <w:r w:rsidR="00CF4A56">
              <w:t>Tank cost</w:t>
            </w:r>
          </w:p>
        </w:tc>
        <w:tc>
          <w:tcPr>
            <w:tcW w:w="1753" w:type="dxa"/>
          </w:tcPr>
          <w:p w14:paraId="6F254662" w14:textId="77777777" w:rsidR="00CF4A56" w:rsidRPr="0066764F" w:rsidRDefault="00CF4A56" w:rsidP="00D5556A">
            <w:pPr>
              <w:pStyle w:val="SWCTableHeader"/>
            </w:pPr>
            <w:r>
              <w:t>Installed solar cost</w:t>
            </w:r>
          </w:p>
        </w:tc>
        <w:tc>
          <w:tcPr>
            <w:tcW w:w="1636" w:type="dxa"/>
          </w:tcPr>
          <w:p w14:paraId="040A156A" w14:textId="77777777" w:rsidR="00CF4A56" w:rsidRPr="0066764F" w:rsidRDefault="00CF4A56" w:rsidP="00D5556A">
            <w:pPr>
              <w:pStyle w:val="SWCTableHeader"/>
            </w:pPr>
            <w:r>
              <w:t>Total CAPEX</w:t>
            </w:r>
          </w:p>
        </w:tc>
      </w:tr>
      <w:tr w:rsidR="009458B5" w:rsidRPr="0066764F" w14:paraId="793A2DC8" w14:textId="77777777" w:rsidTr="00D5556A">
        <w:trPr>
          <w:trHeight w:val="330"/>
          <w:jc w:val="center"/>
        </w:trPr>
        <w:tc>
          <w:tcPr>
            <w:tcW w:w="1838" w:type="dxa"/>
          </w:tcPr>
          <w:p w14:paraId="075613CF" w14:textId="77777777" w:rsidR="009458B5" w:rsidRPr="0066764F" w:rsidRDefault="009458B5" w:rsidP="009458B5">
            <w:pPr>
              <w:pStyle w:val="SWCText"/>
            </w:pPr>
            <w:r w:rsidRPr="00F61913">
              <w:t>PVWH</w:t>
            </w:r>
          </w:p>
        </w:tc>
        <w:tc>
          <w:tcPr>
            <w:tcW w:w="1134" w:type="dxa"/>
          </w:tcPr>
          <w:p w14:paraId="0C429CD5" w14:textId="7FAE08E9" w:rsidR="009458B5" w:rsidRPr="0066764F" w:rsidRDefault="009458B5" w:rsidP="009458B5">
            <w:pPr>
              <w:pStyle w:val="SWCText"/>
            </w:pPr>
            <w:r w:rsidRPr="00E24749">
              <w:t>1</w:t>
            </w:r>
            <w:r w:rsidR="00402266">
              <w:t>.</w:t>
            </w:r>
            <w:r w:rsidRPr="00E24749">
              <w:t>5</w:t>
            </w:r>
          </w:p>
        </w:tc>
        <w:tc>
          <w:tcPr>
            <w:tcW w:w="1394" w:type="dxa"/>
            <w:hideMark/>
          </w:tcPr>
          <w:p w14:paraId="7287466E" w14:textId="787E2424" w:rsidR="009458B5" w:rsidRPr="0066764F" w:rsidRDefault="009458B5" w:rsidP="009458B5">
            <w:pPr>
              <w:pStyle w:val="SWCText"/>
            </w:pPr>
            <w:r w:rsidRPr="00464195">
              <w:t>$1,62</w:t>
            </w:r>
            <w:r w:rsidR="00C269A7">
              <w:t>5</w:t>
            </w:r>
          </w:p>
        </w:tc>
        <w:tc>
          <w:tcPr>
            <w:tcW w:w="1753" w:type="dxa"/>
            <w:hideMark/>
          </w:tcPr>
          <w:p w14:paraId="4AA5ECDC" w14:textId="1A3D5F0F" w:rsidR="009458B5" w:rsidRPr="0066764F" w:rsidRDefault="009458B5" w:rsidP="009458B5">
            <w:pPr>
              <w:pStyle w:val="SWCText"/>
            </w:pPr>
            <w:r w:rsidRPr="008A16EE">
              <w:t xml:space="preserve"> $4,743</w:t>
            </w:r>
          </w:p>
        </w:tc>
        <w:tc>
          <w:tcPr>
            <w:tcW w:w="1636" w:type="dxa"/>
            <w:hideMark/>
          </w:tcPr>
          <w:p w14:paraId="5A7C9A59" w14:textId="3F747E2B" w:rsidR="009458B5" w:rsidRPr="0066764F" w:rsidRDefault="009458B5" w:rsidP="009458B5">
            <w:pPr>
              <w:pStyle w:val="SWCText"/>
            </w:pPr>
            <w:r w:rsidRPr="00A75351">
              <w:t xml:space="preserve"> $6,1</w:t>
            </w:r>
            <w:r w:rsidR="00216142">
              <w:t>40</w:t>
            </w:r>
          </w:p>
        </w:tc>
      </w:tr>
      <w:tr w:rsidR="009458B5" w:rsidRPr="0066764F" w14:paraId="3E960C58" w14:textId="77777777" w:rsidTr="00D5556A">
        <w:trPr>
          <w:trHeight w:val="330"/>
          <w:jc w:val="center"/>
        </w:trPr>
        <w:tc>
          <w:tcPr>
            <w:tcW w:w="1838" w:type="dxa"/>
          </w:tcPr>
          <w:p w14:paraId="575D87B0" w14:textId="53EA0D0D" w:rsidR="009458B5" w:rsidRPr="00F61913" w:rsidRDefault="009458B5" w:rsidP="009458B5">
            <w:pPr>
              <w:pStyle w:val="SWCText"/>
            </w:pPr>
            <w:r w:rsidRPr="00F61913">
              <w:t>PVWH</w:t>
            </w:r>
          </w:p>
        </w:tc>
        <w:tc>
          <w:tcPr>
            <w:tcW w:w="1134" w:type="dxa"/>
          </w:tcPr>
          <w:p w14:paraId="3A2B4501" w14:textId="1B87798B" w:rsidR="009458B5" w:rsidRPr="00F61913" w:rsidRDefault="009458B5" w:rsidP="009458B5">
            <w:pPr>
              <w:pStyle w:val="SWCText"/>
            </w:pPr>
            <w:r w:rsidRPr="00E24749">
              <w:t>1</w:t>
            </w:r>
            <w:r w:rsidR="00402266">
              <w:t>.</w:t>
            </w:r>
            <w:r w:rsidRPr="00E24749">
              <w:t>8</w:t>
            </w:r>
          </w:p>
        </w:tc>
        <w:tc>
          <w:tcPr>
            <w:tcW w:w="1394" w:type="dxa"/>
          </w:tcPr>
          <w:p w14:paraId="2902F794" w14:textId="7319088A" w:rsidR="009458B5" w:rsidRPr="0066764F" w:rsidRDefault="009458B5" w:rsidP="009458B5">
            <w:pPr>
              <w:pStyle w:val="SWCText"/>
            </w:pPr>
            <w:r w:rsidRPr="00464195">
              <w:t>$1,62</w:t>
            </w:r>
            <w:r w:rsidR="00C269A7">
              <w:t>5</w:t>
            </w:r>
          </w:p>
        </w:tc>
        <w:tc>
          <w:tcPr>
            <w:tcW w:w="1753" w:type="dxa"/>
          </w:tcPr>
          <w:p w14:paraId="71E0B5CA" w14:textId="22699CEE" w:rsidR="009458B5" w:rsidRPr="0066764F" w:rsidRDefault="009458B5" w:rsidP="009458B5">
            <w:pPr>
              <w:pStyle w:val="SWCText"/>
            </w:pPr>
            <w:r w:rsidRPr="008A16EE">
              <w:t xml:space="preserve"> $5,646</w:t>
            </w:r>
          </w:p>
        </w:tc>
        <w:tc>
          <w:tcPr>
            <w:tcW w:w="1636" w:type="dxa"/>
          </w:tcPr>
          <w:p w14:paraId="54AAFC18" w14:textId="48B6279C" w:rsidR="009458B5" w:rsidRPr="0066764F" w:rsidRDefault="009458B5" w:rsidP="009458B5">
            <w:pPr>
              <w:pStyle w:val="SWCText"/>
            </w:pPr>
            <w:r w:rsidRPr="00A75351">
              <w:t xml:space="preserve"> $7,04</w:t>
            </w:r>
            <w:r w:rsidR="00216142">
              <w:t>3</w:t>
            </w:r>
          </w:p>
        </w:tc>
      </w:tr>
      <w:tr w:rsidR="009458B5" w:rsidRPr="0066764F" w14:paraId="180713B9" w14:textId="77777777" w:rsidTr="00D5556A">
        <w:trPr>
          <w:trHeight w:val="330"/>
          <w:jc w:val="center"/>
        </w:trPr>
        <w:tc>
          <w:tcPr>
            <w:tcW w:w="1838" w:type="dxa"/>
          </w:tcPr>
          <w:p w14:paraId="31BB64D1" w14:textId="10B505E6" w:rsidR="009458B5" w:rsidRPr="00F61913" w:rsidRDefault="009458B5" w:rsidP="009458B5">
            <w:pPr>
              <w:pStyle w:val="SWCText"/>
            </w:pPr>
            <w:r w:rsidRPr="00F61913">
              <w:t>PVWH</w:t>
            </w:r>
          </w:p>
        </w:tc>
        <w:tc>
          <w:tcPr>
            <w:tcW w:w="1134" w:type="dxa"/>
          </w:tcPr>
          <w:p w14:paraId="7D177366" w14:textId="5A60550A" w:rsidR="009458B5" w:rsidRPr="00F61913" w:rsidRDefault="009458B5" w:rsidP="009458B5">
            <w:pPr>
              <w:pStyle w:val="SWCText"/>
            </w:pPr>
            <w:r w:rsidRPr="00E24749">
              <w:t>2</w:t>
            </w:r>
            <w:r w:rsidR="00402266">
              <w:t>.</w:t>
            </w:r>
            <w:r w:rsidRPr="00E24749">
              <w:t>1</w:t>
            </w:r>
          </w:p>
        </w:tc>
        <w:tc>
          <w:tcPr>
            <w:tcW w:w="1394" w:type="dxa"/>
          </w:tcPr>
          <w:p w14:paraId="07B30938" w14:textId="0F1A5AA6" w:rsidR="009458B5" w:rsidRPr="0066764F" w:rsidRDefault="009458B5" w:rsidP="009458B5">
            <w:pPr>
              <w:pStyle w:val="SWCText"/>
            </w:pPr>
            <w:r w:rsidRPr="00464195">
              <w:t>$1,62</w:t>
            </w:r>
            <w:r w:rsidR="00C269A7">
              <w:t>5</w:t>
            </w:r>
          </w:p>
        </w:tc>
        <w:tc>
          <w:tcPr>
            <w:tcW w:w="1753" w:type="dxa"/>
          </w:tcPr>
          <w:p w14:paraId="7A7551E0" w14:textId="01145705" w:rsidR="009458B5" w:rsidRPr="0066764F" w:rsidRDefault="009458B5" w:rsidP="009458B5">
            <w:pPr>
              <w:pStyle w:val="SWCText"/>
            </w:pPr>
            <w:r w:rsidRPr="008A16EE">
              <w:t xml:space="preserve"> $6,549</w:t>
            </w:r>
          </w:p>
        </w:tc>
        <w:tc>
          <w:tcPr>
            <w:tcW w:w="1636" w:type="dxa"/>
          </w:tcPr>
          <w:p w14:paraId="01D308D9" w14:textId="045AFD96" w:rsidR="009458B5" w:rsidRPr="0066764F" w:rsidRDefault="009458B5" w:rsidP="009458B5">
            <w:pPr>
              <w:pStyle w:val="SWCText"/>
            </w:pPr>
            <w:r w:rsidRPr="00A75351">
              <w:t xml:space="preserve"> $7,94</w:t>
            </w:r>
            <w:r w:rsidR="00216142">
              <w:t>6</w:t>
            </w:r>
          </w:p>
        </w:tc>
      </w:tr>
      <w:tr w:rsidR="009458B5" w:rsidRPr="0066764F" w14:paraId="05278307" w14:textId="77777777" w:rsidTr="00D5556A">
        <w:trPr>
          <w:trHeight w:val="330"/>
          <w:jc w:val="center"/>
        </w:trPr>
        <w:tc>
          <w:tcPr>
            <w:tcW w:w="1838" w:type="dxa"/>
          </w:tcPr>
          <w:p w14:paraId="11BC5A93" w14:textId="247B7E20" w:rsidR="009458B5" w:rsidRPr="00F61913" w:rsidRDefault="009458B5" w:rsidP="009458B5">
            <w:pPr>
              <w:pStyle w:val="SWCText"/>
            </w:pPr>
            <w:r w:rsidRPr="00F61913">
              <w:t>PVWH</w:t>
            </w:r>
          </w:p>
        </w:tc>
        <w:tc>
          <w:tcPr>
            <w:tcW w:w="1134" w:type="dxa"/>
          </w:tcPr>
          <w:p w14:paraId="01EB6CBB" w14:textId="01DC0496" w:rsidR="009458B5" w:rsidRPr="00F61913" w:rsidRDefault="009458B5" w:rsidP="009458B5">
            <w:pPr>
              <w:pStyle w:val="SWCText"/>
            </w:pPr>
            <w:r w:rsidRPr="00E24749">
              <w:t>2</w:t>
            </w:r>
            <w:r w:rsidR="00402266">
              <w:t>.</w:t>
            </w:r>
            <w:r w:rsidRPr="00E24749">
              <w:t>4</w:t>
            </w:r>
          </w:p>
        </w:tc>
        <w:tc>
          <w:tcPr>
            <w:tcW w:w="1394" w:type="dxa"/>
          </w:tcPr>
          <w:p w14:paraId="3FB705AB" w14:textId="31BF21C3" w:rsidR="009458B5" w:rsidRPr="0066764F" w:rsidRDefault="00C269A7" w:rsidP="009458B5">
            <w:pPr>
              <w:pStyle w:val="SWCText"/>
            </w:pPr>
            <w:r w:rsidRPr="00464195">
              <w:t>$1,62</w:t>
            </w:r>
            <w:r>
              <w:t>5</w:t>
            </w:r>
          </w:p>
        </w:tc>
        <w:tc>
          <w:tcPr>
            <w:tcW w:w="1753" w:type="dxa"/>
          </w:tcPr>
          <w:p w14:paraId="6B6152C1" w14:textId="0C7EF2A5" w:rsidR="009458B5" w:rsidRPr="0066764F" w:rsidRDefault="009458B5" w:rsidP="009458B5">
            <w:pPr>
              <w:pStyle w:val="SWCText"/>
            </w:pPr>
            <w:r w:rsidRPr="008A16EE">
              <w:t xml:space="preserve"> $7,452</w:t>
            </w:r>
          </w:p>
        </w:tc>
        <w:tc>
          <w:tcPr>
            <w:tcW w:w="1636" w:type="dxa"/>
          </w:tcPr>
          <w:p w14:paraId="0FB09A98" w14:textId="7D2F4BFD" w:rsidR="009458B5" w:rsidRPr="0066764F" w:rsidRDefault="009458B5" w:rsidP="009458B5">
            <w:pPr>
              <w:pStyle w:val="SWCText"/>
            </w:pPr>
            <w:r w:rsidRPr="00A75351">
              <w:t xml:space="preserve"> $8,84</w:t>
            </w:r>
            <w:r w:rsidR="00216142">
              <w:t>9</w:t>
            </w:r>
          </w:p>
        </w:tc>
      </w:tr>
      <w:tr w:rsidR="009458B5" w:rsidRPr="0066764F" w14:paraId="19248501" w14:textId="77777777" w:rsidTr="00D5556A">
        <w:trPr>
          <w:trHeight w:val="330"/>
          <w:jc w:val="center"/>
        </w:trPr>
        <w:tc>
          <w:tcPr>
            <w:tcW w:w="1838" w:type="dxa"/>
          </w:tcPr>
          <w:p w14:paraId="0F29FA8D" w14:textId="77777777" w:rsidR="009458B5" w:rsidRPr="0066764F" w:rsidRDefault="009458B5" w:rsidP="009458B5">
            <w:pPr>
              <w:pStyle w:val="SWCText"/>
            </w:pPr>
            <w:r w:rsidRPr="00F61913">
              <w:t>PVWH</w:t>
            </w:r>
          </w:p>
        </w:tc>
        <w:tc>
          <w:tcPr>
            <w:tcW w:w="1134" w:type="dxa"/>
          </w:tcPr>
          <w:p w14:paraId="587DB5C2" w14:textId="48906896" w:rsidR="009458B5" w:rsidRPr="0066764F" w:rsidRDefault="009458B5" w:rsidP="009458B5">
            <w:pPr>
              <w:pStyle w:val="SWCText"/>
            </w:pPr>
            <w:r w:rsidRPr="00E24749">
              <w:t>2</w:t>
            </w:r>
            <w:r w:rsidR="00402266">
              <w:t>.</w:t>
            </w:r>
            <w:r w:rsidRPr="00E24749">
              <w:t>7</w:t>
            </w:r>
          </w:p>
        </w:tc>
        <w:tc>
          <w:tcPr>
            <w:tcW w:w="1394" w:type="dxa"/>
            <w:hideMark/>
          </w:tcPr>
          <w:p w14:paraId="69B2B8B4" w14:textId="1A831945" w:rsidR="009458B5" w:rsidRPr="0066764F" w:rsidRDefault="009458B5" w:rsidP="009458B5">
            <w:pPr>
              <w:pStyle w:val="SWCText"/>
            </w:pPr>
            <w:r w:rsidRPr="0066764F">
              <w:t xml:space="preserve"> </w:t>
            </w:r>
            <w:r w:rsidR="00C269A7" w:rsidRPr="00464195">
              <w:t>$1,62</w:t>
            </w:r>
            <w:r w:rsidR="00C269A7">
              <w:t>5</w:t>
            </w:r>
          </w:p>
        </w:tc>
        <w:tc>
          <w:tcPr>
            <w:tcW w:w="1753" w:type="dxa"/>
            <w:hideMark/>
          </w:tcPr>
          <w:p w14:paraId="0864BA72" w14:textId="326D1A99" w:rsidR="009458B5" w:rsidRPr="0066764F" w:rsidRDefault="009458B5" w:rsidP="009458B5">
            <w:pPr>
              <w:pStyle w:val="SWCText"/>
            </w:pPr>
            <w:r w:rsidRPr="008A16EE">
              <w:t xml:space="preserve"> $8,355</w:t>
            </w:r>
          </w:p>
        </w:tc>
        <w:tc>
          <w:tcPr>
            <w:tcW w:w="1636" w:type="dxa"/>
            <w:hideMark/>
          </w:tcPr>
          <w:p w14:paraId="1B514DDB" w14:textId="1EA231B5" w:rsidR="009458B5" w:rsidRPr="0066764F" w:rsidRDefault="009458B5" w:rsidP="009458B5">
            <w:pPr>
              <w:pStyle w:val="SWCText"/>
            </w:pPr>
            <w:r w:rsidRPr="00A75351">
              <w:t xml:space="preserve"> $9,75</w:t>
            </w:r>
            <w:r w:rsidR="00216142">
              <w:t>2</w:t>
            </w:r>
            <w:r w:rsidRPr="00A75351">
              <w:t xml:space="preserve"> </w:t>
            </w:r>
          </w:p>
        </w:tc>
      </w:tr>
      <w:tr w:rsidR="00C269A7" w:rsidRPr="0066764F" w14:paraId="6CB38D6F" w14:textId="77777777" w:rsidTr="00D5556A">
        <w:trPr>
          <w:trHeight w:val="330"/>
          <w:jc w:val="center"/>
        </w:trPr>
        <w:tc>
          <w:tcPr>
            <w:tcW w:w="1838" w:type="dxa"/>
          </w:tcPr>
          <w:p w14:paraId="66F095A0" w14:textId="4D683C6A" w:rsidR="00C269A7" w:rsidRPr="00F61913" w:rsidRDefault="00C269A7" w:rsidP="00C269A7">
            <w:pPr>
              <w:pStyle w:val="SWCText"/>
            </w:pPr>
            <w:r w:rsidRPr="00F61913">
              <w:t>PVWH</w:t>
            </w:r>
          </w:p>
        </w:tc>
        <w:tc>
          <w:tcPr>
            <w:tcW w:w="1134" w:type="dxa"/>
          </w:tcPr>
          <w:p w14:paraId="36A9005B" w14:textId="3A09EA1E" w:rsidR="00C269A7" w:rsidRPr="00F61913" w:rsidRDefault="00C269A7" w:rsidP="00C269A7">
            <w:pPr>
              <w:pStyle w:val="SWCText"/>
            </w:pPr>
            <w:r w:rsidRPr="00E24749">
              <w:t>3</w:t>
            </w:r>
            <w:r>
              <w:t>.</w:t>
            </w:r>
            <w:r w:rsidRPr="00E24749">
              <w:t>0</w:t>
            </w:r>
          </w:p>
        </w:tc>
        <w:tc>
          <w:tcPr>
            <w:tcW w:w="1394" w:type="dxa"/>
          </w:tcPr>
          <w:p w14:paraId="0C7F65C0" w14:textId="4F59A33A" w:rsidR="00C269A7" w:rsidRPr="0066764F" w:rsidRDefault="00C269A7" w:rsidP="00C269A7">
            <w:pPr>
              <w:pStyle w:val="SWCText"/>
            </w:pPr>
            <w:r w:rsidRPr="00384F7E">
              <w:t>$1,625</w:t>
            </w:r>
          </w:p>
        </w:tc>
        <w:tc>
          <w:tcPr>
            <w:tcW w:w="1753" w:type="dxa"/>
          </w:tcPr>
          <w:p w14:paraId="0E6F1D31" w14:textId="3CD7C3EF" w:rsidR="00C269A7" w:rsidRPr="0066764F" w:rsidRDefault="00C269A7" w:rsidP="00C269A7">
            <w:pPr>
              <w:pStyle w:val="SWCText"/>
            </w:pPr>
            <w:r w:rsidRPr="008A16EE">
              <w:t xml:space="preserve"> $9,258</w:t>
            </w:r>
          </w:p>
        </w:tc>
        <w:tc>
          <w:tcPr>
            <w:tcW w:w="1636" w:type="dxa"/>
          </w:tcPr>
          <w:p w14:paraId="57BF9B3E" w14:textId="40A8FCDD" w:rsidR="00C269A7" w:rsidRPr="0066764F" w:rsidRDefault="00C269A7" w:rsidP="00C269A7">
            <w:pPr>
              <w:pStyle w:val="SWCText"/>
            </w:pPr>
            <w:r w:rsidRPr="00A75351">
              <w:t xml:space="preserve"> $10,65</w:t>
            </w:r>
            <w:r w:rsidR="00216142">
              <w:t>5</w:t>
            </w:r>
            <w:r w:rsidRPr="00A75351">
              <w:t xml:space="preserve"> </w:t>
            </w:r>
          </w:p>
        </w:tc>
      </w:tr>
      <w:tr w:rsidR="00C269A7" w:rsidRPr="0066764F" w14:paraId="596B3539" w14:textId="77777777" w:rsidTr="00D5556A">
        <w:trPr>
          <w:trHeight w:val="330"/>
          <w:jc w:val="center"/>
        </w:trPr>
        <w:tc>
          <w:tcPr>
            <w:tcW w:w="1838" w:type="dxa"/>
          </w:tcPr>
          <w:p w14:paraId="738B5730" w14:textId="329786D5" w:rsidR="00C269A7" w:rsidRPr="00F61913" w:rsidRDefault="00C269A7" w:rsidP="00C269A7">
            <w:pPr>
              <w:pStyle w:val="SWCText"/>
            </w:pPr>
            <w:r>
              <w:t>PVWH – Low Cost</w:t>
            </w:r>
          </w:p>
        </w:tc>
        <w:tc>
          <w:tcPr>
            <w:tcW w:w="1134" w:type="dxa"/>
          </w:tcPr>
          <w:p w14:paraId="439CB018" w14:textId="0B5D7C88" w:rsidR="00C269A7" w:rsidRPr="00E24749" w:rsidRDefault="00C269A7" w:rsidP="00C269A7">
            <w:pPr>
              <w:pStyle w:val="SWCText"/>
            </w:pPr>
            <w:r>
              <w:t>1.8</w:t>
            </w:r>
          </w:p>
        </w:tc>
        <w:tc>
          <w:tcPr>
            <w:tcW w:w="1394" w:type="dxa"/>
          </w:tcPr>
          <w:p w14:paraId="6D1C52AC" w14:textId="2DF982A1" w:rsidR="00C269A7" w:rsidRPr="00464195" w:rsidRDefault="00C269A7" w:rsidP="00C269A7">
            <w:pPr>
              <w:pStyle w:val="SWCText"/>
            </w:pPr>
            <w:r w:rsidRPr="00384F7E">
              <w:t>$1,625</w:t>
            </w:r>
          </w:p>
        </w:tc>
        <w:tc>
          <w:tcPr>
            <w:tcW w:w="1753" w:type="dxa"/>
          </w:tcPr>
          <w:p w14:paraId="729C7509" w14:textId="581513E2" w:rsidR="00C269A7" w:rsidRPr="008A16EE" w:rsidRDefault="00C269A7" w:rsidP="00C269A7">
            <w:pPr>
              <w:pStyle w:val="SWCText"/>
            </w:pPr>
            <w:r w:rsidRPr="007E5EB4">
              <w:t>$4,47</w:t>
            </w:r>
            <w:r>
              <w:t>5</w:t>
            </w:r>
          </w:p>
        </w:tc>
        <w:tc>
          <w:tcPr>
            <w:tcW w:w="1636" w:type="dxa"/>
          </w:tcPr>
          <w:p w14:paraId="7742D17A" w14:textId="3BA8A430" w:rsidR="00C269A7" w:rsidRPr="00A75351" w:rsidRDefault="00C269A7" w:rsidP="00C269A7">
            <w:pPr>
              <w:pStyle w:val="SWCText"/>
            </w:pPr>
            <w:r>
              <w:t>$6,</w:t>
            </w:r>
            <w:r w:rsidR="00216142">
              <w:t>100</w:t>
            </w:r>
          </w:p>
        </w:tc>
      </w:tr>
      <w:tr w:rsidR="00B06F95" w:rsidRPr="0066764F" w14:paraId="327185FB" w14:textId="77777777" w:rsidTr="00D5556A">
        <w:trPr>
          <w:trHeight w:val="330"/>
          <w:jc w:val="center"/>
        </w:trPr>
        <w:tc>
          <w:tcPr>
            <w:tcW w:w="1838" w:type="dxa"/>
          </w:tcPr>
          <w:p w14:paraId="00D614B8" w14:textId="77777777" w:rsidR="00B06F95" w:rsidRPr="0066764F" w:rsidRDefault="00B06F95" w:rsidP="00B06F95">
            <w:pPr>
              <w:pStyle w:val="SWCText"/>
            </w:pPr>
            <w:r w:rsidRPr="00F61913">
              <w:t>HPWH</w:t>
            </w:r>
          </w:p>
        </w:tc>
        <w:tc>
          <w:tcPr>
            <w:tcW w:w="1134" w:type="dxa"/>
          </w:tcPr>
          <w:p w14:paraId="2FE575A4" w14:textId="77777777" w:rsidR="00B06F95" w:rsidRPr="0066764F" w:rsidRDefault="00B06F95" w:rsidP="00B06F95">
            <w:pPr>
              <w:pStyle w:val="SWCText"/>
            </w:pPr>
            <w:r w:rsidRPr="00F61913">
              <w:t>N/A</w:t>
            </w:r>
          </w:p>
        </w:tc>
        <w:tc>
          <w:tcPr>
            <w:tcW w:w="1394" w:type="dxa"/>
            <w:hideMark/>
          </w:tcPr>
          <w:p w14:paraId="10DEE129" w14:textId="4FAF8C2B" w:rsidR="00B06F95" w:rsidRPr="0066764F" w:rsidRDefault="00B06F95" w:rsidP="00B06F95">
            <w:pPr>
              <w:pStyle w:val="SWCText"/>
            </w:pPr>
            <w:r w:rsidRPr="0066764F">
              <w:t xml:space="preserve"> $5,589</w:t>
            </w:r>
          </w:p>
        </w:tc>
        <w:tc>
          <w:tcPr>
            <w:tcW w:w="1753" w:type="dxa"/>
            <w:hideMark/>
          </w:tcPr>
          <w:p w14:paraId="517092EF" w14:textId="77777777" w:rsidR="00B06F95" w:rsidRPr="0066764F" w:rsidRDefault="00B06F95" w:rsidP="00B06F95">
            <w:pPr>
              <w:pStyle w:val="SWCText"/>
            </w:pPr>
            <w:r w:rsidRPr="0066764F">
              <w:t xml:space="preserve"> N/A </w:t>
            </w:r>
          </w:p>
        </w:tc>
        <w:tc>
          <w:tcPr>
            <w:tcW w:w="1636" w:type="dxa"/>
            <w:hideMark/>
          </w:tcPr>
          <w:p w14:paraId="66C1C362" w14:textId="1CA13972" w:rsidR="00B06F95" w:rsidRPr="0066764F" w:rsidRDefault="00B06F95" w:rsidP="00B06F95">
            <w:pPr>
              <w:pStyle w:val="SWCText"/>
            </w:pPr>
            <w:r w:rsidRPr="0066764F">
              <w:t xml:space="preserve"> $5,589</w:t>
            </w:r>
          </w:p>
        </w:tc>
      </w:tr>
      <w:tr w:rsidR="00B06F95" w:rsidRPr="0066764F" w14:paraId="312D6027" w14:textId="77777777" w:rsidTr="00D5556A">
        <w:trPr>
          <w:trHeight w:val="330"/>
          <w:jc w:val="center"/>
        </w:trPr>
        <w:tc>
          <w:tcPr>
            <w:tcW w:w="1838" w:type="dxa"/>
          </w:tcPr>
          <w:p w14:paraId="1E28EDD2" w14:textId="70258C80" w:rsidR="00B06F95" w:rsidRPr="0066764F" w:rsidRDefault="00C76C46" w:rsidP="00B06F95">
            <w:pPr>
              <w:pStyle w:val="SWCText"/>
            </w:pPr>
            <w:r>
              <w:t>EHW</w:t>
            </w:r>
          </w:p>
        </w:tc>
        <w:tc>
          <w:tcPr>
            <w:tcW w:w="1134" w:type="dxa"/>
          </w:tcPr>
          <w:p w14:paraId="23385B65" w14:textId="77777777" w:rsidR="00B06F95" w:rsidRPr="0066764F" w:rsidRDefault="00B06F95" w:rsidP="00B06F95">
            <w:pPr>
              <w:pStyle w:val="SWCText"/>
            </w:pPr>
            <w:r w:rsidRPr="00F61913">
              <w:t>N/A</w:t>
            </w:r>
          </w:p>
        </w:tc>
        <w:tc>
          <w:tcPr>
            <w:tcW w:w="1394" w:type="dxa"/>
            <w:hideMark/>
          </w:tcPr>
          <w:p w14:paraId="4416FDD2" w14:textId="6B8BEC47" w:rsidR="00B06F95" w:rsidRPr="0066764F" w:rsidRDefault="00B06F95" w:rsidP="00B06F95">
            <w:pPr>
              <w:pStyle w:val="SWCText"/>
            </w:pPr>
            <w:r w:rsidRPr="00464195">
              <w:t>$1,62</w:t>
            </w:r>
            <w:r w:rsidR="00C269A7">
              <w:t>5</w:t>
            </w:r>
          </w:p>
        </w:tc>
        <w:tc>
          <w:tcPr>
            <w:tcW w:w="1753" w:type="dxa"/>
            <w:hideMark/>
          </w:tcPr>
          <w:p w14:paraId="411429BF" w14:textId="77777777" w:rsidR="00B06F95" w:rsidRPr="0066764F" w:rsidRDefault="00B06F95" w:rsidP="00B06F95">
            <w:pPr>
              <w:pStyle w:val="SWCText"/>
            </w:pPr>
            <w:r w:rsidRPr="0066764F">
              <w:t xml:space="preserve"> N/A </w:t>
            </w:r>
          </w:p>
        </w:tc>
        <w:tc>
          <w:tcPr>
            <w:tcW w:w="1636" w:type="dxa"/>
            <w:hideMark/>
          </w:tcPr>
          <w:p w14:paraId="3D9250AA" w14:textId="71F461A4" w:rsidR="00B06F95" w:rsidRPr="0066764F" w:rsidRDefault="00B06F95" w:rsidP="00B06F95">
            <w:pPr>
              <w:pStyle w:val="SWCText"/>
            </w:pPr>
            <w:r w:rsidRPr="0066764F">
              <w:t xml:space="preserve"> $1,39</w:t>
            </w:r>
            <w:r w:rsidR="00C269A7">
              <w:t>7</w:t>
            </w:r>
          </w:p>
        </w:tc>
      </w:tr>
      <w:tr w:rsidR="00B06F95" w:rsidRPr="0066764F" w14:paraId="36793189" w14:textId="77777777" w:rsidTr="00D5556A">
        <w:trPr>
          <w:trHeight w:val="330"/>
          <w:jc w:val="center"/>
        </w:trPr>
        <w:tc>
          <w:tcPr>
            <w:tcW w:w="1838" w:type="dxa"/>
          </w:tcPr>
          <w:p w14:paraId="58F8BDE6" w14:textId="77777777" w:rsidR="00B06F95" w:rsidRPr="0066764F" w:rsidRDefault="00B06F95" w:rsidP="00B06F95">
            <w:pPr>
              <w:pStyle w:val="SWCText"/>
            </w:pPr>
            <w:r w:rsidRPr="00F61913">
              <w:t>PVT-HPWH</w:t>
            </w:r>
          </w:p>
        </w:tc>
        <w:tc>
          <w:tcPr>
            <w:tcW w:w="1134" w:type="dxa"/>
          </w:tcPr>
          <w:p w14:paraId="5999FBE4" w14:textId="71A35017" w:rsidR="00B06F95" w:rsidRPr="0066764F" w:rsidRDefault="00D41CBB" w:rsidP="00B06F95">
            <w:pPr>
              <w:pStyle w:val="SWCText"/>
            </w:pPr>
            <w:r>
              <w:t>0.</w:t>
            </w:r>
            <w:r w:rsidR="00B06F95">
              <w:t>7</w:t>
            </w:r>
          </w:p>
        </w:tc>
        <w:tc>
          <w:tcPr>
            <w:tcW w:w="1394" w:type="dxa"/>
            <w:hideMark/>
          </w:tcPr>
          <w:p w14:paraId="036143C8" w14:textId="4752C88A" w:rsidR="00B06F95" w:rsidRPr="0066764F" w:rsidRDefault="00B06F95" w:rsidP="00B06F95">
            <w:pPr>
              <w:pStyle w:val="SWCText"/>
            </w:pPr>
            <w:r w:rsidRPr="00403C12">
              <w:t>$6,206</w:t>
            </w:r>
          </w:p>
        </w:tc>
        <w:tc>
          <w:tcPr>
            <w:tcW w:w="1753" w:type="dxa"/>
            <w:hideMark/>
          </w:tcPr>
          <w:p w14:paraId="4571FCFD" w14:textId="44F781CE" w:rsidR="00B06F95" w:rsidRPr="0066764F" w:rsidRDefault="00B06F95" w:rsidP="00B06F95">
            <w:pPr>
              <w:pStyle w:val="SWCText"/>
            </w:pPr>
            <w:r w:rsidRPr="0066764F">
              <w:t xml:space="preserve"> </w:t>
            </w:r>
            <w:proofErr w:type="gramStart"/>
            <w:r w:rsidRPr="0066764F">
              <w:t>$  4,56</w:t>
            </w:r>
            <w:r w:rsidR="00C269A7">
              <w:t>7</w:t>
            </w:r>
            <w:proofErr w:type="gramEnd"/>
            <w:r w:rsidRPr="0066764F">
              <w:t xml:space="preserve"> </w:t>
            </w:r>
          </w:p>
        </w:tc>
        <w:tc>
          <w:tcPr>
            <w:tcW w:w="1636" w:type="dxa"/>
            <w:hideMark/>
          </w:tcPr>
          <w:p w14:paraId="41034BA1" w14:textId="663B8317" w:rsidR="00B06F95" w:rsidRPr="0066764F" w:rsidRDefault="00B06F95" w:rsidP="00B06F95">
            <w:pPr>
              <w:pStyle w:val="SWCText"/>
            </w:pPr>
            <w:r w:rsidRPr="0066764F">
              <w:t xml:space="preserve"> $10,69</w:t>
            </w:r>
            <w:r w:rsidR="00C269A7">
              <w:t>5</w:t>
            </w:r>
          </w:p>
        </w:tc>
      </w:tr>
    </w:tbl>
    <w:p w14:paraId="3476B142" w14:textId="1420FF98" w:rsidR="00C5093E" w:rsidRPr="004E77F7" w:rsidRDefault="00336380" w:rsidP="001E2C79">
      <w:pPr>
        <w:pStyle w:val="SWCText"/>
      </w:pPr>
      <w:r>
        <w:rPr>
          <w:b/>
          <w:bCs/>
        </w:rPr>
        <w:br/>
      </w:r>
      <w:r w:rsidR="00C5093E" w:rsidRPr="004E77F7">
        <w:t>Electricity costs</w:t>
      </w:r>
      <w:r w:rsidR="00BF4B0F">
        <w:t xml:space="preserve"> are</w:t>
      </w:r>
      <w:r w:rsidR="00C5093E" w:rsidRPr="004E77F7">
        <w:t xml:space="preserve"> as shown in </w:t>
      </w:r>
      <w:r w:rsidR="00D32D4F">
        <w:t>Table 6</w:t>
      </w:r>
      <w:r w:rsidR="00301C5E">
        <w:t xml:space="preserve"> based on provincial values </w:t>
      </w:r>
      <w:r w:rsidR="00301C5E">
        <w:fldChar w:fldCharType="begin"/>
      </w:r>
      <w:r w:rsidR="00301C5E">
        <w:instrText xml:space="preserve"> ADDIN ZOTERO_ITEM CSL_CITATION {"citationID":"ZVkVM3Pz","properties":{"unsorted":false,"formattedCitation":"(Treichel and Cruickshank, 2021)","plainCitation":"(Treichel and Cruickshank, 2021)","noteIndex":0},"citationItems":[{"id":3103,"uris":["http://zotero.org/users/11724601/items/5HDQMHL5"],"itemData":{"id":3103,"type":"article-journal","abstract":"Heat pump water heaters (HPWHs) could reduce residential energy consumption but there are two barriers preventing their uptake: the space cooling effect which increases space heating costs in cold climates and the high capital costs. These barriers may be mitigated by coupling a HPWH with an air-based solar collector to preheat inlet HPWH air, and using a lifecycle thinking approach to evaluate HPWHs or solar-assisted HPWHs (SAHPWHs) to encompass low operating costs. The objective of this study was to economically analyze the HPWH and SAHPWH across Canada and the United States to determine locations in which the systems are economically feasible as a method for reducing residential greenhouse gas emissions. The methodology for this included simulating the HPWH and SAHPWH performance using an experimentally validated TRNSYS model. The results show that HPWHs are typically more feasible than SAHPWHs except in locations with high electricity rates or long heating seasons, or locations with fossil fuel dominant electricity grids when carbon pricing is considered. As such, each location must be studied to determine which options are economically suitable. The findings presented illustrate economical clean water heating options, and subsidies that could be introduced to further encourage uptake of low carbon water heating.","container-title":"Journal of Building Engineering","DOI":"10.1016/j.jobe.2020.102034","ISSN":"2352-7102","journalAbbreviation":"Journal of Building Engineering","page":"102034","source":"ScienceDirect","title":"Economic analysis of heat pump water heaters coupled with air-based solar thermal collectors in Canada and the United States","volume":"35","author":[{"family":"Treichel","given":"Calene"},{"family":"Cruickshank","given":"Cynthia A."}],"issued":{"date-parts":[["2021",3,1]]}}}],"schema":"https://github.com/citation-style-language/schema/raw/master/csl-citation.json"} </w:instrText>
      </w:r>
      <w:r w:rsidR="00301C5E">
        <w:fldChar w:fldCharType="separate"/>
      </w:r>
      <w:r w:rsidR="00301C5E" w:rsidRPr="00301C5E">
        <w:t>(Treichel and Cruickshank, 2021)</w:t>
      </w:r>
      <w:r w:rsidR="00301C5E">
        <w:fldChar w:fldCharType="end"/>
      </w:r>
      <w:r w:rsidR="00C5093E" w:rsidRPr="004E77F7">
        <w:t xml:space="preserve">. RSMeans location factors were </w:t>
      </w:r>
      <w:r w:rsidR="00534545">
        <w:t>applied to the CAPEX</w:t>
      </w:r>
      <w:r w:rsidR="00CB37B9">
        <w:t xml:space="preserve"> values for each scenario to represent regional cost differences. There is</w:t>
      </w:r>
      <w:r w:rsidR="00534545">
        <w:t xml:space="preserve"> </w:t>
      </w:r>
      <w:r w:rsidR="00C5093E" w:rsidRPr="004E77F7">
        <w:t xml:space="preserve">no factor available for </w:t>
      </w:r>
      <w:proofErr w:type="gramStart"/>
      <w:r w:rsidR="00C5093E" w:rsidRPr="004E77F7">
        <w:t>Iqaluit</w:t>
      </w:r>
      <w:proofErr w:type="gramEnd"/>
      <w:r w:rsidR="00C5093E" w:rsidRPr="004E77F7">
        <w:t xml:space="preserve"> so the Yellowknife figure is used</w:t>
      </w:r>
      <w:r w:rsidR="00CB37B9">
        <w:t xml:space="preserve">, though </w:t>
      </w:r>
      <w:r w:rsidR="00C5093E" w:rsidRPr="004E77F7">
        <w:t xml:space="preserve">Iqaluit is significantly more </w:t>
      </w:r>
      <w:proofErr w:type="gramStart"/>
      <w:r w:rsidR="00C5093E" w:rsidRPr="004E77F7">
        <w:t>remote</w:t>
      </w:r>
      <w:proofErr w:type="gramEnd"/>
      <w:r w:rsidR="00C5093E" w:rsidRPr="004E77F7">
        <w:t xml:space="preserve"> so this is likely an underestimate. </w:t>
      </w:r>
      <w:r w:rsidR="001E2C79" w:rsidRPr="004E77F7">
        <w:t xml:space="preserve">Operating costs were calculated based on the annual electricity </w:t>
      </w:r>
      <w:r w:rsidR="00D832C3">
        <w:t>consumption</w:t>
      </w:r>
      <w:r w:rsidR="00D832C3" w:rsidRPr="004E77F7">
        <w:t xml:space="preserve"> </w:t>
      </w:r>
      <w:r w:rsidR="001E2C79" w:rsidRPr="004E77F7">
        <w:t xml:space="preserve">for the </w:t>
      </w:r>
      <w:r w:rsidR="00594930">
        <w:t>DHW</w:t>
      </w:r>
      <w:r w:rsidR="001E2C79" w:rsidRPr="004E77F7">
        <w:t xml:space="preserve"> load, plus the difference in electricity costs related to space heating and cooling in the case of the HPWH and PVT-HPWH scenarios. </w:t>
      </w:r>
    </w:p>
    <w:p w14:paraId="487AF72F" w14:textId="50FA35D2" w:rsidR="00C5093E" w:rsidRDefault="00534545" w:rsidP="00D5556A">
      <w:pPr>
        <w:pStyle w:val="SWCTableFigureCaption"/>
      </w:pPr>
      <w:r>
        <w:t xml:space="preserve">Table </w:t>
      </w:r>
      <w:r w:rsidR="00D32D4F">
        <w:t>6</w:t>
      </w:r>
      <w:r>
        <w:t xml:space="preserve">: Location </w:t>
      </w:r>
      <w:r w:rsidR="00BC4B21">
        <w:t>dependent</w:t>
      </w:r>
      <w:r>
        <w:t xml:space="preserve"> costs for electricity and </w:t>
      </w:r>
      <w:r w:rsidR="00CB37B9">
        <w:t>CAPEX/OPEX</w:t>
      </w:r>
    </w:p>
    <w:tbl>
      <w:tblPr>
        <w:tblStyle w:val="TableGrid"/>
        <w:tblW w:w="0" w:type="auto"/>
        <w:jc w:val="center"/>
        <w:tblLook w:val="04A0" w:firstRow="1" w:lastRow="0" w:firstColumn="1" w:lastColumn="0" w:noHBand="0" w:noVBand="1"/>
      </w:tblPr>
      <w:tblGrid>
        <w:gridCol w:w="2551"/>
        <w:gridCol w:w="1702"/>
        <w:gridCol w:w="1984"/>
      </w:tblGrid>
      <w:tr w:rsidR="00C5093E" w:rsidRPr="000C32E9" w14:paraId="6025CFA6" w14:textId="77777777" w:rsidTr="00D5556A">
        <w:trPr>
          <w:trHeight w:val="417"/>
          <w:jc w:val="center"/>
        </w:trPr>
        <w:tc>
          <w:tcPr>
            <w:tcW w:w="2551" w:type="dxa"/>
            <w:hideMark/>
          </w:tcPr>
          <w:p w14:paraId="3069A77B" w14:textId="77777777" w:rsidR="00C5093E" w:rsidRPr="004516D0" w:rsidRDefault="00C5093E" w:rsidP="00D5556A">
            <w:pPr>
              <w:pStyle w:val="SWCTableHeader"/>
              <w:rPr>
                <w:lang w:eastAsia="en-CA"/>
              </w:rPr>
            </w:pPr>
            <w:r w:rsidRPr="004516D0">
              <w:rPr>
                <w:lang w:eastAsia="en-CA"/>
              </w:rPr>
              <w:t>Location</w:t>
            </w:r>
          </w:p>
        </w:tc>
        <w:tc>
          <w:tcPr>
            <w:tcW w:w="1702" w:type="dxa"/>
            <w:hideMark/>
          </w:tcPr>
          <w:p w14:paraId="604AF89E" w14:textId="77777777" w:rsidR="00C5093E" w:rsidRPr="004516D0" w:rsidRDefault="00C5093E" w:rsidP="00D5556A">
            <w:pPr>
              <w:pStyle w:val="SWCTableHeader"/>
              <w:rPr>
                <w:lang w:eastAsia="en-CA"/>
              </w:rPr>
            </w:pPr>
            <w:r w:rsidRPr="004516D0">
              <w:rPr>
                <w:lang w:eastAsia="en-CA"/>
              </w:rPr>
              <w:t>RSMeans Location Factor</w:t>
            </w:r>
          </w:p>
        </w:tc>
        <w:tc>
          <w:tcPr>
            <w:tcW w:w="1984" w:type="dxa"/>
            <w:hideMark/>
          </w:tcPr>
          <w:p w14:paraId="3730A48F" w14:textId="0435918B" w:rsidR="00C5093E" w:rsidRPr="004516D0" w:rsidRDefault="00C5093E" w:rsidP="00D5556A">
            <w:pPr>
              <w:pStyle w:val="SWCTableHeader"/>
              <w:rPr>
                <w:lang w:eastAsia="en-CA"/>
              </w:rPr>
            </w:pPr>
            <w:r w:rsidRPr="004516D0">
              <w:rPr>
                <w:lang w:eastAsia="en-CA"/>
              </w:rPr>
              <w:t>Electricity cost (</w:t>
            </w:r>
            <w:r w:rsidR="008C7849" w:rsidRPr="008C7849">
              <w:rPr>
                <w:lang w:eastAsia="en-CA"/>
              </w:rPr>
              <w:t>¢</w:t>
            </w:r>
            <w:r w:rsidR="008C7849">
              <w:rPr>
                <w:lang w:eastAsia="en-CA"/>
              </w:rPr>
              <w:t>CAD</w:t>
            </w:r>
            <w:r w:rsidRPr="004516D0">
              <w:rPr>
                <w:lang w:eastAsia="en-CA"/>
              </w:rPr>
              <w:t>/kWh)</w:t>
            </w:r>
          </w:p>
        </w:tc>
      </w:tr>
      <w:tr w:rsidR="00505D85" w:rsidRPr="000C32E9" w14:paraId="7722BAFB" w14:textId="77777777" w:rsidTr="00D5556A">
        <w:trPr>
          <w:trHeight w:val="330"/>
          <w:jc w:val="center"/>
        </w:trPr>
        <w:tc>
          <w:tcPr>
            <w:tcW w:w="2551" w:type="dxa"/>
            <w:hideMark/>
          </w:tcPr>
          <w:p w14:paraId="259BFB02" w14:textId="161D3413" w:rsidR="00505D85" w:rsidRPr="00D5556A" w:rsidRDefault="00505D85" w:rsidP="00D5556A">
            <w:pPr>
              <w:pStyle w:val="SWCTableText"/>
              <w:rPr>
                <w:lang w:eastAsia="en-CA"/>
              </w:rPr>
            </w:pPr>
            <w:r w:rsidRPr="00D5556A">
              <w:rPr>
                <w:lang w:eastAsia="en-CA"/>
              </w:rPr>
              <w:t>Edmonton</w:t>
            </w:r>
          </w:p>
        </w:tc>
        <w:tc>
          <w:tcPr>
            <w:tcW w:w="1702" w:type="dxa"/>
            <w:noWrap/>
            <w:hideMark/>
          </w:tcPr>
          <w:p w14:paraId="6BF93E30" w14:textId="77777777" w:rsidR="00505D85" w:rsidRPr="00500B5D" w:rsidRDefault="00505D85" w:rsidP="00D5556A">
            <w:pPr>
              <w:pStyle w:val="SWCTableText"/>
              <w:rPr>
                <w:lang w:eastAsia="en-CA"/>
              </w:rPr>
            </w:pPr>
            <w:r w:rsidRPr="00500B5D">
              <w:rPr>
                <w:lang w:eastAsia="en-CA"/>
              </w:rPr>
              <w:t>1.08</w:t>
            </w:r>
          </w:p>
        </w:tc>
        <w:tc>
          <w:tcPr>
            <w:tcW w:w="1984" w:type="dxa"/>
            <w:noWrap/>
            <w:hideMark/>
          </w:tcPr>
          <w:p w14:paraId="53D395B2" w14:textId="6BF189B9" w:rsidR="00505D85" w:rsidRPr="00500B5D" w:rsidRDefault="00505D85" w:rsidP="00D5556A">
            <w:pPr>
              <w:pStyle w:val="SWCTableText"/>
              <w:rPr>
                <w:lang w:eastAsia="en-CA"/>
              </w:rPr>
            </w:pPr>
            <w:r w:rsidRPr="00D71672">
              <w:t>6.8</w:t>
            </w:r>
            <w:r w:rsidR="00216142">
              <w:t>0</w:t>
            </w:r>
          </w:p>
        </w:tc>
      </w:tr>
      <w:tr w:rsidR="00505D85" w:rsidRPr="000C32E9" w14:paraId="358B85E3" w14:textId="77777777" w:rsidTr="00D5556A">
        <w:trPr>
          <w:trHeight w:val="330"/>
          <w:jc w:val="center"/>
        </w:trPr>
        <w:tc>
          <w:tcPr>
            <w:tcW w:w="2551" w:type="dxa"/>
            <w:hideMark/>
          </w:tcPr>
          <w:p w14:paraId="0A6C2FEA" w14:textId="7A5902B0" w:rsidR="00505D85" w:rsidRPr="00D5556A" w:rsidRDefault="00505D85" w:rsidP="00D5556A">
            <w:pPr>
              <w:pStyle w:val="SWCTableText"/>
              <w:rPr>
                <w:lang w:eastAsia="en-CA"/>
              </w:rPr>
            </w:pPr>
            <w:r w:rsidRPr="00D5556A">
              <w:rPr>
                <w:lang w:eastAsia="en-CA"/>
              </w:rPr>
              <w:t>Victoria</w:t>
            </w:r>
          </w:p>
        </w:tc>
        <w:tc>
          <w:tcPr>
            <w:tcW w:w="1702" w:type="dxa"/>
            <w:noWrap/>
            <w:hideMark/>
          </w:tcPr>
          <w:p w14:paraId="7376D9E1" w14:textId="77777777" w:rsidR="00505D85" w:rsidRPr="00500B5D" w:rsidRDefault="00505D85" w:rsidP="00D5556A">
            <w:pPr>
              <w:pStyle w:val="SWCTableText"/>
              <w:rPr>
                <w:lang w:eastAsia="en-CA"/>
              </w:rPr>
            </w:pPr>
            <w:r w:rsidRPr="00500B5D">
              <w:rPr>
                <w:lang w:eastAsia="en-CA"/>
              </w:rPr>
              <w:t>1.02</w:t>
            </w:r>
          </w:p>
        </w:tc>
        <w:tc>
          <w:tcPr>
            <w:tcW w:w="1984" w:type="dxa"/>
            <w:noWrap/>
            <w:hideMark/>
          </w:tcPr>
          <w:p w14:paraId="31917D95" w14:textId="43C90A1B" w:rsidR="00505D85" w:rsidRPr="00500B5D" w:rsidRDefault="00505D85" w:rsidP="00D5556A">
            <w:pPr>
              <w:pStyle w:val="SWCTableText"/>
              <w:rPr>
                <w:lang w:eastAsia="en-CA"/>
              </w:rPr>
            </w:pPr>
            <w:r w:rsidRPr="00D71672">
              <w:t>9.45</w:t>
            </w:r>
          </w:p>
        </w:tc>
      </w:tr>
      <w:tr w:rsidR="00505D85" w:rsidRPr="000C32E9" w14:paraId="34C88709" w14:textId="77777777" w:rsidTr="00D5556A">
        <w:trPr>
          <w:trHeight w:val="315"/>
          <w:jc w:val="center"/>
        </w:trPr>
        <w:tc>
          <w:tcPr>
            <w:tcW w:w="2551" w:type="dxa"/>
            <w:hideMark/>
          </w:tcPr>
          <w:p w14:paraId="449C1740" w14:textId="12958481" w:rsidR="00505D85" w:rsidRPr="00D5556A" w:rsidRDefault="00505D85" w:rsidP="00D5556A">
            <w:pPr>
              <w:pStyle w:val="SWCTableText"/>
              <w:rPr>
                <w:lang w:eastAsia="en-CA"/>
              </w:rPr>
            </w:pPr>
            <w:r w:rsidRPr="00D5556A">
              <w:rPr>
                <w:lang w:eastAsia="en-CA"/>
              </w:rPr>
              <w:t>Winnipeg</w:t>
            </w:r>
          </w:p>
        </w:tc>
        <w:tc>
          <w:tcPr>
            <w:tcW w:w="1702" w:type="dxa"/>
            <w:noWrap/>
            <w:hideMark/>
          </w:tcPr>
          <w:p w14:paraId="3334DE86" w14:textId="77777777" w:rsidR="00505D85" w:rsidRPr="00500B5D" w:rsidRDefault="00505D85" w:rsidP="00D5556A">
            <w:pPr>
              <w:pStyle w:val="SWCTableText"/>
              <w:rPr>
                <w:lang w:eastAsia="en-CA"/>
              </w:rPr>
            </w:pPr>
            <w:r w:rsidRPr="00500B5D">
              <w:rPr>
                <w:lang w:eastAsia="en-CA"/>
              </w:rPr>
              <w:t>0.96</w:t>
            </w:r>
          </w:p>
        </w:tc>
        <w:tc>
          <w:tcPr>
            <w:tcW w:w="1984" w:type="dxa"/>
            <w:noWrap/>
            <w:hideMark/>
          </w:tcPr>
          <w:p w14:paraId="0E498037" w14:textId="0D090269" w:rsidR="00505D85" w:rsidRPr="00500B5D" w:rsidRDefault="00505D85" w:rsidP="00D5556A">
            <w:pPr>
              <w:pStyle w:val="SWCTableText"/>
              <w:rPr>
                <w:lang w:eastAsia="en-CA"/>
              </w:rPr>
            </w:pPr>
            <w:r w:rsidRPr="00D71672">
              <w:t>8.74</w:t>
            </w:r>
          </w:p>
        </w:tc>
      </w:tr>
      <w:tr w:rsidR="00505D85" w:rsidRPr="000C32E9" w14:paraId="33B14C7D" w14:textId="77777777" w:rsidTr="00D5556A">
        <w:trPr>
          <w:trHeight w:val="315"/>
          <w:jc w:val="center"/>
        </w:trPr>
        <w:tc>
          <w:tcPr>
            <w:tcW w:w="2551" w:type="dxa"/>
            <w:hideMark/>
          </w:tcPr>
          <w:p w14:paraId="0BF141EF" w14:textId="2DAE3CCE" w:rsidR="00505D85" w:rsidRPr="00D5556A" w:rsidRDefault="00505D85" w:rsidP="00D5556A">
            <w:pPr>
              <w:pStyle w:val="SWCTableText"/>
              <w:rPr>
                <w:lang w:eastAsia="en-CA"/>
              </w:rPr>
            </w:pPr>
            <w:r w:rsidRPr="00D5556A">
              <w:rPr>
                <w:lang w:eastAsia="en-CA"/>
              </w:rPr>
              <w:t>Fredericton</w:t>
            </w:r>
          </w:p>
        </w:tc>
        <w:tc>
          <w:tcPr>
            <w:tcW w:w="1702" w:type="dxa"/>
            <w:noWrap/>
            <w:hideMark/>
          </w:tcPr>
          <w:p w14:paraId="417B2340" w14:textId="77777777" w:rsidR="00505D85" w:rsidRPr="00500B5D" w:rsidRDefault="00505D85" w:rsidP="00D5556A">
            <w:pPr>
              <w:pStyle w:val="SWCTableText"/>
              <w:rPr>
                <w:lang w:eastAsia="en-CA"/>
              </w:rPr>
            </w:pPr>
            <w:r w:rsidRPr="00500B5D">
              <w:rPr>
                <w:lang w:eastAsia="en-CA"/>
              </w:rPr>
              <w:t>0.93</w:t>
            </w:r>
          </w:p>
        </w:tc>
        <w:tc>
          <w:tcPr>
            <w:tcW w:w="1984" w:type="dxa"/>
            <w:noWrap/>
            <w:hideMark/>
          </w:tcPr>
          <w:p w14:paraId="2C041549" w14:textId="105F6954" w:rsidR="00505D85" w:rsidRPr="00500B5D" w:rsidRDefault="00505D85" w:rsidP="00D5556A">
            <w:pPr>
              <w:pStyle w:val="SWCTableText"/>
              <w:rPr>
                <w:lang w:eastAsia="en-CA"/>
              </w:rPr>
            </w:pPr>
            <w:r w:rsidRPr="00D71672">
              <w:t>10.91</w:t>
            </w:r>
          </w:p>
        </w:tc>
      </w:tr>
      <w:tr w:rsidR="00505D85" w:rsidRPr="000C32E9" w14:paraId="45045CC8" w14:textId="77777777" w:rsidTr="00D5556A">
        <w:trPr>
          <w:trHeight w:val="315"/>
          <w:jc w:val="center"/>
        </w:trPr>
        <w:tc>
          <w:tcPr>
            <w:tcW w:w="2551" w:type="dxa"/>
            <w:hideMark/>
          </w:tcPr>
          <w:p w14:paraId="33D02F61" w14:textId="375881B9" w:rsidR="00505D85" w:rsidRPr="00D5556A" w:rsidRDefault="00505D85" w:rsidP="00D5556A">
            <w:pPr>
              <w:pStyle w:val="SWCTableText"/>
              <w:rPr>
                <w:lang w:eastAsia="en-CA"/>
              </w:rPr>
            </w:pPr>
            <w:r w:rsidRPr="00D5556A">
              <w:rPr>
                <w:lang w:eastAsia="en-CA"/>
              </w:rPr>
              <w:t>St. John’s</w:t>
            </w:r>
          </w:p>
        </w:tc>
        <w:tc>
          <w:tcPr>
            <w:tcW w:w="1702" w:type="dxa"/>
            <w:noWrap/>
            <w:hideMark/>
          </w:tcPr>
          <w:p w14:paraId="54B65927" w14:textId="77777777" w:rsidR="00505D85" w:rsidRPr="00500B5D" w:rsidRDefault="00505D85" w:rsidP="00D5556A">
            <w:pPr>
              <w:pStyle w:val="SWCTableText"/>
              <w:rPr>
                <w:lang w:eastAsia="en-CA"/>
              </w:rPr>
            </w:pPr>
            <w:r w:rsidRPr="00500B5D">
              <w:rPr>
                <w:lang w:eastAsia="en-CA"/>
              </w:rPr>
              <w:t>1.05</w:t>
            </w:r>
          </w:p>
        </w:tc>
        <w:tc>
          <w:tcPr>
            <w:tcW w:w="1984" w:type="dxa"/>
            <w:noWrap/>
            <w:hideMark/>
          </w:tcPr>
          <w:p w14:paraId="728720DB" w14:textId="4FE292D2" w:rsidR="00505D85" w:rsidRPr="00500B5D" w:rsidRDefault="00505D85" w:rsidP="00D5556A">
            <w:pPr>
              <w:pStyle w:val="SWCTableText"/>
              <w:rPr>
                <w:lang w:eastAsia="en-CA"/>
              </w:rPr>
            </w:pPr>
            <w:r w:rsidRPr="00D71672">
              <w:t>12</w:t>
            </w:r>
            <w:r w:rsidR="00216142">
              <w:t>.00</w:t>
            </w:r>
          </w:p>
        </w:tc>
      </w:tr>
      <w:tr w:rsidR="00505D85" w:rsidRPr="000C32E9" w14:paraId="67FB64C7" w14:textId="77777777" w:rsidTr="00D5556A">
        <w:trPr>
          <w:trHeight w:val="315"/>
          <w:jc w:val="center"/>
        </w:trPr>
        <w:tc>
          <w:tcPr>
            <w:tcW w:w="2551" w:type="dxa"/>
            <w:hideMark/>
          </w:tcPr>
          <w:p w14:paraId="53683BCC" w14:textId="0A7AA0F9" w:rsidR="00505D85" w:rsidRPr="00D5556A" w:rsidRDefault="00505D85" w:rsidP="00D5556A">
            <w:pPr>
              <w:pStyle w:val="SWCTableText"/>
              <w:rPr>
                <w:lang w:eastAsia="en-CA"/>
              </w:rPr>
            </w:pPr>
            <w:r w:rsidRPr="00D5556A">
              <w:rPr>
                <w:lang w:eastAsia="en-CA"/>
              </w:rPr>
              <w:t>Halifax</w:t>
            </w:r>
          </w:p>
        </w:tc>
        <w:tc>
          <w:tcPr>
            <w:tcW w:w="1702" w:type="dxa"/>
            <w:noWrap/>
            <w:hideMark/>
          </w:tcPr>
          <w:p w14:paraId="60CAE476" w14:textId="77777777" w:rsidR="00505D85" w:rsidRPr="00500B5D" w:rsidRDefault="00505D85" w:rsidP="00D5556A">
            <w:pPr>
              <w:pStyle w:val="SWCTableText"/>
              <w:rPr>
                <w:lang w:eastAsia="en-CA"/>
              </w:rPr>
            </w:pPr>
            <w:r w:rsidRPr="00500B5D">
              <w:rPr>
                <w:lang w:eastAsia="en-CA"/>
              </w:rPr>
              <w:t>1.02</w:t>
            </w:r>
          </w:p>
        </w:tc>
        <w:tc>
          <w:tcPr>
            <w:tcW w:w="1984" w:type="dxa"/>
            <w:noWrap/>
            <w:hideMark/>
          </w:tcPr>
          <w:p w14:paraId="62AB7D86" w14:textId="29EF9DB2" w:rsidR="00505D85" w:rsidRPr="00500B5D" w:rsidRDefault="00505D85" w:rsidP="00D5556A">
            <w:pPr>
              <w:pStyle w:val="SWCTableText"/>
              <w:rPr>
                <w:lang w:eastAsia="en-CA"/>
              </w:rPr>
            </w:pPr>
            <w:r w:rsidRPr="00D71672">
              <w:t>8.6</w:t>
            </w:r>
            <w:r w:rsidR="00216142">
              <w:t>8</w:t>
            </w:r>
          </w:p>
        </w:tc>
      </w:tr>
      <w:tr w:rsidR="00505D85" w:rsidRPr="000C32E9" w14:paraId="65122D97" w14:textId="77777777" w:rsidTr="00D5556A">
        <w:trPr>
          <w:trHeight w:val="315"/>
          <w:jc w:val="center"/>
        </w:trPr>
        <w:tc>
          <w:tcPr>
            <w:tcW w:w="2551" w:type="dxa"/>
            <w:hideMark/>
          </w:tcPr>
          <w:p w14:paraId="32562419" w14:textId="0C017051" w:rsidR="00505D85" w:rsidRPr="00D5556A" w:rsidRDefault="00505D85" w:rsidP="00D5556A">
            <w:pPr>
              <w:pStyle w:val="SWCTableText"/>
              <w:rPr>
                <w:lang w:eastAsia="en-CA"/>
              </w:rPr>
            </w:pPr>
            <w:r w:rsidRPr="00D5556A">
              <w:rPr>
                <w:lang w:eastAsia="en-CA"/>
              </w:rPr>
              <w:t>Yellowknife</w:t>
            </w:r>
          </w:p>
        </w:tc>
        <w:tc>
          <w:tcPr>
            <w:tcW w:w="1702" w:type="dxa"/>
            <w:noWrap/>
            <w:hideMark/>
          </w:tcPr>
          <w:p w14:paraId="2DB3ABF3" w14:textId="77777777" w:rsidR="00505D85" w:rsidRPr="00500B5D" w:rsidRDefault="00505D85" w:rsidP="00D5556A">
            <w:pPr>
              <w:pStyle w:val="SWCTableText"/>
              <w:rPr>
                <w:lang w:eastAsia="en-CA"/>
              </w:rPr>
            </w:pPr>
            <w:r w:rsidRPr="00500B5D">
              <w:rPr>
                <w:lang w:eastAsia="en-CA"/>
              </w:rPr>
              <w:t>1.12</w:t>
            </w:r>
          </w:p>
        </w:tc>
        <w:tc>
          <w:tcPr>
            <w:tcW w:w="1984" w:type="dxa"/>
            <w:noWrap/>
            <w:hideMark/>
          </w:tcPr>
          <w:p w14:paraId="60D84D16" w14:textId="23DDF6A8" w:rsidR="00505D85" w:rsidRPr="00500B5D" w:rsidRDefault="00505D85" w:rsidP="00D5556A">
            <w:pPr>
              <w:pStyle w:val="SWCTableText"/>
              <w:rPr>
                <w:lang w:eastAsia="en-CA"/>
              </w:rPr>
            </w:pPr>
            <w:r w:rsidRPr="00D71672">
              <w:t>30.1</w:t>
            </w:r>
            <w:r w:rsidR="00216142">
              <w:t>0</w:t>
            </w:r>
          </w:p>
        </w:tc>
      </w:tr>
      <w:tr w:rsidR="00505D85" w:rsidRPr="000C32E9" w14:paraId="456CE949" w14:textId="77777777" w:rsidTr="00D5556A">
        <w:trPr>
          <w:trHeight w:val="315"/>
          <w:jc w:val="center"/>
        </w:trPr>
        <w:tc>
          <w:tcPr>
            <w:tcW w:w="2551" w:type="dxa"/>
            <w:hideMark/>
          </w:tcPr>
          <w:p w14:paraId="056BE994" w14:textId="31DDE5AA" w:rsidR="00505D85" w:rsidRPr="00D5556A" w:rsidRDefault="00505D85" w:rsidP="00D5556A">
            <w:pPr>
              <w:pStyle w:val="SWCTableText"/>
              <w:rPr>
                <w:lang w:eastAsia="en-CA"/>
              </w:rPr>
            </w:pPr>
            <w:r w:rsidRPr="00D5556A">
              <w:rPr>
                <w:lang w:eastAsia="en-CA"/>
              </w:rPr>
              <w:t>Iqaluit</w:t>
            </w:r>
          </w:p>
        </w:tc>
        <w:tc>
          <w:tcPr>
            <w:tcW w:w="1702" w:type="dxa"/>
            <w:noWrap/>
            <w:hideMark/>
          </w:tcPr>
          <w:p w14:paraId="17EC7F93" w14:textId="77777777" w:rsidR="00505D85" w:rsidRPr="00500B5D" w:rsidRDefault="00505D85" w:rsidP="00D5556A">
            <w:pPr>
              <w:pStyle w:val="SWCTableText"/>
              <w:rPr>
                <w:lang w:eastAsia="en-CA"/>
              </w:rPr>
            </w:pPr>
            <w:r w:rsidRPr="00500B5D">
              <w:rPr>
                <w:lang w:eastAsia="en-CA"/>
              </w:rPr>
              <w:t>1.12</w:t>
            </w:r>
          </w:p>
        </w:tc>
        <w:tc>
          <w:tcPr>
            <w:tcW w:w="1984" w:type="dxa"/>
            <w:noWrap/>
            <w:hideMark/>
          </w:tcPr>
          <w:p w14:paraId="66E6F5B4" w14:textId="28C08905" w:rsidR="00505D85" w:rsidRPr="00500B5D" w:rsidRDefault="00505D85" w:rsidP="00D5556A">
            <w:pPr>
              <w:pStyle w:val="SWCTableText"/>
              <w:rPr>
                <w:lang w:eastAsia="en-CA"/>
              </w:rPr>
            </w:pPr>
            <w:r w:rsidRPr="00D71672">
              <w:t>58.56</w:t>
            </w:r>
          </w:p>
        </w:tc>
      </w:tr>
      <w:tr w:rsidR="00505D85" w:rsidRPr="000C32E9" w14:paraId="0B03764C" w14:textId="77777777" w:rsidTr="00D5556A">
        <w:trPr>
          <w:trHeight w:val="315"/>
          <w:jc w:val="center"/>
        </w:trPr>
        <w:tc>
          <w:tcPr>
            <w:tcW w:w="2551" w:type="dxa"/>
            <w:hideMark/>
          </w:tcPr>
          <w:p w14:paraId="7E3E68C3" w14:textId="7D554B9F" w:rsidR="00505D85" w:rsidRPr="00D5556A" w:rsidRDefault="00505D85" w:rsidP="00D5556A">
            <w:pPr>
              <w:pStyle w:val="SWCTableText"/>
              <w:rPr>
                <w:lang w:eastAsia="en-CA"/>
              </w:rPr>
            </w:pPr>
            <w:r w:rsidRPr="00D5556A">
              <w:rPr>
                <w:lang w:eastAsia="en-CA"/>
              </w:rPr>
              <w:t>Ottawa</w:t>
            </w:r>
          </w:p>
        </w:tc>
        <w:tc>
          <w:tcPr>
            <w:tcW w:w="1702" w:type="dxa"/>
            <w:noWrap/>
            <w:hideMark/>
          </w:tcPr>
          <w:p w14:paraId="3B45F97A" w14:textId="77777777" w:rsidR="00505D85" w:rsidRPr="00500B5D" w:rsidRDefault="00505D85" w:rsidP="00D5556A">
            <w:pPr>
              <w:pStyle w:val="SWCTableText"/>
              <w:rPr>
                <w:lang w:eastAsia="en-CA"/>
              </w:rPr>
            </w:pPr>
            <w:r w:rsidRPr="00500B5D">
              <w:rPr>
                <w:lang w:eastAsia="en-CA"/>
              </w:rPr>
              <w:t>1.05</w:t>
            </w:r>
          </w:p>
        </w:tc>
        <w:tc>
          <w:tcPr>
            <w:tcW w:w="1984" w:type="dxa"/>
            <w:noWrap/>
            <w:hideMark/>
          </w:tcPr>
          <w:p w14:paraId="068081E2" w14:textId="0BD31BF4" w:rsidR="00505D85" w:rsidRPr="00500B5D" w:rsidRDefault="00505D85" w:rsidP="00D5556A">
            <w:pPr>
              <w:pStyle w:val="SWCTableText"/>
              <w:rPr>
                <w:lang w:eastAsia="en-CA"/>
              </w:rPr>
            </w:pPr>
            <w:r w:rsidRPr="00D71672">
              <w:t>9.4</w:t>
            </w:r>
            <w:r w:rsidR="00216142">
              <w:t>0</w:t>
            </w:r>
          </w:p>
        </w:tc>
      </w:tr>
      <w:tr w:rsidR="00505D85" w:rsidRPr="000C32E9" w14:paraId="26D5C889" w14:textId="77777777" w:rsidTr="00D5556A">
        <w:trPr>
          <w:trHeight w:val="315"/>
          <w:jc w:val="center"/>
        </w:trPr>
        <w:tc>
          <w:tcPr>
            <w:tcW w:w="2551" w:type="dxa"/>
            <w:hideMark/>
          </w:tcPr>
          <w:p w14:paraId="1EDE081F" w14:textId="4238D68D" w:rsidR="00505D85" w:rsidRPr="00D5556A" w:rsidRDefault="00505D85" w:rsidP="00D5556A">
            <w:pPr>
              <w:pStyle w:val="SWCTableText"/>
              <w:rPr>
                <w:lang w:eastAsia="en-CA"/>
              </w:rPr>
            </w:pPr>
            <w:r w:rsidRPr="00D5556A">
              <w:rPr>
                <w:lang w:eastAsia="en-CA"/>
              </w:rPr>
              <w:t>Toronto</w:t>
            </w:r>
          </w:p>
        </w:tc>
        <w:tc>
          <w:tcPr>
            <w:tcW w:w="1702" w:type="dxa"/>
            <w:noWrap/>
            <w:hideMark/>
          </w:tcPr>
          <w:p w14:paraId="46EA3DD1" w14:textId="78F35000" w:rsidR="00505D85" w:rsidRPr="00500B5D" w:rsidRDefault="00505D85" w:rsidP="00D5556A">
            <w:pPr>
              <w:pStyle w:val="SWCTableText"/>
              <w:rPr>
                <w:lang w:eastAsia="en-CA"/>
              </w:rPr>
            </w:pPr>
            <w:r w:rsidRPr="00500B5D">
              <w:rPr>
                <w:lang w:eastAsia="en-CA"/>
              </w:rPr>
              <w:t>1.1</w:t>
            </w:r>
            <w:r w:rsidR="00216142">
              <w:rPr>
                <w:lang w:eastAsia="en-CA"/>
              </w:rPr>
              <w:t>0</w:t>
            </w:r>
          </w:p>
        </w:tc>
        <w:tc>
          <w:tcPr>
            <w:tcW w:w="1984" w:type="dxa"/>
            <w:noWrap/>
            <w:hideMark/>
          </w:tcPr>
          <w:p w14:paraId="23524961" w14:textId="045AEFD2" w:rsidR="00505D85" w:rsidRPr="00500B5D" w:rsidRDefault="00505D85" w:rsidP="00D5556A">
            <w:pPr>
              <w:pStyle w:val="SWCTableText"/>
              <w:rPr>
                <w:lang w:eastAsia="en-CA"/>
              </w:rPr>
            </w:pPr>
            <w:r w:rsidRPr="00D71672">
              <w:t>9.4</w:t>
            </w:r>
            <w:r w:rsidR="00216142">
              <w:t>0</w:t>
            </w:r>
          </w:p>
        </w:tc>
      </w:tr>
      <w:tr w:rsidR="00505D85" w:rsidRPr="000C32E9" w14:paraId="6B54A4C0" w14:textId="77777777" w:rsidTr="00D5556A">
        <w:trPr>
          <w:trHeight w:val="315"/>
          <w:jc w:val="center"/>
        </w:trPr>
        <w:tc>
          <w:tcPr>
            <w:tcW w:w="2551" w:type="dxa"/>
            <w:hideMark/>
          </w:tcPr>
          <w:p w14:paraId="727AEF62" w14:textId="21867E22" w:rsidR="00505D85" w:rsidRPr="00D5556A" w:rsidRDefault="00505D85" w:rsidP="00D5556A">
            <w:pPr>
              <w:pStyle w:val="SWCTableText"/>
              <w:rPr>
                <w:lang w:eastAsia="en-CA"/>
              </w:rPr>
            </w:pPr>
            <w:r w:rsidRPr="00D5556A">
              <w:rPr>
                <w:lang w:eastAsia="en-CA"/>
              </w:rPr>
              <w:t>Charlottetown</w:t>
            </w:r>
          </w:p>
        </w:tc>
        <w:tc>
          <w:tcPr>
            <w:tcW w:w="1702" w:type="dxa"/>
            <w:noWrap/>
            <w:hideMark/>
          </w:tcPr>
          <w:p w14:paraId="713E649B" w14:textId="385020D3" w:rsidR="00505D85" w:rsidRPr="00500B5D" w:rsidRDefault="00505D85" w:rsidP="00D5556A">
            <w:pPr>
              <w:pStyle w:val="SWCTableText"/>
              <w:rPr>
                <w:lang w:eastAsia="en-CA"/>
              </w:rPr>
            </w:pPr>
            <w:r w:rsidRPr="00500B5D">
              <w:rPr>
                <w:lang w:eastAsia="en-CA"/>
              </w:rPr>
              <w:t>0.9</w:t>
            </w:r>
            <w:r w:rsidR="00216142">
              <w:rPr>
                <w:lang w:eastAsia="en-CA"/>
              </w:rPr>
              <w:t>0</w:t>
            </w:r>
          </w:p>
        </w:tc>
        <w:tc>
          <w:tcPr>
            <w:tcW w:w="1984" w:type="dxa"/>
            <w:noWrap/>
            <w:hideMark/>
          </w:tcPr>
          <w:p w14:paraId="01A67EA1" w14:textId="3FA1944D" w:rsidR="00505D85" w:rsidRPr="00500B5D" w:rsidRDefault="00505D85" w:rsidP="00D5556A">
            <w:pPr>
              <w:pStyle w:val="SWCTableText"/>
              <w:rPr>
                <w:lang w:eastAsia="en-CA"/>
              </w:rPr>
            </w:pPr>
            <w:r w:rsidRPr="00D71672">
              <w:t>14.37</w:t>
            </w:r>
          </w:p>
        </w:tc>
      </w:tr>
      <w:tr w:rsidR="00505D85" w:rsidRPr="000C32E9" w14:paraId="3D8D3AA6" w14:textId="77777777" w:rsidTr="00D5556A">
        <w:trPr>
          <w:trHeight w:val="315"/>
          <w:jc w:val="center"/>
        </w:trPr>
        <w:tc>
          <w:tcPr>
            <w:tcW w:w="2551" w:type="dxa"/>
            <w:hideMark/>
          </w:tcPr>
          <w:p w14:paraId="294157C8" w14:textId="34C31F6C" w:rsidR="00505D85" w:rsidRPr="00D5556A" w:rsidRDefault="00505D85" w:rsidP="00D5556A">
            <w:pPr>
              <w:pStyle w:val="SWCTableText"/>
              <w:rPr>
                <w:lang w:eastAsia="en-CA"/>
              </w:rPr>
            </w:pPr>
            <w:r w:rsidRPr="00D5556A">
              <w:rPr>
                <w:lang w:eastAsia="en-CA"/>
              </w:rPr>
              <w:lastRenderedPageBreak/>
              <w:t>Quebec City</w:t>
            </w:r>
          </w:p>
        </w:tc>
        <w:tc>
          <w:tcPr>
            <w:tcW w:w="1702" w:type="dxa"/>
            <w:noWrap/>
            <w:hideMark/>
          </w:tcPr>
          <w:p w14:paraId="4AD1669A" w14:textId="77777777" w:rsidR="00505D85" w:rsidRPr="00500B5D" w:rsidRDefault="00505D85" w:rsidP="00D5556A">
            <w:pPr>
              <w:pStyle w:val="SWCTableText"/>
              <w:rPr>
                <w:lang w:eastAsia="en-CA"/>
              </w:rPr>
            </w:pPr>
            <w:r w:rsidRPr="00500B5D">
              <w:rPr>
                <w:lang w:eastAsia="en-CA"/>
              </w:rPr>
              <w:t>1.08</w:t>
            </w:r>
          </w:p>
        </w:tc>
        <w:tc>
          <w:tcPr>
            <w:tcW w:w="1984" w:type="dxa"/>
            <w:noWrap/>
            <w:hideMark/>
          </w:tcPr>
          <w:p w14:paraId="5E59FEB4" w14:textId="3C9936B8" w:rsidR="00505D85" w:rsidRPr="00500B5D" w:rsidRDefault="00505D85" w:rsidP="00D5556A">
            <w:pPr>
              <w:pStyle w:val="SWCTableText"/>
              <w:rPr>
                <w:lang w:eastAsia="en-CA"/>
              </w:rPr>
            </w:pPr>
            <w:r w:rsidRPr="00D71672">
              <w:t>6.08</w:t>
            </w:r>
          </w:p>
        </w:tc>
      </w:tr>
      <w:tr w:rsidR="00505D85" w:rsidRPr="000C32E9" w14:paraId="7EC6BB61" w14:textId="77777777" w:rsidTr="00D5556A">
        <w:trPr>
          <w:trHeight w:val="70"/>
          <w:jc w:val="center"/>
        </w:trPr>
        <w:tc>
          <w:tcPr>
            <w:tcW w:w="2551" w:type="dxa"/>
            <w:hideMark/>
          </w:tcPr>
          <w:p w14:paraId="6E0FC46C" w14:textId="5CD50B6E" w:rsidR="00505D85" w:rsidRPr="00D5556A" w:rsidRDefault="00505D85" w:rsidP="00D5556A">
            <w:pPr>
              <w:pStyle w:val="SWCTableText"/>
              <w:rPr>
                <w:lang w:eastAsia="en-CA"/>
              </w:rPr>
            </w:pPr>
            <w:r w:rsidRPr="00D5556A">
              <w:rPr>
                <w:lang w:eastAsia="en-CA"/>
              </w:rPr>
              <w:t>Regina</w:t>
            </w:r>
          </w:p>
        </w:tc>
        <w:tc>
          <w:tcPr>
            <w:tcW w:w="1702" w:type="dxa"/>
            <w:noWrap/>
            <w:hideMark/>
          </w:tcPr>
          <w:p w14:paraId="6DEF666E" w14:textId="77777777" w:rsidR="00505D85" w:rsidRPr="00500B5D" w:rsidRDefault="00505D85" w:rsidP="00D5556A">
            <w:pPr>
              <w:pStyle w:val="SWCTableText"/>
              <w:rPr>
                <w:lang w:eastAsia="en-CA"/>
              </w:rPr>
            </w:pPr>
            <w:r w:rsidRPr="00500B5D">
              <w:rPr>
                <w:lang w:eastAsia="en-CA"/>
              </w:rPr>
              <w:t>1.07</w:t>
            </w:r>
          </w:p>
        </w:tc>
        <w:tc>
          <w:tcPr>
            <w:tcW w:w="1984" w:type="dxa"/>
            <w:noWrap/>
            <w:hideMark/>
          </w:tcPr>
          <w:p w14:paraId="14398C44" w14:textId="74246BF3" w:rsidR="00505D85" w:rsidRPr="00500B5D" w:rsidRDefault="00505D85" w:rsidP="00D5556A">
            <w:pPr>
              <w:pStyle w:val="SWCTableText"/>
              <w:rPr>
                <w:lang w:eastAsia="en-CA"/>
              </w:rPr>
            </w:pPr>
            <w:r w:rsidRPr="00D71672">
              <w:t>15.65</w:t>
            </w:r>
          </w:p>
        </w:tc>
      </w:tr>
      <w:tr w:rsidR="00505D85" w:rsidRPr="000C32E9" w14:paraId="3900B26B" w14:textId="77777777" w:rsidTr="00D5556A">
        <w:trPr>
          <w:trHeight w:val="315"/>
          <w:jc w:val="center"/>
        </w:trPr>
        <w:tc>
          <w:tcPr>
            <w:tcW w:w="2551" w:type="dxa"/>
            <w:hideMark/>
          </w:tcPr>
          <w:p w14:paraId="290F7EA9" w14:textId="344E462F" w:rsidR="00505D85" w:rsidRPr="00D5556A" w:rsidRDefault="00505D85" w:rsidP="00D5556A">
            <w:pPr>
              <w:pStyle w:val="SWCTableText"/>
              <w:rPr>
                <w:lang w:eastAsia="en-CA"/>
              </w:rPr>
            </w:pPr>
            <w:r w:rsidRPr="00D5556A">
              <w:rPr>
                <w:lang w:eastAsia="en-CA"/>
              </w:rPr>
              <w:t>Whitehorse</w:t>
            </w:r>
          </w:p>
        </w:tc>
        <w:tc>
          <w:tcPr>
            <w:tcW w:w="1702" w:type="dxa"/>
            <w:noWrap/>
            <w:hideMark/>
          </w:tcPr>
          <w:p w14:paraId="527AEE23" w14:textId="77777777" w:rsidR="00505D85" w:rsidRPr="00500B5D" w:rsidRDefault="00505D85" w:rsidP="00D5556A">
            <w:pPr>
              <w:pStyle w:val="SWCTableText"/>
              <w:rPr>
                <w:lang w:eastAsia="en-CA"/>
              </w:rPr>
            </w:pPr>
            <w:r w:rsidRPr="00500B5D">
              <w:rPr>
                <w:lang w:eastAsia="en-CA"/>
              </w:rPr>
              <w:t>1.03</w:t>
            </w:r>
          </w:p>
        </w:tc>
        <w:tc>
          <w:tcPr>
            <w:tcW w:w="1984" w:type="dxa"/>
            <w:noWrap/>
            <w:hideMark/>
          </w:tcPr>
          <w:p w14:paraId="510E9F43" w14:textId="39E74B1F" w:rsidR="00505D85" w:rsidRPr="00500B5D" w:rsidRDefault="00505D85" w:rsidP="00D5556A">
            <w:pPr>
              <w:pStyle w:val="SWCTableText"/>
              <w:rPr>
                <w:lang w:eastAsia="en-CA"/>
              </w:rPr>
            </w:pPr>
            <w:r w:rsidRPr="00D71672">
              <w:t>12.14</w:t>
            </w:r>
          </w:p>
        </w:tc>
      </w:tr>
    </w:tbl>
    <w:p w14:paraId="7AABEF29" w14:textId="77777777" w:rsidR="00C5093E" w:rsidRPr="004E77F7" w:rsidRDefault="00C5093E" w:rsidP="00B515AA">
      <w:pPr>
        <w:pStyle w:val="SWCText"/>
        <w:rPr>
          <w:b/>
          <w:bCs/>
        </w:rPr>
      </w:pPr>
      <w:bookmarkStart w:id="6" w:name="_Hlk199754560"/>
    </w:p>
    <w:p w14:paraId="310302A0" w14:textId="77777777" w:rsidR="00C5093E" w:rsidRPr="004E77F7" w:rsidRDefault="00C5093E" w:rsidP="002E75EE">
      <w:pPr>
        <w:pStyle w:val="SWCHeading11"/>
      </w:pPr>
      <w:r w:rsidRPr="004E77F7">
        <w:t>Lifecycle cost Analysis</w:t>
      </w:r>
    </w:p>
    <w:p w14:paraId="5B88869F" w14:textId="7D769202" w:rsidR="00C5093E" w:rsidRPr="004E77F7" w:rsidRDefault="00C5093E" w:rsidP="00B515AA">
      <w:pPr>
        <w:pStyle w:val="SWCText"/>
      </w:pPr>
      <w:r w:rsidRPr="004E77F7">
        <w:t xml:space="preserve">To determine the economic feasibility of </w:t>
      </w:r>
      <w:r w:rsidR="00B53C90">
        <w:t xml:space="preserve">the PVWH, HPWH, and PVT-HPWH </w:t>
      </w:r>
      <w:r w:rsidRPr="004E77F7">
        <w:t xml:space="preserve">systems across Canada for the full life of the equipment, a Lifecycle Cost Analysis </w:t>
      </w:r>
      <w:r>
        <w:t xml:space="preserve">(LCA) </w:t>
      </w:r>
      <w:r w:rsidRPr="004E77F7">
        <w:t xml:space="preserve">was conducted. The CAPEX and OPEX costs for each scenario are used to calculate the Lifecycle Costs, </w:t>
      </w:r>
      <m:oMath>
        <m:r>
          <w:rPr>
            <w:rFonts w:ascii="Cambria Math" w:hAnsi="Cambria Math"/>
          </w:rPr>
          <m:t>LCC</m:t>
        </m:r>
      </m:oMath>
      <w:r w:rsidRPr="004E77F7">
        <w:t>, the Breakeven Cost</w:t>
      </w:r>
      <w:r>
        <w:t xml:space="preserve">, </w:t>
      </w:r>
      <m:oMath>
        <m:r>
          <w:rPr>
            <w:rFonts w:ascii="Cambria Math" w:hAnsi="Cambria Math"/>
          </w:rPr>
          <m:t>B</m:t>
        </m:r>
      </m:oMath>
      <w:r w:rsidRPr="004E77F7">
        <w:t xml:space="preserve"> at which point the system is competitive with the base EWH, and the required subsidy to reach breakeven</w:t>
      </w:r>
      <w:r>
        <w:t xml:space="preserve">, </w:t>
      </w:r>
      <m:oMath>
        <m:r>
          <w:rPr>
            <w:rFonts w:ascii="Cambria Math" w:hAnsi="Cambria Math"/>
          </w:rPr>
          <m:t>S</m:t>
        </m:r>
      </m:oMath>
      <w:r w:rsidRPr="004E77F7">
        <w:t xml:space="preserve">. A lifetime of 15 years is assumed, an inflation rate of 2%, and a discount rate of 3%. </w:t>
      </w:r>
    </w:p>
    <w:bookmarkEnd w:id="6"/>
    <w:p w14:paraId="158E555E" w14:textId="7EC46D97" w:rsidR="00C5093E" w:rsidRDefault="00C5093E" w:rsidP="00B515AA">
      <w:pPr>
        <w:pStyle w:val="SWCText"/>
      </w:pPr>
      <w:r w:rsidRPr="004E77F7">
        <w:t>Life Cycle Costs</w:t>
      </w:r>
      <w:r>
        <w:t xml:space="preserve"> are equal to the </w:t>
      </w:r>
      <w:r w:rsidR="00D76656">
        <w:t>CAPEX</w:t>
      </w:r>
      <w:r>
        <w:t xml:space="preserve"> plus the </w:t>
      </w:r>
      <w:r w:rsidR="00D76656">
        <w:t>OPEX</w:t>
      </w:r>
      <w:r>
        <w:t xml:space="preserve"> over the lifetime of the system</w:t>
      </w:r>
      <w:r w:rsidR="004A61DA">
        <w:t>:</w:t>
      </w:r>
    </w:p>
    <w:p w14:paraId="106DBF28" w14:textId="1927A04F" w:rsidR="00C5093E" w:rsidRPr="004E77F7" w:rsidRDefault="00C5093E" w:rsidP="00D5556A">
      <w:pPr>
        <w:pStyle w:val="SWCText"/>
        <w:jc w:val="left"/>
        <w:rPr>
          <w:vertAlign w:val="subscript"/>
        </w:rPr>
      </w:pPr>
      <m:oMath>
        <m:r>
          <w:rPr>
            <w:rFonts w:ascii="Cambria Math" w:hAnsi="Cambria Math"/>
            <w:vertAlign w:val="subscript"/>
          </w:rPr>
          <m:t>LCC=CAPEX+NPV</m:t>
        </m:r>
        <m:nary>
          <m:naryPr>
            <m:chr m:val="∑"/>
            <m:limLoc m:val="undOvr"/>
            <m:ctrlPr>
              <w:rPr>
                <w:rFonts w:ascii="Cambria Math" w:hAnsi="Cambria Math"/>
                <w:vertAlign w:val="subscript"/>
              </w:rPr>
            </m:ctrlPr>
          </m:naryPr>
          <m:sub>
            <m:r>
              <w:rPr>
                <w:rFonts w:ascii="Cambria Math" w:hAnsi="Cambria Math"/>
                <w:vertAlign w:val="subscript"/>
              </w:rPr>
              <m:t>t=0</m:t>
            </m:r>
          </m:sub>
          <m:sup>
            <m:r>
              <w:rPr>
                <w:rFonts w:ascii="Cambria Math" w:hAnsi="Cambria Math"/>
                <w:vertAlign w:val="subscript"/>
              </w:rPr>
              <m:t>n</m:t>
            </m:r>
          </m:sup>
          <m:e>
            <m:r>
              <w:rPr>
                <w:rFonts w:ascii="Cambria Math" w:hAnsi="Cambria Math"/>
                <w:vertAlign w:val="subscript"/>
              </w:rPr>
              <m:t>OPEX</m:t>
            </m:r>
          </m:e>
        </m:nary>
      </m:oMath>
      <w:r w:rsidR="00D76656">
        <w:rPr>
          <w:vertAlign w:val="subscript"/>
        </w:rPr>
        <w:tab/>
      </w:r>
      <w:r w:rsidR="00D76656">
        <w:rPr>
          <w:vertAlign w:val="subscript"/>
        </w:rPr>
        <w:tab/>
      </w:r>
      <w:r w:rsidR="00D76656">
        <w:rPr>
          <w:vertAlign w:val="subscript"/>
        </w:rPr>
        <w:tab/>
      </w:r>
      <w:r w:rsidR="00D76656">
        <w:rPr>
          <w:vertAlign w:val="subscript"/>
        </w:rPr>
        <w:tab/>
      </w:r>
      <w:r w:rsidR="00D76656">
        <w:rPr>
          <w:vertAlign w:val="subscript"/>
        </w:rPr>
        <w:tab/>
      </w:r>
      <w:r w:rsidR="00D76656">
        <w:rPr>
          <w:vertAlign w:val="subscript"/>
        </w:rPr>
        <w:tab/>
      </w:r>
      <w:r w:rsidR="00D76656">
        <w:rPr>
          <w:vertAlign w:val="subscript"/>
        </w:rPr>
        <w:tab/>
      </w:r>
      <w:r w:rsidR="00D76656">
        <w:rPr>
          <w:vertAlign w:val="subscript"/>
        </w:rPr>
        <w:tab/>
      </w:r>
      <w:r w:rsidR="00892CD9">
        <w:rPr>
          <w:vertAlign w:val="subscript"/>
        </w:rPr>
        <w:t xml:space="preserve"> </w:t>
      </w:r>
      <w:r w:rsidR="00892CD9">
        <w:t>(eq.</w:t>
      </w:r>
      <w:r w:rsidR="00892CD9" w:rsidRPr="004F3F4E">
        <w:t xml:space="preserve"> </w:t>
      </w:r>
      <w:r w:rsidR="00D76656">
        <w:t>8</w:t>
      </w:r>
      <w:r w:rsidR="00892CD9">
        <w:t>)</w:t>
      </w:r>
    </w:p>
    <w:p w14:paraId="5D4B2A5C" w14:textId="1F8AEF5B" w:rsidR="00C5093E" w:rsidRDefault="00C5093E" w:rsidP="00B515AA">
      <w:pPr>
        <w:pStyle w:val="SWCText"/>
      </w:pPr>
      <w:r>
        <w:t xml:space="preserve">The annual OPEX costs are constant over the lifetime of the system and equal to </w:t>
      </w:r>
      <w:proofErr w:type="gramStart"/>
      <w:r>
        <w:t>the electricity</w:t>
      </w:r>
      <w:proofErr w:type="gramEnd"/>
      <w:r>
        <w:t xml:space="preserve"> costs, therefore the present value of the annuity, </w:t>
      </w:r>
      <m:oMath>
        <m:r>
          <w:rPr>
            <w:rFonts w:ascii="Cambria Math" w:hAnsi="Cambria Math"/>
          </w:rPr>
          <m:t>M</m:t>
        </m:r>
      </m:oMath>
      <w:r>
        <w:t xml:space="preserve">,  is calculated </w:t>
      </w:r>
      <w:r w:rsidR="004A61DA">
        <w:t>using Equation 9:</w:t>
      </w:r>
    </w:p>
    <w:p w14:paraId="27A4FA8B" w14:textId="5DFC9A00" w:rsidR="00C5093E" w:rsidRPr="00B91FD9" w:rsidRDefault="00C5093E" w:rsidP="00D5556A">
      <w:pPr>
        <w:pStyle w:val="SWCText"/>
        <w:jc w:val="left"/>
      </w:pPr>
      <m:oMath>
        <m:r>
          <w:rPr>
            <w:rFonts w:ascii="Cambria Math" w:hAnsi="Cambria Math"/>
          </w:rPr>
          <m:t>M=OPEX*</m:t>
        </m:r>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m:t>
                    </m:r>
                    <m:sSup>
                      <m:sSupPr>
                        <m:ctrlPr>
                          <w:rPr>
                            <w:rFonts w:ascii="Cambria Math" w:hAnsi="Cambria Math"/>
                            <w:i/>
                          </w:rPr>
                        </m:ctrlPr>
                      </m:sSupPr>
                      <m:e>
                        <m:r>
                          <w:rPr>
                            <w:rFonts w:ascii="Cambria Math" w:hAnsi="Cambria Math"/>
                          </w:rPr>
                          <m:t>1+i)</m:t>
                        </m:r>
                      </m:e>
                      <m:sup>
                        <m:r>
                          <w:rPr>
                            <w:rFonts w:ascii="Cambria Math" w:hAnsi="Cambria Math"/>
                          </w:rPr>
                          <m:t>t</m:t>
                        </m:r>
                      </m:sup>
                    </m:sSup>
                  </m:den>
                </m:f>
              </m:e>
            </m:d>
          </m:e>
          <m:sup>
            <m:r>
              <w:rPr>
                <w:rFonts w:ascii="Cambria Math" w:hAnsi="Cambria Math"/>
              </w:rPr>
              <m:t>-i</m:t>
            </m:r>
          </m:sup>
        </m:sSup>
        <m:r>
          <w:rPr>
            <w:rFonts w:ascii="Cambria Math" w:hAnsi="Cambria Math"/>
          </w:rPr>
          <m:t xml:space="preserve"> </m:t>
        </m:r>
      </m:oMath>
      <w:r w:rsidR="00892CD9">
        <w:t xml:space="preserve"> </w:t>
      </w:r>
      <w:r w:rsidR="00D76656">
        <w:tab/>
      </w:r>
      <w:r w:rsidR="00D76656">
        <w:tab/>
      </w:r>
      <w:r w:rsidR="00D76656">
        <w:tab/>
      </w:r>
      <w:r w:rsidR="00D76656">
        <w:tab/>
      </w:r>
      <w:r w:rsidR="00D76656">
        <w:tab/>
      </w:r>
      <w:r w:rsidR="00D76656">
        <w:tab/>
      </w:r>
      <w:r w:rsidR="00D76656">
        <w:tab/>
      </w:r>
      <w:r w:rsidR="00D76656">
        <w:tab/>
      </w:r>
      <w:r w:rsidR="00892CD9">
        <w:t>(eq.</w:t>
      </w:r>
      <w:r w:rsidR="00892CD9" w:rsidRPr="004F3F4E">
        <w:t xml:space="preserve"> </w:t>
      </w:r>
      <w:r w:rsidR="00D76656">
        <w:t>9</w:t>
      </w:r>
      <w:r w:rsidR="00892CD9">
        <w:t>)</w:t>
      </w:r>
    </w:p>
    <w:p w14:paraId="7F2C6848" w14:textId="77777777" w:rsidR="00C5093E" w:rsidRDefault="00C5093E" w:rsidP="00B515AA">
      <w:pPr>
        <w:pStyle w:val="SWCText"/>
      </w:pPr>
      <w:r>
        <w:t xml:space="preserve">Where the interest rate, </w:t>
      </w:r>
      <m:oMath>
        <m:r>
          <w:rPr>
            <w:rFonts w:ascii="Cambria Math" w:hAnsi="Cambria Math"/>
          </w:rPr>
          <m:t>i</m:t>
        </m:r>
      </m:oMath>
      <w:r>
        <w:t>, is calculated according to</w:t>
      </w:r>
    </w:p>
    <w:p w14:paraId="65A97E6D" w14:textId="36911219" w:rsidR="00C5093E" w:rsidRPr="004E77F7" w:rsidRDefault="00C5093E" w:rsidP="00D5556A">
      <w:pPr>
        <w:pStyle w:val="SWCText"/>
        <w:jc w:val="left"/>
      </w:pPr>
      <m:oMath>
        <m:r>
          <w:rPr>
            <w:rFonts w:ascii="Cambria Math" w:hAnsi="Cambria Math"/>
          </w:rPr>
          <m:t>i=</m:t>
        </m:r>
        <m:d>
          <m:dPr>
            <m:ctrlPr>
              <w:rPr>
                <w:rFonts w:ascii="Cambria Math" w:hAnsi="Cambria Math"/>
                <w:i/>
              </w:rPr>
            </m:ctrlPr>
          </m:dPr>
          <m:e>
            <m:r>
              <w:rPr>
                <w:rFonts w:ascii="Cambria Math" w:hAnsi="Cambria Math"/>
              </w:rPr>
              <m:t xml:space="preserve"> 1+d</m:t>
            </m:r>
          </m:e>
        </m:d>
        <m:d>
          <m:dPr>
            <m:ctrlPr>
              <w:rPr>
                <w:rFonts w:ascii="Cambria Math" w:hAnsi="Cambria Math"/>
                <w:i/>
              </w:rPr>
            </m:ctrlPr>
          </m:dPr>
          <m:e>
            <m:r>
              <w:rPr>
                <w:rFonts w:ascii="Cambria Math" w:hAnsi="Cambria Math"/>
              </w:rPr>
              <m:t>1+p</m:t>
            </m:r>
          </m:e>
        </m:d>
        <m:r>
          <w:rPr>
            <w:rFonts w:ascii="Cambria Math" w:hAnsi="Cambria Math"/>
          </w:rPr>
          <m:t>-1</m:t>
        </m:r>
      </m:oMath>
      <w:r w:rsidR="00892CD9">
        <w:t xml:space="preserve"> </w:t>
      </w:r>
      <w:r w:rsidR="00D76656">
        <w:tab/>
      </w:r>
      <w:r w:rsidR="00D76656">
        <w:tab/>
      </w:r>
      <w:r w:rsidR="00D76656">
        <w:tab/>
      </w:r>
      <w:r w:rsidR="00D76656">
        <w:tab/>
      </w:r>
      <w:r w:rsidR="00D76656">
        <w:tab/>
      </w:r>
      <w:r w:rsidR="00D76656">
        <w:tab/>
      </w:r>
      <w:r w:rsidR="00D76656">
        <w:tab/>
      </w:r>
      <w:r w:rsidR="00D76656">
        <w:tab/>
      </w:r>
      <w:r w:rsidR="00D76656">
        <w:tab/>
      </w:r>
      <w:r w:rsidR="00892CD9">
        <w:t>(eq.</w:t>
      </w:r>
      <w:r w:rsidR="00892CD9" w:rsidRPr="004F3F4E">
        <w:t xml:space="preserve"> 1</w:t>
      </w:r>
      <w:r w:rsidR="00D76656">
        <w:t>0</w:t>
      </w:r>
      <w:r w:rsidR="00892CD9">
        <w:t>)</w:t>
      </w:r>
    </w:p>
    <w:p w14:paraId="32640792" w14:textId="300D33CD" w:rsidR="00C5093E" w:rsidRPr="004E77F7" w:rsidRDefault="00C5093E" w:rsidP="00B515AA">
      <w:pPr>
        <w:pStyle w:val="SWCText"/>
      </w:pPr>
      <w:r>
        <w:t>To determine how competitive the various scenarios are against the EWH and against one another, the breakeven cost is calculated</w:t>
      </w:r>
      <w:r w:rsidR="0005369A">
        <w:t xml:space="preserve"> with Equation 11</w:t>
      </w:r>
      <w:r>
        <w:t xml:space="preserve">. From the breakeven cost, the required subsidy </w:t>
      </w:r>
      <w:r w:rsidR="006962F1">
        <w:t xml:space="preserve">to achieve cost parity with the reference system </w:t>
      </w:r>
      <w:r>
        <w:t>can be determined</w:t>
      </w:r>
      <w:r w:rsidR="004A61DA">
        <w:t xml:space="preserve"> using Equation 1</w:t>
      </w:r>
      <w:r w:rsidR="0005369A">
        <w:t>2.</w:t>
      </w:r>
    </w:p>
    <w:p w14:paraId="42833C10" w14:textId="72A3934A" w:rsidR="00C5093E" w:rsidRDefault="00C5093E" w:rsidP="00D5556A">
      <w:pPr>
        <w:pStyle w:val="SWCText"/>
        <w:jc w:val="left"/>
      </w:pPr>
      <m:oMath>
        <m:r>
          <w:rPr>
            <w:rFonts w:ascii="Cambria Math" w:hAnsi="Cambria Math"/>
          </w:rPr>
          <m:t>B=</m:t>
        </m:r>
        <m:sSub>
          <m:sSubPr>
            <m:ctrlPr>
              <w:rPr>
                <w:rFonts w:ascii="Cambria Math" w:hAnsi="Cambria Math"/>
                <w:i/>
              </w:rPr>
            </m:ctrlPr>
          </m:sSubPr>
          <m:e>
            <m:r>
              <w:rPr>
                <w:rFonts w:ascii="Cambria Math" w:hAnsi="Cambria Math"/>
              </w:rPr>
              <m:t>CAPEX</m:t>
            </m:r>
          </m:e>
          <m:sub>
            <m:r>
              <w:rPr>
                <w:rFonts w:ascii="Cambria Math" w:hAnsi="Cambria Math"/>
              </w:rPr>
              <m:t>EWH</m:t>
            </m:r>
          </m:sub>
        </m:sSub>
        <m:r>
          <w:rPr>
            <w:rFonts w:ascii="Cambria Math" w:hAnsi="Cambria Math"/>
          </w:rPr>
          <m:t>+(M-</m:t>
        </m:r>
        <m:sSub>
          <m:sSubPr>
            <m:ctrlPr>
              <w:rPr>
                <w:rFonts w:ascii="Cambria Math" w:hAnsi="Cambria Math"/>
                <w:i/>
              </w:rPr>
            </m:ctrlPr>
          </m:sSubPr>
          <m:e>
            <m:r>
              <w:rPr>
                <w:rFonts w:ascii="Cambria Math" w:hAnsi="Cambria Math"/>
              </w:rPr>
              <m:t>M</m:t>
            </m:r>
          </m:e>
          <m:sub>
            <m:r>
              <w:rPr>
                <w:rFonts w:ascii="Cambria Math" w:hAnsi="Cambria Math"/>
              </w:rPr>
              <m:t>EWH</m:t>
            </m:r>
          </m:sub>
        </m:sSub>
        <m:r>
          <w:rPr>
            <w:rFonts w:ascii="Cambria Math" w:hAnsi="Cambria Math"/>
          </w:rPr>
          <m:t>)</m:t>
        </m:r>
      </m:oMath>
      <w:r w:rsidR="00D76656">
        <w:tab/>
      </w:r>
      <w:r w:rsidR="00D76656">
        <w:tab/>
      </w:r>
      <w:r w:rsidR="00D76656">
        <w:tab/>
      </w:r>
      <w:r w:rsidR="00D76656">
        <w:tab/>
      </w:r>
      <w:r w:rsidR="00D76656">
        <w:tab/>
      </w:r>
      <w:r w:rsidR="00D76656">
        <w:tab/>
      </w:r>
      <w:r w:rsidR="00D76656">
        <w:tab/>
      </w:r>
      <w:r w:rsidR="00D76656">
        <w:tab/>
      </w:r>
      <w:r w:rsidR="00892CD9">
        <w:t xml:space="preserve"> (eq.</w:t>
      </w:r>
      <w:r w:rsidR="00892CD9" w:rsidRPr="004F3F4E">
        <w:t xml:space="preserve"> 1</w:t>
      </w:r>
      <w:r w:rsidR="00D76656">
        <w:t>1</w:t>
      </w:r>
      <w:r w:rsidR="00892CD9">
        <w:t>)</w:t>
      </w:r>
    </w:p>
    <w:p w14:paraId="3FA40B5A" w14:textId="5717DDFF" w:rsidR="00C5093E" w:rsidRPr="004E77F7" w:rsidRDefault="00C5093E" w:rsidP="00D5556A">
      <w:pPr>
        <w:pStyle w:val="SWCText"/>
        <w:jc w:val="left"/>
      </w:pPr>
      <m:oMath>
        <m:r>
          <w:rPr>
            <w:rFonts w:ascii="Cambria Math" w:hAnsi="Cambria Math"/>
          </w:rPr>
          <m:t>S=CAPEX-B</m:t>
        </m:r>
      </m:oMath>
      <w:r w:rsidR="00892CD9">
        <w:t xml:space="preserve"> </w:t>
      </w:r>
      <w:r w:rsidR="00D76656">
        <w:tab/>
      </w:r>
      <w:r w:rsidR="00D76656">
        <w:tab/>
      </w:r>
      <w:r w:rsidR="00D76656">
        <w:tab/>
      </w:r>
      <w:r w:rsidR="00D76656">
        <w:tab/>
      </w:r>
      <w:r w:rsidR="00D76656">
        <w:tab/>
      </w:r>
      <w:r w:rsidR="00D76656">
        <w:tab/>
      </w:r>
      <w:r w:rsidR="00D76656">
        <w:tab/>
      </w:r>
      <w:r w:rsidR="00D76656">
        <w:tab/>
      </w:r>
      <w:r w:rsidR="00D76656">
        <w:tab/>
      </w:r>
      <w:r w:rsidR="00D76656">
        <w:tab/>
      </w:r>
      <w:r w:rsidR="00892CD9">
        <w:t>(eq.</w:t>
      </w:r>
      <w:r w:rsidR="00892CD9" w:rsidRPr="004F3F4E">
        <w:t xml:space="preserve"> 1</w:t>
      </w:r>
      <w:r w:rsidR="00D76656">
        <w:t>2</w:t>
      </w:r>
      <w:r w:rsidR="00892CD9">
        <w:t>)</w:t>
      </w:r>
    </w:p>
    <w:p w14:paraId="6FC869B4" w14:textId="325A85A3" w:rsidR="002F5F24" w:rsidRPr="004E77F7" w:rsidRDefault="002F5F24" w:rsidP="00D5556A">
      <w:pPr>
        <w:pStyle w:val="SWCHeading11"/>
      </w:pPr>
      <w:r>
        <w:t>Economic results</w:t>
      </w:r>
    </w:p>
    <w:p w14:paraId="1EEFAD0E" w14:textId="659CA789" w:rsidR="00C5093E" w:rsidRDefault="00D74944" w:rsidP="00B515AA">
      <w:pPr>
        <w:pStyle w:val="SWCText"/>
      </w:pPr>
      <w:r>
        <w:t>Figure 8</w:t>
      </w:r>
      <w:r w:rsidR="00C5093E" w:rsidRPr="004E77F7">
        <w:t xml:space="preserve"> below shows the </w:t>
      </w:r>
      <w:r w:rsidR="004D5E1D">
        <w:t>total</w:t>
      </w:r>
      <w:r w:rsidR="006B2A77">
        <w:t xml:space="preserve"> installed</w:t>
      </w:r>
      <w:r w:rsidR="004D5E1D" w:rsidRPr="004E77F7">
        <w:t xml:space="preserve"> </w:t>
      </w:r>
      <w:r w:rsidR="00C5093E" w:rsidRPr="004E77F7">
        <w:t>cost for PVWH system</w:t>
      </w:r>
      <w:r w:rsidR="0005369A">
        <w:t>s with three array sizes, as well as the HPWH</w:t>
      </w:r>
      <w:r w:rsidR="006B2A77">
        <w:t>,</w:t>
      </w:r>
      <w:r w:rsidR="0005369A">
        <w:t xml:space="preserve"> PVT-HPWH</w:t>
      </w:r>
      <w:r w:rsidR="006B2A77">
        <w:t>, and low-cost 1.8 kW PVWH</w:t>
      </w:r>
      <w:r w:rsidR="0005369A">
        <w:t xml:space="preserve"> scenarios</w:t>
      </w:r>
      <w:r w:rsidR="00C5093E" w:rsidRPr="004E77F7">
        <w:t xml:space="preserve"> compared to an EWH for that location. The subsidy required to achieve the breakeven cost is </w:t>
      </w:r>
      <w:r w:rsidR="00EE15A7">
        <w:t>shown with bars corresponding to each scenario</w:t>
      </w:r>
      <w:r w:rsidR="000F171B">
        <w:t>.</w:t>
      </w:r>
      <w:r w:rsidR="002E514A">
        <w:t xml:space="preserve"> In most cases, </w:t>
      </w:r>
      <w:r w:rsidR="00C266CB">
        <w:t xml:space="preserve">the low-carbon water heating option does not </w:t>
      </w:r>
      <w:r w:rsidR="007F34AF">
        <w:t xml:space="preserve">break even over the course of the </w:t>
      </w:r>
      <w:proofErr w:type="gramStart"/>
      <w:r w:rsidR="007F34AF">
        <w:t>15 year</w:t>
      </w:r>
      <w:proofErr w:type="gramEnd"/>
      <w:r w:rsidR="007F34AF">
        <w:t xml:space="preserve"> lifetime, and a subsidy is needed to make the system </w:t>
      </w:r>
      <w:r w:rsidR="006C05DC">
        <w:t xml:space="preserve">cost competitive with EWH. In 11 </w:t>
      </w:r>
      <w:r w:rsidR="00917578">
        <w:t xml:space="preserve">out of 84 total </w:t>
      </w:r>
      <w:r w:rsidR="006C05DC">
        <w:t xml:space="preserve">scenarios there is no subsidy required, and the low-carbon option is less expensive over 15 years than </w:t>
      </w:r>
      <w:proofErr w:type="gramStart"/>
      <w:r w:rsidR="006C05DC">
        <w:t>a</w:t>
      </w:r>
      <w:proofErr w:type="gramEnd"/>
      <w:r w:rsidR="002352B5">
        <w:t xml:space="preserve"> EWH; these scenarios are for northern cities with very high electricity costs</w:t>
      </w:r>
      <w:r w:rsidR="00D52A8A">
        <w:t>, plus the HPWH scenario for Charlottetown.</w:t>
      </w:r>
      <w:r w:rsidR="000F171B">
        <w:t xml:space="preserve"> The lowest required subsidies </w:t>
      </w:r>
      <w:r w:rsidR="00F11F17">
        <w:t xml:space="preserve">for </w:t>
      </w:r>
      <w:r w:rsidR="00BF4A77">
        <w:t xml:space="preserve">a 1.8 kW </w:t>
      </w:r>
      <w:r w:rsidR="00F11F17">
        <w:t>PVWH</w:t>
      </w:r>
      <w:r w:rsidR="00C5093E" w:rsidRPr="004E77F7">
        <w:t xml:space="preserve"> are in Charlottetown</w:t>
      </w:r>
      <w:r w:rsidR="00C60621">
        <w:t xml:space="preserve"> (</w:t>
      </w:r>
      <w:r w:rsidR="00E77C32">
        <w:t>$</w:t>
      </w:r>
      <w:r w:rsidR="004332AF" w:rsidRPr="004332AF">
        <w:t>1</w:t>
      </w:r>
      <w:r w:rsidR="00E77C32">
        <w:t>,</w:t>
      </w:r>
      <w:r w:rsidR="004332AF" w:rsidRPr="004332AF">
        <w:t>33</w:t>
      </w:r>
      <w:r w:rsidR="003569EF">
        <w:t>7</w:t>
      </w:r>
      <w:r w:rsidR="00C60621">
        <w:t>)</w:t>
      </w:r>
      <w:r w:rsidR="004074C3">
        <w:t xml:space="preserve"> and</w:t>
      </w:r>
      <w:r w:rsidR="00C5093E" w:rsidRPr="004E77F7">
        <w:t xml:space="preserve"> Regina</w:t>
      </w:r>
      <w:r w:rsidR="00E77C32">
        <w:t xml:space="preserve"> </w:t>
      </w:r>
      <w:r w:rsidR="004074C3">
        <w:t>(</w:t>
      </w:r>
      <w:r w:rsidR="00E77C32">
        <w:t>$</w:t>
      </w:r>
      <w:r w:rsidR="00E77C32" w:rsidRPr="00E77C32">
        <w:t>1</w:t>
      </w:r>
      <w:r w:rsidR="00E77C32">
        <w:t>,</w:t>
      </w:r>
      <w:r w:rsidR="00E77C32" w:rsidRPr="00E77C32">
        <w:t>333</w:t>
      </w:r>
      <w:r w:rsidR="004074C3">
        <w:t>)</w:t>
      </w:r>
      <w:r w:rsidR="00C5093E" w:rsidRPr="004E77F7">
        <w:t xml:space="preserve"> as well as the two northernmost cities of Yellowknife and Iqaluit, </w:t>
      </w:r>
      <w:r w:rsidR="00C86FE8">
        <w:t xml:space="preserve">which have negative subsidy prices and </w:t>
      </w:r>
      <w:r w:rsidR="00C5093E" w:rsidRPr="004E77F7">
        <w:t>where EWH is unlikely to be installed largely due to</w:t>
      </w:r>
      <w:r w:rsidR="007A7DE6">
        <w:t xml:space="preserve"> high </w:t>
      </w:r>
      <w:r w:rsidR="00C5093E" w:rsidRPr="004E77F7">
        <w:t>electricity prices</w:t>
      </w:r>
      <w:r w:rsidR="00DC2F31">
        <w:t xml:space="preserve">. </w:t>
      </w:r>
      <w:r w:rsidR="00BF4A77">
        <w:t>Excluding those two locations, t</w:t>
      </w:r>
      <w:r w:rsidR="00DC2F31">
        <w:t xml:space="preserve">he average subsidy for the 1.8 kW </w:t>
      </w:r>
      <w:r w:rsidR="00BF4A77">
        <w:t>PVWH is</w:t>
      </w:r>
      <w:r w:rsidR="00DC2F31">
        <w:t xml:space="preserve"> $</w:t>
      </w:r>
      <w:r w:rsidR="00EE237A">
        <w:t>2,942</w:t>
      </w:r>
      <w:r w:rsidR="007A7DE6">
        <w:t xml:space="preserve">. </w:t>
      </w:r>
      <w:r w:rsidR="00327A98">
        <w:t>The highest subs</w:t>
      </w:r>
      <w:r w:rsidR="00AA471D">
        <w:t>idy</w:t>
      </w:r>
      <w:r w:rsidR="00327A98">
        <w:t xml:space="preserve"> </w:t>
      </w:r>
      <w:r w:rsidR="00AA471D">
        <w:t>is</w:t>
      </w:r>
      <w:r w:rsidR="00327A98">
        <w:t xml:space="preserve"> in Quebec City,</w:t>
      </w:r>
      <w:r w:rsidR="00327A98" w:rsidRPr="00327A98">
        <w:t xml:space="preserve"> </w:t>
      </w:r>
      <w:r w:rsidR="009461DD">
        <w:t xml:space="preserve">which has an electricity price of only 6.08 </w:t>
      </w:r>
      <w:r w:rsidR="009461DD" w:rsidRPr="009461DD">
        <w:t>¢CAD/kWh</w:t>
      </w:r>
      <w:r w:rsidR="009461DD">
        <w:t xml:space="preserve">, </w:t>
      </w:r>
      <w:r w:rsidR="0005369A">
        <w:t>with a</w:t>
      </w:r>
      <w:r w:rsidR="00AA471D">
        <w:t xml:space="preserve"> value</w:t>
      </w:r>
      <w:r w:rsidR="0005369A">
        <w:t xml:space="preserve"> of </w:t>
      </w:r>
      <w:r w:rsidR="00327A98">
        <w:t>$</w:t>
      </w:r>
      <w:r w:rsidR="00AA471D">
        <w:t>3,221</w:t>
      </w:r>
      <w:r w:rsidR="00327A98">
        <w:t xml:space="preserve">. </w:t>
      </w:r>
      <w:r w:rsidR="00E84753">
        <w:t xml:space="preserve">The rightmost bar indicates the low-cost PVWH scenario, using the lower bound of installed PV costs in place of an average. </w:t>
      </w:r>
      <w:r w:rsidR="008A48D1">
        <w:t xml:space="preserve">All other system costs remain constant. </w:t>
      </w:r>
      <w:r w:rsidR="00F766BF">
        <w:t>Considering th</w:t>
      </w:r>
      <w:r w:rsidR="008A48D1">
        <w:t>is</w:t>
      </w:r>
      <w:r w:rsidR="00F766BF">
        <w:t xml:space="preserve"> low-cost PVWH option, </w:t>
      </w:r>
      <w:r w:rsidR="00AF2E13">
        <w:t xml:space="preserve">the </w:t>
      </w:r>
      <w:r w:rsidR="00F766BF">
        <w:t>required subsid</w:t>
      </w:r>
      <w:r w:rsidR="00521570">
        <w:t>y is $849 to</w:t>
      </w:r>
      <w:r w:rsidR="00D8330F">
        <w:t xml:space="preserve"> $1,037 </w:t>
      </w:r>
      <w:r w:rsidR="00AF2E13">
        <w:t xml:space="preserve">lower, with the greatest decrease </w:t>
      </w:r>
      <w:r w:rsidR="00D8330F">
        <w:t>in Toronto</w:t>
      </w:r>
      <w:r w:rsidR="00EE237A">
        <w:t xml:space="preserve">, resulting in an average subsidy of </w:t>
      </w:r>
      <w:r w:rsidR="0006062E">
        <w:t>$</w:t>
      </w:r>
      <w:r w:rsidR="00BB06DC">
        <w:t>2,002 excluding the three northernmost cities</w:t>
      </w:r>
      <w:r w:rsidR="00AF2E13">
        <w:t>.</w:t>
      </w:r>
      <w:r w:rsidR="00AA471D">
        <w:t xml:space="preserve"> </w:t>
      </w:r>
      <w:r w:rsidR="00816E3B">
        <w:t xml:space="preserve">PVT-HPWH subsidies are significantly higher than all other considered systems, </w:t>
      </w:r>
      <w:r w:rsidR="00936431">
        <w:t>ranging from $</w:t>
      </w:r>
      <w:r w:rsidR="00936431" w:rsidRPr="00936431">
        <w:t>3737</w:t>
      </w:r>
      <w:r w:rsidR="00936431">
        <w:t xml:space="preserve"> in Charlottetown to </w:t>
      </w:r>
      <w:r w:rsidR="00E4227D">
        <w:t>$</w:t>
      </w:r>
      <w:r w:rsidR="00E4227D" w:rsidRPr="00E4227D">
        <w:t>816</w:t>
      </w:r>
      <w:r w:rsidR="00E4227D">
        <w:t>9 in St. John’s</w:t>
      </w:r>
      <w:r w:rsidR="009A1B0A">
        <w:t xml:space="preserve">. HPWH </w:t>
      </w:r>
      <w:r w:rsidR="00E17B14">
        <w:t xml:space="preserve">are the most economic option across all locations, with subsidies ranging from </w:t>
      </w:r>
      <w:r w:rsidR="00FC4BBB">
        <w:t>-</w:t>
      </w:r>
      <w:r w:rsidR="00081929">
        <w:t>$</w:t>
      </w:r>
      <w:r w:rsidR="00FC4BBB">
        <w:t>87 in Charlottetown</w:t>
      </w:r>
      <w:r w:rsidR="00081929">
        <w:t xml:space="preserve"> </w:t>
      </w:r>
      <w:r w:rsidR="00F95AFF">
        <w:t>(indicating HPWH is slightly more economic than EWH in that city)</w:t>
      </w:r>
      <w:r w:rsidR="00994E99">
        <w:t xml:space="preserve"> </w:t>
      </w:r>
      <w:r w:rsidR="00F95AFF">
        <w:t>to $</w:t>
      </w:r>
      <w:r w:rsidR="00F95AFF" w:rsidRPr="00994E99">
        <w:t>275</w:t>
      </w:r>
      <w:r w:rsidR="00F95AFF">
        <w:t xml:space="preserve">3 </w:t>
      </w:r>
      <w:r w:rsidR="00994E99">
        <w:t xml:space="preserve">in Quebec City. </w:t>
      </w:r>
      <w:r w:rsidR="00F95AFF">
        <w:t xml:space="preserve">Overall, the low electricity prices in </w:t>
      </w:r>
      <w:r w:rsidR="008C007B">
        <w:t xml:space="preserve">cities like </w:t>
      </w:r>
      <w:r w:rsidR="00F95AFF">
        <w:t xml:space="preserve">Quebec City </w:t>
      </w:r>
      <w:r w:rsidR="008C007B">
        <w:t xml:space="preserve">and Edmonton result in low </w:t>
      </w:r>
      <w:r w:rsidR="005E36A8">
        <w:t>OPEX costs for</w:t>
      </w:r>
      <w:r w:rsidR="008C007B">
        <w:t xml:space="preserve"> EWH systems, so regardless of energy reduction the high upfront </w:t>
      </w:r>
      <w:r w:rsidR="005E36A8">
        <w:t>investment required for</w:t>
      </w:r>
      <w:r w:rsidR="008C007B">
        <w:t xml:space="preserve"> low-carbon systems renders them </w:t>
      </w:r>
      <w:r w:rsidR="00D807A7">
        <w:t xml:space="preserve">less affordable. </w:t>
      </w:r>
      <w:r w:rsidR="00D062B9">
        <w:t xml:space="preserve">Conversely, the high electricity costs in Charlottetown make low-carbon options relatively attractive despite </w:t>
      </w:r>
      <w:proofErr w:type="gramStart"/>
      <w:r w:rsidR="000664D1">
        <w:t>fairly low</w:t>
      </w:r>
      <w:proofErr w:type="gramEnd"/>
      <w:r w:rsidR="000664D1">
        <w:t xml:space="preserve"> solar resource. Regina, with both high electricity costs and high solar resource, is the most favourable city for solar-integrated options</w:t>
      </w:r>
      <w:r w:rsidR="00174E22">
        <w:t>. While the HPWH is still economic in Regina, the high space heating load results in low overall</w:t>
      </w:r>
      <w:r w:rsidR="008A2DE9">
        <w:t xml:space="preserve"> household</w:t>
      </w:r>
      <w:r w:rsidR="00174E22">
        <w:t xml:space="preserve"> energy savings for the HPWH compared to other locations, with </w:t>
      </w:r>
      <w:r w:rsidR="008A2DE9">
        <w:t>savings of only 11%.</w:t>
      </w:r>
    </w:p>
    <w:p w14:paraId="721DC7FA" w14:textId="5D90CEFB" w:rsidR="00F23296" w:rsidRDefault="00336380" w:rsidP="005A2D9D">
      <w:pPr>
        <w:pStyle w:val="SWCTableFigureCaption"/>
        <w:ind w:left="0"/>
        <w:jc w:val="left"/>
      </w:pPr>
      <w:r w:rsidRPr="00336380">
        <w:t xml:space="preserve"> </w:t>
      </w:r>
    </w:p>
    <w:p w14:paraId="73EE9864" w14:textId="5471BED1" w:rsidR="003E6BB6" w:rsidRDefault="00710898" w:rsidP="00D5556A">
      <w:pPr>
        <w:pStyle w:val="SWCTableFigureCaption"/>
      </w:pPr>
      <w:r>
        <w:rPr>
          <w:noProof/>
        </w:rPr>
        <w:lastRenderedPageBreak/>
        <w:drawing>
          <wp:inline distT="0" distB="0" distL="0" distR="0" wp14:anchorId="0E7EF24E" wp14:editId="1729DF79">
            <wp:extent cx="5714545" cy="3605842"/>
            <wp:effectExtent l="0" t="0" r="635" b="0"/>
            <wp:docPr id="2905033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0982" cy="3616214"/>
                    </a:xfrm>
                    <a:prstGeom prst="rect">
                      <a:avLst/>
                    </a:prstGeom>
                    <a:noFill/>
                  </pic:spPr>
                </pic:pic>
              </a:graphicData>
            </a:graphic>
          </wp:inline>
        </w:drawing>
      </w:r>
    </w:p>
    <w:p w14:paraId="0959914A" w14:textId="0B8CA894" w:rsidR="001F2D0A" w:rsidRDefault="00336380" w:rsidP="00D5556A">
      <w:pPr>
        <w:pStyle w:val="SWCTableFigureCaption"/>
      </w:pPr>
      <w:r>
        <w:t>Figure 8: Subsidies required to achieve breakeven cost for each scenario. Subsidy costs are represented by the transparent overlay on</w:t>
      </w:r>
      <w:r w:rsidR="00E23B23">
        <w:t xml:space="preserve"> </w:t>
      </w:r>
      <w:r>
        <w:t xml:space="preserve">top of the breakeven costs. The </w:t>
      </w:r>
      <w:r w:rsidR="00E630C8">
        <w:t>green data series</w:t>
      </w:r>
      <w:r>
        <w:t xml:space="preserve"> represents the low</w:t>
      </w:r>
      <w:r w:rsidR="00E23B23">
        <w:t>-</w:t>
      </w:r>
      <w:r>
        <w:t>cost PVWH scenario where the lower range of PV installed costs are used.</w:t>
      </w:r>
      <w:r w:rsidR="00E630C8">
        <w:t xml:space="preserve"> </w:t>
      </w:r>
      <w:r w:rsidR="009D1EA9">
        <w:t>The vertical axis cuts off at -$3,000 for readability</w:t>
      </w:r>
      <w:r w:rsidR="00956F77">
        <w:t>.</w:t>
      </w:r>
    </w:p>
    <w:p w14:paraId="2F6F7884" w14:textId="664679B1" w:rsidR="00015155" w:rsidRDefault="00713942" w:rsidP="00D5556A">
      <w:pPr>
        <w:pStyle w:val="SWCText"/>
      </w:pPr>
      <w:r>
        <w:t xml:space="preserve">Figure </w:t>
      </w:r>
      <w:r w:rsidR="009A232E">
        <w:t>9</w:t>
      </w:r>
      <w:r>
        <w:t xml:space="preserve"> illustrates the geographic variability in the comparative affordability of PVWH and HPWH systems, with the subsidy cost of PVWH relative to HPWH overlaid. Regina and Winnipeg, the sunniest cities considered in the analysis, have the most favourable conditions for the PVWH, with the PVWH costing $</w:t>
      </w:r>
      <w:r w:rsidR="00F20B5B">
        <w:t>13</w:t>
      </w:r>
      <w:r>
        <w:t xml:space="preserve"> less in Regina than HPWH over the system lifetime. The PVWH system is generally costlier than HPWH, </w:t>
      </w:r>
      <w:r w:rsidR="005F310C">
        <w:t>even considering the lower range of PV installation costs. T</w:t>
      </w:r>
      <w:r>
        <w:t xml:space="preserve">he </w:t>
      </w:r>
      <w:r w:rsidR="00BF30B2">
        <w:t xml:space="preserve">average </w:t>
      </w:r>
      <w:r>
        <w:t xml:space="preserve">subsidy value of PVWH compared to HPWH is </w:t>
      </w:r>
      <w:r w:rsidR="00BF30B2">
        <w:t>$</w:t>
      </w:r>
      <w:r w:rsidR="00F20B5B">
        <w:t>498 excluding northern cities</w:t>
      </w:r>
      <w:r w:rsidR="00BF30B2">
        <w:t>,</w:t>
      </w:r>
      <w:r w:rsidR="00423117">
        <w:t xml:space="preserve"> a figure that could potentially be reduced further through </w:t>
      </w:r>
      <w:r w:rsidR="00F90A24">
        <w:t xml:space="preserve">cost-reducing design elements. </w:t>
      </w:r>
    </w:p>
    <w:p w14:paraId="62DABCAB" w14:textId="38B77236" w:rsidR="00F50035" w:rsidRDefault="000804FE" w:rsidP="00D5556A">
      <w:pPr>
        <w:pStyle w:val="SWCText"/>
        <w:jc w:val="center"/>
      </w:pPr>
      <w:r>
        <w:rPr>
          <w:noProof/>
        </w:rPr>
        <w:drawing>
          <wp:inline distT="0" distB="0" distL="0" distR="0" wp14:anchorId="05500CD6" wp14:editId="00CC4E6F">
            <wp:extent cx="5305741" cy="3726611"/>
            <wp:effectExtent l="0" t="0" r="0" b="7620"/>
            <wp:docPr id="6452413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25417" cy="3740431"/>
                    </a:xfrm>
                    <a:prstGeom prst="rect">
                      <a:avLst/>
                    </a:prstGeom>
                    <a:noFill/>
                  </pic:spPr>
                </pic:pic>
              </a:graphicData>
            </a:graphic>
          </wp:inline>
        </w:drawing>
      </w:r>
    </w:p>
    <w:p w14:paraId="7304A9B1" w14:textId="70A56592" w:rsidR="00DA6930" w:rsidRPr="004E77F7" w:rsidRDefault="00D87B6D" w:rsidP="00D5556A">
      <w:pPr>
        <w:pStyle w:val="SWCTableFigureCaption"/>
      </w:pPr>
      <w:r>
        <w:t xml:space="preserve">Figure </w:t>
      </w:r>
      <w:r w:rsidR="009A232E">
        <w:t>9</w:t>
      </w:r>
      <w:r w:rsidR="004F06C3">
        <w:t xml:space="preserve">: </w:t>
      </w:r>
      <w:r w:rsidR="009A232E">
        <w:t>Subsidy</w:t>
      </w:r>
      <w:r w:rsidR="004F06C3">
        <w:t xml:space="preserve"> </w:t>
      </w:r>
      <w:r w:rsidR="009A232E">
        <w:t>required for</w:t>
      </w:r>
      <w:r w:rsidR="004F06C3">
        <w:t xml:space="preserve"> </w:t>
      </w:r>
      <w:r w:rsidR="0004129B">
        <w:t>l</w:t>
      </w:r>
      <w:r w:rsidR="004F06C3">
        <w:t>ow</w:t>
      </w:r>
      <w:r w:rsidR="00E23B23">
        <w:t>-</w:t>
      </w:r>
      <w:r w:rsidR="0004129B">
        <w:t>c</w:t>
      </w:r>
      <w:r w:rsidR="004F06C3">
        <w:t xml:space="preserve">ost 1.8 kW PVWH </w:t>
      </w:r>
      <w:r w:rsidR="009A232E">
        <w:t>to be cost-</w:t>
      </w:r>
      <w:r w:rsidR="00BD705E">
        <w:t>competitive with</w:t>
      </w:r>
      <w:r w:rsidR="004F06C3">
        <w:t xml:space="preserve"> HPWH in 1</w:t>
      </w:r>
      <w:r w:rsidR="0032688C">
        <w:t>4</w:t>
      </w:r>
      <w:r w:rsidR="004F06C3">
        <w:t xml:space="preserve"> Canadian cities.  </w:t>
      </w:r>
      <w:r w:rsidR="009D6A16">
        <w:t xml:space="preserve">Overlaid on map of </w:t>
      </w:r>
      <w:r w:rsidR="0018088A">
        <w:t xml:space="preserve">Annual </w:t>
      </w:r>
      <w:r w:rsidR="009D6A16">
        <w:t xml:space="preserve">Photovoltaic potential </w:t>
      </w:r>
      <w:r w:rsidR="0018088A">
        <w:t>(south facing with latitude tilt)</w:t>
      </w:r>
      <w:r w:rsidR="0004129B">
        <w:t xml:space="preserve"> </w:t>
      </w:r>
      <w:r w:rsidR="00284AB4">
        <w:fldChar w:fldCharType="begin"/>
      </w:r>
      <w:r w:rsidR="00284AB4">
        <w:instrText xml:space="preserve"> ADDIN ZOTERO_ITEM CSL_CITATION {"citationID":"F3qN3BgM","properties":{"unsorted":false,"formattedCitation":"(Natural Resources Canada, 2024)","plainCitation":"(Natural Resources Canada, 2024)","noteIndex":0},"citationItems":[{"id":4760,"uris":["http://zotero.org/users/11724601/items/CFXFMR6A"],"itemData":{"id":4760,"type":"dataset","abstract":"This web mapping application gives estimates of the electricity that can be generated by grid-connected photovoltaic systems without batteries (in kWh/kWp) and of the mean daily global insolation...","language":"eng","title":"Photovoltaic Potential and Solar Resource Maps of Canada - Open Government Portal","URL":"https://open.canada.ca/data/en/dataset/8b434ac7-aedb-4698-90df-ba77424a551f","author":[{"family":"Natural Resources Canada","given":""}],"accessed":{"date-parts":[["2026",3,3]]},"issued":{"date-parts":[["2024"]]}}}],"schema":"https://github.com/citation-style-language/schema/raw/master/csl-citation.json"} </w:instrText>
      </w:r>
      <w:r w:rsidR="00284AB4">
        <w:fldChar w:fldCharType="separate"/>
      </w:r>
      <w:r w:rsidR="00284AB4" w:rsidRPr="00284AB4">
        <w:t>(Natural Resources Canada, 2024)</w:t>
      </w:r>
      <w:r w:rsidR="00284AB4">
        <w:fldChar w:fldCharType="end"/>
      </w:r>
    </w:p>
    <w:p w14:paraId="61BFDB16" w14:textId="77777777" w:rsidR="00C5093E" w:rsidRPr="004E77F7" w:rsidRDefault="00C5093E" w:rsidP="002E75EE">
      <w:pPr>
        <w:pStyle w:val="SWCHeading1"/>
      </w:pPr>
      <w:r w:rsidRPr="004E77F7">
        <w:lastRenderedPageBreak/>
        <w:t>CONCLUSIONS</w:t>
      </w:r>
    </w:p>
    <w:p w14:paraId="1844B73B" w14:textId="5D5B1CD2" w:rsidR="00C5093E" w:rsidRPr="004E77F7" w:rsidRDefault="00C5093E" w:rsidP="00B515AA">
      <w:pPr>
        <w:pStyle w:val="SWCText"/>
      </w:pPr>
      <w:r w:rsidRPr="004E77F7">
        <w:t xml:space="preserve">The current research </w:t>
      </w:r>
      <w:r w:rsidR="006E7D46">
        <w:t xml:space="preserve">investigated </w:t>
      </w:r>
      <w:r w:rsidRPr="004E77F7">
        <w:t xml:space="preserve">the </w:t>
      </w:r>
      <w:r w:rsidR="006E7D46">
        <w:t xml:space="preserve">techno-economic </w:t>
      </w:r>
      <w:r w:rsidRPr="004E77F7">
        <w:t>performance of several solar and low-carbon water heating options for 1</w:t>
      </w:r>
      <w:r w:rsidR="0032688C">
        <w:t>4</w:t>
      </w:r>
      <w:r w:rsidRPr="004E77F7">
        <w:t xml:space="preserve"> locations across Canada, compared to a base electric water heater. </w:t>
      </w:r>
      <w:r w:rsidR="006E7D46">
        <w:t xml:space="preserve">The purpose of this study </w:t>
      </w:r>
      <w:r w:rsidR="00883645">
        <w:t xml:space="preserve">is to identify the opportunities for mitigating grid impacts of electric water heating, as the residential sector in Canada strives towards electrification and decarbonization. </w:t>
      </w:r>
      <w:r w:rsidR="007D7F8B">
        <w:t xml:space="preserve">There is significant regional variation, with provincial electricity costs and space heating loads impacting the </w:t>
      </w:r>
      <w:r w:rsidR="00AF6EBF">
        <w:t xml:space="preserve">performance and </w:t>
      </w:r>
      <w:r w:rsidR="007D7F8B">
        <w:t>affordability of the different low-carbon options</w:t>
      </w:r>
      <w:r w:rsidR="00C26B86" w:rsidRPr="00C26B86">
        <w:t xml:space="preserve"> </w:t>
      </w:r>
      <w:r w:rsidR="00C26B86" w:rsidRPr="00E75F42">
        <w:t>Compared to conventional electric water heating,</w:t>
      </w:r>
      <w:r w:rsidR="00C26B86">
        <w:t xml:space="preserve"> heat pump water heaters</w:t>
      </w:r>
      <w:r w:rsidR="00C26B86" w:rsidRPr="00E75F42">
        <w:t xml:space="preserve"> require an average subsidy of $</w:t>
      </w:r>
      <w:r w:rsidR="00C26B86">
        <w:t>1504</w:t>
      </w:r>
      <w:r w:rsidR="00C26B86" w:rsidRPr="00E75F42">
        <w:t xml:space="preserve"> to be cost-competitive, PVT-</w:t>
      </w:r>
      <w:r w:rsidR="00C26B86">
        <w:t>heat pump water heaters</w:t>
      </w:r>
      <w:r w:rsidR="00C26B86" w:rsidRPr="00E75F42">
        <w:t xml:space="preserve"> on average $6,330, and PV</w:t>
      </w:r>
      <w:r w:rsidR="00C26B86">
        <w:t xml:space="preserve"> water heaters</w:t>
      </w:r>
      <w:r w:rsidR="00C26B86" w:rsidRPr="00E75F42">
        <w:t xml:space="preserve"> on average $2,9</w:t>
      </w:r>
      <w:r w:rsidR="00C26B86">
        <w:t>68</w:t>
      </w:r>
      <w:r w:rsidR="00C26B86" w:rsidRPr="00E75F42">
        <w:t>, excluding northern locations with extremely high electricity costs.</w:t>
      </w:r>
      <w:r w:rsidR="00C26B86">
        <w:t xml:space="preserve"> </w:t>
      </w:r>
      <w:r w:rsidR="00B163C6">
        <w:t>Considering a low-cost PV scenario, th</w:t>
      </w:r>
      <w:r w:rsidR="00634A3A">
        <w:t>e PVWH</w:t>
      </w:r>
      <w:r w:rsidR="00B163C6">
        <w:t xml:space="preserve"> average falls to $</w:t>
      </w:r>
      <w:r w:rsidR="00656F06">
        <w:t>2,002</w:t>
      </w:r>
      <w:r w:rsidR="00B163C6">
        <w:t>.</w:t>
      </w:r>
      <w:r w:rsidR="008929D8" w:rsidRPr="008929D8">
        <w:t xml:space="preserve"> </w:t>
      </w:r>
      <w:r w:rsidR="008929D8">
        <w:t xml:space="preserve">The analysis found that while </w:t>
      </w:r>
      <w:r w:rsidR="00FB48D8">
        <w:t>PVWH</w:t>
      </w:r>
      <w:r w:rsidR="008929D8">
        <w:t xml:space="preserve"> is not yet economic compared to conventional electric water heating, the PVWH system is on average only $</w:t>
      </w:r>
      <w:r w:rsidR="00C26B86">
        <w:t>498</w:t>
      </w:r>
      <w:r w:rsidR="008929D8">
        <w:t xml:space="preserve"> more expensive than a comparative HPWH, ranging from -$</w:t>
      </w:r>
      <w:r w:rsidR="00E771CD">
        <w:t>13</w:t>
      </w:r>
      <w:r w:rsidR="008929D8">
        <w:t xml:space="preserve"> in Regina to $1,1</w:t>
      </w:r>
      <w:r w:rsidR="00E771CD">
        <w:t>57</w:t>
      </w:r>
      <w:r w:rsidR="008929D8">
        <w:t xml:space="preserve"> in St. John’s.</w:t>
      </w:r>
    </w:p>
    <w:p w14:paraId="3C276402" w14:textId="034A4121" w:rsidR="00453296" w:rsidRPr="006309AA" w:rsidRDefault="00170A31" w:rsidP="007C1632">
      <w:pPr>
        <w:pStyle w:val="SWCText"/>
      </w:pPr>
      <w:r>
        <w:t xml:space="preserve">Methods of reducing cost of PVWH could include the use of advanced controls to maximize energy performance of smaller array systems, for example </w:t>
      </w:r>
      <w:r w:rsidR="00BC0842">
        <w:t xml:space="preserve">charging only during low time-of-use electricity rates or </w:t>
      </w:r>
      <w:r w:rsidR="00475EC1">
        <w:t>using</w:t>
      </w:r>
      <w:r w:rsidR="00BC0842">
        <w:t xml:space="preserve"> weather forecasts to avoid the use of the grid-connected element when high solar irradiance is predicted. </w:t>
      </w:r>
      <w:r w:rsidR="00C5093E" w:rsidRPr="004E77F7">
        <w:t xml:space="preserve">Lower cost PV panels, </w:t>
      </w:r>
      <w:r w:rsidR="00BC0842">
        <w:t>such as</w:t>
      </w:r>
      <w:r w:rsidR="00C5093E" w:rsidRPr="004E77F7">
        <w:t xml:space="preserve"> flexible panels could avoid costs associated with labour and installation, like structural assessment</w:t>
      </w:r>
      <w:r w:rsidR="00BC0842">
        <w:t>s which are required in some jurisdictions. Additionally, DC systems</w:t>
      </w:r>
      <w:r w:rsidR="004F71D3">
        <w:t xml:space="preserve">, though they have </w:t>
      </w:r>
      <w:r w:rsidR="00EA2071">
        <w:t xml:space="preserve">lower </w:t>
      </w:r>
      <w:r w:rsidR="004F71D3">
        <w:t>energy performance compared to AC,</w:t>
      </w:r>
      <w:r w:rsidR="00BC0842">
        <w:t xml:space="preserve"> could be investigated to avoid costs associated with an inverter</w:t>
      </w:r>
      <w:r w:rsidR="004F71D3">
        <w:t>.</w:t>
      </w:r>
      <w:r w:rsidR="00E02C0E">
        <w:t xml:space="preserve"> Although the investigated systems are not cost-competitive with conventional electric water heating in Canada, due largely to low</w:t>
      </w:r>
      <w:r w:rsidR="005A0C6E">
        <w:t xml:space="preserve"> electricity in Canada, </w:t>
      </w:r>
      <w:r w:rsidR="00CF5FB9">
        <w:t>they have the potential to provide benefits to households and the grid while contributing to Canada’s goal of NetZero by 2050.</w:t>
      </w:r>
    </w:p>
    <w:p w14:paraId="66D501A6" w14:textId="03B80A1F" w:rsidR="006D11AF" w:rsidRDefault="00D32EF0" w:rsidP="00D5556A">
      <w:pPr>
        <w:pStyle w:val="SWCHeading1"/>
      </w:pPr>
      <w:r w:rsidRPr="00C97946">
        <w:rPr>
          <w:lang w:val="en-GB"/>
        </w:rPr>
        <w:t>References</w:t>
      </w:r>
      <w:r w:rsidR="004E5D79" w:rsidRPr="00C97946">
        <w:rPr>
          <w:lang w:val="en-GB"/>
        </w:rPr>
        <w:t xml:space="preserve"> </w:t>
      </w:r>
    </w:p>
    <w:p w14:paraId="625E9D5E" w14:textId="1C46A2BB" w:rsidR="005A3838" w:rsidRPr="005A3838" w:rsidRDefault="00C54EB4" w:rsidP="00D5556A">
      <w:pPr>
        <w:pStyle w:val="Bibliography"/>
        <w:spacing w:line="276" w:lineRule="auto"/>
        <w:rPr>
          <w:rFonts w:ascii="Times New Roman" w:hAnsi="Times New Roman" w:cs="Times New Roman"/>
          <w:sz w:val="20"/>
        </w:rPr>
      </w:pPr>
      <w:r>
        <w:fldChar w:fldCharType="begin"/>
      </w:r>
      <w:r w:rsidR="005A3838">
        <w:instrText xml:space="preserve"> ADDIN ZOTERO_BIBL {"uncited":[],"omitted":[],"custom":[]} CSL_BIBLIOGRAPHY </w:instrText>
      </w:r>
      <w:r>
        <w:fldChar w:fldCharType="separate"/>
      </w:r>
      <w:r w:rsidR="005A3838" w:rsidRPr="005A3838">
        <w:rPr>
          <w:rFonts w:ascii="Times New Roman" w:hAnsi="Times New Roman" w:cs="Times New Roman"/>
          <w:sz w:val="20"/>
        </w:rPr>
        <w:t>Canadian Climate Institute, 2021. Canada’s Net Zero Future.</w:t>
      </w:r>
    </w:p>
    <w:p w14:paraId="62C7FAEF" w14:textId="52B13E91" w:rsidR="005A3838" w:rsidRPr="005A3838" w:rsidRDefault="005A3838" w:rsidP="00D5556A">
      <w:pPr>
        <w:pStyle w:val="SWCText"/>
      </w:pPr>
      <w:r w:rsidRPr="005A3838">
        <w:t>Clift, D.H., Suehrcke, H., 2021. Control optimization of PV powered electric storage and heat pump water</w:t>
      </w:r>
      <w:r w:rsidR="006E3511">
        <w:tab/>
      </w:r>
      <w:r w:rsidRPr="005A3838">
        <w:t>heaters. Solar Energy 226, 489–500. https://doi.org/10.1016/j.solener.2021.08.059</w:t>
      </w:r>
    </w:p>
    <w:p w14:paraId="2CF29BAF" w14:textId="77777777" w:rsidR="005A3838" w:rsidRPr="005A3838" w:rsidRDefault="005A3838" w:rsidP="00D5556A">
      <w:pPr>
        <w:pStyle w:val="Bibliography"/>
        <w:spacing w:line="276" w:lineRule="auto"/>
        <w:rPr>
          <w:rFonts w:ascii="Times New Roman" w:hAnsi="Times New Roman" w:cs="Times New Roman"/>
          <w:sz w:val="20"/>
        </w:rPr>
      </w:pPr>
      <w:r w:rsidRPr="005A3838">
        <w:rPr>
          <w:rFonts w:ascii="Times New Roman" w:hAnsi="Times New Roman" w:cs="Times New Roman"/>
          <w:sz w:val="20"/>
        </w:rPr>
        <w:t>Hachchadi, O., Rousse, D.R., Irandoostshahrestani, M., Mechaqrane, A., 2023a. Techno-economic assessment and environmental impact of photovoltaic and conventional solar water heating systems in cold climates. Energy Conversion and Management 297, 117725. https://doi.org/10.1016/j.enconman.2023.117725</w:t>
      </w:r>
    </w:p>
    <w:p w14:paraId="724B61E3" w14:textId="77777777" w:rsidR="005A3838" w:rsidRPr="005A3838" w:rsidRDefault="005A3838" w:rsidP="00D5556A">
      <w:pPr>
        <w:pStyle w:val="Bibliography"/>
        <w:spacing w:line="276" w:lineRule="auto"/>
        <w:rPr>
          <w:rFonts w:ascii="Times New Roman" w:hAnsi="Times New Roman" w:cs="Times New Roman"/>
          <w:sz w:val="20"/>
        </w:rPr>
      </w:pPr>
      <w:r w:rsidRPr="005A3838">
        <w:rPr>
          <w:rFonts w:ascii="Times New Roman" w:hAnsi="Times New Roman" w:cs="Times New Roman"/>
          <w:sz w:val="20"/>
        </w:rPr>
        <w:t>Hachchadi, O., Tapsoba, G.R., Dery, P., Mechaqrane, A., Bourbonnais, M., Meloche, P., Izquierdo, R., 2023b. Experimental optimization of the heating element for a direct-coupled solar photovoltaic water heater. Solar Energy 264, 112037. https://doi.org/10.1016/j.solener.2023.112037</w:t>
      </w:r>
    </w:p>
    <w:p w14:paraId="50F72F16" w14:textId="77777777" w:rsidR="005A3838" w:rsidRPr="005A3838" w:rsidRDefault="005A3838" w:rsidP="00D5556A">
      <w:pPr>
        <w:pStyle w:val="Bibliography"/>
        <w:spacing w:line="276" w:lineRule="auto"/>
        <w:rPr>
          <w:rFonts w:ascii="Times New Roman" w:hAnsi="Times New Roman" w:cs="Times New Roman"/>
          <w:sz w:val="20"/>
        </w:rPr>
      </w:pPr>
      <w:r w:rsidRPr="005A3838">
        <w:rPr>
          <w:rFonts w:ascii="Times New Roman" w:hAnsi="Times New Roman" w:cs="Times New Roman"/>
          <w:sz w:val="20"/>
        </w:rPr>
        <w:t>Kegel, M., Tamasauskas, J., Sunye, R., Giguere, D., 2017. Heat Pump Water Heaters in the Canadian Residential Market.pdf. Presented at the 12th IEA Heat Pump Conference, Rotterdam.</w:t>
      </w:r>
    </w:p>
    <w:p w14:paraId="35D62EF1" w14:textId="77777777" w:rsidR="005A3838" w:rsidRPr="005A3838" w:rsidRDefault="005A3838" w:rsidP="00D5556A">
      <w:pPr>
        <w:pStyle w:val="Bibliography"/>
        <w:spacing w:line="276" w:lineRule="auto"/>
        <w:rPr>
          <w:rFonts w:ascii="Times New Roman" w:hAnsi="Times New Roman" w:cs="Times New Roman"/>
          <w:sz w:val="20"/>
        </w:rPr>
      </w:pPr>
      <w:r w:rsidRPr="005A3838">
        <w:rPr>
          <w:rFonts w:ascii="Times New Roman" w:hAnsi="Times New Roman" w:cs="Times New Roman"/>
          <w:sz w:val="20"/>
        </w:rPr>
        <w:t>Maguire, J., Fang, X., Wilson, E., 2013. Comparison of Advanced Residential Water Heating Technologies in the United States. Renewable Energy.</w:t>
      </w:r>
    </w:p>
    <w:p w14:paraId="74D3A61E" w14:textId="248F2BFF" w:rsidR="005A3838" w:rsidRPr="005A3838" w:rsidRDefault="005A3838" w:rsidP="00D5556A">
      <w:pPr>
        <w:pStyle w:val="Bibliography"/>
        <w:spacing w:line="276" w:lineRule="auto"/>
        <w:rPr>
          <w:rFonts w:ascii="Times New Roman" w:hAnsi="Times New Roman" w:cs="Times New Roman"/>
          <w:sz w:val="20"/>
        </w:rPr>
      </w:pPr>
      <w:r w:rsidRPr="005A3838">
        <w:rPr>
          <w:rFonts w:ascii="Times New Roman" w:hAnsi="Times New Roman" w:cs="Times New Roman"/>
          <w:sz w:val="20"/>
        </w:rPr>
        <w:t>Natural Resources Canada, 2025. Residential Sector - Energy Use Analysis. https://oee.nrcan.gc.ca/corporate/statistics/neud/dpa/showTable.cfm?type=AN&amp;sector=res&amp;juris=00&amp;year=2022&amp;rn=11&amp;page=0 (accessed 7.16.25).</w:t>
      </w:r>
    </w:p>
    <w:p w14:paraId="7698D38B" w14:textId="77777777" w:rsidR="005A3838" w:rsidRPr="005A3838" w:rsidRDefault="005A3838" w:rsidP="00D5556A">
      <w:pPr>
        <w:pStyle w:val="Bibliography"/>
        <w:spacing w:line="276" w:lineRule="auto"/>
        <w:rPr>
          <w:rFonts w:ascii="Times New Roman" w:hAnsi="Times New Roman" w:cs="Times New Roman"/>
          <w:sz w:val="20"/>
        </w:rPr>
      </w:pPr>
      <w:r w:rsidRPr="005A3838">
        <w:rPr>
          <w:rFonts w:ascii="Times New Roman" w:hAnsi="Times New Roman" w:cs="Times New Roman"/>
          <w:sz w:val="20"/>
        </w:rPr>
        <w:t>Natural Resources Canada, 2024. Photovoltaic Potential and Solar Resource Maps of Canada - Open Government Portal.</w:t>
      </w:r>
    </w:p>
    <w:p w14:paraId="5FF86512" w14:textId="2397ADAE" w:rsidR="005A3838" w:rsidRPr="005A3838" w:rsidRDefault="005A3838" w:rsidP="00D5556A">
      <w:pPr>
        <w:pStyle w:val="Bibliography"/>
        <w:spacing w:line="276" w:lineRule="auto"/>
        <w:rPr>
          <w:rFonts w:ascii="Times New Roman" w:hAnsi="Times New Roman" w:cs="Times New Roman"/>
          <w:sz w:val="20"/>
        </w:rPr>
      </w:pPr>
      <w:r w:rsidRPr="005A3838">
        <w:rPr>
          <w:rFonts w:ascii="Times New Roman" w:hAnsi="Times New Roman" w:cs="Times New Roman"/>
          <w:sz w:val="20"/>
        </w:rPr>
        <w:t>Natural Resources Canada, 2022. Canada Greener Homes Initiative</w:t>
      </w:r>
      <w:r w:rsidR="006E3511">
        <w:rPr>
          <w:rFonts w:ascii="Times New Roman" w:hAnsi="Times New Roman" w:cs="Times New Roman"/>
          <w:sz w:val="20"/>
        </w:rPr>
        <w:t>.</w:t>
      </w:r>
      <w:r w:rsidRPr="005A3838">
        <w:rPr>
          <w:rFonts w:ascii="Times New Roman" w:hAnsi="Times New Roman" w:cs="Times New Roman"/>
          <w:sz w:val="20"/>
        </w:rPr>
        <w:t xml:space="preserve"> https://natural-resources.canada.ca/energy-efficiency/home-energy-efficiency/canada-greener-homes-initiative/canada-greener-homes-initiative (accessed 8.7.26).</w:t>
      </w:r>
    </w:p>
    <w:p w14:paraId="574A3AD4" w14:textId="77777777" w:rsidR="005A3838" w:rsidRPr="005A3838" w:rsidRDefault="005A3838" w:rsidP="00D5556A">
      <w:pPr>
        <w:pStyle w:val="Bibliography"/>
        <w:spacing w:line="276" w:lineRule="auto"/>
        <w:rPr>
          <w:rFonts w:ascii="Times New Roman" w:hAnsi="Times New Roman" w:cs="Times New Roman"/>
          <w:sz w:val="20"/>
        </w:rPr>
      </w:pPr>
      <w:r w:rsidRPr="005A3838">
        <w:rPr>
          <w:rFonts w:ascii="Times New Roman" w:hAnsi="Times New Roman" w:cs="Times New Roman"/>
          <w:sz w:val="20"/>
        </w:rPr>
        <w:t>Nielsen, E., Furbo, S., Fan, J., 2024. Domestic hot water heating with direct electricity from PV panels and the grid. https://doi.org/10.18086/eurosun.2024.02.14</w:t>
      </w:r>
    </w:p>
    <w:p w14:paraId="55BFC84E" w14:textId="77777777" w:rsidR="005A3838" w:rsidRPr="005A3838" w:rsidRDefault="005A3838" w:rsidP="00D5556A">
      <w:pPr>
        <w:pStyle w:val="Bibliography"/>
        <w:spacing w:line="276" w:lineRule="auto"/>
        <w:rPr>
          <w:rFonts w:ascii="Times New Roman" w:hAnsi="Times New Roman" w:cs="Times New Roman"/>
          <w:sz w:val="20"/>
        </w:rPr>
      </w:pPr>
      <w:r w:rsidRPr="005A3838">
        <w:rPr>
          <w:rFonts w:ascii="Times New Roman" w:hAnsi="Times New Roman" w:cs="Times New Roman"/>
          <w:sz w:val="20"/>
        </w:rPr>
        <w:t>Taylor, R.A., Day, T., Yildiz, B., Clift, D., Suehrcke, H., Liu, X., 2025. The Emergence of PV  Hot Water Systems: A Technology Brief. https://doi.org/10.18777/ieashc-task69-2025-0001</w:t>
      </w:r>
    </w:p>
    <w:p w14:paraId="39744AC1" w14:textId="77777777" w:rsidR="005A3838" w:rsidRPr="005A3838" w:rsidRDefault="005A3838" w:rsidP="00D5556A">
      <w:pPr>
        <w:pStyle w:val="Bibliography"/>
        <w:spacing w:line="276" w:lineRule="auto"/>
        <w:rPr>
          <w:rFonts w:ascii="Times New Roman" w:hAnsi="Times New Roman" w:cs="Times New Roman"/>
          <w:sz w:val="20"/>
        </w:rPr>
      </w:pPr>
      <w:r w:rsidRPr="005A3838">
        <w:rPr>
          <w:rFonts w:ascii="Times New Roman" w:hAnsi="Times New Roman" w:cs="Times New Roman"/>
          <w:sz w:val="20"/>
        </w:rPr>
        <w:t>Treichel, C., Cruickshank, C.A., 2021. Economic analysis of heat pump water heaters coupled with air-based solar thermal collectors in Canada and the United States. Journal of Building Engineering 35, 102034. https://doi.org/10.1016/j.jobe.2020.102034</w:t>
      </w:r>
    </w:p>
    <w:p w14:paraId="263188FC" w14:textId="46690959" w:rsidR="008F54F8" w:rsidRDefault="00C54EB4" w:rsidP="00D5556A">
      <w:pPr>
        <w:pStyle w:val="SWCText"/>
      </w:pPr>
      <w:r>
        <w:fldChar w:fldCharType="end"/>
      </w:r>
    </w:p>
    <w:sectPr w:rsidR="008F54F8" w:rsidSect="00BA5491">
      <w:headerReference w:type="even" r:id="rId17"/>
      <w:headerReference w:type="default" r:id="rId18"/>
      <w:headerReference w:type="first" r:id="rId19"/>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0AFBC" w14:textId="77777777" w:rsidR="009D73B1" w:rsidRDefault="009D73B1">
      <w:r>
        <w:separator/>
      </w:r>
    </w:p>
  </w:endnote>
  <w:endnote w:type="continuationSeparator" w:id="0">
    <w:p w14:paraId="45F46206" w14:textId="77777777" w:rsidR="009D73B1" w:rsidRDefault="009D7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12EC3" w14:textId="77777777" w:rsidR="009D73B1" w:rsidRDefault="009D73B1">
      <w:r>
        <w:separator/>
      </w:r>
    </w:p>
  </w:footnote>
  <w:footnote w:type="continuationSeparator" w:id="0">
    <w:p w14:paraId="31CA4E95" w14:textId="77777777" w:rsidR="009D73B1" w:rsidRDefault="009D7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08F8" w14:textId="133FA543" w:rsidR="00E92281" w:rsidRDefault="00E92281">
    <w:pPr>
      <w:pStyle w:val="Header"/>
    </w:pPr>
    <w:r>
      <w:rPr>
        <w:noProof/>
      </w:rPr>
      <mc:AlternateContent>
        <mc:Choice Requires="wps">
          <w:drawing>
            <wp:anchor distT="0" distB="0" distL="0" distR="0" simplePos="0" relativeHeight="251658240" behindDoc="0" locked="0" layoutInCell="1" allowOverlap="1" wp14:anchorId="0BB3AF45" wp14:editId="56927798">
              <wp:simplePos x="635" y="635"/>
              <wp:positionH relativeFrom="page">
                <wp:align>right</wp:align>
              </wp:positionH>
              <wp:positionV relativeFrom="page">
                <wp:align>top</wp:align>
              </wp:positionV>
              <wp:extent cx="2417445" cy="376555"/>
              <wp:effectExtent l="0" t="0" r="0" b="4445"/>
              <wp:wrapNone/>
              <wp:docPr id="42022341"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17445" cy="376555"/>
                      </a:xfrm>
                      <a:prstGeom prst="rect">
                        <a:avLst/>
                      </a:prstGeom>
                      <a:noFill/>
                      <a:ln>
                        <a:noFill/>
                      </a:ln>
                    </wps:spPr>
                    <wps:txbx>
                      <w:txbxContent>
                        <w:p w14:paraId="674FCEE6" w14:textId="7BC12A8A" w:rsidR="00E92281" w:rsidRPr="00E92281" w:rsidRDefault="00E92281" w:rsidP="00E92281">
                          <w:pPr>
                            <w:rPr>
                              <w:rFonts w:ascii="Aptos" w:eastAsia="Aptos" w:hAnsi="Aptos" w:cs="Aptos"/>
                              <w:noProof/>
                              <w:color w:val="000000"/>
                            </w:rPr>
                          </w:pPr>
                          <w:r w:rsidRPr="00E92281">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BB3AF45" id="_x0000_t202" coordsize="21600,21600" o:spt="202" path="m,l,21600r21600,l21600,xe">
              <v:stroke joinstyle="miter"/>
              <v:path gradientshapeok="t" o:connecttype="rect"/>
            </v:shapetype>
            <v:shape id="Text Box 2" o:spid="_x0000_s1026" type="#_x0000_t202" alt="UNCLASSIFIED - NON CLASSIFIÉ" style="position:absolute;margin-left:139.15pt;margin-top:0;width:190.35pt;height:29.6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" filled="f" stroked="f">
              <v:textbox style="mso-fit-shape-to-text:t" inset="0,15pt,20pt,0">
                <w:txbxContent>
                  <w:p w14:paraId="674FCEE6" w14:textId="7BC12A8A" w:rsidR="00E92281" w:rsidRPr="00E92281" w:rsidRDefault="00E92281" w:rsidP="00E92281">
                    <w:pPr>
                      <w:rPr>
                        <w:rFonts w:ascii="Aptos" w:eastAsia="Aptos" w:hAnsi="Aptos" w:cs="Aptos"/>
                        <w:noProof/>
                        <w:color w:val="000000"/>
                      </w:rPr>
                    </w:pPr>
                    <w:r w:rsidRPr="00E92281">
                      <w:rPr>
                        <w:rFonts w:ascii="Aptos" w:eastAsia="Aptos" w:hAnsi="Aptos" w:cs="Aptos"/>
                        <w:noProof/>
                        <w:color w:val="000000"/>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41D0" w14:textId="281C7674" w:rsidR="00E92281" w:rsidRDefault="00E92281">
    <w:pPr>
      <w:pStyle w:val="Header"/>
    </w:pPr>
    <w:r>
      <w:rPr>
        <w:noProof/>
      </w:rPr>
      <mc:AlternateContent>
        <mc:Choice Requires="wps">
          <w:drawing>
            <wp:anchor distT="0" distB="0" distL="0" distR="0" simplePos="0" relativeHeight="251658241" behindDoc="0" locked="0" layoutInCell="1" allowOverlap="1" wp14:anchorId="66F914F5" wp14:editId="3262D3AF">
              <wp:simplePos x="904875" y="180975"/>
              <wp:positionH relativeFrom="page">
                <wp:align>right</wp:align>
              </wp:positionH>
              <wp:positionV relativeFrom="page">
                <wp:align>top</wp:align>
              </wp:positionV>
              <wp:extent cx="2417445" cy="376555"/>
              <wp:effectExtent l="0" t="0" r="0" b="4445"/>
              <wp:wrapNone/>
              <wp:docPr id="777071920" name="Text Box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17445" cy="376555"/>
                      </a:xfrm>
                      <a:prstGeom prst="rect">
                        <a:avLst/>
                      </a:prstGeom>
                      <a:noFill/>
                      <a:ln>
                        <a:noFill/>
                      </a:ln>
                    </wps:spPr>
                    <wps:txbx>
                      <w:txbxContent>
                        <w:p w14:paraId="463ED811" w14:textId="73F3E3A2" w:rsidR="00E92281" w:rsidRPr="00E92281" w:rsidRDefault="00E92281" w:rsidP="00E92281">
                          <w:pPr>
                            <w:rPr>
                              <w:rFonts w:ascii="Aptos" w:eastAsia="Aptos" w:hAnsi="Aptos" w:cs="Aptos"/>
                              <w:noProof/>
                              <w:color w:val="000000"/>
                            </w:rPr>
                          </w:pPr>
                          <w:r w:rsidRPr="00E92281">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6F914F5" id="_x0000_t202" coordsize="21600,21600" o:spt="202" path="m,l,21600r21600,l21600,xe">
              <v:stroke joinstyle="miter"/>
              <v:path gradientshapeok="t" o:connecttype="rect"/>
            </v:shapetype>
            <v:shape id="Text Box 3" o:spid="_x0000_s1027" type="#_x0000_t202" alt="UNCLASSIFIED - NON CLASSIFIÉ" style="position:absolute;margin-left:139.15pt;margin-top:0;width:190.35pt;height:29.6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" filled="f" stroked="f">
              <v:textbox style="mso-fit-shape-to-text:t" inset="0,15pt,20pt,0">
                <w:txbxContent>
                  <w:p w14:paraId="463ED811" w14:textId="73F3E3A2" w:rsidR="00E92281" w:rsidRPr="00E92281" w:rsidRDefault="00E92281" w:rsidP="00E92281">
                    <w:pPr>
                      <w:rPr>
                        <w:rFonts w:ascii="Aptos" w:eastAsia="Aptos" w:hAnsi="Aptos" w:cs="Aptos"/>
                        <w:noProof/>
                        <w:color w:val="000000"/>
                      </w:rPr>
                    </w:pPr>
                    <w:r w:rsidRPr="00E92281">
                      <w:rPr>
                        <w:rFonts w:ascii="Aptos" w:eastAsia="Aptos" w:hAnsi="Aptos" w:cs="Aptos"/>
                        <w:noProof/>
                        <w:color w:val="000000"/>
                      </w:rPr>
                      <w:t>UNCLASSIFIED - NON CLASSIFIÉ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DF27" w14:textId="7A613338" w:rsidR="00E92281" w:rsidRDefault="00E92281">
    <w:pPr>
      <w:pStyle w:val="Header"/>
    </w:pPr>
    <w:r>
      <w:rPr>
        <w:noProof/>
      </w:rPr>
      <mc:AlternateContent>
        <mc:Choice Requires="wps">
          <w:drawing>
            <wp:anchor distT="0" distB="0" distL="0" distR="0" simplePos="0" relativeHeight="251658242" behindDoc="0" locked="0" layoutInCell="1" allowOverlap="1" wp14:anchorId="7DF6ED57" wp14:editId="40A8D5AE">
              <wp:simplePos x="635" y="635"/>
              <wp:positionH relativeFrom="page">
                <wp:align>right</wp:align>
              </wp:positionH>
              <wp:positionV relativeFrom="page">
                <wp:align>top</wp:align>
              </wp:positionV>
              <wp:extent cx="2417445" cy="376555"/>
              <wp:effectExtent l="0" t="0" r="0" b="4445"/>
              <wp:wrapNone/>
              <wp:docPr id="1938041782" name="Text Box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17445" cy="376555"/>
                      </a:xfrm>
                      <a:prstGeom prst="rect">
                        <a:avLst/>
                      </a:prstGeom>
                      <a:noFill/>
                      <a:ln>
                        <a:noFill/>
                      </a:ln>
                    </wps:spPr>
                    <wps:txbx>
                      <w:txbxContent>
                        <w:p w14:paraId="25DA03F7" w14:textId="37D6DAF2" w:rsidR="00E92281" w:rsidRPr="00E92281" w:rsidRDefault="00E92281" w:rsidP="00E92281">
                          <w:pPr>
                            <w:rPr>
                              <w:rFonts w:ascii="Aptos" w:eastAsia="Aptos" w:hAnsi="Aptos" w:cs="Aptos"/>
                              <w:noProof/>
                              <w:color w:val="000000"/>
                            </w:rPr>
                          </w:pPr>
                          <w:r w:rsidRPr="00E92281">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DF6ED57" id="_x0000_t202" coordsize="21600,21600" o:spt="202" path="m,l,21600r21600,l21600,xe">
              <v:stroke joinstyle="miter"/>
              <v:path gradientshapeok="t" o:connecttype="rect"/>
            </v:shapetype>
            <v:shape id="Text Box 1" o:spid="_x0000_s1028" type="#_x0000_t202" alt="UNCLASSIFIED - NON CLASSIFIÉ" style="position:absolute;margin-left:139.15pt;margin-top:0;width:190.35pt;height:29.6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" filled="f" stroked="f">
              <v:textbox style="mso-fit-shape-to-text:t" inset="0,15pt,20pt,0">
                <w:txbxContent>
                  <w:p w14:paraId="25DA03F7" w14:textId="37D6DAF2" w:rsidR="00E92281" w:rsidRPr="00E92281" w:rsidRDefault="00E92281" w:rsidP="00E92281">
                    <w:pPr>
                      <w:rPr>
                        <w:rFonts w:ascii="Aptos" w:eastAsia="Aptos" w:hAnsi="Aptos" w:cs="Aptos"/>
                        <w:noProof/>
                        <w:color w:val="000000"/>
                      </w:rPr>
                    </w:pPr>
                    <w:r w:rsidRPr="00E92281">
                      <w:rPr>
                        <w:rFonts w:ascii="Aptos" w:eastAsia="Aptos" w:hAnsi="Aptos" w:cs="Aptos"/>
                        <w:noProof/>
                        <w:color w:val="000000"/>
                      </w:rPr>
                      <w:t>UNCLASSIFIED - NON 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4493A42"/>
    <w:multiLevelType w:val="hybridMultilevel"/>
    <w:tmpl w:val="F25C6272"/>
    <w:lvl w:ilvl="0" w:tplc="013E03D8">
      <w:start w:val="15"/>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E9D6A75"/>
    <w:multiLevelType w:val="multilevel"/>
    <w:tmpl w:val="C0BC7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E1F7582"/>
    <w:multiLevelType w:val="multilevel"/>
    <w:tmpl w:val="84900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CB0BE9"/>
    <w:multiLevelType w:val="multilevel"/>
    <w:tmpl w:val="14289A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79D236E"/>
    <w:multiLevelType w:val="hybridMultilevel"/>
    <w:tmpl w:val="B9848162"/>
    <w:lvl w:ilvl="0" w:tplc="202ED248">
      <w:start w:val="1"/>
      <w:numFmt w:val="bullet"/>
      <w:lvlText w:val="•"/>
      <w:lvlJc w:val="left"/>
      <w:pPr>
        <w:tabs>
          <w:tab w:val="num" w:pos="720"/>
        </w:tabs>
        <w:ind w:left="720" w:hanging="360"/>
      </w:pPr>
      <w:rPr>
        <w:rFonts w:ascii="Arial" w:hAnsi="Arial" w:hint="default"/>
      </w:rPr>
    </w:lvl>
    <w:lvl w:ilvl="1" w:tplc="AE0EC69E" w:tentative="1">
      <w:start w:val="1"/>
      <w:numFmt w:val="bullet"/>
      <w:lvlText w:val="•"/>
      <w:lvlJc w:val="left"/>
      <w:pPr>
        <w:tabs>
          <w:tab w:val="num" w:pos="1440"/>
        </w:tabs>
        <w:ind w:left="1440" w:hanging="360"/>
      </w:pPr>
      <w:rPr>
        <w:rFonts w:ascii="Arial" w:hAnsi="Arial" w:hint="default"/>
      </w:rPr>
    </w:lvl>
    <w:lvl w:ilvl="2" w:tplc="0D189620" w:tentative="1">
      <w:start w:val="1"/>
      <w:numFmt w:val="bullet"/>
      <w:lvlText w:val="•"/>
      <w:lvlJc w:val="left"/>
      <w:pPr>
        <w:tabs>
          <w:tab w:val="num" w:pos="2160"/>
        </w:tabs>
        <w:ind w:left="2160" w:hanging="360"/>
      </w:pPr>
      <w:rPr>
        <w:rFonts w:ascii="Arial" w:hAnsi="Arial" w:hint="default"/>
      </w:rPr>
    </w:lvl>
    <w:lvl w:ilvl="3" w:tplc="B17EB706">
      <w:start w:val="1"/>
      <w:numFmt w:val="bullet"/>
      <w:lvlText w:val="•"/>
      <w:lvlJc w:val="left"/>
      <w:pPr>
        <w:tabs>
          <w:tab w:val="num" w:pos="2880"/>
        </w:tabs>
        <w:ind w:left="2880" w:hanging="360"/>
      </w:pPr>
      <w:rPr>
        <w:rFonts w:ascii="Arial" w:hAnsi="Arial" w:hint="default"/>
      </w:rPr>
    </w:lvl>
    <w:lvl w:ilvl="4" w:tplc="F1642888" w:tentative="1">
      <w:start w:val="1"/>
      <w:numFmt w:val="bullet"/>
      <w:lvlText w:val="•"/>
      <w:lvlJc w:val="left"/>
      <w:pPr>
        <w:tabs>
          <w:tab w:val="num" w:pos="3600"/>
        </w:tabs>
        <w:ind w:left="3600" w:hanging="360"/>
      </w:pPr>
      <w:rPr>
        <w:rFonts w:ascii="Arial" w:hAnsi="Arial" w:hint="default"/>
      </w:rPr>
    </w:lvl>
    <w:lvl w:ilvl="5" w:tplc="3BC8C6F0" w:tentative="1">
      <w:start w:val="1"/>
      <w:numFmt w:val="bullet"/>
      <w:lvlText w:val="•"/>
      <w:lvlJc w:val="left"/>
      <w:pPr>
        <w:tabs>
          <w:tab w:val="num" w:pos="4320"/>
        </w:tabs>
        <w:ind w:left="4320" w:hanging="360"/>
      </w:pPr>
      <w:rPr>
        <w:rFonts w:ascii="Arial" w:hAnsi="Arial" w:hint="default"/>
      </w:rPr>
    </w:lvl>
    <w:lvl w:ilvl="6" w:tplc="59626A3E" w:tentative="1">
      <w:start w:val="1"/>
      <w:numFmt w:val="bullet"/>
      <w:lvlText w:val="•"/>
      <w:lvlJc w:val="left"/>
      <w:pPr>
        <w:tabs>
          <w:tab w:val="num" w:pos="5040"/>
        </w:tabs>
        <w:ind w:left="5040" w:hanging="360"/>
      </w:pPr>
      <w:rPr>
        <w:rFonts w:ascii="Arial" w:hAnsi="Arial" w:hint="default"/>
      </w:rPr>
    </w:lvl>
    <w:lvl w:ilvl="7" w:tplc="2F52D052" w:tentative="1">
      <w:start w:val="1"/>
      <w:numFmt w:val="bullet"/>
      <w:lvlText w:val="•"/>
      <w:lvlJc w:val="left"/>
      <w:pPr>
        <w:tabs>
          <w:tab w:val="num" w:pos="5760"/>
        </w:tabs>
        <w:ind w:left="5760" w:hanging="360"/>
      </w:pPr>
      <w:rPr>
        <w:rFonts w:ascii="Arial" w:hAnsi="Arial" w:hint="default"/>
      </w:rPr>
    </w:lvl>
    <w:lvl w:ilvl="8" w:tplc="9AE0E84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7"/>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20"/>
  </w:num>
  <w:num w:numId="12" w16cid:durableId="355472642">
    <w:abstractNumId w:val="14"/>
  </w:num>
  <w:num w:numId="13" w16cid:durableId="311523580">
    <w:abstractNumId w:val="6"/>
    <w:lvlOverride w:ilvl="0">
      <w:startOverride w:val="1"/>
    </w:lvlOverride>
  </w:num>
  <w:num w:numId="14" w16cid:durableId="1496726486">
    <w:abstractNumId w:val="18"/>
  </w:num>
  <w:num w:numId="15" w16cid:durableId="1806385346">
    <w:abstractNumId w:val="7"/>
  </w:num>
  <w:num w:numId="16" w16cid:durableId="1758162859">
    <w:abstractNumId w:val="13"/>
  </w:num>
  <w:num w:numId="17" w16cid:durableId="569772207">
    <w:abstractNumId w:val="17"/>
  </w:num>
  <w:num w:numId="18" w16cid:durableId="1080835087">
    <w:abstractNumId w:val="22"/>
  </w:num>
  <w:num w:numId="19" w16cid:durableId="1514802717">
    <w:abstractNumId w:val="9"/>
  </w:num>
  <w:num w:numId="20" w16cid:durableId="1328480391">
    <w:abstractNumId w:val="8"/>
  </w:num>
  <w:num w:numId="21" w16cid:durableId="1166094805">
    <w:abstractNumId w:val="12"/>
  </w:num>
  <w:num w:numId="22" w16cid:durableId="679743871">
    <w:abstractNumId w:val="21"/>
  </w:num>
  <w:num w:numId="23" w16cid:durableId="612976666">
    <w:abstractNumId w:val="15"/>
  </w:num>
  <w:num w:numId="24" w16cid:durableId="7829984">
    <w:abstractNumId w:val="23"/>
  </w:num>
  <w:num w:numId="25" w16cid:durableId="1594128792">
    <w:abstractNumId w:val="25"/>
  </w:num>
  <w:num w:numId="26" w16cid:durableId="1155222000">
    <w:abstractNumId w:val="26"/>
  </w:num>
  <w:num w:numId="27" w16cid:durableId="1225407198">
    <w:abstractNumId w:val="19"/>
  </w:num>
  <w:num w:numId="28" w16cid:durableId="294139745">
    <w:abstractNumId w:val="24"/>
  </w:num>
  <w:num w:numId="29" w16cid:durableId="15414779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417C"/>
    <w:rsid w:val="00005037"/>
    <w:rsid w:val="000067DB"/>
    <w:rsid w:val="00006E2E"/>
    <w:rsid w:val="00007EE3"/>
    <w:rsid w:val="00010262"/>
    <w:rsid w:val="00014FD7"/>
    <w:rsid w:val="00015155"/>
    <w:rsid w:val="000158DE"/>
    <w:rsid w:val="0002379F"/>
    <w:rsid w:val="000244FA"/>
    <w:rsid w:val="00030268"/>
    <w:rsid w:val="00031F13"/>
    <w:rsid w:val="000321C6"/>
    <w:rsid w:val="0004129B"/>
    <w:rsid w:val="0004235D"/>
    <w:rsid w:val="00043DE7"/>
    <w:rsid w:val="0004651B"/>
    <w:rsid w:val="00046EED"/>
    <w:rsid w:val="0005003E"/>
    <w:rsid w:val="000533E4"/>
    <w:rsid w:val="000534F5"/>
    <w:rsid w:val="0005369A"/>
    <w:rsid w:val="000537D0"/>
    <w:rsid w:val="00053E02"/>
    <w:rsid w:val="00055CCA"/>
    <w:rsid w:val="00055DB9"/>
    <w:rsid w:val="00057B5E"/>
    <w:rsid w:val="0006062E"/>
    <w:rsid w:val="000614C8"/>
    <w:rsid w:val="00063490"/>
    <w:rsid w:val="000664D1"/>
    <w:rsid w:val="00066B26"/>
    <w:rsid w:val="00066F72"/>
    <w:rsid w:val="000678AC"/>
    <w:rsid w:val="0007036D"/>
    <w:rsid w:val="000712A1"/>
    <w:rsid w:val="00074DBF"/>
    <w:rsid w:val="00076A56"/>
    <w:rsid w:val="000804FE"/>
    <w:rsid w:val="00081929"/>
    <w:rsid w:val="00086E13"/>
    <w:rsid w:val="00092ED5"/>
    <w:rsid w:val="00093B82"/>
    <w:rsid w:val="000958D9"/>
    <w:rsid w:val="00095C77"/>
    <w:rsid w:val="000A0ADB"/>
    <w:rsid w:val="000A1CC8"/>
    <w:rsid w:val="000A30A5"/>
    <w:rsid w:val="000A36B5"/>
    <w:rsid w:val="000A52A1"/>
    <w:rsid w:val="000B04BE"/>
    <w:rsid w:val="000B09B5"/>
    <w:rsid w:val="000B1F4D"/>
    <w:rsid w:val="000B5806"/>
    <w:rsid w:val="000B626D"/>
    <w:rsid w:val="000C2344"/>
    <w:rsid w:val="000C34F8"/>
    <w:rsid w:val="000C5568"/>
    <w:rsid w:val="000C6B89"/>
    <w:rsid w:val="000D64B9"/>
    <w:rsid w:val="000D6E1A"/>
    <w:rsid w:val="000E152B"/>
    <w:rsid w:val="000E1855"/>
    <w:rsid w:val="000E214D"/>
    <w:rsid w:val="000E48B9"/>
    <w:rsid w:val="000E546E"/>
    <w:rsid w:val="000E6C59"/>
    <w:rsid w:val="000E6CBA"/>
    <w:rsid w:val="000E76F1"/>
    <w:rsid w:val="000F171B"/>
    <w:rsid w:val="000F34D0"/>
    <w:rsid w:val="000F59F9"/>
    <w:rsid w:val="000F5C23"/>
    <w:rsid w:val="000F70EC"/>
    <w:rsid w:val="000F739B"/>
    <w:rsid w:val="000F7916"/>
    <w:rsid w:val="0010068D"/>
    <w:rsid w:val="0010501A"/>
    <w:rsid w:val="00115D3B"/>
    <w:rsid w:val="001252D4"/>
    <w:rsid w:val="0013222F"/>
    <w:rsid w:val="00132435"/>
    <w:rsid w:val="0013554F"/>
    <w:rsid w:val="00136177"/>
    <w:rsid w:val="00143D5F"/>
    <w:rsid w:val="00146379"/>
    <w:rsid w:val="0015090D"/>
    <w:rsid w:val="00150B42"/>
    <w:rsid w:val="00152D7F"/>
    <w:rsid w:val="001535AE"/>
    <w:rsid w:val="0015507F"/>
    <w:rsid w:val="00155FB8"/>
    <w:rsid w:val="00156F86"/>
    <w:rsid w:val="001572E7"/>
    <w:rsid w:val="00157CE5"/>
    <w:rsid w:val="00163FD1"/>
    <w:rsid w:val="00164126"/>
    <w:rsid w:val="001647D2"/>
    <w:rsid w:val="001650D8"/>
    <w:rsid w:val="00166ACB"/>
    <w:rsid w:val="00166C42"/>
    <w:rsid w:val="00170A31"/>
    <w:rsid w:val="00174E22"/>
    <w:rsid w:val="00176EF6"/>
    <w:rsid w:val="0018088A"/>
    <w:rsid w:val="001861D6"/>
    <w:rsid w:val="00186A35"/>
    <w:rsid w:val="001904A7"/>
    <w:rsid w:val="0019232E"/>
    <w:rsid w:val="00194E9A"/>
    <w:rsid w:val="001968B5"/>
    <w:rsid w:val="001969B9"/>
    <w:rsid w:val="001A07B5"/>
    <w:rsid w:val="001A117A"/>
    <w:rsid w:val="001A5FB7"/>
    <w:rsid w:val="001A6EE4"/>
    <w:rsid w:val="001A757D"/>
    <w:rsid w:val="001A775B"/>
    <w:rsid w:val="001A7A55"/>
    <w:rsid w:val="001A7F40"/>
    <w:rsid w:val="001B13D6"/>
    <w:rsid w:val="001B6BCF"/>
    <w:rsid w:val="001B7059"/>
    <w:rsid w:val="001B7B01"/>
    <w:rsid w:val="001C0A51"/>
    <w:rsid w:val="001C3A3D"/>
    <w:rsid w:val="001C6311"/>
    <w:rsid w:val="001C63A2"/>
    <w:rsid w:val="001D0384"/>
    <w:rsid w:val="001D37B6"/>
    <w:rsid w:val="001D4912"/>
    <w:rsid w:val="001D59E1"/>
    <w:rsid w:val="001E2B93"/>
    <w:rsid w:val="001E2C79"/>
    <w:rsid w:val="001E3CCD"/>
    <w:rsid w:val="001F1AAA"/>
    <w:rsid w:val="001F2299"/>
    <w:rsid w:val="001F2881"/>
    <w:rsid w:val="001F2D0A"/>
    <w:rsid w:val="001F3922"/>
    <w:rsid w:val="001F471A"/>
    <w:rsid w:val="00201062"/>
    <w:rsid w:val="002039A9"/>
    <w:rsid w:val="00205626"/>
    <w:rsid w:val="00206116"/>
    <w:rsid w:val="00212628"/>
    <w:rsid w:val="00216142"/>
    <w:rsid w:val="0022299B"/>
    <w:rsid w:val="00225724"/>
    <w:rsid w:val="00231201"/>
    <w:rsid w:val="002331FE"/>
    <w:rsid w:val="002352B5"/>
    <w:rsid w:val="00240059"/>
    <w:rsid w:val="00243214"/>
    <w:rsid w:val="00245981"/>
    <w:rsid w:val="002470B2"/>
    <w:rsid w:val="00247A55"/>
    <w:rsid w:val="00251194"/>
    <w:rsid w:val="002516F0"/>
    <w:rsid w:val="0025331D"/>
    <w:rsid w:val="00254D59"/>
    <w:rsid w:val="00255512"/>
    <w:rsid w:val="00255DD2"/>
    <w:rsid w:val="002601F1"/>
    <w:rsid w:val="00263671"/>
    <w:rsid w:val="002647A0"/>
    <w:rsid w:val="00265D4D"/>
    <w:rsid w:val="00266E47"/>
    <w:rsid w:val="00270E75"/>
    <w:rsid w:val="002722AA"/>
    <w:rsid w:val="0027288C"/>
    <w:rsid w:val="00273341"/>
    <w:rsid w:val="00275455"/>
    <w:rsid w:val="00281D0B"/>
    <w:rsid w:val="00284AB4"/>
    <w:rsid w:val="00292812"/>
    <w:rsid w:val="00294D31"/>
    <w:rsid w:val="00296FA0"/>
    <w:rsid w:val="002972D1"/>
    <w:rsid w:val="00297E2C"/>
    <w:rsid w:val="002A04A9"/>
    <w:rsid w:val="002A39BB"/>
    <w:rsid w:val="002A6392"/>
    <w:rsid w:val="002A7057"/>
    <w:rsid w:val="002A71FD"/>
    <w:rsid w:val="002B417A"/>
    <w:rsid w:val="002B45E4"/>
    <w:rsid w:val="002B45ED"/>
    <w:rsid w:val="002B4C24"/>
    <w:rsid w:val="002B4E6A"/>
    <w:rsid w:val="002B74C4"/>
    <w:rsid w:val="002C056B"/>
    <w:rsid w:val="002C089D"/>
    <w:rsid w:val="002C0A11"/>
    <w:rsid w:val="002C101B"/>
    <w:rsid w:val="002C3855"/>
    <w:rsid w:val="002C5872"/>
    <w:rsid w:val="002C68AD"/>
    <w:rsid w:val="002D25A9"/>
    <w:rsid w:val="002D322C"/>
    <w:rsid w:val="002D4864"/>
    <w:rsid w:val="002E2ED9"/>
    <w:rsid w:val="002E2FBE"/>
    <w:rsid w:val="002E514A"/>
    <w:rsid w:val="002E5D62"/>
    <w:rsid w:val="002E75EE"/>
    <w:rsid w:val="002F1386"/>
    <w:rsid w:val="002F16FF"/>
    <w:rsid w:val="002F1BA9"/>
    <w:rsid w:val="002F1D87"/>
    <w:rsid w:val="002F57E1"/>
    <w:rsid w:val="002F5F24"/>
    <w:rsid w:val="002F6B87"/>
    <w:rsid w:val="002F77B8"/>
    <w:rsid w:val="00300BC3"/>
    <w:rsid w:val="00301C5E"/>
    <w:rsid w:val="00303345"/>
    <w:rsid w:val="0031685E"/>
    <w:rsid w:val="00320AD7"/>
    <w:rsid w:val="0032688C"/>
    <w:rsid w:val="00327A98"/>
    <w:rsid w:val="003357AC"/>
    <w:rsid w:val="00336380"/>
    <w:rsid w:val="0035393E"/>
    <w:rsid w:val="0035580F"/>
    <w:rsid w:val="0035638A"/>
    <w:rsid w:val="003569EF"/>
    <w:rsid w:val="003605B9"/>
    <w:rsid w:val="00362122"/>
    <w:rsid w:val="00364A52"/>
    <w:rsid w:val="00373F97"/>
    <w:rsid w:val="0037406D"/>
    <w:rsid w:val="00374216"/>
    <w:rsid w:val="00374840"/>
    <w:rsid w:val="0038545D"/>
    <w:rsid w:val="003869E8"/>
    <w:rsid w:val="00390C0B"/>
    <w:rsid w:val="00391288"/>
    <w:rsid w:val="00392045"/>
    <w:rsid w:val="00393777"/>
    <w:rsid w:val="00395E5A"/>
    <w:rsid w:val="00395F5E"/>
    <w:rsid w:val="003960B0"/>
    <w:rsid w:val="00396D71"/>
    <w:rsid w:val="003973AA"/>
    <w:rsid w:val="0039742D"/>
    <w:rsid w:val="003A2D06"/>
    <w:rsid w:val="003A3651"/>
    <w:rsid w:val="003A3A38"/>
    <w:rsid w:val="003A662A"/>
    <w:rsid w:val="003A7DB9"/>
    <w:rsid w:val="003B2055"/>
    <w:rsid w:val="003B57BC"/>
    <w:rsid w:val="003C0806"/>
    <w:rsid w:val="003C18DE"/>
    <w:rsid w:val="003C1B31"/>
    <w:rsid w:val="003C2B1A"/>
    <w:rsid w:val="003C39C6"/>
    <w:rsid w:val="003C7E95"/>
    <w:rsid w:val="003D0C22"/>
    <w:rsid w:val="003D130F"/>
    <w:rsid w:val="003D6941"/>
    <w:rsid w:val="003D77F4"/>
    <w:rsid w:val="003E1E1C"/>
    <w:rsid w:val="003E6BB6"/>
    <w:rsid w:val="003F0403"/>
    <w:rsid w:val="003F5B99"/>
    <w:rsid w:val="004012AE"/>
    <w:rsid w:val="004019FD"/>
    <w:rsid w:val="00402266"/>
    <w:rsid w:val="00403C12"/>
    <w:rsid w:val="00403E6A"/>
    <w:rsid w:val="004053B5"/>
    <w:rsid w:val="0040615A"/>
    <w:rsid w:val="00407494"/>
    <w:rsid w:val="004074C3"/>
    <w:rsid w:val="00411E29"/>
    <w:rsid w:val="00411FF5"/>
    <w:rsid w:val="004127FA"/>
    <w:rsid w:val="0042033E"/>
    <w:rsid w:val="00423117"/>
    <w:rsid w:val="00427985"/>
    <w:rsid w:val="004332AF"/>
    <w:rsid w:val="004357AD"/>
    <w:rsid w:val="00440A77"/>
    <w:rsid w:val="004442A5"/>
    <w:rsid w:val="00447C45"/>
    <w:rsid w:val="00453296"/>
    <w:rsid w:val="00462192"/>
    <w:rsid w:val="0046287B"/>
    <w:rsid w:val="00464195"/>
    <w:rsid w:val="00467DFD"/>
    <w:rsid w:val="00470548"/>
    <w:rsid w:val="00475EC1"/>
    <w:rsid w:val="004764E9"/>
    <w:rsid w:val="00476879"/>
    <w:rsid w:val="00490F10"/>
    <w:rsid w:val="00493C81"/>
    <w:rsid w:val="00494006"/>
    <w:rsid w:val="004A0081"/>
    <w:rsid w:val="004A14C9"/>
    <w:rsid w:val="004A3506"/>
    <w:rsid w:val="004A61DA"/>
    <w:rsid w:val="004B0CD4"/>
    <w:rsid w:val="004B1629"/>
    <w:rsid w:val="004C0F0B"/>
    <w:rsid w:val="004C39AD"/>
    <w:rsid w:val="004C4EE9"/>
    <w:rsid w:val="004C50F2"/>
    <w:rsid w:val="004D4695"/>
    <w:rsid w:val="004D5C70"/>
    <w:rsid w:val="004D5E1D"/>
    <w:rsid w:val="004E0C0C"/>
    <w:rsid w:val="004E23FC"/>
    <w:rsid w:val="004E2DEA"/>
    <w:rsid w:val="004E5166"/>
    <w:rsid w:val="004E5D79"/>
    <w:rsid w:val="004E5E02"/>
    <w:rsid w:val="004E76DC"/>
    <w:rsid w:val="004F06C3"/>
    <w:rsid w:val="004F3F4E"/>
    <w:rsid w:val="004F4904"/>
    <w:rsid w:val="004F5054"/>
    <w:rsid w:val="004F5FF9"/>
    <w:rsid w:val="004F71D3"/>
    <w:rsid w:val="00500640"/>
    <w:rsid w:val="00500B5D"/>
    <w:rsid w:val="00500D7D"/>
    <w:rsid w:val="00501353"/>
    <w:rsid w:val="00505D85"/>
    <w:rsid w:val="005067AC"/>
    <w:rsid w:val="00507A97"/>
    <w:rsid w:val="005101A7"/>
    <w:rsid w:val="005112C2"/>
    <w:rsid w:val="0051365A"/>
    <w:rsid w:val="00514890"/>
    <w:rsid w:val="0051584D"/>
    <w:rsid w:val="00521570"/>
    <w:rsid w:val="00521A24"/>
    <w:rsid w:val="00526181"/>
    <w:rsid w:val="0053048D"/>
    <w:rsid w:val="00532138"/>
    <w:rsid w:val="00534545"/>
    <w:rsid w:val="00534F82"/>
    <w:rsid w:val="0053532A"/>
    <w:rsid w:val="005404F1"/>
    <w:rsid w:val="005432CF"/>
    <w:rsid w:val="0054341B"/>
    <w:rsid w:val="00544D85"/>
    <w:rsid w:val="00550776"/>
    <w:rsid w:val="00556004"/>
    <w:rsid w:val="00566460"/>
    <w:rsid w:val="0057075C"/>
    <w:rsid w:val="005721F8"/>
    <w:rsid w:val="00573343"/>
    <w:rsid w:val="005836C7"/>
    <w:rsid w:val="00587B8A"/>
    <w:rsid w:val="005928CC"/>
    <w:rsid w:val="00594930"/>
    <w:rsid w:val="005A0C6E"/>
    <w:rsid w:val="005A182C"/>
    <w:rsid w:val="005A2D9D"/>
    <w:rsid w:val="005A3838"/>
    <w:rsid w:val="005A5E14"/>
    <w:rsid w:val="005A7D8F"/>
    <w:rsid w:val="005B3E86"/>
    <w:rsid w:val="005B6F55"/>
    <w:rsid w:val="005C0403"/>
    <w:rsid w:val="005C3099"/>
    <w:rsid w:val="005D1066"/>
    <w:rsid w:val="005D32F2"/>
    <w:rsid w:val="005D4FE9"/>
    <w:rsid w:val="005D5CF6"/>
    <w:rsid w:val="005E04EA"/>
    <w:rsid w:val="005E0D7D"/>
    <w:rsid w:val="005E1B9C"/>
    <w:rsid w:val="005E2331"/>
    <w:rsid w:val="005E36A8"/>
    <w:rsid w:val="005E5D74"/>
    <w:rsid w:val="005E6B32"/>
    <w:rsid w:val="005E7208"/>
    <w:rsid w:val="005F106F"/>
    <w:rsid w:val="005F1C6E"/>
    <w:rsid w:val="005F310C"/>
    <w:rsid w:val="005F756B"/>
    <w:rsid w:val="006022A6"/>
    <w:rsid w:val="00607C4E"/>
    <w:rsid w:val="00613AF9"/>
    <w:rsid w:val="0061610D"/>
    <w:rsid w:val="0061732F"/>
    <w:rsid w:val="0062257E"/>
    <w:rsid w:val="00623BEB"/>
    <w:rsid w:val="00625BC2"/>
    <w:rsid w:val="00627E34"/>
    <w:rsid w:val="006309AA"/>
    <w:rsid w:val="00631F76"/>
    <w:rsid w:val="00633473"/>
    <w:rsid w:val="00634A3A"/>
    <w:rsid w:val="006379BD"/>
    <w:rsid w:val="00641A58"/>
    <w:rsid w:val="0064403B"/>
    <w:rsid w:val="00644765"/>
    <w:rsid w:val="006500EC"/>
    <w:rsid w:val="00652071"/>
    <w:rsid w:val="00652D7E"/>
    <w:rsid w:val="00653551"/>
    <w:rsid w:val="0065563B"/>
    <w:rsid w:val="00656F06"/>
    <w:rsid w:val="0066141A"/>
    <w:rsid w:val="00665471"/>
    <w:rsid w:val="00667A3F"/>
    <w:rsid w:val="006722C6"/>
    <w:rsid w:val="0067435B"/>
    <w:rsid w:val="0067771B"/>
    <w:rsid w:val="006819D4"/>
    <w:rsid w:val="00681E3A"/>
    <w:rsid w:val="00687CA5"/>
    <w:rsid w:val="00690216"/>
    <w:rsid w:val="00690953"/>
    <w:rsid w:val="0069222F"/>
    <w:rsid w:val="00692D7F"/>
    <w:rsid w:val="006962F1"/>
    <w:rsid w:val="006A0AE2"/>
    <w:rsid w:val="006A2F10"/>
    <w:rsid w:val="006A4D6B"/>
    <w:rsid w:val="006A77D0"/>
    <w:rsid w:val="006B2A77"/>
    <w:rsid w:val="006B3431"/>
    <w:rsid w:val="006B3D49"/>
    <w:rsid w:val="006B4C9F"/>
    <w:rsid w:val="006C05DC"/>
    <w:rsid w:val="006C0998"/>
    <w:rsid w:val="006C7009"/>
    <w:rsid w:val="006C756C"/>
    <w:rsid w:val="006D029C"/>
    <w:rsid w:val="006D11AF"/>
    <w:rsid w:val="006D19E1"/>
    <w:rsid w:val="006D4981"/>
    <w:rsid w:val="006D4A96"/>
    <w:rsid w:val="006E2595"/>
    <w:rsid w:val="006E3511"/>
    <w:rsid w:val="006E6BF3"/>
    <w:rsid w:val="006E7D46"/>
    <w:rsid w:val="006F3259"/>
    <w:rsid w:val="006F5B85"/>
    <w:rsid w:val="006F640F"/>
    <w:rsid w:val="006F7E1A"/>
    <w:rsid w:val="00702AE0"/>
    <w:rsid w:val="00710898"/>
    <w:rsid w:val="0071183D"/>
    <w:rsid w:val="00713942"/>
    <w:rsid w:val="007174DA"/>
    <w:rsid w:val="00722B51"/>
    <w:rsid w:val="00725ED2"/>
    <w:rsid w:val="0073483D"/>
    <w:rsid w:val="00734E43"/>
    <w:rsid w:val="00736309"/>
    <w:rsid w:val="007400DF"/>
    <w:rsid w:val="00741AD0"/>
    <w:rsid w:val="0074464C"/>
    <w:rsid w:val="007535ED"/>
    <w:rsid w:val="0075406E"/>
    <w:rsid w:val="00754BEF"/>
    <w:rsid w:val="00756702"/>
    <w:rsid w:val="00762EA3"/>
    <w:rsid w:val="007763CB"/>
    <w:rsid w:val="007804A7"/>
    <w:rsid w:val="00785CD3"/>
    <w:rsid w:val="007908F6"/>
    <w:rsid w:val="007922D5"/>
    <w:rsid w:val="00792F53"/>
    <w:rsid w:val="007949D2"/>
    <w:rsid w:val="007953F9"/>
    <w:rsid w:val="007954D9"/>
    <w:rsid w:val="00795544"/>
    <w:rsid w:val="007969BE"/>
    <w:rsid w:val="007A0042"/>
    <w:rsid w:val="007A7952"/>
    <w:rsid w:val="007A7DE6"/>
    <w:rsid w:val="007B0BDB"/>
    <w:rsid w:val="007B33D8"/>
    <w:rsid w:val="007B33DF"/>
    <w:rsid w:val="007B4E41"/>
    <w:rsid w:val="007C1632"/>
    <w:rsid w:val="007C1988"/>
    <w:rsid w:val="007C36EF"/>
    <w:rsid w:val="007C6BDE"/>
    <w:rsid w:val="007C6DA2"/>
    <w:rsid w:val="007D0678"/>
    <w:rsid w:val="007D1C2C"/>
    <w:rsid w:val="007D7808"/>
    <w:rsid w:val="007D7F8B"/>
    <w:rsid w:val="007E1405"/>
    <w:rsid w:val="007E2C1D"/>
    <w:rsid w:val="007E3121"/>
    <w:rsid w:val="007E5EB4"/>
    <w:rsid w:val="007E7634"/>
    <w:rsid w:val="007F1B09"/>
    <w:rsid w:val="007F31F3"/>
    <w:rsid w:val="007F34AF"/>
    <w:rsid w:val="00800E25"/>
    <w:rsid w:val="00801634"/>
    <w:rsid w:val="00801BE5"/>
    <w:rsid w:val="0080301F"/>
    <w:rsid w:val="0080537B"/>
    <w:rsid w:val="008153C2"/>
    <w:rsid w:val="00816E3B"/>
    <w:rsid w:val="008217D8"/>
    <w:rsid w:val="008219CF"/>
    <w:rsid w:val="0082749D"/>
    <w:rsid w:val="008314FC"/>
    <w:rsid w:val="00834062"/>
    <w:rsid w:val="00834689"/>
    <w:rsid w:val="00837104"/>
    <w:rsid w:val="00840E8F"/>
    <w:rsid w:val="0084100F"/>
    <w:rsid w:val="00844F36"/>
    <w:rsid w:val="00845AE3"/>
    <w:rsid w:val="008475D0"/>
    <w:rsid w:val="008512A0"/>
    <w:rsid w:val="008609C3"/>
    <w:rsid w:val="008613CD"/>
    <w:rsid w:val="0087241B"/>
    <w:rsid w:val="00873489"/>
    <w:rsid w:val="0087682C"/>
    <w:rsid w:val="00880487"/>
    <w:rsid w:val="0088103E"/>
    <w:rsid w:val="00883146"/>
    <w:rsid w:val="00883645"/>
    <w:rsid w:val="008837B9"/>
    <w:rsid w:val="00884C31"/>
    <w:rsid w:val="008907DA"/>
    <w:rsid w:val="008929D8"/>
    <w:rsid w:val="00892CD9"/>
    <w:rsid w:val="00893500"/>
    <w:rsid w:val="008A0437"/>
    <w:rsid w:val="008A15CE"/>
    <w:rsid w:val="008A2DE9"/>
    <w:rsid w:val="008A48D1"/>
    <w:rsid w:val="008A7669"/>
    <w:rsid w:val="008B618F"/>
    <w:rsid w:val="008B7387"/>
    <w:rsid w:val="008C007B"/>
    <w:rsid w:val="008C7849"/>
    <w:rsid w:val="008D2640"/>
    <w:rsid w:val="008D44C5"/>
    <w:rsid w:val="008D46D0"/>
    <w:rsid w:val="008D7E85"/>
    <w:rsid w:val="008E1857"/>
    <w:rsid w:val="008E19FF"/>
    <w:rsid w:val="008E4393"/>
    <w:rsid w:val="008E53FF"/>
    <w:rsid w:val="008F1DD1"/>
    <w:rsid w:val="008F249D"/>
    <w:rsid w:val="008F24B7"/>
    <w:rsid w:val="008F54F8"/>
    <w:rsid w:val="008F5BA1"/>
    <w:rsid w:val="008F5C5D"/>
    <w:rsid w:val="008F71C2"/>
    <w:rsid w:val="008F7DF0"/>
    <w:rsid w:val="009011AA"/>
    <w:rsid w:val="009015EF"/>
    <w:rsid w:val="00901D26"/>
    <w:rsid w:val="00902F9C"/>
    <w:rsid w:val="00904774"/>
    <w:rsid w:val="00906CC3"/>
    <w:rsid w:val="00906E19"/>
    <w:rsid w:val="00910F45"/>
    <w:rsid w:val="009161C8"/>
    <w:rsid w:val="00917578"/>
    <w:rsid w:val="00917D56"/>
    <w:rsid w:val="0092144F"/>
    <w:rsid w:val="00930AAD"/>
    <w:rsid w:val="00931C9D"/>
    <w:rsid w:val="00933A00"/>
    <w:rsid w:val="00933BFD"/>
    <w:rsid w:val="0093489F"/>
    <w:rsid w:val="00936431"/>
    <w:rsid w:val="00940A81"/>
    <w:rsid w:val="00941691"/>
    <w:rsid w:val="00942AED"/>
    <w:rsid w:val="00944E25"/>
    <w:rsid w:val="009458B5"/>
    <w:rsid w:val="009461DD"/>
    <w:rsid w:val="00953F15"/>
    <w:rsid w:val="00956478"/>
    <w:rsid w:val="00956F77"/>
    <w:rsid w:val="00960168"/>
    <w:rsid w:val="0096417E"/>
    <w:rsid w:val="009642AB"/>
    <w:rsid w:val="00966F01"/>
    <w:rsid w:val="00967ACC"/>
    <w:rsid w:val="00974FD7"/>
    <w:rsid w:val="00976A7F"/>
    <w:rsid w:val="00980680"/>
    <w:rsid w:val="0098160B"/>
    <w:rsid w:val="00982BCB"/>
    <w:rsid w:val="0098691E"/>
    <w:rsid w:val="00993F03"/>
    <w:rsid w:val="0099435F"/>
    <w:rsid w:val="00994E99"/>
    <w:rsid w:val="00996BC5"/>
    <w:rsid w:val="00997450"/>
    <w:rsid w:val="009A006B"/>
    <w:rsid w:val="009A1B0A"/>
    <w:rsid w:val="009A232E"/>
    <w:rsid w:val="009A5A5A"/>
    <w:rsid w:val="009A6D34"/>
    <w:rsid w:val="009B4816"/>
    <w:rsid w:val="009B7284"/>
    <w:rsid w:val="009C0407"/>
    <w:rsid w:val="009C1BA8"/>
    <w:rsid w:val="009C2D0D"/>
    <w:rsid w:val="009C3492"/>
    <w:rsid w:val="009C49C6"/>
    <w:rsid w:val="009C4E82"/>
    <w:rsid w:val="009C5AA4"/>
    <w:rsid w:val="009C5B3C"/>
    <w:rsid w:val="009D02D4"/>
    <w:rsid w:val="009D1EA9"/>
    <w:rsid w:val="009D29E6"/>
    <w:rsid w:val="009D304B"/>
    <w:rsid w:val="009D60E3"/>
    <w:rsid w:val="009D6A16"/>
    <w:rsid w:val="009D73B1"/>
    <w:rsid w:val="009D7608"/>
    <w:rsid w:val="009E0A25"/>
    <w:rsid w:val="009E0D67"/>
    <w:rsid w:val="009E4985"/>
    <w:rsid w:val="009F16C5"/>
    <w:rsid w:val="009F3E11"/>
    <w:rsid w:val="009F6478"/>
    <w:rsid w:val="009F6AF8"/>
    <w:rsid w:val="009F6E78"/>
    <w:rsid w:val="009F7A4B"/>
    <w:rsid w:val="009F7C7E"/>
    <w:rsid w:val="00A01148"/>
    <w:rsid w:val="00A132BE"/>
    <w:rsid w:val="00A16B6F"/>
    <w:rsid w:val="00A17C8E"/>
    <w:rsid w:val="00A27D70"/>
    <w:rsid w:val="00A31DC5"/>
    <w:rsid w:val="00A40C81"/>
    <w:rsid w:val="00A41C85"/>
    <w:rsid w:val="00A436CD"/>
    <w:rsid w:val="00A5180B"/>
    <w:rsid w:val="00A546FA"/>
    <w:rsid w:val="00A55E36"/>
    <w:rsid w:val="00A567A7"/>
    <w:rsid w:val="00A6292E"/>
    <w:rsid w:val="00A639E4"/>
    <w:rsid w:val="00A6457C"/>
    <w:rsid w:val="00A74EF5"/>
    <w:rsid w:val="00A81874"/>
    <w:rsid w:val="00A821A6"/>
    <w:rsid w:val="00A8223C"/>
    <w:rsid w:val="00A84629"/>
    <w:rsid w:val="00A8757B"/>
    <w:rsid w:val="00A92044"/>
    <w:rsid w:val="00A9727D"/>
    <w:rsid w:val="00AA0EF0"/>
    <w:rsid w:val="00AA16B9"/>
    <w:rsid w:val="00AA471D"/>
    <w:rsid w:val="00AA47DC"/>
    <w:rsid w:val="00AB10E7"/>
    <w:rsid w:val="00AB1A95"/>
    <w:rsid w:val="00AB22C5"/>
    <w:rsid w:val="00AB4A0F"/>
    <w:rsid w:val="00AB624E"/>
    <w:rsid w:val="00AB6BDA"/>
    <w:rsid w:val="00AC2C09"/>
    <w:rsid w:val="00AC3B56"/>
    <w:rsid w:val="00AC5FBB"/>
    <w:rsid w:val="00AC6B6F"/>
    <w:rsid w:val="00AC6CC5"/>
    <w:rsid w:val="00AD1C6D"/>
    <w:rsid w:val="00AE11FC"/>
    <w:rsid w:val="00AE6354"/>
    <w:rsid w:val="00AF15AF"/>
    <w:rsid w:val="00AF2E13"/>
    <w:rsid w:val="00AF6EB4"/>
    <w:rsid w:val="00AF6EBF"/>
    <w:rsid w:val="00B01141"/>
    <w:rsid w:val="00B02E33"/>
    <w:rsid w:val="00B04316"/>
    <w:rsid w:val="00B04CF2"/>
    <w:rsid w:val="00B06F95"/>
    <w:rsid w:val="00B12803"/>
    <w:rsid w:val="00B163C6"/>
    <w:rsid w:val="00B214A1"/>
    <w:rsid w:val="00B2262B"/>
    <w:rsid w:val="00B22D5C"/>
    <w:rsid w:val="00B263F0"/>
    <w:rsid w:val="00B2716E"/>
    <w:rsid w:val="00B30C23"/>
    <w:rsid w:val="00B31661"/>
    <w:rsid w:val="00B32703"/>
    <w:rsid w:val="00B36F94"/>
    <w:rsid w:val="00B451D2"/>
    <w:rsid w:val="00B4609E"/>
    <w:rsid w:val="00B47522"/>
    <w:rsid w:val="00B5097B"/>
    <w:rsid w:val="00B515AA"/>
    <w:rsid w:val="00B53C90"/>
    <w:rsid w:val="00B54313"/>
    <w:rsid w:val="00B56F24"/>
    <w:rsid w:val="00B609D2"/>
    <w:rsid w:val="00B60B5F"/>
    <w:rsid w:val="00B63C92"/>
    <w:rsid w:val="00B6496F"/>
    <w:rsid w:val="00B70AF0"/>
    <w:rsid w:val="00B7554F"/>
    <w:rsid w:val="00B76D51"/>
    <w:rsid w:val="00B800CE"/>
    <w:rsid w:val="00B8064D"/>
    <w:rsid w:val="00B80F06"/>
    <w:rsid w:val="00B827C6"/>
    <w:rsid w:val="00B84CEB"/>
    <w:rsid w:val="00B8522F"/>
    <w:rsid w:val="00B86327"/>
    <w:rsid w:val="00B93F09"/>
    <w:rsid w:val="00BA04B7"/>
    <w:rsid w:val="00BA23FC"/>
    <w:rsid w:val="00BA5491"/>
    <w:rsid w:val="00BB06DC"/>
    <w:rsid w:val="00BB0C44"/>
    <w:rsid w:val="00BB1390"/>
    <w:rsid w:val="00BC0842"/>
    <w:rsid w:val="00BC19BD"/>
    <w:rsid w:val="00BC1A75"/>
    <w:rsid w:val="00BC2546"/>
    <w:rsid w:val="00BC4B21"/>
    <w:rsid w:val="00BC738E"/>
    <w:rsid w:val="00BD0576"/>
    <w:rsid w:val="00BD50E5"/>
    <w:rsid w:val="00BD705E"/>
    <w:rsid w:val="00BE100A"/>
    <w:rsid w:val="00BE50D0"/>
    <w:rsid w:val="00BE7D5E"/>
    <w:rsid w:val="00BF095E"/>
    <w:rsid w:val="00BF1361"/>
    <w:rsid w:val="00BF16FE"/>
    <w:rsid w:val="00BF30B2"/>
    <w:rsid w:val="00BF4A77"/>
    <w:rsid w:val="00BF4B0F"/>
    <w:rsid w:val="00C012F5"/>
    <w:rsid w:val="00C0468C"/>
    <w:rsid w:val="00C05734"/>
    <w:rsid w:val="00C068BC"/>
    <w:rsid w:val="00C1173D"/>
    <w:rsid w:val="00C11BD2"/>
    <w:rsid w:val="00C152F2"/>
    <w:rsid w:val="00C17081"/>
    <w:rsid w:val="00C17838"/>
    <w:rsid w:val="00C20A85"/>
    <w:rsid w:val="00C2371F"/>
    <w:rsid w:val="00C2449E"/>
    <w:rsid w:val="00C26437"/>
    <w:rsid w:val="00C266CB"/>
    <w:rsid w:val="00C269A7"/>
    <w:rsid w:val="00C26B86"/>
    <w:rsid w:val="00C27FD4"/>
    <w:rsid w:val="00C365E2"/>
    <w:rsid w:val="00C44EFB"/>
    <w:rsid w:val="00C4720F"/>
    <w:rsid w:val="00C4785E"/>
    <w:rsid w:val="00C5093E"/>
    <w:rsid w:val="00C548B2"/>
    <w:rsid w:val="00C54EB4"/>
    <w:rsid w:val="00C55264"/>
    <w:rsid w:val="00C60621"/>
    <w:rsid w:val="00C60C39"/>
    <w:rsid w:val="00C61DC3"/>
    <w:rsid w:val="00C6695C"/>
    <w:rsid w:val="00C753C7"/>
    <w:rsid w:val="00C76C46"/>
    <w:rsid w:val="00C77F76"/>
    <w:rsid w:val="00C82298"/>
    <w:rsid w:val="00C82397"/>
    <w:rsid w:val="00C86FE8"/>
    <w:rsid w:val="00C90573"/>
    <w:rsid w:val="00C942B1"/>
    <w:rsid w:val="00C96EF9"/>
    <w:rsid w:val="00C97946"/>
    <w:rsid w:val="00CA3B7C"/>
    <w:rsid w:val="00CA4DDD"/>
    <w:rsid w:val="00CA4F91"/>
    <w:rsid w:val="00CA7ABB"/>
    <w:rsid w:val="00CB1751"/>
    <w:rsid w:val="00CB37B9"/>
    <w:rsid w:val="00CB57E5"/>
    <w:rsid w:val="00CB6A85"/>
    <w:rsid w:val="00CB7EE8"/>
    <w:rsid w:val="00CC0BDA"/>
    <w:rsid w:val="00CC1B6B"/>
    <w:rsid w:val="00CC3B0C"/>
    <w:rsid w:val="00CC445A"/>
    <w:rsid w:val="00CC6256"/>
    <w:rsid w:val="00CD0A39"/>
    <w:rsid w:val="00CD1802"/>
    <w:rsid w:val="00CD19CD"/>
    <w:rsid w:val="00CD1A90"/>
    <w:rsid w:val="00CD4EFC"/>
    <w:rsid w:val="00CE0A82"/>
    <w:rsid w:val="00CE432C"/>
    <w:rsid w:val="00CE4F98"/>
    <w:rsid w:val="00CE5DCA"/>
    <w:rsid w:val="00CE6DBB"/>
    <w:rsid w:val="00CF44E9"/>
    <w:rsid w:val="00CF4A56"/>
    <w:rsid w:val="00CF5FB9"/>
    <w:rsid w:val="00CF609D"/>
    <w:rsid w:val="00D038BC"/>
    <w:rsid w:val="00D0520C"/>
    <w:rsid w:val="00D062B9"/>
    <w:rsid w:val="00D06723"/>
    <w:rsid w:val="00D14555"/>
    <w:rsid w:val="00D1718C"/>
    <w:rsid w:val="00D17DCC"/>
    <w:rsid w:val="00D22B17"/>
    <w:rsid w:val="00D31359"/>
    <w:rsid w:val="00D32D4F"/>
    <w:rsid w:val="00D32EF0"/>
    <w:rsid w:val="00D343B5"/>
    <w:rsid w:val="00D34665"/>
    <w:rsid w:val="00D35E52"/>
    <w:rsid w:val="00D36FA6"/>
    <w:rsid w:val="00D41CBB"/>
    <w:rsid w:val="00D41E9A"/>
    <w:rsid w:val="00D52A8A"/>
    <w:rsid w:val="00D52D61"/>
    <w:rsid w:val="00D535E0"/>
    <w:rsid w:val="00D53F31"/>
    <w:rsid w:val="00D54483"/>
    <w:rsid w:val="00D5556A"/>
    <w:rsid w:val="00D5584D"/>
    <w:rsid w:val="00D56B3E"/>
    <w:rsid w:val="00D60447"/>
    <w:rsid w:val="00D62269"/>
    <w:rsid w:val="00D62EDC"/>
    <w:rsid w:val="00D63D44"/>
    <w:rsid w:val="00D669B7"/>
    <w:rsid w:val="00D72E92"/>
    <w:rsid w:val="00D74944"/>
    <w:rsid w:val="00D76656"/>
    <w:rsid w:val="00D7745E"/>
    <w:rsid w:val="00D80758"/>
    <w:rsid w:val="00D807A7"/>
    <w:rsid w:val="00D832C3"/>
    <w:rsid w:val="00D8330F"/>
    <w:rsid w:val="00D87B6D"/>
    <w:rsid w:val="00D90036"/>
    <w:rsid w:val="00D93336"/>
    <w:rsid w:val="00D976DC"/>
    <w:rsid w:val="00DA0B97"/>
    <w:rsid w:val="00DA244B"/>
    <w:rsid w:val="00DA55C4"/>
    <w:rsid w:val="00DA6930"/>
    <w:rsid w:val="00DA7F88"/>
    <w:rsid w:val="00DB3BCD"/>
    <w:rsid w:val="00DB52E7"/>
    <w:rsid w:val="00DC0318"/>
    <w:rsid w:val="00DC2BBF"/>
    <w:rsid w:val="00DC2F31"/>
    <w:rsid w:val="00DC3E65"/>
    <w:rsid w:val="00DD1D5F"/>
    <w:rsid w:val="00DE0269"/>
    <w:rsid w:val="00DE0773"/>
    <w:rsid w:val="00DF04B1"/>
    <w:rsid w:val="00DF0A3B"/>
    <w:rsid w:val="00DF6388"/>
    <w:rsid w:val="00E012C5"/>
    <w:rsid w:val="00E023A9"/>
    <w:rsid w:val="00E028B7"/>
    <w:rsid w:val="00E02C0E"/>
    <w:rsid w:val="00E07D1B"/>
    <w:rsid w:val="00E1006D"/>
    <w:rsid w:val="00E12CA3"/>
    <w:rsid w:val="00E12E1C"/>
    <w:rsid w:val="00E17B14"/>
    <w:rsid w:val="00E218E2"/>
    <w:rsid w:val="00E23B23"/>
    <w:rsid w:val="00E23FEE"/>
    <w:rsid w:val="00E25CD4"/>
    <w:rsid w:val="00E26A1F"/>
    <w:rsid w:val="00E270F7"/>
    <w:rsid w:val="00E32D46"/>
    <w:rsid w:val="00E36585"/>
    <w:rsid w:val="00E4227D"/>
    <w:rsid w:val="00E43674"/>
    <w:rsid w:val="00E44D08"/>
    <w:rsid w:val="00E4570D"/>
    <w:rsid w:val="00E52AF6"/>
    <w:rsid w:val="00E53F82"/>
    <w:rsid w:val="00E548A7"/>
    <w:rsid w:val="00E56507"/>
    <w:rsid w:val="00E57A41"/>
    <w:rsid w:val="00E57E49"/>
    <w:rsid w:val="00E6055F"/>
    <w:rsid w:val="00E61C50"/>
    <w:rsid w:val="00E630C8"/>
    <w:rsid w:val="00E65D4A"/>
    <w:rsid w:val="00E664C8"/>
    <w:rsid w:val="00E7200F"/>
    <w:rsid w:val="00E7237D"/>
    <w:rsid w:val="00E75F42"/>
    <w:rsid w:val="00E76EAB"/>
    <w:rsid w:val="00E771CD"/>
    <w:rsid w:val="00E77C32"/>
    <w:rsid w:val="00E806D2"/>
    <w:rsid w:val="00E81D49"/>
    <w:rsid w:val="00E84753"/>
    <w:rsid w:val="00E917F8"/>
    <w:rsid w:val="00E92281"/>
    <w:rsid w:val="00E9249A"/>
    <w:rsid w:val="00E95A71"/>
    <w:rsid w:val="00E978E3"/>
    <w:rsid w:val="00EA0B86"/>
    <w:rsid w:val="00EA2071"/>
    <w:rsid w:val="00EA34C6"/>
    <w:rsid w:val="00EA50D7"/>
    <w:rsid w:val="00EA56BF"/>
    <w:rsid w:val="00EB2167"/>
    <w:rsid w:val="00EB44FC"/>
    <w:rsid w:val="00EB5D09"/>
    <w:rsid w:val="00EC2E97"/>
    <w:rsid w:val="00EC3533"/>
    <w:rsid w:val="00EC4904"/>
    <w:rsid w:val="00ED228A"/>
    <w:rsid w:val="00ED7123"/>
    <w:rsid w:val="00EE15A7"/>
    <w:rsid w:val="00EE237A"/>
    <w:rsid w:val="00EE2431"/>
    <w:rsid w:val="00EE2E86"/>
    <w:rsid w:val="00EE40FA"/>
    <w:rsid w:val="00EE42D9"/>
    <w:rsid w:val="00EF08AC"/>
    <w:rsid w:val="00EF2F33"/>
    <w:rsid w:val="00EF596C"/>
    <w:rsid w:val="00F0298C"/>
    <w:rsid w:val="00F040AF"/>
    <w:rsid w:val="00F045CD"/>
    <w:rsid w:val="00F07750"/>
    <w:rsid w:val="00F10047"/>
    <w:rsid w:val="00F11F17"/>
    <w:rsid w:val="00F16D9A"/>
    <w:rsid w:val="00F17E2C"/>
    <w:rsid w:val="00F20B5B"/>
    <w:rsid w:val="00F23296"/>
    <w:rsid w:val="00F25D9F"/>
    <w:rsid w:val="00F30A77"/>
    <w:rsid w:val="00F31EBA"/>
    <w:rsid w:val="00F3738F"/>
    <w:rsid w:val="00F4036D"/>
    <w:rsid w:val="00F4393F"/>
    <w:rsid w:val="00F46A3A"/>
    <w:rsid w:val="00F50035"/>
    <w:rsid w:val="00F5252F"/>
    <w:rsid w:val="00F5375D"/>
    <w:rsid w:val="00F5454E"/>
    <w:rsid w:val="00F56D4C"/>
    <w:rsid w:val="00F64914"/>
    <w:rsid w:val="00F66748"/>
    <w:rsid w:val="00F6746B"/>
    <w:rsid w:val="00F71021"/>
    <w:rsid w:val="00F715C3"/>
    <w:rsid w:val="00F718BD"/>
    <w:rsid w:val="00F766BF"/>
    <w:rsid w:val="00F77F3D"/>
    <w:rsid w:val="00F80507"/>
    <w:rsid w:val="00F809E3"/>
    <w:rsid w:val="00F818D1"/>
    <w:rsid w:val="00F83CD3"/>
    <w:rsid w:val="00F845EE"/>
    <w:rsid w:val="00F85F61"/>
    <w:rsid w:val="00F86493"/>
    <w:rsid w:val="00F90A24"/>
    <w:rsid w:val="00F90C0F"/>
    <w:rsid w:val="00F92295"/>
    <w:rsid w:val="00F933D2"/>
    <w:rsid w:val="00F94333"/>
    <w:rsid w:val="00F95487"/>
    <w:rsid w:val="00F95AFF"/>
    <w:rsid w:val="00F95DEF"/>
    <w:rsid w:val="00F96145"/>
    <w:rsid w:val="00F96D44"/>
    <w:rsid w:val="00FA1553"/>
    <w:rsid w:val="00FA4DF8"/>
    <w:rsid w:val="00FA7E20"/>
    <w:rsid w:val="00FB45FB"/>
    <w:rsid w:val="00FB48D8"/>
    <w:rsid w:val="00FC09A1"/>
    <w:rsid w:val="00FC1374"/>
    <w:rsid w:val="00FC1781"/>
    <w:rsid w:val="00FC244F"/>
    <w:rsid w:val="00FC4BBB"/>
    <w:rsid w:val="00FC5D00"/>
    <w:rsid w:val="00FD2969"/>
    <w:rsid w:val="00FD79DA"/>
    <w:rsid w:val="00FE2ADC"/>
    <w:rsid w:val="00FE4544"/>
    <w:rsid w:val="00FE4955"/>
    <w:rsid w:val="00FE5997"/>
    <w:rsid w:val="00FE5A4C"/>
    <w:rsid w:val="00FE6500"/>
    <w:rsid w:val="00FF0950"/>
    <w:rsid w:val="00FF1B69"/>
    <w:rsid w:val="00FF1DC3"/>
    <w:rsid w:val="00FF2E78"/>
    <w:rsid w:val="00FF5484"/>
    <w:rsid w:val="00FF6B4C"/>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link w:val="Heading1Char"/>
    <w:uiPriority w:val="9"/>
    <w:qFormat/>
    <w:rsid w:val="004C4EE9"/>
    <w:pPr>
      <w:keepNext/>
      <w:outlineLvl w:val="0"/>
    </w:pPr>
    <w:rPr>
      <w:b/>
      <w:sz w:val="28"/>
      <w:szCs w:val="20"/>
      <w:lang w:val="en-GB"/>
    </w:rPr>
  </w:style>
  <w:style w:type="paragraph" w:styleId="Heading2">
    <w:name w:val="heading 2"/>
    <w:basedOn w:val="Normal"/>
    <w:next w:val="Normal"/>
    <w:link w:val="Heading2Char"/>
    <w:autoRedefine/>
    <w:uiPriority w:val="9"/>
    <w:qFormat/>
    <w:rsid w:val="004C4EE9"/>
    <w:pPr>
      <w:keepNext/>
      <w:spacing w:before="240" w:after="60"/>
      <w:outlineLvl w:val="1"/>
    </w:pPr>
    <w:rPr>
      <w:rFonts w:cs="Arial"/>
      <w:bCs/>
      <w:iCs/>
      <w:sz w:val="22"/>
      <w:szCs w:val="22"/>
    </w:rPr>
  </w:style>
  <w:style w:type="paragraph" w:styleId="Heading3">
    <w:name w:val="heading 3"/>
    <w:basedOn w:val="Normal"/>
    <w:next w:val="Normal"/>
    <w:link w:val="Heading3Char"/>
    <w:autoRedefine/>
    <w:uiPriority w:val="9"/>
    <w:qFormat/>
    <w:rsid w:val="004C4EE9"/>
    <w:pPr>
      <w:keepNext/>
      <w:outlineLvl w:val="2"/>
    </w:pPr>
    <w:rPr>
      <w:b/>
      <w:lang w:val="en-GB"/>
    </w:rPr>
  </w:style>
  <w:style w:type="paragraph" w:styleId="Heading4">
    <w:name w:val="heading 4"/>
    <w:basedOn w:val="Normal"/>
    <w:next w:val="Normal"/>
    <w:link w:val="Heading4Char"/>
    <w:uiPriority w:val="9"/>
    <w:qFormat/>
    <w:rsid w:val="004C4EE9"/>
    <w:pPr>
      <w:keepNext/>
      <w:spacing w:before="240" w:after="60"/>
      <w:outlineLvl w:val="3"/>
    </w:pPr>
    <w:rPr>
      <w:b/>
      <w:bCs/>
      <w:sz w:val="28"/>
      <w:szCs w:val="28"/>
    </w:rPr>
  </w:style>
  <w:style w:type="paragraph" w:styleId="Heading5">
    <w:name w:val="heading 5"/>
    <w:basedOn w:val="Normal"/>
    <w:next w:val="Normal"/>
    <w:link w:val="Heading5Char"/>
    <w:autoRedefine/>
    <w:uiPriority w:val="9"/>
    <w:qFormat/>
    <w:rsid w:val="004C4EE9"/>
    <w:pPr>
      <w:keepNext/>
      <w:outlineLvl w:val="4"/>
    </w:pPr>
    <w:rPr>
      <w:b/>
      <w:sz w:val="20"/>
      <w:szCs w:val="20"/>
      <w:lang w:val="en-GB"/>
    </w:rPr>
  </w:style>
  <w:style w:type="paragraph" w:styleId="Heading6">
    <w:name w:val="heading 6"/>
    <w:basedOn w:val="Normal"/>
    <w:next w:val="Normal"/>
    <w:link w:val="Heading6Char"/>
    <w:autoRedefine/>
    <w:uiPriority w:val="9"/>
    <w:qFormat/>
    <w:rsid w:val="004C4EE9"/>
    <w:pPr>
      <w:keepNext/>
      <w:jc w:val="center"/>
      <w:outlineLvl w:val="5"/>
    </w:pPr>
    <w:rPr>
      <w:rFonts w:cs="Arial"/>
      <w:color w:val="000000"/>
      <w:sz w:val="22"/>
      <w:szCs w:val="22"/>
    </w:rPr>
  </w:style>
  <w:style w:type="paragraph" w:styleId="Heading7">
    <w:name w:val="heading 7"/>
    <w:basedOn w:val="Normal"/>
    <w:next w:val="Normal"/>
    <w:link w:val="Heading7Char"/>
    <w:uiPriority w:val="9"/>
    <w:qFormat/>
    <w:rsid w:val="004C4EE9"/>
    <w:pPr>
      <w:spacing w:before="240" w:after="60"/>
      <w:outlineLvl w:val="6"/>
    </w:pPr>
  </w:style>
  <w:style w:type="paragraph" w:styleId="Heading8">
    <w:name w:val="heading 8"/>
    <w:basedOn w:val="Normal"/>
    <w:next w:val="Normal"/>
    <w:link w:val="Heading8Char"/>
    <w:uiPriority w:val="9"/>
    <w:qFormat/>
    <w:rsid w:val="004C4EE9"/>
    <w:pPr>
      <w:spacing w:before="240" w:after="60"/>
      <w:outlineLvl w:val="7"/>
    </w:pPr>
    <w:rPr>
      <w:i/>
      <w:iCs/>
    </w:rPr>
  </w:style>
  <w:style w:type="paragraph" w:styleId="Heading9">
    <w:name w:val="heading 9"/>
    <w:basedOn w:val="Normal"/>
    <w:next w:val="Normal"/>
    <w:link w:val="Heading9Char"/>
    <w:uiPriority w:val="9"/>
    <w:qFormat/>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uiPriority w:val="99"/>
    <w:semiHidden/>
    <w:rsid w:val="009E4985"/>
    <w:rPr>
      <w:sz w:val="16"/>
      <w:szCs w:val="16"/>
    </w:rPr>
  </w:style>
  <w:style w:type="paragraph" w:styleId="CommentText">
    <w:name w:val="annotation text"/>
    <w:basedOn w:val="Normal"/>
    <w:link w:val="CommentTextChar"/>
    <w:uiPriority w:val="99"/>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link w:val="CommentSubjectChar"/>
    <w:uiPriority w:val="99"/>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uiPriority w:val="99"/>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unhideWhenUsed/>
    <w:rsid w:val="00FC1374"/>
    <w:pPr>
      <w:tabs>
        <w:tab w:val="center" w:pos="4536"/>
        <w:tab w:val="right" w:pos="9072"/>
      </w:tabs>
    </w:pPr>
  </w:style>
  <w:style w:type="character" w:customStyle="1" w:styleId="HeaderChar">
    <w:name w:val="Header Char"/>
    <w:basedOn w:val="DefaultParagraphFont"/>
    <w:link w:val="Header"/>
    <w:uiPriority w:val="99"/>
    <w:rsid w:val="00FC1374"/>
    <w:rPr>
      <w:sz w:val="24"/>
      <w:szCs w:val="24"/>
      <w:lang w:val="de-DE" w:eastAsia="de-DE"/>
    </w:rPr>
  </w:style>
  <w:style w:type="paragraph" w:styleId="Footer">
    <w:name w:val="footer"/>
    <w:basedOn w:val="Normal"/>
    <w:link w:val="FooterChar"/>
    <w:uiPriority w:val="99"/>
    <w:unhideWhenUsed/>
    <w:rsid w:val="00FC1374"/>
    <w:pPr>
      <w:tabs>
        <w:tab w:val="center" w:pos="4536"/>
        <w:tab w:val="right" w:pos="9072"/>
      </w:tabs>
    </w:pPr>
  </w:style>
  <w:style w:type="character" w:customStyle="1" w:styleId="FooterChar">
    <w:name w:val="Footer Char"/>
    <w:basedOn w:val="DefaultParagraphFont"/>
    <w:link w:val="Footer"/>
    <w:uiPriority w:val="99"/>
    <w:rsid w:val="00FC1374"/>
    <w:rPr>
      <w:sz w:val="24"/>
      <w:szCs w:val="24"/>
      <w:lang w:val="de-DE" w:eastAsia="de-DE"/>
    </w:rPr>
  </w:style>
  <w:style w:type="character" w:styleId="UnresolvedMention">
    <w:name w:val="Unresolved Mention"/>
    <w:basedOn w:val="DefaultParagraphFont"/>
    <w:uiPriority w:val="99"/>
    <w:unhideWhenUsed/>
    <w:rsid w:val="00EC2E97"/>
    <w:rPr>
      <w:color w:val="605E5C"/>
      <w:shd w:val="clear" w:color="auto" w:fill="E1DFDD"/>
    </w:rPr>
  </w:style>
  <w:style w:type="character" w:customStyle="1" w:styleId="Heading1Char">
    <w:name w:val="Heading 1 Char"/>
    <w:basedOn w:val="DefaultParagraphFont"/>
    <w:link w:val="Heading1"/>
    <w:uiPriority w:val="9"/>
    <w:rsid w:val="00C5093E"/>
    <w:rPr>
      <w:b/>
      <w:sz w:val="28"/>
      <w:lang w:val="en-GB" w:eastAsia="de-DE"/>
    </w:rPr>
  </w:style>
  <w:style w:type="character" w:customStyle="1" w:styleId="Heading2Char">
    <w:name w:val="Heading 2 Char"/>
    <w:basedOn w:val="DefaultParagraphFont"/>
    <w:link w:val="Heading2"/>
    <w:uiPriority w:val="9"/>
    <w:rsid w:val="00C5093E"/>
    <w:rPr>
      <w:rFonts w:cs="Arial"/>
      <w:bCs/>
      <w:iCs/>
      <w:sz w:val="22"/>
      <w:szCs w:val="22"/>
      <w:lang w:val="de-DE" w:eastAsia="de-DE"/>
    </w:rPr>
  </w:style>
  <w:style w:type="character" w:customStyle="1" w:styleId="Heading3Char">
    <w:name w:val="Heading 3 Char"/>
    <w:basedOn w:val="DefaultParagraphFont"/>
    <w:link w:val="Heading3"/>
    <w:uiPriority w:val="9"/>
    <w:rsid w:val="00C5093E"/>
    <w:rPr>
      <w:b/>
      <w:sz w:val="24"/>
      <w:szCs w:val="24"/>
      <w:lang w:val="en-GB" w:eastAsia="de-DE"/>
    </w:rPr>
  </w:style>
  <w:style w:type="character" w:customStyle="1" w:styleId="Heading4Char">
    <w:name w:val="Heading 4 Char"/>
    <w:basedOn w:val="DefaultParagraphFont"/>
    <w:link w:val="Heading4"/>
    <w:uiPriority w:val="9"/>
    <w:rsid w:val="00C5093E"/>
    <w:rPr>
      <w:b/>
      <w:bCs/>
      <w:sz w:val="28"/>
      <w:szCs w:val="28"/>
      <w:lang w:val="de-DE" w:eastAsia="de-DE"/>
    </w:rPr>
  </w:style>
  <w:style w:type="character" w:customStyle="1" w:styleId="Heading5Char">
    <w:name w:val="Heading 5 Char"/>
    <w:basedOn w:val="DefaultParagraphFont"/>
    <w:link w:val="Heading5"/>
    <w:uiPriority w:val="9"/>
    <w:rsid w:val="00C5093E"/>
    <w:rPr>
      <w:b/>
      <w:lang w:val="en-GB" w:eastAsia="de-DE"/>
    </w:rPr>
  </w:style>
  <w:style w:type="character" w:customStyle="1" w:styleId="Heading6Char">
    <w:name w:val="Heading 6 Char"/>
    <w:basedOn w:val="DefaultParagraphFont"/>
    <w:link w:val="Heading6"/>
    <w:uiPriority w:val="9"/>
    <w:rsid w:val="00C5093E"/>
    <w:rPr>
      <w:rFonts w:cs="Arial"/>
      <w:color w:val="000000"/>
      <w:sz w:val="22"/>
      <w:szCs w:val="22"/>
      <w:lang w:val="de-DE" w:eastAsia="de-DE"/>
    </w:rPr>
  </w:style>
  <w:style w:type="character" w:customStyle="1" w:styleId="Heading7Char">
    <w:name w:val="Heading 7 Char"/>
    <w:basedOn w:val="DefaultParagraphFont"/>
    <w:link w:val="Heading7"/>
    <w:uiPriority w:val="9"/>
    <w:rsid w:val="00C5093E"/>
    <w:rPr>
      <w:sz w:val="24"/>
      <w:szCs w:val="24"/>
      <w:lang w:val="de-DE" w:eastAsia="de-DE"/>
    </w:rPr>
  </w:style>
  <w:style w:type="character" w:customStyle="1" w:styleId="Heading8Char">
    <w:name w:val="Heading 8 Char"/>
    <w:basedOn w:val="DefaultParagraphFont"/>
    <w:link w:val="Heading8"/>
    <w:uiPriority w:val="9"/>
    <w:rsid w:val="00C5093E"/>
    <w:rPr>
      <w:i/>
      <w:iCs/>
      <w:sz w:val="24"/>
      <w:szCs w:val="24"/>
      <w:lang w:val="de-DE" w:eastAsia="de-DE"/>
    </w:rPr>
  </w:style>
  <w:style w:type="character" w:customStyle="1" w:styleId="Heading9Char">
    <w:name w:val="Heading 9 Char"/>
    <w:basedOn w:val="DefaultParagraphFont"/>
    <w:link w:val="Heading9"/>
    <w:uiPriority w:val="9"/>
    <w:rsid w:val="00C5093E"/>
    <w:rPr>
      <w:rFonts w:ascii="Arial" w:hAnsi="Arial"/>
      <w:sz w:val="22"/>
      <w:szCs w:val="22"/>
      <w:lang w:val="de-DE" w:eastAsia="de-DE"/>
    </w:rPr>
  </w:style>
  <w:style w:type="paragraph" w:styleId="Title">
    <w:name w:val="Title"/>
    <w:basedOn w:val="Normal"/>
    <w:next w:val="Normal"/>
    <w:link w:val="TitleChar"/>
    <w:uiPriority w:val="10"/>
    <w:qFormat/>
    <w:rsid w:val="00C5093E"/>
    <w:pPr>
      <w:contextualSpacing/>
    </w:pPr>
    <w:rPr>
      <w:rFonts w:asciiTheme="majorHAnsi" w:eastAsiaTheme="majorEastAsia" w:hAnsiTheme="majorHAnsi" w:cstheme="majorBidi"/>
      <w:color w:val="000000" w:themeColor="text1"/>
      <w:sz w:val="56"/>
      <w:szCs w:val="56"/>
      <w:lang w:val="en-US" w:eastAsia="zh-CN"/>
    </w:rPr>
  </w:style>
  <w:style w:type="character" w:customStyle="1" w:styleId="TitleChar">
    <w:name w:val="Title Char"/>
    <w:basedOn w:val="DefaultParagraphFont"/>
    <w:link w:val="Title"/>
    <w:uiPriority w:val="10"/>
    <w:rsid w:val="00C5093E"/>
    <w:rPr>
      <w:rFonts w:asciiTheme="majorHAnsi" w:eastAsiaTheme="majorEastAsia" w:hAnsiTheme="majorHAnsi" w:cstheme="majorBidi"/>
      <w:color w:val="000000" w:themeColor="text1"/>
      <w:sz w:val="56"/>
      <w:szCs w:val="56"/>
      <w:lang w:val="en-US" w:eastAsia="zh-CN"/>
    </w:rPr>
  </w:style>
  <w:style w:type="paragraph" w:styleId="Subtitle">
    <w:name w:val="Subtitle"/>
    <w:basedOn w:val="Normal"/>
    <w:next w:val="Normal"/>
    <w:link w:val="SubtitleChar"/>
    <w:uiPriority w:val="11"/>
    <w:qFormat/>
    <w:rsid w:val="00C5093E"/>
    <w:pPr>
      <w:numPr>
        <w:ilvl w:val="1"/>
      </w:numPr>
      <w:spacing w:after="160" w:line="259" w:lineRule="auto"/>
    </w:pPr>
    <w:rPr>
      <w:rFonts w:asciiTheme="minorHAnsi" w:eastAsiaTheme="minorEastAsia" w:hAnsiTheme="minorHAnsi" w:cstheme="minorBidi"/>
      <w:color w:val="5A5A5A" w:themeColor="text1" w:themeTint="A5"/>
      <w:spacing w:val="10"/>
      <w:sz w:val="22"/>
      <w:szCs w:val="22"/>
      <w:lang w:val="en-US" w:eastAsia="zh-CN"/>
    </w:rPr>
  </w:style>
  <w:style w:type="character" w:customStyle="1" w:styleId="SubtitleChar">
    <w:name w:val="Subtitle Char"/>
    <w:basedOn w:val="DefaultParagraphFont"/>
    <w:link w:val="Subtitle"/>
    <w:uiPriority w:val="11"/>
    <w:rsid w:val="00C5093E"/>
    <w:rPr>
      <w:rFonts w:asciiTheme="minorHAnsi" w:eastAsiaTheme="minorEastAsia" w:hAnsiTheme="minorHAnsi" w:cstheme="minorBidi"/>
      <w:color w:val="5A5A5A" w:themeColor="text1" w:themeTint="A5"/>
      <w:spacing w:val="10"/>
      <w:sz w:val="22"/>
      <w:szCs w:val="22"/>
      <w:lang w:val="en-US" w:eastAsia="zh-CN"/>
    </w:rPr>
  </w:style>
  <w:style w:type="paragraph" w:styleId="Quote">
    <w:name w:val="Quote"/>
    <w:basedOn w:val="Normal"/>
    <w:next w:val="Normal"/>
    <w:link w:val="QuoteChar"/>
    <w:uiPriority w:val="29"/>
    <w:qFormat/>
    <w:rsid w:val="00C5093E"/>
    <w:pPr>
      <w:spacing w:before="160" w:after="160" w:line="259" w:lineRule="auto"/>
      <w:ind w:left="720" w:right="720"/>
    </w:pPr>
    <w:rPr>
      <w:rFonts w:asciiTheme="minorHAnsi" w:eastAsiaTheme="minorEastAsia" w:hAnsiTheme="minorHAnsi" w:cstheme="minorBidi"/>
      <w:i/>
      <w:iCs/>
      <w:color w:val="000000" w:themeColor="text1"/>
      <w:sz w:val="22"/>
      <w:szCs w:val="22"/>
      <w:lang w:val="en-US" w:eastAsia="zh-CN"/>
    </w:rPr>
  </w:style>
  <w:style w:type="character" w:customStyle="1" w:styleId="QuoteChar">
    <w:name w:val="Quote Char"/>
    <w:basedOn w:val="DefaultParagraphFont"/>
    <w:link w:val="Quote"/>
    <w:uiPriority w:val="29"/>
    <w:rsid w:val="00C5093E"/>
    <w:rPr>
      <w:rFonts w:asciiTheme="minorHAnsi" w:eastAsiaTheme="minorEastAsia" w:hAnsiTheme="minorHAnsi" w:cstheme="minorBidi"/>
      <w:i/>
      <w:iCs/>
      <w:color w:val="000000" w:themeColor="text1"/>
      <w:sz w:val="22"/>
      <w:szCs w:val="22"/>
      <w:lang w:val="en-US" w:eastAsia="zh-CN"/>
    </w:rPr>
  </w:style>
  <w:style w:type="paragraph" w:styleId="ListParagraph">
    <w:name w:val="List Paragraph"/>
    <w:basedOn w:val="Normal"/>
    <w:uiPriority w:val="34"/>
    <w:qFormat/>
    <w:rsid w:val="00C5093E"/>
    <w:pPr>
      <w:spacing w:after="160" w:line="259" w:lineRule="auto"/>
      <w:ind w:left="720"/>
      <w:contextualSpacing/>
    </w:pPr>
    <w:rPr>
      <w:rFonts w:asciiTheme="minorHAnsi" w:eastAsiaTheme="minorEastAsia" w:hAnsiTheme="minorHAnsi" w:cstheme="minorBidi"/>
      <w:sz w:val="22"/>
      <w:szCs w:val="22"/>
      <w:lang w:val="en-US" w:eastAsia="zh-CN"/>
    </w:rPr>
  </w:style>
  <w:style w:type="character" w:styleId="IntenseEmphasis">
    <w:name w:val="Intense Emphasis"/>
    <w:basedOn w:val="DefaultParagraphFont"/>
    <w:uiPriority w:val="21"/>
    <w:qFormat/>
    <w:rsid w:val="00C5093E"/>
    <w:rPr>
      <w:b/>
      <w:bCs/>
      <w:i/>
      <w:iCs/>
      <w:caps/>
    </w:rPr>
  </w:style>
  <w:style w:type="paragraph" w:styleId="IntenseQuote">
    <w:name w:val="Intense Quote"/>
    <w:basedOn w:val="Normal"/>
    <w:next w:val="Normal"/>
    <w:link w:val="IntenseQuoteChar"/>
    <w:uiPriority w:val="30"/>
    <w:qFormat/>
    <w:rsid w:val="00C5093E"/>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line="259" w:lineRule="auto"/>
      <w:ind w:left="936" w:right="936"/>
      <w:jc w:val="center"/>
    </w:pPr>
    <w:rPr>
      <w:rFonts w:asciiTheme="minorHAnsi" w:eastAsiaTheme="minorEastAsia" w:hAnsiTheme="minorHAnsi" w:cstheme="minorBidi"/>
      <w:color w:val="000000" w:themeColor="text1"/>
      <w:sz w:val="22"/>
      <w:szCs w:val="22"/>
      <w:lang w:val="en-US" w:eastAsia="zh-CN"/>
    </w:rPr>
  </w:style>
  <w:style w:type="character" w:customStyle="1" w:styleId="IntenseQuoteChar">
    <w:name w:val="Intense Quote Char"/>
    <w:basedOn w:val="DefaultParagraphFont"/>
    <w:link w:val="IntenseQuote"/>
    <w:uiPriority w:val="30"/>
    <w:rsid w:val="00C5093E"/>
    <w:rPr>
      <w:rFonts w:asciiTheme="minorHAnsi" w:eastAsiaTheme="minorEastAsia" w:hAnsiTheme="minorHAnsi" w:cstheme="minorBidi"/>
      <w:color w:val="000000" w:themeColor="text1"/>
      <w:sz w:val="22"/>
      <w:szCs w:val="22"/>
      <w:shd w:val="clear" w:color="auto" w:fill="F2F2F2" w:themeFill="background1" w:themeFillShade="F2"/>
      <w:lang w:val="en-US" w:eastAsia="zh-CN"/>
    </w:rPr>
  </w:style>
  <w:style w:type="character" w:styleId="IntenseReference">
    <w:name w:val="Intense Reference"/>
    <w:basedOn w:val="DefaultParagraphFont"/>
    <w:uiPriority w:val="32"/>
    <w:qFormat/>
    <w:rsid w:val="00C5093E"/>
    <w:rPr>
      <w:b/>
      <w:bCs/>
      <w:smallCaps/>
      <w:u w:val="single"/>
    </w:rPr>
  </w:style>
  <w:style w:type="paragraph" w:styleId="Caption">
    <w:name w:val="caption"/>
    <w:basedOn w:val="Normal"/>
    <w:next w:val="Normal"/>
    <w:uiPriority w:val="35"/>
    <w:unhideWhenUsed/>
    <w:qFormat/>
    <w:rsid w:val="00C5093E"/>
    <w:pPr>
      <w:spacing w:after="200"/>
    </w:pPr>
    <w:rPr>
      <w:rFonts w:asciiTheme="minorHAnsi" w:eastAsiaTheme="minorEastAsia" w:hAnsiTheme="minorHAnsi" w:cstheme="minorBidi"/>
      <w:i/>
      <w:iCs/>
      <w:color w:val="1F497D" w:themeColor="text2"/>
      <w:sz w:val="18"/>
      <w:szCs w:val="18"/>
      <w:lang w:val="en-US" w:eastAsia="zh-CN"/>
    </w:rPr>
  </w:style>
  <w:style w:type="character" w:styleId="Strong">
    <w:name w:val="Strong"/>
    <w:basedOn w:val="DefaultParagraphFont"/>
    <w:uiPriority w:val="22"/>
    <w:qFormat/>
    <w:rsid w:val="00C5093E"/>
    <w:rPr>
      <w:b/>
      <w:bCs/>
      <w:color w:val="000000" w:themeColor="text1"/>
    </w:rPr>
  </w:style>
  <w:style w:type="character" w:styleId="Emphasis">
    <w:name w:val="Emphasis"/>
    <w:basedOn w:val="DefaultParagraphFont"/>
    <w:uiPriority w:val="20"/>
    <w:qFormat/>
    <w:rsid w:val="00C5093E"/>
    <w:rPr>
      <w:i/>
      <w:iCs/>
      <w:color w:val="auto"/>
    </w:rPr>
  </w:style>
  <w:style w:type="paragraph" w:styleId="NoSpacing">
    <w:name w:val="No Spacing"/>
    <w:uiPriority w:val="1"/>
    <w:qFormat/>
    <w:rsid w:val="00C5093E"/>
    <w:rPr>
      <w:rFonts w:asciiTheme="minorHAnsi" w:eastAsiaTheme="minorEastAsia" w:hAnsiTheme="minorHAnsi" w:cstheme="minorBidi"/>
      <w:sz w:val="22"/>
      <w:szCs w:val="22"/>
      <w:lang w:val="en-US" w:eastAsia="zh-CN"/>
    </w:rPr>
  </w:style>
  <w:style w:type="character" w:styleId="SubtleEmphasis">
    <w:name w:val="Subtle Emphasis"/>
    <w:basedOn w:val="DefaultParagraphFont"/>
    <w:uiPriority w:val="19"/>
    <w:qFormat/>
    <w:rsid w:val="00C5093E"/>
    <w:rPr>
      <w:i/>
      <w:iCs/>
      <w:color w:val="404040" w:themeColor="text1" w:themeTint="BF"/>
    </w:rPr>
  </w:style>
  <w:style w:type="character" w:styleId="SubtleReference">
    <w:name w:val="Subtle Reference"/>
    <w:basedOn w:val="DefaultParagraphFont"/>
    <w:uiPriority w:val="31"/>
    <w:qFormat/>
    <w:rsid w:val="00C5093E"/>
    <w:rPr>
      <w:smallCaps/>
      <w:color w:val="404040" w:themeColor="text1" w:themeTint="BF"/>
      <w:u w:val="single" w:color="7F7F7F" w:themeColor="text1" w:themeTint="80"/>
    </w:rPr>
  </w:style>
  <w:style w:type="character" w:styleId="BookTitle">
    <w:name w:val="Book Title"/>
    <w:basedOn w:val="DefaultParagraphFont"/>
    <w:uiPriority w:val="33"/>
    <w:qFormat/>
    <w:rsid w:val="00C5093E"/>
    <w:rPr>
      <w:b w:val="0"/>
      <w:bCs w:val="0"/>
      <w:smallCaps/>
      <w:spacing w:val="5"/>
    </w:rPr>
  </w:style>
  <w:style w:type="paragraph" w:styleId="TOCHeading">
    <w:name w:val="TOC Heading"/>
    <w:basedOn w:val="Heading1"/>
    <w:next w:val="Normal"/>
    <w:uiPriority w:val="39"/>
    <w:semiHidden/>
    <w:unhideWhenUsed/>
    <w:qFormat/>
    <w:rsid w:val="00C5093E"/>
    <w:pPr>
      <w:keepLines/>
      <w:pBdr>
        <w:bottom w:val="single" w:sz="4" w:space="1" w:color="595959" w:themeColor="text1" w:themeTint="A6"/>
      </w:pBdr>
      <w:spacing w:before="360" w:after="160" w:line="259" w:lineRule="auto"/>
      <w:ind w:left="432" w:hanging="432"/>
      <w:outlineLvl w:val="9"/>
    </w:pPr>
    <w:rPr>
      <w:rFonts w:asciiTheme="majorHAnsi" w:eastAsiaTheme="majorEastAsia" w:hAnsiTheme="majorHAnsi" w:cstheme="majorBidi"/>
      <w:bCs/>
      <w:smallCaps/>
      <w:color w:val="000000" w:themeColor="text1"/>
      <w:sz w:val="36"/>
      <w:szCs w:val="36"/>
      <w:lang w:val="en-US" w:eastAsia="zh-CN"/>
    </w:rPr>
  </w:style>
  <w:style w:type="paragraph" w:styleId="Bibliography">
    <w:name w:val="Bibliography"/>
    <w:basedOn w:val="Normal"/>
    <w:next w:val="Normal"/>
    <w:uiPriority w:val="37"/>
    <w:unhideWhenUsed/>
    <w:rsid w:val="00C5093E"/>
    <w:pPr>
      <w:spacing w:line="480" w:lineRule="auto"/>
      <w:ind w:left="720" w:hanging="720"/>
    </w:pPr>
    <w:rPr>
      <w:rFonts w:asciiTheme="minorHAnsi" w:eastAsiaTheme="minorEastAsia" w:hAnsiTheme="minorHAnsi" w:cstheme="minorBidi"/>
      <w:sz w:val="22"/>
      <w:szCs w:val="22"/>
      <w:lang w:val="en-US" w:eastAsia="zh-CN"/>
    </w:rPr>
  </w:style>
  <w:style w:type="table" w:customStyle="1" w:styleId="TableGrid1">
    <w:name w:val="Table Grid1"/>
    <w:basedOn w:val="TableNormal"/>
    <w:next w:val="TableGrid"/>
    <w:uiPriority w:val="39"/>
    <w:rsid w:val="00C5093E"/>
    <w:rPr>
      <w:rFonts w:asciiTheme="minorHAnsi" w:eastAsia="Calibri" w:hAnsiTheme="minorHAnsi" w:cstheme="minorBidi"/>
      <w:kern w:val="2"/>
      <w:sz w:val="22"/>
      <w:szCs w:val="2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sid w:val="00C5093E"/>
    <w:rPr>
      <w:lang w:val="de-DE" w:eastAsia="de-DE"/>
    </w:rPr>
  </w:style>
  <w:style w:type="character" w:customStyle="1" w:styleId="CommentSubjectChar">
    <w:name w:val="Comment Subject Char"/>
    <w:basedOn w:val="CommentTextChar"/>
    <w:link w:val="CommentSubject"/>
    <w:uiPriority w:val="99"/>
    <w:semiHidden/>
    <w:rsid w:val="00C5093E"/>
    <w:rPr>
      <w:b/>
      <w:bCs/>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Metadata/LabelInfo.xml><?xml version="1.0" encoding="utf-8"?>
<clbl:labelList xmlns:clbl="http://schemas.microsoft.com/office/2020/mipLabelMetadata">
  <clbl:label id="{219619fd-75dc-48cb-820d-8f683a95dd8b}" enabled="1" method="Privileged" siteId="{05c95b33-90ca-49d5-b644-288b930b912b}" removed="0"/>
</clbl:labelList>
</file>

<file path=docProps/app.xml><?xml version="1.0" encoding="utf-8"?>
<Properties xmlns="http://schemas.openxmlformats.org/officeDocument/2006/extended-properties" xmlns:vt="http://schemas.openxmlformats.org/officeDocument/2006/docPropsVTypes">
  <Template>Normal</Template>
  <TotalTime>424</TotalTime>
  <Pages>12</Pages>
  <Words>8145</Words>
  <Characters>46432</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54469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Kosteniuk, Isabelle</cp:lastModifiedBy>
  <cp:revision>83</cp:revision>
  <cp:lastPrinted>2023-02-22T18:40:00Z</cp:lastPrinted>
  <dcterms:created xsi:type="dcterms:W3CDTF">2026-08-28T14:20:00Z</dcterms:created>
  <dcterms:modified xsi:type="dcterms:W3CDTF">2026-09-08T19:16:00Z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HeaderShapeIds">
    <vt:lpwstr>73842bb6,28135c5,2e512d30</vt:lpwstr>
  </property>
  <property fmtid="{D5CDD505-2E9C-101B-9397-08002B2CF9AE}" pid="4" name="ClassificationContentMarkingHeaderFontProps">
    <vt:lpwstr>#000000,12,Aptos</vt:lpwstr>
  </property>
  <property fmtid="{D5CDD505-2E9C-101B-9397-08002B2CF9AE}" pid="5" name="ClassificationContentMarkingHeaderText">
    <vt:lpwstr>UNCLASSIFIED - NON CLASSIFIÉ</vt:lpwstr>
  </property>
  <property fmtid="{D5CDD505-2E9C-101B-9397-08002B2CF9AE}" pid="6" name="ZOTERO_PREF_1">
    <vt:lpwstr>&lt;data data-version="3" zotero-version="9.0.6"&gt;&lt;session id="WYT9qk4M"/&gt;&lt;style id="http://www.zotero.org/styles/chicago-author-date" locale="en-US" hasBibliography="1" bibliographyStyleHasBeenSet="1"/&gt;&lt;prefs&gt;&lt;pref name="fieldType" value="Field"/&gt;&lt;/prefs&gt;&lt;/d</vt:lpwstr>
  </property>
  <property fmtid="{D5CDD505-2E9C-101B-9397-08002B2CF9AE}" pid="7" name="ZOTERO_PREF_2">
    <vt:lpwstr>ata&gt;</vt:lpwstr>
  </property>
</Properties>
</file>