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31EF2" w14:textId="2D786759" w:rsidR="00103A49" w:rsidRPr="00731D55" w:rsidRDefault="00731D55" w:rsidP="00731D55">
      <w:pPr>
        <w:rPr>
          <w:rFonts w:ascii="Arial" w:hAnsi="Arial" w:cs="Arial"/>
          <w:b/>
          <w:bCs/>
          <w:sz w:val="28"/>
          <w:szCs w:val="28"/>
        </w:rPr>
      </w:pPr>
      <w:r w:rsidRPr="009A19DF">
        <w:rPr>
          <w:rFonts w:ascii="Arial" w:hAnsi="Arial" w:cs="Arial"/>
          <w:b/>
          <w:bCs/>
          <w:sz w:val="28"/>
          <w:szCs w:val="28"/>
        </w:rPr>
        <w:t>LEVERAGING DECENTRALIZED BUFFERS FOR PEAK SHAVING AND LOAD SHAPING IN 100% RENEWABLE DISTRICT HEATING</w:t>
      </w:r>
    </w:p>
    <w:p w14:paraId="54770AAF" w14:textId="77777777" w:rsidR="00103A49" w:rsidRDefault="00103A49" w:rsidP="00103A49">
      <w:pPr>
        <w:pStyle w:val="SWCTitle"/>
        <w:spacing w:before="0" w:after="0"/>
        <w:jc w:val="left"/>
        <w:rPr>
          <w:rFonts w:ascii="Times New Roman" w:hAnsi="Times New Roman"/>
          <w:b w:val="0"/>
          <w:sz w:val="20"/>
          <w:szCs w:val="20"/>
        </w:rPr>
      </w:pPr>
    </w:p>
    <w:p w14:paraId="75E1B8C8" w14:textId="5FE67F46" w:rsidR="00103A49" w:rsidRDefault="00C619C1" w:rsidP="00103A49">
      <w:pPr>
        <w:pStyle w:val="SWCTitle"/>
        <w:spacing w:before="0" w:after="0"/>
        <w:jc w:val="left"/>
        <w:rPr>
          <w:rFonts w:ascii="Times New Roman" w:hAnsi="Times New Roman"/>
          <w:b w:val="0"/>
          <w:sz w:val="20"/>
          <w:szCs w:val="20"/>
        </w:rPr>
      </w:pPr>
      <w:r>
        <w:rPr>
          <w:rFonts w:ascii="Times New Roman" w:hAnsi="Times New Roman"/>
          <w:b w:val="0"/>
          <w:sz w:val="20"/>
          <w:szCs w:val="20"/>
        </w:rPr>
        <w:t>Sandra Forndran</w:t>
      </w:r>
      <w:r w:rsidRPr="00C619C1">
        <w:rPr>
          <w:rFonts w:ascii="Times New Roman" w:hAnsi="Times New Roman"/>
          <w:b w:val="0"/>
          <w:sz w:val="20"/>
          <w:szCs w:val="20"/>
          <w:vertAlign w:val="superscript"/>
        </w:rPr>
        <w:t>1</w:t>
      </w:r>
      <w:r w:rsidR="00103A49" w:rsidRPr="0C3545CD">
        <w:rPr>
          <w:rFonts w:ascii="Times New Roman" w:hAnsi="Times New Roman"/>
          <w:b w:val="0"/>
          <w:sz w:val="20"/>
          <w:szCs w:val="20"/>
        </w:rPr>
        <w:t xml:space="preserve">, </w:t>
      </w:r>
      <w:r>
        <w:rPr>
          <w:rFonts w:ascii="Times New Roman" w:hAnsi="Times New Roman"/>
          <w:b w:val="0"/>
          <w:sz w:val="20"/>
          <w:szCs w:val="20"/>
        </w:rPr>
        <w:t>Luca</w:t>
      </w:r>
      <w:r w:rsidR="00AA022D">
        <w:rPr>
          <w:rFonts w:ascii="Times New Roman" w:hAnsi="Times New Roman"/>
          <w:b w:val="0"/>
          <w:sz w:val="20"/>
          <w:szCs w:val="20"/>
        </w:rPr>
        <w:t xml:space="preserve"> Vittorio</w:t>
      </w:r>
      <w:r>
        <w:rPr>
          <w:rFonts w:ascii="Times New Roman" w:hAnsi="Times New Roman"/>
          <w:b w:val="0"/>
          <w:sz w:val="20"/>
          <w:szCs w:val="20"/>
        </w:rPr>
        <w:t xml:space="preserve"> Valentini</w:t>
      </w:r>
      <w:r w:rsidRPr="00C619C1">
        <w:rPr>
          <w:rFonts w:ascii="Times New Roman" w:hAnsi="Times New Roman"/>
          <w:b w:val="0"/>
          <w:sz w:val="20"/>
          <w:szCs w:val="20"/>
          <w:vertAlign w:val="superscript"/>
        </w:rPr>
        <w:t>1</w:t>
      </w:r>
      <w:r w:rsidR="00103A49" w:rsidRPr="0C3545CD">
        <w:rPr>
          <w:rFonts w:ascii="Times New Roman" w:hAnsi="Times New Roman"/>
          <w:b w:val="0"/>
          <w:sz w:val="20"/>
          <w:szCs w:val="20"/>
        </w:rPr>
        <w:t xml:space="preserve">, </w:t>
      </w:r>
      <w:r>
        <w:rPr>
          <w:rFonts w:ascii="Times New Roman" w:hAnsi="Times New Roman"/>
          <w:b w:val="0"/>
          <w:sz w:val="20"/>
          <w:szCs w:val="20"/>
        </w:rPr>
        <w:t>Alexander Thür</w:t>
      </w:r>
      <w:r w:rsidRPr="00C619C1">
        <w:rPr>
          <w:rFonts w:ascii="Times New Roman" w:hAnsi="Times New Roman"/>
          <w:b w:val="0"/>
          <w:sz w:val="20"/>
          <w:szCs w:val="20"/>
          <w:vertAlign w:val="superscript"/>
        </w:rPr>
        <w:t>1</w:t>
      </w:r>
    </w:p>
    <w:p w14:paraId="690BA132" w14:textId="6F141403" w:rsidR="00C619C1" w:rsidRPr="006B3D49" w:rsidRDefault="00C619C1" w:rsidP="00103A49">
      <w:pPr>
        <w:pStyle w:val="SWCTitle"/>
        <w:spacing w:before="0" w:after="0"/>
        <w:jc w:val="left"/>
        <w:rPr>
          <w:rFonts w:ascii="Times New Roman" w:hAnsi="Times New Roman"/>
          <w:b w:val="0"/>
          <w:sz w:val="20"/>
          <w:szCs w:val="20"/>
        </w:rPr>
      </w:pPr>
      <w:r w:rsidRPr="00C619C1">
        <w:rPr>
          <w:rFonts w:ascii="Times New Roman" w:hAnsi="Times New Roman"/>
          <w:b w:val="0"/>
          <w:sz w:val="20"/>
          <w:szCs w:val="20"/>
          <w:vertAlign w:val="superscript"/>
        </w:rPr>
        <w:t>1</w:t>
      </w:r>
      <w:r w:rsidRPr="00C619C1">
        <w:rPr>
          <w:rFonts w:ascii="Times New Roman" w:hAnsi="Times New Roman"/>
          <w:b w:val="0"/>
          <w:sz w:val="20"/>
          <w:szCs w:val="20"/>
        </w:rPr>
        <w:t xml:space="preserve">University of Innsbruck, </w:t>
      </w:r>
      <w:r w:rsidR="00AA022D" w:rsidRPr="00AA022D">
        <w:rPr>
          <w:rFonts w:ascii="Times New Roman" w:hAnsi="Times New Roman"/>
          <w:b w:val="0"/>
          <w:sz w:val="20"/>
          <w:szCs w:val="20"/>
        </w:rPr>
        <w:t>Unit of Energy Efficient Building</w:t>
      </w:r>
      <w:r w:rsidRPr="00C619C1">
        <w:rPr>
          <w:rFonts w:ascii="Times New Roman" w:hAnsi="Times New Roman"/>
          <w:b w:val="0"/>
          <w:sz w:val="20"/>
          <w:szCs w:val="20"/>
        </w:rPr>
        <w:t xml:space="preserve">, </w:t>
      </w:r>
      <w:proofErr w:type="spellStart"/>
      <w:r w:rsidRPr="00C619C1">
        <w:rPr>
          <w:rFonts w:ascii="Times New Roman" w:hAnsi="Times New Roman"/>
          <w:b w:val="0"/>
          <w:sz w:val="20"/>
          <w:szCs w:val="20"/>
        </w:rPr>
        <w:t>Technikerstr</w:t>
      </w:r>
      <w:proofErr w:type="spellEnd"/>
      <w:r w:rsidRPr="00C619C1">
        <w:rPr>
          <w:rFonts w:ascii="Times New Roman" w:hAnsi="Times New Roman"/>
          <w:b w:val="0"/>
          <w:sz w:val="20"/>
          <w:szCs w:val="20"/>
        </w:rPr>
        <w:t>. 13, 6020 Innsbruck</w:t>
      </w:r>
    </w:p>
    <w:p w14:paraId="5571DC41" w14:textId="136E100D" w:rsidR="00103A49" w:rsidRDefault="00C619C1" w:rsidP="00103A49">
      <w:pPr>
        <w:pStyle w:val="SWCTitle"/>
        <w:spacing w:before="0" w:after="0"/>
        <w:jc w:val="left"/>
        <w:rPr>
          <w:rFonts w:ascii="Times New Roman" w:hAnsi="Times New Roman"/>
          <w:b w:val="0"/>
          <w:sz w:val="20"/>
          <w:szCs w:val="22"/>
        </w:rPr>
      </w:pPr>
      <w:r>
        <w:rPr>
          <w:rFonts w:ascii="Times New Roman" w:hAnsi="Times New Roman"/>
          <w:b w:val="0"/>
          <w:sz w:val="20"/>
          <w:szCs w:val="22"/>
        </w:rPr>
        <w:t>sandra.forndran@uibk.ac.at</w:t>
      </w:r>
    </w:p>
    <w:p w14:paraId="1866359B" w14:textId="7410BE94" w:rsidR="00103A49" w:rsidRDefault="00103A49" w:rsidP="00103A49">
      <w:pPr>
        <w:pStyle w:val="SWCSummary"/>
        <w:pBdr>
          <w:bottom w:val="single" w:sz="6" w:space="1" w:color="auto"/>
        </w:pBdr>
      </w:pPr>
      <w:r>
        <w:t>Summary</w:t>
      </w:r>
    </w:p>
    <w:p w14:paraId="18910C0C" w14:textId="7691126A" w:rsidR="00437B69" w:rsidRPr="00FF35A1" w:rsidRDefault="00437B69" w:rsidP="00FF35A1">
      <w:pPr>
        <w:widowControl w:val="0"/>
        <w:pBdr>
          <w:bottom w:val="single" w:sz="6" w:space="1" w:color="auto"/>
        </w:pBdr>
        <w:spacing w:after="120" w:line="276" w:lineRule="auto"/>
        <w:jc w:val="both"/>
        <w:rPr>
          <w:rFonts w:ascii="Times New Roman" w:eastAsia="Times New Roman" w:hAnsi="Times New Roman" w:cs="Times New Roman"/>
          <w:color w:val="000000"/>
          <w:sz w:val="20"/>
          <w:lang w:eastAsia="de-DE"/>
        </w:rPr>
      </w:pPr>
      <w:r w:rsidRPr="00437B69">
        <w:rPr>
          <w:rFonts w:ascii="Times New Roman" w:eastAsia="Times New Roman" w:hAnsi="Times New Roman" w:cs="Times New Roman"/>
          <w:color w:val="000000"/>
          <w:sz w:val="20"/>
          <w:lang w:eastAsia="de-DE"/>
        </w:rPr>
        <w:t>District heating (DH) systems play a key role in integrating renewable heat sources but require additional operational flexibility to balance fluctuating heat generation and demand. This paper investigates decentralized buffer storage charging strategies as a source of consumer-side flexibility in multi-unit residential buildings. Two typical hydraulic configurations are analyzed: a system with a domestic hot water (DHW) storage tank and a system with a centralized fresh water unit. For both configurations, a peak-shaving strategy and a peak-shifting strategy are evaluated using</w:t>
      </w:r>
      <w:r>
        <w:rPr>
          <w:rFonts w:ascii="Times New Roman" w:eastAsia="Times New Roman" w:hAnsi="Times New Roman" w:cs="Times New Roman"/>
          <w:color w:val="000000"/>
          <w:sz w:val="20"/>
          <w:lang w:eastAsia="de-DE"/>
        </w:rPr>
        <w:t xml:space="preserve"> </w:t>
      </w:r>
      <w:r w:rsidRPr="00437B69">
        <w:rPr>
          <w:rFonts w:ascii="Times New Roman" w:eastAsia="Times New Roman" w:hAnsi="Times New Roman" w:cs="Times New Roman"/>
          <w:color w:val="000000"/>
          <w:sz w:val="20"/>
          <w:lang w:eastAsia="de-DE"/>
        </w:rPr>
        <w:t xml:space="preserve">simulations in </w:t>
      </w:r>
      <w:proofErr w:type="spellStart"/>
      <w:r w:rsidRPr="00437B69">
        <w:rPr>
          <w:rFonts w:ascii="Times New Roman" w:eastAsia="Times New Roman" w:hAnsi="Times New Roman" w:cs="Times New Roman"/>
          <w:color w:val="000000"/>
          <w:sz w:val="20"/>
          <w:lang w:eastAsia="de-DE"/>
        </w:rPr>
        <w:t>Polysun</w:t>
      </w:r>
      <w:proofErr w:type="spellEnd"/>
      <w:r w:rsidR="00F329AF">
        <w:rPr>
          <w:rFonts w:ascii="Times New Roman" w:eastAsia="Times New Roman" w:hAnsi="Times New Roman" w:cs="Times New Roman"/>
          <w:color w:val="000000"/>
          <w:sz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baf0022e-bdbe-8eee-ca85-8a24b30d0eab"/>
          <w:id w:val="-436219831"/>
        </w:sdtPr>
        <w:sdtEndPr/>
        <w:sdtContent>
          <w:r w:rsidR="00F329AF" w:rsidRPr="005E742B">
            <w:rPr>
              <w:rFonts w:ascii="Times New Roman" w:hAnsi="Times New Roman" w:cs="Times New Roman"/>
              <w:color w:val="000000"/>
              <w:sz w:val="20"/>
              <w:szCs w:val="20"/>
            </w:rPr>
            <w:fldChar w:fldCharType="begin"/>
          </w:r>
          <w:r w:rsidR="00F329AF" w:rsidRPr="005E742B">
            <w:rPr>
              <w:rFonts w:ascii="Times New Roman" w:hAnsi="Times New Roman" w:cs="Times New Roman"/>
              <w:color w:val="000000"/>
              <w:sz w:val="20"/>
              <w:szCs w:val="20"/>
            </w:rPr>
            <w:instrText>ADDIN CitaviPlaceholder{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}</w:instrText>
          </w:r>
          <w:r w:rsidR="00F329AF" w:rsidRPr="005E742B">
            <w:rPr>
              <w:rFonts w:ascii="Times New Roman" w:hAnsi="Times New Roman" w:cs="Times New Roman"/>
              <w:color w:val="000000"/>
              <w:sz w:val="20"/>
              <w:szCs w:val="20"/>
            </w:rPr>
            <w:fldChar w:fldCharType="separate"/>
          </w:r>
          <w:r w:rsidR="00F329AF" w:rsidRPr="005E742B">
            <w:rPr>
              <w:rFonts w:ascii="Times New Roman" w:hAnsi="Times New Roman" w:cs="Times New Roman"/>
              <w:color w:val="000000"/>
              <w:sz w:val="20"/>
              <w:szCs w:val="20"/>
            </w:rPr>
            <w:t>(Vela Solaris AG)</w:t>
          </w:r>
          <w:r w:rsidR="00F329AF" w:rsidRPr="005E742B">
            <w:rPr>
              <w:rFonts w:ascii="Times New Roman" w:hAnsi="Times New Roman" w:cs="Times New Roman"/>
              <w:color w:val="000000"/>
              <w:sz w:val="20"/>
              <w:szCs w:val="20"/>
            </w:rPr>
            <w:fldChar w:fldCharType="end"/>
          </w:r>
        </w:sdtContent>
      </w:sdt>
      <w:r w:rsidRPr="00437B69">
        <w:rPr>
          <w:rFonts w:ascii="Times New Roman" w:eastAsia="Times New Roman" w:hAnsi="Times New Roman" w:cs="Times New Roman"/>
          <w:color w:val="000000"/>
          <w:sz w:val="20"/>
          <w:lang w:eastAsia="de-DE"/>
        </w:rPr>
        <w:t>. The results show that the peak-shaving strategy reduces substation power peaks by up to 26.6%, while the peak-shifting strategy decreases the transmitted thermal energy during defined peak periods by up to 22.5%</w:t>
      </w:r>
      <w:r w:rsidR="00851CD4">
        <w:rPr>
          <w:rFonts w:ascii="Times New Roman" w:eastAsia="Times New Roman" w:hAnsi="Times New Roman" w:cs="Times New Roman"/>
          <w:color w:val="000000"/>
          <w:sz w:val="20"/>
          <w:lang w:eastAsia="de-DE"/>
        </w:rPr>
        <w:t>.</w:t>
      </w:r>
      <w:r w:rsidRPr="00437B69">
        <w:rPr>
          <w:rFonts w:ascii="Times New Roman" w:eastAsia="Times New Roman" w:hAnsi="Times New Roman" w:cs="Times New Roman"/>
          <w:color w:val="000000"/>
          <w:sz w:val="20"/>
          <w:lang w:eastAsia="de-DE"/>
        </w:rPr>
        <w:t xml:space="preserve"> Furthermore, simplified Temporal Fusion Transformer (TFT) models are developed to predict </w:t>
      </w:r>
      <w:r>
        <w:rPr>
          <w:rFonts w:ascii="Times New Roman" w:eastAsia="Times New Roman" w:hAnsi="Times New Roman" w:cs="Times New Roman"/>
          <w:color w:val="000000"/>
          <w:sz w:val="20"/>
          <w:lang w:eastAsia="de-DE"/>
        </w:rPr>
        <w:t xml:space="preserve">the resulting </w:t>
      </w:r>
      <w:r w:rsidRPr="00437B69">
        <w:rPr>
          <w:rFonts w:ascii="Times New Roman" w:eastAsia="Times New Roman" w:hAnsi="Times New Roman" w:cs="Times New Roman"/>
          <w:color w:val="000000"/>
          <w:sz w:val="20"/>
          <w:lang w:eastAsia="de-DE"/>
        </w:rPr>
        <w:t>power and return temperature</w:t>
      </w:r>
      <w:r>
        <w:rPr>
          <w:rFonts w:ascii="Times New Roman" w:eastAsia="Times New Roman" w:hAnsi="Times New Roman" w:cs="Times New Roman"/>
          <w:color w:val="000000"/>
          <w:sz w:val="20"/>
          <w:lang w:eastAsia="de-DE"/>
        </w:rPr>
        <w:t xml:space="preserve"> at the substation</w:t>
      </w:r>
      <w:r w:rsidRPr="00437B69">
        <w:rPr>
          <w:rFonts w:ascii="Times New Roman" w:eastAsia="Times New Roman" w:hAnsi="Times New Roman" w:cs="Times New Roman"/>
          <w:color w:val="000000"/>
          <w:sz w:val="20"/>
          <w:lang w:eastAsia="de-DE"/>
        </w:rPr>
        <w:t xml:space="preserve"> for all investigated hydraulic concepts and charging strategies. The prediction models achieve mean absolute percentage errors below 4% for peak-shaving and below 10.3% for the more dynamic peak-shifting strategy, while return temperature is predicted with errors close to 1%. The results demonstrate that decentralized buffer storages can provide significant operational flexibility and that the proposed </w:t>
      </w:r>
      <w:r>
        <w:rPr>
          <w:rFonts w:ascii="Times New Roman" w:eastAsia="Times New Roman" w:hAnsi="Times New Roman" w:cs="Times New Roman"/>
          <w:color w:val="000000"/>
          <w:sz w:val="20"/>
          <w:lang w:eastAsia="de-DE"/>
        </w:rPr>
        <w:t>TFT</w:t>
      </w:r>
      <w:r w:rsidRPr="00437B69">
        <w:rPr>
          <w:rFonts w:ascii="Times New Roman" w:eastAsia="Times New Roman" w:hAnsi="Times New Roman" w:cs="Times New Roman"/>
          <w:color w:val="000000"/>
          <w:sz w:val="20"/>
          <w:lang w:eastAsia="de-DE"/>
        </w:rPr>
        <w:t xml:space="preserve"> models enable an accurate representation</w:t>
      </w:r>
      <w:r>
        <w:rPr>
          <w:rFonts w:ascii="Times New Roman" w:eastAsia="Times New Roman" w:hAnsi="Times New Roman" w:cs="Times New Roman"/>
          <w:color w:val="000000"/>
          <w:sz w:val="20"/>
          <w:lang w:eastAsia="de-DE"/>
        </w:rPr>
        <w:t xml:space="preserve"> of building-side flexibility</w:t>
      </w:r>
      <w:r w:rsidRPr="00437B69">
        <w:rPr>
          <w:rFonts w:ascii="Times New Roman" w:eastAsia="Times New Roman" w:hAnsi="Times New Roman" w:cs="Times New Roman"/>
          <w:color w:val="000000"/>
          <w:sz w:val="20"/>
          <w:lang w:eastAsia="de-DE"/>
        </w:rPr>
        <w:t xml:space="preserve"> for future </w:t>
      </w:r>
      <w:r>
        <w:rPr>
          <w:rFonts w:ascii="Times New Roman" w:eastAsia="Times New Roman" w:hAnsi="Times New Roman" w:cs="Times New Roman"/>
          <w:color w:val="000000"/>
          <w:sz w:val="20"/>
          <w:lang w:eastAsia="de-DE"/>
        </w:rPr>
        <w:t>DH</w:t>
      </w:r>
      <w:r w:rsidRPr="00437B69">
        <w:rPr>
          <w:rFonts w:ascii="Times New Roman" w:eastAsia="Times New Roman" w:hAnsi="Times New Roman" w:cs="Times New Roman"/>
          <w:color w:val="000000"/>
          <w:sz w:val="20"/>
          <w:lang w:eastAsia="de-DE"/>
        </w:rPr>
        <w:t xml:space="preserve"> simulation and optimization.</w:t>
      </w:r>
    </w:p>
    <w:p w14:paraId="16BF3F94" w14:textId="77777777" w:rsidR="00FF35A1" w:rsidRPr="00FF35A1" w:rsidRDefault="00FF35A1" w:rsidP="00FF35A1">
      <w:pPr>
        <w:widowControl w:val="0"/>
        <w:pBdr>
          <w:bottom w:val="single" w:sz="6" w:space="1" w:color="auto"/>
        </w:pBdr>
        <w:spacing w:after="120" w:line="276" w:lineRule="auto"/>
        <w:jc w:val="both"/>
        <w:rPr>
          <w:rFonts w:ascii="Times New Roman" w:eastAsia="Times New Roman" w:hAnsi="Times New Roman" w:cs="Times New Roman"/>
          <w:i/>
          <w:iCs/>
          <w:color w:val="000000"/>
          <w:sz w:val="20"/>
          <w:lang w:eastAsia="de-DE"/>
        </w:rPr>
      </w:pPr>
      <w:r w:rsidRPr="00FF35A1">
        <w:rPr>
          <w:rFonts w:ascii="Times New Roman" w:eastAsia="Times New Roman" w:hAnsi="Times New Roman" w:cs="Times New Roman"/>
          <w:i/>
          <w:iCs/>
          <w:color w:val="000000"/>
          <w:sz w:val="20"/>
          <w:lang w:eastAsia="de-DE"/>
        </w:rPr>
        <w:t>Keywords: district heating, decentralized buffer storage, thermal load peak shaving, neural network</w:t>
      </w:r>
    </w:p>
    <w:p w14:paraId="41F6CDC2" w14:textId="77777777" w:rsidR="00FF35A1" w:rsidRPr="00FF35A1" w:rsidRDefault="00FF35A1" w:rsidP="00FF35A1">
      <w:pPr>
        <w:widowControl w:val="0"/>
        <w:pBdr>
          <w:bottom w:val="single" w:sz="6" w:space="1" w:color="auto"/>
        </w:pBdr>
        <w:spacing w:after="120" w:line="276" w:lineRule="auto"/>
        <w:jc w:val="both"/>
        <w:rPr>
          <w:rFonts w:ascii="Times New Roman" w:eastAsia="Times New Roman" w:hAnsi="Times New Roman" w:cs="Times New Roman"/>
          <w:i/>
          <w:iCs/>
          <w:color w:val="000000"/>
          <w:sz w:val="20"/>
          <w:lang w:eastAsia="de-DE"/>
        </w:rPr>
      </w:pPr>
      <w:r w:rsidRPr="00FF35A1">
        <w:rPr>
          <w:rFonts w:ascii="Times New Roman" w:eastAsia="Times New Roman" w:hAnsi="Times New Roman" w:cs="Times New Roman"/>
          <w:i/>
          <w:iCs/>
          <w:color w:val="000000"/>
          <w:sz w:val="20"/>
          <w:lang w:eastAsia="de-DE"/>
        </w:rPr>
        <w:t>Field of application for the findings: district heating operation</w:t>
      </w:r>
    </w:p>
    <w:p w14:paraId="416C2E0D" w14:textId="31CC5B86" w:rsidR="00FF35A1" w:rsidRPr="00FF35A1" w:rsidRDefault="00FF35A1" w:rsidP="00FF35A1">
      <w:pPr>
        <w:widowControl w:val="0"/>
        <w:pBdr>
          <w:bottom w:val="single" w:sz="6" w:space="1" w:color="auto"/>
        </w:pBdr>
        <w:spacing w:after="120" w:line="276" w:lineRule="auto"/>
        <w:jc w:val="both"/>
        <w:rPr>
          <w:rFonts w:ascii="Times New Roman" w:eastAsia="Times New Roman" w:hAnsi="Times New Roman" w:cs="Times New Roman"/>
          <w:color w:val="000000"/>
          <w:sz w:val="20"/>
          <w:lang w:eastAsia="de-DE"/>
        </w:rPr>
      </w:pPr>
      <w:r w:rsidRPr="00FF35A1">
        <w:rPr>
          <w:rFonts w:ascii="Times New Roman" w:eastAsia="Times New Roman" w:hAnsi="Times New Roman" w:cs="Times New Roman"/>
          <w:i/>
          <w:iCs/>
          <w:color w:val="000000"/>
          <w:sz w:val="20"/>
          <w:lang w:eastAsia="de-DE"/>
        </w:rPr>
        <w:t>Addressed audience: researchers</w:t>
      </w:r>
    </w:p>
    <w:p w14:paraId="43C0E8CD" w14:textId="19C78518" w:rsidR="00752960" w:rsidRDefault="00D172D6" w:rsidP="00103A49">
      <w:pPr>
        <w:pStyle w:val="SWCHeading1"/>
        <w:numPr>
          <w:ilvl w:val="0"/>
          <w:numId w:val="1"/>
        </w:numPr>
        <w:tabs>
          <w:tab w:val="num" w:pos="720"/>
        </w:tabs>
        <w:ind w:left="714" w:hanging="357"/>
      </w:pPr>
      <w:r>
        <w:t>Introduction</w:t>
      </w:r>
    </w:p>
    <w:p w14:paraId="44A54C67" w14:textId="71A7BBC7" w:rsidR="00040FCC" w:rsidRPr="008119E0" w:rsidRDefault="00040FCC" w:rsidP="00040FCC">
      <w:pPr>
        <w:jc w:val="both"/>
        <w:rPr>
          <w:rFonts w:ascii="Times New Roman" w:eastAsia="Times New Roman" w:hAnsi="Times New Roman" w:cs="Times New Roman"/>
          <w:color w:val="000000"/>
          <w:sz w:val="20"/>
          <w:szCs w:val="20"/>
          <w:lang w:eastAsia="de-DE"/>
        </w:rPr>
      </w:pPr>
      <w:r w:rsidRPr="00103A49">
        <w:rPr>
          <w:rFonts w:ascii="Times New Roman" w:eastAsia="Times New Roman" w:hAnsi="Times New Roman" w:cs="Times New Roman"/>
          <w:color w:val="000000"/>
          <w:sz w:val="20"/>
          <w:lang w:eastAsia="de-DE"/>
        </w:rPr>
        <w:t xml:space="preserve">District heating (DH) networks </w:t>
      </w:r>
      <w:r w:rsidR="00BA60B6" w:rsidRPr="00103A49">
        <w:rPr>
          <w:rFonts w:ascii="Times New Roman" w:eastAsia="Times New Roman" w:hAnsi="Times New Roman" w:cs="Times New Roman"/>
          <w:color w:val="000000"/>
          <w:sz w:val="20"/>
          <w:lang w:eastAsia="de-DE"/>
        </w:rPr>
        <w:t>can become</w:t>
      </w:r>
      <w:r w:rsidRPr="00103A49">
        <w:rPr>
          <w:rFonts w:ascii="Times New Roman" w:eastAsia="Times New Roman" w:hAnsi="Times New Roman" w:cs="Times New Roman"/>
          <w:color w:val="000000"/>
          <w:sz w:val="20"/>
          <w:lang w:eastAsia="de-DE"/>
        </w:rPr>
        <w:t xml:space="preserve"> a key infrastructure for the transition towards renewable heat supply</w:t>
      </w:r>
      <w:r w:rsidR="00BA60B6" w:rsidRPr="00103A49">
        <w:rPr>
          <w:rFonts w:ascii="Times New Roman" w:eastAsia="Times New Roman" w:hAnsi="Times New Roman" w:cs="Times New Roman"/>
          <w:color w:val="000000"/>
          <w:sz w:val="20"/>
          <w:lang w:eastAsia="de-DE"/>
        </w:rPr>
        <w:t>, especially in dense urban areas, because it can integrate different renewable heat sources and provide an interface to coordinate supply and demand</w:t>
      </w:r>
      <w:r w:rsidRPr="00103A49">
        <w:rPr>
          <w:rFonts w:ascii="Times New Roman" w:eastAsia="Times New Roman" w:hAnsi="Times New Roman" w:cs="Times New Roman"/>
          <w:color w:val="000000"/>
          <w:sz w:val="20"/>
          <w:lang w:eastAsia="de-DE"/>
        </w:rPr>
        <w:t xml:space="preserve">. Renewable heat sources such as PV-driven heat pumps and industrial waste heat have limited programmability and are therefore not well suited to cover short-term load peaks directly, which are still often supplied by gas </w:t>
      </w:r>
      <w:r w:rsidRPr="008119E0">
        <w:rPr>
          <w:rFonts w:ascii="Times New Roman" w:eastAsia="Times New Roman" w:hAnsi="Times New Roman" w:cs="Times New Roman"/>
          <w:color w:val="000000"/>
          <w:sz w:val="20"/>
          <w:szCs w:val="20"/>
          <w:lang w:eastAsia="de-DE"/>
        </w:rPr>
        <w:t>boilers</w:t>
      </w:r>
      <w:r w:rsidR="001C49D1" w:rsidRPr="008119E0">
        <w:rPr>
          <w:rFonts w:ascii="Times New Roman" w:eastAsia="Times New Roman" w:hAnsi="Times New Roman" w:cs="Times New Roman"/>
          <w:color w:val="000000"/>
          <w:sz w:val="20"/>
          <w:szCs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1444419f-8710-8153-7617-fdbe037a7a7b"/>
          <w:id w:val="-765005389"/>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}</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(Moser et al., 2026)</w:t>
          </w:r>
          <w:r w:rsidR="00A557D0" w:rsidRPr="005E742B">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xml:space="preserve">. Consequently, the transition towards renewable DH requires the exploitation of operational flexibility to align temporal mismatches between heat supply and heat demand. </w:t>
      </w:r>
    </w:p>
    <w:p w14:paraId="78078FCB" w14:textId="479CB115" w:rsidR="00040FCC" w:rsidRPr="008119E0" w:rsidRDefault="00040FCC" w:rsidP="00040FCC">
      <w:pPr>
        <w:jc w:val="both"/>
        <w:rPr>
          <w:rFonts w:ascii="Times New Roman" w:eastAsia="Times New Roman" w:hAnsi="Times New Roman" w:cs="Times New Roman"/>
          <w:color w:val="000000"/>
          <w:sz w:val="20"/>
          <w:szCs w:val="20"/>
          <w:lang w:eastAsia="de-DE"/>
        </w:rPr>
      </w:pPr>
      <w:r w:rsidRPr="008119E0">
        <w:rPr>
          <w:rFonts w:ascii="Times New Roman" w:eastAsia="Times New Roman" w:hAnsi="Times New Roman" w:cs="Times New Roman"/>
          <w:color w:val="000000"/>
          <w:sz w:val="20"/>
          <w:szCs w:val="20"/>
          <w:lang w:eastAsia="de-DE"/>
        </w:rPr>
        <w:t xml:space="preserve">The consumer side can contribute substantially to </w:t>
      </w:r>
      <w:r w:rsidR="00A41AF1" w:rsidRPr="008119E0">
        <w:rPr>
          <w:rFonts w:ascii="Times New Roman" w:eastAsia="Times New Roman" w:hAnsi="Times New Roman" w:cs="Times New Roman"/>
          <w:color w:val="000000"/>
          <w:sz w:val="20"/>
          <w:szCs w:val="20"/>
          <w:lang w:eastAsia="de-DE"/>
        </w:rPr>
        <w:t xml:space="preserve">transforming to </w:t>
      </w:r>
      <w:r w:rsidRPr="008119E0">
        <w:rPr>
          <w:rFonts w:ascii="Times New Roman" w:eastAsia="Times New Roman" w:hAnsi="Times New Roman" w:cs="Times New Roman"/>
          <w:color w:val="000000"/>
          <w:sz w:val="20"/>
          <w:szCs w:val="20"/>
          <w:lang w:eastAsia="de-DE"/>
        </w:rPr>
        <w:t xml:space="preserve">renewable DH operation. </w:t>
      </w:r>
      <w:r w:rsidR="00C41423" w:rsidRPr="008119E0">
        <w:rPr>
          <w:rFonts w:ascii="Times New Roman" w:eastAsia="Times New Roman" w:hAnsi="Times New Roman" w:cs="Times New Roman"/>
          <w:color w:val="000000"/>
          <w:sz w:val="20"/>
          <w:szCs w:val="20"/>
          <w:lang w:eastAsia="de-DE"/>
        </w:rPr>
        <w:t xml:space="preserve">There are several options of consumer-side flexibility, which were assessed in literature </w:t>
      </w:r>
      <w:sdt>
        <w:sdtPr>
          <w:rPr>
            <w:rFonts w:ascii="Times New Roman" w:eastAsia="Times New Roman" w:hAnsi="Times New Roman" w:cs="Times New Roman"/>
            <w:color w:val="000000"/>
            <w:sz w:val="20"/>
            <w:szCs w:val="20"/>
            <w:lang w:eastAsia="de-DE"/>
          </w:rPr>
          <w:alias w:val="To edit, see citavi.com/edit"/>
          <w:tag w:val="CitaviPlaceholder#fc230968-fc69-31c7-8962-5f264a0b6907"/>
          <w:id w:val="-794833932"/>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}</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(Guo et al., 2024)</w:t>
          </w:r>
          <w:r w:rsidR="00A557D0" w:rsidRPr="005E742B">
            <w:rPr>
              <w:rFonts w:ascii="Times New Roman" w:hAnsi="Times New Roman" w:cs="Times New Roman"/>
              <w:color w:val="000000"/>
              <w:sz w:val="20"/>
              <w:szCs w:val="20"/>
            </w:rPr>
            <w:fldChar w:fldCharType="end"/>
          </w:r>
        </w:sdtContent>
      </w:sdt>
      <w:r w:rsidR="00C41423" w:rsidRPr="008119E0">
        <w:rPr>
          <w:rFonts w:ascii="Times New Roman" w:eastAsia="Times New Roman" w:hAnsi="Times New Roman" w:cs="Times New Roman"/>
          <w:color w:val="000000"/>
          <w:sz w:val="20"/>
          <w:szCs w:val="20"/>
          <w:lang w:eastAsia="de-DE"/>
        </w:rPr>
        <w:t xml:space="preserve">. </w:t>
      </w:r>
      <w:r w:rsidRPr="008119E0">
        <w:rPr>
          <w:rFonts w:ascii="Times New Roman" w:eastAsia="Times New Roman" w:hAnsi="Times New Roman" w:cs="Times New Roman"/>
          <w:color w:val="000000"/>
          <w:sz w:val="20"/>
          <w:szCs w:val="20"/>
          <w:lang w:eastAsia="de-DE"/>
        </w:rPr>
        <w:t xml:space="preserve">Consumer-side flexibility can be provided by </w:t>
      </w:r>
      <w:r w:rsidR="001C6A24" w:rsidRPr="008119E0">
        <w:rPr>
          <w:rFonts w:ascii="Times New Roman" w:eastAsia="Times New Roman" w:hAnsi="Times New Roman" w:cs="Times New Roman"/>
          <w:color w:val="000000"/>
          <w:sz w:val="20"/>
          <w:szCs w:val="20"/>
          <w:lang w:eastAsia="de-DE"/>
        </w:rPr>
        <w:t xml:space="preserve">using </w:t>
      </w:r>
      <w:r w:rsidRPr="008119E0">
        <w:rPr>
          <w:rFonts w:ascii="Times New Roman" w:eastAsia="Times New Roman" w:hAnsi="Times New Roman" w:cs="Times New Roman"/>
          <w:color w:val="000000"/>
          <w:sz w:val="20"/>
          <w:szCs w:val="20"/>
          <w:lang w:eastAsia="de-DE"/>
        </w:rPr>
        <w:t>thermal mass</w:t>
      </w:r>
      <w:r w:rsidR="001C6A24" w:rsidRPr="008119E0">
        <w:rPr>
          <w:rFonts w:ascii="Times New Roman" w:eastAsia="Times New Roman" w:hAnsi="Times New Roman" w:cs="Times New Roman"/>
          <w:color w:val="000000"/>
          <w:sz w:val="20"/>
          <w:szCs w:val="20"/>
          <w:lang w:eastAsia="de-DE"/>
        </w:rPr>
        <w:t xml:space="preserve"> of buildings</w:t>
      </w:r>
      <w:r w:rsidR="00C41423" w:rsidRPr="008119E0">
        <w:rPr>
          <w:rFonts w:ascii="Times New Roman" w:eastAsia="Times New Roman" w:hAnsi="Times New Roman" w:cs="Times New Roman"/>
          <w:color w:val="000000"/>
          <w:sz w:val="20"/>
          <w:szCs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e3e0dbe7-64b6-6959-603c-471f0bb40890"/>
          <w:id w:val="1271050024"/>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}</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(Olsthoorn et al., 2017)</w:t>
          </w:r>
          <w:r w:rsidR="00A557D0" w:rsidRPr="005E742B">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adapted heating schedules</w:t>
      </w:r>
      <w:r w:rsidR="00C41423" w:rsidRPr="008119E0">
        <w:rPr>
          <w:rFonts w:ascii="Times New Roman" w:eastAsia="Times New Roman" w:hAnsi="Times New Roman" w:cs="Times New Roman"/>
          <w:color w:val="000000"/>
          <w:sz w:val="20"/>
          <w:szCs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1f94922a-1409-e6ef-db79-d5e6a6a3688c"/>
          <w:id w:val="-1253273938"/>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}</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(Karasu et al., 2024)</w:t>
          </w:r>
          <w:r w:rsidR="00A557D0" w:rsidRPr="005E742B">
            <w:rPr>
              <w:rFonts w:ascii="Times New Roman" w:hAnsi="Times New Roman" w:cs="Times New Roman"/>
              <w:color w:val="000000"/>
              <w:sz w:val="20"/>
              <w:szCs w:val="20"/>
            </w:rPr>
            <w:fldChar w:fldCharType="end"/>
          </w:r>
        </w:sdtContent>
      </w:sdt>
      <w:r w:rsidR="00C41423" w:rsidRPr="008119E0">
        <w:rPr>
          <w:rFonts w:ascii="Times New Roman" w:eastAsia="Times New Roman" w:hAnsi="Times New Roman" w:cs="Times New Roman"/>
          <w:color w:val="000000"/>
          <w:sz w:val="20"/>
          <w:szCs w:val="20"/>
          <w:lang w:eastAsia="de-DE"/>
        </w:rPr>
        <w:t xml:space="preserve">, demand response </w:t>
      </w:r>
      <w:sdt>
        <w:sdtPr>
          <w:rPr>
            <w:rFonts w:ascii="Times New Roman" w:eastAsia="Times New Roman" w:hAnsi="Times New Roman" w:cs="Times New Roman"/>
            <w:color w:val="000000"/>
            <w:sz w:val="20"/>
            <w:szCs w:val="20"/>
            <w:lang w:eastAsia="de-DE"/>
          </w:rPr>
          <w:alias w:val="To edit, see citavi.com/edit"/>
          <w:tag w:val="CitaviPlaceholder#49d1d9af-3ed2-7a7e-59e3-476a7a0970f7"/>
          <w:id w:val="770521054"/>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}</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(Knudsen et al., 2025)</w:t>
          </w:r>
          <w:r w:rsidR="00A557D0" w:rsidRPr="005E742B">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or decentralized thermal storage. Among these options, decentralized buffer storages are especially interesting because they are already present in many building installations and can decouple heat consumption from heat supply over short time periods. Such storages enable peak shaving and inter-hour or inter-day load shifting without compromising thermal comfort. However, many buffer storages are charged by simple step-wise pump control logics, which can create artificial load peaks that are larger than the actual heat demand peaks. Suitable charging control logic can therefore transform decentralized storage from a passive hydraulic component into an active flexibility resource.</w:t>
      </w:r>
    </w:p>
    <w:p w14:paraId="784684CE" w14:textId="511C3057" w:rsidR="00040FCC" w:rsidRPr="008119E0" w:rsidRDefault="00040FCC" w:rsidP="00040FCC">
      <w:pPr>
        <w:jc w:val="both"/>
        <w:rPr>
          <w:rFonts w:ascii="Times New Roman" w:eastAsia="Times New Roman" w:hAnsi="Times New Roman" w:cs="Times New Roman"/>
          <w:color w:val="000000"/>
          <w:sz w:val="20"/>
          <w:szCs w:val="20"/>
          <w:lang w:eastAsia="de-DE"/>
        </w:rPr>
      </w:pPr>
      <w:r w:rsidRPr="008119E0">
        <w:rPr>
          <w:rFonts w:ascii="Times New Roman" w:eastAsia="Times New Roman" w:hAnsi="Times New Roman" w:cs="Times New Roman"/>
          <w:color w:val="000000"/>
          <w:sz w:val="20"/>
          <w:szCs w:val="20"/>
          <w:lang w:eastAsia="de-DE"/>
        </w:rPr>
        <w:t xml:space="preserve">Previous work has shown that this flexibility potential can be substantial. In a multi-residential building setup with a decentralized buffer storage, a conventional step-wise charging strategy led to distinct recurring power </w:t>
      </w:r>
      <w:r w:rsidRPr="008119E0">
        <w:rPr>
          <w:rFonts w:ascii="Times New Roman" w:eastAsia="Times New Roman" w:hAnsi="Times New Roman" w:cs="Times New Roman"/>
          <w:color w:val="000000"/>
          <w:sz w:val="20"/>
          <w:szCs w:val="20"/>
          <w:lang w:eastAsia="de-DE"/>
        </w:rPr>
        <w:lastRenderedPageBreak/>
        <w:t>peaks at the DH substation</w:t>
      </w:r>
      <w:r w:rsidR="00C41423" w:rsidRPr="008119E0">
        <w:rPr>
          <w:rFonts w:ascii="Times New Roman" w:eastAsia="Times New Roman" w:hAnsi="Times New Roman" w:cs="Times New Roman"/>
          <w:color w:val="000000"/>
          <w:sz w:val="20"/>
          <w:szCs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091a4c39-b558-ea77-52b5-f33903165eb8"/>
          <w:id w:val="-598102516"/>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}</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(Forndran et al., 2026)</w:t>
          </w:r>
          <w:r w:rsidR="00A557D0" w:rsidRPr="005E742B">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A peak-shaving charging strategy reduced these short-term peaks by adapting the charging process instead of switching the loading pump only according to fixed temperature thresholds</w:t>
      </w:r>
      <w:r w:rsidR="00A41AF1" w:rsidRPr="008119E0">
        <w:rPr>
          <w:rFonts w:ascii="Times New Roman" w:eastAsia="Times New Roman" w:hAnsi="Times New Roman" w:cs="Times New Roman"/>
          <w:color w:val="000000"/>
          <w:sz w:val="20"/>
          <w:szCs w:val="20"/>
          <w:lang w:eastAsia="de-DE"/>
        </w:rPr>
        <w:t xml:space="preserve"> by 53.3%</w:t>
      </w:r>
      <w:r w:rsidR="00C41423" w:rsidRPr="008119E0">
        <w:rPr>
          <w:rFonts w:ascii="Times New Roman" w:eastAsia="Times New Roman" w:hAnsi="Times New Roman" w:cs="Times New Roman"/>
          <w:color w:val="000000"/>
          <w:sz w:val="20"/>
          <w:szCs w:val="20"/>
          <w:lang w:eastAsia="de-DE"/>
        </w:rPr>
        <w:t xml:space="preserve">. </w:t>
      </w:r>
      <w:r w:rsidRPr="008119E0">
        <w:rPr>
          <w:rFonts w:ascii="Times New Roman" w:eastAsia="Times New Roman" w:hAnsi="Times New Roman" w:cs="Times New Roman"/>
          <w:color w:val="000000"/>
          <w:sz w:val="20"/>
          <w:szCs w:val="20"/>
          <w:lang w:eastAsia="de-DE"/>
        </w:rPr>
        <w:t>Nevertheless, th</w:t>
      </w:r>
      <w:r w:rsidR="007D3BAD" w:rsidRPr="008119E0">
        <w:rPr>
          <w:rFonts w:ascii="Times New Roman" w:eastAsia="Times New Roman" w:hAnsi="Times New Roman" w:cs="Times New Roman"/>
          <w:color w:val="000000"/>
          <w:sz w:val="20"/>
          <w:szCs w:val="20"/>
          <w:lang w:eastAsia="de-DE"/>
        </w:rPr>
        <w:t xml:space="preserve">is work does only cover one specific hydraulic configuration of SH and DHW supply. </w:t>
      </w:r>
      <w:r w:rsidRPr="008119E0">
        <w:rPr>
          <w:rFonts w:ascii="Times New Roman" w:eastAsia="Times New Roman" w:hAnsi="Times New Roman" w:cs="Times New Roman"/>
          <w:color w:val="000000"/>
          <w:sz w:val="20"/>
          <w:szCs w:val="20"/>
          <w:lang w:eastAsia="de-DE"/>
        </w:rPr>
        <w:t>Multi-unit residential buildings</w:t>
      </w:r>
      <w:r w:rsidR="007D3BAD" w:rsidRPr="008119E0">
        <w:rPr>
          <w:rFonts w:ascii="Times New Roman" w:eastAsia="Times New Roman" w:hAnsi="Times New Roman" w:cs="Times New Roman"/>
          <w:color w:val="000000"/>
          <w:sz w:val="20"/>
          <w:szCs w:val="20"/>
          <w:lang w:eastAsia="de-DE"/>
        </w:rPr>
        <w:t xml:space="preserve"> can differ in their hydraulic configurations</w:t>
      </w:r>
      <w:r w:rsidRPr="008119E0">
        <w:rPr>
          <w:rFonts w:ascii="Times New Roman" w:eastAsia="Times New Roman" w:hAnsi="Times New Roman" w:cs="Times New Roman"/>
          <w:color w:val="000000"/>
          <w:sz w:val="20"/>
          <w:szCs w:val="20"/>
          <w:lang w:eastAsia="de-DE"/>
        </w:rPr>
        <w:t xml:space="preserve">. In systems with a </w:t>
      </w:r>
      <w:r w:rsidR="007D3BAD" w:rsidRPr="008119E0">
        <w:rPr>
          <w:rFonts w:ascii="Times New Roman" w:eastAsia="Times New Roman" w:hAnsi="Times New Roman" w:cs="Times New Roman"/>
          <w:color w:val="000000"/>
          <w:sz w:val="20"/>
          <w:szCs w:val="20"/>
          <w:lang w:eastAsia="de-DE"/>
        </w:rPr>
        <w:t>DHW</w:t>
      </w:r>
      <w:r w:rsidRPr="008119E0">
        <w:rPr>
          <w:rFonts w:ascii="Times New Roman" w:eastAsia="Times New Roman" w:hAnsi="Times New Roman" w:cs="Times New Roman"/>
          <w:color w:val="000000"/>
          <w:sz w:val="20"/>
          <w:szCs w:val="20"/>
          <w:lang w:eastAsia="de-DE"/>
        </w:rPr>
        <w:t xml:space="preserve"> storage tank, part</w:t>
      </w:r>
      <w:r w:rsidR="000B1E20" w:rsidRPr="00A3303D">
        <w:rPr>
          <w:rFonts w:ascii="Times New Roman" w:eastAsia="Times New Roman" w:hAnsi="Times New Roman" w:cs="Times New Roman"/>
          <w:color w:val="000000"/>
          <w:sz w:val="20"/>
          <w:szCs w:val="20"/>
          <w:lang w:eastAsia="de-DE"/>
        </w:rPr>
        <w:t>s</w:t>
      </w:r>
      <w:r w:rsidRPr="008119E0">
        <w:rPr>
          <w:rFonts w:ascii="Times New Roman" w:eastAsia="Times New Roman" w:hAnsi="Times New Roman" w:cs="Times New Roman"/>
          <w:color w:val="000000"/>
          <w:sz w:val="20"/>
          <w:szCs w:val="20"/>
          <w:lang w:eastAsia="de-DE"/>
        </w:rPr>
        <w:t xml:space="preserve"> of the </w:t>
      </w:r>
      <w:r w:rsidR="007D3BAD" w:rsidRPr="008119E0">
        <w:rPr>
          <w:rFonts w:ascii="Times New Roman" w:eastAsia="Times New Roman" w:hAnsi="Times New Roman" w:cs="Times New Roman"/>
          <w:color w:val="000000"/>
          <w:sz w:val="20"/>
          <w:szCs w:val="20"/>
          <w:lang w:eastAsia="de-DE"/>
        </w:rPr>
        <w:t xml:space="preserve">DHW consumption peaks are already </w:t>
      </w:r>
      <w:r w:rsidRPr="008119E0">
        <w:rPr>
          <w:rFonts w:ascii="Times New Roman" w:eastAsia="Times New Roman" w:hAnsi="Times New Roman" w:cs="Times New Roman"/>
          <w:color w:val="000000"/>
          <w:sz w:val="20"/>
          <w:szCs w:val="20"/>
          <w:lang w:eastAsia="de-DE"/>
        </w:rPr>
        <w:t xml:space="preserve">buffered before it affects the </w:t>
      </w:r>
      <w:r w:rsidR="007D3BAD" w:rsidRPr="008119E0">
        <w:rPr>
          <w:rFonts w:ascii="Times New Roman" w:eastAsia="Times New Roman" w:hAnsi="Times New Roman" w:cs="Times New Roman"/>
          <w:color w:val="000000"/>
          <w:sz w:val="20"/>
          <w:szCs w:val="20"/>
          <w:lang w:eastAsia="de-DE"/>
        </w:rPr>
        <w:t>DH</w:t>
      </w:r>
      <w:r w:rsidRPr="008119E0">
        <w:rPr>
          <w:rFonts w:ascii="Times New Roman" w:eastAsia="Times New Roman" w:hAnsi="Times New Roman" w:cs="Times New Roman"/>
          <w:color w:val="000000"/>
          <w:sz w:val="20"/>
          <w:szCs w:val="20"/>
          <w:lang w:eastAsia="de-DE"/>
        </w:rPr>
        <w:t xml:space="preserve"> substation. In contrast, systems with a centralized fresh water unit</w:t>
      </w:r>
      <w:r w:rsidR="00AF00A8" w:rsidRPr="008119E0">
        <w:rPr>
          <w:rFonts w:ascii="Times New Roman" w:eastAsia="Times New Roman" w:hAnsi="Times New Roman" w:cs="Times New Roman"/>
          <w:color w:val="000000"/>
          <w:sz w:val="20"/>
          <w:szCs w:val="20"/>
          <w:lang w:eastAsia="de-DE"/>
        </w:rPr>
        <w:t>,</w:t>
      </w:r>
      <w:r w:rsidRPr="008119E0">
        <w:rPr>
          <w:rFonts w:ascii="Times New Roman" w:eastAsia="Times New Roman" w:hAnsi="Times New Roman" w:cs="Times New Roman"/>
          <w:color w:val="000000"/>
          <w:sz w:val="20"/>
          <w:szCs w:val="20"/>
          <w:lang w:eastAsia="de-DE"/>
        </w:rPr>
        <w:t xml:space="preserve"> </w:t>
      </w:r>
      <w:r w:rsidR="00AF00A8" w:rsidRPr="008119E0">
        <w:rPr>
          <w:rFonts w:ascii="Times New Roman" w:eastAsia="Times New Roman" w:hAnsi="Times New Roman" w:cs="Times New Roman"/>
          <w:color w:val="000000"/>
          <w:sz w:val="20"/>
          <w:szCs w:val="20"/>
          <w:lang w:eastAsia="de-DE"/>
        </w:rPr>
        <w:t>DHW</w:t>
      </w:r>
      <w:r w:rsidRPr="008119E0">
        <w:rPr>
          <w:rFonts w:ascii="Times New Roman" w:eastAsia="Times New Roman" w:hAnsi="Times New Roman" w:cs="Times New Roman"/>
          <w:color w:val="000000"/>
          <w:sz w:val="20"/>
          <w:szCs w:val="20"/>
          <w:lang w:eastAsia="de-DE"/>
        </w:rPr>
        <w:t xml:space="preserve"> peaks can have a more direct influence on the substation power profile. Although both concepts can satisfy the same </w:t>
      </w:r>
      <w:r w:rsidR="00AF00A8" w:rsidRPr="008119E0">
        <w:rPr>
          <w:rFonts w:ascii="Times New Roman" w:eastAsia="Times New Roman" w:hAnsi="Times New Roman" w:cs="Times New Roman"/>
          <w:color w:val="000000"/>
          <w:sz w:val="20"/>
          <w:szCs w:val="20"/>
          <w:lang w:eastAsia="de-DE"/>
        </w:rPr>
        <w:t>SH</w:t>
      </w:r>
      <w:r w:rsidRPr="008119E0">
        <w:rPr>
          <w:rFonts w:ascii="Times New Roman" w:eastAsia="Times New Roman" w:hAnsi="Times New Roman" w:cs="Times New Roman"/>
          <w:color w:val="000000"/>
          <w:sz w:val="20"/>
          <w:szCs w:val="20"/>
          <w:lang w:eastAsia="de-DE"/>
        </w:rPr>
        <w:t xml:space="preserve"> and </w:t>
      </w:r>
      <w:r w:rsidR="00AF00A8" w:rsidRPr="008119E0">
        <w:rPr>
          <w:rFonts w:ascii="Times New Roman" w:eastAsia="Times New Roman" w:hAnsi="Times New Roman" w:cs="Times New Roman"/>
          <w:color w:val="000000"/>
          <w:sz w:val="20"/>
          <w:szCs w:val="20"/>
          <w:lang w:eastAsia="de-DE"/>
        </w:rPr>
        <w:t>DHW</w:t>
      </w:r>
      <w:r w:rsidRPr="008119E0">
        <w:rPr>
          <w:rFonts w:ascii="Times New Roman" w:eastAsia="Times New Roman" w:hAnsi="Times New Roman" w:cs="Times New Roman"/>
          <w:color w:val="000000"/>
          <w:sz w:val="20"/>
          <w:szCs w:val="20"/>
          <w:lang w:eastAsia="de-DE"/>
        </w:rPr>
        <w:t xml:space="preserve"> demands, their thermal power and return temperature profiles at the </w:t>
      </w:r>
      <w:r w:rsidR="00AF00A8" w:rsidRPr="008119E0">
        <w:rPr>
          <w:rFonts w:ascii="Times New Roman" w:eastAsia="Times New Roman" w:hAnsi="Times New Roman" w:cs="Times New Roman"/>
          <w:color w:val="000000"/>
          <w:sz w:val="20"/>
          <w:szCs w:val="20"/>
          <w:lang w:eastAsia="de-DE"/>
        </w:rPr>
        <w:t>DH</w:t>
      </w:r>
      <w:r w:rsidRPr="008119E0">
        <w:rPr>
          <w:rFonts w:ascii="Times New Roman" w:eastAsia="Times New Roman" w:hAnsi="Times New Roman" w:cs="Times New Roman"/>
          <w:color w:val="000000"/>
          <w:sz w:val="20"/>
          <w:szCs w:val="20"/>
          <w:lang w:eastAsia="de-DE"/>
        </w:rPr>
        <w:t xml:space="preserve"> substation</w:t>
      </w:r>
      <w:r w:rsidR="00AF00A8" w:rsidRPr="008119E0">
        <w:rPr>
          <w:rFonts w:ascii="Times New Roman" w:eastAsia="Times New Roman" w:hAnsi="Times New Roman" w:cs="Times New Roman"/>
          <w:color w:val="000000"/>
          <w:sz w:val="20"/>
          <w:szCs w:val="20"/>
          <w:lang w:eastAsia="de-DE"/>
        </w:rPr>
        <w:t xml:space="preserve"> will differ</w:t>
      </w:r>
      <w:r w:rsidRPr="008119E0">
        <w:rPr>
          <w:rFonts w:ascii="Times New Roman" w:eastAsia="Times New Roman" w:hAnsi="Times New Roman" w:cs="Times New Roman"/>
          <w:color w:val="000000"/>
          <w:sz w:val="20"/>
          <w:szCs w:val="20"/>
          <w:lang w:eastAsia="de-DE"/>
        </w:rPr>
        <w:t>. Therefore, flexibility strategies developed for one hydraulic concept cannot automatically be assumed to perform similarly in another.</w:t>
      </w:r>
    </w:p>
    <w:p w14:paraId="1BB2D576" w14:textId="3D9C3721" w:rsidR="00040FCC" w:rsidRPr="008119E0" w:rsidRDefault="00040FCC" w:rsidP="00040FCC">
      <w:pPr>
        <w:jc w:val="both"/>
        <w:rPr>
          <w:rFonts w:ascii="Times New Roman" w:eastAsia="Times New Roman" w:hAnsi="Times New Roman" w:cs="Times New Roman"/>
          <w:color w:val="000000"/>
          <w:sz w:val="20"/>
          <w:szCs w:val="20"/>
          <w:lang w:eastAsia="de-DE"/>
        </w:rPr>
      </w:pPr>
      <w:r w:rsidRPr="008119E0">
        <w:rPr>
          <w:rFonts w:ascii="Times New Roman" w:eastAsia="Times New Roman" w:hAnsi="Times New Roman" w:cs="Times New Roman"/>
          <w:color w:val="000000"/>
          <w:sz w:val="20"/>
          <w:szCs w:val="20"/>
          <w:lang w:eastAsia="de-DE"/>
        </w:rPr>
        <w:t xml:space="preserve">In addition to the physical control strategy, prediction models are required to make consumer-side flexibility usable for </w:t>
      </w:r>
      <w:r w:rsidR="000C37AC" w:rsidRPr="008119E0">
        <w:rPr>
          <w:rFonts w:ascii="Times New Roman" w:eastAsia="Times New Roman" w:hAnsi="Times New Roman" w:cs="Times New Roman"/>
          <w:color w:val="000000"/>
          <w:sz w:val="20"/>
          <w:szCs w:val="20"/>
          <w:lang w:eastAsia="de-DE"/>
        </w:rPr>
        <w:t>DH</w:t>
      </w:r>
      <w:r w:rsidRPr="008119E0">
        <w:rPr>
          <w:rFonts w:ascii="Times New Roman" w:eastAsia="Times New Roman" w:hAnsi="Times New Roman" w:cs="Times New Roman"/>
          <w:color w:val="000000"/>
          <w:sz w:val="20"/>
          <w:szCs w:val="20"/>
          <w:lang w:eastAsia="de-DE"/>
        </w:rPr>
        <w:t xml:space="preserve"> network operation. Network-level simulation and optimization require simplified</w:t>
      </w:r>
      <w:r w:rsidR="000C37AC" w:rsidRPr="008119E0">
        <w:rPr>
          <w:rFonts w:ascii="Times New Roman" w:eastAsia="Times New Roman" w:hAnsi="Times New Roman" w:cs="Times New Roman"/>
          <w:color w:val="000000"/>
          <w:sz w:val="20"/>
          <w:szCs w:val="20"/>
          <w:lang w:eastAsia="de-DE"/>
        </w:rPr>
        <w:t>,</w:t>
      </w:r>
      <w:r w:rsidRPr="008119E0">
        <w:rPr>
          <w:rFonts w:ascii="Times New Roman" w:eastAsia="Times New Roman" w:hAnsi="Times New Roman" w:cs="Times New Roman"/>
          <w:color w:val="000000"/>
          <w:sz w:val="20"/>
          <w:szCs w:val="20"/>
          <w:lang w:eastAsia="de-DE"/>
        </w:rPr>
        <w:t xml:space="preserve"> but accurate representations of how building-level heat demand is transformed into substation power and return temperature under a given control strategy. Detailed </w:t>
      </w:r>
      <w:r w:rsidR="000C37AC" w:rsidRPr="008119E0">
        <w:rPr>
          <w:rFonts w:ascii="Times New Roman" w:eastAsia="Times New Roman" w:hAnsi="Times New Roman" w:cs="Times New Roman"/>
          <w:color w:val="000000"/>
          <w:sz w:val="20"/>
          <w:szCs w:val="20"/>
          <w:lang w:eastAsia="de-DE"/>
        </w:rPr>
        <w:t xml:space="preserve">building </w:t>
      </w:r>
      <w:r w:rsidRPr="008119E0">
        <w:rPr>
          <w:rFonts w:ascii="Times New Roman" w:eastAsia="Times New Roman" w:hAnsi="Times New Roman" w:cs="Times New Roman"/>
          <w:color w:val="000000"/>
          <w:sz w:val="20"/>
          <w:szCs w:val="20"/>
          <w:lang w:eastAsia="de-DE"/>
        </w:rPr>
        <w:t xml:space="preserve">simulations are useful for analyzing hydraulic configurations and control concepts, but data-driven models enable more computationally efficient integration into </w:t>
      </w:r>
      <w:r w:rsidR="000C37AC" w:rsidRPr="008119E0">
        <w:rPr>
          <w:rFonts w:ascii="Times New Roman" w:eastAsia="Times New Roman" w:hAnsi="Times New Roman" w:cs="Times New Roman"/>
          <w:color w:val="000000"/>
          <w:sz w:val="20"/>
          <w:szCs w:val="20"/>
          <w:lang w:eastAsia="de-DE"/>
        </w:rPr>
        <w:t xml:space="preserve">DH </w:t>
      </w:r>
      <w:r w:rsidRPr="008119E0">
        <w:rPr>
          <w:rFonts w:ascii="Times New Roman" w:eastAsia="Times New Roman" w:hAnsi="Times New Roman" w:cs="Times New Roman"/>
          <w:color w:val="000000"/>
          <w:sz w:val="20"/>
          <w:szCs w:val="20"/>
          <w:lang w:eastAsia="de-DE"/>
        </w:rPr>
        <w:t>simulation</w:t>
      </w:r>
      <w:r w:rsidR="000C37AC" w:rsidRPr="008119E0">
        <w:rPr>
          <w:rFonts w:ascii="Times New Roman" w:eastAsia="Times New Roman" w:hAnsi="Times New Roman" w:cs="Times New Roman"/>
          <w:color w:val="000000"/>
          <w:sz w:val="20"/>
          <w:szCs w:val="20"/>
          <w:lang w:eastAsia="de-DE"/>
        </w:rPr>
        <w:t xml:space="preserve"> tools</w:t>
      </w:r>
      <w:r w:rsidRPr="008119E0">
        <w:rPr>
          <w:rFonts w:ascii="Times New Roman" w:eastAsia="Times New Roman" w:hAnsi="Times New Roman" w:cs="Times New Roman"/>
          <w:color w:val="000000"/>
          <w:sz w:val="20"/>
          <w:szCs w:val="20"/>
          <w:lang w:eastAsia="de-DE"/>
        </w:rPr>
        <w:t xml:space="preserve">. This is particularly relevant because future </w:t>
      </w:r>
      <w:r w:rsidR="000C37AC" w:rsidRPr="008119E0">
        <w:rPr>
          <w:rFonts w:ascii="Times New Roman" w:eastAsia="Times New Roman" w:hAnsi="Times New Roman" w:cs="Times New Roman"/>
          <w:color w:val="000000"/>
          <w:sz w:val="20"/>
          <w:szCs w:val="20"/>
          <w:lang w:eastAsia="de-DE"/>
        </w:rPr>
        <w:t>DH</w:t>
      </w:r>
      <w:r w:rsidRPr="008119E0">
        <w:rPr>
          <w:rFonts w:ascii="Times New Roman" w:eastAsia="Times New Roman" w:hAnsi="Times New Roman" w:cs="Times New Roman"/>
          <w:color w:val="000000"/>
          <w:sz w:val="20"/>
          <w:szCs w:val="20"/>
          <w:lang w:eastAsia="de-DE"/>
        </w:rPr>
        <w:t xml:space="preserve"> modelling environments need to represent dynamic thermal storage behavior, demand-side flexibility, advanced control strategies, and interoperability with optimization environments </w:t>
      </w:r>
      <w:sdt>
        <w:sdtPr>
          <w:rPr>
            <w:rFonts w:ascii="Times New Roman" w:eastAsia="Times New Roman" w:hAnsi="Times New Roman" w:cs="Times New Roman"/>
            <w:color w:val="000000"/>
            <w:sz w:val="20"/>
            <w:szCs w:val="20"/>
            <w:lang w:eastAsia="de-DE"/>
          </w:rPr>
          <w:alias w:val="To edit, see citavi.com/edit"/>
          <w:tag w:val="CitaviPlaceholder#899dbb38-ab16-fc67-fd2b-130e30127262"/>
          <w:id w:val="1084262121"/>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}</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(Valentini et al., 2026)</w:t>
          </w:r>
          <w:r w:rsidR="00A557D0" w:rsidRPr="005E742B">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w:t>
      </w:r>
    </w:p>
    <w:p w14:paraId="1DDB9F1A" w14:textId="2641BD1A" w:rsidR="00040FCC" w:rsidRPr="008119E0" w:rsidRDefault="00D57F83" w:rsidP="00040FCC">
      <w:pPr>
        <w:jc w:val="both"/>
        <w:rPr>
          <w:rFonts w:ascii="Times New Roman" w:eastAsia="Times New Roman" w:hAnsi="Times New Roman" w:cs="Times New Roman"/>
          <w:color w:val="000000"/>
          <w:sz w:val="20"/>
          <w:szCs w:val="20"/>
          <w:lang w:eastAsia="de-DE"/>
        </w:rPr>
      </w:pPr>
      <w:r w:rsidRPr="008119E0">
        <w:rPr>
          <w:rFonts w:ascii="Times New Roman" w:eastAsia="Times New Roman" w:hAnsi="Times New Roman" w:cs="Times New Roman"/>
          <w:color w:val="000000"/>
          <w:sz w:val="20"/>
          <w:szCs w:val="20"/>
          <w:lang w:eastAsia="de-DE"/>
        </w:rPr>
        <w:t xml:space="preserve">Previous work investigated data-driven models, including neural network approaches, for load predictions of buildings and networks </w:t>
      </w:r>
      <w:sdt>
        <w:sdtPr>
          <w:rPr>
            <w:rFonts w:ascii="Times New Roman" w:eastAsia="Times New Roman" w:hAnsi="Times New Roman" w:cs="Times New Roman"/>
            <w:color w:val="000000"/>
            <w:sz w:val="20"/>
            <w:szCs w:val="20"/>
            <w:lang w:eastAsia="de-DE"/>
          </w:rPr>
          <w:alias w:val="To edit, see citavi.com/edit"/>
          <w:tag w:val="CitaviPlaceholder#b8af0f50-c6ec-c1e5-7094-9f8d79bbd422"/>
          <w:id w:val="-2118506216"/>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}</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(Chen et al., 2023; Hua et al., 2024)</w:t>
          </w:r>
          <w:r w:rsidR="00A557D0" w:rsidRPr="005E742B">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xml:space="preserve">. Others go beyond load prediction and use data-driven models to optimize charging of central thermal storages </w:t>
      </w:r>
      <w:r w:rsidR="00904E43" w:rsidRPr="008119E0">
        <w:rPr>
          <w:rFonts w:ascii="Times New Roman" w:eastAsia="Times New Roman" w:hAnsi="Times New Roman" w:cs="Times New Roman"/>
          <w:color w:val="000000"/>
          <w:sz w:val="20"/>
          <w:szCs w:val="20"/>
          <w:lang w:eastAsia="de-DE"/>
        </w:rPr>
        <w:t xml:space="preserve">with the goal of peak reduction </w:t>
      </w:r>
      <w:sdt>
        <w:sdtPr>
          <w:rPr>
            <w:rFonts w:ascii="Times New Roman" w:eastAsia="Times New Roman" w:hAnsi="Times New Roman" w:cs="Times New Roman"/>
            <w:color w:val="000000"/>
            <w:sz w:val="20"/>
            <w:szCs w:val="20"/>
            <w:lang w:eastAsia="de-DE"/>
          </w:rPr>
          <w:alias w:val="To edit, see citavi.com/edit"/>
          <w:tag w:val="CitaviPlaceholder#64f60f6e-45f7-be4f-a802-6f738d65bbf6"/>
          <w:id w:val="-652522068"/>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}</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(Du et al., 2025)</w:t>
          </w:r>
          <w:r w:rsidR="00A557D0" w:rsidRPr="005E742B">
            <w:rPr>
              <w:rFonts w:ascii="Times New Roman" w:hAnsi="Times New Roman" w:cs="Times New Roman"/>
              <w:color w:val="000000"/>
              <w:sz w:val="20"/>
              <w:szCs w:val="20"/>
            </w:rPr>
            <w:fldChar w:fldCharType="end"/>
          </w:r>
        </w:sdtContent>
      </w:sdt>
      <w:r w:rsidR="00904E43" w:rsidRPr="008119E0">
        <w:rPr>
          <w:rFonts w:ascii="Times New Roman" w:eastAsia="Times New Roman" w:hAnsi="Times New Roman" w:cs="Times New Roman"/>
          <w:color w:val="000000"/>
          <w:sz w:val="20"/>
          <w:szCs w:val="20"/>
          <w:lang w:eastAsia="de-DE"/>
        </w:rPr>
        <w:t>. Also, for the specific use of the resulting DH substation power profile and return temperature following a peak-shaving strategy using decentralized storages,</w:t>
      </w:r>
      <w:r w:rsidR="00040FCC" w:rsidRPr="008119E0">
        <w:rPr>
          <w:rFonts w:ascii="Times New Roman" w:eastAsia="Times New Roman" w:hAnsi="Times New Roman" w:cs="Times New Roman"/>
          <w:color w:val="000000"/>
          <w:sz w:val="20"/>
          <w:szCs w:val="20"/>
          <w:lang w:eastAsia="de-DE"/>
        </w:rPr>
        <w:t xml:space="preserve"> data-driven prediction models </w:t>
      </w:r>
      <w:r w:rsidR="00904E43" w:rsidRPr="008119E0">
        <w:rPr>
          <w:rFonts w:ascii="Times New Roman" w:eastAsia="Times New Roman" w:hAnsi="Times New Roman" w:cs="Times New Roman"/>
          <w:color w:val="000000"/>
          <w:sz w:val="20"/>
          <w:szCs w:val="20"/>
          <w:lang w:eastAsia="de-DE"/>
        </w:rPr>
        <w:t>were developed</w:t>
      </w:r>
      <w:r w:rsidR="008141BF" w:rsidRPr="008119E0">
        <w:rPr>
          <w:rFonts w:ascii="Times New Roman" w:eastAsia="Times New Roman" w:hAnsi="Times New Roman" w:cs="Times New Roman"/>
          <w:color w:val="000000"/>
          <w:sz w:val="20"/>
          <w:szCs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658b2c10-9d5e-2e25-eba5-608fa3a6f700"/>
          <w:id w:val="1135757722"/>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}</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(Forndran et al., 2026)</w:t>
          </w:r>
          <w:r w:rsidR="00A557D0" w:rsidRPr="005E742B">
            <w:rPr>
              <w:rFonts w:ascii="Times New Roman" w:hAnsi="Times New Roman" w:cs="Times New Roman"/>
              <w:color w:val="000000"/>
              <w:sz w:val="20"/>
              <w:szCs w:val="20"/>
            </w:rPr>
            <w:fldChar w:fldCharType="end"/>
          </w:r>
        </w:sdtContent>
      </w:sdt>
      <w:r w:rsidR="00040FCC" w:rsidRPr="008119E0">
        <w:rPr>
          <w:rFonts w:ascii="Times New Roman" w:eastAsia="Times New Roman" w:hAnsi="Times New Roman" w:cs="Times New Roman"/>
          <w:color w:val="000000"/>
          <w:sz w:val="20"/>
          <w:szCs w:val="20"/>
          <w:lang w:eastAsia="de-DE"/>
        </w:rPr>
        <w:t xml:space="preserve">. The models used </w:t>
      </w:r>
      <w:r w:rsidR="00540917" w:rsidRPr="008119E0">
        <w:rPr>
          <w:rFonts w:ascii="Times New Roman" w:eastAsia="Times New Roman" w:hAnsi="Times New Roman" w:cs="Times New Roman"/>
          <w:color w:val="000000"/>
          <w:sz w:val="20"/>
          <w:szCs w:val="20"/>
          <w:lang w:eastAsia="de-DE"/>
        </w:rPr>
        <w:t>SH and DHW demand as</w:t>
      </w:r>
      <w:r w:rsidR="00040FCC" w:rsidRPr="008119E0">
        <w:rPr>
          <w:rFonts w:ascii="Times New Roman" w:eastAsia="Times New Roman" w:hAnsi="Times New Roman" w:cs="Times New Roman"/>
          <w:color w:val="000000"/>
          <w:sz w:val="20"/>
          <w:szCs w:val="20"/>
          <w:lang w:eastAsia="de-DE"/>
        </w:rPr>
        <w:t xml:space="preserve"> input variables, while the </w:t>
      </w:r>
      <w:r w:rsidR="00540917" w:rsidRPr="008119E0">
        <w:rPr>
          <w:rFonts w:ascii="Times New Roman" w:eastAsia="Times New Roman" w:hAnsi="Times New Roman" w:cs="Times New Roman"/>
          <w:color w:val="000000"/>
          <w:sz w:val="20"/>
          <w:szCs w:val="20"/>
          <w:lang w:eastAsia="de-DE"/>
        </w:rPr>
        <w:t xml:space="preserve">DH </w:t>
      </w:r>
      <w:r w:rsidR="00040FCC" w:rsidRPr="008119E0">
        <w:rPr>
          <w:rFonts w:ascii="Times New Roman" w:eastAsia="Times New Roman" w:hAnsi="Times New Roman" w:cs="Times New Roman"/>
          <w:color w:val="000000"/>
          <w:sz w:val="20"/>
          <w:szCs w:val="20"/>
          <w:lang w:eastAsia="de-DE"/>
        </w:rPr>
        <w:t>substation power and secondary return temperature served as prediction target</w:t>
      </w:r>
      <w:r w:rsidR="00540917" w:rsidRPr="008119E0">
        <w:rPr>
          <w:rFonts w:ascii="Times New Roman" w:eastAsia="Times New Roman" w:hAnsi="Times New Roman" w:cs="Times New Roman"/>
          <w:color w:val="000000"/>
          <w:sz w:val="20"/>
          <w:szCs w:val="20"/>
          <w:lang w:eastAsia="de-DE"/>
        </w:rPr>
        <w:t>s</w:t>
      </w:r>
      <w:r w:rsidR="00040FCC" w:rsidRPr="008119E0">
        <w:rPr>
          <w:rFonts w:ascii="Times New Roman" w:eastAsia="Times New Roman" w:hAnsi="Times New Roman" w:cs="Times New Roman"/>
          <w:color w:val="000000"/>
          <w:sz w:val="20"/>
          <w:szCs w:val="20"/>
          <w:lang w:eastAsia="de-DE"/>
        </w:rPr>
        <w:t>. Neural network approaches, especially CNN-LSTM models, were investigated to</w:t>
      </w:r>
      <w:r w:rsidR="00540917" w:rsidRPr="008119E0">
        <w:rPr>
          <w:rFonts w:ascii="Times New Roman" w:eastAsia="Times New Roman" w:hAnsi="Times New Roman" w:cs="Times New Roman"/>
          <w:color w:val="000000"/>
          <w:sz w:val="20"/>
          <w:szCs w:val="20"/>
          <w:lang w:eastAsia="de-DE"/>
        </w:rPr>
        <w:t xml:space="preserve"> </w:t>
      </w:r>
      <w:r w:rsidR="00040FCC" w:rsidRPr="008119E0">
        <w:rPr>
          <w:rFonts w:ascii="Times New Roman" w:eastAsia="Times New Roman" w:hAnsi="Times New Roman" w:cs="Times New Roman"/>
          <w:color w:val="000000"/>
          <w:sz w:val="20"/>
          <w:szCs w:val="20"/>
          <w:lang w:eastAsia="de-DE"/>
        </w:rPr>
        <w:t>capture temporal patterns and nonlinear system behavior. The resulting models achieved high prediction accuracy for both substation power and return temperature, supporting the use of data-driven surrogate models for the representation of storage-based flexibility.</w:t>
      </w:r>
      <w:r w:rsidR="00540917" w:rsidRPr="008119E0">
        <w:rPr>
          <w:rFonts w:ascii="Times New Roman" w:eastAsia="Times New Roman" w:hAnsi="Times New Roman" w:cs="Times New Roman"/>
          <w:color w:val="000000"/>
          <w:sz w:val="20"/>
          <w:szCs w:val="20"/>
          <w:lang w:eastAsia="de-DE"/>
        </w:rPr>
        <w:t xml:space="preserve"> </w:t>
      </w:r>
    </w:p>
    <w:p w14:paraId="13789E62" w14:textId="557970A7" w:rsidR="008C25B4" w:rsidRPr="00103A49" w:rsidRDefault="00040FCC" w:rsidP="002512FE">
      <w:pPr>
        <w:jc w:val="both"/>
        <w:rPr>
          <w:rFonts w:ascii="Times New Roman" w:eastAsia="Times New Roman" w:hAnsi="Times New Roman" w:cs="Times New Roman"/>
          <w:color w:val="000000"/>
          <w:sz w:val="20"/>
          <w:lang w:eastAsia="de-DE"/>
        </w:rPr>
      </w:pPr>
      <w:r w:rsidRPr="008119E0">
        <w:rPr>
          <w:rFonts w:ascii="Times New Roman" w:eastAsia="Times New Roman" w:hAnsi="Times New Roman" w:cs="Times New Roman"/>
          <w:color w:val="000000"/>
          <w:sz w:val="20"/>
          <w:szCs w:val="20"/>
          <w:lang w:eastAsia="de-DE"/>
        </w:rPr>
        <w:t xml:space="preserve">However, several research gaps remain. First, previous analyses of decentralized buffer storage control focused mainly on peak shaving, whereas future renewable </w:t>
      </w:r>
      <w:r w:rsidR="00D03742" w:rsidRPr="008119E0">
        <w:rPr>
          <w:rFonts w:ascii="Times New Roman" w:eastAsia="Times New Roman" w:hAnsi="Times New Roman" w:cs="Times New Roman"/>
          <w:color w:val="000000"/>
          <w:sz w:val="20"/>
          <w:szCs w:val="20"/>
          <w:lang w:eastAsia="de-DE"/>
        </w:rPr>
        <w:t>DH</w:t>
      </w:r>
      <w:r w:rsidRPr="008119E0">
        <w:rPr>
          <w:rFonts w:ascii="Times New Roman" w:eastAsia="Times New Roman" w:hAnsi="Times New Roman" w:cs="Times New Roman"/>
          <w:color w:val="000000"/>
          <w:sz w:val="20"/>
          <w:szCs w:val="20"/>
          <w:lang w:eastAsia="de-DE"/>
        </w:rPr>
        <w:t xml:space="preserve"> systems also require strategies that actively redistribute thermal loads in time. Peak shifting can be used to move heat demand away from periods of high network utilization and thereby reduce the need for peak boilers. Second, existing work on storage-based control has considered one hydraulic setup, while typical multi-residential buildings may use</w:t>
      </w:r>
      <w:r w:rsidR="00D03742" w:rsidRPr="008119E0">
        <w:rPr>
          <w:rFonts w:ascii="Times New Roman" w:eastAsia="Times New Roman" w:hAnsi="Times New Roman" w:cs="Times New Roman"/>
          <w:color w:val="000000"/>
          <w:sz w:val="20"/>
          <w:szCs w:val="20"/>
          <w:lang w:eastAsia="de-DE"/>
        </w:rPr>
        <w:t xml:space="preserve"> fresh water units instead of DHW storage tanks</w:t>
      </w:r>
      <w:r w:rsidRPr="008119E0">
        <w:rPr>
          <w:rFonts w:ascii="Times New Roman" w:eastAsia="Times New Roman" w:hAnsi="Times New Roman" w:cs="Times New Roman"/>
          <w:color w:val="000000"/>
          <w:sz w:val="20"/>
          <w:szCs w:val="20"/>
          <w:lang w:eastAsia="de-DE"/>
        </w:rPr>
        <w:t xml:space="preserve">. </w:t>
      </w:r>
      <w:r w:rsidR="00D03742" w:rsidRPr="008119E0">
        <w:rPr>
          <w:rFonts w:ascii="Times New Roman" w:eastAsia="Times New Roman" w:hAnsi="Times New Roman" w:cs="Times New Roman"/>
          <w:color w:val="000000"/>
          <w:sz w:val="20"/>
          <w:szCs w:val="20"/>
          <w:lang w:eastAsia="de-DE"/>
        </w:rPr>
        <w:t>P</w:t>
      </w:r>
      <w:r w:rsidRPr="008119E0">
        <w:rPr>
          <w:rFonts w:ascii="Times New Roman" w:eastAsia="Times New Roman" w:hAnsi="Times New Roman" w:cs="Times New Roman"/>
          <w:color w:val="000000"/>
          <w:sz w:val="20"/>
          <w:szCs w:val="20"/>
          <w:lang w:eastAsia="de-DE"/>
        </w:rPr>
        <w:t>rediction models are required not only for one control strategy and one hydraulic configuration, but for different combinations of hydraulic setup and charging logic</w:t>
      </w:r>
      <w:r w:rsidR="00E77361" w:rsidRPr="008119E0">
        <w:rPr>
          <w:rFonts w:ascii="Times New Roman" w:eastAsia="Times New Roman" w:hAnsi="Times New Roman" w:cs="Times New Roman"/>
          <w:color w:val="000000"/>
          <w:sz w:val="20"/>
          <w:szCs w:val="20"/>
          <w:lang w:eastAsia="de-DE"/>
        </w:rPr>
        <w:t>,</w:t>
      </w:r>
      <w:r w:rsidRPr="008119E0">
        <w:rPr>
          <w:rFonts w:ascii="Times New Roman" w:eastAsia="Times New Roman" w:hAnsi="Times New Roman" w:cs="Times New Roman"/>
          <w:color w:val="000000"/>
          <w:sz w:val="20"/>
          <w:szCs w:val="20"/>
          <w:lang w:eastAsia="de-DE"/>
        </w:rPr>
        <w:t xml:space="preserve"> if consumer-side flexibility is to be integrated into network-level simulations and optimization tools.</w:t>
      </w:r>
      <w:r w:rsidR="00DF34C3" w:rsidRPr="008119E0">
        <w:rPr>
          <w:rFonts w:ascii="Times New Roman" w:eastAsia="Times New Roman" w:hAnsi="Times New Roman" w:cs="Times New Roman"/>
          <w:color w:val="000000"/>
          <w:sz w:val="20"/>
          <w:szCs w:val="20"/>
          <w:lang w:eastAsia="de-DE"/>
        </w:rPr>
        <w:t xml:space="preserve"> </w:t>
      </w:r>
      <w:r w:rsidRPr="008119E0">
        <w:rPr>
          <w:rFonts w:ascii="Times New Roman" w:eastAsia="Times New Roman" w:hAnsi="Times New Roman" w:cs="Times New Roman"/>
          <w:color w:val="000000"/>
          <w:sz w:val="20"/>
          <w:szCs w:val="20"/>
          <w:lang w:eastAsia="de-DE"/>
        </w:rPr>
        <w:t xml:space="preserve">Against this background, this paper investigates decentralized buffer storage control as a source of consumer-side flexibility in multi-unit residential buildings. Two typical hydraulic concepts are compared: a configuration with </w:t>
      </w:r>
      <w:r w:rsidR="006318DB" w:rsidRPr="008119E0">
        <w:rPr>
          <w:rFonts w:ascii="Times New Roman" w:eastAsia="Times New Roman" w:hAnsi="Times New Roman" w:cs="Times New Roman"/>
          <w:color w:val="000000"/>
          <w:sz w:val="20"/>
          <w:szCs w:val="20"/>
          <w:lang w:eastAsia="de-DE"/>
        </w:rPr>
        <w:t>DHW</w:t>
      </w:r>
      <w:r w:rsidRPr="008119E0">
        <w:rPr>
          <w:rFonts w:ascii="Times New Roman" w:eastAsia="Times New Roman" w:hAnsi="Times New Roman" w:cs="Times New Roman"/>
          <w:color w:val="000000"/>
          <w:sz w:val="20"/>
          <w:szCs w:val="20"/>
          <w:lang w:eastAsia="de-DE"/>
        </w:rPr>
        <w:t xml:space="preserve"> storage and a configuration with a centralized fresh water unit. For both hydraulic concepts, two charging strategies are analyzed: a peak-shaving strategy that reduces short-term thermal power peaks and a peak-shifting strategy that intentionally redistributes thermal demand over time. Furthermore, data-driven prediction models are developed to forecast the resulting thermal power and return temperature at the </w:t>
      </w:r>
      <w:r w:rsidR="006318DB" w:rsidRPr="008119E0">
        <w:rPr>
          <w:rFonts w:ascii="Times New Roman" w:eastAsia="Times New Roman" w:hAnsi="Times New Roman" w:cs="Times New Roman"/>
          <w:color w:val="000000"/>
          <w:sz w:val="20"/>
          <w:szCs w:val="20"/>
          <w:lang w:eastAsia="de-DE"/>
        </w:rPr>
        <w:t>DH</w:t>
      </w:r>
      <w:r w:rsidRPr="00103A49">
        <w:rPr>
          <w:rFonts w:ascii="Times New Roman" w:eastAsia="Times New Roman" w:hAnsi="Times New Roman" w:cs="Times New Roman"/>
          <w:color w:val="000000"/>
          <w:sz w:val="20"/>
          <w:lang w:eastAsia="de-DE"/>
        </w:rPr>
        <w:t xml:space="preserve"> substation for each combination of hydraulic concept and charging strategy. The objective is to extend the applicability of decentralized storage-based flexibility concepts and to provide computationally efficient models that can support the integration of consumer-side flexibility into </w:t>
      </w:r>
      <w:r w:rsidR="006318DB" w:rsidRPr="00103A49">
        <w:rPr>
          <w:rFonts w:ascii="Times New Roman" w:eastAsia="Times New Roman" w:hAnsi="Times New Roman" w:cs="Times New Roman"/>
          <w:color w:val="000000"/>
          <w:sz w:val="20"/>
          <w:lang w:eastAsia="de-DE"/>
        </w:rPr>
        <w:t>DH</w:t>
      </w:r>
      <w:r w:rsidRPr="00103A49">
        <w:rPr>
          <w:rFonts w:ascii="Times New Roman" w:eastAsia="Times New Roman" w:hAnsi="Times New Roman" w:cs="Times New Roman"/>
          <w:color w:val="000000"/>
          <w:sz w:val="20"/>
          <w:lang w:eastAsia="de-DE"/>
        </w:rPr>
        <w:t xml:space="preserve"> network operation.</w:t>
      </w:r>
    </w:p>
    <w:p w14:paraId="2D50AFB5" w14:textId="583B66BD" w:rsidR="00D172D6" w:rsidRDefault="00D172D6" w:rsidP="00103A49">
      <w:pPr>
        <w:pStyle w:val="SWCHeading1"/>
        <w:numPr>
          <w:ilvl w:val="0"/>
          <w:numId w:val="1"/>
        </w:numPr>
        <w:tabs>
          <w:tab w:val="num" w:pos="720"/>
        </w:tabs>
        <w:ind w:left="714" w:hanging="357"/>
      </w:pPr>
      <w:r>
        <w:t>Methodology</w:t>
      </w:r>
    </w:p>
    <w:p w14:paraId="4FAAFC63" w14:textId="77777777" w:rsidR="00D172D6" w:rsidRDefault="00D172D6" w:rsidP="00D172D6">
      <w:pPr>
        <w:pStyle w:val="Listenabsatz"/>
      </w:pPr>
    </w:p>
    <w:p w14:paraId="18389900" w14:textId="0A142F0C" w:rsidR="00880334" w:rsidRPr="00103A49" w:rsidRDefault="00996BC6" w:rsidP="00880334">
      <w:pPr>
        <w:pStyle w:val="Listenabsatz"/>
        <w:numPr>
          <w:ilvl w:val="1"/>
          <w:numId w:val="1"/>
        </w:numPr>
        <w:rPr>
          <w:rFonts w:ascii="Arial" w:eastAsia="Times New Roman" w:hAnsi="Arial" w:cs="Times New Roman"/>
          <w:i/>
          <w:color w:val="000000"/>
          <w:sz w:val="20"/>
          <w:lang w:val="en-GB" w:eastAsia="de-DE"/>
        </w:rPr>
      </w:pPr>
      <w:r w:rsidRPr="00103A49">
        <w:rPr>
          <w:rFonts w:ascii="Arial" w:eastAsia="Times New Roman" w:hAnsi="Arial" w:cs="Times New Roman"/>
          <w:i/>
          <w:color w:val="000000"/>
          <w:sz w:val="20"/>
          <w:lang w:val="en-GB" w:eastAsia="de-DE"/>
        </w:rPr>
        <w:t>Hydraulic setup</w:t>
      </w:r>
    </w:p>
    <w:p w14:paraId="59014545" w14:textId="68B1BA16" w:rsidR="00880334" w:rsidRPr="00103A49" w:rsidRDefault="00880334" w:rsidP="009B3B2E">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To extend the applicability of the proposed control approaches with prediction models, two different hydraulic concepts are investigated. Both systems represent typical hydraulic configurations used in multi-unit </w:t>
      </w:r>
      <w:r w:rsidRPr="00103A49">
        <w:rPr>
          <w:rFonts w:ascii="Times New Roman" w:eastAsia="Times New Roman" w:hAnsi="Times New Roman" w:cs="Times New Roman"/>
          <w:color w:val="000000"/>
          <w:sz w:val="20"/>
          <w:lang w:eastAsia="de-DE"/>
        </w:rPr>
        <w:lastRenderedPageBreak/>
        <w:t xml:space="preserve">residential buildings and are simulated using </w:t>
      </w:r>
      <w:proofErr w:type="spellStart"/>
      <w:r w:rsidRPr="008119E0">
        <w:rPr>
          <w:rFonts w:ascii="Times New Roman" w:eastAsia="Times New Roman" w:hAnsi="Times New Roman" w:cs="Times New Roman"/>
          <w:color w:val="000000"/>
          <w:sz w:val="20"/>
          <w:szCs w:val="20"/>
          <w:lang w:eastAsia="de-DE"/>
        </w:rPr>
        <w:t>Polysun</w:t>
      </w:r>
      <w:proofErr w:type="spellEnd"/>
      <w:r w:rsidR="0010208D" w:rsidRPr="008119E0">
        <w:rPr>
          <w:rFonts w:ascii="Times New Roman" w:eastAsia="Times New Roman" w:hAnsi="Times New Roman" w:cs="Times New Roman"/>
          <w:color w:val="000000"/>
          <w:sz w:val="20"/>
          <w:szCs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baf0022e-bdbe-8eee-ca85-8a24b30d0eab"/>
          <w:id w:val="-555858541"/>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}</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(Vela Solaris AG)</w:t>
          </w:r>
          <w:r w:rsidR="00A557D0" w:rsidRPr="005E742B">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In order to enable a direct comparison of the charging strategies, both hydraulic concepts and both charging control concepts are</w:t>
      </w:r>
      <w:r w:rsidR="009B3B2E" w:rsidRPr="008119E0">
        <w:rPr>
          <w:rFonts w:ascii="Times New Roman" w:eastAsia="Times New Roman" w:hAnsi="Times New Roman" w:cs="Times New Roman"/>
          <w:color w:val="000000"/>
          <w:sz w:val="20"/>
          <w:szCs w:val="20"/>
          <w:lang w:eastAsia="de-DE"/>
        </w:rPr>
        <w:t xml:space="preserve"> combined with the same heat demand profiles for SH and DHW preparation</w:t>
      </w:r>
      <w:r w:rsidRPr="008119E0">
        <w:rPr>
          <w:rFonts w:ascii="Times New Roman" w:eastAsia="Times New Roman" w:hAnsi="Times New Roman" w:cs="Times New Roman"/>
          <w:color w:val="000000"/>
          <w:sz w:val="20"/>
          <w:szCs w:val="20"/>
          <w:lang w:eastAsia="de-DE"/>
        </w:rPr>
        <w:t xml:space="preserve">. Consequently, differences in the </w:t>
      </w:r>
      <w:r w:rsidR="00FA6150" w:rsidRPr="008119E0">
        <w:rPr>
          <w:rFonts w:ascii="Times New Roman" w:eastAsia="Times New Roman" w:hAnsi="Times New Roman" w:cs="Times New Roman"/>
          <w:color w:val="000000"/>
          <w:sz w:val="20"/>
          <w:szCs w:val="20"/>
          <w:lang w:eastAsia="de-DE"/>
        </w:rPr>
        <w:t>behavior of the system</w:t>
      </w:r>
      <w:r w:rsidRPr="008119E0">
        <w:rPr>
          <w:rFonts w:ascii="Times New Roman" w:eastAsia="Times New Roman" w:hAnsi="Times New Roman" w:cs="Times New Roman"/>
          <w:color w:val="000000"/>
          <w:sz w:val="20"/>
          <w:szCs w:val="20"/>
          <w:lang w:eastAsia="de-DE"/>
        </w:rPr>
        <w:t xml:space="preserve"> can solely be attributed to the hydraulic configuration and the applied charging strategy.</w:t>
      </w:r>
      <w:r w:rsidR="009B3B2E" w:rsidRPr="008119E0">
        <w:rPr>
          <w:rFonts w:ascii="Times New Roman" w:eastAsia="Times New Roman" w:hAnsi="Times New Roman" w:cs="Times New Roman"/>
          <w:color w:val="000000"/>
          <w:sz w:val="20"/>
          <w:szCs w:val="20"/>
          <w:lang w:eastAsia="de-DE"/>
        </w:rPr>
        <w:t xml:space="preserve"> </w:t>
      </w:r>
      <w:r w:rsidRPr="008119E0">
        <w:rPr>
          <w:rFonts w:ascii="Times New Roman" w:eastAsia="Times New Roman" w:hAnsi="Times New Roman" w:cs="Times New Roman"/>
          <w:color w:val="000000"/>
          <w:sz w:val="20"/>
          <w:szCs w:val="20"/>
          <w:lang w:eastAsia="de-DE"/>
        </w:rPr>
        <w:t xml:space="preserve">The first hydraulic concept corresponds to </w:t>
      </w:r>
      <w:r w:rsidR="009B3B2E" w:rsidRPr="008119E0">
        <w:rPr>
          <w:rFonts w:ascii="Times New Roman" w:eastAsia="Times New Roman" w:hAnsi="Times New Roman" w:cs="Times New Roman"/>
          <w:color w:val="000000"/>
          <w:sz w:val="20"/>
          <w:szCs w:val="20"/>
          <w:lang w:eastAsia="de-DE"/>
        </w:rPr>
        <w:t xml:space="preserve">the setup </w:t>
      </w:r>
      <w:r w:rsidRPr="008119E0">
        <w:rPr>
          <w:rFonts w:ascii="Times New Roman" w:eastAsia="Times New Roman" w:hAnsi="Times New Roman" w:cs="Times New Roman"/>
          <w:color w:val="000000"/>
          <w:sz w:val="20"/>
          <w:szCs w:val="20"/>
          <w:lang w:eastAsia="de-DE"/>
        </w:rPr>
        <w:t xml:space="preserve">investigated in the previous work of </w:t>
      </w:r>
      <w:sdt>
        <w:sdtPr>
          <w:rPr>
            <w:rFonts w:ascii="Times New Roman" w:hAnsi="Times New Roman" w:cs="Times New Roman"/>
            <w:color w:val="000000"/>
            <w:sz w:val="20"/>
            <w:szCs w:val="20"/>
          </w:rPr>
          <w:alias w:val="To edit, see citavi.com/edit"/>
          <w:tag w:val="CitaviPlaceholder#0fc9bf03-e4c2-d067-82d4-6204773219e9"/>
          <w:id w:val="-1160836392"/>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}</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(Forndran et al., 2026)</w:t>
          </w:r>
          <w:r w:rsidR="00A557D0" w:rsidRPr="005E742B">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xml:space="preserve"> and is illustrated in Figure </w:t>
      </w:r>
      <w:r w:rsidR="00FA6150" w:rsidRPr="008119E0">
        <w:rPr>
          <w:rFonts w:ascii="Times New Roman" w:eastAsia="Times New Roman" w:hAnsi="Times New Roman" w:cs="Times New Roman"/>
          <w:color w:val="000000"/>
          <w:sz w:val="20"/>
          <w:szCs w:val="20"/>
          <w:lang w:eastAsia="de-DE"/>
        </w:rPr>
        <w:t>1</w:t>
      </w:r>
      <w:r w:rsidRPr="008119E0">
        <w:rPr>
          <w:rFonts w:ascii="Times New Roman" w:eastAsia="Times New Roman" w:hAnsi="Times New Roman" w:cs="Times New Roman"/>
          <w:color w:val="000000"/>
          <w:sz w:val="20"/>
          <w:szCs w:val="20"/>
          <w:lang w:eastAsia="de-DE"/>
        </w:rPr>
        <w:t xml:space="preserve">. The </w:t>
      </w:r>
      <w:r w:rsidR="009B3B2E" w:rsidRPr="008119E0">
        <w:rPr>
          <w:rFonts w:ascii="Times New Roman" w:eastAsia="Times New Roman" w:hAnsi="Times New Roman" w:cs="Times New Roman"/>
          <w:color w:val="000000"/>
          <w:sz w:val="20"/>
          <w:szCs w:val="20"/>
          <w:lang w:eastAsia="de-DE"/>
        </w:rPr>
        <w:t>DH</w:t>
      </w:r>
      <w:r w:rsidRPr="008119E0">
        <w:rPr>
          <w:rFonts w:ascii="Times New Roman" w:eastAsia="Times New Roman" w:hAnsi="Times New Roman" w:cs="Times New Roman"/>
          <w:color w:val="000000"/>
          <w:sz w:val="20"/>
          <w:szCs w:val="20"/>
          <w:lang w:eastAsia="de-DE"/>
        </w:rPr>
        <w:t xml:space="preserve"> network supplies thermal energy via the substation to a buffer storage, which </w:t>
      </w:r>
      <w:r w:rsidR="009B3B2E" w:rsidRPr="008119E0">
        <w:rPr>
          <w:rFonts w:ascii="Times New Roman" w:eastAsia="Times New Roman" w:hAnsi="Times New Roman" w:cs="Times New Roman"/>
          <w:color w:val="000000"/>
          <w:sz w:val="20"/>
          <w:szCs w:val="20"/>
          <w:lang w:eastAsia="de-DE"/>
        </w:rPr>
        <w:t>is charged by a secondary loading pump, that is controlled</w:t>
      </w:r>
      <w:r w:rsidR="009B3B2E" w:rsidRPr="00103A49">
        <w:rPr>
          <w:rFonts w:ascii="Times New Roman" w:eastAsia="Times New Roman" w:hAnsi="Times New Roman" w:cs="Times New Roman"/>
          <w:color w:val="000000"/>
          <w:sz w:val="20"/>
          <w:lang w:eastAsia="de-DE"/>
        </w:rPr>
        <w:t xml:space="preserve"> by one of the two proposed logics. </w:t>
      </w:r>
      <w:r w:rsidRPr="00103A49">
        <w:rPr>
          <w:rFonts w:ascii="Times New Roman" w:eastAsia="Times New Roman" w:hAnsi="Times New Roman" w:cs="Times New Roman"/>
          <w:color w:val="000000"/>
          <w:sz w:val="20"/>
          <w:lang w:eastAsia="de-DE"/>
        </w:rPr>
        <w:t>The buffer storage decouples heat generation from heat consumption and therefore provides the flexibility required for predictive charging strategies. S</w:t>
      </w:r>
      <w:r w:rsidR="009B3B2E" w:rsidRPr="00103A49">
        <w:rPr>
          <w:rFonts w:ascii="Times New Roman" w:eastAsia="Times New Roman" w:hAnsi="Times New Roman" w:cs="Times New Roman"/>
          <w:color w:val="000000"/>
          <w:sz w:val="20"/>
          <w:lang w:eastAsia="de-DE"/>
        </w:rPr>
        <w:t>H</w:t>
      </w:r>
      <w:r w:rsidRPr="00103A49">
        <w:rPr>
          <w:rFonts w:ascii="Times New Roman" w:eastAsia="Times New Roman" w:hAnsi="Times New Roman" w:cs="Times New Roman"/>
          <w:color w:val="000000"/>
          <w:sz w:val="20"/>
          <w:lang w:eastAsia="de-DE"/>
        </w:rPr>
        <w:t xml:space="preserve"> is supplied from the storage, while </w:t>
      </w:r>
      <w:r w:rsidR="009B3B2E" w:rsidRPr="00103A49">
        <w:rPr>
          <w:rFonts w:ascii="Times New Roman" w:eastAsia="Times New Roman" w:hAnsi="Times New Roman" w:cs="Times New Roman"/>
          <w:color w:val="000000"/>
          <w:sz w:val="20"/>
          <w:lang w:eastAsia="de-DE"/>
        </w:rPr>
        <w:t>DHW</w:t>
      </w:r>
      <w:r w:rsidRPr="00103A49">
        <w:rPr>
          <w:rFonts w:ascii="Times New Roman" w:eastAsia="Times New Roman" w:hAnsi="Times New Roman" w:cs="Times New Roman"/>
          <w:color w:val="000000"/>
          <w:sz w:val="20"/>
          <w:lang w:eastAsia="de-DE"/>
        </w:rPr>
        <w:t xml:space="preserve"> is prepared using </w:t>
      </w:r>
      <w:r w:rsidR="009B3B2E" w:rsidRPr="00103A49">
        <w:rPr>
          <w:rFonts w:ascii="Times New Roman" w:eastAsia="Times New Roman" w:hAnsi="Times New Roman" w:cs="Times New Roman"/>
          <w:color w:val="000000"/>
          <w:sz w:val="20"/>
          <w:lang w:eastAsia="de-DE"/>
        </w:rPr>
        <w:t>a</w:t>
      </w:r>
      <w:r w:rsidRPr="00103A49">
        <w:rPr>
          <w:rFonts w:ascii="Times New Roman" w:eastAsia="Times New Roman" w:hAnsi="Times New Roman" w:cs="Times New Roman"/>
          <w:color w:val="000000"/>
          <w:sz w:val="20"/>
          <w:lang w:eastAsia="de-DE"/>
        </w:rPr>
        <w:t xml:space="preserve"> heat exchanger </w:t>
      </w:r>
      <w:r w:rsidR="009B3B2E" w:rsidRPr="00103A49">
        <w:rPr>
          <w:rFonts w:ascii="Times New Roman" w:eastAsia="Times New Roman" w:hAnsi="Times New Roman" w:cs="Times New Roman"/>
          <w:color w:val="000000"/>
          <w:sz w:val="20"/>
          <w:lang w:eastAsia="de-DE"/>
        </w:rPr>
        <w:t>and a primary and secondary loading pump to charge a DHW storage tank</w:t>
      </w:r>
      <w:r w:rsidRPr="00103A49">
        <w:rPr>
          <w:rFonts w:ascii="Times New Roman" w:eastAsia="Times New Roman" w:hAnsi="Times New Roman" w:cs="Times New Roman"/>
          <w:color w:val="000000"/>
          <w:sz w:val="20"/>
          <w:lang w:eastAsia="de-DE"/>
        </w:rPr>
        <w:t xml:space="preserve">. </w:t>
      </w:r>
      <w:r w:rsidR="009B3B2E" w:rsidRPr="00103A49">
        <w:rPr>
          <w:rFonts w:ascii="Times New Roman" w:eastAsia="Times New Roman" w:hAnsi="Times New Roman" w:cs="Times New Roman"/>
          <w:color w:val="000000"/>
          <w:sz w:val="20"/>
          <w:lang w:eastAsia="de-DE"/>
        </w:rPr>
        <w:t>Even though this storage and the buffer storage before can buffer the direct DHW consumption peaks, for a typical step-wise charging control, there occur short-term power peaks</w:t>
      </w:r>
      <w:r w:rsidR="006056E2">
        <w:rPr>
          <w:rFonts w:ascii="Times New Roman" w:eastAsia="Times New Roman" w:hAnsi="Times New Roman" w:cs="Times New Roman"/>
          <w:color w:val="000000"/>
          <w:sz w:val="20"/>
          <w:lang w:eastAsia="de-DE"/>
        </w:rPr>
        <w:t xml:space="preserve"> due to fixed high set flow rates of the </w:t>
      </w:r>
      <w:r w:rsidR="007C35BE">
        <w:rPr>
          <w:rFonts w:ascii="Times New Roman" w:eastAsia="Times New Roman" w:hAnsi="Times New Roman" w:cs="Times New Roman"/>
          <w:color w:val="000000"/>
          <w:sz w:val="20"/>
          <w:lang w:eastAsia="de-DE"/>
        </w:rPr>
        <w:t xml:space="preserve">DHW </w:t>
      </w:r>
      <w:r w:rsidR="006056E2">
        <w:rPr>
          <w:rFonts w:ascii="Times New Roman" w:eastAsia="Times New Roman" w:hAnsi="Times New Roman" w:cs="Times New Roman"/>
          <w:color w:val="000000"/>
          <w:sz w:val="20"/>
          <w:lang w:eastAsia="de-DE"/>
        </w:rPr>
        <w:t>loading pumps</w:t>
      </w:r>
      <w:r w:rsidRPr="00103A49">
        <w:rPr>
          <w:rFonts w:ascii="Times New Roman" w:eastAsia="Times New Roman" w:hAnsi="Times New Roman" w:cs="Times New Roman"/>
          <w:color w:val="000000"/>
          <w:sz w:val="20"/>
          <w:lang w:eastAsia="de-DE"/>
        </w:rPr>
        <w:t>.</w:t>
      </w:r>
    </w:p>
    <w:p w14:paraId="148FFE3A" w14:textId="386A43D6" w:rsidR="00A61911" w:rsidRDefault="00FA573D" w:rsidP="009B3B2E">
      <w:pPr>
        <w:jc w:val="both"/>
      </w:pPr>
      <w:r w:rsidRPr="00FA573D">
        <w:rPr>
          <w:noProof/>
        </w:rPr>
        <w:drawing>
          <wp:inline distT="0" distB="0" distL="0" distR="0" wp14:anchorId="6737837D" wp14:editId="045D0699">
            <wp:extent cx="5565775" cy="240728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65775" cy="2407285"/>
                    </a:xfrm>
                    <a:prstGeom prst="rect">
                      <a:avLst/>
                    </a:prstGeom>
                    <a:noFill/>
                    <a:ln>
                      <a:noFill/>
                    </a:ln>
                  </pic:spPr>
                </pic:pic>
              </a:graphicData>
            </a:graphic>
          </wp:inline>
        </w:drawing>
      </w:r>
    </w:p>
    <w:p w14:paraId="24DAAE91" w14:textId="174A2E29" w:rsidR="00A61911" w:rsidRPr="007226CD" w:rsidRDefault="00A61911" w:rsidP="005E742B">
      <w:pPr>
        <w:jc w:val="center"/>
        <w:rPr>
          <w:rFonts w:ascii="Times New Roman" w:eastAsia="Times New Roman" w:hAnsi="Times New Roman" w:cs="Times New Roman"/>
          <w:b/>
          <w:color w:val="000000"/>
          <w:sz w:val="16"/>
          <w:szCs w:val="20"/>
          <w:lang w:eastAsia="de-DE"/>
        </w:rPr>
      </w:pPr>
      <w:r w:rsidRPr="007226CD">
        <w:rPr>
          <w:rFonts w:ascii="Times New Roman" w:eastAsia="Times New Roman" w:hAnsi="Times New Roman" w:cs="Times New Roman"/>
          <w:b/>
          <w:color w:val="000000"/>
          <w:sz w:val="16"/>
          <w:szCs w:val="20"/>
          <w:lang w:eastAsia="de-DE"/>
        </w:rPr>
        <w:t>Figure 1: Hydraulic setup for a multi-unit residential building including a thermal buffer storage and a DHW storage</w:t>
      </w:r>
    </w:p>
    <w:p w14:paraId="435D8D5E" w14:textId="7565AADF" w:rsidR="00880334" w:rsidRPr="00103A49" w:rsidRDefault="00FA6150" w:rsidP="00FA6150">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In t</w:t>
      </w:r>
      <w:r w:rsidR="00880334" w:rsidRPr="00103A49">
        <w:rPr>
          <w:rFonts w:ascii="Times New Roman" w:eastAsia="Times New Roman" w:hAnsi="Times New Roman" w:cs="Times New Roman"/>
          <w:color w:val="000000"/>
          <w:sz w:val="20"/>
          <w:lang w:eastAsia="de-DE"/>
        </w:rPr>
        <w:t>he second hydraulic concept</w:t>
      </w:r>
      <w:r w:rsidRPr="00103A49">
        <w:rPr>
          <w:rFonts w:ascii="Times New Roman" w:eastAsia="Times New Roman" w:hAnsi="Times New Roman" w:cs="Times New Roman"/>
          <w:color w:val="000000"/>
          <w:sz w:val="20"/>
          <w:lang w:eastAsia="de-DE"/>
        </w:rPr>
        <w:t>,</w:t>
      </w:r>
      <w:r w:rsidR="009B3B2E" w:rsidRPr="00103A49">
        <w:rPr>
          <w:rFonts w:ascii="Times New Roman" w:eastAsia="Times New Roman" w:hAnsi="Times New Roman" w:cs="Times New Roman"/>
          <w:color w:val="000000"/>
          <w:sz w:val="20"/>
          <w:lang w:eastAsia="de-DE"/>
        </w:rPr>
        <w:t xml:space="preserve"> the DHW storage tank</w:t>
      </w:r>
      <w:r w:rsidRPr="00103A49">
        <w:rPr>
          <w:rFonts w:ascii="Times New Roman" w:eastAsia="Times New Roman" w:hAnsi="Times New Roman" w:cs="Times New Roman"/>
          <w:color w:val="000000"/>
          <w:sz w:val="20"/>
          <w:lang w:eastAsia="de-DE"/>
        </w:rPr>
        <w:t xml:space="preserve"> is replaced</w:t>
      </w:r>
      <w:r w:rsidR="009B3B2E" w:rsidRPr="00103A49">
        <w:rPr>
          <w:rFonts w:ascii="Times New Roman" w:eastAsia="Times New Roman" w:hAnsi="Times New Roman" w:cs="Times New Roman"/>
          <w:color w:val="000000"/>
          <w:sz w:val="20"/>
          <w:lang w:eastAsia="de-DE"/>
        </w:rPr>
        <w:t xml:space="preserve"> by a</w:t>
      </w:r>
      <w:r w:rsidR="00880334" w:rsidRPr="00103A49">
        <w:rPr>
          <w:rFonts w:ascii="Times New Roman" w:eastAsia="Times New Roman" w:hAnsi="Times New Roman" w:cs="Times New Roman"/>
          <w:color w:val="000000"/>
          <w:sz w:val="20"/>
          <w:lang w:eastAsia="de-DE"/>
        </w:rPr>
        <w:t xml:space="preserve"> centralized </w:t>
      </w:r>
      <w:r w:rsidR="009B3B2E" w:rsidRPr="00103A49">
        <w:rPr>
          <w:rFonts w:ascii="Times New Roman" w:eastAsia="Times New Roman" w:hAnsi="Times New Roman" w:cs="Times New Roman"/>
          <w:color w:val="000000"/>
          <w:sz w:val="20"/>
          <w:lang w:eastAsia="de-DE"/>
        </w:rPr>
        <w:t xml:space="preserve">fresh water </w:t>
      </w:r>
      <w:r w:rsidR="00880334" w:rsidRPr="00103A49">
        <w:rPr>
          <w:rFonts w:ascii="Times New Roman" w:eastAsia="Times New Roman" w:hAnsi="Times New Roman" w:cs="Times New Roman"/>
          <w:color w:val="000000"/>
          <w:sz w:val="20"/>
          <w:lang w:eastAsia="de-DE"/>
        </w:rPr>
        <w:t xml:space="preserve">unit. In contrast to the </w:t>
      </w:r>
      <w:r w:rsidR="009B3B2E" w:rsidRPr="00103A49">
        <w:rPr>
          <w:rFonts w:ascii="Times New Roman" w:eastAsia="Times New Roman" w:hAnsi="Times New Roman" w:cs="Times New Roman"/>
          <w:color w:val="000000"/>
          <w:sz w:val="20"/>
          <w:lang w:eastAsia="de-DE"/>
        </w:rPr>
        <w:t>previous</w:t>
      </w:r>
      <w:r w:rsidR="00880334" w:rsidRPr="00103A49">
        <w:rPr>
          <w:rFonts w:ascii="Times New Roman" w:eastAsia="Times New Roman" w:hAnsi="Times New Roman" w:cs="Times New Roman"/>
          <w:color w:val="000000"/>
          <w:sz w:val="20"/>
          <w:lang w:eastAsia="de-DE"/>
        </w:rPr>
        <w:t xml:space="preserve"> </w:t>
      </w:r>
      <w:r w:rsidR="009B3B2E" w:rsidRPr="00103A49">
        <w:rPr>
          <w:rFonts w:ascii="Times New Roman" w:eastAsia="Times New Roman" w:hAnsi="Times New Roman" w:cs="Times New Roman"/>
          <w:color w:val="000000"/>
          <w:sz w:val="20"/>
          <w:lang w:eastAsia="de-DE"/>
        </w:rPr>
        <w:t>setup</w:t>
      </w:r>
      <w:r w:rsidR="00880334" w:rsidRPr="00103A49">
        <w:rPr>
          <w:rFonts w:ascii="Times New Roman" w:eastAsia="Times New Roman" w:hAnsi="Times New Roman" w:cs="Times New Roman"/>
          <w:color w:val="000000"/>
          <w:sz w:val="20"/>
          <w:lang w:eastAsia="de-DE"/>
        </w:rPr>
        <w:t xml:space="preserve">, </w:t>
      </w:r>
      <w:r w:rsidR="009B3B2E" w:rsidRPr="00103A49">
        <w:rPr>
          <w:rFonts w:ascii="Times New Roman" w:eastAsia="Times New Roman" w:hAnsi="Times New Roman" w:cs="Times New Roman"/>
          <w:color w:val="000000"/>
          <w:sz w:val="20"/>
          <w:lang w:eastAsia="de-DE"/>
        </w:rPr>
        <w:t xml:space="preserve">DHW peak loads cannot be buffered by the </w:t>
      </w:r>
      <w:r w:rsidR="00A61911" w:rsidRPr="00103A49">
        <w:rPr>
          <w:rFonts w:ascii="Times New Roman" w:eastAsia="Times New Roman" w:hAnsi="Times New Roman" w:cs="Times New Roman"/>
          <w:color w:val="000000"/>
          <w:sz w:val="20"/>
          <w:lang w:eastAsia="de-DE"/>
        </w:rPr>
        <w:t xml:space="preserve">DHW tank anymore, </w:t>
      </w:r>
      <w:r w:rsidR="00E9022A">
        <w:rPr>
          <w:rFonts w:ascii="Times New Roman" w:eastAsia="Times New Roman" w:hAnsi="Times New Roman" w:cs="Times New Roman"/>
          <w:color w:val="000000"/>
          <w:sz w:val="20"/>
          <w:lang w:eastAsia="de-DE"/>
        </w:rPr>
        <w:t>therefore</w:t>
      </w:r>
      <w:r w:rsidR="00A61911" w:rsidRPr="00103A49">
        <w:rPr>
          <w:rFonts w:ascii="Times New Roman" w:eastAsia="Times New Roman" w:hAnsi="Times New Roman" w:cs="Times New Roman"/>
          <w:color w:val="000000"/>
          <w:sz w:val="20"/>
          <w:lang w:eastAsia="de-DE"/>
        </w:rPr>
        <w:t xml:space="preserve"> have a stronger influence on the power profile at the substation. </w:t>
      </w:r>
    </w:p>
    <w:p w14:paraId="56BADBC4" w14:textId="7B321D7F" w:rsidR="00FA6150" w:rsidRPr="00103A49" w:rsidRDefault="00FA6150" w:rsidP="00FA6150">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Although both hydraulic concepts are designed to satisfy identical SH and DHW demands, the different hydraulic layouts can lead to different thermal load profiles at the DH substation. The comparison of both systems therefore allows the influence of the hydraulic configuration on the thermal load profile and provides prediction models for peak-shaving and peak-shifting logics for two common setups. </w:t>
      </w:r>
    </w:p>
    <w:p w14:paraId="155922C4" w14:textId="77777777" w:rsidR="00A61911" w:rsidRPr="00103A49" w:rsidRDefault="00A61911" w:rsidP="00880334">
      <w:pPr>
        <w:rPr>
          <w:rFonts w:ascii="Times New Roman" w:eastAsia="Times New Roman" w:hAnsi="Times New Roman" w:cs="Times New Roman"/>
          <w:color w:val="000000"/>
          <w:sz w:val="20"/>
          <w:lang w:eastAsia="de-DE"/>
        </w:rPr>
      </w:pPr>
    </w:p>
    <w:p w14:paraId="4EDEAB77" w14:textId="2C7E6BF0" w:rsidR="00996BC6" w:rsidRPr="00103A49" w:rsidRDefault="00996BC6" w:rsidP="00996BC6">
      <w:pPr>
        <w:pStyle w:val="Listenabsatz"/>
        <w:numPr>
          <w:ilvl w:val="1"/>
          <w:numId w:val="1"/>
        </w:numPr>
        <w:rPr>
          <w:rFonts w:ascii="Arial" w:eastAsia="Times New Roman" w:hAnsi="Arial" w:cs="Times New Roman"/>
          <w:i/>
          <w:color w:val="000000"/>
          <w:sz w:val="20"/>
          <w:lang w:val="en-GB" w:eastAsia="de-DE"/>
        </w:rPr>
      </w:pPr>
      <w:r w:rsidRPr="00103A49">
        <w:rPr>
          <w:rFonts w:ascii="Arial" w:eastAsia="Times New Roman" w:hAnsi="Arial" w:cs="Times New Roman"/>
          <w:i/>
          <w:color w:val="000000"/>
          <w:sz w:val="20"/>
          <w:lang w:val="en-GB" w:eastAsia="de-DE"/>
        </w:rPr>
        <w:t>Charging strategies</w:t>
      </w:r>
    </w:p>
    <w:p w14:paraId="08FFB174" w14:textId="17178B40" w:rsidR="00996BC6" w:rsidRPr="00103A49" w:rsidRDefault="00996BC6" w:rsidP="00996BC6">
      <w:pPr>
        <w:pStyle w:val="Listenabsatz"/>
        <w:numPr>
          <w:ilvl w:val="0"/>
          <w:numId w:val="2"/>
        </w:numP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Peak-shaving</w:t>
      </w:r>
    </w:p>
    <w:p w14:paraId="21C2BB03" w14:textId="4898D43D" w:rsidR="001548F3" w:rsidRPr="00103A49" w:rsidRDefault="001548F3" w:rsidP="00DF34C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The first charging strategy aims to reduce the thermal power peaks at the DH substation. The underlying control algorithm corresponds to the peak-shaving strategy presented </w:t>
      </w:r>
      <w:r w:rsidRPr="008119E0">
        <w:rPr>
          <w:rFonts w:ascii="Times New Roman" w:eastAsia="Times New Roman" w:hAnsi="Times New Roman" w:cs="Times New Roman"/>
          <w:color w:val="000000"/>
          <w:sz w:val="20"/>
          <w:szCs w:val="20"/>
          <w:lang w:eastAsia="de-DE"/>
        </w:rPr>
        <w:t xml:space="preserve">in </w:t>
      </w:r>
      <w:sdt>
        <w:sdtPr>
          <w:rPr>
            <w:rFonts w:ascii="Times New Roman" w:eastAsia="Times New Roman" w:hAnsi="Times New Roman" w:cs="Times New Roman"/>
            <w:color w:val="000000"/>
            <w:sz w:val="20"/>
            <w:szCs w:val="20"/>
            <w:lang w:eastAsia="de-DE"/>
          </w:rPr>
          <w:alias w:val="To edit, see citavi.com/edit"/>
          <w:tag w:val="CitaviPlaceholder#ec217a71-a3a2-1b6e-1164-5ec8ce1dd4ab"/>
          <w:id w:val="-1148045990"/>
        </w:sdtPr>
        <w:sdtEndPr/>
        <w:sdtContent>
          <w:r w:rsidR="00A557D0" w:rsidRPr="005E742B">
            <w:rPr>
              <w:rFonts w:ascii="Times New Roman" w:hAnsi="Times New Roman" w:cs="Times New Roman"/>
              <w:color w:val="000000"/>
              <w:sz w:val="20"/>
              <w:szCs w:val="20"/>
            </w:rPr>
            <w:fldChar w:fldCharType="begin"/>
          </w:r>
          <w:r w:rsidR="00A557D0" w:rsidRPr="005E742B">
            <w:rPr>
              <w:rFonts w:ascii="Times New Roman" w:hAnsi="Times New Roman" w:cs="Times New Roman"/>
              <w:color w:val="000000"/>
              <w:sz w:val="20"/>
              <w:szCs w:val="20"/>
            </w:rPr>
            <w:instrText>ADDIN CitaviPlaceholder{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}</w:instrText>
          </w:r>
          <w:r w:rsidR="00A557D0" w:rsidRPr="005E742B">
            <w:rPr>
              <w:rFonts w:ascii="Times New Roman" w:hAnsi="Times New Roman" w:cs="Times New Roman"/>
              <w:color w:val="000000"/>
              <w:sz w:val="20"/>
              <w:szCs w:val="20"/>
            </w:rPr>
            <w:fldChar w:fldCharType="separate"/>
          </w:r>
          <w:r w:rsidR="00A557D0" w:rsidRPr="005E742B">
            <w:rPr>
              <w:rFonts w:ascii="Times New Roman" w:hAnsi="Times New Roman" w:cs="Times New Roman"/>
              <w:color w:val="000000"/>
              <w:sz w:val="20"/>
              <w:szCs w:val="20"/>
            </w:rPr>
            <w:t>(Forndran et al., 2026)</w:t>
          </w:r>
          <w:r w:rsidR="00A557D0" w:rsidRPr="005E742B">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xml:space="preserve"> and is therefore adopted without modification in this work. A detailed description of the charging logic can</w:t>
      </w:r>
      <w:r w:rsidRPr="00103A49">
        <w:rPr>
          <w:rFonts w:ascii="Times New Roman" w:eastAsia="Times New Roman" w:hAnsi="Times New Roman" w:cs="Times New Roman"/>
          <w:color w:val="000000"/>
          <w:sz w:val="20"/>
          <w:lang w:eastAsia="de-DE"/>
        </w:rPr>
        <w:t xml:space="preserve"> be found in the previous publication and is not repeated here. In general, instead of the typical step-wise </w:t>
      </w:r>
      <w:r w:rsidR="00AE50B1" w:rsidRPr="00103A49">
        <w:rPr>
          <w:rFonts w:ascii="Times New Roman" w:eastAsia="Times New Roman" w:hAnsi="Times New Roman" w:cs="Times New Roman"/>
          <w:color w:val="000000"/>
          <w:sz w:val="20"/>
          <w:lang w:eastAsia="de-DE"/>
        </w:rPr>
        <w:t>control, where switching on and off of charging is determined by temperature thresholds, charging is based on a variable that combines the energy and exergy content of the storage</w:t>
      </w:r>
      <w:r w:rsidR="004F019F">
        <w:rPr>
          <w:rFonts w:ascii="Times New Roman" w:eastAsia="Times New Roman" w:hAnsi="Times New Roman" w:cs="Times New Roman"/>
          <w:color w:val="000000"/>
          <w:sz w:val="20"/>
          <w:lang w:eastAsia="de-DE"/>
        </w:rPr>
        <w:t xml:space="preserve"> resulting in a continuous</w:t>
      </w:r>
      <w:r w:rsidR="0017150B">
        <w:rPr>
          <w:rFonts w:ascii="Times New Roman" w:eastAsia="Times New Roman" w:hAnsi="Times New Roman" w:cs="Times New Roman"/>
          <w:color w:val="000000"/>
          <w:sz w:val="20"/>
          <w:lang w:eastAsia="de-DE"/>
        </w:rPr>
        <w:t>ly</w:t>
      </w:r>
      <w:r w:rsidR="004F019F">
        <w:rPr>
          <w:rFonts w:ascii="Times New Roman" w:eastAsia="Times New Roman" w:hAnsi="Times New Roman" w:cs="Times New Roman"/>
          <w:color w:val="000000"/>
          <w:sz w:val="20"/>
          <w:lang w:eastAsia="de-DE"/>
        </w:rPr>
        <w:t xml:space="preserve"> </w:t>
      </w:r>
      <w:r w:rsidR="0017150B">
        <w:rPr>
          <w:rFonts w:ascii="Times New Roman" w:eastAsia="Times New Roman" w:hAnsi="Times New Roman" w:cs="Times New Roman"/>
          <w:color w:val="000000"/>
          <w:sz w:val="20"/>
          <w:lang w:eastAsia="de-DE"/>
        </w:rPr>
        <w:t xml:space="preserve">varying </w:t>
      </w:r>
      <w:r w:rsidR="004F019F">
        <w:rPr>
          <w:rFonts w:ascii="Times New Roman" w:eastAsia="Times New Roman" w:hAnsi="Times New Roman" w:cs="Times New Roman"/>
          <w:color w:val="000000"/>
          <w:sz w:val="20"/>
          <w:lang w:eastAsia="de-DE"/>
        </w:rPr>
        <w:t>signal from 0% to 100% for the loading pump</w:t>
      </w:r>
      <w:r w:rsidR="00AE50B1" w:rsidRPr="00103A49">
        <w:rPr>
          <w:rFonts w:ascii="Times New Roman" w:eastAsia="Times New Roman" w:hAnsi="Times New Roman" w:cs="Times New Roman"/>
          <w:color w:val="000000"/>
          <w:sz w:val="20"/>
          <w:lang w:eastAsia="de-DE"/>
        </w:rPr>
        <w:t xml:space="preserve">. </w:t>
      </w:r>
      <w:r w:rsidRPr="00103A49">
        <w:rPr>
          <w:rFonts w:ascii="Times New Roman" w:eastAsia="Times New Roman" w:hAnsi="Times New Roman" w:cs="Times New Roman"/>
          <w:color w:val="000000"/>
          <w:sz w:val="20"/>
          <w:lang w:eastAsia="de-DE"/>
        </w:rPr>
        <w:t>Since the total thermal energy demand of the building remains unchanged, the strategy reduces the magnitude of short-term power peaks without significantly altering the daily energy consumption.</w:t>
      </w:r>
    </w:p>
    <w:p w14:paraId="490FBB58" w14:textId="5B3A1EEB" w:rsidR="00996BC6" w:rsidRPr="00103A49" w:rsidRDefault="00996BC6" w:rsidP="00996BC6">
      <w:pPr>
        <w:pStyle w:val="Listenabsatz"/>
        <w:numPr>
          <w:ilvl w:val="0"/>
          <w:numId w:val="2"/>
        </w:numP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Peak-shifting</w:t>
      </w:r>
    </w:p>
    <w:tbl>
      <w:tblPr>
        <w:tblStyle w:val="Tabellenraster"/>
        <w:tblpPr w:leftFromText="180" w:rightFromText="180" w:vertAnchor="text" w:horzAnchor="margin" w:tblpY="4899"/>
        <w:tblW w:w="0" w:type="auto"/>
        <w:tblLook w:val="04A0" w:firstRow="1" w:lastRow="0" w:firstColumn="1" w:lastColumn="0" w:noHBand="0" w:noVBand="1"/>
      </w:tblPr>
      <w:tblGrid>
        <w:gridCol w:w="1735"/>
        <w:gridCol w:w="1745"/>
        <w:gridCol w:w="1745"/>
        <w:gridCol w:w="1765"/>
        <w:gridCol w:w="1765"/>
      </w:tblGrid>
      <w:tr w:rsidR="009E68AF" w:rsidRPr="00103A49" w14:paraId="7CED792C" w14:textId="77777777" w:rsidTr="00766EF3">
        <w:trPr>
          <w:trHeight w:val="510"/>
        </w:trPr>
        <w:tc>
          <w:tcPr>
            <w:tcW w:w="1735" w:type="dxa"/>
          </w:tcPr>
          <w:p w14:paraId="69385AA0" w14:textId="77777777" w:rsidR="009E68AF" w:rsidRPr="00103A49" w:rsidRDefault="009E68AF" w:rsidP="00766EF3">
            <w:pPr>
              <w:jc w:val="both"/>
              <w:rPr>
                <w:rFonts w:ascii="Times New Roman" w:eastAsia="Times New Roman" w:hAnsi="Times New Roman" w:cs="Times New Roman"/>
                <w:color w:val="000000"/>
                <w:sz w:val="20"/>
                <w:lang w:eastAsia="de-DE"/>
              </w:rPr>
            </w:pPr>
          </w:p>
        </w:tc>
        <w:tc>
          <w:tcPr>
            <w:tcW w:w="1745" w:type="dxa"/>
          </w:tcPr>
          <w:p w14:paraId="31F99999" w14:textId="77777777" w:rsidR="009E68AF" w:rsidRPr="007226CD" w:rsidRDefault="009E68AF" w:rsidP="00766EF3">
            <w:pPr>
              <w:jc w:val="both"/>
              <w:rPr>
                <w:rFonts w:ascii="Times New Roman" w:eastAsia="Times New Roman" w:hAnsi="Times New Roman" w:cs="Times New Roman"/>
                <w:b/>
                <w:bCs/>
                <w:color w:val="000000"/>
                <w:sz w:val="20"/>
                <w:lang w:eastAsia="de-DE"/>
              </w:rPr>
            </w:pPr>
            <w:r w:rsidRPr="007226CD">
              <w:rPr>
                <w:rFonts w:ascii="Times New Roman" w:eastAsia="Times New Roman" w:hAnsi="Times New Roman" w:cs="Times New Roman"/>
                <w:b/>
                <w:bCs/>
                <w:color w:val="000000"/>
                <w:sz w:val="20"/>
                <w:lang w:eastAsia="de-DE"/>
              </w:rPr>
              <w:t>Charging window</w:t>
            </w:r>
          </w:p>
        </w:tc>
        <w:tc>
          <w:tcPr>
            <w:tcW w:w="1745" w:type="dxa"/>
          </w:tcPr>
          <w:p w14:paraId="4F864485" w14:textId="5046FF30" w:rsidR="009E68AF" w:rsidRPr="007226CD" w:rsidRDefault="009E68AF" w:rsidP="00766EF3">
            <w:pPr>
              <w:jc w:val="both"/>
              <w:rPr>
                <w:rFonts w:ascii="Times New Roman" w:eastAsia="Times New Roman" w:hAnsi="Times New Roman" w:cs="Times New Roman"/>
                <w:b/>
                <w:bCs/>
                <w:color w:val="000000"/>
                <w:sz w:val="20"/>
                <w:lang w:eastAsia="de-DE"/>
              </w:rPr>
            </w:pPr>
            <w:r w:rsidRPr="007226CD">
              <w:rPr>
                <w:rFonts w:ascii="Times New Roman" w:eastAsia="Times New Roman" w:hAnsi="Times New Roman" w:cs="Times New Roman"/>
                <w:b/>
                <w:bCs/>
                <w:color w:val="000000"/>
                <w:sz w:val="20"/>
                <w:lang w:eastAsia="de-DE"/>
              </w:rPr>
              <w:t>Charging volume flow rate factor</w:t>
            </w:r>
          </w:p>
        </w:tc>
        <w:tc>
          <w:tcPr>
            <w:tcW w:w="1765" w:type="dxa"/>
          </w:tcPr>
          <w:p w14:paraId="6CFF7629" w14:textId="77777777" w:rsidR="009E68AF" w:rsidRPr="007226CD" w:rsidRDefault="009E68AF" w:rsidP="00766EF3">
            <w:pPr>
              <w:jc w:val="both"/>
              <w:rPr>
                <w:rFonts w:ascii="Times New Roman" w:eastAsia="Times New Roman" w:hAnsi="Times New Roman" w:cs="Times New Roman"/>
                <w:b/>
                <w:bCs/>
                <w:color w:val="000000"/>
                <w:sz w:val="20"/>
                <w:lang w:eastAsia="de-DE"/>
              </w:rPr>
            </w:pPr>
            <w:r w:rsidRPr="007226CD">
              <w:rPr>
                <w:rFonts w:ascii="Times New Roman" w:eastAsia="Times New Roman" w:hAnsi="Times New Roman" w:cs="Times New Roman"/>
                <w:b/>
                <w:bCs/>
                <w:color w:val="000000"/>
                <w:sz w:val="20"/>
                <w:lang w:eastAsia="de-DE"/>
              </w:rPr>
              <w:t>Discharging window</w:t>
            </w:r>
          </w:p>
        </w:tc>
        <w:tc>
          <w:tcPr>
            <w:tcW w:w="1765" w:type="dxa"/>
          </w:tcPr>
          <w:p w14:paraId="1F64E68D" w14:textId="52DA4549" w:rsidR="009E68AF" w:rsidRPr="007226CD" w:rsidRDefault="009E68AF" w:rsidP="00766EF3">
            <w:pPr>
              <w:jc w:val="both"/>
              <w:rPr>
                <w:rFonts w:ascii="Times New Roman" w:eastAsia="Times New Roman" w:hAnsi="Times New Roman" w:cs="Times New Roman"/>
                <w:b/>
                <w:bCs/>
                <w:color w:val="000000"/>
                <w:sz w:val="20"/>
                <w:lang w:eastAsia="de-DE"/>
              </w:rPr>
            </w:pPr>
            <w:r w:rsidRPr="007226CD">
              <w:rPr>
                <w:rFonts w:ascii="Times New Roman" w:eastAsia="Times New Roman" w:hAnsi="Times New Roman" w:cs="Times New Roman"/>
                <w:b/>
                <w:bCs/>
                <w:color w:val="000000"/>
                <w:sz w:val="20"/>
                <w:lang w:eastAsia="de-DE"/>
              </w:rPr>
              <w:t>Discharging volume flow rate factor</w:t>
            </w:r>
          </w:p>
        </w:tc>
      </w:tr>
      <w:tr w:rsidR="009E68AF" w:rsidRPr="00103A49" w14:paraId="4ADEAACE" w14:textId="77777777" w:rsidTr="00766EF3">
        <w:trPr>
          <w:trHeight w:val="510"/>
        </w:trPr>
        <w:tc>
          <w:tcPr>
            <w:tcW w:w="1735" w:type="dxa"/>
          </w:tcPr>
          <w:p w14:paraId="3D4E97E7"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Winter</w:t>
            </w:r>
          </w:p>
        </w:tc>
        <w:tc>
          <w:tcPr>
            <w:tcW w:w="1745" w:type="dxa"/>
          </w:tcPr>
          <w:p w14:paraId="0B2649C5"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6-8 a.m. &amp; </w:t>
            </w:r>
          </w:p>
          <w:p w14:paraId="56E8BDAB"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5-7 p.m.</w:t>
            </w:r>
          </w:p>
        </w:tc>
        <w:tc>
          <w:tcPr>
            <w:tcW w:w="1745" w:type="dxa"/>
          </w:tcPr>
          <w:p w14:paraId="39C11E51" w14:textId="1DE02946"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1.4 </w:t>
            </w:r>
          </w:p>
        </w:tc>
        <w:tc>
          <w:tcPr>
            <w:tcW w:w="1765" w:type="dxa"/>
          </w:tcPr>
          <w:p w14:paraId="40B4D10F"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8-10 a.m. &amp; </w:t>
            </w:r>
          </w:p>
          <w:p w14:paraId="73C4F8CC"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7-9 p.m.</w:t>
            </w:r>
          </w:p>
        </w:tc>
        <w:tc>
          <w:tcPr>
            <w:tcW w:w="1765" w:type="dxa"/>
          </w:tcPr>
          <w:p w14:paraId="6689ADD5"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0.7</w:t>
            </w:r>
          </w:p>
        </w:tc>
      </w:tr>
      <w:tr w:rsidR="009E68AF" w:rsidRPr="00103A49" w14:paraId="1FFD33A0" w14:textId="77777777" w:rsidTr="00766EF3">
        <w:trPr>
          <w:trHeight w:val="510"/>
        </w:trPr>
        <w:tc>
          <w:tcPr>
            <w:tcW w:w="1735" w:type="dxa"/>
          </w:tcPr>
          <w:p w14:paraId="5B4B864A"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Mid-season</w:t>
            </w:r>
          </w:p>
        </w:tc>
        <w:tc>
          <w:tcPr>
            <w:tcW w:w="1745" w:type="dxa"/>
          </w:tcPr>
          <w:p w14:paraId="7B6B9C78"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6-8 a.m. &amp; </w:t>
            </w:r>
          </w:p>
          <w:p w14:paraId="6A5EB4C2"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5-7 p.m.</w:t>
            </w:r>
          </w:p>
        </w:tc>
        <w:tc>
          <w:tcPr>
            <w:tcW w:w="1745" w:type="dxa"/>
          </w:tcPr>
          <w:p w14:paraId="4E495868"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1.35</w:t>
            </w:r>
          </w:p>
        </w:tc>
        <w:tc>
          <w:tcPr>
            <w:tcW w:w="1765" w:type="dxa"/>
          </w:tcPr>
          <w:p w14:paraId="6ED17721"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8-11 a.m. &amp; </w:t>
            </w:r>
          </w:p>
          <w:p w14:paraId="74D415A9"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7-10 p.m.</w:t>
            </w:r>
          </w:p>
        </w:tc>
        <w:tc>
          <w:tcPr>
            <w:tcW w:w="1765" w:type="dxa"/>
          </w:tcPr>
          <w:p w14:paraId="074FEB29" w14:textId="77777777" w:rsidR="009E68AF" w:rsidRPr="00103A49" w:rsidRDefault="009E68AF" w:rsidP="00766EF3">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0.75</w:t>
            </w:r>
          </w:p>
        </w:tc>
      </w:tr>
    </w:tbl>
    <w:p w14:paraId="752FC423" w14:textId="503F6E4D" w:rsidR="009E68AF" w:rsidRPr="00103A49" w:rsidRDefault="005743DA" w:rsidP="005743DA">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In addition to reducing maximum power peaks, DH systems increasingly require operational strategies capable of actively redistributing thermal loads over time. Therefore, a second charging strategy based on peak shifting is investigated in this work. Unlike the peak-shaving approach, which primarily limits the magnitude of load peaks, the objective of peak shifting is to intentionally relocate thermal demand from periods of high network utilization to periods with lower demand. This avoids the use of so-called peak-boilers, while simultaneously increasing the operational flexibility of the DH network. For this charging logic, the volume flow rate at the secondary loading pump for the buffer storage normally equals the </w:t>
      </w:r>
      <w:r w:rsidR="00EE2F8E" w:rsidRPr="00103A49">
        <w:rPr>
          <w:rFonts w:ascii="Times New Roman" w:eastAsia="Times New Roman" w:hAnsi="Times New Roman" w:cs="Times New Roman"/>
          <w:color w:val="000000"/>
          <w:sz w:val="20"/>
          <w:lang w:eastAsia="de-DE"/>
        </w:rPr>
        <w:t xml:space="preserve">consumption </w:t>
      </w:r>
      <w:r w:rsidRPr="00103A49">
        <w:rPr>
          <w:rFonts w:ascii="Times New Roman" w:eastAsia="Times New Roman" w:hAnsi="Times New Roman" w:cs="Times New Roman"/>
          <w:color w:val="000000"/>
          <w:sz w:val="20"/>
          <w:lang w:eastAsia="de-DE"/>
        </w:rPr>
        <w:t xml:space="preserve">volume flow rate that is leaving the storage for heat supply, </w:t>
      </w:r>
      <m:oMath>
        <m:sSub>
          <m:sSubPr>
            <m:ctrlPr>
              <w:rPr>
                <w:rFonts w:ascii="Cambria Math" w:eastAsia="Times New Roman" w:hAnsi="Cambria Math" w:cs="Times New Roman"/>
                <w:color w:val="000000"/>
                <w:sz w:val="20"/>
                <w:lang w:eastAsia="de-DE"/>
              </w:rPr>
            </m:ctrlPr>
          </m:sSubPr>
          <m:e>
            <m:acc>
              <m:accPr>
                <m:chr m:val="̇"/>
                <m:ctrlPr>
                  <w:rPr>
                    <w:rFonts w:ascii="Cambria Math" w:eastAsia="Times New Roman" w:hAnsi="Cambria Math" w:cs="Times New Roman"/>
                    <w:color w:val="000000"/>
                    <w:sz w:val="20"/>
                    <w:lang w:eastAsia="de-DE"/>
                  </w:rPr>
                </m:ctrlPr>
              </m:accPr>
              <m:e>
                <m:r>
                  <w:rPr>
                    <w:rFonts w:ascii="Cambria Math" w:eastAsia="Times New Roman" w:hAnsi="Cambria Math" w:cs="Times New Roman"/>
                    <w:color w:val="000000"/>
                    <w:sz w:val="20"/>
                    <w:lang w:eastAsia="de-DE"/>
                  </w:rPr>
                  <m:t>V</m:t>
                </m:r>
              </m:e>
            </m:acc>
          </m:e>
          <m:sub>
            <m:r>
              <w:rPr>
                <w:rFonts w:ascii="Cambria Math" w:eastAsia="Times New Roman" w:hAnsi="Cambria Math" w:cs="Times New Roman"/>
                <w:color w:val="000000"/>
                <w:sz w:val="20"/>
                <w:lang w:eastAsia="de-DE"/>
              </w:rPr>
              <m:t>cons</m:t>
            </m:r>
          </m:sub>
        </m:sSub>
      </m:oMath>
      <w:r w:rsidR="00EE2F8E" w:rsidRPr="007A39AC">
        <w:rPr>
          <w:rFonts w:ascii="Symbol" w:eastAsia="Times New Roman" w:hAnsi="Symbol" w:cs="Times New Roman"/>
          <w:color w:val="000000"/>
          <w:sz w:val="20"/>
          <w:lang w:eastAsia="de-DE"/>
        </w:rPr>
        <w:t>.</w:t>
      </w:r>
      <w:r w:rsidR="00EE2F8E" w:rsidRPr="00103A49">
        <w:rPr>
          <w:rFonts w:ascii="Times New Roman" w:eastAsia="Times New Roman" w:hAnsi="Times New Roman" w:cs="Times New Roman"/>
          <w:color w:val="000000"/>
          <w:sz w:val="20"/>
          <w:lang w:eastAsia="de-DE"/>
        </w:rPr>
        <w:t xml:space="preserve"> In periods before peak loads are expected, this volume flow rate is multiplied with a factor larger than one to charge the buffer storage. In the following period of typically high heat consumption, it is multiplied with a factor smaller than one. In case the temperature in the buffer storage drops below a critical value, this is overruled by a charging with 110% of </w:t>
      </w:r>
      <m:oMath>
        <m:sSub>
          <m:sSubPr>
            <m:ctrlPr>
              <w:rPr>
                <w:rFonts w:ascii="Cambria Math" w:eastAsia="Times New Roman" w:hAnsi="Cambria Math" w:cs="Times New Roman"/>
                <w:color w:val="000000"/>
                <w:sz w:val="20"/>
                <w:lang w:eastAsia="de-DE"/>
              </w:rPr>
            </m:ctrlPr>
          </m:sSubPr>
          <m:e>
            <m:acc>
              <m:accPr>
                <m:chr m:val="̇"/>
                <m:ctrlPr>
                  <w:rPr>
                    <w:rFonts w:ascii="Cambria Math" w:eastAsia="Times New Roman" w:hAnsi="Cambria Math" w:cs="Times New Roman"/>
                    <w:color w:val="000000"/>
                    <w:sz w:val="20"/>
                    <w:lang w:eastAsia="de-DE"/>
                  </w:rPr>
                </m:ctrlPr>
              </m:accPr>
              <m:e>
                <m:r>
                  <w:rPr>
                    <w:rFonts w:ascii="Cambria Math" w:eastAsia="Times New Roman" w:hAnsi="Cambria Math" w:cs="Times New Roman"/>
                    <w:color w:val="000000"/>
                    <w:sz w:val="20"/>
                    <w:lang w:eastAsia="de-DE"/>
                  </w:rPr>
                  <m:t>V</m:t>
                </m:r>
              </m:e>
            </m:acc>
          </m:e>
          <m:sub>
            <m:r>
              <w:rPr>
                <w:rFonts w:ascii="Cambria Math" w:eastAsia="Times New Roman" w:hAnsi="Cambria Math" w:cs="Times New Roman"/>
                <w:color w:val="000000"/>
                <w:sz w:val="20"/>
                <w:lang w:eastAsia="de-DE"/>
              </w:rPr>
              <m:t>cons</m:t>
            </m:r>
          </m:sub>
        </m:sSub>
      </m:oMath>
      <w:r w:rsidR="00EE2F8E" w:rsidRPr="00103A49">
        <w:rPr>
          <w:rFonts w:ascii="Times New Roman" w:eastAsia="Times New Roman" w:hAnsi="Times New Roman" w:cs="Times New Roman"/>
          <w:color w:val="000000"/>
          <w:sz w:val="20"/>
          <w:lang w:eastAsia="de-DE"/>
        </w:rPr>
        <w:t xml:space="preserve">. The exact multiplication factors and time windows vary during the year due to varying SH demand and are displayed in Table 1. </w:t>
      </w:r>
      <w:r w:rsidR="00766EF3">
        <w:rPr>
          <w:rFonts w:ascii="Times New Roman" w:eastAsia="Times New Roman" w:hAnsi="Times New Roman" w:cs="Times New Roman"/>
          <w:color w:val="000000"/>
          <w:sz w:val="20"/>
          <w:lang w:eastAsia="de-DE"/>
        </w:rPr>
        <w:t>Winter season includes January, February and December and allows only a discharging time window of two hours, while requiring charging with a volume</w:t>
      </w:r>
      <w:r w:rsidR="001F7CE8">
        <w:rPr>
          <w:rFonts w:ascii="Times New Roman" w:eastAsia="Times New Roman" w:hAnsi="Times New Roman" w:cs="Times New Roman"/>
          <w:color w:val="000000"/>
          <w:sz w:val="20"/>
          <w:lang w:eastAsia="de-DE"/>
        </w:rPr>
        <w:t xml:space="preserve"> flow</w:t>
      </w:r>
      <w:r w:rsidR="00766EF3">
        <w:rPr>
          <w:rFonts w:ascii="Times New Roman" w:eastAsia="Times New Roman" w:hAnsi="Times New Roman" w:cs="Times New Roman"/>
          <w:color w:val="000000"/>
          <w:sz w:val="20"/>
          <w:lang w:eastAsia="de-DE"/>
        </w:rPr>
        <w:t xml:space="preserve"> factor of 1.4. Mid-season means the months from March to May and October and November, where the discharging window is extended to three hours, while the charging volume </w:t>
      </w:r>
      <w:r w:rsidR="001F7CE8">
        <w:rPr>
          <w:rFonts w:ascii="Times New Roman" w:eastAsia="Times New Roman" w:hAnsi="Times New Roman" w:cs="Times New Roman"/>
          <w:color w:val="000000"/>
          <w:sz w:val="20"/>
          <w:lang w:eastAsia="de-DE"/>
        </w:rPr>
        <w:t xml:space="preserve">flow </w:t>
      </w:r>
      <w:r w:rsidR="00766EF3">
        <w:rPr>
          <w:rFonts w:ascii="Times New Roman" w:eastAsia="Times New Roman" w:hAnsi="Times New Roman" w:cs="Times New Roman"/>
          <w:color w:val="000000"/>
          <w:sz w:val="20"/>
          <w:lang w:eastAsia="de-DE"/>
        </w:rPr>
        <w:t>factor can be a bit reduced to 1.35. Summer time is excluded from this consideration, since the changed load profile requires different strategies.</w:t>
      </w:r>
    </w:p>
    <w:p w14:paraId="021AB692" w14:textId="78211760" w:rsidR="009E68AF" w:rsidRPr="007226CD" w:rsidRDefault="009E68AF" w:rsidP="007E693E">
      <w:pPr>
        <w:jc w:val="center"/>
        <w:rPr>
          <w:rFonts w:ascii="Times New Roman" w:eastAsia="Times New Roman" w:hAnsi="Times New Roman" w:cs="Times New Roman"/>
          <w:b/>
          <w:color w:val="000000"/>
          <w:sz w:val="16"/>
          <w:szCs w:val="20"/>
          <w:lang w:eastAsia="de-DE"/>
        </w:rPr>
      </w:pPr>
      <w:r w:rsidRPr="007226CD">
        <w:rPr>
          <w:rFonts w:ascii="Times New Roman" w:eastAsia="Times New Roman" w:hAnsi="Times New Roman" w:cs="Times New Roman"/>
          <w:b/>
          <w:color w:val="000000"/>
          <w:sz w:val="16"/>
          <w:szCs w:val="20"/>
          <w:lang w:eastAsia="de-DE"/>
        </w:rPr>
        <w:t xml:space="preserve">Table 1: Peak-shifting charging strategy; charging and discharging time windows and multiplication factor for the consumption volume flow rate </w:t>
      </w:r>
      <m:oMath>
        <m:sSub>
          <m:sSubPr>
            <m:ctrlPr>
              <w:rPr>
                <w:rFonts w:ascii="Cambria Math" w:eastAsia="Times New Roman" w:hAnsi="Cambria Math" w:cs="Times New Roman"/>
                <w:b/>
                <w:color w:val="000000"/>
                <w:sz w:val="16"/>
                <w:szCs w:val="20"/>
                <w:lang w:eastAsia="de-DE"/>
              </w:rPr>
            </m:ctrlPr>
          </m:sSubPr>
          <m:e>
            <m:acc>
              <m:accPr>
                <m:chr m:val="̇"/>
                <m:ctrlPr>
                  <w:rPr>
                    <w:rFonts w:ascii="Cambria Math" w:eastAsia="Times New Roman" w:hAnsi="Cambria Math" w:cs="Times New Roman"/>
                    <w:b/>
                    <w:color w:val="000000"/>
                    <w:sz w:val="16"/>
                    <w:szCs w:val="20"/>
                    <w:lang w:eastAsia="de-DE"/>
                  </w:rPr>
                </m:ctrlPr>
              </m:accPr>
              <m:e>
                <m:r>
                  <m:rPr>
                    <m:sty m:val="bi"/>
                  </m:rPr>
                  <w:rPr>
                    <w:rFonts w:ascii="Cambria Math" w:eastAsia="Times New Roman" w:hAnsi="Cambria Math" w:cs="Times New Roman"/>
                    <w:color w:val="000000"/>
                    <w:sz w:val="16"/>
                    <w:szCs w:val="20"/>
                    <w:lang w:eastAsia="de-DE"/>
                  </w:rPr>
                  <m:t>V</m:t>
                </m:r>
              </m:e>
            </m:acc>
          </m:e>
          <m:sub>
            <m:r>
              <m:rPr>
                <m:sty m:val="bi"/>
              </m:rPr>
              <w:rPr>
                <w:rFonts w:ascii="Cambria Math" w:eastAsia="Times New Roman" w:hAnsi="Cambria Math" w:cs="Times New Roman"/>
                <w:color w:val="000000"/>
                <w:sz w:val="16"/>
                <w:szCs w:val="20"/>
                <w:lang w:eastAsia="de-DE"/>
              </w:rPr>
              <m:t>cons</m:t>
            </m:r>
          </m:sub>
        </m:sSub>
      </m:oMath>
    </w:p>
    <w:p w14:paraId="288AA4AE" w14:textId="374632F9" w:rsidR="00103A49" w:rsidRDefault="00103A49" w:rsidP="00AE50B1">
      <w:pPr>
        <w:rPr>
          <w:rFonts w:ascii="Times New Roman" w:eastAsia="Times New Roman" w:hAnsi="Times New Roman" w:cs="Times New Roman"/>
          <w:color w:val="000000"/>
          <w:sz w:val="20"/>
          <w:lang w:eastAsia="de-DE"/>
        </w:rPr>
      </w:pPr>
    </w:p>
    <w:p w14:paraId="1B1E562C" w14:textId="4C244456" w:rsidR="00F71957" w:rsidRDefault="00F71957" w:rsidP="00F71957">
      <w:pPr>
        <w:pStyle w:val="Listenabsatz"/>
        <w:numPr>
          <w:ilvl w:val="0"/>
          <w:numId w:val="2"/>
        </w:numP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Evaluation</w:t>
      </w:r>
    </w:p>
    <w:p w14:paraId="265E7B0C" w14:textId="04EC3DBC" w:rsidR="00F71957" w:rsidRDefault="00F71957" w:rsidP="007B3DE6">
      <w:pPr>
        <w:jc w:val="both"/>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 xml:space="preserve">The different charging strategies in combination with the two hydraulic configurations are evaluated for one test year, which has a yearly SH demand of </w:t>
      </w:r>
      <w:r w:rsidR="007B0BFC">
        <w:rPr>
          <w:rFonts w:ascii="Times New Roman" w:eastAsia="Times New Roman" w:hAnsi="Times New Roman" w:cs="Times New Roman"/>
          <w:color w:val="000000"/>
          <w:sz w:val="20"/>
          <w:lang w:eastAsia="de-DE"/>
        </w:rPr>
        <w:t xml:space="preserve">211 </w:t>
      </w:r>
      <w:r>
        <w:rPr>
          <w:rFonts w:ascii="Times New Roman" w:eastAsia="Times New Roman" w:hAnsi="Times New Roman" w:cs="Times New Roman"/>
          <w:color w:val="000000"/>
          <w:sz w:val="20"/>
          <w:lang w:eastAsia="de-DE"/>
        </w:rPr>
        <w:t xml:space="preserve">MWh and </w:t>
      </w:r>
      <w:r w:rsidR="007B0BFC">
        <w:rPr>
          <w:rFonts w:ascii="Times New Roman" w:eastAsia="Times New Roman" w:hAnsi="Times New Roman" w:cs="Times New Roman"/>
          <w:color w:val="000000"/>
          <w:sz w:val="20"/>
          <w:lang w:eastAsia="de-DE"/>
        </w:rPr>
        <w:t xml:space="preserve">88 </w:t>
      </w:r>
      <w:r>
        <w:rPr>
          <w:rFonts w:ascii="Times New Roman" w:eastAsia="Times New Roman" w:hAnsi="Times New Roman" w:cs="Times New Roman"/>
          <w:color w:val="000000"/>
          <w:sz w:val="20"/>
          <w:lang w:eastAsia="de-DE"/>
        </w:rPr>
        <w:t xml:space="preserve">MWh DHW demand. The </w:t>
      </w:r>
      <w:r w:rsidR="007B0BFC">
        <w:rPr>
          <w:rFonts w:ascii="Times New Roman" w:eastAsia="Times New Roman" w:hAnsi="Times New Roman" w:cs="Times New Roman"/>
          <w:color w:val="000000"/>
          <w:sz w:val="20"/>
          <w:lang w:eastAsia="de-DE"/>
        </w:rPr>
        <w:t>evaluated</w:t>
      </w:r>
      <w:r>
        <w:rPr>
          <w:rFonts w:ascii="Times New Roman" w:eastAsia="Times New Roman" w:hAnsi="Times New Roman" w:cs="Times New Roman"/>
          <w:color w:val="000000"/>
          <w:sz w:val="20"/>
          <w:lang w:eastAsia="de-DE"/>
        </w:rPr>
        <w:t xml:space="preserve"> period excludes the summer months from June to October, since there is no SH demand during this time,</w:t>
      </w:r>
      <w:r w:rsidR="00F315EC">
        <w:rPr>
          <w:rFonts w:ascii="Times New Roman" w:eastAsia="Times New Roman" w:hAnsi="Times New Roman" w:cs="Times New Roman"/>
          <w:color w:val="000000"/>
          <w:sz w:val="20"/>
          <w:lang w:eastAsia="de-DE"/>
        </w:rPr>
        <w:t xml:space="preserve"> therefore significantly lower heat demand. On one hand, this means that the need for peak-shaving and peak-shifting strategies is </w:t>
      </w:r>
      <w:r w:rsidR="007B0BFC">
        <w:rPr>
          <w:rFonts w:ascii="Times New Roman" w:eastAsia="Times New Roman" w:hAnsi="Times New Roman" w:cs="Times New Roman"/>
          <w:color w:val="000000"/>
          <w:sz w:val="20"/>
          <w:lang w:eastAsia="de-DE"/>
        </w:rPr>
        <w:t xml:space="preserve">lower, because there </w:t>
      </w:r>
      <w:r w:rsidR="0096060F">
        <w:rPr>
          <w:rFonts w:ascii="Times New Roman" w:eastAsia="Times New Roman" w:hAnsi="Times New Roman" w:cs="Times New Roman"/>
          <w:color w:val="000000"/>
          <w:sz w:val="20"/>
          <w:lang w:eastAsia="de-DE"/>
        </w:rPr>
        <w:t>is sufficient</w:t>
      </w:r>
      <w:r w:rsidR="007B0BFC">
        <w:rPr>
          <w:rFonts w:ascii="Times New Roman" w:eastAsia="Times New Roman" w:hAnsi="Times New Roman" w:cs="Times New Roman"/>
          <w:color w:val="000000"/>
          <w:sz w:val="20"/>
          <w:lang w:eastAsia="de-DE"/>
        </w:rPr>
        <w:t xml:space="preserve"> backup capacit</w:t>
      </w:r>
      <w:r w:rsidR="0096060F">
        <w:rPr>
          <w:rFonts w:ascii="Times New Roman" w:eastAsia="Times New Roman" w:hAnsi="Times New Roman" w:cs="Times New Roman"/>
          <w:color w:val="000000"/>
          <w:sz w:val="20"/>
          <w:lang w:eastAsia="de-DE"/>
        </w:rPr>
        <w:t>y</w:t>
      </w:r>
      <w:r w:rsidR="007B0BFC">
        <w:rPr>
          <w:rFonts w:ascii="Times New Roman" w:eastAsia="Times New Roman" w:hAnsi="Times New Roman" w:cs="Times New Roman"/>
          <w:color w:val="000000"/>
          <w:sz w:val="20"/>
          <w:lang w:eastAsia="de-DE"/>
        </w:rPr>
        <w:t xml:space="preserve"> in the network and the load utilization in the network is</w:t>
      </w:r>
      <w:r w:rsidR="0096060F">
        <w:rPr>
          <w:rFonts w:ascii="Times New Roman" w:eastAsia="Times New Roman" w:hAnsi="Times New Roman" w:cs="Times New Roman"/>
          <w:color w:val="000000"/>
          <w:sz w:val="20"/>
          <w:lang w:eastAsia="de-DE"/>
        </w:rPr>
        <w:t xml:space="preserve"> significant</w:t>
      </w:r>
      <w:r w:rsidR="007B0BFC">
        <w:rPr>
          <w:rFonts w:ascii="Times New Roman" w:eastAsia="Times New Roman" w:hAnsi="Times New Roman" w:cs="Times New Roman"/>
          <w:color w:val="000000"/>
          <w:sz w:val="20"/>
          <w:lang w:eastAsia="de-DE"/>
        </w:rPr>
        <w:t xml:space="preserve"> lower. On the other hand, </w:t>
      </w:r>
      <w:r w:rsidR="00990740">
        <w:rPr>
          <w:rFonts w:ascii="Times New Roman" w:eastAsia="Times New Roman" w:hAnsi="Times New Roman" w:cs="Times New Roman"/>
          <w:color w:val="000000"/>
          <w:sz w:val="20"/>
          <w:lang w:eastAsia="de-DE"/>
        </w:rPr>
        <w:t xml:space="preserve">during summer </w:t>
      </w:r>
      <w:r w:rsidR="007B0BFC">
        <w:rPr>
          <w:rFonts w:ascii="Times New Roman" w:eastAsia="Times New Roman" w:hAnsi="Times New Roman" w:cs="Times New Roman"/>
          <w:color w:val="000000"/>
          <w:sz w:val="20"/>
          <w:lang w:eastAsia="de-DE"/>
        </w:rPr>
        <w:t xml:space="preserve">the buffer tank </w:t>
      </w:r>
      <w:r w:rsidR="00990740">
        <w:rPr>
          <w:rFonts w:ascii="Times New Roman" w:eastAsia="Times New Roman" w:hAnsi="Times New Roman" w:cs="Times New Roman"/>
          <w:color w:val="000000"/>
          <w:sz w:val="20"/>
          <w:lang w:eastAsia="de-DE"/>
        </w:rPr>
        <w:t xml:space="preserve">in the morning typically </w:t>
      </w:r>
      <w:r w:rsidR="007B0BFC">
        <w:rPr>
          <w:rFonts w:ascii="Times New Roman" w:eastAsia="Times New Roman" w:hAnsi="Times New Roman" w:cs="Times New Roman"/>
          <w:color w:val="000000"/>
          <w:sz w:val="20"/>
          <w:lang w:eastAsia="de-DE"/>
        </w:rPr>
        <w:t xml:space="preserve">has </w:t>
      </w:r>
      <w:r w:rsidR="00990740">
        <w:rPr>
          <w:rFonts w:ascii="Times New Roman" w:eastAsia="Times New Roman" w:hAnsi="Times New Roman" w:cs="Times New Roman"/>
          <w:color w:val="000000"/>
          <w:sz w:val="20"/>
          <w:lang w:eastAsia="de-DE"/>
        </w:rPr>
        <w:t xml:space="preserve">already </w:t>
      </w:r>
      <w:r w:rsidR="007B0BFC">
        <w:rPr>
          <w:rFonts w:ascii="Times New Roman" w:eastAsia="Times New Roman" w:hAnsi="Times New Roman" w:cs="Times New Roman"/>
          <w:color w:val="000000"/>
          <w:sz w:val="20"/>
          <w:lang w:eastAsia="de-DE"/>
        </w:rPr>
        <w:t>a high charging state</w:t>
      </w:r>
      <w:r w:rsidR="00990740">
        <w:rPr>
          <w:rFonts w:ascii="Times New Roman" w:eastAsia="Times New Roman" w:hAnsi="Times New Roman" w:cs="Times New Roman"/>
          <w:color w:val="000000"/>
          <w:sz w:val="20"/>
          <w:lang w:eastAsia="de-DE"/>
        </w:rPr>
        <w:t xml:space="preserve"> due to high return temperatures mainly from DHW circulation</w:t>
      </w:r>
      <w:r w:rsidR="007B0BFC">
        <w:rPr>
          <w:rFonts w:ascii="Times New Roman" w:eastAsia="Times New Roman" w:hAnsi="Times New Roman" w:cs="Times New Roman"/>
          <w:color w:val="000000"/>
          <w:sz w:val="20"/>
          <w:lang w:eastAsia="de-DE"/>
        </w:rPr>
        <w:t xml:space="preserve">, </w:t>
      </w:r>
      <w:r w:rsidR="00990740">
        <w:rPr>
          <w:rFonts w:ascii="Times New Roman" w:eastAsia="Times New Roman" w:hAnsi="Times New Roman" w:cs="Times New Roman"/>
          <w:color w:val="000000"/>
          <w:sz w:val="20"/>
          <w:lang w:eastAsia="de-DE"/>
        </w:rPr>
        <w:t>which does not allow extra charging. Since</w:t>
      </w:r>
      <w:r w:rsidR="007B0BFC">
        <w:rPr>
          <w:rFonts w:ascii="Times New Roman" w:eastAsia="Times New Roman" w:hAnsi="Times New Roman" w:cs="Times New Roman"/>
          <w:color w:val="000000"/>
          <w:sz w:val="20"/>
          <w:lang w:eastAsia="de-DE"/>
        </w:rPr>
        <w:t xml:space="preserve"> the peaks are only caused by DHW consumption peaks, other strategies might be more beneficial during summer time than the two proposed charging strategies.</w:t>
      </w:r>
    </w:p>
    <w:p w14:paraId="0B39C5E8" w14:textId="77777777" w:rsidR="00F71957" w:rsidRPr="00F71957" w:rsidRDefault="00F71957" w:rsidP="00F71957">
      <w:pPr>
        <w:rPr>
          <w:rFonts w:ascii="Times New Roman" w:eastAsia="Times New Roman" w:hAnsi="Times New Roman" w:cs="Times New Roman"/>
          <w:color w:val="000000"/>
          <w:sz w:val="20"/>
          <w:lang w:eastAsia="de-DE"/>
        </w:rPr>
      </w:pPr>
    </w:p>
    <w:p w14:paraId="76EB81CE" w14:textId="44068F7D" w:rsidR="00996BC6" w:rsidRPr="00103A49" w:rsidRDefault="00C077DF" w:rsidP="00103A49">
      <w:pPr>
        <w:pStyle w:val="Listenabsatz"/>
        <w:numPr>
          <w:ilvl w:val="1"/>
          <w:numId w:val="1"/>
        </w:numPr>
        <w:rPr>
          <w:rFonts w:ascii="Arial" w:eastAsia="Times New Roman" w:hAnsi="Arial" w:cs="Times New Roman"/>
          <w:i/>
          <w:color w:val="000000"/>
          <w:sz w:val="20"/>
          <w:lang w:val="en-GB" w:eastAsia="de-DE"/>
        </w:rPr>
      </w:pPr>
      <w:r w:rsidRPr="00103A49">
        <w:rPr>
          <w:rFonts w:ascii="Arial" w:eastAsia="Times New Roman" w:hAnsi="Arial" w:cs="Times New Roman"/>
          <w:i/>
          <w:color w:val="000000"/>
          <w:sz w:val="20"/>
          <w:lang w:val="en-GB" w:eastAsia="de-DE"/>
        </w:rPr>
        <w:t>Prediction model</w:t>
      </w:r>
    </w:p>
    <w:p w14:paraId="72F724B6" w14:textId="3089C087" w:rsidR="00C077DF" w:rsidRPr="00103A49" w:rsidRDefault="00C077DF" w:rsidP="00C077DF">
      <w:pPr>
        <w:pStyle w:val="Listenabsatz"/>
        <w:numPr>
          <w:ilvl w:val="2"/>
          <w:numId w:val="1"/>
        </w:numPr>
        <w:rPr>
          <w:rFonts w:ascii="Arial" w:eastAsia="Times New Roman" w:hAnsi="Arial" w:cs="Times New Roman"/>
          <w:i/>
          <w:color w:val="000000"/>
          <w:sz w:val="20"/>
          <w:lang w:val="en-GB" w:eastAsia="de-DE"/>
        </w:rPr>
      </w:pPr>
      <w:r w:rsidRPr="00103A49">
        <w:rPr>
          <w:rFonts w:ascii="Arial" w:eastAsia="Times New Roman" w:hAnsi="Arial" w:cs="Times New Roman"/>
          <w:i/>
          <w:color w:val="000000"/>
          <w:sz w:val="20"/>
          <w:lang w:val="en-GB" w:eastAsia="de-DE"/>
        </w:rPr>
        <w:t>Approach</w:t>
      </w:r>
    </w:p>
    <w:p w14:paraId="2FABD08A" w14:textId="2809D8B6" w:rsidR="00C077DF" w:rsidRPr="008119E0" w:rsidRDefault="00C077DF" w:rsidP="00C077DF">
      <w:pPr>
        <w:jc w:val="both"/>
        <w:rPr>
          <w:rFonts w:ascii="Times New Roman" w:eastAsia="Times New Roman" w:hAnsi="Times New Roman" w:cs="Times New Roman"/>
          <w:color w:val="000000"/>
          <w:sz w:val="20"/>
          <w:szCs w:val="20"/>
          <w:lang w:eastAsia="de-DE"/>
        </w:rPr>
      </w:pPr>
      <w:r w:rsidRPr="00103A49">
        <w:rPr>
          <w:rFonts w:ascii="Times New Roman" w:eastAsia="Times New Roman" w:hAnsi="Times New Roman" w:cs="Times New Roman"/>
          <w:color w:val="000000"/>
          <w:sz w:val="20"/>
          <w:lang w:eastAsia="de-DE"/>
        </w:rPr>
        <w:t xml:space="preserve">For both charging strategies and for both hydraulic setups, neural network models are trained, which enable the prediction of the resulting thermal power and return temperature at the DH substation. </w:t>
      </w:r>
      <w:r w:rsidR="007D3C0C" w:rsidRPr="00103A49">
        <w:rPr>
          <w:rFonts w:ascii="Times New Roman" w:eastAsia="Times New Roman" w:hAnsi="Times New Roman" w:cs="Times New Roman"/>
          <w:color w:val="000000"/>
          <w:sz w:val="20"/>
          <w:lang w:eastAsia="de-DE"/>
        </w:rPr>
        <w:t xml:space="preserve">The model gets as input features SH power, SH volume flow rate, SH return temperature, DHW power and DHW volume flow rate. The model predicts for each timestep the </w:t>
      </w:r>
      <w:r w:rsidR="007D3C0C" w:rsidRPr="008119E0">
        <w:rPr>
          <w:rFonts w:ascii="Times New Roman" w:eastAsia="Times New Roman" w:hAnsi="Times New Roman" w:cs="Times New Roman"/>
          <w:color w:val="000000"/>
          <w:sz w:val="20"/>
          <w:szCs w:val="20"/>
          <w:lang w:eastAsia="de-DE"/>
        </w:rPr>
        <w:t xml:space="preserve">resulting thermal power at the DH substation and the return temperature to DH as target features. </w:t>
      </w:r>
      <w:r w:rsidRPr="008119E0">
        <w:rPr>
          <w:rFonts w:ascii="Times New Roman" w:eastAsia="Times New Roman" w:hAnsi="Times New Roman" w:cs="Times New Roman"/>
          <w:color w:val="000000"/>
          <w:sz w:val="20"/>
          <w:szCs w:val="20"/>
          <w:lang w:eastAsia="de-DE"/>
        </w:rPr>
        <w:t xml:space="preserve">In the previous work of </w:t>
      </w:r>
      <w:sdt>
        <w:sdtPr>
          <w:rPr>
            <w:rFonts w:ascii="Times New Roman" w:hAnsi="Times New Roman" w:cs="Times New Roman"/>
            <w:color w:val="000000"/>
            <w:sz w:val="20"/>
            <w:szCs w:val="20"/>
          </w:rPr>
          <w:alias w:val="To edit, see citavi.com/edit"/>
          <w:tag w:val="CitaviPlaceholder#816ee788-cc92-364c-fb0c-b6bb6e2fbe2f"/>
          <w:id w:val="-1219811166"/>
        </w:sdtPr>
        <w:sdtEndPr/>
        <w:sdtContent>
          <w:r w:rsidR="00A557D0" w:rsidRPr="00F329AF">
            <w:rPr>
              <w:rFonts w:ascii="Times New Roman" w:hAnsi="Times New Roman" w:cs="Times New Roman"/>
              <w:color w:val="000000"/>
              <w:sz w:val="20"/>
              <w:szCs w:val="20"/>
            </w:rPr>
            <w:fldChar w:fldCharType="begin"/>
          </w:r>
          <w:r w:rsidR="00A557D0" w:rsidRPr="00F329AF">
            <w:rPr>
              <w:rFonts w:ascii="Times New Roman" w:hAnsi="Times New Roman" w:cs="Times New Roman"/>
              <w:color w:val="000000"/>
              <w:sz w:val="20"/>
              <w:szCs w:val="20"/>
            </w:rPr>
            <w:instrText>ADDIN CitaviPlaceholder{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}</w:instrText>
          </w:r>
          <w:r w:rsidR="00A557D0" w:rsidRPr="00F329AF">
            <w:rPr>
              <w:rFonts w:ascii="Times New Roman" w:hAnsi="Times New Roman" w:cs="Times New Roman"/>
              <w:color w:val="000000"/>
              <w:sz w:val="20"/>
              <w:szCs w:val="20"/>
            </w:rPr>
            <w:fldChar w:fldCharType="separate"/>
          </w:r>
          <w:r w:rsidR="00A557D0" w:rsidRPr="00F329AF">
            <w:rPr>
              <w:rFonts w:ascii="Times New Roman" w:hAnsi="Times New Roman" w:cs="Times New Roman"/>
              <w:color w:val="000000"/>
              <w:sz w:val="20"/>
              <w:szCs w:val="20"/>
            </w:rPr>
            <w:t>(Forndran et al., 2026)</w:t>
          </w:r>
          <w:r w:rsidR="00A557D0" w:rsidRPr="00F329AF">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two classes of data-driven models, Autoregressive models with Exogeneous Inputs (ARX) and Convolutional Neural Network (CNN) – Long Short Term Memory (LSTM),  were investigated and compared</w:t>
      </w:r>
      <w:r w:rsidR="007D3C0C" w:rsidRPr="008119E0">
        <w:rPr>
          <w:rFonts w:ascii="Times New Roman" w:eastAsia="Times New Roman" w:hAnsi="Times New Roman" w:cs="Times New Roman"/>
          <w:color w:val="000000"/>
          <w:sz w:val="20"/>
          <w:szCs w:val="20"/>
          <w:lang w:eastAsia="de-DE"/>
        </w:rPr>
        <w:t xml:space="preserve"> for the peak-shaving strategy</w:t>
      </w:r>
      <w:r w:rsidRPr="008119E0">
        <w:rPr>
          <w:rFonts w:ascii="Times New Roman" w:eastAsia="Times New Roman" w:hAnsi="Times New Roman" w:cs="Times New Roman"/>
          <w:color w:val="000000"/>
          <w:sz w:val="20"/>
          <w:szCs w:val="20"/>
          <w:lang w:eastAsia="de-DE"/>
        </w:rPr>
        <w:t xml:space="preserve">. For the peak-shifting strategy a simplified Temporal Fusion Transformer (TFT) showed more accurate results, while it also works for the peak-shaving strategy, which is why this </w:t>
      </w:r>
      <w:r w:rsidR="007D3C0C" w:rsidRPr="008119E0">
        <w:rPr>
          <w:rFonts w:ascii="Times New Roman" w:eastAsia="Times New Roman" w:hAnsi="Times New Roman" w:cs="Times New Roman"/>
          <w:color w:val="000000"/>
          <w:sz w:val="20"/>
          <w:szCs w:val="20"/>
          <w:lang w:eastAsia="de-DE"/>
        </w:rPr>
        <w:t>neural network</w:t>
      </w:r>
      <w:r w:rsidRPr="008119E0">
        <w:rPr>
          <w:rFonts w:ascii="Times New Roman" w:eastAsia="Times New Roman" w:hAnsi="Times New Roman" w:cs="Times New Roman"/>
          <w:color w:val="000000"/>
          <w:sz w:val="20"/>
          <w:szCs w:val="20"/>
          <w:lang w:eastAsia="de-DE"/>
        </w:rPr>
        <w:t xml:space="preserve"> type is used in this work. </w:t>
      </w:r>
      <w:r w:rsidR="00F5421C" w:rsidRPr="008119E0">
        <w:rPr>
          <w:rFonts w:ascii="Times New Roman" w:eastAsia="Times New Roman" w:hAnsi="Times New Roman" w:cs="Times New Roman"/>
          <w:color w:val="000000"/>
          <w:sz w:val="20"/>
          <w:szCs w:val="20"/>
          <w:lang w:eastAsia="de-DE"/>
        </w:rPr>
        <w:t xml:space="preserve">The architecture set-up and training process is implemented using </w:t>
      </w:r>
      <w:proofErr w:type="spellStart"/>
      <w:r w:rsidR="00F5421C" w:rsidRPr="008119E0">
        <w:rPr>
          <w:rFonts w:ascii="Times New Roman" w:eastAsia="Times New Roman" w:hAnsi="Times New Roman" w:cs="Times New Roman"/>
          <w:color w:val="000000"/>
          <w:sz w:val="20"/>
          <w:szCs w:val="20"/>
          <w:lang w:eastAsia="de-DE"/>
        </w:rPr>
        <w:t>Keras</w:t>
      </w:r>
      <w:proofErr w:type="spellEnd"/>
      <w:r w:rsidR="00F5421C" w:rsidRPr="008119E0">
        <w:rPr>
          <w:rFonts w:ascii="Times New Roman" w:eastAsia="Times New Roman" w:hAnsi="Times New Roman" w:cs="Times New Roman"/>
          <w:color w:val="000000"/>
          <w:sz w:val="20"/>
          <w:szCs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c24a0dc9-cf99-b85b-5244-a587ab02154c"/>
          <w:id w:val="-639044366"/>
        </w:sdtPr>
        <w:sdtEndPr/>
        <w:sdtContent>
          <w:r w:rsidR="00A557D0" w:rsidRPr="00F329AF">
            <w:rPr>
              <w:rFonts w:ascii="Times New Roman" w:hAnsi="Times New Roman" w:cs="Times New Roman"/>
              <w:color w:val="000000"/>
              <w:sz w:val="20"/>
              <w:szCs w:val="20"/>
            </w:rPr>
            <w:fldChar w:fldCharType="begin"/>
          </w:r>
          <w:r w:rsidR="00A557D0" w:rsidRPr="00F329AF">
            <w:rPr>
              <w:rFonts w:ascii="Times New Roman" w:hAnsi="Times New Roman" w:cs="Times New Roman"/>
              <w:color w:val="000000"/>
              <w:sz w:val="20"/>
              <w:szCs w:val="20"/>
            </w:rPr>
            <w:instrText>ADDIN CitaviPlaceholder{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}</w:instrText>
          </w:r>
          <w:r w:rsidR="00A557D0" w:rsidRPr="00F329AF">
            <w:rPr>
              <w:rFonts w:ascii="Times New Roman" w:hAnsi="Times New Roman" w:cs="Times New Roman"/>
              <w:color w:val="000000"/>
              <w:sz w:val="20"/>
              <w:szCs w:val="20"/>
            </w:rPr>
            <w:fldChar w:fldCharType="separate"/>
          </w:r>
          <w:r w:rsidR="00A557D0" w:rsidRPr="00F329AF">
            <w:rPr>
              <w:rFonts w:ascii="Times New Roman" w:hAnsi="Times New Roman" w:cs="Times New Roman"/>
              <w:color w:val="000000"/>
              <w:sz w:val="20"/>
              <w:szCs w:val="20"/>
            </w:rPr>
            <w:t>(Chollet, 2015)</w:t>
          </w:r>
          <w:r w:rsidR="00A557D0" w:rsidRPr="00F329AF">
            <w:rPr>
              <w:rFonts w:ascii="Times New Roman" w:hAnsi="Times New Roman" w:cs="Times New Roman"/>
              <w:color w:val="000000"/>
              <w:sz w:val="20"/>
              <w:szCs w:val="20"/>
            </w:rPr>
            <w:fldChar w:fldCharType="end"/>
          </w:r>
        </w:sdtContent>
      </w:sdt>
      <w:r w:rsidR="00F5421C" w:rsidRPr="008119E0">
        <w:rPr>
          <w:rFonts w:ascii="Times New Roman" w:eastAsia="Times New Roman" w:hAnsi="Times New Roman" w:cs="Times New Roman"/>
          <w:color w:val="000000"/>
          <w:sz w:val="20"/>
          <w:szCs w:val="20"/>
          <w:lang w:eastAsia="de-DE"/>
        </w:rPr>
        <w:t>.</w:t>
      </w:r>
    </w:p>
    <w:p w14:paraId="2D11A756" w14:textId="49DB1C96" w:rsidR="00C077DF" w:rsidRPr="00103A49" w:rsidRDefault="00C077DF" w:rsidP="00103A49">
      <w:pPr>
        <w:pStyle w:val="Listenabsatz"/>
        <w:ind w:left="1080"/>
        <w:jc w:val="both"/>
        <w:rPr>
          <w:rFonts w:ascii="Arial" w:eastAsia="Times New Roman" w:hAnsi="Arial" w:cs="Times New Roman"/>
          <w:i/>
          <w:color w:val="000000"/>
          <w:sz w:val="20"/>
          <w:lang w:val="en-GB" w:eastAsia="de-DE"/>
        </w:rPr>
      </w:pPr>
    </w:p>
    <w:p w14:paraId="75E47610" w14:textId="0AB3F257" w:rsidR="00C077DF" w:rsidRPr="00103A49" w:rsidRDefault="00C077DF" w:rsidP="00103A49">
      <w:pPr>
        <w:pStyle w:val="Listenabsatz"/>
        <w:numPr>
          <w:ilvl w:val="2"/>
          <w:numId w:val="1"/>
        </w:numPr>
        <w:rPr>
          <w:rFonts w:ascii="Arial" w:eastAsia="Times New Roman" w:hAnsi="Arial" w:cs="Times New Roman"/>
          <w:i/>
          <w:color w:val="000000"/>
          <w:sz w:val="20"/>
          <w:lang w:val="en-GB" w:eastAsia="de-DE"/>
        </w:rPr>
      </w:pPr>
      <w:r w:rsidRPr="00103A49">
        <w:rPr>
          <w:rFonts w:ascii="Arial" w:eastAsia="Times New Roman" w:hAnsi="Arial" w:cs="Times New Roman"/>
          <w:i/>
          <w:color w:val="000000"/>
          <w:sz w:val="20"/>
          <w:lang w:val="en-GB" w:eastAsia="de-DE"/>
        </w:rPr>
        <w:t>Temporal Fusion Transformer</w:t>
      </w:r>
    </w:p>
    <w:p w14:paraId="61899C9D" w14:textId="42A07DF6" w:rsidR="00996BC6" w:rsidRPr="00103A49" w:rsidRDefault="009E68AF" w:rsidP="00996BC6">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The TFT</w:t>
      </w:r>
      <w:r w:rsidR="00996BC6" w:rsidRPr="00103A49">
        <w:rPr>
          <w:rFonts w:ascii="Times New Roman" w:eastAsia="Times New Roman" w:hAnsi="Times New Roman" w:cs="Times New Roman"/>
          <w:color w:val="000000"/>
          <w:sz w:val="20"/>
          <w:lang w:eastAsia="de-DE"/>
        </w:rPr>
        <w:t xml:space="preserve"> is a neural network architecture specifically developed for multivariate time-series forecasting. It combines recurrent neural networks with transformer-based attention mechanisms, allowing both short-term temporal dynamics and long-term dependencies within historical measurements to be captured.</w:t>
      </w:r>
      <w:r w:rsidR="00A163CD">
        <w:rPr>
          <w:rFonts w:ascii="Times New Roman" w:eastAsia="Times New Roman" w:hAnsi="Times New Roman" w:cs="Times New Roman"/>
          <w:color w:val="000000"/>
          <w:sz w:val="20"/>
          <w:lang w:eastAsia="de-DE"/>
        </w:rPr>
        <w:t xml:space="preserve"> The architecture is </w:t>
      </w:r>
      <w:r w:rsidR="00A163CD" w:rsidRPr="008119E0">
        <w:rPr>
          <w:rFonts w:ascii="Times New Roman" w:eastAsia="Times New Roman" w:hAnsi="Times New Roman" w:cs="Times New Roman"/>
          <w:color w:val="000000"/>
          <w:sz w:val="20"/>
          <w:szCs w:val="20"/>
          <w:lang w:eastAsia="de-DE"/>
        </w:rPr>
        <w:t xml:space="preserve">described in </w:t>
      </w:r>
      <w:sdt>
        <w:sdtPr>
          <w:rPr>
            <w:rFonts w:ascii="Times New Roman" w:eastAsia="Times New Roman" w:hAnsi="Times New Roman" w:cs="Times New Roman"/>
            <w:color w:val="000000"/>
            <w:sz w:val="20"/>
            <w:szCs w:val="20"/>
            <w:lang w:eastAsia="de-DE"/>
          </w:rPr>
          <w:alias w:val="To edit, see citavi.com/edit"/>
          <w:tag w:val="CitaviPlaceholder#2472a2ca-d9df-6213-d779-370cbb40c1f7"/>
          <w:id w:val="-1554078805"/>
        </w:sdtPr>
        <w:sdtEndPr/>
        <w:sdtContent>
          <w:r w:rsidR="00A557D0" w:rsidRPr="00F329AF">
            <w:rPr>
              <w:rFonts w:ascii="Times New Roman" w:hAnsi="Times New Roman" w:cs="Times New Roman"/>
              <w:color w:val="000000"/>
              <w:sz w:val="20"/>
              <w:szCs w:val="20"/>
            </w:rPr>
            <w:fldChar w:fldCharType="begin"/>
          </w:r>
          <w:r w:rsidR="00A557D0" w:rsidRPr="00F329AF">
            <w:rPr>
              <w:rFonts w:ascii="Times New Roman" w:hAnsi="Times New Roman" w:cs="Times New Roman"/>
              <w:color w:val="000000"/>
              <w:sz w:val="20"/>
              <w:szCs w:val="20"/>
            </w:rPr>
            <w:instrText>ADDIN CitaviPlaceholder{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}</w:instrText>
          </w:r>
          <w:r w:rsidR="00A557D0" w:rsidRPr="00F329AF">
            <w:rPr>
              <w:rFonts w:ascii="Times New Roman" w:hAnsi="Times New Roman" w:cs="Times New Roman"/>
              <w:color w:val="000000"/>
              <w:sz w:val="20"/>
              <w:szCs w:val="20"/>
            </w:rPr>
            <w:fldChar w:fldCharType="separate"/>
          </w:r>
          <w:r w:rsidR="00A557D0" w:rsidRPr="00F329AF">
            <w:rPr>
              <w:rFonts w:ascii="Times New Roman" w:hAnsi="Times New Roman" w:cs="Times New Roman"/>
              <w:color w:val="000000"/>
              <w:sz w:val="20"/>
              <w:szCs w:val="20"/>
            </w:rPr>
            <w:t>(Lim et al., 2021)</w:t>
          </w:r>
          <w:r w:rsidR="00A557D0" w:rsidRPr="00F329AF">
            <w:rPr>
              <w:rFonts w:ascii="Times New Roman" w:hAnsi="Times New Roman" w:cs="Times New Roman"/>
              <w:color w:val="000000"/>
              <w:sz w:val="20"/>
              <w:szCs w:val="20"/>
            </w:rPr>
            <w:fldChar w:fldCharType="end"/>
          </w:r>
        </w:sdtContent>
      </w:sdt>
      <w:r w:rsidR="00A163CD" w:rsidRPr="008119E0">
        <w:rPr>
          <w:rFonts w:ascii="Times New Roman" w:eastAsia="Times New Roman" w:hAnsi="Times New Roman" w:cs="Times New Roman"/>
          <w:color w:val="000000"/>
          <w:sz w:val="20"/>
          <w:szCs w:val="20"/>
          <w:lang w:eastAsia="de-DE"/>
        </w:rPr>
        <w:t>.</w:t>
      </w:r>
      <w:r w:rsidR="00996BC6" w:rsidRPr="008119E0">
        <w:rPr>
          <w:rFonts w:ascii="Times New Roman" w:eastAsia="Times New Roman" w:hAnsi="Times New Roman" w:cs="Times New Roman"/>
          <w:color w:val="000000"/>
          <w:sz w:val="20"/>
          <w:szCs w:val="20"/>
          <w:lang w:eastAsia="de-DE"/>
        </w:rPr>
        <w:t xml:space="preserve"> In contrast to conventional recurrent neural networks, which process information sequentially, the attention mechanism</w:t>
      </w:r>
      <w:r w:rsidR="00996BC6" w:rsidRPr="00103A49">
        <w:rPr>
          <w:rFonts w:ascii="Times New Roman" w:eastAsia="Times New Roman" w:hAnsi="Times New Roman" w:cs="Times New Roman"/>
          <w:color w:val="000000"/>
          <w:sz w:val="20"/>
          <w:lang w:eastAsia="de-DE"/>
        </w:rPr>
        <w:t xml:space="preserve"> enables the model to selectively focus on those historical observations that are most relevant for the current prediction. This capability is particularly beneficial for load forecasts, where the thermal load depends on both, recent operating conditions and delayed thermal effects resulting from the buffer storage. </w:t>
      </w:r>
    </w:p>
    <w:p w14:paraId="6D053B6F" w14:textId="77777777" w:rsidR="00D52D0D" w:rsidRPr="00103A49" w:rsidRDefault="00D52D0D" w:rsidP="00D52D0D">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The model consists of an encoder branch and a decoder branch. The encoder receives a historical sequence containing past observations and related explanatory variables. This sequence represents the temporal context from which relevant patterns, trends, and dependencies are extracted. In parallel, the decoder receives known variables for the future prediction period. These variables represent information available before the target values are observed and provide additional context for the transformation into the target sequence. Both input streams are initially projected into a shared latent feature space, allowing heterogeneous variables with different dimensions and characteristics to be represented in a common feature space.</w:t>
      </w:r>
    </w:p>
    <w:p w14:paraId="53FD4C69" w14:textId="35D8C215" w:rsidR="00D52D0D" w:rsidRPr="008119E0" w:rsidRDefault="00D52D0D" w:rsidP="00D52D0D">
      <w:pPr>
        <w:jc w:val="both"/>
        <w:rPr>
          <w:rFonts w:ascii="Times New Roman" w:eastAsia="Times New Roman" w:hAnsi="Times New Roman" w:cs="Times New Roman"/>
          <w:color w:val="000000"/>
          <w:sz w:val="20"/>
          <w:szCs w:val="20"/>
          <w:lang w:eastAsia="de-DE"/>
        </w:rPr>
      </w:pPr>
      <w:r w:rsidRPr="00103A49">
        <w:rPr>
          <w:rFonts w:ascii="Times New Roman" w:eastAsia="Times New Roman" w:hAnsi="Times New Roman" w:cs="Times New Roman"/>
          <w:color w:val="000000"/>
          <w:sz w:val="20"/>
          <w:lang w:eastAsia="de-DE"/>
        </w:rPr>
        <w:t xml:space="preserve">The historical input sequence is encoded using a </w:t>
      </w:r>
      <w:r w:rsidRPr="008119E0">
        <w:rPr>
          <w:rFonts w:ascii="Times New Roman" w:eastAsia="Times New Roman" w:hAnsi="Times New Roman" w:cs="Times New Roman"/>
          <w:color w:val="000000"/>
          <w:sz w:val="20"/>
          <w:szCs w:val="20"/>
          <w:lang w:eastAsia="de-DE"/>
        </w:rPr>
        <w:t>bidirectional long short-term memory network (</w:t>
      </w:r>
      <w:proofErr w:type="spellStart"/>
      <w:r w:rsidRPr="008119E0">
        <w:rPr>
          <w:rFonts w:ascii="Times New Roman" w:eastAsia="Times New Roman" w:hAnsi="Times New Roman" w:cs="Times New Roman"/>
          <w:color w:val="000000"/>
          <w:sz w:val="20"/>
          <w:szCs w:val="20"/>
          <w:lang w:eastAsia="de-DE"/>
        </w:rPr>
        <w:t>BiLSTM</w:t>
      </w:r>
      <w:proofErr w:type="spellEnd"/>
      <w:r w:rsidRPr="008119E0">
        <w:rPr>
          <w:rFonts w:ascii="Times New Roman" w:eastAsia="Times New Roman" w:hAnsi="Times New Roman" w:cs="Times New Roman"/>
          <w:color w:val="000000"/>
          <w:sz w:val="20"/>
          <w:szCs w:val="20"/>
          <w:lang w:eastAsia="de-DE"/>
        </w:rPr>
        <w:t>).</w:t>
      </w:r>
      <w:r w:rsidR="00A84D4C" w:rsidRPr="008119E0">
        <w:rPr>
          <w:rFonts w:ascii="Times New Roman" w:eastAsia="Times New Roman" w:hAnsi="Times New Roman" w:cs="Times New Roman"/>
          <w:color w:val="000000"/>
          <w:sz w:val="20"/>
          <w:szCs w:val="20"/>
          <w:lang w:eastAsia="de-DE"/>
        </w:rPr>
        <w:t xml:space="preserve"> Theory on principal LSTM architecture is explained by </w:t>
      </w:r>
      <w:sdt>
        <w:sdtPr>
          <w:rPr>
            <w:rFonts w:ascii="Times New Roman" w:eastAsia="Times New Roman" w:hAnsi="Times New Roman" w:cs="Times New Roman"/>
            <w:color w:val="000000"/>
            <w:sz w:val="20"/>
            <w:szCs w:val="20"/>
            <w:lang w:eastAsia="de-DE"/>
          </w:rPr>
          <w:alias w:val="To edit, see citavi.com/edit"/>
          <w:tag w:val="CitaviPlaceholder#98dfd492-3db8-9a78-26d3-f30e914d362d"/>
          <w:id w:val="1646159880"/>
        </w:sdtPr>
        <w:sdtEndPr/>
        <w:sdtContent>
          <w:r w:rsidR="00A557D0" w:rsidRPr="00F329AF">
            <w:rPr>
              <w:rFonts w:ascii="Times New Roman" w:hAnsi="Times New Roman" w:cs="Times New Roman"/>
              <w:color w:val="000000"/>
              <w:sz w:val="20"/>
              <w:szCs w:val="20"/>
            </w:rPr>
            <w:fldChar w:fldCharType="begin"/>
          </w:r>
          <w:r w:rsidR="00A557D0" w:rsidRPr="00F329AF">
            <w:rPr>
              <w:rFonts w:ascii="Times New Roman" w:hAnsi="Times New Roman" w:cs="Times New Roman"/>
              <w:color w:val="000000"/>
              <w:sz w:val="20"/>
              <w:szCs w:val="20"/>
            </w:rPr>
            <w:instrText>ADDIN CitaviPlaceholder{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}</w:instrText>
          </w:r>
          <w:r w:rsidR="00A557D0" w:rsidRPr="00F329AF">
            <w:rPr>
              <w:rFonts w:ascii="Times New Roman" w:hAnsi="Times New Roman" w:cs="Times New Roman"/>
              <w:color w:val="000000"/>
              <w:sz w:val="20"/>
              <w:szCs w:val="20"/>
            </w:rPr>
            <w:fldChar w:fldCharType="separate"/>
          </w:r>
          <w:r w:rsidR="00A557D0" w:rsidRPr="00F329AF">
            <w:rPr>
              <w:rFonts w:ascii="Times New Roman" w:hAnsi="Times New Roman" w:cs="Times New Roman"/>
              <w:color w:val="000000"/>
              <w:sz w:val="20"/>
              <w:szCs w:val="20"/>
            </w:rPr>
            <w:t>(Hochreiter and Schmidhuber, 1997)</w:t>
          </w:r>
          <w:r w:rsidR="00A557D0" w:rsidRPr="00F329AF">
            <w:rPr>
              <w:rFonts w:ascii="Times New Roman" w:hAnsi="Times New Roman" w:cs="Times New Roman"/>
              <w:color w:val="000000"/>
              <w:sz w:val="20"/>
              <w:szCs w:val="20"/>
            </w:rPr>
            <w:fldChar w:fldCharType="end"/>
          </w:r>
        </w:sdtContent>
      </w:sdt>
      <w:r w:rsidR="00A84D4C" w:rsidRPr="008119E0">
        <w:rPr>
          <w:rFonts w:ascii="Times New Roman" w:eastAsia="Times New Roman" w:hAnsi="Times New Roman" w:cs="Times New Roman"/>
          <w:color w:val="000000"/>
          <w:sz w:val="20"/>
          <w:szCs w:val="20"/>
          <w:lang w:eastAsia="de-DE"/>
        </w:rPr>
        <w:t xml:space="preserve">. </w:t>
      </w:r>
      <w:r w:rsidRPr="008119E0">
        <w:rPr>
          <w:rFonts w:ascii="Times New Roman" w:eastAsia="Times New Roman" w:hAnsi="Times New Roman" w:cs="Times New Roman"/>
          <w:color w:val="000000"/>
          <w:sz w:val="20"/>
          <w:szCs w:val="20"/>
          <w:lang w:eastAsia="de-DE"/>
        </w:rPr>
        <w:t>The encoder learns temporal dependencies within the observation window and generates a sequence of hidden representations. Due to its bidirectional structure, information from both temporal directions within the input window is considered, resulting in a more comprehensive representation of the historical dynamics. These hidden states contain information about short-term variations as well as longer-term temporal patterns relevant for the target prediction.</w:t>
      </w:r>
    </w:p>
    <w:p w14:paraId="5D5E37CC" w14:textId="77777777" w:rsidR="00D52D0D" w:rsidRPr="008119E0" w:rsidRDefault="00D52D0D" w:rsidP="00D52D0D">
      <w:pPr>
        <w:jc w:val="both"/>
        <w:rPr>
          <w:rFonts w:ascii="Times New Roman" w:eastAsia="Times New Roman" w:hAnsi="Times New Roman" w:cs="Times New Roman"/>
          <w:color w:val="000000"/>
          <w:sz w:val="20"/>
          <w:szCs w:val="20"/>
          <w:lang w:eastAsia="de-DE"/>
        </w:rPr>
      </w:pPr>
      <w:r w:rsidRPr="008119E0">
        <w:rPr>
          <w:rFonts w:ascii="Times New Roman" w:eastAsia="Times New Roman" w:hAnsi="Times New Roman" w:cs="Times New Roman"/>
          <w:color w:val="000000"/>
          <w:sz w:val="20"/>
          <w:szCs w:val="20"/>
          <w:lang w:eastAsia="de-DE"/>
        </w:rPr>
        <w:t>The decoder processes the known future variables and transforms them into a latent representation of the expected future state. The initial decoder states are generated from an aggregated representation of the encoder outputs, allowing the decoder to incorporate information from the historical context. Consequently, the prediction is conditioned on both previously observed temporal patterns and future explanatory variables.</w:t>
      </w:r>
    </w:p>
    <w:p w14:paraId="22C21B9F" w14:textId="4191095B" w:rsidR="00D52D0D" w:rsidRPr="00103A49" w:rsidRDefault="00D52D0D" w:rsidP="00D52D0D">
      <w:pPr>
        <w:jc w:val="both"/>
        <w:rPr>
          <w:rFonts w:ascii="Times New Roman" w:eastAsia="Times New Roman" w:hAnsi="Times New Roman" w:cs="Times New Roman"/>
          <w:color w:val="000000"/>
          <w:sz w:val="20"/>
          <w:lang w:eastAsia="de-DE"/>
        </w:rPr>
      </w:pPr>
      <w:r w:rsidRPr="008119E0">
        <w:rPr>
          <w:rFonts w:ascii="Times New Roman" w:eastAsia="Times New Roman" w:hAnsi="Times New Roman" w:cs="Times New Roman"/>
          <w:color w:val="000000"/>
          <w:sz w:val="20"/>
          <w:szCs w:val="20"/>
          <w:lang w:eastAsia="de-DE"/>
        </w:rPr>
        <w:t>The central component of the architecture is the temporal fusion mechanism based on multi-head attention.</w:t>
      </w:r>
      <w:r w:rsidR="00A163CD" w:rsidRPr="008119E0">
        <w:rPr>
          <w:rFonts w:ascii="Times New Roman" w:eastAsia="Times New Roman" w:hAnsi="Times New Roman" w:cs="Times New Roman"/>
          <w:color w:val="000000"/>
          <w:sz w:val="20"/>
          <w:szCs w:val="20"/>
          <w:lang w:eastAsia="de-DE"/>
        </w:rPr>
        <w:t xml:space="preserve"> The attention mechanism was first introduced by </w:t>
      </w:r>
      <w:sdt>
        <w:sdtPr>
          <w:rPr>
            <w:rFonts w:ascii="Times New Roman" w:eastAsia="Times New Roman" w:hAnsi="Times New Roman" w:cs="Times New Roman"/>
            <w:color w:val="000000"/>
            <w:sz w:val="20"/>
            <w:szCs w:val="20"/>
            <w:lang w:eastAsia="de-DE"/>
          </w:rPr>
          <w:alias w:val="To edit, see citavi.com/edit"/>
          <w:tag w:val="CitaviPlaceholder#3479b417-1086-6153-8f0d-d5eef9421134"/>
          <w:id w:val="-182825097"/>
        </w:sdtPr>
        <w:sdtEndPr/>
        <w:sdtContent>
          <w:r w:rsidR="00A557D0" w:rsidRPr="00F329AF">
            <w:rPr>
              <w:rFonts w:ascii="Times New Roman" w:hAnsi="Times New Roman" w:cs="Times New Roman"/>
              <w:color w:val="000000"/>
              <w:sz w:val="20"/>
              <w:szCs w:val="20"/>
            </w:rPr>
            <w:fldChar w:fldCharType="begin"/>
          </w:r>
          <w:r w:rsidR="00A557D0" w:rsidRPr="00F329AF">
            <w:rPr>
              <w:rFonts w:ascii="Times New Roman" w:hAnsi="Times New Roman" w:cs="Times New Roman"/>
              <w:color w:val="000000"/>
              <w:sz w:val="20"/>
              <w:szCs w:val="20"/>
            </w:rPr>
            <w:instrText>ADDIN CitaviPlaceholder{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}</w:instrText>
          </w:r>
          <w:r w:rsidR="00A557D0" w:rsidRPr="00F329AF">
            <w:rPr>
              <w:rFonts w:ascii="Times New Roman" w:hAnsi="Times New Roman" w:cs="Times New Roman"/>
              <w:color w:val="000000"/>
              <w:sz w:val="20"/>
              <w:szCs w:val="20"/>
            </w:rPr>
            <w:fldChar w:fldCharType="separate"/>
          </w:r>
          <w:r w:rsidR="00A557D0" w:rsidRPr="00F329AF">
            <w:rPr>
              <w:rFonts w:ascii="Times New Roman" w:hAnsi="Times New Roman" w:cs="Times New Roman"/>
              <w:color w:val="000000"/>
              <w:sz w:val="20"/>
              <w:szCs w:val="20"/>
            </w:rPr>
            <w:t>(Vaswani et al., 2017)</w:t>
          </w:r>
          <w:r w:rsidR="00A557D0" w:rsidRPr="00F329AF">
            <w:rPr>
              <w:rFonts w:ascii="Times New Roman" w:hAnsi="Times New Roman" w:cs="Times New Roman"/>
              <w:color w:val="000000"/>
              <w:sz w:val="20"/>
              <w:szCs w:val="20"/>
            </w:rPr>
            <w:fldChar w:fldCharType="end"/>
          </w:r>
        </w:sdtContent>
      </w:sdt>
      <w:r w:rsidR="00A163CD" w:rsidRPr="008119E0">
        <w:rPr>
          <w:rFonts w:ascii="Times New Roman" w:eastAsia="Times New Roman" w:hAnsi="Times New Roman" w:cs="Times New Roman"/>
          <w:color w:val="000000"/>
          <w:sz w:val="20"/>
          <w:szCs w:val="20"/>
          <w:lang w:eastAsia="de-DE"/>
        </w:rPr>
        <w:t>.</w:t>
      </w:r>
      <w:r w:rsidR="00A163CD" w:rsidRPr="00F329AF">
        <w:rPr>
          <w:rFonts w:ascii="Times New Roman" w:hAnsi="Times New Roman" w:cs="Times New Roman"/>
          <w:color w:val="000000"/>
          <w:sz w:val="20"/>
          <w:szCs w:val="20"/>
        </w:rPr>
        <w:t xml:space="preserve"> </w:t>
      </w:r>
      <w:r w:rsidRPr="008119E0">
        <w:rPr>
          <w:rFonts w:ascii="Times New Roman" w:eastAsia="Times New Roman" w:hAnsi="Times New Roman" w:cs="Times New Roman"/>
          <w:color w:val="000000"/>
          <w:sz w:val="20"/>
          <w:szCs w:val="20"/>
          <w:lang w:eastAsia="de-DE"/>
        </w:rPr>
        <w:t>The purpose of</w:t>
      </w:r>
      <w:r w:rsidRPr="00103A49">
        <w:rPr>
          <w:rFonts w:ascii="Times New Roman" w:eastAsia="Times New Roman" w:hAnsi="Times New Roman" w:cs="Times New Roman"/>
          <w:color w:val="000000"/>
          <w:sz w:val="20"/>
          <w:lang w:eastAsia="de-DE"/>
        </w:rPr>
        <w:t xml:space="preserve"> this mechanism is to identify</w:t>
      </w:r>
      <w:r w:rsidR="00F92DB3">
        <w:rPr>
          <w:rFonts w:ascii="Times New Roman" w:eastAsia="Times New Roman" w:hAnsi="Times New Roman" w:cs="Times New Roman"/>
          <w:color w:val="000000"/>
          <w:sz w:val="20"/>
          <w:lang w:eastAsia="de-DE"/>
        </w:rPr>
        <w:t>,</w:t>
      </w:r>
      <w:r w:rsidRPr="00103A49">
        <w:rPr>
          <w:rFonts w:ascii="Times New Roman" w:eastAsia="Times New Roman" w:hAnsi="Times New Roman" w:cs="Times New Roman"/>
          <w:color w:val="000000"/>
          <w:sz w:val="20"/>
          <w:lang w:eastAsia="de-DE"/>
        </w:rPr>
        <w:t xml:space="preserve"> which parts of the historical sequence provide the most relevant information for a given prediction step. The decoder representation is used as the query, whereas the encoder hidden states are used as keys and values. The attention mechanism therefore learns dynamic importance weights over the historical time steps and selectively combines relevant information from the past.</w:t>
      </w:r>
      <w:r w:rsidR="002C3ECC" w:rsidRPr="00103A49">
        <w:rPr>
          <w:rFonts w:ascii="Times New Roman" w:eastAsia="Times New Roman" w:hAnsi="Times New Roman" w:cs="Times New Roman"/>
          <w:color w:val="000000"/>
          <w:sz w:val="20"/>
          <w:lang w:eastAsia="de-DE"/>
        </w:rPr>
        <w:t xml:space="preserve"> </w:t>
      </w:r>
      <w:r w:rsidRPr="00103A49">
        <w:rPr>
          <w:rFonts w:ascii="Times New Roman" w:eastAsia="Times New Roman" w:hAnsi="Times New Roman" w:cs="Times New Roman"/>
          <w:color w:val="000000"/>
          <w:sz w:val="20"/>
          <w:lang w:eastAsia="de-DE"/>
        </w:rPr>
        <w:t>The attention operation is based on scaled dot-product attention</w:t>
      </w:r>
      <w:r w:rsidR="002C3ECC" w:rsidRPr="00103A49">
        <w:rPr>
          <w:rFonts w:ascii="Times New Roman" w:eastAsia="Times New Roman" w:hAnsi="Times New Roman" w:cs="Times New Roman"/>
          <w:color w:val="000000"/>
          <w:sz w:val="20"/>
          <w:lang w:eastAsia="de-DE"/>
        </w:rPr>
        <w:t>,</w:t>
      </w:r>
    </w:p>
    <w:p w14:paraId="0BAA54D1" w14:textId="43079D15" w:rsidR="00D52D0D" w:rsidRPr="00103A49" w:rsidRDefault="002C3ECC" w:rsidP="00D52D0D">
      <w:pPr>
        <w:jc w:val="both"/>
        <w:rPr>
          <w:rFonts w:ascii="Times New Roman" w:eastAsia="Times New Roman" w:hAnsi="Times New Roman" w:cs="Times New Roman"/>
          <w:color w:val="000000"/>
          <w:sz w:val="20"/>
          <w:lang w:eastAsia="de-DE"/>
        </w:rPr>
      </w:pPr>
      <m:oMath>
        <m:r>
          <w:rPr>
            <w:rFonts w:ascii="Cambria Math" w:eastAsia="Times New Roman" w:hAnsi="Cambria Math" w:cs="Times New Roman"/>
            <w:color w:val="000000"/>
            <w:sz w:val="20"/>
            <w:lang w:eastAsia="de-DE"/>
          </w:rPr>
          <m:t>Attention</m:t>
        </m:r>
        <m:r>
          <m:rPr>
            <m:sty m:val="p"/>
          </m:rPr>
          <w:rPr>
            <w:rFonts w:ascii="Cambria Math" w:eastAsia="Times New Roman" w:hAnsi="Cambria Math" w:cs="Times New Roman"/>
            <w:color w:val="000000"/>
            <w:sz w:val="20"/>
            <w:lang w:eastAsia="de-DE"/>
          </w:rPr>
          <m:t xml:space="preserve"> </m:t>
        </m:r>
        <m:d>
          <m:dPr>
            <m:ctrlPr>
              <w:rPr>
                <w:rFonts w:ascii="Cambria Math" w:eastAsia="Times New Roman" w:hAnsi="Cambria Math" w:cs="Times New Roman"/>
                <w:color w:val="000000"/>
                <w:sz w:val="20"/>
                <w:lang w:eastAsia="de-DE"/>
              </w:rPr>
            </m:ctrlPr>
          </m:dPr>
          <m:e>
            <m:r>
              <w:rPr>
                <w:rFonts w:ascii="Cambria Math" w:eastAsia="Times New Roman" w:hAnsi="Cambria Math" w:cs="Times New Roman"/>
                <w:color w:val="000000"/>
                <w:sz w:val="20"/>
                <w:lang w:eastAsia="de-DE"/>
              </w:rPr>
              <m:t>Q</m:t>
            </m:r>
            <m:r>
              <m:rPr>
                <m:sty m:val="p"/>
              </m:rPr>
              <w:rPr>
                <w:rFonts w:ascii="Cambria Math" w:eastAsia="Times New Roman" w:hAnsi="Cambria Math" w:cs="Times New Roman"/>
                <w:color w:val="000000"/>
                <w:sz w:val="20"/>
                <w:lang w:eastAsia="de-DE"/>
              </w:rPr>
              <m:t>,</m:t>
            </m:r>
            <m:r>
              <w:rPr>
                <w:rFonts w:ascii="Cambria Math" w:eastAsia="Times New Roman" w:hAnsi="Cambria Math" w:cs="Times New Roman"/>
                <w:color w:val="000000"/>
                <w:sz w:val="20"/>
                <w:lang w:eastAsia="de-DE"/>
              </w:rPr>
              <m:t>K</m:t>
            </m:r>
            <m:r>
              <m:rPr>
                <m:sty m:val="p"/>
              </m:rPr>
              <w:rPr>
                <w:rFonts w:ascii="Cambria Math" w:eastAsia="Times New Roman" w:hAnsi="Cambria Math" w:cs="Times New Roman"/>
                <w:color w:val="000000"/>
                <w:sz w:val="20"/>
                <w:lang w:eastAsia="de-DE"/>
              </w:rPr>
              <m:t>,</m:t>
            </m:r>
            <m:r>
              <w:rPr>
                <w:rFonts w:ascii="Cambria Math" w:eastAsia="Times New Roman" w:hAnsi="Cambria Math" w:cs="Times New Roman"/>
                <w:color w:val="000000"/>
                <w:sz w:val="20"/>
                <w:lang w:eastAsia="de-DE"/>
              </w:rPr>
              <m:t>V</m:t>
            </m:r>
          </m:e>
        </m:d>
        <m:r>
          <m:rPr>
            <m:sty m:val="p"/>
          </m:rPr>
          <w:rPr>
            <w:rFonts w:ascii="Cambria Math" w:eastAsia="Times New Roman" w:hAnsi="Cambria Math" w:cs="Times New Roman"/>
            <w:color w:val="000000"/>
            <w:sz w:val="20"/>
            <w:lang w:eastAsia="de-DE"/>
          </w:rPr>
          <m:t>=</m:t>
        </m:r>
        <m:r>
          <w:rPr>
            <w:rFonts w:ascii="Cambria Math" w:eastAsia="Times New Roman" w:hAnsi="Cambria Math" w:cs="Times New Roman"/>
            <w:color w:val="000000"/>
            <w:sz w:val="20"/>
            <w:lang w:eastAsia="de-DE"/>
          </w:rPr>
          <m:t>softmax</m:t>
        </m:r>
        <m:d>
          <m:dPr>
            <m:ctrlPr>
              <w:rPr>
                <w:rFonts w:ascii="Cambria Math" w:eastAsia="Times New Roman" w:hAnsi="Cambria Math" w:cs="Times New Roman"/>
                <w:color w:val="000000"/>
                <w:sz w:val="20"/>
                <w:lang w:eastAsia="de-DE"/>
              </w:rPr>
            </m:ctrlPr>
          </m:dPr>
          <m:e>
            <m:f>
              <m:fPr>
                <m:ctrlPr>
                  <w:rPr>
                    <w:rFonts w:ascii="Cambria Math" w:eastAsia="Times New Roman" w:hAnsi="Cambria Math" w:cs="Times New Roman"/>
                    <w:color w:val="000000"/>
                    <w:sz w:val="20"/>
                    <w:lang w:eastAsia="de-DE"/>
                  </w:rPr>
                </m:ctrlPr>
              </m:fPr>
              <m:num>
                <m:r>
                  <w:rPr>
                    <w:rFonts w:ascii="Cambria Math" w:eastAsia="Times New Roman" w:hAnsi="Cambria Math" w:cs="Times New Roman"/>
                    <w:color w:val="000000"/>
                    <w:sz w:val="20"/>
                    <w:lang w:eastAsia="de-DE"/>
                  </w:rPr>
                  <m:t>Q</m:t>
                </m:r>
                <m:r>
                  <m:rPr>
                    <m:sty m:val="p"/>
                  </m:rPr>
                  <w:rPr>
                    <w:rFonts w:ascii="Cambria Math" w:eastAsia="Times New Roman" w:hAnsi="Cambria Math" w:cs="Times New Roman"/>
                    <w:color w:val="000000"/>
                    <w:sz w:val="20"/>
                    <w:lang w:eastAsia="de-DE"/>
                  </w:rPr>
                  <m:t xml:space="preserve"> ∙</m:t>
                </m:r>
                <m:sSup>
                  <m:sSupPr>
                    <m:ctrlPr>
                      <w:rPr>
                        <w:rFonts w:ascii="Cambria Math" w:eastAsia="Times New Roman" w:hAnsi="Cambria Math" w:cs="Times New Roman"/>
                        <w:color w:val="000000"/>
                        <w:sz w:val="20"/>
                        <w:lang w:eastAsia="de-DE"/>
                      </w:rPr>
                    </m:ctrlPr>
                  </m:sSupPr>
                  <m:e>
                    <m:r>
                      <w:rPr>
                        <w:rFonts w:ascii="Cambria Math" w:eastAsia="Times New Roman" w:hAnsi="Cambria Math" w:cs="Times New Roman"/>
                        <w:color w:val="000000"/>
                        <w:sz w:val="20"/>
                        <w:lang w:eastAsia="de-DE"/>
                      </w:rPr>
                      <m:t>K</m:t>
                    </m:r>
                  </m:e>
                  <m:sup>
                    <m:r>
                      <w:rPr>
                        <w:rFonts w:ascii="Cambria Math" w:eastAsia="Times New Roman" w:hAnsi="Cambria Math" w:cs="Times New Roman"/>
                        <w:color w:val="000000"/>
                        <w:sz w:val="20"/>
                        <w:lang w:eastAsia="de-DE"/>
                      </w:rPr>
                      <m:t>T</m:t>
                    </m:r>
                  </m:sup>
                </m:sSup>
              </m:num>
              <m:den>
                <m:rad>
                  <m:radPr>
                    <m:degHide m:val="1"/>
                    <m:ctrlPr>
                      <w:rPr>
                        <w:rFonts w:ascii="Cambria Math" w:eastAsia="Times New Roman" w:hAnsi="Cambria Math" w:cs="Times New Roman"/>
                        <w:color w:val="000000"/>
                        <w:sz w:val="20"/>
                        <w:lang w:eastAsia="de-DE"/>
                      </w:rPr>
                    </m:ctrlPr>
                  </m:radPr>
                  <m:deg/>
                  <m:e>
                    <m:sSub>
                      <m:sSubPr>
                        <m:ctrlPr>
                          <w:rPr>
                            <w:rFonts w:ascii="Cambria Math" w:eastAsia="Times New Roman" w:hAnsi="Cambria Math" w:cs="Times New Roman"/>
                            <w:color w:val="000000"/>
                            <w:sz w:val="20"/>
                            <w:lang w:eastAsia="de-DE"/>
                          </w:rPr>
                        </m:ctrlPr>
                      </m:sSubPr>
                      <m:e>
                        <m:r>
                          <w:rPr>
                            <w:rFonts w:ascii="Cambria Math" w:eastAsia="Times New Roman" w:hAnsi="Cambria Math" w:cs="Times New Roman"/>
                            <w:color w:val="000000"/>
                            <w:sz w:val="20"/>
                            <w:lang w:eastAsia="de-DE"/>
                          </w:rPr>
                          <m:t>d</m:t>
                        </m:r>
                      </m:e>
                      <m:sub>
                        <m:r>
                          <w:rPr>
                            <w:rFonts w:ascii="Cambria Math" w:eastAsia="Times New Roman" w:hAnsi="Cambria Math" w:cs="Times New Roman"/>
                            <w:color w:val="000000"/>
                            <w:sz w:val="20"/>
                            <w:lang w:eastAsia="de-DE"/>
                          </w:rPr>
                          <m:t>k</m:t>
                        </m:r>
                      </m:sub>
                    </m:sSub>
                  </m:e>
                </m:rad>
              </m:den>
            </m:f>
          </m:e>
        </m:d>
        <m:r>
          <w:rPr>
            <w:rFonts w:ascii="Cambria Math" w:eastAsia="Times New Roman" w:hAnsi="Cambria Math" w:cs="Times New Roman"/>
            <w:color w:val="000000"/>
            <w:sz w:val="20"/>
            <w:lang w:eastAsia="de-DE"/>
          </w:rPr>
          <m:t>V</m:t>
        </m:r>
      </m:oMath>
      <w:r w:rsidRPr="00103A49">
        <w:rPr>
          <w:rFonts w:ascii="Times New Roman" w:eastAsia="Times New Roman" w:hAnsi="Times New Roman" w:cs="Times New Roman"/>
          <w:color w:val="000000"/>
          <w:sz w:val="20"/>
          <w:lang w:eastAsia="de-DE"/>
        </w:rPr>
        <w:tab/>
      </w:r>
      <w:r w:rsidRPr="00103A49">
        <w:rPr>
          <w:rFonts w:ascii="Times New Roman" w:eastAsia="Times New Roman" w:hAnsi="Times New Roman" w:cs="Times New Roman"/>
          <w:color w:val="000000"/>
          <w:sz w:val="20"/>
          <w:lang w:eastAsia="de-DE"/>
        </w:rPr>
        <w:tab/>
        <w:t>Eq. (1)</w:t>
      </w:r>
    </w:p>
    <w:p w14:paraId="7C41A040" w14:textId="7DA71462" w:rsidR="00D52D0D" w:rsidRPr="00103A49" w:rsidRDefault="00D52D0D" w:rsidP="00D52D0D">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where </w:t>
      </w:r>
      <w:r w:rsidR="002C3ECC" w:rsidRPr="00103A49">
        <w:rPr>
          <w:rFonts w:ascii="Times New Roman" w:eastAsia="Times New Roman" w:hAnsi="Times New Roman" w:cs="Times New Roman"/>
          <w:color w:val="000000"/>
          <w:sz w:val="20"/>
          <w:lang w:eastAsia="de-DE"/>
        </w:rPr>
        <w:t>Q</w:t>
      </w:r>
      <w:r w:rsidRPr="00103A49">
        <w:rPr>
          <w:rFonts w:ascii="Times New Roman" w:eastAsia="Times New Roman" w:hAnsi="Times New Roman" w:cs="Times New Roman"/>
          <w:color w:val="000000"/>
          <w:sz w:val="20"/>
          <w:lang w:eastAsia="de-DE"/>
        </w:rPr>
        <w:t xml:space="preserve">, </w:t>
      </w:r>
      <w:r w:rsidR="0029218F" w:rsidRPr="00103A49">
        <w:rPr>
          <w:rFonts w:ascii="Times New Roman" w:eastAsia="Times New Roman" w:hAnsi="Times New Roman" w:cs="Times New Roman"/>
          <w:color w:val="000000"/>
          <w:sz w:val="20"/>
          <w:lang w:eastAsia="de-DE"/>
        </w:rPr>
        <w:t>K (transformed)</w:t>
      </w:r>
      <w:r w:rsidRPr="00103A49">
        <w:rPr>
          <w:rFonts w:ascii="Times New Roman" w:eastAsia="Times New Roman" w:hAnsi="Times New Roman" w:cs="Times New Roman"/>
          <w:color w:val="000000"/>
          <w:sz w:val="20"/>
          <w:lang w:eastAsia="de-DE"/>
        </w:rPr>
        <w:t xml:space="preserve">, and </w:t>
      </w:r>
      <w:r w:rsidR="0029218F" w:rsidRPr="00103A49">
        <w:rPr>
          <w:rFonts w:ascii="Times New Roman" w:eastAsia="Times New Roman" w:hAnsi="Times New Roman" w:cs="Times New Roman"/>
          <w:color w:val="000000"/>
          <w:sz w:val="20"/>
          <w:lang w:eastAsia="de-DE"/>
        </w:rPr>
        <w:t>V</w:t>
      </w:r>
      <w:r w:rsidRPr="00103A49">
        <w:rPr>
          <w:rFonts w:ascii="Times New Roman" w:eastAsia="Times New Roman" w:hAnsi="Times New Roman" w:cs="Times New Roman"/>
          <w:color w:val="000000"/>
          <w:sz w:val="20"/>
          <w:lang w:eastAsia="de-DE"/>
        </w:rPr>
        <w:t xml:space="preserve"> denote the query, key and value representations, respectively, and </w:t>
      </w:r>
      <w:r w:rsidR="0029218F" w:rsidRPr="00103A49">
        <w:rPr>
          <w:rFonts w:ascii="Times New Roman" w:eastAsia="Times New Roman" w:hAnsi="Times New Roman" w:cs="Times New Roman"/>
          <w:color w:val="000000"/>
          <w:sz w:val="20"/>
          <w:lang w:eastAsia="de-DE"/>
        </w:rPr>
        <w:t>dk</w:t>
      </w:r>
      <w:r w:rsidRPr="00103A49">
        <w:rPr>
          <w:rFonts w:ascii="Times New Roman" w:eastAsia="Times New Roman" w:hAnsi="Times New Roman" w:cs="Times New Roman"/>
          <w:color w:val="000000"/>
          <w:sz w:val="20"/>
          <w:lang w:eastAsia="de-DE"/>
        </w:rPr>
        <w:t xml:space="preserve"> represents the dimensionality of the key vectors. Instead of applying this operation only once, multi-head attention performs the attention calculation in parallel across multiple representation subspaces. For each attention </w:t>
      </w:r>
      <w:proofErr w:type="spellStart"/>
      <w:r w:rsidRPr="00103A49">
        <w:rPr>
          <w:rFonts w:ascii="Times New Roman" w:eastAsia="Times New Roman" w:hAnsi="Times New Roman" w:cs="Times New Roman"/>
          <w:color w:val="000000"/>
          <w:sz w:val="20"/>
          <w:lang w:eastAsia="de-DE"/>
        </w:rPr>
        <w:t>head</w:t>
      </w:r>
      <w:r w:rsidR="0029218F" w:rsidRPr="00851CD4">
        <w:rPr>
          <w:rFonts w:ascii="Times New Roman" w:eastAsia="Times New Roman" w:hAnsi="Times New Roman" w:cs="Times New Roman"/>
          <w:color w:val="000000"/>
          <w:sz w:val="20"/>
          <w:vertAlign w:val="subscript"/>
          <w:lang w:eastAsia="de-DE"/>
        </w:rPr>
        <w:t>i</w:t>
      </w:r>
      <w:proofErr w:type="spellEnd"/>
      <w:r w:rsidRPr="00103A49">
        <w:rPr>
          <w:rFonts w:ascii="Times New Roman" w:eastAsia="Times New Roman" w:hAnsi="Times New Roman" w:cs="Times New Roman"/>
          <w:color w:val="000000"/>
          <w:sz w:val="20"/>
          <w:lang w:eastAsia="de-DE"/>
        </w:rPr>
        <w:t>, separate projections of the input representations are generated:</w:t>
      </w:r>
    </w:p>
    <w:p w14:paraId="30A40009" w14:textId="26D6802E" w:rsidR="00D52D0D" w:rsidRPr="00103A49" w:rsidRDefault="007E693E" w:rsidP="00D52D0D">
      <w:pPr>
        <w:jc w:val="both"/>
        <w:rPr>
          <w:rFonts w:ascii="Times New Roman" w:eastAsia="Times New Roman" w:hAnsi="Times New Roman" w:cs="Times New Roman"/>
          <w:color w:val="000000"/>
          <w:sz w:val="20"/>
          <w:lang w:eastAsia="de-DE"/>
        </w:rPr>
      </w:pPr>
      <m:oMath>
        <m:sSub>
          <m:sSubPr>
            <m:ctrlPr>
              <w:rPr>
                <w:rFonts w:ascii="Cambria Math" w:eastAsia="Times New Roman" w:hAnsi="Cambria Math" w:cs="Times New Roman"/>
                <w:color w:val="000000"/>
                <w:sz w:val="20"/>
                <w:lang w:eastAsia="de-DE"/>
              </w:rPr>
            </m:ctrlPr>
          </m:sSubPr>
          <m:e>
            <m:r>
              <w:rPr>
                <w:rFonts w:ascii="Cambria Math" w:eastAsia="Times New Roman" w:hAnsi="Cambria Math" w:cs="Times New Roman"/>
                <w:color w:val="000000"/>
                <w:sz w:val="20"/>
                <w:lang w:eastAsia="de-DE"/>
              </w:rPr>
              <m:t>head</m:t>
            </m:r>
          </m:e>
          <m:sub>
            <m:r>
              <w:rPr>
                <w:rFonts w:ascii="Cambria Math" w:eastAsia="Times New Roman" w:hAnsi="Cambria Math" w:cs="Times New Roman"/>
                <w:color w:val="000000"/>
                <w:sz w:val="20"/>
                <w:lang w:eastAsia="de-DE"/>
              </w:rPr>
              <m:t>i</m:t>
            </m:r>
          </m:sub>
        </m:sSub>
        <m:r>
          <m:rPr>
            <m:sty m:val="p"/>
          </m:rPr>
          <w:rPr>
            <w:rFonts w:ascii="Cambria Math" w:eastAsia="Times New Roman" w:hAnsi="Cambria Math" w:cs="Times New Roman"/>
            <w:color w:val="000000"/>
            <w:sz w:val="20"/>
            <w:lang w:eastAsia="de-DE"/>
          </w:rPr>
          <m:t>=</m:t>
        </m:r>
        <m:r>
          <w:rPr>
            <w:rFonts w:ascii="Cambria Math" w:eastAsia="Times New Roman" w:hAnsi="Cambria Math" w:cs="Times New Roman"/>
            <w:color w:val="000000"/>
            <w:sz w:val="20"/>
            <w:lang w:eastAsia="de-DE"/>
          </w:rPr>
          <m:t>Attention</m:t>
        </m:r>
        <m:r>
          <m:rPr>
            <m:sty m:val="p"/>
          </m:rPr>
          <w:rPr>
            <w:rFonts w:ascii="Cambria Math" w:eastAsia="Times New Roman" w:hAnsi="Cambria Math" w:cs="Times New Roman"/>
            <w:color w:val="000000"/>
            <w:sz w:val="20"/>
            <w:lang w:eastAsia="de-DE"/>
          </w:rPr>
          <m:t xml:space="preserve"> (</m:t>
        </m:r>
        <m:r>
          <w:rPr>
            <w:rFonts w:ascii="Cambria Math" w:eastAsia="Times New Roman" w:hAnsi="Cambria Math" w:cs="Times New Roman"/>
            <w:color w:val="000000"/>
            <w:sz w:val="20"/>
            <w:lang w:eastAsia="de-DE"/>
          </w:rPr>
          <m:t>Q</m:t>
        </m:r>
        <m:sSubSup>
          <m:sSubSupPr>
            <m:ctrlPr>
              <w:rPr>
                <w:rFonts w:ascii="Cambria Math" w:eastAsia="Times New Roman" w:hAnsi="Cambria Math" w:cs="Times New Roman"/>
                <w:color w:val="000000"/>
                <w:sz w:val="20"/>
                <w:lang w:eastAsia="de-DE"/>
              </w:rPr>
            </m:ctrlPr>
          </m:sSubSupPr>
          <m:e>
            <m:r>
              <w:rPr>
                <w:rFonts w:ascii="Cambria Math" w:eastAsia="Times New Roman" w:hAnsi="Cambria Math" w:cs="Times New Roman"/>
                <w:color w:val="000000"/>
                <w:sz w:val="20"/>
                <w:lang w:eastAsia="de-DE"/>
              </w:rPr>
              <m:t>W</m:t>
            </m:r>
          </m:e>
          <m:sub>
            <m:r>
              <w:rPr>
                <w:rFonts w:ascii="Cambria Math" w:eastAsia="Times New Roman" w:hAnsi="Cambria Math" w:cs="Times New Roman"/>
                <w:color w:val="000000"/>
                <w:sz w:val="20"/>
                <w:lang w:eastAsia="de-DE"/>
              </w:rPr>
              <m:t>i</m:t>
            </m:r>
          </m:sub>
          <m:sup>
            <m:r>
              <w:rPr>
                <w:rFonts w:ascii="Cambria Math" w:eastAsia="Times New Roman" w:hAnsi="Cambria Math" w:cs="Times New Roman"/>
                <w:color w:val="000000"/>
                <w:sz w:val="20"/>
                <w:lang w:eastAsia="de-DE"/>
              </w:rPr>
              <m:t>Q</m:t>
            </m:r>
          </m:sup>
        </m:sSubSup>
        <m:r>
          <m:rPr>
            <m:sty m:val="p"/>
          </m:rPr>
          <w:rPr>
            <w:rFonts w:ascii="Cambria Math" w:eastAsia="Times New Roman" w:hAnsi="Cambria Math" w:cs="Times New Roman"/>
            <w:color w:val="000000"/>
            <w:sz w:val="20"/>
            <w:lang w:eastAsia="de-DE"/>
          </w:rPr>
          <m:t xml:space="preserve">, </m:t>
        </m:r>
        <m:r>
          <w:rPr>
            <w:rFonts w:ascii="Cambria Math" w:eastAsia="Times New Roman" w:hAnsi="Cambria Math" w:cs="Times New Roman"/>
            <w:color w:val="000000"/>
            <w:sz w:val="20"/>
            <w:lang w:eastAsia="de-DE"/>
          </w:rPr>
          <m:t>K</m:t>
        </m:r>
        <m:sSubSup>
          <m:sSubSupPr>
            <m:ctrlPr>
              <w:rPr>
                <w:rFonts w:ascii="Cambria Math" w:eastAsia="Times New Roman" w:hAnsi="Cambria Math" w:cs="Times New Roman"/>
                <w:color w:val="000000"/>
                <w:sz w:val="20"/>
                <w:lang w:eastAsia="de-DE"/>
              </w:rPr>
            </m:ctrlPr>
          </m:sSubSupPr>
          <m:e>
            <m:r>
              <w:rPr>
                <w:rFonts w:ascii="Cambria Math" w:eastAsia="Times New Roman" w:hAnsi="Cambria Math" w:cs="Times New Roman"/>
                <w:color w:val="000000"/>
                <w:sz w:val="20"/>
                <w:lang w:eastAsia="de-DE"/>
              </w:rPr>
              <m:t>W</m:t>
            </m:r>
          </m:e>
          <m:sub>
            <m:r>
              <w:rPr>
                <w:rFonts w:ascii="Cambria Math" w:eastAsia="Times New Roman" w:hAnsi="Cambria Math" w:cs="Times New Roman"/>
                <w:color w:val="000000"/>
                <w:sz w:val="20"/>
                <w:lang w:eastAsia="de-DE"/>
              </w:rPr>
              <m:t>i</m:t>
            </m:r>
          </m:sub>
          <m:sup>
            <m:r>
              <w:rPr>
                <w:rFonts w:ascii="Cambria Math" w:eastAsia="Times New Roman" w:hAnsi="Cambria Math" w:cs="Times New Roman"/>
                <w:color w:val="000000"/>
                <w:sz w:val="20"/>
                <w:lang w:eastAsia="de-DE"/>
              </w:rPr>
              <m:t>K</m:t>
            </m:r>
          </m:sup>
        </m:sSubSup>
        <m:r>
          <m:rPr>
            <m:sty m:val="p"/>
          </m:rPr>
          <w:rPr>
            <w:rFonts w:ascii="Cambria Math" w:eastAsia="Times New Roman" w:hAnsi="Cambria Math" w:cs="Times New Roman"/>
            <w:color w:val="000000"/>
            <w:sz w:val="20"/>
            <w:lang w:eastAsia="de-DE"/>
          </w:rPr>
          <m:t xml:space="preserve">,  </m:t>
        </m:r>
        <m:r>
          <w:rPr>
            <w:rFonts w:ascii="Cambria Math" w:eastAsia="Times New Roman" w:hAnsi="Cambria Math" w:cs="Times New Roman"/>
            <w:color w:val="000000"/>
            <w:sz w:val="20"/>
            <w:lang w:eastAsia="de-DE"/>
          </w:rPr>
          <m:t>V</m:t>
        </m:r>
        <m:sSubSup>
          <m:sSubSupPr>
            <m:ctrlPr>
              <w:rPr>
                <w:rFonts w:ascii="Cambria Math" w:eastAsia="Times New Roman" w:hAnsi="Cambria Math" w:cs="Times New Roman"/>
                <w:color w:val="000000"/>
                <w:sz w:val="20"/>
                <w:lang w:eastAsia="de-DE"/>
              </w:rPr>
            </m:ctrlPr>
          </m:sSubSupPr>
          <m:e>
            <m:r>
              <w:rPr>
                <w:rFonts w:ascii="Cambria Math" w:eastAsia="Times New Roman" w:hAnsi="Cambria Math" w:cs="Times New Roman"/>
                <w:color w:val="000000"/>
                <w:sz w:val="20"/>
                <w:lang w:eastAsia="de-DE"/>
              </w:rPr>
              <m:t>W</m:t>
            </m:r>
          </m:e>
          <m:sub>
            <m:r>
              <w:rPr>
                <w:rFonts w:ascii="Cambria Math" w:eastAsia="Times New Roman" w:hAnsi="Cambria Math" w:cs="Times New Roman"/>
                <w:color w:val="000000"/>
                <w:sz w:val="20"/>
                <w:lang w:eastAsia="de-DE"/>
              </w:rPr>
              <m:t>i</m:t>
            </m:r>
          </m:sub>
          <m:sup>
            <m:r>
              <w:rPr>
                <w:rFonts w:ascii="Cambria Math" w:eastAsia="Times New Roman" w:hAnsi="Cambria Math" w:cs="Times New Roman"/>
                <w:color w:val="000000"/>
                <w:sz w:val="20"/>
                <w:lang w:eastAsia="de-DE"/>
              </w:rPr>
              <m:t>V</m:t>
            </m:r>
          </m:sup>
        </m:sSubSup>
        <m:r>
          <m:rPr>
            <m:sty m:val="p"/>
          </m:rPr>
          <w:rPr>
            <w:rFonts w:ascii="Cambria Math" w:eastAsia="Times New Roman" w:hAnsi="Cambria Math" w:cs="Times New Roman"/>
            <w:color w:val="000000"/>
            <w:sz w:val="20"/>
            <w:lang w:eastAsia="de-DE"/>
          </w:rPr>
          <m:t>)</m:t>
        </m:r>
      </m:oMath>
      <w:r w:rsidR="0029218F" w:rsidRPr="00103A49">
        <w:rPr>
          <w:rFonts w:ascii="Times New Roman" w:eastAsia="Times New Roman" w:hAnsi="Times New Roman" w:cs="Times New Roman"/>
          <w:color w:val="000000"/>
          <w:sz w:val="20"/>
          <w:lang w:eastAsia="de-DE"/>
        </w:rPr>
        <w:tab/>
      </w:r>
      <w:r w:rsidR="0029218F" w:rsidRPr="00103A49">
        <w:rPr>
          <w:rFonts w:ascii="Times New Roman" w:eastAsia="Times New Roman" w:hAnsi="Times New Roman" w:cs="Times New Roman"/>
          <w:color w:val="000000"/>
          <w:sz w:val="20"/>
          <w:lang w:eastAsia="de-DE"/>
        </w:rPr>
        <w:tab/>
        <w:t>Eq. (2)</w:t>
      </w:r>
    </w:p>
    <w:p w14:paraId="1EA23715" w14:textId="56C6CE91" w:rsidR="00D52D0D" w:rsidRPr="00103A49" w:rsidRDefault="0029218F" w:rsidP="00D52D0D">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where </w:t>
      </w:r>
      <w:proofErr w:type="spellStart"/>
      <w:r w:rsidRPr="00103A49">
        <w:rPr>
          <w:rFonts w:ascii="Times New Roman" w:eastAsia="Times New Roman" w:hAnsi="Times New Roman" w:cs="Times New Roman"/>
          <w:color w:val="000000"/>
          <w:sz w:val="20"/>
          <w:lang w:eastAsia="de-DE"/>
        </w:rPr>
        <w:t>i</w:t>
      </w:r>
      <w:proofErr w:type="spellEnd"/>
      <w:r w:rsidRPr="00103A49">
        <w:rPr>
          <w:rFonts w:ascii="Times New Roman" w:eastAsia="Times New Roman" w:hAnsi="Times New Roman" w:cs="Times New Roman"/>
          <w:color w:val="000000"/>
          <w:sz w:val="20"/>
          <w:lang w:eastAsia="de-DE"/>
        </w:rPr>
        <w:t xml:space="preserve"> is the head index and W is the weight matrix. </w:t>
      </w:r>
      <w:r w:rsidR="00D52D0D" w:rsidRPr="00103A49">
        <w:rPr>
          <w:rFonts w:ascii="Times New Roman" w:eastAsia="Times New Roman" w:hAnsi="Times New Roman" w:cs="Times New Roman"/>
          <w:color w:val="000000"/>
          <w:sz w:val="20"/>
          <w:lang w:eastAsia="de-DE"/>
        </w:rPr>
        <w:t>The individual attention heads are subsequently concatenated and linearly transformed</w:t>
      </w:r>
      <w:r w:rsidRPr="00103A49">
        <w:rPr>
          <w:rFonts w:ascii="Times New Roman" w:eastAsia="Times New Roman" w:hAnsi="Times New Roman" w:cs="Times New Roman"/>
          <w:color w:val="000000"/>
          <w:sz w:val="20"/>
          <w:lang w:eastAsia="de-DE"/>
        </w:rPr>
        <w:t>:</w:t>
      </w:r>
    </w:p>
    <w:p w14:paraId="1A3210AD" w14:textId="7FC98DE4" w:rsidR="0029218F" w:rsidRPr="00103A49" w:rsidRDefault="0029218F" w:rsidP="00D52D0D">
      <w:pPr>
        <w:jc w:val="both"/>
        <w:rPr>
          <w:rFonts w:ascii="Times New Roman" w:eastAsia="Times New Roman" w:hAnsi="Times New Roman" w:cs="Times New Roman"/>
          <w:color w:val="000000"/>
          <w:sz w:val="20"/>
          <w:lang w:eastAsia="de-DE"/>
        </w:rPr>
      </w:pPr>
      <m:oMath>
        <m:r>
          <w:rPr>
            <w:rFonts w:ascii="Cambria Math" w:eastAsia="Times New Roman" w:hAnsi="Cambria Math" w:cs="Times New Roman"/>
            <w:color w:val="000000"/>
            <w:sz w:val="20"/>
            <w:lang w:eastAsia="de-DE"/>
          </w:rPr>
          <m:t>MultiHead</m:t>
        </m:r>
        <m:r>
          <m:rPr>
            <m:sty m:val="p"/>
          </m:rPr>
          <w:rPr>
            <w:rFonts w:ascii="Cambria Math" w:eastAsia="Times New Roman" w:hAnsi="Cambria Math" w:cs="Times New Roman"/>
            <w:color w:val="000000"/>
            <w:sz w:val="20"/>
            <w:lang w:eastAsia="de-DE"/>
          </w:rPr>
          <m:t xml:space="preserve"> </m:t>
        </m:r>
        <m:d>
          <m:dPr>
            <m:ctrlPr>
              <w:rPr>
                <w:rFonts w:ascii="Cambria Math" w:eastAsia="Times New Roman" w:hAnsi="Cambria Math" w:cs="Times New Roman"/>
                <w:color w:val="000000"/>
                <w:sz w:val="20"/>
                <w:lang w:eastAsia="de-DE"/>
              </w:rPr>
            </m:ctrlPr>
          </m:dPr>
          <m:e>
            <m:r>
              <w:rPr>
                <w:rFonts w:ascii="Cambria Math" w:eastAsia="Times New Roman" w:hAnsi="Cambria Math" w:cs="Times New Roman"/>
                <w:color w:val="000000"/>
                <w:sz w:val="20"/>
                <w:lang w:eastAsia="de-DE"/>
              </w:rPr>
              <m:t>Q</m:t>
            </m:r>
            <m:r>
              <m:rPr>
                <m:sty m:val="p"/>
              </m:rPr>
              <w:rPr>
                <w:rFonts w:ascii="Cambria Math" w:eastAsia="Times New Roman" w:hAnsi="Cambria Math" w:cs="Times New Roman"/>
                <w:color w:val="000000"/>
                <w:sz w:val="20"/>
                <w:lang w:eastAsia="de-DE"/>
              </w:rPr>
              <m:t>,</m:t>
            </m:r>
            <m:r>
              <w:rPr>
                <w:rFonts w:ascii="Cambria Math" w:eastAsia="Times New Roman" w:hAnsi="Cambria Math" w:cs="Times New Roman"/>
                <w:color w:val="000000"/>
                <w:sz w:val="20"/>
                <w:lang w:eastAsia="de-DE"/>
              </w:rPr>
              <m:t>K</m:t>
            </m:r>
            <m:r>
              <m:rPr>
                <m:sty m:val="p"/>
              </m:rPr>
              <w:rPr>
                <w:rFonts w:ascii="Cambria Math" w:eastAsia="Times New Roman" w:hAnsi="Cambria Math" w:cs="Times New Roman"/>
                <w:color w:val="000000"/>
                <w:sz w:val="20"/>
                <w:lang w:eastAsia="de-DE"/>
              </w:rPr>
              <m:t>,</m:t>
            </m:r>
            <m:r>
              <w:rPr>
                <w:rFonts w:ascii="Cambria Math" w:eastAsia="Times New Roman" w:hAnsi="Cambria Math" w:cs="Times New Roman"/>
                <w:color w:val="000000"/>
                <w:sz w:val="20"/>
                <w:lang w:eastAsia="de-DE"/>
              </w:rPr>
              <m:t>V</m:t>
            </m:r>
          </m:e>
        </m:d>
        <m:r>
          <m:rPr>
            <m:sty m:val="p"/>
          </m:rPr>
          <w:rPr>
            <w:rFonts w:ascii="Cambria Math" w:eastAsia="Times New Roman" w:hAnsi="Cambria Math" w:cs="Times New Roman"/>
            <w:color w:val="000000"/>
            <w:sz w:val="20"/>
            <w:lang w:eastAsia="de-DE"/>
          </w:rPr>
          <m:t>=</m:t>
        </m:r>
        <m:r>
          <w:rPr>
            <w:rFonts w:ascii="Cambria Math" w:eastAsia="Times New Roman" w:hAnsi="Cambria Math" w:cs="Times New Roman"/>
            <w:color w:val="000000"/>
            <w:sz w:val="20"/>
            <w:lang w:eastAsia="de-DE"/>
          </w:rPr>
          <m:t>Concat</m:t>
        </m:r>
        <m:r>
          <m:rPr>
            <m:sty m:val="p"/>
          </m:rPr>
          <w:rPr>
            <w:rFonts w:ascii="Cambria Math" w:eastAsia="Times New Roman" w:hAnsi="Cambria Math" w:cs="Times New Roman"/>
            <w:color w:val="000000"/>
            <w:sz w:val="20"/>
            <w:lang w:eastAsia="de-DE"/>
          </w:rPr>
          <m:t>(</m:t>
        </m:r>
        <m:sSub>
          <m:sSubPr>
            <m:ctrlPr>
              <w:rPr>
                <w:rFonts w:ascii="Cambria Math" w:eastAsia="Times New Roman" w:hAnsi="Cambria Math" w:cs="Times New Roman"/>
                <w:color w:val="000000"/>
                <w:sz w:val="20"/>
                <w:lang w:eastAsia="de-DE"/>
              </w:rPr>
            </m:ctrlPr>
          </m:sSubPr>
          <m:e>
            <m:r>
              <w:rPr>
                <w:rFonts w:ascii="Cambria Math" w:eastAsia="Times New Roman" w:hAnsi="Cambria Math" w:cs="Times New Roman"/>
                <w:color w:val="000000"/>
                <w:sz w:val="20"/>
                <w:lang w:eastAsia="de-DE"/>
              </w:rPr>
              <m:t>head</m:t>
            </m:r>
          </m:e>
          <m:sub>
            <m:r>
              <m:rPr>
                <m:sty m:val="p"/>
              </m:rPr>
              <w:rPr>
                <w:rFonts w:ascii="Cambria Math" w:eastAsia="Times New Roman" w:hAnsi="Cambria Math" w:cs="Times New Roman"/>
                <w:color w:val="000000"/>
                <w:sz w:val="20"/>
                <w:lang w:eastAsia="de-DE"/>
              </w:rPr>
              <m:t>1</m:t>
            </m:r>
          </m:sub>
        </m:sSub>
        <m:r>
          <m:rPr>
            <m:sty m:val="p"/>
          </m:rPr>
          <w:rPr>
            <w:rFonts w:ascii="Cambria Math" w:eastAsia="Times New Roman" w:hAnsi="Cambria Math" w:cs="Times New Roman"/>
            <w:color w:val="000000"/>
            <w:sz w:val="20"/>
            <w:lang w:eastAsia="de-DE"/>
          </w:rPr>
          <m:t xml:space="preserve">, …, </m:t>
        </m:r>
        <m:sSub>
          <m:sSubPr>
            <m:ctrlPr>
              <w:rPr>
                <w:rFonts w:ascii="Cambria Math" w:eastAsia="Times New Roman" w:hAnsi="Cambria Math" w:cs="Times New Roman"/>
                <w:color w:val="000000"/>
                <w:sz w:val="20"/>
                <w:lang w:eastAsia="de-DE"/>
              </w:rPr>
            </m:ctrlPr>
          </m:sSubPr>
          <m:e>
            <m:r>
              <w:rPr>
                <w:rFonts w:ascii="Cambria Math" w:eastAsia="Times New Roman" w:hAnsi="Cambria Math" w:cs="Times New Roman"/>
                <w:color w:val="000000"/>
                <w:sz w:val="20"/>
                <w:lang w:eastAsia="de-DE"/>
              </w:rPr>
              <m:t>head</m:t>
            </m:r>
          </m:e>
          <m:sub>
            <m:r>
              <w:rPr>
                <w:rFonts w:ascii="Cambria Math" w:eastAsia="Times New Roman" w:hAnsi="Cambria Math" w:cs="Times New Roman"/>
                <w:color w:val="000000"/>
                <w:sz w:val="20"/>
                <w:lang w:eastAsia="de-DE"/>
              </w:rPr>
              <m:t>h</m:t>
            </m:r>
          </m:sub>
        </m:sSub>
        <m:r>
          <m:rPr>
            <m:sty m:val="p"/>
          </m:rPr>
          <w:rPr>
            <w:rFonts w:ascii="Cambria Math" w:eastAsia="Times New Roman" w:hAnsi="Cambria Math" w:cs="Times New Roman"/>
            <w:color w:val="000000"/>
            <w:sz w:val="20"/>
            <w:lang w:eastAsia="de-DE"/>
          </w:rPr>
          <m:t>)</m:t>
        </m:r>
        <m:sSup>
          <m:sSupPr>
            <m:ctrlPr>
              <w:rPr>
                <w:rFonts w:ascii="Cambria Math" w:eastAsia="Times New Roman" w:hAnsi="Cambria Math" w:cs="Times New Roman"/>
                <w:color w:val="000000"/>
                <w:sz w:val="20"/>
                <w:lang w:eastAsia="de-DE"/>
              </w:rPr>
            </m:ctrlPr>
          </m:sSupPr>
          <m:e>
            <m:r>
              <w:rPr>
                <w:rFonts w:ascii="Cambria Math" w:eastAsia="Times New Roman" w:hAnsi="Cambria Math" w:cs="Times New Roman"/>
                <w:color w:val="000000"/>
                <w:sz w:val="20"/>
                <w:lang w:eastAsia="de-DE"/>
              </w:rPr>
              <m:t>W</m:t>
            </m:r>
          </m:e>
          <m:sup>
            <m:r>
              <m:rPr>
                <m:sty m:val="p"/>
              </m:rPr>
              <w:rPr>
                <w:rFonts w:ascii="Cambria Math" w:eastAsia="Times New Roman" w:hAnsi="Cambria Math" w:cs="Times New Roman"/>
                <w:color w:val="000000"/>
                <w:sz w:val="20"/>
                <w:lang w:eastAsia="de-DE"/>
              </w:rPr>
              <m:t>0</m:t>
            </m:r>
          </m:sup>
        </m:sSup>
      </m:oMath>
      <w:r w:rsidRPr="00103A49">
        <w:rPr>
          <w:rFonts w:ascii="Times New Roman" w:eastAsia="Times New Roman" w:hAnsi="Times New Roman" w:cs="Times New Roman"/>
          <w:color w:val="000000"/>
          <w:sz w:val="20"/>
          <w:lang w:eastAsia="de-DE"/>
        </w:rPr>
        <w:tab/>
        <w:t>Eq. (3)</w:t>
      </w:r>
    </w:p>
    <w:p w14:paraId="41241C52" w14:textId="5F1BDABB" w:rsidR="00D52D0D" w:rsidRPr="00103A49" w:rsidRDefault="00D52D0D" w:rsidP="00D52D0D">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This multi-head formulation allows the model to capture different types of temporal relationships simultaneously, such as short-term dependencies, recurring patterns, or longer-term influences within the historical sequence.</w:t>
      </w:r>
      <w:r w:rsidR="0029218F" w:rsidRPr="00103A49">
        <w:rPr>
          <w:rFonts w:ascii="Times New Roman" w:eastAsia="Times New Roman" w:hAnsi="Times New Roman" w:cs="Times New Roman"/>
          <w:color w:val="000000"/>
          <w:sz w:val="20"/>
          <w:lang w:eastAsia="de-DE"/>
        </w:rPr>
        <w:t xml:space="preserve"> </w:t>
      </w:r>
      <w:r w:rsidRPr="00103A49">
        <w:rPr>
          <w:rFonts w:ascii="Times New Roman" w:eastAsia="Times New Roman" w:hAnsi="Times New Roman" w:cs="Times New Roman"/>
          <w:color w:val="000000"/>
          <w:sz w:val="20"/>
          <w:lang w:eastAsia="de-DE"/>
        </w:rPr>
        <w:t xml:space="preserve">The resulting attention context is combined with the decoder representation through a </w:t>
      </w:r>
      <w:r w:rsidRPr="00103A49">
        <w:rPr>
          <w:rFonts w:ascii="Times New Roman" w:eastAsia="Times New Roman" w:hAnsi="Times New Roman" w:cs="Times New Roman"/>
          <w:color w:val="000000"/>
          <w:sz w:val="20"/>
          <w:lang w:eastAsia="de-DE"/>
        </w:rPr>
        <w:lastRenderedPageBreak/>
        <w:t>residual connection and subsequently processed by a gated residual network (GRN). The GRN introduces a learnable gating mechanism that controls the contribution of transformed features and residual information. This enables the model to preserve relevant temporal features while reducing the influence of less informative representations.</w:t>
      </w:r>
    </w:p>
    <w:p w14:paraId="3A3068D4" w14:textId="4AA32481" w:rsidR="00D52D0D" w:rsidRPr="00103A49" w:rsidRDefault="00D52D0D" w:rsidP="00D52D0D">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Finally, the fused latent representation is mapped to the target variable through a linear output layer. By applying this transformation for all time steps within the prediction horizon, the model generates the complete target trajectory. The overall data flow can be summarized as:</w:t>
      </w:r>
    </w:p>
    <w:p w14:paraId="6FBC4A44" w14:textId="56743C38" w:rsidR="00C077DF" w:rsidRPr="00103A49" w:rsidRDefault="00C077DF" w:rsidP="00D52D0D">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Historical observations + known future variables (Input) =&gt; Temporal Encoding =&gt; Multi-Head Attention Fusion =&gt; GRN =&gt; Output </w:t>
      </w:r>
    </w:p>
    <w:p w14:paraId="005FB3D3" w14:textId="1934E3B7" w:rsidR="00996BC6" w:rsidRPr="00103A49" w:rsidRDefault="00996BC6" w:rsidP="00103A49">
      <w:pPr>
        <w:pStyle w:val="Listenabsatz"/>
        <w:numPr>
          <w:ilvl w:val="2"/>
          <w:numId w:val="1"/>
        </w:numPr>
        <w:rPr>
          <w:rFonts w:ascii="Arial" w:eastAsia="Times New Roman" w:hAnsi="Arial" w:cs="Times New Roman"/>
          <w:i/>
          <w:color w:val="000000"/>
          <w:sz w:val="20"/>
          <w:lang w:val="en-GB" w:eastAsia="de-DE"/>
        </w:rPr>
      </w:pPr>
      <w:r w:rsidRPr="00103A49">
        <w:rPr>
          <w:rFonts w:ascii="Arial" w:eastAsia="Times New Roman" w:hAnsi="Arial" w:cs="Times New Roman"/>
          <w:i/>
          <w:color w:val="000000"/>
          <w:sz w:val="20"/>
          <w:lang w:val="en-GB" w:eastAsia="de-DE"/>
        </w:rPr>
        <w:t xml:space="preserve">Data </w:t>
      </w:r>
      <w:r w:rsidR="00C077DF" w:rsidRPr="00103A49">
        <w:rPr>
          <w:rFonts w:ascii="Arial" w:eastAsia="Times New Roman" w:hAnsi="Arial" w:cs="Times New Roman"/>
          <w:i/>
          <w:color w:val="000000"/>
          <w:sz w:val="20"/>
          <w:lang w:val="en-GB" w:eastAsia="de-DE"/>
        </w:rPr>
        <w:t>preparation</w:t>
      </w:r>
    </w:p>
    <w:p w14:paraId="2CA79951" w14:textId="597D4A71" w:rsidR="00437F03" w:rsidRPr="00103A49" w:rsidRDefault="007D3C0C" w:rsidP="007B2E4F">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The training data (input features and target features) are obtained by </w:t>
      </w:r>
      <w:proofErr w:type="spellStart"/>
      <w:r w:rsidRPr="00103A49">
        <w:rPr>
          <w:rFonts w:ascii="Times New Roman" w:eastAsia="Times New Roman" w:hAnsi="Times New Roman" w:cs="Times New Roman"/>
          <w:color w:val="000000"/>
          <w:sz w:val="20"/>
          <w:lang w:eastAsia="de-DE"/>
        </w:rPr>
        <w:t>Polysun</w:t>
      </w:r>
      <w:proofErr w:type="spellEnd"/>
      <w:r w:rsidR="00F329AF" w:rsidRPr="008119E0">
        <w:rPr>
          <w:rFonts w:ascii="Times New Roman" w:eastAsia="Times New Roman" w:hAnsi="Times New Roman" w:cs="Times New Roman"/>
          <w:color w:val="000000"/>
          <w:sz w:val="20"/>
          <w:szCs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baf0022e-bdbe-8eee-ca85-8a24b30d0eab"/>
          <w:id w:val="-154531791"/>
        </w:sdtPr>
        <w:sdtEndPr/>
        <w:sdtContent>
          <w:r w:rsidR="00F329AF" w:rsidRPr="005E742B">
            <w:rPr>
              <w:rFonts w:ascii="Times New Roman" w:hAnsi="Times New Roman" w:cs="Times New Roman"/>
              <w:color w:val="000000"/>
              <w:sz w:val="20"/>
              <w:szCs w:val="20"/>
            </w:rPr>
            <w:fldChar w:fldCharType="begin"/>
          </w:r>
          <w:r w:rsidR="00F329AF" w:rsidRPr="005E742B">
            <w:rPr>
              <w:rFonts w:ascii="Times New Roman" w:hAnsi="Times New Roman" w:cs="Times New Roman"/>
              <w:color w:val="000000"/>
              <w:sz w:val="20"/>
              <w:szCs w:val="20"/>
            </w:rPr>
            <w:instrText>ADDIN CitaviPlaceholder{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}</w:instrText>
          </w:r>
          <w:r w:rsidR="00F329AF" w:rsidRPr="005E742B">
            <w:rPr>
              <w:rFonts w:ascii="Times New Roman" w:hAnsi="Times New Roman" w:cs="Times New Roman"/>
              <w:color w:val="000000"/>
              <w:sz w:val="20"/>
              <w:szCs w:val="20"/>
            </w:rPr>
            <w:fldChar w:fldCharType="separate"/>
          </w:r>
          <w:r w:rsidR="00F329AF" w:rsidRPr="005E742B">
            <w:rPr>
              <w:rFonts w:ascii="Times New Roman" w:hAnsi="Times New Roman" w:cs="Times New Roman"/>
              <w:color w:val="000000"/>
              <w:sz w:val="20"/>
              <w:szCs w:val="20"/>
            </w:rPr>
            <w:t>(Vela Solaris AG)</w:t>
          </w:r>
          <w:r w:rsidR="00F329AF" w:rsidRPr="005E742B">
            <w:rPr>
              <w:rFonts w:ascii="Times New Roman" w:hAnsi="Times New Roman" w:cs="Times New Roman"/>
              <w:color w:val="000000"/>
              <w:sz w:val="20"/>
              <w:szCs w:val="20"/>
            </w:rPr>
            <w:fldChar w:fldCharType="end"/>
          </w:r>
        </w:sdtContent>
      </w:sdt>
      <w:r w:rsidRPr="00103A49">
        <w:rPr>
          <w:rFonts w:ascii="Times New Roman" w:eastAsia="Times New Roman" w:hAnsi="Times New Roman" w:cs="Times New Roman"/>
          <w:color w:val="000000"/>
          <w:sz w:val="20"/>
          <w:lang w:eastAsia="de-DE"/>
        </w:rPr>
        <w:t xml:space="preserve"> simulations with the corresponding hydraulic setups and two buffer charging strategies. The dataset consists of five training years, one validation year and </w:t>
      </w:r>
      <w:r w:rsidR="00066A36">
        <w:rPr>
          <w:rFonts w:ascii="Times New Roman" w:eastAsia="Times New Roman" w:hAnsi="Times New Roman" w:cs="Times New Roman"/>
          <w:color w:val="000000"/>
          <w:sz w:val="20"/>
          <w:lang w:eastAsia="de-DE"/>
        </w:rPr>
        <w:t>three</w:t>
      </w:r>
      <w:r w:rsidRPr="00103A49">
        <w:rPr>
          <w:rFonts w:ascii="Times New Roman" w:eastAsia="Times New Roman" w:hAnsi="Times New Roman" w:cs="Times New Roman"/>
          <w:color w:val="000000"/>
          <w:sz w:val="20"/>
          <w:lang w:eastAsia="de-DE"/>
        </w:rPr>
        <w:t xml:space="preserve"> </w:t>
      </w:r>
      <w:r w:rsidR="00066A36">
        <w:rPr>
          <w:rFonts w:ascii="Times New Roman" w:eastAsia="Times New Roman" w:hAnsi="Times New Roman" w:cs="Times New Roman"/>
          <w:color w:val="000000"/>
          <w:sz w:val="20"/>
          <w:lang w:eastAsia="de-DE"/>
        </w:rPr>
        <w:t>evaluation</w:t>
      </w:r>
      <w:r w:rsidRPr="00103A49">
        <w:rPr>
          <w:rFonts w:ascii="Times New Roman" w:eastAsia="Times New Roman" w:hAnsi="Times New Roman" w:cs="Times New Roman"/>
          <w:color w:val="000000"/>
          <w:sz w:val="20"/>
          <w:lang w:eastAsia="de-DE"/>
        </w:rPr>
        <w:t xml:space="preserve"> year</w:t>
      </w:r>
      <w:r w:rsidR="00066A36">
        <w:rPr>
          <w:rFonts w:ascii="Times New Roman" w:eastAsia="Times New Roman" w:hAnsi="Times New Roman" w:cs="Times New Roman"/>
          <w:color w:val="000000"/>
          <w:sz w:val="20"/>
          <w:lang w:eastAsia="de-DE"/>
        </w:rPr>
        <w:t>s</w:t>
      </w:r>
      <w:r w:rsidRPr="00103A49">
        <w:rPr>
          <w:rFonts w:ascii="Times New Roman" w:eastAsia="Times New Roman" w:hAnsi="Times New Roman" w:cs="Times New Roman"/>
          <w:color w:val="000000"/>
          <w:sz w:val="20"/>
          <w:lang w:eastAsia="de-DE"/>
        </w:rPr>
        <w:t xml:space="preserve"> in 15 min timesteps. The SH and DHW consumption profiles, which are needed for the </w:t>
      </w:r>
      <w:proofErr w:type="spellStart"/>
      <w:r w:rsidRPr="00103A49">
        <w:rPr>
          <w:rFonts w:ascii="Times New Roman" w:eastAsia="Times New Roman" w:hAnsi="Times New Roman" w:cs="Times New Roman"/>
          <w:color w:val="000000"/>
          <w:sz w:val="20"/>
          <w:lang w:eastAsia="de-DE"/>
        </w:rPr>
        <w:t>Polysun</w:t>
      </w:r>
      <w:proofErr w:type="spellEnd"/>
      <w:r w:rsidRPr="00103A49">
        <w:rPr>
          <w:rFonts w:ascii="Times New Roman" w:eastAsia="Times New Roman" w:hAnsi="Times New Roman" w:cs="Times New Roman"/>
          <w:color w:val="000000"/>
          <w:sz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baf0022e-bdbe-8eee-ca85-8a24b30d0eab"/>
          <w:id w:val="842976718"/>
        </w:sdtPr>
        <w:sdtEndPr/>
        <w:sdtContent>
          <w:r w:rsidR="00F329AF" w:rsidRPr="005E742B">
            <w:rPr>
              <w:rFonts w:ascii="Times New Roman" w:hAnsi="Times New Roman" w:cs="Times New Roman"/>
              <w:color w:val="000000"/>
              <w:sz w:val="20"/>
              <w:szCs w:val="20"/>
            </w:rPr>
            <w:fldChar w:fldCharType="begin"/>
          </w:r>
          <w:r w:rsidR="00F329AF" w:rsidRPr="005E742B">
            <w:rPr>
              <w:rFonts w:ascii="Times New Roman" w:hAnsi="Times New Roman" w:cs="Times New Roman"/>
              <w:color w:val="000000"/>
              <w:sz w:val="20"/>
              <w:szCs w:val="20"/>
            </w:rPr>
            <w:instrText>ADDIN CitaviPlaceholder{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}</w:instrText>
          </w:r>
          <w:r w:rsidR="00F329AF" w:rsidRPr="005E742B">
            <w:rPr>
              <w:rFonts w:ascii="Times New Roman" w:hAnsi="Times New Roman" w:cs="Times New Roman"/>
              <w:color w:val="000000"/>
              <w:sz w:val="20"/>
              <w:szCs w:val="20"/>
            </w:rPr>
            <w:fldChar w:fldCharType="separate"/>
          </w:r>
          <w:r w:rsidR="00F329AF" w:rsidRPr="005E742B">
            <w:rPr>
              <w:rFonts w:ascii="Times New Roman" w:hAnsi="Times New Roman" w:cs="Times New Roman"/>
              <w:color w:val="000000"/>
              <w:sz w:val="20"/>
              <w:szCs w:val="20"/>
            </w:rPr>
            <w:t>(Vela Solaris AG)</w:t>
          </w:r>
          <w:r w:rsidR="00F329AF" w:rsidRPr="005E742B">
            <w:rPr>
              <w:rFonts w:ascii="Times New Roman" w:hAnsi="Times New Roman" w:cs="Times New Roman"/>
              <w:color w:val="000000"/>
              <w:sz w:val="20"/>
              <w:szCs w:val="20"/>
            </w:rPr>
            <w:fldChar w:fldCharType="end"/>
          </w:r>
        </w:sdtContent>
      </w:sdt>
      <w:r w:rsidR="00F329AF" w:rsidRPr="00103A49">
        <w:rPr>
          <w:rFonts w:ascii="Times New Roman" w:eastAsia="Times New Roman" w:hAnsi="Times New Roman" w:cs="Times New Roman"/>
          <w:color w:val="000000"/>
          <w:sz w:val="20"/>
          <w:lang w:eastAsia="de-DE"/>
        </w:rPr>
        <w:t xml:space="preserve"> </w:t>
      </w:r>
      <w:r w:rsidRPr="00103A49">
        <w:rPr>
          <w:rFonts w:ascii="Times New Roman" w:eastAsia="Times New Roman" w:hAnsi="Times New Roman" w:cs="Times New Roman"/>
          <w:color w:val="000000"/>
          <w:sz w:val="20"/>
          <w:lang w:eastAsia="de-DE"/>
        </w:rPr>
        <w:t xml:space="preserve">simulation are obtained from </w:t>
      </w:r>
      <w:r w:rsidRPr="008119E0">
        <w:rPr>
          <w:rFonts w:ascii="Times New Roman" w:eastAsia="Times New Roman" w:hAnsi="Times New Roman" w:cs="Times New Roman"/>
          <w:color w:val="000000"/>
          <w:sz w:val="20"/>
          <w:szCs w:val="20"/>
          <w:lang w:eastAsia="de-DE"/>
        </w:rPr>
        <w:t>monitoring data (SH and DHW), a systematic variation of the monitoring data (SH) and the statistical tool</w:t>
      </w:r>
      <w:r w:rsidR="0010208D" w:rsidRPr="008119E0">
        <w:rPr>
          <w:rFonts w:ascii="Times New Roman" w:eastAsia="Times New Roman" w:hAnsi="Times New Roman" w:cs="Times New Roman"/>
          <w:color w:val="000000"/>
          <w:sz w:val="20"/>
          <w:szCs w:val="20"/>
          <w:lang w:eastAsia="de-DE"/>
        </w:rPr>
        <w:t xml:space="preserve"> </w:t>
      </w:r>
      <w:proofErr w:type="spellStart"/>
      <w:r w:rsidR="0010208D" w:rsidRPr="008119E0">
        <w:rPr>
          <w:rFonts w:ascii="Times New Roman" w:eastAsia="Times New Roman" w:hAnsi="Times New Roman" w:cs="Times New Roman"/>
          <w:color w:val="000000"/>
          <w:sz w:val="20"/>
          <w:szCs w:val="20"/>
          <w:lang w:eastAsia="de-DE"/>
        </w:rPr>
        <w:t>DHW_calc</w:t>
      </w:r>
      <w:proofErr w:type="spellEnd"/>
      <w:r w:rsidRPr="008119E0">
        <w:rPr>
          <w:rFonts w:ascii="Times New Roman" w:eastAsia="Times New Roman" w:hAnsi="Times New Roman" w:cs="Times New Roman"/>
          <w:color w:val="000000"/>
          <w:sz w:val="20"/>
          <w:szCs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cd8c503a-e9a1-1147-1213-e8dad88381f9"/>
          <w:id w:val="-851648428"/>
        </w:sdtPr>
        <w:sdtEndPr/>
        <w:sdtContent>
          <w:r w:rsidR="00A557D0" w:rsidRPr="00F329AF">
            <w:rPr>
              <w:rFonts w:ascii="Times New Roman" w:hAnsi="Times New Roman" w:cs="Times New Roman"/>
              <w:color w:val="000000"/>
              <w:sz w:val="20"/>
              <w:szCs w:val="20"/>
            </w:rPr>
            <w:fldChar w:fldCharType="begin"/>
          </w:r>
          <w:r w:rsidR="00A557D0" w:rsidRPr="00F329AF">
            <w:rPr>
              <w:rFonts w:ascii="Times New Roman" w:hAnsi="Times New Roman" w:cs="Times New Roman"/>
              <w:color w:val="000000"/>
              <w:sz w:val="20"/>
              <w:szCs w:val="20"/>
            </w:rPr>
            <w:instrText>ADDIN CitaviPlaceholder{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}</w:instrText>
          </w:r>
          <w:r w:rsidR="00A557D0" w:rsidRPr="00F329AF">
            <w:rPr>
              <w:rFonts w:ascii="Times New Roman" w:hAnsi="Times New Roman" w:cs="Times New Roman"/>
              <w:color w:val="000000"/>
              <w:sz w:val="20"/>
              <w:szCs w:val="20"/>
            </w:rPr>
            <w:fldChar w:fldCharType="separate"/>
          </w:r>
          <w:r w:rsidR="00A557D0" w:rsidRPr="00F329AF">
            <w:rPr>
              <w:rFonts w:ascii="Times New Roman" w:hAnsi="Times New Roman" w:cs="Times New Roman"/>
              <w:color w:val="000000"/>
              <w:sz w:val="20"/>
              <w:szCs w:val="20"/>
            </w:rPr>
            <w:t xml:space="preserve">(Jordan and </w:t>
          </w:r>
          <w:proofErr w:type="spellStart"/>
          <w:r w:rsidR="00A557D0" w:rsidRPr="00F329AF">
            <w:rPr>
              <w:rFonts w:ascii="Times New Roman" w:hAnsi="Times New Roman" w:cs="Times New Roman"/>
              <w:color w:val="000000"/>
              <w:sz w:val="20"/>
              <w:szCs w:val="20"/>
            </w:rPr>
            <w:t>Vajen</w:t>
          </w:r>
          <w:proofErr w:type="spellEnd"/>
          <w:r w:rsidR="00A557D0" w:rsidRPr="00F329AF">
            <w:rPr>
              <w:rFonts w:ascii="Times New Roman" w:hAnsi="Times New Roman" w:cs="Times New Roman"/>
              <w:color w:val="000000"/>
              <w:sz w:val="20"/>
              <w:szCs w:val="20"/>
            </w:rPr>
            <w:t>, 2017)</w:t>
          </w:r>
          <w:r w:rsidR="00A557D0" w:rsidRPr="00F329AF">
            <w:rPr>
              <w:rFonts w:ascii="Times New Roman" w:hAnsi="Times New Roman" w:cs="Times New Roman"/>
              <w:color w:val="000000"/>
              <w:sz w:val="20"/>
              <w:szCs w:val="20"/>
            </w:rPr>
            <w:fldChar w:fldCharType="end"/>
          </w:r>
        </w:sdtContent>
      </w:sdt>
      <w:r w:rsidRPr="008119E0">
        <w:rPr>
          <w:rFonts w:ascii="Times New Roman" w:eastAsia="Times New Roman" w:hAnsi="Times New Roman" w:cs="Times New Roman"/>
          <w:color w:val="000000"/>
          <w:sz w:val="20"/>
          <w:szCs w:val="20"/>
          <w:lang w:eastAsia="de-DE"/>
        </w:rPr>
        <w:t xml:space="preserve">. </w:t>
      </w:r>
      <w:r w:rsidR="00437F03" w:rsidRPr="008119E0">
        <w:rPr>
          <w:rFonts w:ascii="Times New Roman" w:eastAsia="Times New Roman" w:hAnsi="Times New Roman" w:cs="Times New Roman"/>
          <w:color w:val="000000"/>
          <w:sz w:val="20"/>
          <w:szCs w:val="20"/>
          <w:lang w:eastAsia="de-DE"/>
        </w:rPr>
        <w:t>Since</w:t>
      </w:r>
      <w:r w:rsidR="00437F03" w:rsidRPr="00103A49">
        <w:rPr>
          <w:rFonts w:ascii="Times New Roman" w:eastAsia="Times New Roman" w:hAnsi="Times New Roman" w:cs="Times New Roman"/>
          <w:color w:val="000000"/>
          <w:sz w:val="20"/>
          <w:lang w:eastAsia="de-DE"/>
        </w:rPr>
        <w:t xml:space="preserve"> thermal energy systems exhibit pronounced temporal dependencies, the </w:t>
      </w:r>
      <w:r w:rsidR="007B2E4F" w:rsidRPr="00103A49">
        <w:rPr>
          <w:rFonts w:ascii="Times New Roman" w:eastAsia="Times New Roman" w:hAnsi="Times New Roman" w:cs="Times New Roman"/>
          <w:color w:val="000000"/>
          <w:sz w:val="20"/>
          <w:lang w:eastAsia="de-DE"/>
        </w:rPr>
        <w:t xml:space="preserve">available training data </w:t>
      </w:r>
      <w:r w:rsidR="00437F03" w:rsidRPr="00103A49">
        <w:rPr>
          <w:rFonts w:ascii="Times New Roman" w:eastAsia="Times New Roman" w:hAnsi="Times New Roman" w:cs="Times New Roman"/>
          <w:color w:val="000000"/>
          <w:sz w:val="20"/>
          <w:lang w:eastAsia="de-DE"/>
        </w:rPr>
        <w:t xml:space="preserve">are extended by several additional features. First, cyclical time features are introduced to represent the periodic behavior of the system. </w:t>
      </w:r>
      <w:r w:rsidR="007B2E4F" w:rsidRPr="00103A49">
        <w:rPr>
          <w:rFonts w:ascii="Times New Roman" w:eastAsia="Times New Roman" w:hAnsi="Times New Roman" w:cs="Times New Roman"/>
          <w:color w:val="000000"/>
          <w:sz w:val="20"/>
          <w:lang w:eastAsia="de-DE"/>
        </w:rPr>
        <w:t xml:space="preserve">Sine and cosine values of the time of the day, as well as of the day of the year are added. </w:t>
      </w:r>
      <w:r w:rsidR="00437F03" w:rsidRPr="00103A49">
        <w:rPr>
          <w:rFonts w:ascii="Times New Roman" w:eastAsia="Times New Roman" w:hAnsi="Times New Roman" w:cs="Times New Roman"/>
          <w:color w:val="000000"/>
          <w:sz w:val="20"/>
          <w:lang w:eastAsia="de-DE"/>
        </w:rPr>
        <w:t xml:space="preserve">To further improve the representation of the system dynamics, lagged variables are generated for </w:t>
      </w:r>
      <w:r w:rsidR="007B2E4F" w:rsidRPr="00103A49">
        <w:rPr>
          <w:rFonts w:ascii="Times New Roman" w:eastAsia="Times New Roman" w:hAnsi="Times New Roman" w:cs="Times New Roman"/>
          <w:color w:val="000000"/>
          <w:sz w:val="20"/>
          <w:lang w:eastAsia="de-DE"/>
        </w:rPr>
        <w:t>most variables</w:t>
      </w:r>
      <w:r w:rsidR="00437F03" w:rsidRPr="00103A49">
        <w:rPr>
          <w:rFonts w:ascii="Times New Roman" w:eastAsia="Times New Roman" w:hAnsi="Times New Roman" w:cs="Times New Roman"/>
          <w:color w:val="000000"/>
          <w:sz w:val="20"/>
          <w:lang w:eastAsia="de-DE"/>
        </w:rPr>
        <w:t>. These include previous values of the substation power, the substation</w:t>
      </w:r>
      <w:r w:rsidR="007B2E4F" w:rsidRPr="00103A49">
        <w:rPr>
          <w:rFonts w:ascii="Times New Roman" w:eastAsia="Times New Roman" w:hAnsi="Times New Roman" w:cs="Times New Roman"/>
          <w:color w:val="000000"/>
          <w:sz w:val="20"/>
          <w:lang w:eastAsia="de-DE"/>
        </w:rPr>
        <w:t xml:space="preserve"> </w:t>
      </w:r>
      <w:proofErr w:type="gramStart"/>
      <w:r w:rsidR="00437F03" w:rsidRPr="00103A49">
        <w:rPr>
          <w:rFonts w:ascii="Times New Roman" w:eastAsia="Times New Roman" w:hAnsi="Times New Roman" w:cs="Times New Roman"/>
          <w:color w:val="000000"/>
          <w:sz w:val="20"/>
          <w:lang w:eastAsia="de-DE"/>
        </w:rPr>
        <w:t>return</w:t>
      </w:r>
      <w:proofErr w:type="gramEnd"/>
      <w:r w:rsidR="007B2E4F" w:rsidRPr="00103A49">
        <w:rPr>
          <w:rFonts w:ascii="Times New Roman" w:eastAsia="Times New Roman" w:hAnsi="Times New Roman" w:cs="Times New Roman"/>
          <w:color w:val="000000"/>
          <w:sz w:val="20"/>
          <w:lang w:eastAsia="de-DE"/>
        </w:rPr>
        <w:t xml:space="preserve"> </w:t>
      </w:r>
      <w:r w:rsidR="00437F03" w:rsidRPr="00103A49">
        <w:rPr>
          <w:rFonts w:ascii="Times New Roman" w:eastAsia="Times New Roman" w:hAnsi="Times New Roman" w:cs="Times New Roman"/>
          <w:color w:val="000000"/>
          <w:sz w:val="20"/>
          <w:lang w:eastAsia="de-DE"/>
        </w:rPr>
        <w:t>temperature</w:t>
      </w:r>
      <w:r w:rsidR="007B2E4F" w:rsidRPr="00103A49">
        <w:rPr>
          <w:rFonts w:ascii="Times New Roman" w:eastAsia="Times New Roman" w:hAnsi="Times New Roman" w:cs="Times New Roman"/>
          <w:color w:val="000000"/>
          <w:sz w:val="20"/>
          <w:lang w:eastAsia="de-DE"/>
        </w:rPr>
        <w:t xml:space="preserve"> (both target values)</w:t>
      </w:r>
      <w:r w:rsidR="00437F03" w:rsidRPr="00103A49">
        <w:rPr>
          <w:rFonts w:ascii="Times New Roman" w:eastAsia="Times New Roman" w:hAnsi="Times New Roman" w:cs="Times New Roman"/>
          <w:color w:val="000000"/>
          <w:sz w:val="20"/>
          <w:lang w:eastAsia="de-DE"/>
        </w:rPr>
        <w:t xml:space="preserve">, the </w:t>
      </w:r>
      <w:r w:rsidR="007B2E4F" w:rsidRPr="00103A49">
        <w:rPr>
          <w:rFonts w:ascii="Times New Roman" w:eastAsia="Times New Roman" w:hAnsi="Times New Roman" w:cs="Times New Roman"/>
          <w:color w:val="000000"/>
          <w:sz w:val="20"/>
          <w:lang w:eastAsia="de-DE"/>
        </w:rPr>
        <w:t>SH</w:t>
      </w:r>
      <w:r w:rsidR="00437F03" w:rsidRPr="00103A49">
        <w:rPr>
          <w:rFonts w:ascii="Times New Roman" w:eastAsia="Times New Roman" w:hAnsi="Times New Roman" w:cs="Times New Roman"/>
          <w:color w:val="000000"/>
          <w:sz w:val="20"/>
          <w:lang w:eastAsia="de-DE"/>
        </w:rPr>
        <w:t xml:space="preserve"> power and</w:t>
      </w:r>
      <w:r w:rsidR="007B2E4F" w:rsidRPr="00103A49">
        <w:rPr>
          <w:rFonts w:ascii="Times New Roman" w:eastAsia="Times New Roman" w:hAnsi="Times New Roman" w:cs="Times New Roman"/>
          <w:color w:val="000000"/>
          <w:sz w:val="20"/>
          <w:lang w:eastAsia="de-DE"/>
        </w:rPr>
        <w:t xml:space="preserve"> DHW</w:t>
      </w:r>
      <w:r w:rsidR="00437F03" w:rsidRPr="00103A49">
        <w:rPr>
          <w:rFonts w:ascii="Times New Roman" w:eastAsia="Times New Roman" w:hAnsi="Times New Roman" w:cs="Times New Roman"/>
          <w:color w:val="000000"/>
          <w:sz w:val="20"/>
          <w:lang w:eastAsia="de-DE"/>
        </w:rPr>
        <w:t xml:space="preserve"> power. Multiple lag intervals are considered in order to represent both short-term dynamics and longer recurring operating patterns. While short lags describe the immediate thermal response of the hydraulic system, longer lags allow the model to exploit similarities between consecutive daily operating cycles.</w:t>
      </w:r>
    </w:p>
    <w:p w14:paraId="26896447" w14:textId="1803F1AE" w:rsidR="00437F03" w:rsidRPr="00103A49" w:rsidRDefault="00437F03" w:rsidP="007B2E4F">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Besides lagged </w:t>
      </w:r>
      <w:r w:rsidR="007B2E4F" w:rsidRPr="00103A49">
        <w:rPr>
          <w:rFonts w:ascii="Times New Roman" w:eastAsia="Times New Roman" w:hAnsi="Times New Roman" w:cs="Times New Roman"/>
          <w:color w:val="000000"/>
          <w:sz w:val="20"/>
          <w:lang w:eastAsia="de-DE"/>
        </w:rPr>
        <w:t>variables</w:t>
      </w:r>
      <w:r w:rsidRPr="00103A49">
        <w:rPr>
          <w:rFonts w:ascii="Times New Roman" w:eastAsia="Times New Roman" w:hAnsi="Times New Roman" w:cs="Times New Roman"/>
          <w:color w:val="000000"/>
          <w:sz w:val="20"/>
          <w:lang w:eastAsia="de-DE"/>
        </w:rPr>
        <w:t xml:space="preserve">, first-order differences are calculated for the same variables. These features provide information about the temporal gradients of the measured quantities and therefore enable the forecasting model to distinguish between stationary operating conditions and rapidly changing </w:t>
      </w:r>
      <w:r w:rsidR="007B2E4F" w:rsidRPr="00103A49">
        <w:rPr>
          <w:rFonts w:ascii="Times New Roman" w:eastAsia="Times New Roman" w:hAnsi="Times New Roman" w:cs="Times New Roman"/>
          <w:color w:val="000000"/>
          <w:sz w:val="20"/>
          <w:lang w:eastAsia="de-DE"/>
        </w:rPr>
        <w:t>values</w:t>
      </w:r>
      <w:r w:rsidRPr="00103A49">
        <w:rPr>
          <w:rFonts w:ascii="Times New Roman" w:eastAsia="Times New Roman" w:hAnsi="Times New Roman" w:cs="Times New Roman"/>
          <w:color w:val="000000"/>
          <w:sz w:val="20"/>
          <w:lang w:eastAsia="de-DE"/>
        </w:rPr>
        <w:t xml:space="preserve">. Such information is particularly beneficial during periods of increasing or decreasing </w:t>
      </w:r>
      <w:r w:rsidR="007B2E4F" w:rsidRPr="00103A49">
        <w:rPr>
          <w:rFonts w:ascii="Times New Roman" w:eastAsia="Times New Roman" w:hAnsi="Times New Roman" w:cs="Times New Roman"/>
          <w:color w:val="000000"/>
          <w:sz w:val="20"/>
          <w:lang w:eastAsia="de-DE"/>
        </w:rPr>
        <w:t>DHW</w:t>
      </w:r>
      <w:r w:rsidRPr="00103A49">
        <w:rPr>
          <w:rFonts w:ascii="Times New Roman" w:eastAsia="Times New Roman" w:hAnsi="Times New Roman" w:cs="Times New Roman"/>
          <w:color w:val="000000"/>
          <w:sz w:val="20"/>
          <w:lang w:eastAsia="de-DE"/>
        </w:rPr>
        <w:t xml:space="preserve"> demand, where large load variations occur within short time intervals.</w:t>
      </w:r>
      <w:r w:rsidR="006A0C3B" w:rsidRPr="00103A49">
        <w:rPr>
          <w:rFonts w:ascii="Times New Roman" w:eastAsia="Times New Roman" w:hAnsi="Times New Roman" w:cs="Times New Roman"/>
          <w:color w:val="000000"/>
          <w:sz w:val="20"/>
          <w:lang w:eastAsia="de-DE"/>
        </w:rPr>
        <w:t xml:space="preserve"> </w:t>
      </w:r>
      <w:r w:rsidRPr="00103A49">
        <w:rPr>
          <w:rFonts w:ascii="Times New Roman" w:eastAsia="Times New Roman" w:hAnsi="Times New Roman" w:cs="Times New Roman"/>
          <w:color w:val="000000"/>
          <w:sz w:val="20"/>
          <w:lang w:eastAsia="de-DE"/>
        </w:rPr>
        <w:t>In addition, rolling statistical features are generated by calculating moving averages and moving standard deviations over different window lengths. The moving averages provide information about the recent operating trend, whereas the moving standard deviations describe the short-term variability of the thermal loads. These statistical descriptors complement the instantaneous measurements and enable the neural network to distinguish between stable operating conditions and highly dynamic system behavior.</w:t>
      </w:r>
    </w:p>
    <w:p w14:paraId="1D10B036" w14:textId="79B84615" w:rsidR="00C077DF" w:rsidRDefault="00437F03" w:rsidP="001D1EDC">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Prior to model training, all continuous input variables are standardized using z-score normalization. The corresponding scaling parameters are determined exclusively from the training data and are subsequently applied to the validation and test datasets. This procedure prevents information leakage from unseen datasets and ensures that all input variables contribute equally during network optimization despite their different physical units and numerical ranges. The cyclic time features are excluded from the normalization process because they are already bounded within the interval from −1 to 1.</w:t>
      </w:r>
      <w:r w:rsidR="001D1EDC" w:rsidRPr="00103A49">
        <w:rPr>
          <w:rFonts w:ascii="Times New Roman" w:eastAsia="Times New Roman" w:hAnsi="Times New Roman" w:cs="Times New Roman"/>
          <w:color w:val="000000"/>
          <w:sz w:val="20"/>
          <w:lang w:eastAsia="de-DE"/>
        </w:rPr>
        <w:t xml:space="preserve"> Furthermore, the continuous time series are transformed into sequences using a sliding-window approach. The used sequence length covers 96 timesteps, corresponding to one day. </w:t>
      </w:r>
    </w:p>
    <w:p w14:paraId="2D6598A1" w14:textId="77777777" w:rsidR="00066A36" w:rsidRPr="00103A49" w:rsidRDefault="00066A36" w:rsidP="001D1EDC">
      <w:pPr>
        <w:jc w:val="both"/>
        <w:rPr>
          <w:rFonts w:ascii="Times New Roman" w:eastAsia="Times New Roman" w:hAnsi="Times New Roman" w:cs="Times New Roman"/>
          <w:color w:val="000000"/>
          <w:sz w:val="20"/>
          <w:lang w:eastAsia="de-DE"/>
        </w:rPr>
      </w:pPr>
    </w:p>
    <w:p w14:paraId="071A3A46" w14:textId="700BD931" w:rsidR="00C2128A" w:rsidRDefault="00066A36" w:rsidP="00066A36">
      <w:pPr>
        <w:pStyle w:val="Listenabsatz"/>
        <w:numPr>
          <w:ilvl w:val="2"/>
          <w:numId w:val="1"/>
        </w:numP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Model evaluation</w:t>
      </w:r>
    </w:p>
    <w:p w14:paraId="1198322D" w14:textId="653BDDBC" w:rsidR="00066A36" w:rsidRPr="00066A36" w:rsidRDefault="00066A36" w:rsidP="0078100D">
      <w:pPr>
        <w:jc w:val="both"/>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The trained models are first assessed with the same test year as used for testing the effectiveness of the charging strategies (</w:t>
      </w:r>
      <w:r w:rsidRPr="00066A36">
        <w:rPr>
          <w:rFonts w:ascii="Times New Roman" w:eastAsia="Times New Roman" w:hAnsi="Times New Roman" w:cs="Times New Roman"/>
          <w:color w:val="000000"/>
          <w:sz w:val="20"/>
          <w:lang w:eastAsia="de-DE"/>
        </w:rPr>
        <w:t>SH demand of 211 MWh and 88 MWh DHW demand</w:t>
      </w:r>
      <w:r>
        <w:rPr>
          <w:rFonts w:ascii="Times New Roman" w:eastAsia="Times New Roman" w:hAnsi="Times New Roman" w:cs="Times New Roman"/>
          <w:color w:val="000000"/>
          <w:sz w:val="20"/>
          <w:lang w:eastAsia="de-DE"/>
        </w:rPr>
        <w:t xml:space="preserve">). </w:t>
      </w:r>
      <w:r w:rsidR="0078100D">
        <w:rPr>
          <w:rFonts w:ascii="Times New Roman" w:eastAsia="Times New Roman" w:hAnsi="Times New Roman" w:cs="Times New Roman"/>
          <w:color w:val="000000"/>
          <w:sz w:val="20"/>
          <w:lang w:eastAsia="de-DE"/>
        </w:rPr>
        <w:t>The yearly mean absolute percentage error (MAPE) is calculated based on the reference values and the model predictions for the test year excluding the summer months from June to September. Power and return temperature prediction are evaluated separately. Furthermore, to test the generalizability</w:t>
      </w:r>
      <w:r w:rsidR="00727929">
        <w:rPr>
          <w:rFonts w:ascii="Times New Roman" w:eastAsia="Times New Roman" w:hAnsi="Times New Roman" w:cs="Times New Roman"/>
          <w:color w:val="000000"/>
          <w:sz w:val="20"/>
          <w:lang w:eastAsia="de-DE"/>
        </w:rPr>
        <w:t xml:space="preserve"> of the models for other buildings with varying SH and DHW demand, </w:t>
      </w:r>
      <w:r w:rsidR="00727929">
        <w:rPr>
          <w:rFonts w:ascii="Times New Roman" w:eastAsia="Times New Roman" w:hAnsi="Times New Roman" w:cs="Times New Roman"/>
          <w:color w:val="000000"/>
          <w:sz w:val="20"/>
          <w:lang w:eastAsia="de-DE"/>
        </w:rPr>
        <w:lastRenderedPageBreak/>
        <w:t xml:space="preserve">the models are evaluated similarly for two more test years with </w:t>
      </w:r>
      <w:proofErr w:type="gramStart"/>
      <w:r w:rsidR="00727929">
        <w:rPr>
          <w:rFonts w:ascii="Times New Roman" w:eastAsia="Times New Roman" w:hAnsi="Times New Roman" w:cs="Times New Roman"/>
          <w:color w:val="000000"/>
          <w:sz w:val="20"/>
          <w:lang w:eastAsia="de-DE"/>
        </w:rPr>
        <w:t>a</w:t>
      </w:r>
      <w:proofErr w:type="gramEnd"/>
      <w:r w:rsidR="00727929">
        <w:rPr>
          <w:rFonts w:ascii="Times New Roman" w:eastAsia="Times New Roman" w:hAnsi="Times New Roman" w:cs="Times New Roman"/>
          <w:color w:val="000000"/>
          <w:sz w:val="20"/>
          <w:lang w:eastAsia="de-DE"/>
        </w:rPr>
        <w:t xml:space="preserve"> SH demand of 354 MWh (or 74 MWh) and a DHW demand of 43 MWh (or 88 MWh), accounting also for buildings with different SH to DHW ratios</w:t>
      </w:r>
      <w:r w:rsidR="00E173AA">
        <w:rPr>
          <w:rFonts w:ascii="Times New Roman" w:eastAsia="Times New Roman" w:hAnsi="Times New Roman" w:cs="Times New Roman"/>
          <w:color w:val="000000"/>
          <w:sz w:val="20"/>
          <w:lang w:eastAsia="de-DE"/>
        </w:rPr>
        <w:t xml:space="preserve"> (see Table 2)</w:t>
      </w:r>
      <w:r w:rsidR="00727929">
        <w:rPr>
          <w:rFonts w:ascii="Times New Roman" w:eastAsia="Times New Roman" w:hAnsi="Times New Roman" w:cs="Times New Roman"/>
          <w:color w:val="000000"/>
          <w:sz w:val="20"/>
          <w:lang w:eastAsia="de-DE"/>
        </w:rPr>
        <w:t>.</w:t>
      </w:r>
    </w:p>
    <w:p w14:paraId="181A677E" w14:textId="367A086B" w:rsidR="00C2128A" w:rsidRPr="008B540A" w:rsidRDefault="00C2128A" w:rsidP="008B540A">
      <w:pPr>
        <w:pStyle w:val="SWCHeading1"/>
        <w:numPr>
          <w:ilvl w:val="0"/>
          <w:numId w:val="1"/>
        </w:numPr>
        <w:tabs>
          <w:tab w:val="num" w:pos="720"/>
        </w:tabs>
        <w:ind w:left="714" w:hanging="357"/>
      </w:pPr>
      <w:r w:rsidRPr="008B540A">
        <w:t>Results</w:t>
      </w:r>
    </w:p>
    <w:p w14:paraId="7AAF2724" w14:textId="2C678A7B" w:rsidR="00C2128A" w:rsidRPr="008B540A" w:rsidRDefault="00C2128A" w:rsidP="008B540A">
      <w:pPr>
        <w:pStyle w:val="Listenabsatz"/>
        <w:numPr>
          <w:ilvl w:val="1"/>
          <w:numId w:val="1"/>
        </w:numPr>
        <w:rPr>
          <w:rFonts w:ascii="Arial" w:eastAsia="Times New Roman" w:hAnsi="Arial" w:cs="Times New Roman"/>
          <w:i/>
          <w:color w:val="000000"/>
          <w:sz w:val="20"/>
          <w:lang w:val="en-GB" w:eastAsia="de-DE"/>
        </w:rPr>
      </w:pPr>
      <w:r w:rsidRPr="008B540A">
        <w:rPr>
          <w:rFonts w:ascii="Arial" w:eastAsia="Times New Roman" w:hAnsi="Arial" w:cs="Times New Roman"/>
          <w:i/>
          <w:color w:val="000000"/>
          <w:sz w:val="20"/>
          <w:lang w:val="en-GB" w:eastAsia="de-DE"/>
        </w:rPr>
        <w:t>Charging strategies</w:t>
      </w:r>
    </w:p>
    <w:p w14:paraId="5892C1AB" w14:textId="11DC3D1E" w:rsidR="006E207E" w:rsidRPr="008B540A" w:rsidRDefault="00251D2A" w:rsidP="006E207E">
      <w:pPr>
        <w:pStyle w:val="Listenabsatz"/>
        <w:numPr>
          <w:ilvl w:val="0"/>
          <w:numId w:val="5"/>
        </w:num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DHW tank con</w:t>
      </w:r>
      <w:r w:rsidR="00306B86" w:rsidRPr="00103A49">
        <w:rPr>
          <w:rFonts w:ascii="Times New Roman" w:eastAsia="Times New Roman" w:hAnsi="Times New Roman" w:cs="Times New Roman"/>
          <w:color w:val="000000"/>
          <w:sz w:val="20"/>
          <w:lang w:eastAsia="de-DE"/>
        </w:rPr>
        <w:t>figuration</w:t>
      </w:r>
    </w:p>
    <w:p w14:paraId="7D419A9B" w14:textId="33750AC1" w:rsidR="000C7447" w:rsidRPr="00103A49" w:rsidRDefault="007B158C" w:rsidP="00251D2A">
      <w:pPr>
        <w:jc w:val="both"/>
        <w:rPr>
          <w:rFonts w:ascii="Times New Roman" w:eastAsia="Times New Roman" w:hAnsi="Times New Roman" w:cs="Times New Roman"/>
          <w:color w:val="000000"/>
          <w:sz w:val="20"/>
          <w:lang w:eastAsia="de-DE"/>
        </w:rPr>
      </w:pPr>
      <w:bookmarkStart w:id="0" w:name="_Hlk236396750"/>
      <w:r w:rsidRPr="00103A49">
        <w:rPr>
          <w:rFonts w:ascii="Times New Roman" w:eastAsia="Times New Roman" w:hAnsi="Times New Roman" w:cs="Times New Roman"/>
          <w:color w:val="000000"/>
          <w:sz w:val="20"/>
          <w:lang w:eastAsia="de-DE"/>
        </w:rPr>
        <w:t xml:space="preserve">The </w:t>
      </w:r>
      <w:r w:rsidRPr="001B2589">
        <w:rPr>
          <w:rFonts w:ascii="Times New Roman" w:eastAsia="Times New Roman" w:hAnsi="Times New Roman" w:cs="Times New Roman"/>
          <w:color w:val="000000"/>
          <w:sz w:val="20"/>
          <w:lang w:eastAsia="de-DE"/>
        </w:rPr>
        <w:t>peak-shaving strategy</w:t>
      </w:r>
      <w:r w:rsidRPr="00103A49">
        <w:rPr>
          <w:rFonts w:ascii="Times New Roman" w:eastAsia="Times New Roman" w:hAnsi="Times New Roman" w:cs="Times New Roman"/>
          <w:color w:val="000000"/>
          <w:sz w:val="20"/>
          <w:lang w:eastAsia="de-DE"/>
        </w:rPr>
        <w:t xml:space="preserve"> for the </w:t>
      </w:r>
      <w:r w:rsidR="000C7447" w:rsidRPr="00103A49">
        <w:rPr>
          <w:rFonts w:ascii="Times New Roman" w:eastAsia="Times New Roman" w:hAnsi="Times New Roman" w:cs="Times New Roman"/>
          <w:color w:val="000000"/>
          <w:sz w:val="20"/>
          <w:lang w:eastAsia="de-DE"/>
        </w:rPr>
        <w:t>hydraulic configuration with a DHW tank leads to 26.6% peak reduction for the SH season, which excludes the months June, July, August and September</w:t>
      </w:r>
      <w:r w:rsidR="002C0851" w:rsidRPr="00103A49">
        <w:rPr>
          <w:rFonts w:ascii="Times New Roman" w:eastAsia="Times New Roman" w:hAnsi="Times New Roman" w:cs="Times New Roman"/>
          <w:color w:val="000000"/>
          <w:sz w:val="20"/>
          <w:lang w:eastAsia="de-DE"/>
        </w:rPr>
        <w:t>, compared to the direct heat consumption</w:t>
      </w:r>
      <w:r w:rsidR="000C7447" w:rsidRPr="00103A49">
        <w:rPr>
          <w:rFonts w:ascii="Times New Roman" w:eastAsia="Times New Roman" w:hAnsi="Times New Roman" w:cs="Times New Roman"/>
          <w:color w:val="000000"/>
          <w:sz w:val="20"/>
          <w:lang w:eastAsia="de-DE"/>
        </w:rPr>
        <w:t xml:space="preserve">. The </w:t>
      </w:r>
      <w:r w:rsidR="000C7447" w:rsidRPr="001B2589">
        <w:rPr>
          <w:rFonts w:ascii="Times New Roman" w:eastAsia="Times New Roman" w:hAnsi="Times New Roman" w:cs="Times New Roman"/>
          <w:color w:val="000000"/>
          <w:sz w:val="20"/>
          <w:lang w:eastAsia="de-DE"/>
        </w:rPr>
        <w:t>peak-shifting strategy</w:t>
      </w:r>
      <w:r w:rsidR="000C7447" w:rsidRPr="00103A49">
        <w:rPr>
          <w:rFonts w:ascii="Times New Roman" w:eastAsia="Times New Roman" w:hAnsi="Times New Roman" w:cs="Times New Roman"/>
          <w:color w:val="000000"/>
          <w:sz w:val="20"/>
          <w:lang w:eastAsia="de-DE"/>
        </w:rPr>
        <w:t xml:space="preserve"> can </w:t>
      </w:r>
      <w:r w:rsidR="00DD08A5" w:rsidRPr="00103A49">
        <w:rPr>
          <w:rFonts w:ascii="Times New Roman" w:eastAsia="Times New Roman" w:hAnsi="Times New Roman" w:cs="Times New Roman"/>
          <w:color w:val="000000"/>
          <w:sz w:val="20"/>
          <w:lang w:eastAsia="de-DE"/>
        </w:rPr>
        <w:t>reduce</w:t>
      </w:r>
      <w:r w:rsidR="000C7447" w:rsidRPr="00103A49">
        <w:rPr>
          <w:rFonts w:ascii="Times New Roman" w:eastAsia="Times New Roman" w:hAnsi="Times New Roman" w:cs="Times New Roman"/>
          <w:color w:val="000000"/>
          <w:sz w:val="20"/>
          <w:lang w:eastAsia="de-DE"/>
        </w:rPr>
        <w:t xml:space="preserve"> </w:t>
      </w:r>
      <w:r w:rsidR="00DD08A5" w:rsidRPr="00103A49">
        <w:rPr>
          <w:rFonts w:ascii="Times New Roman" w:eastAsia="Times New Roman" w:hAnsi="Times New Roman" w:cs="Times New Roman"/>
          <w:color w:val="000000"/>
          <w:sz w:val="20"/>
          <w:lang w:eastAsia="de-DE"/>
        </w:rPr>
        <w:t>the</w:t>
      </w:r>
      <w:r w:rsidR="00F21DFE" w:rsidRPr="00103A49">
        <w:rPr>
          <w:rFonts w:ascii="Times New Roman" w:eastAsia="Times New Roman" w:hAnsi="Times New Roman" w:cs="Times New Roman"/>
          <w:color w:val="000000"/>
          <w:sz w:val="20"/>
          <w:lang w:eastAsia="de-DE"/>
        </w:rPr>
        <w:t xml:space="preserve"> transmitted heat</w:t>
      </w:r>
      <w:r w:rsidR="00DD08A5" w:rsidRPr="00103A49">
        <w:rPr>
          <w:rFonts w:ascii="Times New Roman" w:eastAsia="Times New Roman" w:hAnsi="Times New Roman" w:cs="Times New Roman"/>
          <w:color w:val="000000"/>
          <w:sz w:val="20"/>
          <w:lang w:eastAsia="de-DE"/>
        </w:rPr>
        <w:t xml:space="preserve"> energy in</w:t>
      </w:r>
      <w:r w:rsidR="000C7447" w:rsidRPr="00103A49">
        <w:rPr>
          <w:rFonts w:ascii="Times New Roman" w:eastAsia="Times New Roman" w:hAnsi="Times New Roman" w:cs="Times New Roman"/>
          <w:color w:val="000000"/>
          <w:sz w:val="20"/>
          <w:lang w:eastAsia="de-DE"/>
        </w:rPr>
        <w:t xml:space="preserve"> the discharging windows (8-10 </w:t>
      </w:r>
      <w:r w:rsidR="00FE10DA">
        <w:rPr>
          <w:rFonts w:ascii="Times New Roman" w:eastAsia="Times New Roman" w:hAnsi="Times New Roman" w:cs="Times New Roman"/>
          <w:color w:val="000000"/>
          <w:sz w:val="20"/>
          <w:lang w:eastAsia="de-DE"/>
        </w:rPr>
        <w:t>a</w:t>
      </w:r>
      <w:r w:rsidR="000C7447" w:rsidRPr="00103A49">
        <w:rPr>
          <w:rFonts w:ascii="Times New Roman" w:eastAsia="Times New Roman" w:hAnsi="Times New Roman" w:cs="Times New Roman"/>
          <w:color w:val="000000"/>
          <w:sz w:val="20"/>
          <w:lang w:eastAsia="de-DE"/>
        </w:rPr>
        <w:t xml:space="preserve">.m. and 7-9 </w:t>
      </w:r>
      <w:r w:rsidR="00FE10DA">
        <w:rPr>
          <w:rFonts w:ascii="Times New Roman" w:eastAsia="Times New Roman" w:hAnsi="Times New Roman" w:cs="Times New Roman"/>
          <w:color w:val="000000"/>
          <w:sz w:val="20"/>
          <w:lang w:eastAsia="de-DE"/>
        </w:rPr>
        <w:t>p</w:t>
      </w:r>
      <w:r w:rsidR="000C7447" w:rsidRPr="00103A49">
        <w:rPr>
          <w:rFonts w:ascii="Times New Roman" w:eastAsia="Times New Roman" w:hAnsi="Times New Roman" w:cs="Times New Roman"/>
          <w:color w:val="000000"/>
          <w:sz w:val="20"/>
          <w:lang w:eastAsia="de-DE"/>
        </w:rPr>
        <w:t xml:space="preserve">.m. </w:t>
      </w:r>
      <w:r w:rsidR="00DD08A5" w:rsidRPr="00103A49">
        <w:rPr>
          <w:rFonts w:ascii="Times New Roman" w:eastAsia="Times New Roman" w:hAnsi="Times New Roman" w:cs="Times New Roman"/>
          <w:color w:val="000000"/>
          <w:sz w:val="20"/>
          <w:lang w:eastAsia="de-DE"/>
        </w:rPr>
        <w:t xml:space="preserve">during January, February and December and 8-11 </w:t>
      </w:r>
      <w:r w:rsidR="00FE10DA">
        <w:rPr>
          <w:rFonts w:ascii="Times New Roman" w:eastAsia="Times New Roman" w:hAnsi="Times New Roman" w:cs="Times New Roman"/>
          <w:color w:val="000000"/>
          <w:sz w:val="20"/>
          <w:lang w:eastAsia="de-DE"/>
        </w:rPr>
        <w:t>a</w:t>
      </w:r>
      <w:r w:rsidR="00DD08A5" w:rsidRPr="00103A49">
        <w:rPr>
          <w:rFonts w:ascii="Times New Roman" w:eastAsia="Times New Roman" w:hAnsi="Times New Roman" w:cs="Times New Roman"/>
          <w:color w:val="000000"/>
          <w:sz w:val="20"/>
          <w:lang w:eastAsia="de-DE"/>
        </w:rPr>
        <w:t>.m. and 7-10 p.m. during the other months) by 12.3%</w:t>
      </w:r>
      <w:r w:rsidR="00667B99" w:rsidRPr="00103A49">
        <w:rPr>
          <w:rFonts w:ascii="Times New Roman" w:eastAsia="Times New Roman" w:hAnsi="Times New Roman" w:cs="Times New Roman"/>
          <w:color w:val="000000"/>
          <w:sz w:val="20"/>
          <w:lang w:eastAsia="de-DE"/>
        </w:rPr>
        <w:t xml:space="preserve"> compared to the peak-shaving strategy</w:t>
      </w:r>
      <w:r w:rsidR="00DD08A5" w:rsidRPr="00103A49">
        <w:rPr>
          <w:rFonts w:ascii="Times New Roman" w:eastAsia="Times New Roman" w:hAnsi="Times New Roman" w:cs="Times New Roman"/>
          <w:color w:val="000000"/>
          <w:sz w:val="20"/>
          <w:lang w:eastAsia="de-DE"/>
        </w:rPr>
        <w:t xml:space="preserve">. </w:t>
      </w:r>
      <w:r w:rsidR="004436FA" w:rsidRPr="00103A49">
        <w:rPr>
          <w:rFonts w:ascii="Times New Roman" w:eastAsia="Times New Roman" w:hAnsi="Times New Roman" w:cs="Times New Roman"/>
          <w:color w:val="000000"/>
          <w:sz w:val="20"/>
          <w:lang w:eastAsia="de-DE"/>
        </w:rPr>
        <w:t xml:space="preserve">Figure 2 shows the graphic comparison of the peak-shaving and peak-shifting strategy with the direct heat consumption for three exemplary days in February. The blue line, representing the power of the peak-shaving strategy, shows a much smoother profile than the dotted black line, displaying the power profile of the direct system. The red line, showing the power profile of the peak-shifting strategy, </w:t>
      </w:r>
      <w:r w:rsidR="00DB7FA6" w:rsidRPr="00103A49">
        <w:rPr>
          <w:rFonts w:ascii="Times New Roman" w:eastAsia="Times New Roman" w:hAnsi="Times New Roman" w:cs="Times New Roman"/>
          <w:color w:val="000000"/>
          <w:sz w:val="20"/>
          <w:lang w:eastAsia="de-DE"/>
        </w:rPr>
        <w:t>is less smooth, but shows a clear shift of the power profile in the morning and evening hours, referring to the charging and discharging windows</w:t>
      </w:r>
      <w:r w:rsidR="00667B99" w:rsidRPr="00103A49">
        <w:rPr>
          <w:rFonts w:ascii="Times New Roman" w:eastAsia="Times New Roman" w:hAnsi="Times New Roman" w:cs="Times New Roman"/>
          <w:color w:val="000000"/>
          <w:sz w:val="20"/>
          <w:lang w:eastAsia="de-DE"/>
        </w:rPr>
        <w:t>, during times of typical low and high DHW consumption.</w:t>
      </w:r>
      <w:r w:rsidR="001956B0" w:rsidRPr="00103A49">
        <w:rPr>
          <w:rFonts w:ascii="Times New Roman" w:eastAsia="Times New Roman" w:hAnsi="Times New Roman" w:cs="Times New Roman"/>
          <w:color w:val="000000"/>
          <w:sz w:val="20"/>
          <w:lang w:eastAsia="de-DE"/>
        </w:rPr>
        <w:t xml:space="preserve"> The average secondary return temperature to DH should not exceed certain limits, because too high return temperatures are unfavorable for the efficiency of the DH system. </w:t>
      </w:r>
      <w:r w:rsidR="00B44A0B">
        <w:rPr>
          <w:rFonts w:ascii="Times New Roman" w:eastAsia="Times New Roman" w:hAnsi="Times New Roman" w:cs="Times New Roman"/>
          <w:color w:val="000000"/>
          <w:sz w:val="20"/>
          <w:lang w:eastAsia="de-DE"/>
        </w:rPr>
        <w:t xml:space="preserve">Typical limits are </w:t>
      </w:r>
      <w:r w:rsidR="001956B0" w:rsidRPr="00103A49">
        <w:rPr>
          <w:rFonts w:ascii="Times New Roman" w:eastAsia="Times New Roman" w:hAnsi="Times New Roman" w:cs="Times New Roman"/>
          <w:color w:val="000000"/>
          <w:sz w:val="20"/>
          <w:lang w:eastAsia="de-DE"/>
        </w:rPr>
        <w:t>50°C</w:t>
      </w:r>
      <w:r w:rsidR="00B44A0B">
        <w:rPr>
          <w:rFonts w:ascii="Times New Roman" w:eastAsia="Times New Roman" w:hAnsi="Times New Roman" w:cs="Times New Roman"/>
          <w:color w:val="000000"/>
          <w:sz w:val="20"/>
          <w:lang w:eastAsia="de-DE"/>
        </w:rPr>
        <w:t>, while lower temperatures are preferred</w:t>
      </w:r>
      <w:r w:rsidR="001956B0" w:rsidRPr="00103A49">
        <w:rPr>
          <w:rFonts w:ascii="Times New Roman" w:eastAsia="Times New Roman" w:hAnsi="Times New Roman" w:cs="Times New Roman"/>
          <w:color w:val="000000"/>
          <w:sz w:val="20"/>
          <w:lang w:eastAsia="de-DE"/>
        </w:rPr>
        <w:t xml:space="preserve">. The </w:t>
      </w:r>
      <w:r w:rsidR="00B44A0B">
        <w:rPr>
          <w:rFonts w:ascii="Times New Roman" w:eastAsia="Times New Roman" w:hAnsi="Times New Roman" w:cs="Times New Roman"/>
          <w:color w:val="000000"/>
          <w:sz w:val="20"/>
          <w:lang w:eastAsia="de-DE"/>
        </w:rPr>
        <w:t xml:space="preserve">yearly </w:t>
      </w:r>
      <w:r w:rsidR="001956B0" w:rsidRPr="00103A49">
        <w:rPr>
          <w:rFonts w:ascii="Times New Roman" w:eastAsia="Times New Roman" w:hAnsi="Times New Roman" w:cs="Times New Roman"/>
          <w:color w:val="000000"/>
          <w:sz w:val="20"/>
          <w:lang w:eastAsia="de-DE"/>
        </w:rPr>
        <w:t>average</w:t>
      </w:r>
      <w:r w:rsidR="00B44A0B">
        <w:rPr>
          <w:rFonts w:ascii="Times New Roman" w:eastAsia="Times New Roman" w:hAnsi="Times New Roman" w:cs="Times New Roman"/>
          <w:color w:val="000000"/>
          <w:sz w:val="20"/>
          <w:lang w:eastAsia="de-DE"/>
        </w:rPr>
        <w:t xml:space="preserve">, energy-weighted </w:t>
      </w:r>
      <w:r w:rsidR="001956B0" w:rsidRPr="00103A49">
        <w:rPr>
          <w:rFonts w:ascii="Times New Roman" w:eastAsia="Times New Roman" w:hAnsi="Times New Roman" w:cs="Times New Roman"/>
          <w:color w:val="000000"/>
          <w:sz w:val="20"/>
          <w:lang w:eastAsia="de-DE"/>
        </w:rPr>
        <w:t>return temperature is 43.</w:t>
      </w:r>
      <w:r w:rsidR="00B44A0B">
        <w:rPr>
          <w:rFonts w:ascii="Times New Roman" w:eastAsia="Times New Roman" w:hAnsi="Times New Roman" w:cs="Times New Roman"/>
          <w:color w:val="000000"/>
          <w:sz w:val="20"/>
          <w:lang w:eastAsia="de-DE"/>
        </w:rPr>
        <w:t>3</w:t>
      </w:r>
      <w:r w:rsidR="001956B0" w:rsidRPr="00103A49">
        <w:rPr>
          <w:rFonts w:ascii="Times New Roman" w:eastAsia="Times New Roman" w:hAnsi="Times New Roman" w:cs="Times New Roman"/>
          <w:color w:val="000000"/>
          <w:sz w:val="20"/>
          <w:lang w:eastAsia="de-DE"/>
        </w:rPr>
        <w:t xml:space="preserve">°C for the peak-shaving strategy </w:t>
      </w:r>
      <w:r w:rsidR="00B44A0B">
        <w:rPr>
          <w:rFonts w:ascii="Times New Roman" w:eastAsia="Times New Roman" w:hAnsi="Times New Roman" w:cs="Times New Roman"/>
          <w:color w:val="000000"/>
          <w:sz w:val="20"/>
          <w:lang w:eastAsia="de-DE"/>
        </w:rPr>
        <w:t>and</w:t>
      </w:r>
      <w:r w:rsidR="001956B0" w:rsidRPr="00103A49">
        <w:rPr>
          <w:rFonts w:ascii="Times New Roman" w:eastAsia="Times New Roman" w:hAnsi="Times New Roman" w:cs="Times New Roman"/>
          <w:color w:val="000000"/>
          <w:sz w:val="20"/>
          <w:lang w:eastAsia="de-DE"/>
        </w:rPr>
        <w:t xml:space="preserve"> 4</w:t>
      </w:r>
      <w:r w:rsidR="00B44A0B">
        <w:rPr>
          <w:rFonts w:ascii="Times New Roman" w:eastAsia="Times New Roman" w:hAnsi="Times New Roman" w:cs="Times New Roman"/>
          <w:color w:val="000000"/>
          <w:sz w:val="20"/>
          <w:lang w:eastAsia="de-DE"/>
        </w:rPr>
        <w:t>2.7</w:t>
      </w:r>
      <w:r w:rsidR="001956B0" w:rsidRPr="00103A49">
        <w:rPr>
          <w:rFonts w:ascii="Times New Roman" w:eastAsia="Times New Roman" w:hAnsi="Times New Roman" w:cs="Times New Roman"/>
          <w:color w:val="000000"/>
          <w:sz w:val="20"/>
          <w:lang w:eastAsia="de-DE"/>
        </w:rPr>
        <w:t>°C for the peak-shifting strategy</w:t>
      </w:r>
      <w:r w:rsidR="00B44A0B">
        <w:rPr>
          <w:rFonts w:ascii="Times New Roman" w:eastAsia="Times New Roman" w:hAnsi="Times New Roman" w:cs="Times New Roman"/>
          <w:color w:val="000000"/>
          <w:sz w:val="20"/>
          <w:lang w:eastAsia="de-DE"/>
        </w:rPr>
        <w:t>, assuming that the strategies are applied during the whole year. The return temperature evaluation considers the full year instead of only SH season for a better comparability to other approaches, since often the summer period is critical regarding high return temperatures.</w:t>
      </w:r>
    </w:p>
    <w:bookmarkEnd w:id="0"/>
    <w:p w14:paraId="29EDE7DD" w14:textId="5B748231" w:rsidR="00251D2A" w:rsidRPr="00103A49" w:rsidRDefault="00251D2A" w:rsidP="00251D2A">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noProof/>
          <w:color w:val="000000"/>
          <w:sz w:val="20"/>
          <w:lang w:eastAsia="de-DE"/>
        </w:rPr>
        <w:drawing>
          <wp:inline distT="0" distB="0" distL="0" distR="0" wp14:anchorId="44BC66AB" wp14:editId="66A223A4">
            <wp:extent cx="5743575" cy="1998345"/>
            <wp:effectExtent l="0" t="0" r="9525"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r="298"/>
                    <a:stretch/>
                  </pic:blipFill>
                  <pic:spPr bwMode="auto">
                    <a:xfrm>
                      <a:off x="0" y="0"/>
                      <a:ext cx="5743575" cy="1998345"/>
                    </a:xfrm>
                    <a:prstGeom prst="rect">
                      <a:avLst/>
                    </a:prstGeom>
                    <a:ln>
                      <a:noFill/>
                    </a:ln>
                    <a:extLst>
                      <a:ext uri="{53640926-AAD7-44D8-BBD7-CCE9431645EC}">
                        <a14:shadowObscured xmlns:a14="http://schemas.microsoft.com/office/drawing/2010/main"/>
                      </a:ext>
                    </a:extLst>
                  </pic:spPr>
                </pic:pic>
              </a:graphicData>
            </a:graphic>
          </wp:inline>
        </w:drawing>
      </w:r>
    </w:p>
    <w:p w14:paraId="0CE6C577" w14:textId="3859EB15" w:rsidR="00251D2A" w:rsidRPr="00F329AF" w:rsidRDefault="00251D2A" w:rsidP="00F329AF">
      <w:pPr>
        <w:jc w:val="center"/>
        <w:rPr>
          <w:rFonts w:ascii="Times New Roman" w:eastAsia="Times New Roman" w:hAnsi="Times New Roman" w:cs="Times New Roman"/>
          <w:b/>
          <w:bCs/>
          <w:color w:val="000000"/>
          <w:sz w:val="16"/>
          <w:szCs w:val="16"/>
          <w:lang w:eastAsia="de-DE"/>
        </w:rPr>
      </w:pPr>
      <w:r w:rsidRPr="00F329AF">
        <w:rPr>
          <w:rFonts w:ascii="Times New Roman" w:eastAsia="Times New Roman" w:hAnsi="Times New Roman" w:cs="Times New Roman"/>
          <w:b/>
          <w:bCs/>
          <w:color w:val="000000"/>
          <w:sz w:val="16"/>
          <w:szCs w:val="16"/>
          <w:lang w:eastAsia="de-DE"/>
        </w:rPr>
        <w:t xml:space="preserve">Figure 2: Comparison of the </w:t>
      </w:r>
      <w:r w:rsidR="006E207E" w:rsidRPr="00F329AF">
        <w:rPr>
          <w:rFonts w:ascii="Times New Roman" w:eastAsia="Times New Roman" w:hAnsi="Times New Roman" w:cs="Times New Roman"/>
          <w:b/>
          <w:bCs/>
          <w:color w:val="000000"/>
          <w:sz w:val="16"/>
          <w:szCs w:val="16"/>
          <w:lang w:eastAsia="de-DE"/>
        </w:rPr>
        <w:t xml:space="preserve">power profile for </w:t>
      </w:r>
      <w:r w:rsidRPr="00F329AF">
        <w:rPr>
          <w:rFonts w:ascii="Times New Roman" w:eastAsia="Times New Roman" w:hAnsi="Times New Roman" w:cs="Times New Roman"/>
          <w:b/>
          <w:bCs/>
          <w:color w:val="000000"/>
          <w:sz w:val="16"/>
          <w:szCs w:val="16"/>
          <w:lang w:eastAsia="de-DE"/>
        </w:rPr>
        <w:t xml:space="preserve">peak-shaving and the peak-shifting strategy </w:t>
      </w:r>
      <w:r w:rsidR="006E207E" w:rsidRPr="00F329AF">
        <w:rPr>
          <w:rFonts w:ascii="Times New Roman" w:eastAsia="Times New Roman" w:hAnsi="Times New Roman" w:cs="Times New Roman"/>
          <w:b/>
          <w:bCs/>
          <w:color w:val="000000"/>
          <w:sz w:val="16"/>
          <w:szCs w:val="16"/>
          <w:lang w:eastAsia="de-DE"/>
        </w:rPr>
        <w:t>with the profile of direct heat consumption for an exemplary period of three days during heating season for the hydraulic concept with a DHW tank</w:t>
      </w:r>
    </w:p>
    <w:p w14:paraId="72C1B0DE" w14:textId="77777777" w:rsidR="00251D2A" w:rsidRPr="00103A49" w:rsidRDefault="00251D2A" w:rsidP="00251D2A">
      <w:pPr>
        <w:jc w:val="both"/>
        <w:rPr>
          <w:rFonts w:ascii="Times New Roman" w:eastAsia="Times New Roman" w:hAnsi="Times New Roman" w:cs="Times New Roman"/>
          <w:color w:val="000000"/>
          <w:sz w:val="20"/>
          <w:lang w:eastAsia="de-DE"/>
        </w:rPr>
      </w:pPr>
    </w:p>
    <w:p w14:paraId="0D0BF42B" w14:textId="0B5C7ABB" w:rsidR="00C2128A" w:rsidRPr="00103A49" w:rsidRDefault="00251D2A" w:rsidP="00C2128A">
      <w:pPr>
        <w:pStyle w:val="Listenabsatz"/>
        <w:numPr>
          <w:ilvl w:val="0"/>
          <w:numId w:val="5"/>
        </w:num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Central freshwater unit con</w:t>
      </w:r>
      <w:r w:rsidR="00306B86" w:rsidRPr="00103A49">
        <w:rPr>
          <w:rFonts w:ascii="Times New Roman" w:eastAsia="Times New Roman" w:hAnsi="Times New Roman" w:cs="Times New Roman"/>
          <w:color w:val="000000"/>
          <w:sz w:val="20"/>
          <w:lang w:eastAsia="de-DE"/>
        </w:rPr>
        <w:t>figuration</w:t>
      </w:r>
    </w:p>
    <w:p w14:paraId="6376B116" w14:textId="7FA91318" w:rsidR="00251D2A" w:rsidRPr="00103A49" w:rsidRDefault="00F21DFE" w:rsidP="00F21DFE">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 xml:space="preserve">The </w:t>
      </w:r>
      <w:r w:rsidRPr="001B2589">
        <w:rPr>
          <w:rFonts w:ascii="Times New Roman" w:eastAsia="Times New Roman" w:hAnsi="Times New Roman" w:cs="Times New Roman"/>
          <w:color w:val="000000"/>
          <w:sz w:val="20"/>
          <w:lang w:eastAsia="de-DE"/>
        </w:rPr>
        <w:t>peak-shaving strategy</w:t>
      </w:r>
      <w:r w:rsidRPr="00103A49">
        <w:rPr>
          <w:rFonts w:ascii="Times New Roman" w:eastAsia="Times New Roman" w:hAnsi="Times New Roman" w:cs="Times New Roman"/>
          <w:color w:val="000000"/>
          <w:sz w:val="20"/>
          <w:lang w:eastAsia="de-DE"/>
        </w:rPr>
        <w:t xml:space="preserve"> for the hydraulic configuration with a central fresh water unit leads to 13.4% peak reduction for the SH season (all months except June, July, August and September)</w:t>
      </w:r>
      <w:r w:rsidR="002C0851" w:rsidRPr="00103A49">
        <w:rPr>
          <w:rFonts w:ascii="Times New Roman" w:eastAsia="Times New Roman" w:hAnsi="Times New Roman" w:cs="Times New Roman"/>
          <w:color w:val="000000"/>
          <w:sz w:val="20"/>
          <w:lang w:eastAsia="de-DE"/>
        </w:rPr>
        <w:t xml:space="preserve"> compared to a direct system without any buffer storage</w:t>
      </w:r>
      <w:r w:rsidRPr="00103A49">
        <w:rPr>
          <w:rFonts w:ascii="Times New Roman" w:eastAsia="Times New Roman" w:hAnsi="Times New Roman" w:cs="Times New Roman"/>
          <w:color w:val="000000"/>
          <w:sz w:val="20"/>
          <w:lang w:eastAsia="de-DE"/>
        </w:rPr>
        <w:t xml:space="preserve">. This means that </w:t>
      </w:r>
      <w:r w:rsidR="002C0851" w:rsidRPr="00103A49">
        <w:rPr>
          <w:rFonts w:ascii="Times New Roman" w:eastAsia="Times New Roman" w:hAnsi="Times New Roman" w:cs="Times New Roman"/>
          <w:color w:val="000000"/>
          <w:sz w:val="20"/>
          <w:lang w:eastAsia="de-DE"/>
        </w:rPr>
        <w:t xml:space="preserve">the </w:t>
      </w:r>
      <w:r w:rsidRPr="00103A49">
        <w:rPr>
          <w:rFonts w:ascii="Times New Roman" w:eastAsia="Times New Roman" w:hAnsi="Times New Roman" w:cs="Times New Roman"/>
          <w:color w:val="000000"/>
          <w:sz w:val="20"/>
          <w:lang w:eastAsia="de-DE"/>
        </w:rPr>
        <w:t xml:space="preserve">peak-shaving strategy </w:t>
      </w:r>
      <w:r w:rsidR="002C0851" w:rsidRPr="00103A49">
        <w:rPr>
          <w:rFonts w:ascii="Times New Roman" w:eastAsia="Times New Roman" w:hAnsi="Times New Roman" w:cs="Times New Roman"/>
          <w:color w:val="000000"/>
          <w:sz w:val="20"/>
          <w:lang w:eastAsia="de-DE"/>
        </w:rPr>
        <w:t xml:space="preserve">in combination with the central freshwater unit is less effective than in combination with a DHW storage. </w:t>
      </w:r>
      <w:r w:rsidRPr="00103A49">
        <w:rPr>
          <w:rFonts w:ascii="Times New Roman" w:eastAsia="Times New Roman" w:hAnsi="Times New Roman" w:cs="Times New Roman"/>
          <w:color w:val="000000"/>
          <w:sz w:val="20"/>
          <w:lang w:eastAsia="de-DE"/>
        </w:rPr>
        <w:t>This</w:t>
      </w:r>
      <w:r w:rsidR="002C0851" w:rsidRPr="00103A49">
        <w:rPr>
          <w:rFonts w:ascii="Times New Roman" w:eastAsia="Times New Roman" w:hAnsi="Times New Roman" w:cs="Times New Roman"/>
          <w:color w:val="000000"/>
          <w:sz w:val="20"/>
          <w:lang w:eastAsia="de-DE"/>
        </w:rPr>
        <w:t xml:space="preserve"> is</w:t>
      </w:r>
      <w:r w:rsidRPr="00103A49">
        <w:rPr>
          <w:rFonts w:ascii="Times New Roman" w:eastAsia="Times New Roman" w:hAnsi="Times New Roman" w:cs="Times New Roman"/>
          <w:color w:val="000000"/>
          <w:sz w:val="20"/>
          <w:lang w:eastAsia="de-DE"/>
        </w:rPr>
        <w:t xml:space="preserve"> plausible, since</w:t>
      </w:r>
      <w:r w:rsidR="002C0851" w:rsidRPr="00103A49">
        <w:rPr>
          <w:rFonts w:ascii="Times New Roman" w:eastAsia="Times New Roman" w:hAnsi="Times New Roman" w:cs="Times New Roman"/>
          <w:color w:val="000000"/>
          <w:sz w:val="20"/>
          <w:lang w:eastAsia="de-DE"/>
        </w:rPr>
        <w:t xml:space="preserve"> the DHW storage can additionally buffer the DHW consumption peaks</w:t>
      </w:r>
      <w:r w:rsidRPr="00103A49">
        <w:rPr>
          <w:rFonts w:ascii="Times New Roman" w:eastAsia="Times New Roman" w:hAnsi="Times New Roman" w:cs="Times New Roman"/>
          <w:color w:val="000000"/>
          <w:sz w:val="20"/>
          <w:lang w:eastAsia="de-DE"/>
        </w:rPr>
        <w:t xml:space="preserve">. The transmitted heat energy in the discharging windows (8-10 p.m. and 7-9 a.m. during January, February and December and 8-11 p.m. and 7-10 p.m. during the other months) is reduced </w:t>
      </w:r>
      <w:r w:rsidRPr="00F329AF">
        <w:rPr>
          <w:rFonts w:ascii="Times New Roman" w:eastAsia="Times New Roman" w:hAnsi="Times New Roman" w:cs="Times New Roman"/>
          <w:color w:val="000000"/>
          <w:sz w:val="20"/>
          <w:lang w:eastAsia="de-DE"/>
        </w:rPr>
        <w:t>by 22.5%</w:t>
      </w:r>
      <w:r w:rsidR="00552649" w:rsidRPr="00F329AF">
        <w:rPr>
          <w:rFonts w:ascii="Times New Roman" w:eastAsia="Times New Roman" w:hAnsi="Times New Roman" w:cs="Times New Roman"/>
          <w:color w:val="000000"/>
          <w:sz w:val="20"/>
          <w:lang w:eastAsia="de-DE"/>
        </w:rPr>
        <w:t xml:space="preserve"> through</w:t>
      </w:r>
      <w:r w:rsidR="00552649" w:rsidRPr="00103A49">
        <w:rPr>
          <w:rFonts w:ascii="Times New Roman" w:eastAsia="Times New Roman" w:hAnsi="Times New Roman" w:cs="Times New Roman"/>
          <w:color w:val="000000"/>
          <w:sz w:val="20"/>
          <w:lang w:eastAsia="de-DE"/>
        </w:rPr>
        <w:t xml:space="preserve"> the peak-shifting strategy</w:t>
      </w:r>
      <w:r w:rsidR="00667B99" w:rsidRPr="00103A49">
        <w:rPr>
          <w:rFonts w:ascii="Times New Roman" w:eastAsia="Times New Roman" w:hAnsi="Times New Roman" w:cs="Times New Roman"/>
          <w:color w:val="000000"/>
          <w:sz w:val="20"/>
          <w:lang w:eastAsia="de-DE"/>
        </w:rPr>
        <w:t xml:space="preserve"> compared to the peak-shaving strategy</w:t>
      </w:r>
      <w:r w:rsidRPr="00103A49">
        <w:rPr>
          <w:rFonts w:ascii="Times New Roman" w:eastAsia="Times New Roman" w:hAnsi="Times New Roman" w:cs="Times New Roman"/>
          <w:color w:val="000000"/>
          <w:sz w:val="20"/>
          <w:lang w:eastAsia="de-DE"/>
        </w:rPr>
        <w:t xml:space="preserve">. </w:t>
      </w:r>
      <w:r w:rsidR="00667B99" w:rsidRPr="00103A49">
        <w:rPr>
          <w:rFonts w:ascii="Times New Roman" w:eastAsia="Times New Roman" w:hAnsi="Times New Roman" w:cs="Times New Roman"/>
          <w:color w:val="000000"/>
          <w:sz w:val="20"/>
          <w:lang w:eastAsia="de-DE"/>
        </w:rPr>
        <w:t xml:space="preserve">Figure 3 shows the comparison of power profiles for peak-shaving, peak-shifting and the direct system for the configuration with a central freshwater unit, analogous to Figure 2. </w:t>
      </w:r>
      <w:r w:rsidR="003869A0" w:rsidRPr="00103A49">
        <w:rPr>
          <w:rFonts w:ascii="Times New Roman" w:eastAsia="Times New Roman" w:hAnsi="Times New Roman" w:cs="Times New Roman"/>
          <w:color w:val="000000"/>
          <w:sz w:val="20"/>
          <w:lang w:eastAsia="de-DE"/>
        </w:rPr>
        <w:t xml:space="preserve">The </w:t>
      </w:r>
      <w:r w:rsidR="00B44A0B">
        <w:rPr>
          <w:rFonts w:ascii="Times New Roman" w:eastAsia="Times New Roman" w:hAnsi="Times New Roman" w:cs="Times New Roman"/>
          <w:color w:val="000000"/>
          <w:sz w:val="20"/>
          <w:lang w:eastAsia="de-DE"/>
        </w:rPr>
        <w:t xml:space="preserve">yearly </w:t>
      </w:r>
      <w:r w:rsidR="003869A0" w:rsidRPr="00103A49">
        <w:rPr>
          <w:rFonts w:ascii="Times New Roman" w:eastAsia="Times New Roman" w:hAnsi="Times New Roman" w:cs="Times New Roman"/>
          <w:color w:val="000000"/>
          <w:sz w:val="20"/>
          <w:lang w:eastAsia="de-DE"/>
        </w:rPr>
        <w:t>average</w:t>
      </w:r>
      <w:r w:rsidR="00B44A0B">
        <w:rPr>
          <w:rFonts w:ascii="Times New Roman" w:eastAsia="Times New Roman" w:hAnsi="Times New Roman" w:cs="Times New Roman"/>
          <w:color w:val="000000"/>
          <w:sz w:val="20"/>
          <w:lang w:eastAsia="de-DE"/>
        </w:rPr>
        <w:t>, energy-</w:t>
      </w:r>
      <w:r w:rsidR="00B44A0B">
        <w:rPr>
          <w:rFonts w:ascii="Times New Roman" w:eastAsia="Times New Roman" w:hAnsi="Times New Roman" w:cs="Times New Roman"/>
          <w:color w:val="000000"/>
          <w:sz w:val="20"/>
          <w:lang w:eastAsia="de-DE"/>
        </w:rPr>
        <w:lastRenderedPageBreak/>
        <w:t>weighted</w:t>
      </w:r>
      <w:r w:rsidR="003869A0" w:rsidRPr="00103A49">
        <w:rPr>
          <w:rFonts w:ascii="Times New Roman" w:eastAsia="Times New Roman" w:hAnsi="Times New Roman" w:cs="Times New Roman"/>
          <w:color w:val="000000"/>
          <w:sz w:val="20"/>
          <w:lang w:eastAsia="de-DE"/>
        </w:rPr>
        <w:t xml:space="preserve"> return temperature is 43.</w:t>
      </w:r>
      <w:r w:rsidR="00B44A0B">
        <w:rPr>
          <w:rFonts w:ascii="Times New Roman" w:eastAsia="Times New Roman" w:hAnsi="Times New Roman" w:cs="Times New Roman"/>
          <w:color w:val="000000"/>
          <w:sz w:val="20"/>
          <w:lang w:eastAsia="de-DE"/>
        </w:rPr>
        <w:t>3</w:t>
      </w:r>
      <w:r w:rsidR="003869A0" w:rsidRPr="00103A49">
        <w:rPr>
          <w:rFonts w:ascii="Times New Roman" w:eastAsia="Times New Roman" w:hAnsi="Times New Roman" w:cs="Times New Roman"/>
          <w:color w:val="000000"/>
          <w:sz w:val="20"/>
          <w:lang w:eastAsia="de-DE"/>
        </w:rPr>
        <w:t>°C for the peak-shaving strategy and 4</w:t>
      </w:r>
      <w:r w:rsidR="003869A0">
        <w:rPr>
          <w:rFonts w:ascii="Times New Roman" w:eastAsia="Times New Roman" w:hAnsi="Times New Roman" w:cs="Times New Roman"/>
          <w:color w:val="000000"/>
          <w:sz w:val="20"/>
          <w:lang w:eastAsia="de-DE"/>
        </w:rPr>
        <w:t>2.</w:t>
      </w:r>
      <w:r w:rsidR="00B44A0B">
        <w:rPr>
          <w:rFonts w:ascii="Times New Roman" w:eastAsia="Times New Roman" w:hAnsi="Times New Roman" w:cs="Times New Roman"/>
          <w:color w:val="000000"/>
          <w:sz w:val="20"/>
          <w:lang w:eastAsia="de-DE"/>
        </w:rPr>
        <w:t>9</w:t>
      </w:r>
      <w:r w:rsidR="003869A0" w:rsidRPr="00103A49">
        <w:rPr>
          <w:rFonts w:ascii="Times New Roman" w:eastAsia="Times New Roman" w:hAnsi="Times New Roman" w:cs="Times New Roman"/>
          <w:color w:val="000000"/>
          <w:sz w:val="20"/>
          <w:lang w:eastAsia="de-DE"/>
        </w:rPr>
        <w:t xml:space="preserve">°C for the peak-shifting strategy, </w:t>
      </w:r>
      <w:r w:rsidR="003869A0">
        <w:rPr>
          <w:rFonts w:ascii="Times New Roman" w:eastAsia="Times New Roman" w:hAnsi="Times New Roman" w:cs="Times New Roman"/>
          <w:color w:val="000000"/>
          <w:sz w:val="20"/>
          <w:lang w:eastAsia="de-DE"/>
        </w:rPr>
        <w:t xml:space="preserve">showing that both average values are </w:t>
      </w:r>
      <w:r w:rsidR="00B44A0B">
        <w:rPr>
          <w:rFonts w:ascii="Times New Roman" w:eastAsia="Times New Roman" w:hAnsi="Times New Roman" w:cs="Times New Roman"/>
          <w:color w:val="000000"/>
          <w:sz w:val="20"/>
          <w:lang w:eastAsia="de-DE"/>
        </w:rPr>
        <w:t xml:space="preserve">well </w:t>
      </w:r>
      <w:r w:rsidR="003869A0">
        <w:rPr>
          <w:rFonts w:ascii="Times New Roman" w:eastAsia="Times New Roman" w:hAnsi="Times New Roman" w:cs="Times New Roman"/>
          <w:color w:val="000000"/>
          <w:sz w:val="20"/>
          <w:lang w:eastAsia="de-DE"/>
        </w:rPr>
        <w:t>within favorable limits.</w:t>
      </w:r>
    </w:p>
    <w:p w14:paraId="5524DB84" w14:textId="7BFC44CE" w:rsidR="00251D2A" w:rsidRPr="00103A49" w:rsidRDefault="00251D2A" w:rsidP="00251D2A">
      <w:pPr>
        <w:jc w:val="both"/>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noProof/>
          <w:color w:val="000000"/>
          <w:sz w:val="20"/>
          <w:lang w:eastAsia="de-DE"/>
        </w:rPr>
        <w:drawing>
          <wp:inline distT="0" distB="0" distL="0" distR="0" wp14:anchorId="181D8340" wp14:editId="5E7FD3CA">
            <wp:extent cx="5734821" cy="1998345"/>
            <wp:effectExtent l="0" t="0" r="0" b="190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r="450"/>
                    <a:stretch/>
                  </pic:blipFill>
                  <pic:spPr bwMode="auto">
                    <a:xfrm>
                      <a:off x="0" y="0"/>
                      <a:ext cx="5734821" cy="1998345"/>
                    </a:xfrm>
                    <a:prstGeom prst="rect">
                      <a:avLst/>
                    </a:prstGeom>
                    <a:ln>
                      <a:noFill/>
                    </a:ln>
                    <a:extLst>
                      <a:ext uri="{53640926-AAD7-44D8-BBD7-CCE9431645EC}">
                        <a14:shadowObscured xmlns:a14="http://schemas.microsoft.com/office/drawing/2010/main"/>
                      </a:ext>
                    </a:extLst>
                  </pic:spPr>
                </pic:pic>
              </a:graphicData>
            </a:graphic>
          </wp:inline>
        </w:drawing>
      </w:r>
    </w:p>
    <w:p w14:paraId="17E898BC" w14:textId="563CCD8B" w:rsidR="006E207E" w:rsidRDefault="006E207E" w:rsidP="00F329AF">
      <w:pPr>
        <w:jc w:val="center"/>
        <w:rPr>
          <w:rFonts w:ascii="Times New Roman" w:eastAsia="Times New Roman" w:hAnsi="Times New Roman" w:cs="Times New Roman"/>
          <w:b/>
          <w:color w:val="000000"/>
          <w:sz w:val="16"/>
          <w:szCs w:val="20"/>
          <w:lang w:eastAsia="de-DE"/>
        </w:rPr>
      </w:pPr>
      <w:r w:rsidRPr="007226CD">
        <w:rPr>
          <w:rFonts w:ascii="Times New Roman" w:eastAsia="Times New Roman" w:hAnsi="Times New Roman" w:cs="Times New Roman"/>
          <w:b/>
          <w:color w:val="000000"/>
          <w:sz w:val="16"/>
          <w:szCs w:val="20"/>
          <w:lang w:eastAsia="de-DE"/>
        </w:rPr>
        <w:t>Figure 3: Comparison of the power profile for peak-shaving and the peak-shifting strategy with the profile of direct heat consumption for an exemplary period of three days during heating season for the hydraulic concept with a central freshwater station</w:t>
      </w:r>
    </w:p>
    <w:p w14:paraId="360A848E" w14:textId="454D2F4C" w:rsidR="001E1A06" w:rsidRDefault="001E1A06" w:rsidP="001E1A06">
      <w:pPr>
        <w:pStyle w:val="Listenabsatz"/>
        <w:numPr>
          <w:ilvl w:val="0"/>
          <w:numId w:val="5"/>
        </w:numPr>
        <w:jc w:val="both"/>
        <w:rPr>
          <w:rFonts w:ascii="Times New Roman" w:eastAsia="Times New Roman" w:hAnsi="Times New Roman" w:cs="Times New Roman"/>
          <w:bCs/>
          <w:color w:val="000000"/>
          <w:sz w:val="20"/>
          <w:szCs w:val="20"/>
          <w:lang w:eastAsia="de-DE"/>
        </w:rPr>
      </w:pPr>
      <w:r>
        <w:rPr>
          <w:rFonts w:ascii="Times New Roman" w:eastAsia="Times New Roman" w:hAnsi="Times New Roman" w:cs="Times New Roman"/>
          <w:bCs/>
          <w:color w:val="000000"/>
          <w:sz w:val="20"/>
          <w:szCs w:val="20"/>
          <w:lang w:eastAsia="de-DE"/>
        </w:rPr>
        <w:t>Comparison of charging strategies</w:t>
      </w:r>
    </w:p>
    <w:p w14:paraId="66736507" w14:textId="6F875D23" w:rsidR="001E1A06" w:rsidRPr="001E1A06" w:rsidRDefault="001E1A06" w:rsidP="001E1A06">
      <w:pPr>
        <w:jc w:val="both"/>
        <w:rPr>
          <w:rFonts w:ascii="Times New Roman" w:eastAsia="Times New Roman" w:hAnsi="Times New Roman" w:cs="Times New Roman"/>
          <w:bCs/>
          <w:color w:val="000000"/>
          <w:sz w:val="20"/>
          <w:szCs w:val="20"/>
          <w:lang w:eastAsia="de-DE"/>
        </w:rPr>
      </w:pPr>
      <w:r w:rsidRPr="001E1A06">
        <w:rPr>
          <w:rFonts w:ascii="Times New Roman" w:eastAsia="Times New Roman" w:hAnsi="Times New Roman" w:cs="Times New Roman"/>
          <w:bCs/>
          <w:color w:val="000000"/>
          <w:sz w:val="20"/>
          <w:szCs w:val="20"/>
          <w:lang w:eastAsia="de-DE"/>
        </w:rPr>
        <w:t>The results demonstrate that both charging strategies provide operational flexibility, although they pursue different objectives. The peak-shaving strategy minimizes short-term thermal power peaks by distributing the charging process more continuously over time. In contrast, the peak-shifting strategy intentionally relocates heat supply from periods of high expected demand to preceding charging windows. Consequently, it accepts temporarily higher charging power in exchange for lower thermal loads during predefined peak periods.</w:t>
      </w:r>
    </w:p>
    <w:p w14:paraId="3D1C6235" w14:textId="38377D94" w:rsidR="001E1A06" w:rsidRDefault="001E1A06" w:rsidP="001E1A06">
      <w:pPr>
        <w:jc w:val="both"/>
        <w:rPr>
          <w:rFonts w:ascii="Times New Roman" w:eastAsia="Times New Roman" w:hAnsi="Times New Roman" w:cs="Times New Roman"/>
          <w:bCs/>
          <w:color w:val="000000"/>
          <w:sz w:val="20"/>
          <w:szCs w:val="20"/>
          <w:lang w:eastAsia="de-DE"/>
        </w:rPr>
      </w:pPr>
      <w:r w:rsidRPr="001E1A06">
        <w:rPr>
          <w:rFonts w:ascii="Times New Roman" w:eastAsia="Times New Roman" w:hAnsi="Times New Roman" w:cs="Times New Roman"/>
          <w:bCs/>
          <w:color w:val="000000"/>
          <w:sz w:val="20"/>
          <w:szCs w:val="20"/>
          <w:lang w:eastAsia="de-DE"/>
        </w:rPr>
        <w:t>For the hydraulic configuration with a DHW storage tank, the peak-shaving strategy reduces the maximum substation power during the space-heating season by 26.6%</w:t>
      </w:r>
      <w:r w:rsidR="00653110">
        <w:rPr>
          <w:rFonts w:ascii="Times New Roman" w:eastAsia="Times New Roman" w:hAnsi="Times New Roman" w:cs="Times New Roman"/>
          <w:bCs/>
          <w:color w:val="000000"/>
          <w:sz w:val="20"/>
          <w:szCs w:val="20"/>
          <w:lang w:eastAsia="de-DE"/>
        </w:rPr>
        <w:t xml:space="preserve"> (</w:t>
      </w:r>
      <w:r w:rsidR="004613DB">
        <w:rPr>
          <w:rFonts w:ascii="Times New Roman" w:eastAsia="Times New Roman" w:hAnsi="Times New Roman" w:cs="Times New Roman"/>
          <w:bCs/>
          <w:color w:val="000000"/>
          <w:sz w:val="20"/>
          <w:szCs w:val="20"/>
          <w:lang w:eastAsia="de-DE"/>
        </w:rPr>
        <w:t>13.4</w:t>
      </w:r>
      <w:r w:rsidR="00653110">
        <w:rPr>
          <w:rFonts w:ascii="Times New Roman" w:eastAsia="Times New Roman" w:hAnsi="Times New Roman" w:cs="Times New Roman"/>
          <w:bCs/>
          <w:color w:val="000000"/>
          <w:sz w:val="20"/>
          <w:szCs w:val="20"/>
          <w:lang w:eastAsia="de-DE"/>
        </w:rPr>
        <w:t>% for the configuration with central freshwater unit)</w:t>
      </w:r>
      <w:r w:rsidRPr="001E1A06">
        <w:rPr>
          <w:rFonts w:ascii="Times New Roman" w:eastAsia="Times New Roman" w:hAnsi="Times New Roman" w:cs="Times New Roman"/>
          <w:bCs/>
          <w:color w:val="000000"/>
          <w:sz w:val="20"/>
          <w:szCs w:val="20"/>
          <w:lang w:eastAsia="de-DE"/>
        </w:rPr>
        <w:t xml:space="preserve"> compared to the direct heat consumption. This confirms that the storage charging algorithm effectively avoids the artificial power peaks caused by conventional on/off charging</w:t>
      </w:r>
      <w:r w:rsidR="001B2589">
        <w:rPr>
          <w:rFonts w:ascii="Times New Roman" w:eastAsia="Times New Roman" w:hAnsi="Times New Roman" w:cs="Times New Roman"/>
          <w:bCs/>
          <w:color w:val="000000"/>
          <w:sz w:val="20"/>
          <w:szCs w:val="20"/>
          <w:lang w:eastAsia="de-DE"/>
        </w:rPr>
        <w:t xml:space="preserve"> control</w:t>
      </w:r>
      <w:r w:rsidRPr="001E1A06">
        <w:rPr>
          <w:rFonts w:ascii="Times New Roman" w:eastAsia="Times New Roman" w:hAnsi="Times New Roman" w:cs="Times New Roman"/>
          <w:bCs/>
          <w:color w:val="000000"/>
          <w:sz w:val="20"/>
          <w:szCs w:val="20"/>
          <w:lang w:eastAsia="de-DE"/>
        </w:rPr>
        <w:t xml:space="preserve">. The smoother power profile shown in Figure 2 indicates that the available storage capacity is utilized more continuously, thereby reducing short-term fluctuations at the district heating </w:t>
      </w:r>
      <w:r w:rsidR="00D120F4">
        <w:rPr>
          <w:rFonts w:ascii="Times New Roman" w:eastAsia="Times New Roman" w:hAnsi="Times New Roman" w:cs="Times New Roman"/>
          <w:bCs/>
          <w:color w:val="000000"/>
          <w:sz w:val="20"/>
          <w:szCs w:val="20"/>
          <w:lang w:eastAsia="de-DE"/>
        </w:rPr>
        <w:t>substation</w:t>
      </w:r>
      <w:r w:rsidRPr="001E1A06">
        <w:rPr>
          <w:rFonts w:ascii="Times New Roman" w:eastAsia="Times New Roman" w:hAnsi="Times New Roman" w:cs="Times New Roman"/>
          <w:bCs/>
          <w:color w:val="000000"/>
          <w:sz w:val="20"/>
          <w:szCs w:val="20"/>
          <w:lang w:eastAsia="de-DE"/>
        </w:rPr>
        <w:t>.</w:t>
      </w:r>
      <w:r w:rsidR="00A306A0">
        <w:rPr>
          <w:rFonts w:ascii="Times New Roman" w:eastAsia="Times New Roman" w:hAnsi="Times New Roman" w:cs="Times New Roman"/>
          <w:bCs/>
          <w:color w:val="000000"/>
          <w:sz w:val="20"/>
          <w:szCs w:val="20"/>
          <w:lang w:eastAsia="de-DE"/>
        </w:rPr>
        <w:t xml:space="preserve"> </w:t>
      </w:r>
      <w:r w:rsidRPr="001E1A06">
        <w:rPr>
          <w:rFonts w:ascii="Times New Roman" w:eastAsia="Times New Roman" w:hAnsi="Times New Roman" w:cs="Times New Roman"/>
          <w:bCs/>
          <w:color w:val="000000"/>
          <w:sz w:val="20"/>
          <w:szCs w:val="20"/>
          <w:lang w:eastAsia="de-DE"/>
        </w:rPr>
        <w:t xml:space="preserve">In contrast, the peak-shifting strategy reduces the transmitted thermal energy during the defined discharge windows by 12.3% </w:t>
      </w:r>
      <w:r w:rsidR="00653110">
        <w:rPr>
          <w:rFonts w:ascii="Times New Roman" w:eastAsia="Times New Roman" w:hAnsi="Times New Roman" w:cs="Times New Roman"/>
          <w:bCs/>
          <w:color w:val="000000"/>
          <w:sz w:val="20"/>
          <w:szCs w:val="20"/>
          <w:lang w:eastAsia="de-DE"/>
        </w:rPr>
        <w:t>(</w:t>
      </w:r>
      <w:r w:rsidR="00EC0F81">
        <w:rPr>
          <w:rFonts w:ascii="Times New Roman" w:eastAsia="Times New Roman" w:hAnsi="Times New Roman" w:cs="Times New Roman"/>
          <w:bCs/>
          <w:color w:val="000000"/>
          <w:sz w:val="20"/>
          <w:szCs w:val="20"/>
          <w:lang w:eastAsia="de-DE"/>
        </w:rPr>
        <w:t>22</w:t>
      </w:r>
      <w:r w:rsidR="00653110">
        <w:rPr>
          <w:rFonts w:ascii="Times New Roman" w:eastAsia="Times New Roman" w:hAnsi="Times New Roman" w:cs="Times New Roman"/>
          <w:bCs/>
          <w:color w:val="000000"/>
          <w:sz w:val="20"/>
          <w:szCs w:val="20"/>
          <w:lang w:eastAsia="de-DE"/>
        </w:rPr>
        <w:t xml:space="preserve">.5% for the configuration with central freshwater unit) </w:t>
      </w:r>
      <w:r w:rsidRPr="001E1A06">
        <w:rPr>
          <w:rFonts w:ascii="Times New Roman" w:eastAsia="Times New Roman" w:hAnsi="Times New Roman" w:cs="Times New Roman"/>
          <w:bCs/>
          <w:color w:val="000000"/>
          <w:sz w:val="20"/>
          <w:szCs w:val="20"/>
          <w:lang w:eastAsia="de-DE"/>
        </w:rPr>
        <w:t xml:space="preserve">relative to the peak-shaving strategy. Instead of minimizing the absolute maximum power, the strategy deliberately transfers part of the heat demand to earlier charging periods. Such behavior can be advantageous for </w:t>
      </w:r>
      <w:r w:rsidR="00A306A0">
        <w:rPr>
          <w:rFonts w:ascii="Times New Roman" w:eastAsia="Times New Roman" w:hAnsi="Times New Roman" w:cs="Times New Roman"/>
          <w:bCs/>
          <w:color w:val="000000"/>
          <w:sz w:val="20"/>
          <w:szCs w:val="20"/>
          <w:lang w:eastAsia="de-DE"/>
        </w:rPr>
        <w:t>DH</w:t>
      </w:r>
      <w:r w:rsidRPr="001E1A06">
        <w:rPr>
          <w:rFonts w:ascii="Times New Roman" w:eastAsia="Times New Roman" w:hAnsi="Times New Roman" w:cs="Times New Roman"/>
          <w:bCs/>
          <w:color w:val="000000"/>
          <w:sz w:val="20"/>
          <w:szCs w:val="20"/>
          <w:lang w:eastAsia="de-DE"/>
        </w:rPr>
        <w:t xml:space="preserve"> operators because thermal </w:t>
      </w:r>
      <w:r w:rsidR="00D120F4">
        <w:rPr>
          <w:rFonts w:ascii="Times New Roman" w:eastAsia="Times New Roman" w:hAnsi="Times New Roman" w:cs="Times New Roman"/>
          <w:bCs/>
          <w:color w:val="000000"/>
          <w:sz w:val="20"/>
          <w:szCs w:val="20"/>
          <w:lang w:eastAsia="de-DE"/>
        </w:rPr>
        <w:t xml:space="preserve">energy consumption </w:t>
      </w:r>
      <w:r w:rsidRPr="001E1A06">
        <w:rPr>
          <w:rFonts w:ascii="Times New Roman" w:eastAsia="Times New Roman" w:hAnsi="Times New Roman" w:cs="Times New Roman"/>
          <w:bCs/>
          <w:color w:val="000000"/>
          <w:sz w:val="20"/>
          <w:szCs w:val="20"/>
          <w:lang w:eastAsia="de-DE"/>
        </w:rPr>
        <w:t>can be scheduled outside periods of high network utilization.</w:t>
      </w:r>
    </w:p>
    <w:p w14:paraId="54F4F51A" w14:textId="02A8020D" w:rsidR="00653110" w:rsidRDefault="00653110" w:rsidP="001E1A06">
      <w:pPr>
        <w:jc w:val="both"/>
        <w:rPr>
          <w:rFonts w:ascii="Times New Roman" w:eastAsia="Times New Roman" w:hAnsi="Times New Roman" w:cs="Times New Roman"/>
          <w:bCs/>
          <w:color w:val="000000"/>
          <w:sz w:val="20"/>
          <w:szCs w:val="20"/>
          <w:lang w:eastAsia="de-DE"/>
        </w:rPr>
      </w:pPr>
      <w:r w:rsidRPr="00653110">
        <w:rPr>
          <w:rFonts w:ascii="Times New Roman" w:eastAsia="Times New Roman" w:hAnsi="Times New Roman" w:cs="Times New Roman"/>
          <w:bCs/>
          <w:color w:val="000000"/>
          <w:sz w:val="20"/>
          <w:szCs w:val="20"/>
          <w:lang w:eastAsia="de-DE"/>
        </w:rPr>
        <w:t xml:space="preserve">The more intensive charging during the charging windows slightly </w:t>
      </w:r>
      <w:r w:rsidR="00EC0F81">
        <w:rPr>
          <w:rFonts w:ascii="Times New Roman" w:eastAsia="Times New Roman" w:hAnsi="Times New Roman" w:cs="Times New Roman"/>
          <w:bCs/>
          <w:color w:val="000000"/>
          <w:sz w:val="20"/>
          <w:szCs w:val="20"/>
          <w:lang w:eastAsia="de-DE"/>
        </w:rPr>
        <w:t>does not increase</w:t>
      </w:r>
      <w:r w:rsidRPr="00653110">
        <w:rPr>
          <w:rFonts w:ascii="Times New Roman" w:eastAsia="Times New Roman" w:hAnsi="Times New Roman" w:cs="Times New Roman"/>
          <w:bCs/>
          <w:color w:val="000000"/>
          <w:sz w:val="20"/>
          <w:szCs w:val="20"/>
          <w:lang w:eastAsia="de-DE"/>
        </w:rPr>
        <w:t xml:space="preserve"> the average secondary return temperature</w:t>
      </w:r>
      <w:r w:rsidR="00EC0F81">
        <w:rPr>
          <w:rFonts w:ascii="Times New Roman" w:eastAsia="Times New Roman" w:hAnsi="Times New Roman" w:cs="Times New Roman"/>
          <w:bCs/>
          <w:color w:val="000000"/>
          <w:sz w:val="20"/>
          <w:szCs w:val="20"/>
          <w:lang w:eastAsia="de-DE"/>
        </w:rPr>
        <w:t>, it is even reduced slightly</w:t>
      </w:r>
      <w:r w:rsidRPr="00653110">
        <w:rPr>
          <w:rFonts w:ascii="Times New Roman" w:eastAsia="Times New Roman" w:hAnsi="Times New Roman" w:cs="Times New Roman"/>
          <w:bCs/>
          <w:color w:val="000000"/>
          <w:sz w:val="20"/>
          <w:szCs w:val="20"/>
          <w:lang w:eastAsia="de-DE"/>
        </w:rPr>
        <w:t xml:space="preserve"> from 43.</w:t>
      </w:r>
      <w:r w:rsidR="00EC0F81">
        <w:rPr>
          <w:rFonts w:ascii="Times New Roman" w:eastAsia="Times New Roman" w:hAnsi="Times New Roman" w:cs="Times New Roman"/>
          <w:bCs/>
          <w:color w:val="000000"/>
          <w:sz w:val="20"/>
          <w:szCs w:val="20"/>
          <w:lang w:eastAsia="de-DE"/>
        </w:rPr>
        <w:t>3</w:t>
      </w:r>
      <w:r w:rsidRPr="00653110">
        <w:rPr>
          <w:rFonts w:ascii="Times New Roman" w:eastAsia="Times New Roman" w:hAnsi="Times New Roman" w:cs="Times New Roman"/>
          <w:bCs/>
          <w:color w:val="000000"/>
          <w:sz w:val="20"/>
          <w:szCs w:val="20"/>
          <w:lang w:eastAsia="de-DE"/>
        </w:rPr>
        <w:t xml:space="preserve"> °C to 4</w:t>
      </w:r>
      <w:r w:rsidR="00EC0F81">
        <w:rPr>
          <w:rFonts w:ascii="Times New Roman" w:eastAsia="Times New Roman" w:hAnsi="Times New Roman" w:cs="Times New Roman"/>
          <w:bCs/>
          <w:color w:val="000000"/>
          <w:sz w:val="20"/>
          <w:szCs w:val="20"/>
          <w:lang w:eastAsia="de-DE"/>
        </w:rPr>
        <w:t>2.7</w:t>
      </w:r>
      <w:r w:rsidRPr="00653110">
        <w:rPr>
          <w:rFonts w:ascii="Times New Roman" w:eastAsia="Times New Roman" w:hAnsi="Times New Roman" w:cs="Times New Roman"/>
          <w:bCs/>
          <w:color w:val="000000"/>
          <w:sz w:val="20"/>
          <w:szCs w:val="20"/>
          <w:lang w:eastAsia="de-DE"/>
        </w:rPr>
        <w:t xml:space="preserve"> °C</w:t>
      </w:r>
      <w:r>
        <w:rPr>
          <w:rFonts w:ascii="Times New Roman" w:eastAsia="Times New Roman" w:hAnsi="Times New Roman" w:cs="Times New Roman"/>
          <w:bCs/>
          <w:color w:val="000000"/>
          <w:sz w:val="20"/>
          <w:szCs w:val="20"/>
          <w:lang w:eastAsia="de-DE"/>
        </w:rPr>
        <w:t xml:space="preserve"> for the configuration with DHW tank</w:t>
      </w:r>
      <w:r w:rsidRPr="00653110">
        <w:rPr>
          <w:rFonts w:ascii="Times New Roman" w:eastAsia="Times New Roman" w:hAnsi="Times New Roman" w:cs="Times New Roman"/>
          <w:bCs/>
          <w:color w:val="000000"/>
          <w:sz w:val="20"/>
          <w:szCs w:val="20"/>
          <w:lang w:eastAsia="de-DE"/>
        </w:rPr>
        <w:t>. Although this increase reduces the thermodynamic performance of the district heating network to some extent, the resulting temperature remains well below commonly accepted operational limits of approximately 50 °C. The additional flexibility therefore appears to outweigh the moderate increase in return temperature.</w:t>
      </w:r>
      <w:r w:rsidR="00D80E86">
        <w:rPr>
          <w:rFonts w:ascii="Times New Roman" w:eastAsia="Times New Roman" w:hAnsi="Times New Roman" w:cs="Times New Roman"/>
          <w:bCs/>
          <w:color w:val="000000"/>
          <w:sz w:val="20"/>
          <w:szCs w:val="20"/>
          <w:lang w:eastAsia="de-DE"/>
        </w:rPr>
        <w:t xml:space="preserve"> For the configuration with central fresh water unit, the peak-shifting strategy decreases the return temperature slightly from 43.</w:t>
      </w:r>
      <w:r w:rsidR="00851CD4">
        <w:rPr>
          <w:rFonts w:ascii="Times New Roman" w:eastAsia="Times New Roman" w:hAnsi="Times New Roman" w:cs="Times New Roman"/>
          <w:bCs/>
          <w:color w:val="000000"/>
          <w:sz w:val="20"/>
          <w:szCs w:val="20"/>
          <w:lang w:eastAsia="de-DE"/>
        </w:rPr>
        <w:t>3</w:t>
      </w:r>
      <w:r w:rsidR="00D80E86">
        <w:rPr>
          <w:rFonts w:ascii="Times New Roman" w:eastAsia="Times New Roman" w:hAnsi="Times New Roman" w:cs="Times New Roman"/>
          <w:bCs/>
          <w:color w:val="000000"/>
          <w:sz w:val="20"/>
          <w:szCs w:val="20"/>
          <w:lang w:eastAsia="de-DE"/>
        </w:rPr>
        <w:t>°C (peak-shaving) to 42.</w:t>
      </w:r>
      <w:r w:rsidR="00851CD4">
        <w:rPr>
          <w:rFonts w:ascii="Times New Roman" w:eastAsia="Times New Roman" w:hAnsi="Times New Roman" w:cs="Times New Roman"/>
          <w:bCs/>
          <w:color w:val="000000"/>
          <w:sz w:val="20"/>
          <w:szCs w:val="20"/>
          <w:lang w:eastAsia="de-DE"/>
        </w:rPr>
        <w:t>9</w:t>
      </w:r>
      <w:r w:rsidR="00D80E86">
        <w:rPr>
          <w:rFonts w:ascii="Times New Roman" w:eastAsia="Times New Roman" w:hAnsi="Times New Roman" w:cs="Times New Roman"/>
          <w:bCs/>
          <w:color w:val="000000"/>
          <w:sz w:val="20"/>
          <w:szCs w:val="20"/>
          <w:lang w:eastAsia="de-DE"/>
        </w:rPr>
        <w:t xml:space="preserve">C. </w:t>
      </w:r>
    </w:p>
    <w:p w14:paraId="7DC5749B" w14:textId="77777777" w:rsidR="002E0A91" w:rsidRDefault="002E0A91" w:rsidP="001E1A06">
      <w:pPr>
        <w:jc w:val="both"/>
        <w:rPr>
          <w:rFonts w:ascii="Times New Roman" w:eastAsia="Times New Roman" w:hAnsi="Times New Roman" w:cs="Times New Roman"/>
          <w:bCs/>
          <w:color w:val="000000"/>
          <w:sz w:val="20"/>
          <w:szCs w:val="20"/>
          <w:lang w:eastAsia="de-DE"/>
        </w:rPr>
      </w:pPr>
    </w:p>
    <w:p w14:paraId="4CA16323" w14:textId="3E79E5F2" w:rsidR="001E1A06" w:rsidRPr="001E1A06" w:rsidRDefault="001E1A06" w:rsidP="001E1A06">
      <w:pPr>
        <w:pStyle w:val="Listenabsatz"/>
        <w:numPr>
          <w:ilvl w:val="0"/>
          <w:numId w:val="5"/>
        </w:numPr>
        <w:jc w:val="both"/>
        <w:rPr>
          <w:rFonts w:ascii="Times New Roman" w:eastAsia="Times New Roman" w:hAnsi="Times New Roman" w:cs="Times New Roman"/>
          <w:bCs/>
          <w:color w:val="000000"/>
          <w:sz w:val="20"/>
          <w:szCs w:val="20"/>
          <w:lang w:eastAsia="de-DE"/>
        </w:rPr>
      </w:pPr>
      <w:r w:rsidRPr="001E1A06">
        <w:rPr>
          <w:rFonts w:ascii="Times New Roman" w:eastAsia="Times New Roman" w:hAnsi="Times New Roman" w:cs="Times New Roman"/>
          <w:bCs/>
          <w:color w:val="000000"/>
          <w:sz w:val="20"/>
          <w:szCs w:val="20"/>
          <w:lang w:eastAsia="de-DE"/>
        </w:rPr>
        <w:t>Influence of hydraulic configuration</w:t>
      </w:r>
    </w:p>
    <w:p w14:paraId="61421058" w14:textId="095AEB2B" w:rsidR="001E1A06" w:rsidRPr="001E1A06" w:rsidRDefault="002E0A91" w:rsidP="002E0A91">
      <w:pPr>
        <w:jc w:val="both"/>
        <w:rPr>
          <w:rFonts w:ascii="Times New Roman" w:eastAsia="Times New Roman" w:hAnsi="Times New Roman" w:cs="Times New Roman"/>
          <w:bCs/>
          <w:color w:val="000000"/>
          <w:sz w:val="20"/>
          <w:szCs w:val="20"/>
          <w:lang w:eastAsia="de-DE"/>
        </w:rPr>
      </w:pPr>
      <w:r w:rsidRPr="002E0A91">
        <w:rPr>
          <w:rFonts w:ascii="Times New Roman" w:eastAsia="Times New Roman" w:hAnsi="Times New Roman" w:cs="Times New Roman"/>
          <w:bCs/>
          <w:color w:val="000000"/>
          <w:sz w:val="20"/>
          <w:szCs w:val="20"/>
          <w:lang w:eastAsia="de-DE"/>
        </w:rPr>
        <w:t xml:space="preserve">The comparison of both hydraulic concepts clearly illustrates the influence of the </w:t>
      </w:r>
      <w:r w:rsidR="00D80E86">
        <w:rPr>
          <w:rFonts w:ascii="Times New Roman" w:eastAsia="Times New Roman" w:hAnsi="Times New Roman" w:cs="Times New Roman"/>
          <w:bCs/>
          <w:color w:val="000000"/>
          <w:sz w:val="20"/>
          <w:szCs w:val="20"/>
          <w:lang w:eastAsia="de-DE"/>
        </w:rPr>
        <w:t>DHW</w:t>
      </w:r>
      <w:r w:rsidRPr="002E0A91">
        <w:rPr>
          <w:rFonts w:ascii="Times New Roman" w:eastAsia="Times New Roman" w:hAnsi="Times New Roman" w:cs="Times New Roman"/>
          <w:bCs/>
          <w:color w:val="000000"/>
          <w:sz w:val="20"/>
          <w:szCs w:val="20"/>
          <w:lang w:eastAsia="de-DE"/>
        </w:rPr>
        <w:t xml:space="preserve"> preparation system on the achievable flexibility</w:t>
      </w:r>
      <w:r w:rsidR="0034069C">
        <w:rPr>
          <w:rFonts w:ascii="Times New Roman" w:eastAsia="Times New Roman" w:hAnsi="Times New Roman" w:cs="Times New Roman"/>
          <w:bCs/>
          <w:color w:val="000000"/>
          <w:sz w:val="20"/>
          <w:szCs w:val="20"/>
          <w:lang w:eastAsia="de-DE"/>
        </w:rPr>
        <w:t xml:space="preserve"> with the </w:t>
      </w:r>
      <w:r w:rsidR="0034069C" w:rsidRPr="001B2589">
        <w:rPr>
          <w:rFonts w:ascii="Times New Roman" w:eastAsia="Times New Roman" w:hAnsi="Times New Roman" w:cs="Times New Roman"/>
          <w:color w:val="000000"/>
          <w:sz w:val="20"/>
          <w:lang w:eastAsia="de-DE"/>
        </w:rPr>
        <w:t>peak-shaving strategy</w:t>
      </w:r>
      <w:r w:rsidR="0034069C" w:rsidRPr="0034069C">
        <w:rPr>
          <w:rFonts w:ascii="Times New Roman" w:eastAsia="Times New Roman" w:hAnsi="Times New Roman" w:cs="Times New Roman"/>
          <w:color w:val="000000"/>
          <w:sz w:val="20"/>
          <w:lang w:eastAsia="de-DE"/>
        </w:rPr>
        <w:t xml:space="preserve"> </w:t>
      </w:r>
      <w:r w:rsidR="0034069C" w:rsidRPr="00103A49">
        <w:rPr>
          <w:rFonts w:ascii="Times New Roman" w:eastAsia="Times New Roman" w:hAnsi="Times New Roman" w:cs="Times New Roman"/>
          <w:color w:val="000000"/>
          <w:sz w:val="20"/>
          <w:lang w:eastAsia="de-DE"/>
        </w:rPr>
        <w:t>compared to a direct system without any buffer storage</w:t>
      </w:r>
      <w:r w:rsidRPr="002E0A91">
        <w:rPr>
          <w:rFonts w:ascii="Times New Roman" w:eastAsia="Times New Roman" w:hAnsi="Times New Roman" w:cs="Times New Roman"/>
          <w:bCs/>
          <w:color w:val="000000"/>
          <w:sz w:val="20"/>
          <w:szCs w:val="20"/>
          <w:lang w:eastAsia="de-DE"/>
        </w:rPr>
        <w:t>. While the DHW storage configuration achieves a peak reduction of 26.6%, the reduction decreases to 13.4% when a centralized fresh water unit is used.</w:t>
      </w:r>
      <w:r>
        <w:rPr>
          <w:rFonts w:ascii="Times New Roman" w:eastAsia="Times New Roman" w:hAnsi="Times New Roman" w:cs="Times New Roman"/>
          <w:bCs/>
          <w:color w:val="000000"/>
          <w:sz w:val="20"/>
          <w:szCs w:val="20"/>
          <w:lang w:eastAsia="de-DE"/>
        </w:rPr>
        <w:t xml:space="preserve"> </w:t>
      </w:r>
      <w:r w:rsidRPr="002E0A91">
        <w:rPr>
          <w:rFonts w:ascii="Times New Roman" w:eastAsia="Times New Roman" w:hAnsi="Times New Roman" w:cs="Times New Roman"/>
          <w:bCs/>
          <w:color w:val="000000"/>
          <w:sz w:val="20"/>
          <w:szCs w:val="20"/>
          <w:lang w:eastAsia="de-DE"/>
        </w:rPr>
        <w:t xml:space="preserve">This behavior can be explained by the different hydraulic buffering mechanisms. In the DHW storage configuration, domestic hot water demand is buffered twice, first by </w:t>
      </w:r>
      <w:r w:rsidR="00A05F23" w:rsidRPr="002E0A91">
        <w:rPr>
          <w:rFonts w:ascii="Times New Roman" w:eastAsia="Times New Roman" w:hAnsi="Times New Roman" w:cs="Times New Roman"/>
          <w:bCs/>
          <w:color w:val="000000"/>
          <w:sz w:val="20"/>
          <w:szCs w:val="20"/>
          <w:lang w:eastAsia="de-DE"/>
        </w:rPr>
        <w:t xml:space="preserve">the DHW storage tank </w:t>
      </w:r>
      <w:r w:rsidRPr="002E0A91">
        <w:rPr>
          <w:rFonts w:ascii="Times New Roman" w:eastAsia="Times New Roman" w:hAnsi="Times New Roman" w:cs="Times New Roman"/>
          <w:bCs/>
          <w:color w:val="000000"/>
          <w:sz w:val="20"/>
          <w:szCs w:val="20"/>
          <w:lang w:eastAsia="de-DE"/>
        </w:rPr>
        <w:t xml:space="preserve">and subsequently by </w:t>
      </w:r>
      <w:r w:rsidR="00A05F23" w:rsidRPr="002E0A91">
        <w:rPr>
          <w:rFonts w:ascii="Times New Roman" w:eastAsia="Times New Roman" w:hAnsi="Times New Roman" w:cs="Times New Roman"/>
          <w:bCs/>
          <w:color w:val="000000"/>
          <w:sz w:val="20"/>
          <w:szCs w:val="20"/>
          <w:lang w:eastAsia="de-DE"/>
        </w:rPr>
        <w:t>the decentralized buffer storage</w:t>
      </w:r>
      <w:r w:rsidR="00A05F23" w:rsidRPr="002E0A91" w:rsidDel="00A05F23">
        <w:rPr>
          <w:rFonts w:ascii="Times New Roman" w:eastAsia="Times New Roman" w:hAnsi="Times New Roman" w:cs="Times New Roman"/>
          <w:bCs/>
          <w:color w:val="000000"/>
          <w:sz w:val="20"/>
          <w:szCs w:val="20"/>
          <w:lang w:eastAsia="de-DE"/>
        </w:rPr>
        <w:t xml:space="preserve"> </w:t>
      </w:r>
      <w:r w:rsidRPr="002E0A91">
        <w:rPr>
          <w:rFonts w:ascii="Times New Roman" w:eastAsia="Times New Roman" w:hAnsi="Times New Roman" w:cs="Times New Roman"/>
          <w:bCs/>
          <w:color w:val="000000"/>
          <w:sz w:val="20"/>
          <w:szCs w:val="20"/>
          <w:lang w:eastAsia="de-DE"/>
        </w:rPr>
        <w:t xml:space="preserve">. Consequently, short-term </w:t>
      </w:r>
      <w:r w:rsidRPr="002E0A91">
        <w:rPr>
          <w:rFonts w:ascii="Times New Roman" w:eastAsia="Times New Roman" w:hAnsi="Times New Roman" w:cs="Times New Roman"/>
          <w:bCs/>
          <w:color w:val="000000"/>
          <w:sz w:val="20"/>
          <w:szCs w:val="20"/>
          <w:lang w:eastAsia="de-DE"/>
        </w:rPr>
        <w:lastRenderedPageBreak/>
        <w:t>DHW demand peaks are only partially transferred to the district heating substation. In contrast, the centralized fresh water unit supplies domestic hot water instantaneously. The corresponding thermal demand therefore appears almost directly at the substation, leaving less flexibility for the decentralized storage controller.</w:t>
      </w:r>
      <w:r>
        <w:rPr>
          <w:rFonts w:ascii="Times New Roman" w:eastAsia="Times New Roman" w:hAnsi="Times New Roman" w:cs="Times New Roman"/>
          <w:bCs/>
          <w:color w:val="000000"/>
          <w:sz w:val="20"/>
          <w:szCs w:val="20"/>
          <w:lang w:eastAsia="de-DE"/>
        </w:rPr>
        <w:t xml:space="preserve"> </w:t>
      </w:r>
      <w:r w:rsidRPr="002E0A91">
        <w:rPr>
          <w:rFonts w:ascii="Times New Roman" w:eastAsia="Times New Roman" w:hAnsi="Times New Roman" w:cs="Times New Roman"/>
          <w:bCs/>
          <w:color w:val="000000"/>
          <w:sz w:val="20"/>
          <w:szCs w:val="20"/>
          <w:lang w:eastAsia="de-DE"/>
        </w:rPr>
        <w:t>Interestingly, the opposite trend is observed for the peak-shifting strategy. The reduction of transmitted thermal energy during the discharge windows increases from 12.3% for the DHW storage configuration to 22.5% for the centralized fresh water unit. Since DHW demand reaches the substation more directly in this configuration, a larger fraction of the thermal load can intentionally be shifted away from predefined peak periods. The hydraulic concept therefore not only affects the achievable peak reduction but also determines which flexibility strategy provides the greatest operational benefit.</w:t>
      </w:r>
    </w:p>
    <w:p w14:paraId="6250C244" w14:textId="1AD1AC4B" w:rsidR="00C2128A" w:rsidRPr="00103A49" w:rsidRDefault="00C2128A" w:rsidP="00C2128A">
      <w:pPr>
        <w:jc w:val="both"/>
        <w:rPr>
          <w:rFonts w:ascii="Times New Roman" w:eastAsia="Times New Roman" w:hAnsi="Times New Roman" w:cs="Times New Roman"/>
          <w:color w:val="000000"/>
          <w:sz w:val="20"/>
          <w:lang w:eastAsia="de-DE"/>
        </w:rPr>
      </w:pPr>
    </w:p>
    <w:p w14:paraId="033B558F" w14:textId="5C5666ED" w:rsidR="00D30981" w:rsidRDefault="00C2128A" w:rsidP="008B540A">
      <w:pPr>
        <w:pStyle w:val="Listenabsatz"/>
        <w:numPr>
          <w:ilvl w:val="1"/>
          <w:numId w:val="1"/>
        </w:numPr>
        <w:rPr>
          <w:rFonts w:ascii="Arial" w:eastAsia="Times New Roman" w:hAnsi="Arial" w:cs="Times New Roman"/>
          <w:i/>
          <w:color w:val="000000"/>
          <w:sz w:val="20"/>
          <w:lang w:val="en-GB" w:eastAsia="de-DE"/>
        </w:rPr>
      </w:pPr>
      <w:r w:rsidRPr="008B540A">
        <w:rPr>
          <w:rFonts w:ascii="Arial" w:eastAsia="Times New Roman" w:hAnsi="Arial" w:cs="Times New Roman"/>
          <w:i/>
          <w:color w:val="000000"/>
          <w:sz w:val="20"/>
          <w:lang w:val="en-GB" w:eastAsia="de-DE"/>
        </w:rPr>
        <w:t>Performance of the prediction model</w:t>
      </w:r>
      <w:r w:rsidR="00FA61C3" w:rsidRPr="008B540A">
        <w:rPr>
          <w:rFonts w:ascii="Arial" w:eastAsia="Times New Roman" w:hAnsi="Arial" w:cs="Times New Roman"/>
          <w:i/>
          <w:color w:val="000000"/>
          <w:sz w:val="20"/>
          <w:lang w:val="en-GB" w:eastAsia="de-DE"/>
        </w:rPr>
        <w:t>s</w:t>
      </w:r>
    </w:p>
    <w:p w14:paraId="79B7705B" w14:textId="1E300973" w:rsidR="0093661B" w:rsidRPr="00B41F90" w:rsidRDefault="005C2BBF" w:rsidP="005C2BBF">
      <w:pPr>
        <w:jc w:val="both"/>
        <w:rPr>
          <w:rFonts w:ascii="Times New Roman" w:eastAsia="Times New Roman" w:hAnsi="Times New Roman" w:cs="Times New Roman"/>
          <w:bCs/>
          <w:color w:val="000000"/>
          <w:sz w:val="20"/>
          <w:szCs w:val="20"/>
          <w:lang w:eastAsia="de-DE"/>
        </w:rPr>
      </w:pPr>
      <w:r w:rsidRPr="005C2BBF">
        <w:rPr>
          <w:rFonts w:ascii="Times New Roman" w:eastAsia="Times New Roman" w:hAnsi="Times New Roman" w:cs="Times New Roman"/>
          <w:bCs/>
          <w:color w:val="000000"/>
          <w:sz w:val="20"/>
          <w:szCs w:val="20"/>
          <w:lang w:eastAsia="de-DE"/>
        </w:rPr>
        <w:t xml:space="preserve">Figures 4 and 5 illustrate exemplary predictions of the </w:t>
      </w:r>
      <w:r>
        <w:rPr>
          <w:rFonts w:ascii="Times New Roman" w:eastAsia="Times New Roman" w:hAnsi="Times New Roman" w:cs="Times New Roman"/>
          <w:bCs/>
          <w:color w:val="000000"/>
          <w:sz w:val="20"/>
          <w:szCs w:val="20"/>
          <w:lang w:eastAsia="de-DE"/>
        </w:rPr>
        <w:t>DH</w:t>
      </w:r>
      <w:r w:rsidRPr="005C2BBF">
        <w:rPr>
          <w:rFonts w:ascii="Times New Roman" w:eastAsia="Times New Roman" w:hAnsi="Times New Roman" w:cs="Times New Roman"/>
          <w:bCs/>
          <w:color w:val="000000"/>
          <w:sz w:val="20"/>
          <w:szCs w:val="20"/>
          <w:lang w:eastAsia="de-DE"/>
        </w:rPr>
        <w:t xml:space="preserve"> substation power and the secondary return temperature obtained with the TFT for the hydraulic configuration with a DHW storage tank and the peak-shaving charging strategy. Overall, the predicted </w:t>
      </w:r>
      <w:r>
        <w:rPr>
          <w:rFonts w:ascii="Times New Roman" w:eastAsia="Times New Roman" w:hAnsi="Times New Roman" w:cs="Times New Roman"/>
          <w:bCs/>
          <w:color w:val="000000"/>
          <w:sz w:val="20"/>
          <w:szCs w:val="20"/>
          <w:lang w:eastAsia="de-DE"/>
        </w:rPr>
        <w:t>values</w:t>
      </w:r>
      <w:r w:rsidRPr="005C2BBF">
        <w:rPr>
          <w:rFonts w:ascii="Times New Roman" w:eastAsia="Times New Roman" w:hAnsi="Times New Roman" w:cs="Times New Roman"/>
          <w:bCs/>
          <w:color w:val="000000"/>
          <w:sz w:val="20"/>
          <w:szCs w:val="20"/>
          <w:lang w:eastAsia="de-DE"/>
        </w:rPr>
        <w:t xml:space="preserve"> </w:t>
      </w:r>
      <w:r>
        <w:rPr>
          <w:rFonts w:ascii="Times New Roman" w:eastAsia="Times New Roman" w:hAnsi="Times New Roman" w:cs="Times New Roman"/>
          <w:bCs/>
          <w:color w:val="000000"/>
          <w:sz w:val="20"/>
          <w:szCs w:val="20"/>
          <w:lang w:eastAsia="de-DE"/>
        </w:rPr>
        <w:t>are close to</w:t>
      </w:r>
      <w:r w:rsidRPr="005C2BBF">
        <w:rPr>
          <w:rFonts w:ascii="Times New Roman" w:eastAsia="Times New Roman" w:hAnsi="Times New Roman" w:cs="Times New Roman"/>
          <w:bCs/>
          <w:color w:val="000000"/>
          <w:sz w:val="20"/>
          <w:szCs w:val="20"/>
          <w:lang w:eastAsia="de-DE"/>
        </w:rPr>
        <w:t xml:space="preserve"> the reference simulations, indicating that the model successfully captures both the dynamic charging behavior of the decentralized buffer storage and the resulting </w:t>
      </w:r>
      <w:r>
        <w:rPr>
          <w:rFonts w:ascii="Times New Roman" w:eastAsia="Times New Roman" w:hAnsi="Times New Roman" w:cs="Times New Roman"/>
          <w:bCs/>
          <w:color w:val="000000"/>
          <w:sz w:val="20"/>
          <w:szCs w:val="20"/>
          <w:lang w:eastAsia="de-DE"/>
        </w:rPr>
        <w:t>temperature at</w:t>
      </w:r>
      <w:r w:rsidRPr="005C2BBF">
        <w:rPr>
          <w:rFonts w:ascii="Times New Roman" w:eastAsia="Times New Roman" w:hAnsi="Times New Roman" w:cs="Times New Roman"/>
          <w:bCs/>
          <w:color w:val="000000"/>
          <w:sz w:val="20"/>
          <w:szCs w:val="20"/>
          <w:lang w:eastAsia="de-DE"/>
        </w:rPr>
        <w:t xml:space="preserve"> the substation.</w:t>
      </w:r>
      <w:r>
        <w:rPr>
          <w:rFonts w:ascii="Times New Roman" w:eastAsia="Times New Roman" w:hAnsi="Times New Roman" w:cs="Times New Roman"/>
          <w:bCs/>
          <w:color w:val="000000"/>
          <w:sz w:val="20"/>
          <w:szCs w:val="20"/>
          <w:lang w:eastAsia="de-DE"/>
        </w:rPr>
        <w:t xml:space="preserve"> </w:t>
      </w:r>
      <w:r w:rsidRPr="005C2BBF">
        <w:rPr>
          <w:rFonts w:ascii="Times New Roman" w:eastAsia="Times New Roman" w:hAnsi="Times New Roman" w:cs="Times New Roman"/>
          <w:bCs/>
          <w:color w:val="000000"/>
          <w:sz w:val="20"/>
          <w:szCs w:val="20"/>
          <w:lang w:eastAsia="de-DE"/>
        </w:rPr>
        <w:t xml:space="preserve">Figure 4 compares the simulated and predicted thermal power over an exemplary </w:t>
      </w:r>
      <w:proofErr w:type="gramStart"/>
      <w:r w:rsidR="00592D04">
        <w:rPr>
          <w:rFonts w:ascii="Times New Roman" w:eastAsia="Times New Roman" w:hAnsi="Times New Roman" w:cs="Times New Roman"/>
          <w:bCs/>
          <w:color w:val="000000"/>
          <w:sz w:val="20"/>
          <w:szCs w:val="20"/>
          <w:lang w:eastAsia="de-DE"/>
        </w:rPr>
        <w:t>one week</w:t>
      </w:r>
      <w:proofErr w:type="gramEnd"/>
      <w:r w:rsidR="00592D04">
        <w:rPr>
          <w:rFonts w:ascii="Times New Roman" w:eastAsia="Times New Roman" w:hAnsi="Times New Roman" w:cs="Times New Roman"/>
          <w:bCs/>
          <w:color w:val="000000"/>
          <w:sz w:val="20"/>
          <w:szCs w:val="20"/>
          <w:lang w:eastAsia="de-DE"/>
        </w:rPr>
        <w:t xml:space="preserve"> </w:t>
      </w:r>
      <w:r w:rsidRPr="005C2BBF">
        <w:rPr>
          <w:rFonts w:ascii="Times New Roman" w:eastAsia="Times New Roman" w:hAnsi="Times New Roman" w:cs="Times New Roman"/>
          <w:bCs/>
          <w:color w:val="000000"/>
          <w:sz w:val="20"/>
          <w:szCs w:val="20"/>
          <w:lang w:eastAsia="de-DE"/>
        </w:rPr>
        <w:t>period</w:t>
      </w:r>
      <w:r w:rsidR="00EA2C65">
        <w:rPr>
          <w:rFonts w:ascii="Times New Roman" w:eastAsia="Times New Roman" w:hAnsi="Times New Roman" w:cs="Times New Roman"/>
          <w:bCs/>
          <w:color w:val="000000"/>
          <w:sz w:val="20"/>
          <w:szCs w:val="20"/>
          <w:lang w:eastAsia="de-DE"/>
        </w:rPr>
        <w:t xml:space="preserve"> of the first test year</w:t>
      </w:r>
      <w:r w:rsidRPr="005C2BBF">
        <w:rPr>
          <w:rFonts w:ascii="Times New Roman" w:eastAsia="Times New Roman" w:hAnsi="Times New Roman" w:cs="Times New Roman"/>
          <w:bCs/>
          <w:color w:val="000000"/>
          <w:sz w:val="20"/>
          <w:szCs w:val="20"/>
          <w:lang w:eastAsia="de-DE"/>
        </w:rPr>
        <w:t xml:space="preserve"> during the </w:t>
      </w:r>
      <w:r>
        <w:rPr>
          <w:rFonts w:ascii="Times New Roman" w:eastAsia="Times New Roman" w:hAnsi="Times New Roman" w:cs="Times New Roman"/>
          <w:bCs/>
          <w:color w:val="000000"/>
          <w:sz w:val="20"/>
          <w:szCs w:val="20"/>
          <w:lang w:eastAsia="de-DE"/>
        </w:rPr>
        <w:t>SH</w:t>
      </w:r>
      <w:r w:rsidRPr="005C2BBF">
        <w:rPr>
          <w:rFonts w:ascii="Times New Roman" w:eastAsia="Times New Roman" w:hAnsi="Times New Roman" w:cs="Times New Roman"/>
          <w:bCs/>
          <w:color w:val="000000"/>
          <w:sz w:val="20"/>
          <w:szCs w:val="20"/>
          <w:lang w:eastAsia="de-DE"/>
        </w:rPr>
        <w:t xml:space="preserve"> season. The TFT reproduces the overall shape of the power profile very accurately, including the characteristic charging and discharging phases of the buffer storage. Both the timing and magnitude of the dominant power peaks are predicted well. Likewise, periods of low thermal demand are represented with only minor deviations from the reference simulation. The largest discrepancies occur during rapidly changing operating conditions, where steep power gra</w:t>
      </w:r>
      <w:r w:rsidR="00EA2C65">
        <w:rPr>
          <w:rFonts w:ascii="Times New Roman" w:eastAsia="Times New Roman" w:hAnsi="Times New Roman" w:cs="Times New Roman"/>
          <w:bCs/>
          <w:color w:val="000000"/>
          <w:sz w:val="20"/>
          <w:szCs w:val="20"/>
          <w:lang w:eastAsia="de-DE"/>
        </w:rPr>
        <w:t>dients are found</w:t>
      </w:r>
      <w:r w:rsidRPr="005C2BBF">
        <w:rPr>
          <w:rFonts w:ascii="Times New Roman" w:eastAsia="Times New Roman" w:hAnsi="Times New Roman" w:cs="Times New Roman"/>
          <w:bCs/>
          <w:color w:val="000000"/>
          <w:sz w:val="20"/>
          <w:szCs w:val="20"/>
          <w:lang w:eastAsia="de-DE"/>
        </w:rPr>
        <w:t xml:space="preserve">. In these situations, the predicted peaks are occasionally slightly underestimated or shifted. </w:t>
      </w:r>
    </w:p>
    <w:p w14:paraId="013DAAFA" w14:textId="46130195" w:rsidR="00FA61C3" w:rsidRDefault="00FA61C3" w:rsidP="00FA61C3">
      <w:pPr>
        <w:jc w:val="both"/>
        <w:rPr>
          <w:rFonts w:ascii="Times New Roman" w:eastAsia="Times New Roman" w:hAnsi="Times New Roman" w:cs="Times New Roman"/>
          <w:color w:val="000000"/>
          <w:sz w:val="20"/>
          <w:lang w:eastAsia="de-DE"/>
        </w:rPr>
      </w:pPr>
    </w:p>
    <w:p w14:paraId="232934D5" w14:textId="6996C51E" w:rsidR="00D257D0" w:rsidRPr="00103A49" w:rsidRDefault="00D257D0" w:rsidP="00FA61C3">
      <w:pPr>
        <w:jc w:val="both"/>
        <w:rPr>
          <w:rFonts w:ascii="Times New Roman" w:eastAsia="Times New Roman" w:hAnsi="Times New Roman" w:cs="Times New Roman"/>
          <w:color w:val="000000"/>
          <w:sz w:val="20"/>
          <w:lang w:eastAsia="de-DE"/>
        </w:rPr>
      </w:pPr>
      <w:r>
        <w:rPr>
          <w:noProof/>
        </w:rPr>
        <w:drawing>
          <wp:inline distT="0" distB="0" distL="0" distR="0" wp14:anchorId="5814F427" wp14:editId="19E0FCB2">
            <wp:extent cx="5760000" cy="1998420"/>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000" cy="1998420"/>
                    </a:xfrm>
                    <a:prstGeom prst="rect">
                      <a:avLst/>
                    </a:prstGeom>
                  </pic:spPr>
                </pic:pic>
              </a:graphicData>
            </a:graphic>
          </wp:inline>
        </w:drawing>
      </w:r>
    </w:p>
    <w:p w14:paraId="393525A3" w14:textId="41976C4F" w:rsidR="005E5205" w:rsidRPr="00103A49" w:rsidRDefault="00026A44" w:rsidP="00F329AF">
      <w:pPr>
        <w:jc w:val="center"/>
        <w:rPr>
          <w:rFonts w:ascii="Times New Roman" w:eastAsia="Times New Roman" w:hAnsi="Times New Roman" w:cs="Times New Roman"/>
          <w:color w:val="000000"/>
          <w:sz w:val="20"/>
          <w:lang w:eastAsia="de-DE"/>
        </w:rPr>
      </w:pPr>
      <w:r w:rsidRPr="007226CD">
        <w:rPr>
          <w:rFonts w:ascii="Times New Roman" w:eastAsia="Times New Roman" w:hAnsi="Times New Roman" w:cs="Times New Roman"/>
          <w:b/>
          <w:color w:val="000000"/>
          <w:sz w:val="16"/>
          <w:szCs w:val="20"/>
          <w:lang w:eastAsia="de-DE"/>
        </w:rPr>
        <w:t xml:space="preserve">Figure 4: </w:t>
      </w:r>
      <w:r w:rsidR="00E63AF0" w:rsidRPr="007226CD">
        <w:rPr>
          <w:rFonts w:ascii="Times New Roman" w:eastAsia="Times New Roman" w:hAnsi="Times New Roman" w:cs="Times New Roman"/>
          <w:b/>
          <w:color w:val="000000"/>
          <w:sz w:val="16"/>
          <w:szCs w:val="20"/>
          <w:lang w:eastAsia="de-DE"/>
        </w:rPr>
        <w:t>Comparison of the reference power profile at the substation and the TFT model prediction for the peak-shaving strategy applied to the system with DHW storage</w:t>
      </w:r>
    </w:p>
    <w:p w14:paraId="185B0617" w14:textId="2EC2B97B" w:rsidR="005E5205" w:rsidRDefault="00D257D0" w:rsidP="00FA61C3">
      <w:pPr>
        <w:jc w:val="both"/>
        <w:rPr>
          <w:rFonts w:ascii="Times New Roman" w:eastAsia="Times New Roman" w:hAnsi="Times New Roman" w:cs="Times New Roman"/>
          <w:color w:val="000000"/>
          <w:sz w:val="20"/>
          <w:lang w:eastAsia="de-DE"/>
        </w:rPr>
      </w:pPr>
      <w:r w:rsidRPr="00D257D0">
        <w:t xml:space="preserve"> </w:t>
      </w:r>
      <w:r w:rsidRPr="00D257D0">
        <w:rPr>
          <w:rFonts w:ascii="Times New Roman" w:eastAsia="Times New Roman" w:hAnsi="Times New Roman" w:cs="Times New Roman"/>
          <w:color w:val="000000"/>
          <w:sz w:val="20"/>
          <w:lang w:eastAsia="de-DE"/>
        </w:rPr>
        <w:t>Nevertheless, the overall agreement between prediction and reference remains high throughout the complete observation period. Figure 5 presents the corresponding prediction of the secondary return temperature. Compared to the thermal power profile, the return temperature varies considerably more smoothly due to the thermal inertia of the hydraulic system and the mixing processes inside the buffer storage. Consequently, the TFT almost completely reproduces the reference curve, indicating that the thermal dynamics are represented consistently.</w:t>
      </w:r>
    </w:p>
    <w:p w14:paraId="32077A7D" w14:textId="475192C3" w:rsidR="00D257D0" w:rsidRDefault="00D257D0" w:rsidP="00FA61C3">
      <w:pPr>
        <w:jc w:val="both"/>
        <w:rPr>
          <w:rFonts w:ascii="Times New Roman" w:eastAsia="Times New Roman" w:hAnsi="Times New Roman" w:cs="Times New Roman"/>
          <w:color w:val="000000"/>
          <w:sz w:val="20"/>
          <w:lang w:eastAsia="de-DE"/>
        </w:rPr>
      </w:pPr>
    </w:p>
    <w:p w14:paraId="0DCF86D9" w14:textId="7A7615D8" w:rsidR="00D257D0" w:rsidRPr="00103A49" w:rsidRDefault="00D257D0" w:rsidP="00FA61C3">
      <w:pPr>
        <w:jc w:val="both"/>
        <w:rPr>
          <w:rFonts w:ascii="Times New Roman" w:eastAsia="Times New Roman" w:hAnsi="Times New Roman" w:cs="Times New Roman"/>
          <w:color w:val="000000"/>
          <w:sz w:val="20"/>
          <w:lang w:eastAsia="de-DE"/>
        </w:rPr>
      </w:pPr>
      <w:r>
        <w:rPr>
          <w:noProof/>
        </w:rPr>
        <w:lastRenderedPageBreak/>
        <w:drawing>
          <wp:inline distT="0" distB="0" distL="0" distR="0" wp14:anchorId="1F31042B" wp14:editId="03AE1BD7">
            <wp:extent cx="5760000" cy="1998420"/>
            <wp:effectExtent l="0" t="0" r="0" b="190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000" cy="1998420"/>
                    </a:xfrm>
                    <a:prstGeom prst="rect">
                      <a:avLst/>
                    </a:prstGeom>
                  </pic:spPr>
                </pic:pic>
              </a:graphicData>
            </a:graphic>
          </wp:inline>
        </w:drawing>
      </w:r>
    </w:p>
    <w:p w14:paraId="727F1FA6" w14:textId="422C6E43" w:rsidR="00026A44" w:rsidRPr="00E377F5" w:rsidRDefault="00026A44" w:rsidP="00F329AF">
      <w:pPr>
        <w:jc w:val="center"/>
        <w:rPr>
          <w:rFonts w:ascii="Times New Roman" w:eastAsia="Times New Roman" w:hAnsi="Times New Roman" w:cs="Times New Roman"/>
          <w:b/>
          <w:color w:val="000000"/>
          <w:sz w:val="16"/>
          <w:szCs w:val="20"/>
          <w:lang w:eastAsia="de-DE"/>
        </w:rPr>
      </w:pPr>
      <w:r w:rsidRPr="00E377F5">
        <w:rPr>
          <w:rFonts w:ascii="Times New Roman" w:eastAsia="Times New Roman" w:hAnsi="Times New Roman" w:cs="Times New Roman"/>
          <w:b/>
          <w:color w:val="000000"/>
          <w:sz w:val="16"/>
          <w:szCs w:val="20"/>
          <w:lang w:eastAsia="de-DE"/>
        </w:rPr>
        <w:t>Figure 5:</w:t>
      </w:r>
      <w:r w:rsidR="00E63AF0" w:rsidRPr="00E377F5">
        <w:rPr>
          <w:rFonts w:ascii="Times New Roman" w:eastAsia="Times New Roman" w:hAnsi="Times New Roman" w:cs="Times New Roman"/>
          <w:b/>
          <w:color w:val="000000"/>
          <w:sz w:val="16"/>
          <w:szCs w:val="20"/>
          <w:lang w:eastAsia="de-DE"/>
        </w:rPr>
        <w:t xml:space="preserve"> Comparison of the reference return temperature profile at the substation and the TFT model prediction for the peak-shaving strategy applied to the system with DHW storage</w:t>
      </w:r>
    </w:p>
    <w:p w14:paraId="1B54BBC4" w14:textId="5779C101" w:rsidR="005E5205" w:rsidRPr="00E377F5" w:rsidRDefault="007226CD" w:rsidP="007E693E">
      <w:pPr>
        <w:jc w:val="center"/>
        <w:rPr>
          <w:rFonts w:ascii="Times New Roman" w:eastAsia="Times New Roman" w:hAnsi="Times New Roman" w:cs="Times New Roman"/>
          <w:b/>
          <w:color w:val="000000"/>
          <w:sz w:val="16"/>
          <w:szCs w:val="20"/>
          <w:lang w:eastAsia="de-DE"/>
        </w:rPr>
      </w:pPr>
      <w:r w:rsidRPr="00E377F5">
        <w:rPr>
          <w:rFonts w:ascii="Times New Roman" w:eastAsia="Times New Roman" w:hAnsi="Times New Roman" w:cs="Times New Roman"/>
          <w:b/>
          <w:color w:val="000000"/>
          <w:sz w:val="16"/>
          <w:szCs w:val="20"/>
          <w:lang w:eastAsia="de-DE"/>
        </w:rPr>
        <w:t>Table 2: Performance of the different TFT models for power and return temperature prediction, indicated by the average MAPE for the SH season</w:t>
      </w:r>
    </w:p>
    <w:tbl>
      <w:tblPr>
        <w:tblStyle w:val="Tabellenraster"/>
        <w:tblW w:w="0" w:type="auto"/>
        <w:tblLook w:val="04A0" w:firstRow="1" w:lastRow="0" w:firstColumn="1" w:lastColumn="0" w:noHBand="0" w:noVBand="1"/>
      </w:tblPr>
      <w:tblGrid>
        <w:gridCol w:w="1413"/>
        <w:gridCol w:w="1389"/>
        <w:gridCol w:w="1488"/>
        <w:gridCol w:w="1488"/>
        <w:gridCol w:w="1488"/>
        <w:gridCol w:w="1489"/>
      </w:tblGrid>
      <w:tr w:rsidR="004831D8" w:rsidRPr="00103A49" w14:paraId="16D2658C" w14:textId="77777777" w:rsidTr="00F329AF">
        <w:tc>
          <w:tcPr>
            <w:tcW w:w="1413" w:type="dxa"/>
          </w:tcPr>
          <w:p w14:paraId="45016DEF" w14:textId="77777777" w:rsidR="004831D8" w:rsidRPr="00103A49" w:rsidRDefault="004831D8" w:rsidP="00261E3E">
            <w:pPr>
              <w:rPr>
                <w:rFonts w:ascii="Times New Roman" w:eastAsia="Times New Roman" w:hAnsi="Times New Roman" w:cs="Times New Roman"/>
                <w:color w:val="000000"/>
                <w:sz w:val="20"/>
                <w:lang w:eastAsia="de-DE"/>
              </w:rPr>
            </w:pPr>
          </w:p>
        </w:tc>
        <w:tc>
          <w:tcPr>
            <w:tcW w:w="1389" w:type="dxa"/>
          </w:tcPr>
          <w:p w14:paraId="344A2029" w14:textId="07F10960" w:rsidR="004831D8" w:rsidRPr="00103A49" w:rsidRDefault="004831D8" w:rsidP="00261E3E">
            <w:pPr>
              <w:rPr>
                <w:rFonts w:ascii="Times New Roman" w:eastAsia="Times New Roman" w:hAnsi="Times New Roman" w:cs="Times New Roman"/>
                <w:color w:val="000000"/>
                <w:sz w:val="20"/>
                <w:lang w:eastAsia="de-DE"/>
              </w:rPr>
            </w:pPr>
          </w:p>
        </w:tc>
        <w:tc>
          <w:tcPr>
            <w:tcW w:w="2976" w:type="dxa"/>
            <w:gridSpan w:val="2"/>
          </w:tcPr>
          <w:p w14:paraId="1AC09CA3" w14:textId="77777777" w:rsidR="004831D8" w:rsidRPr="007226CD" w:rsidRDefault="004831D8" w:rsidP="00261E3E">
            <w:pPr>
              <w:jc w:val="center"/>
              <w:rPr>
                <w:rFonts w:ascii="Times New Roman" w:eastAsia="Times New Roman" w:hAnsi="Times New Roman" w:cs="Times New Roman"/>
                <w:b/>
                <w:bCs/>
                <w:color w:val="000000"/>
                <w:sz w:val="20"/>
                <w:lang w:eastAsia="de-DE"/>
              </w:rPr>
            </w:pPr>
            <w:proofErr w:type="spellStart"/>
            <w:r w:rsidRPr="007226CD">
              <w:rPr>
                <w:rFonts w:ascii="Times New Roman" w:eastAsia="Times New Roman" w:hAnsi="Times New Roman" w:cs="Times New Roman"/>
                <w:b/>
                <w:bCs/>
                <w:color w:val="000000"/>
                <w:sz w:val="20"/>
                <w:lang w:eastAsia="de-DE"/>
              </w:rPr>
              <w:t>Peakshaving</w:t>
            </w:r>
            <w:proofErr w:type="spellEnd"/>
          </w:p>
        </w:tc>
        <w:tc>
          <w:tcPr>
            <w:tcW w:w="2977" w:type="dxa"/>
            <w:gridSpan w:val="2"/>
          </w:tcPr>
          <w:p w14:paraId="6A45E796" w14:textId="77777777" w:rsidR="004831D8" w:rsidRPr="007226CD" w:rsidRDefault="004831D8" w:rsidP="00261E3E">
            <w:pPr>
              <w:jc w:val="center"/>
              <w:rPr>
                <w:rFonts w:ascii="Times New Roman" w:eastAsia="Times New Roman" w:hAnsi="Times New Roman" w:cs="Times New Roman"/>
                <w:b/>
                <w:bCs/>
                <w:color w:val="000000"/>
                <w:sz w:val="20"/>
                <w:lang w:eastAsia="de-DE"/>
              </w:rPr>
            </w:pPr>
            <w:proofErr w:type="spellStart"/>
            <w:r w:rsidRPr="007226CD">
              <w:rPr>
                <w:rFonts w:ascii="Times New Roman" w:eastAsia="Times New Roman" w:hAnsi="Times New Roman" w:cs="Times New Roman"/>
                <w:b/>
                <w:bCs/>
                <w:color w:val="000000"/>
                <w:sz w:val="20"/>
                <w:lang w:eastAsia="de-DE"/>
              </w:rPr>
              <w:t>Peakshifting</w:t>
            </w:r>
            <w:proofErr w:type="spellEnd"/>
          </w:p>
        </w:tc>
      </w:tr>
      <w:tr w:rsidR="004831D8" w:rsidRPr="00103A49" w14:paraId="10501653" w14:textId="77777777" w:rsidTr="00F329AF">
        <w:tc>
          <w:tcPr>
            <w:tcW w:w="1413" w:type="dxa"/>
          </w:tcPr>
          <w:p w14:paraId="42B34D6C" w14:textId="77777777" w:rsidR="004831D8" w:rsidRPr="00103A49" w:rsidRDefault="004831D8" w:rsidP="00261E3E">
            <w:pPr>
              <w:jc w:val="center"/>
              <w:rPr>
                <w:rFonts w:ascii="Times New Roman" w:eastAsia="Times New Roman" w:hAnsi="Times New Roman" w:cs="Times New Roman"/>
                <w:color w:val="000000"/>
                <w:sz w:val="20"/>
                <w:lang w:eastAsia="de-DE"/>
              </w:rPr>
            </w:pPr>
          </w:p>
        </w:tc>
        <w:tc>
          <w:tcPr>
            <w:tcW w:w="1389" w:type="dxa"/>
          </w:tcPr>
          <w:p w14:paraId="208E6F99" w14:textId="62E33D4B" w:rsidR="004831D8" w:rsidRPr="00103A49" w:rsidRDefault="004831D8" w:rsidP="00261E3E">
            <w:pPr>
              <w:jc w:val="center"/>
              <w:rPr>
                <w:rFonts w:ascii="Times New Roman" w:eastAsia="Times New Roman" w:hAnsi="Times New Roman" w:cs="Times New Roman"/>
                <w:color w:val="000000"/>
                <w:sz w:val="20"/>
                <w:lang w:eastAsia="de-DE"/>
              </w:rPr>
            </w:pPr>
          </w:p>
        </w:tc>
        <w:tc>
          <w:tcPr>
            <w:tcW w:w="1488" w:type="dxa"/>
          </w:tcPr>
          <w:p w14:paraId="135BFBDA" w14:textId="77777777" w:rsidR="004831D8" w:rsidRPr="00103A49" w:rsidRDefault="004831D8" w:rsidP="00261E3E">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Power</w:t>
            </w:r>
          </w:p>
        </w:tc>
        <w:tc>
          <w:tcPr>
            <w:tcW w:w="1488" w:type="dxa"/>
          </w:tcPr>
          <w:p w14:paraId="4AD9A7AC" w14:textId="77777777" w:rsidR="004831D8" w:rsidRPr="00103A49" w:rsidRDefault="004831D8" w:rsidP="00261E3E">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Return temperature</w:t>
            </w:r>
          </w:p>
        </w:tc>
        <w:tc>
          <w:tcPr>
            <w:tcW w:w="1488" w:type="dxa"/>
          </w:tcPr>
          <w:p w14:paraId="1B024448" w14:textId="77777777" w:rsidR="004831D8" w:rsidRPr="00103A49" w:rsidRDefault="004831D8" w:rsidP="00261E3E">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Power</w:t>
            </w:r>
          </w:p>
        </w:tc>
        <w:tc>
          <w:tcPr>
            <w:tcW w:w="1489" w:type="dxa"/>
          </w:tcPr>
          <w:p w14:paraId="41024CFB" w14:textId="77777777" w:rsidR="004831D8" w:rsidRPr="00103A49" w:rsidRDefault="004831D8" w:rsidP="00261E3E">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Return temperature</w:t>
            </w:r>
          </w:p>
        </w:tc>
      </w:tr>
      <w:tr w:rsidR="004831D8" w:rsidRPr="00103A49" w14:paraId="28151AD5" w14:textId="77777777" w:rsidTr="00F329AF">
        <w:tc>
          <w:tcPr>
            <w:tcW w:w="1413" w:type="dxa"/>
            <w:vMerge w:val="restart"/>
            <w:vAlign w:val="center"/>
          </w:tcPr>
          <w:p w14:paraId="573D34A9" w14:textId="77777777" w:rsidR="004831D8" w:rsidRDefault="004831D8" w:rsidP="004831D8">
            <w:pPr>
              <w:jc w:val="cente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Test year 1</w:t>
            </w:r>
          </w:p>
          <w:p w14:paraId="7641BCAF" w14:textId="5B4E32A0" w:rsidR="00E173AA" w:rsidRDefault="00E173AA" w:rsidP="004831D8">
            <w:pPr>
              <w:jc w:val="cente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211/88 MWh</w:t>
            </w:r>
          </w:p>
        </w:tc>
        <w:tc>
          <w:tcPr>
            <w:tcW w:w="1389" w:type="dxa"/>
          </w:tcPr>
          <w:p w14:paraId="6B751929" w14:textId="73AE06A4" w:rsidR="004831D8" w:rsidRPr="00103A49" w:rsidRDefault="004831D8" w:rsidP="00261E3E">
            <w:pPr>
              <w:jc w:val="cente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DHW tank</w:t>
            </w:r>
          </w:p>
        </w:tc>
        <w:tc>
          <w:tcPr>
            <w:tcW w:w="1488" w:type="dxa"/>
            <w:vAlign w:val="center"/>
          </w:tcPr>
          <w:p w14:paraId="06531DC7" w14:textId="77777777" w:rsidR="004831D8" w:rsidRPr="00103A49" w:rsidRDefault="004831D8"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2.1%</w:t>
            </w:r>
          </w:p>
        </w:tc>
        <w:tc>
          <w:tcPr>
            <w:tcW w:w="1488" w:type="dxa"/>
            <w:vAlign w:val="center"/>
          </w:tcPr>
          <w:p w14:paraId="3DAA13B7" w14:textId="77777777" w:rsidR="004831D8" w:rsidRPr="00103A49" w:rsidRDefault="004831D8"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0.7%</w:t>
            </w:r>
          </w:p>
        </w:tc>
        <w:tc>
          <w:tcPr>
            <w:tcW w:w="1488" w:type="dxa"/>
            <w:vAlign w:val="center"/>
          </w:tcPr>
          <w:p w14:paraId="40C324B4" w14:textId="77777777" w:rsidR="004831D8" w:rsidRPr="00103A49" w:rsidRDefault="004831D8"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6.2%</w:t>
            </w:r>
          </w:p>
        </w:tc>
        <w:tc>
          <w:tcPr>
            <w:tcW w:w="1489" w:type="dxa"/>
            <w:vAlign w:val="center"/>
          </w:tcPr>
          <w:p w14:paraId="1963E356" w14:textId="77777777" w:rsidR="004831D8" w:rsidRPr="00103A49" w:rsidRDefault="004831D8"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1.0%</w:t>
            </w:r>
          </w:p>
        </w:tc>
      </w:tr>
      <w:tr w:rsidR="004831D8" w:rsidRPr="00103A49" w14:paraId="14CE3A3F" w14:textId="77777777" w:rsidTr="00F329AF">
        <w:tc>
          <w:tcPr>
            <w:tcW w:w="1413" w:type="dxa"/>
            <w:vMerge/>
          </w:tcPr>
          <w:p w14:paraId="6D0D1A48" w14:textId="77777777" w:rsidR="004831D8" w:rsidRPr="00103A49" w:rsidRDefault="004831D8" w:rsidP="00261E3E">
            <w:pPr>
              <w:jc w:val="center"/>
              <w:rPr>
                <w:rFonts w:ascii="Times New Roman" w:eastAsia="Times New Roman" w:hAnsi="Times New Roman" w:cs="Times New Roman"/>
                <w:color w:val="000000"/>
                <w:sz w:val="20"/>
                <w:lang w:eastAsia="de-DE"/>
              </w:rPr>
            </w:pPr>
          </w:p>
        </w:tc>
        <w:tc>
          <w:tcPr>
            <w:tcW w:w="1389" w:type="dxa"/>
          </w:tcPr>
          <w:p w14:paraId="4CB326E2" w14:textId="52F07032" w:rsidR="004831D8" w:rsidRPr="00103A49" w:rsidRDefault="004831D8" w:rsidP="00261E3E">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Central Freshwater</w:t>
            </w:r>
          </w:p>
        </w:tc>
        <w:tc>
          <w:tcPr>
            <w:tcW w:w="1488" w:type="dxa"/>
            <w:vAlign w:val="center"/>
          </w:tcPr>
          <w:p w14:paraId="0FE78D36" w14:textId="77777777" w:rsidR="004831D8" w:rsidRPr="00103A49" w:rsidRDefault="004831D8"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2.8%</w:t>
            </w:r>
          </w:p>
        </w:tc>
        <w:tc>
          <w:tcPr>
            <w:tcW w:w="1488" w:type="dxa"/>
            <w:vAlign w:val="center"/>
          </w:tcPr>
          <w:p w14:paraId="412113AE" w14:textId="77777777" w:rsidR="004831D8" w:rsidRPr="00103A49" w:rsidRDefault="004831D8"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0.9%</w:t>
            </w:r>
          </w:p>
        </w:tc>
        <w:tc>
          <w:tcPr>
            <w:tcW w:w="1488" w:type="dxa"/>
            <w:vAlign w:val="center"/>
          </w:tcPr>
          <w:p w14:paraId="2CFCC37E" w14:textId="77777777" w:rsidR="004831D8" w:rsidRPr="00103A49" w:rsidRDefault="004831D8"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8.0%</w:t>
            </w:r>
          </w:p>
        </w:tc>
        <w:tc>
          <w:tcPr>
            <w:tcW w:w="1489" w:type="dxa"/>
            <w:vAlign w:val="center"/>
          </w:tcPr>
          <w:p w14:paraId="77E484F9" w14:textId="77777777" w:rsidR="004831D8" w:rsidRPr="00103A49" w:rsidRDefault="004831D8"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1.1%</w:t>
            </w:r>
          </w:p>
        </w:tc>
      </w:tr>
      <w:tr w:rsidR="00CA161A" w:rsidRPr="00103A49" w14:paraId="2B464E73" w14:textId="77777777" w:rsidTr="00F329AF">
        <w:tc>
          <w:tcPr>
            <w:tcW w:w="1413" w:type="dxa"/>
            <w:vMerge w:val="restart"/>
            <w:vAlign w:val="center"/>
          </w:tcPr>
          <w:p w14:paraId="28AE9437" w14:textId="77777777" w:rsidR="00CA161A" w:rsidRDefault="00CA161A" w:rsidP="00CA161A">
            <w:pPr>
              <w:jc w:val="cente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Test year 2</w:t>
            </w:r>
          </w:p>
          <w:p w14:paraId="1FFE3605" w14:textId="173D13A7" w:rsidR="00E173AA" w:rsidRPr="00103A49" w:rsidRDefault="00E173AA" w:rsidP="00CA161A">
            <w:pPr>
              <w:jc w:val="cente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354/43 MWh</w:t>
            </w:r>
          </w:p>
        </w:tc>
        <w:tc>
          <w:tcPr>
            <w:tcW w:w="1389" w:type="dxa"/>
          </w:tcPr>
          <w:p w14:paraId="766B1C14" w14:textId="1F4B4580" w:rsidR="00CA161A" w:rsidRPr="00103A49" w:rsidRDefault="00CA161A" w:rsidP="00CA161A">
            <w:pPr>
              <w:jc w:val="cente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DHW tank</w:t>
            </w:r>
          </w:p>
        </w:tc>
        <w:tc>
          <w:tcPr>
            <w:tcW w:w="1488" w:type="dxa"/>
            <w:vAlign w:val="center"/>
          </w:tcPr>
          <w:p w14:paraId="0621294D" w14:textId="3B348271"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3.8%</w:t>
            </w:r>
          </w:p>
        </w:tc>
        <w:tc>
          <w:tcPr>
            <w:tcW w:w="1488" w:type="dxa"/>
            <w:vAlign w:val="center"/>
          </w:tcPr>
          <w:p w14:paraId="413A102B" w14:textId="687D0D87"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0.9%</w:t>
            </w:r>
          </w:p>
        </w:tc>
        <w:tc>
          <w:tcPr>
            <w:tcW w:w="1488" w:type="dxa"/>
            <w:vAlign w:val="center"/>
          </w:tcPr>
          <w:p w14:paraId="6B8B0701" w14:textId="3F884BE1"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9.1%</w:t>
            </w:r>
          </w:p>
        </w:tc>
        <w:tc>
          <w:tcPr>
            <w:tcW w:w="1489" w:type="dxa"/>
            <w:vAlign w:val="center"/>
          </w:tcPr>
          <w:p w14:paraId="4F9892D8" w14:textId="6AD3D9A4"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1.9%</w:t>
            </w:r>
          </w:p>
        </w:tc>
      </w:tr>
      <w:tr w:rsidR="00CA161A" w:rsidRPr="00103A49" w14:paraId="6A2E0CE8" w14:textId="77777777" w:rsidTr="00F329AF">
        <w:tc>
          <w:tcPr>
            <w:tcW w:w="1413" w:type="dxa"/>
            <w:vMerge/>
          </w:tcPr>
          <w:p w14:paraId="433C4D6C" w14:textId="77777777" w:rsidR="00CA161A" w:rsidRPr="00103A49" w:rsidRDefault="00CA161A" w:rsidP="00CA161A">
            <w:pPr>
              <w:jc w:val="center"/>
              <w:rPr>
                <w:rFonts w:ascii="Times New Roman" w:eastAsia="Times New Roman" w:hAnsi="Times New Roman" w:cs="Times New Roman"/>
                <w:color w:val="000000"/>
                <w:sz w:val="20"/>
                <w:lang w:eastAsia="de-DE"/>
              </w:rPr>
            </w:pPr>
          </w:p>
        </w:tc>
        <w:tc>
          <w:tcPr>
            <w:tcW w:w="1389" w:type="dxa"/>
          </w:tcPr>
          <w:p w14:paraId="7B72F22F" w14:textId="25B5EF75" w:rsidR="00CA161A" w:rsidRPr="00103A49" w:rsidRDefault="00CA161A"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Central Freshwater</w:t>
            </w:r>
          </w:p>
        </w:tc>
        <w:tc>
          <w:tcPr>
            <w:tcW w:w="1488" w:type="dxa"/>
            <w:vAlign w:val="center"/>
          </w:tcPr>
          <w:p w14:paraId="03C1FFFF" w14:textId="207CE423"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3.3%</w:t>
            </w:r>
          </w:p>
        </w:tc>
        <w:tc>
          <w:tcPr>
            <w:tcW w:w="1488" w:type="dxa"/>
            <w:vAlign w:val="center"/>
          </w:tcPr>
          <w:p w14:paraId="4486841F" w14:textId="7248E25C"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1.0%</w:t>
            </w:r>
          </w:p>
        </w:tc>
        <w:tc>
          <w:tcPr>
            <w:tcW w:w="1488" w:type="dxa"/>
            <w:vAlign w:val="center"/>
          </w:tcPr>
          <w:p w14:paraId="778772B9" w14:textId="5C515FCA"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3.3%</w:t>
            </w:r>
          </w:p>
        </w:tc>
        <w:tc>
          <w:tcPr>
            <w:tcW w:w="1489" w:type="dxa"/>
            <w:vAlign w:val="center"/>
          </w:tcPr>
          <w:p w14:paraId="22491EC4" w14:textId="38D4A1EC"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1.0%</w:t>
            </w:r>
          </w:p>
        </w:tc>
      </w:tr>
      <w:tr w:rsidR="00CA161A" w:rsidRPr="00103A49" w14:paraId="17ABF3B7" w14:textId="77777777" w:rsidTr="00F329AF">
        <w:tc>
          <w:tcPr>
            <w:tcW w:w="1413" w:type="dxa"/>
            <w:vMerge w:val="restart"/>
            <w:vAlign w:val="center"/>
          </w:tcPr>
          <w:p w14:paraId="073988A0" w14:textId="77777777" w:rsidR="00CA161A" w:rsidRDefault="00CA161A" w:rsidP="00CA161A">
            <w:pPr>
              <w:jc w:val="cente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Test year 3</w:t>
            </w:r>
          </w:p>
          <w:p w14:paraId="0D4210D0" w14:textId="289E0643" w:rsidR="00E173AA" w:rsidRPr="00103A49" w:rsidRDefault="00E173AA" w:rsidP="00CA161A">
            <w:pPr>
              <w:jc w:val="cente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74/88 MWh</w:t>
            </w:r>
          </w:p>
        </w:tc>
        <w:tc>
          <w:tcPr>
            <w:tcW w:w="1389" w:type="dxa"/>
          </w:tcPr>
          <w:p w14:paraId="3A8BA779" w14:textId="3A6335D9" w:rsidR="00CA161A" w:rsidRPr="00103A49" w:rsidRDefault="00CA161A" w:rsidP="00CA161A">
            <w:pPr>
              <w:jc w:val="center"/>
              <w:rPr>
                <w:rFonts w:ascii="Times New Roman" w:eastAsia="Times New Roman" w:hAnsi="Times New Roman" w:cs="Times New Roman"/>
                <w:color w:val="000000"/>
                <w:sz w:val="20"/>
                <w:lang w:eastAsia="de-DE"/>
              </w:rPr>
            </w:pPr>
            <w:r>
              <w:rPr>
                <w:rFonts w:ascii="Times New Roman" w:eastAsia="Times New Roman" w:hAnsi="Times New Roman" w:cs="Times New Roman"/>
                <w:color w:val="000000"/>
                <w:sz w:val="20"/>
                <w:lang w:eastAsia="de-DE"/>
              </w:rPr>
              <w:t>DHW tank</w:t>
            </w:r>
          </w:p>
        </w:tc>
        <w:tc>
          <w:tcPr>
            <w:tcW w:w="1488" w:type="dxa"/>
            <w:vAlign w:val="center"/>
          </w:tcPr>
          <w:p w14:paraId="1AA4915F" w14:textId="250A590C"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2.6%</w:t>
            </w:r>
          </w:p>
        </w:tc>
        <w:tc>
          <w:tcPr>
            <w:tcW w:w="1488" w:type="dxa"/>
            <w:vAlign w:val="center"/>
          </w:tcPr>
          <w:p w14:paraId="366996C5" w14:textId="1906EFD0"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0.9%</w:t>
            </w:r>
          </w:p>
        </w:tc>
        <w:tc>
          <w:tcPr>
            <w:tcW w:w="1488" w:type="dxa"/>
            <w:vAlign w:val="center"/>
          </w:tcPr>
          <w:p w14:paraId="0BC9D252" w14:textId="366B5F01"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10.3%</w:t>
            </w:r>
          </w:p>
        </w:tc>
        <w:tc>
          <w:tcPr>
            <w:tcW w:w="1489" w:type="dxa"/>
            <w:vAlign w:val="center"/>
          </w:tcPr>
          <w:p w14:paraId="58964398" w14:textId="5028829A"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1.1%</w:t>
            </w:r>
          </w:p>
        </w:tc>
      </w:tr>
      <w:tr w:rsidR="00CA161A" w:rsidRPr="00103A49" w14:paraId="498AFA19" w14:textId="77777777" w:rsidTr="00F329AF">
        <w:tc>
          <w:tcPr>
            <w:tcW w:w="1413" w:type="dxa"/>
            <w:vMerge/>
          </w:tcPr>
          <w:p w14:paraId="3AB1709F" w14:textId="77777777" w:rsidR="00CA161A" w:rsidRPr="00103A49" w:rsidRDefault="00CA161A" w:rsidP="00CA161A">
            <w:pPr>
              <w:jc w:val="center"/>
              <w:rPr>
                <w:rFonts w:ascii="Times New Roman" w:eastAsia="Times New Roman" w:hAnsi="Times New Roman" w:cs="Times New Roman"/>
                <w:color w:val="000000"/>
                <w:sz w:val="20"/>
                <w:lang w:eastAsia="de-DE"/>
              </w:rPr>
            </w:pPr>
          </w:p>
        </w:tc>
        <w:tc>
          <w:tcPr>
            <w:tcW w:w="1389" w:type="dxa"/>
          </w:tcPr>
          <w:p w14:paraId="443A65FE" w14:textId="0B159B67" w:rsidR="00CA161A" w:rsidRPr="00103A49" w:rsidRDefault="00CA161A" w:rsidP="00CA161A">
            <w:pPr>
              <w:jc w:val="center"/>
              <w:rPr>
                <w:rFonts w:ascii="Times New Roman" w:eastAsia="Times New Roman" w:hAnsi="Times New Roman" w:cs="Times New Roman"/>
                <w:color w:val="000000"/>
                <w:sz w:val="20"/>
                <w:lang w:eastAsia="de-DE"/>
              </w:rPr>
            </w:pPr>
            <w:r w:rsidRPr="00103A49">
              <w:rPr>
                <w:rFonts w:ascii="Times New Roman" w:eastAsia="Times New Roman" w:hAnsi="Times New Roman" w:cs="Times New Roman"/>
                <w:color w:val="000000"/>
                <w:sz w:val="20"/>
                <w:lang w:eastAsia="de-DE"/>
              </w:rPr>
              <w:t>Central Freshwater</w:t>
            </w:r>
          </w:p>
        </w:tc>
        <w:tc>
          <w:tcPr>
            <w:tcW w:w="1488" w:type="dxa"/>
            <w:vAlign w:val="center"/>
          </w:tcPr>
          <w:p w14:paraId="0F67A023" w14:textId="3A2AB8DB"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4.0%</w:t>
            </w:r>
          </w:p>
        </w:tc>
        <w:tc>
          <w:tcPr>
            <w:tcW w:w="1488" w:type="dxa"/>
            <w:vAlign w:val="center"/>
          </w:tcPr>
          <w:p w14:paraId="1577108C" w14:textId="14028F8A"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0.9%</w:t>
            </w:r>
          </w:p>
        </w:tc>
        <w:tc>
          <w:tcPr>
            <w:tcW w:w="1488" w:type="dxa"/>
            <w:vAlign w:val="center"/>
          </w:tcPr>
          <w:p w14:paraId="13C27652" w14:textId="3D273499"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4.0%</w:t>
            </w:r>
          </w:p>
        </w:tc>
        <w:tc>
          <w:tcPr>
            <w:tcW w:w="1489" w:type="dxa"/>
            <w:vAlign w:val="center"/>
          </w:tcPr>
          <w:p w14:paraId="2641E8C1" w14:textId="2419A594" w:rsidR="00CA161A" w:rsidRPr="00103A49" w:rsidRDefault="00CA161A" w:rsidP="00CA161A">
            <w:pPr>
              <w:jc w:val="center"/>
              <w:rPr>
                <w:rFonts w:ascii="Times New Roman" w:eastAsia="Times New Roman" w:hAnsi="Times New Roman" w:cs="Times New Roman"/>
                <w:color w:val="000000"/>
                <w:sz w:val="20"/>
                <w:lang w:eastAsia="de-DE"/>
              </w:rPr>
            </w:pPr>
            <w:r w:rsidRPr="00CA161A">
              <w:rPr>
                <w:rFonts w:ascii="Times New Roman" w:eastAsia="Times New Roman" w:hAnsi="Times New Roman" w:cs="Times New Roman"/>
                <w:color w:val="000000"/>
                <w:sz w:val="20"/>
                <w:lang w:eastAsia="de-DE"/>
              </w:rPr>
              <w:t>1.1%</w:t>
            </w:r>
          </w:p>
        </w:tc>
      </w:tr>
    </w:tbl>
    <w:p w14:paraId="678E4870" w14:textId="4AA2792B" w:rsidR="004679C0" w:rsidRDefault="004679C0" w:rsidP="004679C0">
      <w:pPr>
        <w:jc w:val="both"/>
        <w:rPr>
          <w:rFonts w:ascii="Times New Roman" w:eastAsia="Times New Roman" w:hAnsi="Times New Roman" w:cs="Times New Roman"/>
          <w:color w:val="000000"/>
          <w:sz w:val="20"/>
          <w:lang w:eastAsia="de-DE"/>
        </w:rPr>
      </w:pPr>
    </w:p>
    <w:p w14:paraId="1D38A0E4" w14:textId="4283FFD2" w:rsidR="005C2BBF" w:rsidRDefault="005C2BBF" w:rsidP="005C2BBF">
      <w:pPr>
        <w:jc w:val="both"/>
        <w:rPr>
          <w:rFonts w:ascii="Times New Roman" w:eastAsia="Times New Roman" w:hAnsi="Times New Roman" w:cs="Times New Roman"/>
          <w:color w:val="000000"/>
          <w:sz w:val="20"/>
          <w:lang w:eastAsia="de-DE"/>
        </w:rPr>
      </w:pPr>
      <w:r w:rsidRPr="005C2BBF">
        <w:rPr>
          <w:rFonts w:ascii="Times New Roman" w:eastAsia="Times New Roman" w:hAnsi="Times New Roman" w:cs="Times New Roman"/>
          <w:color w:val="000000"/>
          <w:sz w:val="20"/>
          <w:lang w:eastAsia="de-DE"/>
        </w:rPr>
        <w:t>The quantitative prediction performance for all investigated hydraulic configurations and charging strategies is summarized in Table 2. For the peak-shaving strategy, the TFT achieves excellent prediction accuracy for all three test years. The MAPE of the thermal power prediction ranges from 2.1% to 4.0%, while the return temperature is predicted with errors between 0.7% and 1.0%. These low prediction errors demonstrate that the comparatively smooth operating behavior generated by the peak-shaving controller can be represented reliably by the neural network. Since the charging strategy suppresses abrupt charging events and distributes the charging process more evenly over time, the resulting temporal patterns are comparatively easy to learn.</w:t>
      </w:r>
      <w:r>
        <w:rPr>
          <w:rFonts w:ascii="Times New Roman" w:eastAsia="Times New Roman" w:hAnsi="Times New Roman" w:cs="Times New Roman"/>
          <w:color w:val="000000"/>
          <w:sz w:val="20"/>
          <w:lang w:eastAsia="de-DE"/>
        </w:rPr>
        <w:t xml:space="preserve"> </w:t>
      </w:r>
      <w:r w:rsidRPr="005C2BBF">
        <w:rPr>
          <w:rFonts w:ascii="Times New Roman" w:eastAsia="Times New Roman" w:hAnsi="Times New Roman" w:cs="Times New Roman"/>
          <w:color w:val="000000"/>
          <w:sz w:val="20"/>
          <w:lang w:eastAsia="de-DE"/>
        </w:rPr>
        <w:t>For the peak-shifting strategy, prediction errors increase, particularly for the thermal power. Depending on the hydraulic configuration and test year, the MAPE ranges between 3.3% and 10.3%. This behavior is expected because the peak-shifting controller intentionally introduces stronger temporal dynamics and steeper load gradients. During the charging windows, additional heat is supplied to the storage, while during the discharging windows the charging rate is intentionally reduced. These rapid changes create more complex temporal relationships, making the prediction task considerably more challenging than for the peak-shaving strategy.</w:t>
      </w:r>
      <w:r>
        <w:rPr>
          <w:rFonts w:ascii="Times New Roman" w:eastAsia="Times New Roman" w:hAnsi="Times New Roman" w:cs="Times New Roman"/>
          <w:color w:val="000000"/>
          <w:sz w:val="20"/>
          <w:lang w:eastAsia="de-DE"/>
        </w:rPr>
        <w:t xml:space="preserve"> </w:t>
      </w:r>
      <w:r w:rsidRPr="005C2BBF">
        <w:rPr>
          <w:rFonts w:ascii="Times New Roman" w:eastAsia="Times New Roman" w:hAnsi="Times New Roman" w:cs="Times New Roman"/>
          <w:color w:val="000000"/>
          <w:sz w:val="20"/>
          <w:lang w:eastAsia="de-DE"/>
        </w:rPr>
        <w:t xml:space="preserve">Despite these increased dynamics, the prediction accuracy remains sufficiently high for practical applications in </w:t>
      </w:r>
      <w:r w:rsidR="00EA2C65">
        <w:rPr>
          <w:rFonts w:ascii="Times New Roman" w:eastAsia="Times New Roman" w:hAnsi="Times New Roman" w:cs="Times New Roman"/>
          <w:color w:val="000000"/>
          <w:sz w:val="20"/>
          <w:lang w:eastAsia="de-DE"/>
        </w:rPr>
        <w:t>DH</w:t>
      </w:r>
      <w:r w:rsidRPr="005C2BBF">
        <w:rPr>
          <w:rFonts w:ascii="Times New Roman" w:eastAsia="Times New Roman" w:hAnsi="Times New Roman" w:cs="Times New Roman"/>
          <w:color w:val="000000"/>
          <w:sz w:val="20"/>
          <w:lang w:eastAsia="de-DE"/>
        </w:rPr>
        <w:t xml:space="preserve"> </w:t>
      </w:r>
      <w:r w:rsidR="00E173AA">
        <w:rPr>
          <w:rFonts w:ascii="Times New Roman" w:eastAsia="Times New Roman" w:hAnsi="Times New Roman" w:cs="Times New Roman"/>
          <w:color w:val="000000"/>
          <w:sz w:val="20"/>
          <w:lang w:eastAsia="de-DE"/>
        </w:rPr>
        <w:t xml:space="preserve">network </w:t>
      </w:r>
      <w:r w:rsidRPr="005C2BBF">
        <w:rPr>
          <w:rFonts w:ascii="Times New Roman" w:eastAsia="Times New Roman" w:hAnsi="Times New Roman" w:cs="Times New Roman"/>
          <w:color w:val="000000"/>
          <w:sz w:val="20"/>
          <w:lang w:eastAsia="de-DE"/>
        </w:rPr>
        <w:t xml:space="preserve">simulations and optimization environments. Even the highest observed MAPE of 10.3% occurs only for one individual test year, whereas the remaining results are substantially lower. Furthermore, no systematic prediction bias can be observed, indicating that the model generalizes well across different </w:t>
      </w:r>
      <w:r w:rsidR="00EA2C65">
        <w:rPr>
          <w:rFonts w:ascii="Times New Roman" w:eastAsia="Times New Roman" w:hAnsi="Times New Roman" w:cs="Times New Roman"/>
          <w:color w:val="000000"/>
          <w:sz w:val="20"/>
          <w:lang w:eastAsia="de-DE"/>
        </w:rPr>
        <w:t>heat loads</w:t>
      </w:r>
      <w:r w:rsidRPr="005C2BBF">
        <w:rPr>
          <w:rFonts w:ascii="Times New Roman" w:eastAsia="Times New Roman" w:hAnsi="Times New Roman" w:cs="Times New Roman"/>
          <w:color w:val="000000"/>
          <w:sz w:val="20"/>
          <w:lang w:eastAsia="de-DE"/>
        </w:rPr>
        <w:t>.</w:t>
      </w:r>
    </w:p>
    <w:p w14:paraId="12F5E1FD" w14:textId="255BEB9B" w:rsidR="005C2BBF" w:rsidRPr="005C2BBF" w:rsidRDefault="005C2BBF" w:rsidP="005C2BBF">
      <w:pPr>
        <w:jc w:val="both"/>
        <w:rPr>
          <w:rFonts w:ascii="Times New Roman" w:eastAsia="Times New Roman" w:hAnsi="Times New Roman" w:cs="Times New Roman"/>
          <w:color w:val="000000"/>
          <w:sz w:val="20"/>
          <w:lang w:eastAsia="de-DE"/>
        </w:rPr>
      </w:pPr>
      <w:r w:rsidRPr="005C2BBF">
        <w:rPr>
          <w:rFonts w:ascii="Times New Roman" w:eastAsia="Times New Roman" w:hAnsi="Times New Roman" w:cs="Times New Roman"/>
          <w:color w:val="000000"/>
          <w:sz w:val="20"/>
          <w:lang w:eastAsia="de-DE"/>
        </w:rPr>
        <w:t xml:space="preserve">The return temperature prediction remains consistently accurate for all investigated scenarios. Across all hydraulic configurations, charging strategies and test years, the MAPE remains between 0.7% and 1.9%. The considerably lower prediction errors compared to the thermal power suggest that the thermal state of the hydraulic system evolves more continuously than the instantaneous thermal power. While the substation power </w:t>
      </w:r>
      <w:r w:rsidRPr="005C2BBF">
        <w:rPr>
          <w:rFonts w:ascii="Times New Roman" w:eastAsia="Times New Roman" w:hAnsi="Times New Roman" w:cs="Times New Roman"/>
          <w:color w:val="000000"/>
          <w:sz w:val="20"/>
          <w:lang w:eastAsia="de-DE"/>
        </w:rPr>
        <w:lastRenderedPageBreak/>
        <w:t xml:space="preserve">is directly influenced by highly stochastic </w:t>
      </w:r>
      <w:r w:rsidR="00EA2C65">
        <w:rPr>
          <w:rFonts w:ascii="Times New Roman" w:eastAsia="Times New Roman" w:hAnsi="Times New Roman" w:cs="Times New Roman"/>
          <w:color w:val="000000"/>
          <w:sz w:val="20"/>
          <w:lang w:eastAsia="de-DE"/>
        </w:rPr>
        <w:t>DHW</w:t>
      </w:r>
      <w:r w:rsidRPr="005C2BBF">
        <w:rPr>
          <w:rFonts w:ascii="Times New Roman" w:eastAsia="Times New Roman" w:hAnsi="Times New Roman" w:cs="Times New Roman"/>
          <w:color w:val="000000"/>
          <w:sz w:val="20"/>
          <w:lang w:eastAsia="de-DE"/>
        </w:rPr>
        <w:t xml:space="preserve"> consumption, the return temperature is </w:t>
      </w:r>
      <w:r w:rsidR="00EA2C65">
        <w:rPr>
          <w:rFonts w:ascii="Times New Roman" w:eastAsia="Times New Roman" w:hAnsi="Times New Roman" w:cs="Times New Roman"/>
          <w:color w:val="000000"/>
          <w:sz w:val="20"/>
          <w:lang w:eastAsia="de-DE"/>
        </w:rPr>
        <w:t xml:space="preserve">dependent on the layering in the buffer and DHW tank and on the </w:t>
      </w:r>
      <w:r w:rsidR="00E461BA">
        <w:rPr>
          <w:rFonts w:ascii="Times New Roman" w:eastAsia="Times New Roman" w:hAnsi="Times New Roman" w:cs="Times New Roman"/>
          <w:color w:val="000000"/>
          <w:sz w:val="20"/>
          <w:lang w:eastAsia="de-DE"/>
        </w:rPr>
        <w:t>return from the heat distribution system.</w:t>
      </w:r>
    </w:p>
    <w:p w14:paraId="6E679C59" w14:textId="7F08AAF4" w:rsidR="004679C0" w:rsidRDefault="005C2BBF" w:rsidP="004679C0">
      <w:pPr>
        <w:jc w:val="both"/>
        <w:rPr>
          <w:rFonts w:ascii="Times New Roman" w:eastAsia="Times New Roman" w:hAnsi="Times New Roman" w:cs="Times New Roman"/>
          <w:color w:val="000000"/>
          <w:sz w:val="20"/>
          <w:lang w:eastAsia="de-DE"/>
        </w:rPr>
      </w:pPr>
      <w:r w:rsidRPr="005C2BBF">
        <w:rPr>
          <w:rFonts w:ascii="Times New Roman" w:eastAsia="Times New Roman" w:hAnsi="Times New Roman" w:cs="Times New Roman"/>
          <w:color w:val="000000"/>
          <w:sz w:val="20"/>
          <w:lang w:eastAsia="de-DE"/>
        </w:rPr>
        <w:t xml:space="preserve">The influence of the hydraulic configuration on the prediction accuracy is less pronounced than the influence of the charging strategy. For the first test year, the configuration with the DHW storage tank achieves slightly lower prediction errors than the centralized fresh water unit for both target variables. This behavior is plausible because the </w:t>
      </w:r>
      <w:r w:rsidR="00E461BA">
        <w:rPr>
          <w:rFonts w:ascii="Times New Roman" w:eastAsia="Times New Roman" w:hAnsi="Times New Roman" w:cs="Times New Roman"/>
          <w:color w:val="000000"/>
          <w:sz w:val="20"/>
          <w:lang w:eastAsia="de-DE"/>
        </w:rPr>
        <w:t>buffer tank</w:t>
      </w:r>
      <w:r w:rsidRPr="005C2BBF">
        <w:rPr>
          <w:rFonts w:ascii="Times New Roman" w:eastAsia="Times New Roman" w:hAnsi="Times New Roman" w:cs="Times New Roman"/>
          <w:color w:val="000000"/>
          <w:sz w:val="20"/>
          <w:lang w:eastAsia="de-DE"/>
        </w:rPr>
        <w:t xml:space="preserve"> </w:t>
      </w:r>
      <w:r w:rsidR="00E461BA">
        <w:rPr>
          <w:rFonts w:ascii="Times New Roman" w:eastAsia="Times New Roman" w:hAnsi="Times New Roman" w:cs="Times New Roman"/>
          <w:color w:val="000000"/>
          <w:sz w:val="20"/>
          <w:lang w:eastAsia="de-DE"/>
        </w:rPr>
        <w:t>dampens</w:t>
      </w:r>
      <w:r w:rsidRPr="005C2BBF">
        <w:rPr>
          <w:rFonts w:ascii="Times New Roman" w:eastAsia="Times New Roman" w:hAnsi="Times New Roman" w:cs="Times New Roman"/>
          <w:color w:val="000000"/>
          <w:sz w:val="20"/>
          <w:lang w:eastAsia="de-DE"/>
        </w:rPr>
        <w:t xml:space="preserve"> sh</w:t>
      </w:r>
      <w:r w:rsidR="00E461BA">
        <w:rPr>
          <w:rFonts w:ascii="Times New Roman" w:eastAsia="Times New Roman" w:hAnsi="Times New Roman" w:cs="Times New Roman"/>
          <w:color w:val="000000"/>
          <w:sz w:val="20"/>
          <w:lang w:eastAsia="de-DE"/>
        </w:rPr>
        <w:t>ort-term load</w:t>
      </w:r>
      <w:r w:rsidRPr="005C2BBF">
        <w:rPr>
          <w:rFonts w:ascii="Times New Roman" w:eastAsia="Times New Roman" w:hAnsi="Times New Roman" w:cs="Times New Roman"/>
          <w:color w:val="000000"/>
          <w:sz w:val="20"/>
          <w:lang w:eastAsia="de-DE"/>
        </w:rPr>
        <w:t xml:space="preserve"> peaks before they reach the </w:t>
      </w:r>
      <w:r w:rsidR="00E461BA">
        <w:rPr>
          <w:rFonts w:ascii="Times New Roman" w:eastAsia="Times New Roman" w:hAnsi="Times New Roman" w:cs="Times New Roman"/>
          <w:color w:val="000000"/>
          <w:sz w:val="20"/>
          <w:lang w:eastAsia="de-DE"/>
        </w:rPr>
        <w:t>DH</w:t>
      </w:r>
      <w:r w:rsidRPr="005C2BBF">
        <w:rPr>
          <w:rFonts w:ascii="Times New Roman" w:eastAsia="Times New Roman" w:hAnsi="Times New Roman" w:cs="Times New Roman"/>
          <w:color w:val="000000"/>
          <w:sz w:val="20"/>
          <w:lang w:eastAsia="de-DE"/>
        </w:rPr>
        <w:t xml:space="preserve"> substation, resulting in smoother power and temperature profiles. In contrast, the centralized fresh water unit transfers </w:t>
      </w:r>
      <w:r w:rsidR="00E461BA">
        <w:rPr>
          <w:rFonts w:ascii="Times New Roman" w:eastAsia="Times New Roman" w:hAnsi="Times New Roman" w:cs="Times New Roman"/>
          <w:color w:val="000000"/>
          <w:sz w:val="20"/>
          <w:lang w:eastAsia="de-DE"/>
        </w:rPr>
        <w:t>load peaks, especially from SH,</w:t>
      </w:r>
      <w:r w:rsidRPr="005C2BBF">
        <w:rPr>
          <w:rFonts w:ascii="Times New Roman" w:eastAsia="Times New Roman" w:hAnsi="Times New Roman" w:cs="Times New Roman"/>
          <w:color w:val="000000"/>
          <w:sz w:val="20"/>
          <w:lang w:eastAsia="de-DE"/>
        </w:rPr>
        <w:t xml:space="preserve"> almost directly to the substation, producing steeper gradients and stronger short-term fluctuations.</w:t>
      </w:r>
      <w:r>
        <w:rPr>
          <w:rFonts w:ascii="Times New Roman" w:eastAsia="Times New Roman" w:hAnsi="Times New Roman" w:cs="Times New Roman"/>
          <w:color w:val="000000"/>
          <w:sz w:val="20"/>
          <w:lang w:eastAsia="de-DE"/>
        </w:rPr>
        <w:t xml:space="preserve"> </w:t>
      </w:r>
      <w:r w:rsidRPr="005C2BBF">
        <w:rPr>
          <w:rFonts w:ascii="Times New Roman" w:eastAsia="Times New Roman" w:hAnsi="Times New Roman" w:cs="Times New Roman"/>
          <w:color w:val="000000"/>
          <w:sz w:val="20"/>
          <w:lang w:eastAsia="de-DE"/>
        </w:rPr>
        <w:t xml:space="preserve">However, this tendency is not observed consistently for all three test years. While the </w:t>
      </w:r>
      <w:r w:rsidR="00E461BA">
        <w:rPr>
          <w:rFonts w:ascii="Times New Roman" w:eastAsia="Times New Roman" w:hAnsi="Times New Roman" w:cs="Times New Roman"/>
          <w:color w:val="000000"/>
          <w:sz w:val="20"/>
          <w:lang w:eastAsia="de-DE"/>
        </w:rPr>
        <w:t xml:space="preserve">prediction model for the </w:t>
      </w:r>
      <w:r w:rsidRPr="005C2BBF">
        <w:rPr>
          <w:rFonts w:ascii="Times New Roman" w:eastAsia="Times New Roman" w:hAnsi="Times New Roman" w:cs="Times New Roman"/>
          <w:color w:val="000000"/>
          <w:sz w:val="20"/>
          <w:lang w:eastAsia="de-DE"/>
        </w:rPr>
        <w:t xml:space="preserve">DHW tank configuration performs better in some cases, the centralized fresh water unit achieves lower prediction errors for the peak-shifting strategy in </w:t>
      </w:r>
      <w:r w:rsidR="00BE71AA">
        <w:rPr>
          <w:rFonts w:ascii="Times New Roman" w:eastAsia="Times New Roman" w:hAnsi="Times New Roman" w:cs="Times New Roman"/>
          <w:color w:val="000000"/>
          <w:sz w:val="20"/>
          <w:lang w:eastAsia="de-DE"/>
        </w:rPr>
        <w:t>t</w:t>
      </w:r>
      <w:r w:rsidRPr="005C2BBF">
        <w:rPr>
          <w:rFonts w:ascii="Times New Roman" w:eastAsia="Times New Roman" w:hAnsi="Times New Roman" w:cs="Times New Roman"/>
          <w:color w:val="000000"/>
          <w:sz w:val="20"/>
          <w:lang w:eastAsia="de-DE"/>
        </w:rPr>
        <w:t xml:space="preserve">est </w:t>
      </w:r>
      <w:r w:rsidR="00BE71AA">
        <w:rPr>
          <w:rFonts w:ascii="Times New Roman" w:eastAsia="Times New Roman" w:hAnsi="Times New Roman" w:cs="Times New Roman"/>
          <w:color w:val="000000"/>
          <w:sz w:val="20"/>
          <w:lang w:eastAsia="de-DE"/>
        </w:rPr>
        <w:t>y</w:t>
      </w:r>
      <w:r w:rsidRPr="005C2BBF">
        <w:rPr>
          <w:rFonts w:ascii="Times New Roman" w:eastAsia="Times New Roman" w:hAnsi="Times New Roman" w:cs="Times New Roman"/>
          <w:color w:val="000000"/>
          <w:sz w:val="20"/>
          <w:lang w:eastAsia="de-DE"/>
        </w:rPr>
        <w:t>ears 2 and 3. These results indicate that the prediction performance depends not only on the hydraulic configuration itself but also on the specific demand characteristics of the respective test year. Nevertheless, the prediction errors remain within a comparatively narrow range for both hydraulic concepts, demonstrating that the proposed TFT architecture is sufficiently robust to represent both building configurations</w:t>
      </w:r>
      <w:r w:rsidR="00E461BA">
        <w:rPr>
          <w:rFonts w:ascii="Times New Roman" w:eastAsia="Times New Roman" w:hAnsi="Times New Roman" w:cs="Times New Roman"/>
          <w:color w:val="000000"/>
          <w:sz w:val="20"/>
          <w:lang w:eastAsia="de-DE"/>
        </w:rPr>
        <w:t>.</w:t>
      </w:r>
    </w:p>
    <w:p w14:paraId="6C23721C" w14:textId="77777777" w:rsidR="001422EE" w:rsidRDefault="001422EE" w:rsidP="004679C0">
      <w:pPr>
        <w:jc w:val="both"/>
        <w:rPr>
          <w:rFonts w:ascii="Times New Roman" w:eastAsia="Times New Roman" w:hAnsi="Times New Roman" w:cs="Times New Roman"/>
          <w:color w:val="000000"/>
          <w:sz w:val="20"/>
          <w:lang w:eastAsia="de-DE"/>
        </w:rPr>
      </w:pPr>
    </w:p>
    <w:p w14:paraId="49A712BC" w14:textId="1B23F6D5" w:rsidR="001422EE" w:rsidRPr="001422EE" w:rsidRDefault="001422EE" w:rsidP="001422EE">
      <w:pPr>
        <w:pStyle w:val="Listenabsatz"/>
        <w:numPr>
          <w:ilvl w:val="0"/>
          <w:numId w:val="1"/>
        </w:numPr>
        <w:jc w:val="center"/>
        <w:rPr>
          <w:rFonts w:ascii="Arial" w:eastAsia="Times New Roman" w:hAnsi="Arial" w:cs="Times New Roman"/>
          <w:b/>
          <w:color w:val="000000"/>
          <w:sz w:val="20"/>
          <w:szCs w:val="24"/>
          <w:lang w:eastAsia="de-DE"/>
        </w:rPr>
      </w:pPr>
      <w:r w:rsidRPr="001422EE">
        <w:rPr>
          <w:rFonts w:ascii="Arial" w:eastAsia="Times New Roman" w:hAnsi="Arial" w:cs="Times New Roman"/>
          <w:b/>
          <w:color w:val="000000"/>
          <w:sz w:val="20"/>
          <w:szCs w:val="24"/>
          <w:lang w:eastAsia="de-DE"/>
        </w:rPr>
        <w:t>Discussion</w:t>
      </w:r>
    </w:p>
    <w:p w14:paraId="1153719D" w14:textId="669E5E9B" w:rsidR="00B6056B" w:rsidRPr="00B6056B" w:rsidRDefault="00B6056B" w:rsidP="00B6056B">
      <w:pPr>
        <w:jc w:val="both"/>
        <w:rPr>
          <w:rFonts w:ascii="Times New Roman" w:eastAsia="Times New Roman" w:hAnsi="Times New Roman" w:cs="Times New Roman"/>
          <w:color w:val="000000"/>
          <w:sz w:val="20"/>
          <w:lang w:eastAsia="de-DE"/>
        </w:rPr>
      </w:pPr>
      <w:r w:rsidRPr="00B6056B">
        <w:rPr>
          <w:rFonts w:ascii="Times New Roman" w:eastAsia="Times New Roman" w:hAnsi="Times New Roman" w:cs="Times New Roman"/>
          <w:color w:val="000000"/>
          <w:sz w:val="20"/>
          <w:lang w:eastAsia="de-DE"/>
        </w:rPr>
        <w:t xml:space="preserve">The presented results demonstrate that the proposed charging strategies and prediction models are suitable for representing consumer-side flexibility of decentralized buffer storages while maintaining a </w:t>
      </w:r>
      <w:r w:rsidR="006B544F">
        <w:rPr>
          <w:rFonts w:ascii="Times New Roman" w:eastAsia="Times New Roman" w:hAnsi="Times New Roman" w:cs="Times New Roman"/>
          <w:color w:val="000000"/>
          <w:sz w:val="20"/>
          <w:lang w:eastAsia="de-DE"/>
        </w:rPr>
        <w:t xml:space="preserve">sufficient </w:t>
      </w:r>
      <w:r w:rsidRPr="00B6056B">
        <w:rPr>
          <w:rFonts w:ascii="Times New Roman" w:eastAsia="Times New Roman" w:hAnsi="Times New Roman" w:cs="Times New Roman"/>
          <w:color w:val="000000"/>
          <w:sz w:val="20"/>
          <w:lang w:eastAsia="de-DE"/>
        </w:rPr>
        <w:t xml:space="preserve">high prediction accuracy. </w:t>
      </w:r>
      <w:r w:rsidR="001422EE" w:rsidRPr="001422EE">
        <w:rPr>
          <w:rFonts w:ascii="Times New Roman" w:eastAsia="Times New Roman" w:hAnsi="Times New Roman" w:cs="Times New Roman"/>
          <w:color w:val="000000"/>
          <w:sz w:val="20"/>
          <w:lang w:eastAsia="de-DE"/>
        </w:rPr>
        <w:t>While the peak-shaving strategy primarily reduces short-term thermal power peaks, the peak-shifting strategy intentionally redistributes thermal loads to predefined periods of lower network utilization. Consequently, the appropriate strategy can be selected depending on the current operational requirements of the district heating network. The corresponding TFT surrogate model then provides the resulting substation power and return temperature profiles for the selected charging strategy, enabling its integration into network-level simulation and optimization.</w:t>
      </w:r>
      <w:r w:rsidR="001422EE">
        <w:rPr>
          <w:rFonts w:ascii="Times New Roman" w:eastAsia="Times New Roman" w:hAnsi="Times New Roman" w:cs="Times New Roman"/>
          <w:color w:val="000000"/>
          <w:sz w:val="20"/>
          <w:lang w:eastAsia="de-DE"/>
        </w:rPr>
        <w:t xml:space="preserve"> </w:t>
      </w:r>
      <w:r w:rsidRPr="00B6056B">
        <w:rPr>
          <w:rFonts w:ascii="Times New Roman" w:eastAsia="Times New Roman" w:hAnsi="Times New Roman" w:cs="Times New Roman"/>
          <w:color w:val="000000"/>
          <w:sz w:val="20"/>
          <w:lang w:eastAsia="de-DE"/>
        </w:rPr>
        <w:t xml:space="preserve">In particular, the TFT models accurately reproduce both the thermal power and the return temperature for </w:t>
      </w:r>
      <w:r w:rsidR="001422EE">
        <w:rPr>
          <w:rFonts w:ascii="Times New Roman" w:eastAsia="Times New Roman" w:hAnsi="Times New Roman" w:cs="Times New Roman"/>
          <w:color w:val="000000"/>
          <w:sz w:val="20"/>
          <w:lang w:eastAsia="de-DE"/>
        </w:rPr>
        <w:t>the two</w:t>
      </w:r>
      <w:r w:rsidRPr="00B6056B">
        <w:rPr>
          <w:rFonts w:ascii="Times New Roman" w:eastAsia="Times New Roman" w:hAnsi="Times New Roman" w:cs="Times New Roman"/>
          <w:color w:val="000000"/>
          <w:sz w:val="20"/>
          <w:lang w:eastAsia="de-DE"/>
        </w:rPr>
        <w:t xml:space="preserve"> hydraulic concepts and charging strategies, making them promising surrogate models for </w:t>
      </w:r>
      <w:r w:rsidR="001422EE">
        <w:rPr>
          <w:rFonts w:ascii="Times New Roman" w:eastAsia="Times New Roman" w:hAnsi="Times New Roman" w:cs="Times New Roman"/>
          <w:color w:val="000000"/>
          <w:sz w:val="20"/>
          <w:lang w:eastAsia="de-DE"/>
        </w:rPr>
        <w:t>substation profiles</w:t>
      </w:r>
      <w:r w:rsidRPr="00B6056B">
        <w:rPr>
          <w:rFonts w:ascii="Times New Roman" w:eastAsia="Times New Roman" w:hAnsi="Times New Roman" w:cs="Times New Roman"/>
          <w:color w:val="000000"/>
          <w:sz w:val="20"/>
          <w:lang w:eastAsia="de-DE"/>
        </w:rPr>
        <w:t xml:space="preserve">. </w:t>
      </w:r>
      <w:r w:rsidR="001422EE">
        <w:rPr>
          <w:rFonts w:ascii="Times New Roman" w:eastAsia="Times New Roman" w:hAnsi="Times New Roman" w:cs="Times New Roman"/>
          <w:color w:val="000000"/>
          <w:sz w:val="20"/>
          <w:lang w:eastAsia="de-DE"/>
        </w:rPr>
        <w:t>T</w:t>
      </w:r>
      <w:r w:rsidRPr="00B6056B">
        <w:rPr>
          <w:rFonts w:ascii="Times New Roman" w:eastAsia="Times New Roman" w:hAnsi="Times New Roman" w:cs="Times New Roman"/>
          <w:color w:val="000000"/>
          <w:sz w:val="20"/>
          <w:lang w:eastAsia="de-DE"/>
        </w:rPr>
        <w:t>he computational effort of the TFT models is higher than that of simpler data-driven approaches investigated in previous work, the prediction of one simulation year requires approximately 80 s. This runtime is still well suited for automated simulations of large building portfolios and remains considerably more practical than detailed hydraulic simulations, which require individual model setup, manual handling of input and output data</w:t>
      </w:r>
      <w:r w:rsidR="001422EE">
        <w:rPr>
          <w:rFonts w:ascii="Times New Roman" w:eastAsia="Times New Roman" w:hAnsi="Times New Roman" w:cs="Times New Roman"/>
          <w:color w:val="000000"/>
          <w:sz w:val="20"/>
          <w:lang w:eastAsia="de-DE"/>
        </w:rPr>
        <w:t xml:space="preserve"> in the case of </w:t>
      </w:r>
      <w:proofErr w:type="spellStart"/>
      <w:r w:rsidR="001422EE">
        <w:rPr>
          <w:rFonts w:ascii="Times New Roman" w:eastAsia="Times New Roman" w:hAnsi="Times New Roman" w:cs="Times New Roman"/>
          <w:color w:val="000000"/>
          <w:sz w:val="20"/>
          <w:lang w:eastAsia="de-DE"/>
        </w:rPr>
        <w:t>Polysun</w:t>
      </w:r>
      <w:proofErr w:type="spellEnd"/>
      <w:r w:rsidR="00F329AF">
        <w:rPr>
          <w:rFonts w:ascii="Times New Roman" w:eastAsia="Times New Roman" w:hAnsi="Times New Roman" w:cs="Times New Roman"/>
          <w:color w:val="000000"/>
          <w:sz w:val="20"/>
          <w:lang w:eastAsia="de-DE"/>
        </w:rPr>
        <w:t xml:space="preserve"> </w:t>
      </w:r>
      <w:sdt>
        <w:sdtPr>
          <w:rPr>
            <w:rFonts w:ascii="Times New Roman" w:eastAsia="Times New Roman" w:hAnsi="Times New Roman" w:cs="Times New Roman"/>
            <w:color w:val="000000"/>
            <w:sz w:val="20"/>
            <w:szCs w:val="20"/>
            <w:lang w:eastAsia="de-DE"/>
          </w:rPr>
          <w:alias w:val="To edit, see citavi.com/edit"/>
          <w:tag w:val="CitaviPlaceholder#baf0022e-bdbe-8eee-ca85-8a24b30d0eab"/>
          <w:id w:val="-1291747215"/>
        </w:sdtPr>
        <w:sdtEndPr/>
        <w:sdtContent>
          <w:r w:rsidR="00F329AF" w:rsidRPr="005E742B">
            <w:rPr>
              <w:rFonts w:ascii="Times New Roman" w:hAnsi="Times New Roman" w:cs="Times New Roman"/>
              <w:color w:val="000000"/>
              <w:sz w:val="20"/>
              <w:szCs w:val="20"/>
            </w:rPr>
            <w:fldChar w:fldCharType="begin"/>
          </w:r>
          <w:r w:rsidR="00F329AF" w:rsidRPr="005E742B">
            <w:rPr>
              <w:rFonts w:ascii="Times New Roman" w:hAnsi="Times New Roman" w:cs="Times New Roman"/>
              <w:color w:val="000000"/>
              <w:sz w:val="20"/>
              <w:szCs w:val="20"/>
            </w:rPr>
            <w:instrText>ADDIN CitaviPlaceholder{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}</w:instrText>
          </w:r>
          <w:r w:rsidR="00F329AF" w:rsidRPr="005E742B">
            <w:rPr>
              <w:rFonts w:ascii="Times New Roman" w:hAnsi="Times New Roman" w:cs="Times New Roman"/>
              <w:color w:val="000000"/>
              <w:sz w:val="20"/>
              <w:szCs w:val="20"/>
            </w:rPr>
            <w:fldChar w:fldCharType="separate"/>
          </w:r>
          <w:r w:rsidR="00F329AF" w:rsidRPr="005E742B">
            <w:rPr>
              <w:rFonts w:ascii="Times New Roman" w:hAnsi="Times New Roman" w:cs="Times New Roman"/>
              <w:color w:val="000000"/>
              <w:sz w:val="20"/>
              <w:szCs w:val="20"/>
            </w:rPr>
            <w:t>(Vela Solaris AG)</w:t>
          </w:r>
          <w:r w:rsidR="00F329AF" w:rsidRPr="005E742B">
            <w:rPr>
              <w:rFonts w:ascii="Times New Roman" w:hAnsi="Times New Roman" w:cs="Times New Roman"/>
              <w:color w:val="000000"/>
              <w:sz w:val="20"/>
              <w:szCs w:val="20"/>
            </w:rPr>
            <w:fldChar w:fldCharType="end"/>
          </w:r>
        </w:sdtContent>
      </w:sdt>
      <w:r w:rsidRPr="00B6056B">
        <w:rPr>
          <w:rFonts w:ascii="Times New Roman" w:eastAsia="Times New Roman" w:hAnsi="Times New Roman" w:cs="Times New Roman"/>
          <w:color w:val="000000"/>
          <w:sz w:val="20"/>
          <w:lang w:eastAsia="de-DE"/>
        </w:rPr>
        <w:t xml:space="preserve">, and therefore cannot easily be integrated into large-scale </w:t>
      </w:r>
      <w:r w:rsidR="001422EE">
        <w:rPr>
          <w:rFonts w:ascii="Times New Roman" w:eastAsia="Times New Roman" w:hAnsi="Times New Roman" w:cs="Times New Roman"/>
          <w:color w:val="000000"/>
          <w:sz w:val="20"/>
          <w:lang w:eastAsia="de-DE"/>
        </w:rPr>
        <w:t>DH</w:t>
      </w:r>
      <w:r w:rsidRPr="00B6056B">
        <w:rPr>
          <w:rFonts w:ascii="Times New Roman" w:eastAsia="Times New Roman" w:hAnsi="Times New Roman" w:cs="Times New Roman"/>
          <w:color w:val="000000"/>
          <w:sz w:val="20"/>
          <w:lang w:eastAsia="de-DE"/>
        </w:rPr>
        <w:t xml:space="preserve"> network simulations.</w:t>
      </w:r>
      <w:r>
        <w:rPr>
          <w:rFonts w:ascii="Times New Roman" w:eastAsia="Times New Roman" w:hAnsi="Times New Roman" w:cs="Times New Roman"/>
          <w:color w:val="000000"/>
          <w:sz w:val="20"/>
          <w:lang w:eastAsia="de-DE"/>
        </w:rPr>
        <w:t xml:space="preserve"> </w:t>
      </w:r>
      <w:r w:rsidRPr="00B6056B">
        <w:rPr>
          <w:rFonts w:ascii="Times New Roman" w:eastAsia="Times New Roman" w:hAnsi="Times New Roman" w:cs="Times New Roman"/>
          <w:color w:val="000000"/>
          <w:sz w:val="20"/>
          <w:lang w:eastAsia="de-DE"/>
        </w:rPr>
        <w:t>Compared to detailed simulation models, the proposed surrogate models offer a high degree of scalability. Once trained, they can be loaded directly into simulation</w:t>
      </w:r>
      <w:r w:rsidR="001422EE">
        <w:rPr>
          <w:rFonts w:ascii="Times New Roman" w:eastAsia="Times New Roman" w:hAnsi="Times New Roman" w:cs="Times New Roman"/>
          <w:color w:val="000000"/>
          <w:sz w:val="20"/>
          <w:lang w:eastAsia="de-DE"/>
        </w:rPr>
        <w:t xml:space="preserve"> </w:t>
      </w:r>
      <w:r w:rsidRPr="00B6056B">
        <w:rPr>
          <w:rFonts w:ascii="Times New Roman" w:eastAsia="Times New Roman" w:hAnsi="Times New Roman" w:cs="Times New Roman"/>
          <w:color w:val="000000"/>
          <w:sz w:val="20"/>
          <w:lang w:eastAsia="de-DE"/>
        </w:rPr>
        <w:t xml:space="preserve">environments </w:t>
      </w:r>
      <w:r w:rsidR="001422EE">
        <w:rPr>
          <w:rFonts w:ascii="Times New Roman" w:eastAsia="Times New Roman" w:hAnsi="Times New Roman" w:cs="Times New Roman"/>
          <w:color w:val="000000"/>
          <w:sz w:val="20"/>
          <w:lang w:eastAsia="de-DE"/>
        </w:rPr>
        <w:t xml:space="preserve">with a Python interface </w:t>
      </w:r>
      <w:r w:rsidRPr="00B6056B">
        <w:rPr>
          <w:rFonts w:ascii="Times New Roman" w:eastAsia="Times New Roman" w:hAnsi="Times New Roman" w:cs="Times New Roman"/>
          <w:color w:val="000000"/>
          <w:sz w:val="20"/>
          <w:lang w:eastAsia="de-DE"/>
        </w:rPr>
        <w:t xml:space="preserve">and applied automatically to a large number of buildings. This makes them particularly attractive for </w:t>
      </w:r>
      <w:r w:rsidR="001422EE">
        <w:rPr>
          <w:rFonts w:ascii="Times New Roman" w:eastAsia="Times New Roman" w:hAnsi="Times New Roman" w:cs="Times New Roman"/>
          <w:color w:val="000000"/>
          <w:sz w:val="20"/>
          <w:lang w:eastAsia="de-DE"/>
        </w:rPr>
        <w:t>DH</w:t>
      </w:r>
      <w:r w:rsidRPr="00B6056B">
        <w:rPr>
          <w:rFonts w:ascii="Times New Roman" w:eastAsia="Times New Roman" w:hAnsi="Times New Roman" w:cs="Times New Roman"/>
          <w:color w:val="000000"/>
          <w:sz w:val="20"/>
          <w:lang w:eastAsia="de-DE"/>
        </w:rPr>
        <w:t xml:space="preserve"> operators, where aggregated building models are required for network-level analyses, flexibility assessments, and operational optimization</w:t>
      </w:r>
      <w:r w:rsidR="006B544F">
        <w:rPr>
          <w:rFonts w:ascii="Times New Roman" w:eastAsia="Times New Roman" w:hAnsi="Times New Roman" w:cs="Times New Roman"/>
          <w:color w:val="000000"/>
          <w:sz w:val="20"/>
          <w:lang w:eastAsia="de-DE"/>
        </w:rPr>
        <w:t xml:space="preserve"> in a digital-twin model</w:t>
      </w:r>
      <w:r w:rsidRPr="00B6056B">
        <w:rPr>
          <w:rFonts w:ascii="Times New Roman" w:eastAsia="Times New Roman" w:hAnsi="Times New Roman" w:cs="Times New Roman"/>
          <w:color w:val="000000"/>
          <w:sz w:val="20"/>
          <w:lang w:eastAsia="de-DE"/>
        </w:rPr>
        <w:t xml:space="preserve">. Combined with </w:t>
      </w:r>
      <w:r w:rsidR="001422EE">
        <w:rPr>
          <w:rFonts w:ascii="Times New Roman" w:eastAsia="Times New Roman" w:hAnsi="Times New Roman" w:cs="Times New Roman"/>
          <w:color w:val="000000"/>
          <w:sz w:val="20"/>
          <w:lang w:eastAsia="de-DE"/>
        </w:rPr>
        <w:t xml:space="preserve">given </w:t>
      </w:r>
      <w:r w:rsidRPr="00B6056B">
        <w:rPr>
          <w:rFonts w:ascii="Times New Roman" w:eastAsia="Times New Roman" w:hAnsi="Times New Roman" w:cs="Times New Roman"/>
          <w:color w:val="000000"/>
          <w:sz w:val="20"/>
          <w:lang w:eastAsia="de-DE"/>
        </w:rPr>
        <w:t xml:space="preserve">statistical DHW demand estimation and heat demand forecasts, the developed models provide a computationally efficient representation of decentralized flexibility that can support future renewable </w:t>
      </w:r>
      <w:r w:rsidR="001422EE">
        <w:rPr>
          <w:rFonts w:ascii="Times New Roman" w:eastAsia="Times New Roman" w:hAnsi="Times New Roman" w:cs="Times New Roman"/>
          <w:color w:val="000000"/>
          <w:sz w:val="20"/>
          <w:lang w:eastAsia="de-DE"/>
        </w:rPr>
        <w:t>DH</w:t>
      </w:r>
      <w:r w:rsidRPr="00B6056B">
        <w:rPr>
          <w:rFonts w:ascii="Times New Roman" w:eastAsia="Times New Roman" w:hAnsi="Times New Roman" w:cs="Times New Roman"/>
          <w:color w:val="000000"/>
          <w:sz w:val="20"/>
          <w:lang w:eastAsia="de-DE"/>
        </w:rPr>
        <w:t xml:space="preserve"> operation.</w:t>
      </w:r>
    </w:p>
    <w:p w14:paraId="65A97AD4" w14:textId="72BFC6E8" w:rsidR="00B6056B" w:rsidRDefault="00B6056B" w:rsidP="00B6056B">
      <w:pPr>
        <w:jc w:val="both"/>
        <w:rPr>
          <w:rFonts w:ascii="Times New Roman" w:eastAsia="Times New Roman" w:hAnsi="Times New Roman" w:cs="Times New Roman"/>
          <w:color w:val="000000"/>
          <w:sz w:val="20"/>
          <w:lang w:eastAsia="de-DE"/>
        </w:rPr>
      </w:pPr>
      <w:r w:rsidRPr="00B6056B">
        <w:rPr>
          <w:rFonts w:ascii="Times New Roman" w:eastAsia="Times New Roman" w:hAnsi="Times New Roman" w:cs="Times New Roman"/>
          <w:color w:val="000000"/>
          <w:sz w:val="20"/>
          <w:lang w:eastAsia="de-DE"/>
        </w:rPr>
        <w:t>Nevertheless, several limitations remain. First, the current models are trained for a fixed buffer storage size, limiting their direct applicability to buildings with similar storage capacities. Likewise, the training data cover a specific range of annual space-heating demands and SH-to-DHW demand ratios, so prediction accuracy outside this operating range cannot yet be guaranteed. Furthermore, circulation heat losses are currently represented implicitly by the training data and therefore remain fixed characteristics of the learned system. As a result, buildings with substantially different circulation losses would require</w:t>
      </w:r>
      <w:r w:rsidR="001422EE">
        <w:rPr>
          <w:rFonts w:ascii="Times New Roman" w:eastAsia="Times New Roman" w:hAnsi="Times New Roman" w:cs="Times New Roman"/>
          <w:color w:val="000000"/>
          <w:sz w:val="20"/>
          <w:lang w:eastAsia="de-DE"/>
        </w:rPr>
        <w:t xml:space="preserve"> a correction procedure</w:t>
      </w:r>
      <w:r w:rsidRPr="00B6056B">
        <w:rPr>
          <w:rFonts w:ascii="Times New Roman" w:eastAsia="Times New Roman" w:hAnsi="Times New Roman" w:cs="Times New Roman"/>
          <w:color w:val="000000"/>
          <w:sz w:val="20"/>
          <w:lang w:eastAsia="de-DE"/>
        </w:rPr>
        <w:t xml:space="preserve">. </w:t>
      </w:r>
      <w:r w:rsidR="001422EE">
        <w:rPr>
          <w:rFonts w:ascii="Times New Roman" w:eastAsia="Times New Roman" w:hAnsi="Times New Roman" w:cs="Times New Roman"/>
          <w:color w:val="000000"/>
          <w:sz w:val="20"/>
          <w:lang w:eastAsia="de-DE"/>
        </w:rPr>
        <w:t>I</w:t>
      </w:r>
      <w:r w:rsidRPr="00B6056B">
        <w:rPr>
          <w:rFonts w:ascii="Times New Roman" w:eastAsia="Times New Roman" w:hAnsi="Times New Roman" w:cs="Times New Roman"/>
          <w:color w:val="000000"/>
          <w:sz w:val="20"/>
          <w:lang w:eastAsia="de-DE"/>
        </w:rPr>
        <w:t>ncluding circulation losses as explicit input features could</w:t>
      </w:r>
      <w:r w:rsidR="001422EE">
        <w:rPr>
          <w:rFonts w:ascii="Times New Roman" w:eastAsia="Times New Roman" w:hAnsi="Times New Roman" w:cs="Times New Roman"/>
          <w:color w:val="000000"/>
          <w:sz w:val="20"/>
          <w:lang w:eastAsia="de-DE"/>
        </w:rPr>
        <w:t xml:space="preserve"> eliminate the need for this procedure</w:t>
      </w:r>
      <w:r w:rsidRPr="00B6056B">
        <w:rPr>
          <w:rFonts w:ascii="Times New Roman" w:eastAsia="Times New Roman" w:hAnsi="Times New Roman" w:cs="Times New Roman"/>
          <w:color w:val="000000"/>
          <w:sz w:val="20"/>
          <w:lang w:eastAsia="de-DE"/>
        </w:rPr>
        <w:t>.</w:t>
      </w:r>
      <w:r>
        <w:rPr>
          <w:rFonts w:ascii="Times New Roman" w:eastAsia="Times New Roman" w:hAnsi="Times New Roman" w:cs="Times New Roman"/>
          <w:color w:val="000000"/>
          <w:sz w:val="20"/>
          <w:lang w:eastAsia="de-DE"/>
        </w:rPr>
        <w:t xml:space="preserve"> </w:t>
      </w:r>
      <w:r w:rsidRPr="00B6056B">
        <w:rPr>
          <w:rFonts w:ascii="Times New Roman" w:eastAsia="Times New Roman" w:hAnsi="Times New Roman" w:cs="Times New Roman"/>
          <w:color w:val="000000"/>
          <w:sz w:val="20"/>
          <w:lang w:eastAsia="de-DE"/>
        </w:rPr>
        <w:t xml:space="preserve">Overall, the results indicate that data-driven surrogate models constitute a promising compromise between physical accuracy and computational efficiency. While they cannot completely replace detailed hydraulic simulations, they enable the representation of storage-based flexibility for many buildings simultaneously and therefore provide an important prerequisite for future </w:t>
      </w:r>
      <w:r w:rsidR="001422EE">
        <w:rPr>
          <w:rFonts w:ascii="Times New Roman" w:eastAsia="Times New Roman" w:hAnsi="Times New Roman" w:cs="Times New Roman"/>
          <w:color w:val="000000"/>
          <w:sz w:val="20"/>
          <w:lang w:eastAsia="de-DE"/>
        </w:rPr>
        <w:t>DH</w:t>
      </w:r>
      <w:r w:rsidRPr="00B6056B">
        <w:rPr>
          <w:rFonts w:ascii="Times New Roman" w:eastAsia="Times New Roman" w:hAnsi="Times New Roman" w:cs="Times New Roman"/>
          <w:color w:val="000000"/>
          <w:sz w:val="20"/>
          <w:lang w:eastAsia="de-DE"/>
        </w:rPr>
        <w:t xml:space="preserve"> network simulation, optimization and operational control.</w:t>
      </w:r>
    </w:p>
    <w:p w14:paraId="4CF8E872" w14:textId="77777777" w:rsidR="00B6056B" w:rsidRPr="00103A49" w:rsidRDefault="00B6056B" w:rsidP="00B6056B">
      <w:pPr>
        <w:jc w:val="both"/>
        <w:rPr>
          <w:rFonts w:ascii="Times New Roman" w:eastAsia="Times New Roman" w:hAnsi="Times New Roman" w:cs="Times New Roman"/>
          <w:color w:val="000000"/>
          <w:sz w:val="20"/>
          <w:lang w:eastAsia="de-DE"/>
        </w:rPr>
      </w:pPr>
    </w:p>
    <w:p w14:paraId="24A334FD" w14:textId="47D548D4" w:rsidR="00FA61C3" w:rsidRDefault="00FA61C3" w:rsidP="001422EE">
      <w:pPr>
        <w:pStyle w:val="Listenabsatz"/>
        <w:numPr>
          <w:ilvl w:val="0"/>
          <w:numId w:val="1"/>
        </w:numPr>
        <w:jc w:val="center"/>
        <w:rPr>
          <w:rFonts w:ascii="Arial" w:eastAsia="Times New Roman" w:hAnsi="Arial" w:cs="Times New Roman"/>
          <w:b/>
          <w:color w:val="000000"/>
          <w:sz w:val="20"/>
          <w:szCs w:val="24"/>
          <w:lang w:eastAsia="de-DE"/>
        </w:rPr>
      </w:pPr>
      <w:r w:rsidRPr="008B540A">
        <w:rPr>
          <w:rFonts w:ascii="Arial" w:eastAsia="Times New Roman" w:hAnsi="Arial" w:cs="Times New Roman"/>
          <w:b/>
          <w:color w:val="000000"/>
          <w:sz w:val="20"/>
          <w:szCs w:val="24"/>
          <w:lang w:eastAsia="de-DE"/>
        </w:rPr>
        <w:lastRenderedPageBreak/>
        <w:t>Outlook</w:t>
      </w:r>
    </w:p>
    <w:p w14:paraId="5C57D0BE" w14:textId="5FE0B3CB" w:rsidR="00A557D0" w:rsidRPr="00A557D0" w:rsidRDefault="002C4F94" w:rsidP="002C4F94">
      <w:pPr>
        <w:jc w:val="both"/>
        <w:rPr>
          <w:rFonts w:ascii="Times New Roman" w:eastAsia="Times New Roman" w:hAnsi="Times New Roman" w:cs="Times New Roman"/>
          <w:bCs/>
          <w:color w:val="000000"/>
          <w:sz w:val="20"/>
          <w:szCs w:val="24"/>
          <w:lang w:eastAsia="de-DE"/>
        </w:rPr>
      </w:pPr>
      <w:r w:rsidRPr="002C4F94">
        <w:rPr>
          <w:rFonts w:ascii="Times New Roman" w:eastAsia="Times New Roman" w:hAnsi="Times New Roman" w:cs="Times New Roman"/>
          <w:bCs/>
          <w:color w:val="000000"/>
          <w:sz w:val="20"/>
          <w:szCs w:val="24"/>
          <w:lang w:eastAsia="de-DE"/>
        </w:rPr>
        <w:t>Future work will primarily focus on integrating the developed surrogate models into district heating network simulation and optimization tools in order to assess their applicability for network-level operational planning and flexibility management. Furthermore, the approach will be extended to additional hydraulic configurations commonly found in multi-unit residential buildings to broaden its applicability. The current models will also be generalized by treating currently fixed system characteristics, such as circulation losses, as learnable model features through an adapted system boundary. In addition, future work will investigate methods to account for varying buffer storage sizes and a wider range of building heat demands, enabling the prediction models to be applied to a broader spectrum of building types and operating conditions.</w:t>
      </w:r>
    </w:p>
    <w:p w14:paraId="0CB77470" w14:textId="77777777" w:rsidR="004679C0" w:rsidRPr="004679C0" w:rsidRDefault="004679C0" w:rsidP="004679C0">
      <w:pPr>
        <w:ind w:left="360"/>
        <w:rPr>
          <w:rFonts w:ascii="Arial" w:eastAsia="Times New Roman" w:hAnsi="Arial" w:cs="Times New Roman"/>
          <w:b/>
          <w:color w:val="000000"/>
          <w:sz w:val="20"/>
          <w:szCs w:val="24"/>
          <w:lang w:eastAsia="de-DE"/>
        </w:rPr>
      </w:pPr>
    </w:p>
    <w:sdt>
      <w:sdtPr>
        <w:rPr>
          <w:rFonts w:asciiTheme="minorHAnsi" w:eastAsiaTheme="minorEastAsia" w:cstheme="minorBidi"/>
          <w:color w:val="auto"/>
          <w:sz w:val="22"/>
          <w:szCs w:val="22"/>
        </w:rPr>
        <w:alias w:val=""/>
        <w:tag w:val="CitaviBibliography"/>
        <w:id w:val="-580139219"/>
      </w:sdtPr>
      <w:sdtEndPr>
        <w:rPr>
          <w:rFonts w:ascii="Times New Roman" w:eastAsiaTheme="minorHAnsi" w:hAnsi="Times New Roman" w:cs="Times New Roman"/>
          <w:sz w:val="20"/>
          <w:szCs w:val="20"/>
        </w:rPr>
      </w:sdtEndPr>
      <w:sdtContent>
        <w:sdt>
          <w:sdtPr>
            <w:rPr>
              <w:rFonts w:asciiTheme="minorHAnsi" w:eastAsiaTheme="minorEastAsia" w:cstheme="minorBidi"/>
              <w:color w:val="auto"/>
              <w:sz w:val="22"/>
              <w:szCs w:val="22"/>
            </w:rPr>
            <w:alias w:val=""/>
            <w:tag w:val="CitaviBibliography"/>
            <w:id w:val="80499090"/>
          </w:sdtPr>
          <w:sdtEndPr>
            <w:rPr>
              <w:rFonts w:ascii="Times New Roman" w:eastAsiaTheme="minorHAnsi" w:hAnsi="Times New Roman" w:cs="Times New Roman"/>
              <w:sz w:val="20"/>
              <w:szCs w:val="20"/>
            </w:rPr>
          </w:sdtEndPr>
          <w:sdtContent>
            <w:p w14:paraId="12E1AA35" w14:textId="63B273F0" w:rsidR="00A557D0" w:rsidRPr="00B6056B" w:rsidRDefault="00A557D0" w:rsidP="00B6056B">
              <w:pPr>
                <w:pStyle w:val="CitaviBibliographyHeading"/>
                <w:jc w:val="center"/>
                <w:rPr>
                  <w:rFonts w:ascii="Arial" w:eastAsia="Times New Roman" w:hAnsi="Arial" w:cs="Times New Roman"/>
                  <w:b/>
                  <w:color w:val="000000"/>
                  <w:sz w:val="20"/>
                  <w:szCs w:val="24"/>
                  <w:lang w:eastAsia="de-DE"/>
                </w:rPr>
              </w:pPr>
              <w:r w:rsidRPr="00B6056B">
                <w:rPr>
                  <w:rFonts w:ascii="Times New Roman" w:hAnsi="Times New Roman" w:cs="Times New Roman"/>
                  <w:sz w:val="20"/>
                  <w:szCs w:val="20"/>
                </w:rPr>
                <w:fldChar w:fldCharType="begin"/>
              </w:r>
              <w:sdt>
                <w:sdtPr>
                  <w:rPr>
                    <w:rFonts w:ascii="Times New Roman" w:hAnsi="Times New Roman" w:cs="Times New Roman"/>
                    <w:sz w:val="20"/>
                    <w:szCs w:val="20"/>
                  </w:rPr>
                  <w:alias w:val=""/>
                  <w:tag w:val="CitaviBibliographyHeading"/>
                  <w:id w:val="-1772614320"/>
                  <w15:appearance w15:val="hidden"/>
                </w:sdtPr>
                <w:sdtEndPr>
                  <w:rPr>
                    <w:rFonts w:ascii="Arial" w:eastAsia="Times New Roman" w:hAnsi="Arial"/>
                    <w:b/>
                    <w:color w:val="000000"/>
                    <w:szCs w:val="24"/>
                    <w:lang w:eastAsia="de-DE"/>
                  </w:rPr>
                </w:sdtEndPr>
                <w:sdtContent>
                  <w:r w:rsidRPr="00B6056B">
                    <w:rPr>
                      <w:rFonts w:ascii="Times New Roman" w:hAnsi="Times New Roman" w:cs="Times New Roman"/>
                      <w:sz w:val="20"/>
                      <w:szCs w:val="20"/>
                    </w:rPr>
                    <w:instrText>ADDIN CitaviBibliography</w:instrText>
                  </w:r>
                  <w:r w:rsidRPr="00B6056B">
                    <w:rPr>
                      <w:rFonts w:ascii="Times New Roman" w:hAnsi="Times New Roman" w:cs="Times New Roman"/>
                      <w:sz w:val="20"/>
                      <w:szCs w:val="20"/>
                    </w:rPr>
                    <w:fldChar w:fldCharType="separate"/>
                  </w:r>
                  <w:r w:rsidR="00B6056B" w:rsidRPr="00B6056B">
                    <w:rPr>
                      <w:rFonts w:ascii="Arial" w:eastAsia="Times New Roman" w:hAnsi="Arial" w:cs="Times New Roman"/>
                      <w:b/>
                      <w:color w:val="000000"/>
                      <w:sz w:val="20"/>
                      <w:szCs w:val="24"/>
                      <w:lang w:eastAsia="de-DE"/>
                    </w:rPr>
                    <w:t>6. References</w:t>
                  </w:r>
                </w:sdtContent>
              </w:sdt>
            </w:p>
            <w:sdt>
              <w:sdtPr>
                <w:rPr>
                  <w:rFonts w:ascii="Times New Roman" w:hAnsi="Times New Roman" w:cs="Times New Roman"/>
                  <w:sz w:val="20"/>
                  <w:szCs w:val="20"/>
                </w:rPr>
                <w:alias w:val=""/>
                <w:tag w:val="BibliographyEntry0"/>
                <w:id w:val="-204250711"/>
                <w15:appearance w15:val="hidden"/>
              </w:sdtPr>
              <w:sdtEndPr/>
              <w:sdtContent>
                <w:p w14:paraId="764B811B"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Chen, Y., Ye, Y., Liu, J., Zhang, L., Li, W., Mohtaram, S., 2023. Machine Learning Approach to Predict Building Thermal Load Considering Feature Variable Dimensions: An Office Building Case Study. Buildings 13 (2), 312.</w:t>
                  </w:r>
                </w:p>
              </w:sdtContent>
            </w:sdt>
            <w:sdt>
              <w:sdtPr>
                <w:rPr>
                  <w:rFonts w:ascii="Times New Roman" w:hAnsi="Times New Roman" w:cs="Times New Roman"/>
                  <w:sz w:val="20"/>
                  <w:szCs w:val="20"/>
                </w:rPr>
                <w:alias w:val=""/>
                <w:tag w:val="BibliographyEntry1"/>
                <w:id w:val="-544061534"/>
                <w15:appearance w15:val="hidden"/>
              </w:sdtPr>
              <w:sdtEndPr/>
              <w:sdtContent>
                <w:p w14:paraId="49A4CF16"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Chollet, F.e.a., 2015. Keras. Google LLC.</w:t>
                  </w:r>
                </w:p>
              </w:sdtContent>
            </w:sdt>
            <w:sdt>
              <w:sdtPr>
                <w:rPr>
                  <w:rFonts w:ascii="Times New Roman" w:hAnsi="Times New Roman" w:cs="Times New Roman"/>
                  <w:sz w:val="20"/>
                  <w:szCs w:val="20"/>
                </w:rPr>
                <w:alias w:val=""/>
                <w:tag w:val="BibliographyEntry2"/>
                <w:id w:val="1538625739"/>
                <w15:appearance w15:val="hidden"/>
              </w:sdtPr>
              <w:sdtEndPr/>
              <w:sdtContent>
                <w:p w14:paraId="52A95695" w14:textId="77777777" w:rsidR="00A557D0" w:rsidRPr="00B6056B" w:rsidRDefault="00A557D0">
                  <w:pPr>
                    <w:pStyle w:val="CitaviBibliographyEntry"/>
                    <w:rPr>
                      <w:rFonts w:ascii="Times New Roman" w:hAnsi="Times New Roman" w:cs="Times New Roman"/>
                      <w:sz w:val="20"/>
                      <w:szCs w:val="20"/>
                      <w:lang w:val="de-AT"/>
                    </w:rPr>
                  </w:pPr>
                  <w:r w:rsidRPr="00B6056B">
                    <w:rPr>
                      <w:rFonts w:ascii="Times New Roman" w:hAnsi="Times New Roman" w:cs="Times New Roman"/>
                      <w:sz w:val="20"/>
                      <w:szCs w:val="20"/>
                    </w:rPr>
                    <w:t xml:space="preserve">Du, H., Zhou, X., Nord, N., Carden, Y., Cui, P., Ma, Z., 2025. Development of a robust data-driven surrogate model to improve energy flexibility of an integrated district heating system with a thermal storage system. </w:t>
                  </w:r>
                  <w:r w:rsidRPr="00B6056B">
                    <w:rPr>
                      <w:rFonts w:ascii="Times New Roman" w:hAnsi="Times New Roman" w:cs="Times New Roman"/>
                      <w:sz w:val="20"/>
                      <w:szCs w:val="20"/>
                      <w:lang w:val="de-AT"/>
                    </w:rPr>
                    <w:t>Energy 336, 138398.</w:t>
                  </w:r>
                </w:p>
              </w:sdtContent>
            </w:sdt>
            <w:sdt>
              <w:sdtPr>
                <w:rPr>
                  <w:rFonts w:ascii="Times New Roman" w:hAnsi="Times New Roman" w:cs="Times New Roman"/>
                  <w:sz w:val="20"/>
                  <w:szCs w:val="20"/>
                </w:rPr>
                <w:alias w:val=""/>
                <w:tag w:val="BibliographyEntry3"/>
                <w:id w:val="335735556"/>
                <w15:appearance w15:val="hidden"/>
              </w:sdtPr>
              <w:sdtEndPr/>
              <w:sdtContent>
                <w:p w14:paraId="456B78EE"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lang w:val="de-AT"/>
                    </w:rPr>
                    <w:t xml:space="preserve">Forndran, S.J., Valentini, L.V., Thür, A., Streicher, W., 2026. </w:t>
                  </w:r>
                  <w:r w:rsidRPr="00B6056B">
                    <w:rPr>
                      <w:rFonts w:ascii="Times New Roman" w:hAnsi="Times New Roman" w:cs="Times New Roman"/>
                      <w:sz w:val="20"/>
                      <w:szCs w:val="20"/>
                    </w:rPr>
                    <w:t>Introduction of a thermal peak-shaving strategy for buffer storage utilization in multi-residential buildings and prediction of the dampened power profile by data driven models. Energy Conversion and Management: X 31, 102069.</w:t>
                  </w:r>
                </w:p>
              </w:sdtContent>
            </w:sdt>
            <w:sdt>
              <w:sdtPr>
                <w:rPr>
                  <w:rFonts w:ascii="Times New Roman" w:hAnsi="Times New Roman" w:cs="Times New Roman"/>
                  <w:sz w:val="20"/>
                  <w:szCs w:val="20"/>
                </w:rPr>
                <w:alias w:val=""/>
                <w:tag w:val="BibliographyEntry4"/>
                <w:id w:val="1597439345"/>
                <w15:appearance w15:val="hidden"/>
              </w:sdtPr>
              <w:sdtEndPr/>
              <w:sdtContent>
                <w:p w14:paraId="470B2464"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Guo, Y., Wang, S., Wang, J., Zhang, T., Ma, Z., Jiang, S., 2024. Key district heating technologies for building energy flexibility: A review. Renewable and Sustainable Energy Reviews 189, 114017.</w:t>
                  </w:r>
                </w:p>
              </w:sdtContent>
            </w:sdt>
            <w:sdt>
              <w:sdtPr>
                <w:rPr>
                  <w:rFonts w:ascii="Times New Roman" w:hAnsi="Times New Roman" w:cs="Times New Roman"/>
                  <w:sz w:val="20"/>
                  <w:szCs w:val="20"/>
                </w:rPr>
                <w:alias w:val=""/>
                <w:tag w:val="BibliographyEntry5"/>
                <w:id w:val="1020287981"/>
                <w15:appearance w15:val="hidden"/>
              </w:sdtPr>
              <w:sdtEndPr/>
              <w:sdtContent>
                <w:p w14:paraId="117FF9AE"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Hochreiter, S., Schmidhuber, J., 1997. Long short-term memory. Neural computation 9 (8), 1735–1780.</w:t>
                  </w:r>
                </w:p>
              </w:sdtContent>
            </w:sdt>
            <w:sdt>
              <w:sdtPr>
                <w:rPr>
                  <w:rFonts w:ascii="Times New Roman" w:hAnsi="Times New Roman" w:cs="Times New Roman"/>
                  <w:sz w:val="20"/>
                  <w:szCs w:val="20"/>
                </w:rPr>
                <w:alias w:val=""/>
                <w:tag w:val="BibliographyEntry6"/>
                <w:id w:val="-673950802"/>
                <w15:appearance w15:val="hidden"/>
              </w:sdtPr>
              <w:sdtEndPr/>
              <w:sdtContent>
                <w:p w14:paraId="759A4A85"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Hua, P., Wang, H., Xie, Z., Lahdelma, R., 2024. District heating load patterns and short-term forecasting for buildings and city level. Energy 289, 129866.</w:t>
                  </w:r>
                </w:p>
              </w:sdtContent>
            </w:sdt>
            <w:sdt>
              <w:sdtPr>
                <w:rPr>
                  <w:rFonts w:ascii="Times New Roman" w:hAnsi="Times New Roman" w:cs="Times New Roman"/>
                  <w:sz w:val="20"/>
                  <w:szCs w:val="20"/>
                </w:rPr>
                <w:alias w:val=""/>
                <w:tag w:val="BibliographyEntry7"/>
                <w:id w:val="-1861358700"/>
                <w15:appearance w15:val="hidden"/>
              </w:sdtPr>
              <w:sdtEndPr/>
              <w:sdtContent>
                <w:p w14:paraId="3B29C701"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Jordan, U., Vajen, K., 2017. DHWcalc. University of Kassel, Institute for Thermal Energy Technology.</w:t>
                  </w:r>
                </w:p>
              </w:sdtContent>
            </w:sdt>
            <w:sdt>
              <w:sdtPr>
                <w:rPr>
                  <w:rFonts w:ascii="Times New Roman" w:hAnsi="Times New Roman" w:cs="Times New Roman"/>
                  <w:sz w:val="20"/>
                  <w:szCs w:val="20"/>
                </w:rPr>
                <w:alias w:val=""/>
                <w:tag w:val="BibliographyEntry8"/>
                <w:id w:val="-266156486"/>
                <w15:appearance w15:val="hidden"/>
              </w:sdtPr>
              <w:sdtEndPr/>
              <w:sdtContent>
                <w:p w14:paraId="4CC4406A"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Karasu, M.B., Yanıkoğlu, İ., Aykut, A., Ay, D., Özpoyraz, İ., 2024. Thermal request optimization of a smart district heating system. Energy and Buildings 324, 114841.</w:t>
                  </w:r>
                </w:p>
              </w:sdtContent>
            </w:sdt>
            <w:sdt>
              <w:sdtPr>
                <w:rPr>
                  <w:rFonts w:ascii="Times New Roman" w:hAnsi="Times New Roman" w:cs="Times New Roman"/>
                  <w:sz w:val="20"/>
                  <w:szCs w:val="20"/>
                </w:rPr>
                <w:alias w:val=""/>
                <w:tag w:val="BibliographyEntry9"/>
                <w:id w:val="30163751"/>
                <w15:appearance w15:val="hidden"/>
              </w:sdtPr>
              <w:sdtEndPr/>
              <w:sdtContent>
                <w:p w14:paraId="1FE7EE30"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Knudsen, B.R., Zotică, C., Rohde, D., Foslie, S.S., Walnum, H.T., 2025. Assessing demand response in district heating with waste-heat utilization. Sustainable Cities and Society 124, 106270.</w:t>
                  </w:r>
                </w:p>
              </w:sdtContent>
            </w:sdt>
            <w:sdt>
              <w:sdtPr>
                <w:rPr>
                  <w:rFonts w:ascii="Times New Roman" w:hAnsi="Times New Roman" w:cs="Times New Roman"/>
                  <w:sz w:val="20"/>
                  <w:szCs w:val="20"/>
                </w:rPr>
                <w:alias w:val=""/>
                <w:tag w:val="BibliographyEntry10"/>
                <w:id w:val="-1882786798"/>
                <w15:appearance w15:val="hidden"/>
              </w:sdtPr>
              <w:sdtEndPr/>
              <w:sdtContent>
                <w:p w14:paraId="1FA96C73"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Lim, B., Arık, S.Ö., Loeff, N., Pfister, T., 2021. Temporal Fusion Transformers for interpretable multi-horizon time series forecasting. International Journal of Forecasting 37 (4), 1748–1764.</w:t>
                  </w:r>
                </w:p>
              </w:sdtContent>
            </w:sdt>
            <w:sdt>
              <w:sdtPr>
                <w:rPr>
                  <w:rFonts w:ascii="Times New Roman" w:hAnsi="Times New Roman" w:cs="Times New Roman"/>
                  <w:sz w:val="20"/>
                  <w:szCs w:val="20"/>
                </w:rPr>
                <w:alias w:val=""/>
                <w:tag w:val="BibliographyEntry11"/>
                <w:id w:val="-735856859"/>
                <w15:appearance w15:val="hidden"/>
              </w:sdtPr>
              <w:sdtEndPr/>
              <w:sdtContent>
                <w:p w14:paraId="41B2366B"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Moser, S., Pflügl, M., Knöbl, M., Volkova, A., 2026. Peak load provision in district heating networks: a survey on the status quo and decarbonisation options. Energy 344, 140006.</w:t>
                  </w:r>
                </w:p>
              </w:sdtContent>
            </w:sdt>
            <w:sdt>
              <w:sdtPr>
                <w:rPr>
                  <w:rFonts w:ascii="Times New Roman" w:hAnsi="Times New Roman" w:cs="Times New Roman"/>
                  <w:sz w:val="20"/>
                  <w:szCs w:val="20"/>
                </w:rPr>
                <w:alias w:val=""/>
                <w:tag w:val="BibliographyEntry12"/>
                <w:id w:val="1517966043"/>
                <w15:appearance w15:val="hidden"/>
              </w:sdtPr>
              <w:sdtEndPr/>
              <w:sdtContent>
                <w:p w14:paraId="6CDE7B03"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Olsthoorn, D., Haghighat, F., Moreau, A., Lacroix, G., 2017. Abilities and limitations of thermal mass activation for thermal comfort, peak shifting and shaving: A review. Building and Environment 118, 113–127.</w:t>
                  </w:r>
                </w:p>
              </w:sdtContent>
            </w:sdt>
            <w:sdt>
              <w:sdtPr>
                <w:rPr>
                  <w:rFonts w:ascii="Times New Roman" w:hAnsi="Times New Roman" w:cs="Times New Roman"/>
                  <w:sz w:val="20"/>
                  <w:szCs w:val="20"/>
                </w:rPr>
                <w:alias w:val=""/>
                <w:tag w:val="BibliographyEntry13"/>
                <w:id w:val="-375627236"/>
                <w15:appearance w15:val="hidden"/>
              </w:sdtPr>
              <w:sdtEndPr/>
              <w:sdtContent>
                <w:p w14:paraId="2E22219F"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Valentini, L.V., Forndran, S., Ochs, F., Thür, A., Streicher, W., 2026. District heating modeling tools: A review based on design and simulation of renewable district heating networks. Energy Conversion and Management: X 29, 101414.</w:t>
                  </w:r>
                </w:p>
              </w:sdtContent>
            </w:sdt>
            <w:sdt>
              <w:sdtPr>
                <w:rPr>
                  <w:rFonts w:ascii="Times New Roman" w:hAnsi="Times New Roman" w:cs="Times New Roman"/>
                  <w:sz w:val="20"/>
                  <w:szCs w:val="20"/>
                </w:rPr>
                <w:alias w:val=""/>
                <w:tag w:val="BibliographyEntry14"/>
                <w:id w:val="793481522"/>
                <w15:appearance w15:val="hidden"/>
              </w:sdtPr>
              <w:sdtEndPr/>
              <w:sdtContent>
                <w:p w14:paraId="6E708A3B"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Vaswani, A., Shazeer, N., Parmar, N., Uszkoreit, J., Jones, L., Gomez, A.N., Kaiser, L., Polosukhin, I., 2017. Attention Is All You Need.</w:t>
                  </w:r>
                </w:p>
              </w:sdtContent>
            </w:sdt>
            <w:p w14:paraId="6E73DF7C" w14:textId="77777777" w:rsidR="00A557D0" w:rsidRPr="00B6056B" w:rsidRDefault="00A557D0">
              <w:pPr>
                <w:pStyle w:val="CitaviBibliographyEntry"/>
                <w:rPr>
                  <w:rFonts w:ascii="Times New Roman" w:hAnsi="Times New Roman" w:cs="Times New Roman"/>
                  <w:sz w:val="20"/>
                  <w:szCs w:val="20"/>
                </w:rPr>
              </w:pPr>
              <w:r w:rsidRPr="00B6056B">
                <w:rPr>
                  <w:rFonts w:ascii="Times New Roman" w:hAnsi="Times New Roman" w:cs="Times New Roman"/>
                  <w:sz w:val="20"/>
                  <w:szCs w:val="20"/>
                </w:rPr>
                <w:t>Vela Solaris AG. POLYSUN. Vela Solaris AG.</w:t>
              </w:r>
              <w:r w:rsidRPr="00B6056B">
                <w:rPr>
                  <w:rFonts w:ascii="Times New Roman" w:hAnsi="Times New Roman" w:cs="Times New Roman"/>
                  <w:sz w:val="20"/>
                  <w:szCs w:val="20"/>
                </w:rPr>
                <w:fldChar w:fldCharType="end"/>
              </w:r>
              <w:sdt>
                <w:sdtPr>
                  <w:rPr>
                    <w:rFonts w:ascii="Times New Roman" w:hAnsi="Times New Roman" w:cs="Times New Roman"/>
                    <w:sz w:val="20"/>
                    <w:szCs w:val="20"/>
                  </w:rPr>
                  <w:alias w:val=""/>
                  <w:tag w:val="CitaviBibliographyEntries"/>
                  <w:id w:val="-1286037961"/>
                  <w15:appearance w15:val="hidden"/>
                </w:sdtPr>
                <w:sdtEndPr/>
                <w:sdtContent>
                  <w:sdt>
                    <w:sdtPr>
                      <w:rPr>
                        <w:rFonts w:ascii="Times New Roman" w:hAnsi="Times New Roman" w:cs="Times New Roman"/>
                        <w:sz w:val="20"/>
                        <w:szCs w:val="20"/>
                      </w:rPr>
                      <w:alias w:val=""/>
                      <w:tag w:val="BibliographyEntry15"/>
                      <w:id w:val="2044784013"/>
                      <w15:appearance w15:val="hidden"/>
                    </w:sdtPr>
                    <w:sdtEndPr/>
                    <w:sdtContent/>
                  </w:sdt>
                </w:sdtContent>
              </w:sdt>
            </w:p>
            <w:p w14:paraId="78CB8632" w14:textId="6E51812B" w:rsidR="00C2128A" w:rsidRPr="00B6056B" w:rsidRDefault="007E693E" w:rsidP="00C2128A">
              <w:pPr>
                <w:jc w:val="both"/>
                <w:rPr>
                  <w:rFonts w:ascii="Times New Roman" w:hAnsi="Times New Roman" w:cs="Times New Roman"/>
                  <w:sz w:val="20"/>
                  <w:szCs w:val="20"/>
                </w:rPr>
              </w:pPr>
            </w:p>
          </w:sdtContent>
        </w:sdt>
      </w:sdtContent>
    </w:sdt>
    <w:sectPr w:rsidR="00C2128A" w:rsidRPr="00B6056B" w:rsidSect="00420DE0">
      <w:pgSz w:w="11906" w:h="16838"/>
      <w:pgMar w:top="1701" w:right="170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63ACA"/>
    <w:multiLevelType w:val="multilevel"/>
    <w:tmpl w:val="92E24B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1AF22D7"/>
    <w:multiLevelType w:val="multilevel"/>
    <w:tmpl w:val="92E24B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C4D7B01"/>
    <w:multiLevelType w:val="hybridMultilevel"/>
    <w:tmpl w:val="A6D4BA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DE0240"/>
    <w:multiLevelType w:val="multilevel"/>
    <w:tmpl w:val="92E24B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9FD0FAE"/>
    <w:multiLevelType w:val="multilevel"/>
    <w:tmpl w:val="73CE0F38"/>
    <w:lvl w:ilvl="0">
      <w:start w:val="2"/>
      <w:numFmt w:val="decimal"/>
      <w:lvlText w:val="%1"/>
      <w:lvlJc w:val="left"/>
      <w:pPr>
        <w:ind w:left="435" w:hanging="435"/>
      </w:pPr>
      <w:rPr>
        <w:rFonts w:hint="default"/>
      </w:rPr>
    </w:lvl>
    <w:lvl w:ilvl="1">
      <w:start w:val="3"/>
      <w:numFmt w:val="decimal"/>
      <w:lvlText w:val="%1.%2"/>
      <w:lvlJc w:val="left"/>
      <w:pPr>
        <w:ind w:left="615" w:hanging="43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 w15:restartNumberingAfterBreak="0">
    <w:nsid w:val="30061F6A"/>
    <w:multiLevelType w:val="hybridMultilevel"/>
    <w:tmpl w:val="5AE449C8"/>
    <w:lvl w:ilvl="0" w:tplc="C9A0A7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4C19A0"/>
    <w:multiLevelType w:val="multilevel"/>
    <w:tmpl w:val="92E24B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2AF7602"/>
    <w:multiLevelType w:val="hybridMultilevel"/>
    <w:tmpl w:val="8FB46856"/>
    <w:lvl w:ilvl="0" w:tplc="FA1469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67945897">
    <w:abstractNumId w:val="0"/>
  </w:num>
  <w:num w:numId="2" w16cid:durableId="1769304271">
    <w:abstractNumId w:val="7"/>
  </w:num>
  <w:num w:numId="3" w16cid:durableId="1779373596">
    <w:abstractNumId w:val="4"/>
  </w:num>
  <w:num w:numId="4" w16cid:durableId="534120935">
    <w:abstractNumId w:val="2"/>
  </w:num>
  <w:num w:numId="5" w16cid:durableId="563879293">
    <w:abstractNumId w:val="5"/>
  </w:num>
  <w:num w:numId="6" w16cid:durableId="1630087204">
    <w:abstractNumId w:val="6"/>
  </w:num>
  <w:num w:numId="7" w16cid:durableId="2065518445">
    <w:abstractNumId w:val="1"/>
  </w:num>
  <w:num w:numId="8" w16cid:durableId="1818910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2D6"/>
    <w:rsid w:val="000151F9"/>
    <w:rsid w:val="00026A44"/>
    <w:rsid w:val="00040FCC"/>
    <w:rsid w:val="00066A36"/>
    <w:rsid w:val="000A55A5"/>
    <w:rsid w:val="000B04D0"/>
    <w:rsid w:val="000B1E20"/>
    <w:rsid w:val="000C37AC"/>
    <w:rsid w:val="000C7447"/>
    <w:rsid w:val="0010208D"/>
    <w:rsid w:val="00103A49"/>
    <w:rsid w:val="001422EE"/>
    <w:rsid w:val="001548F3"/>
    <w:rsid w:val="0017150B"/>
    <w:rsid w:val="001956B0"/>
    <w:rsid w:val="001B2589"/>
    <w:rsid w:val="001C49D1"/>
    <w:rsid w:val="001C6A24"/>
    <w:rsid w:val="001D1A61"/>
    <w:rsid w:val="001D1EDC"/>
    <w:rsid w:val="001D244C"/>
    <w:rsid w:val="001E1A06"/>
    <w:rsid w:val="001F7CE8"/>
    <w:rsid w:val="00234F22"/>
    <w:rsid w:val="002512FE"/>
    <w:rsid w:val="00251D2A"/>
    <w:rsid w:val="0029218F"/>
    <w:rsid w:val="002C0851"/>
    <w:rsid w:val="002C0B63"/>
    <w:rsid w:val="002C3ECC"/>
    <w:rsid w:val="002C4F94"/>
    <w:rsid w:val="002E0A91"/>
    <w:rsid w:val="0030570D"/>
    <w:rsid w:val="00306B86"/>
    <w:rsid w:val="0034069C"/>
    <w:rsid w:val="0035779F"/>
    <w:rsid w:val="003762CF"/>
    <w:rsid w:val="003869A0"/>
    <w:rsid w:val="003C64B5"/>
    <w:rsid w:val="00420DE0"/>
    <w:rsid w:val="00437B69"/>
    <w:rsid w:val="00437F03"/>
    <w:rsid w:val="004436FA"/>
    <w:rsid w:val="004613DB"/>
    <w:rsid w:val="004655B4"/>
    <w:rsid w:val="004679C0"/>
    <w:rsid w:val="004831D8"/>
    <w:rsid w:val="00491450"/>
    <w:rsid w:val="004F019F"/>
    <w:rsid w:val="005364FC"/>
    <w:rsid w:val="00540917"/>
    <w:rsid w:val="00552649"/>
    <w:rsid w:val="00556794"/>
    <w:rsid w:val="005743DA"/>
    <w:rsid w:val="00592D04"/>
    <w:rsid w:val="005C2BBF"/>
    <w:rsid w:val="005D5DB3"/>
    <w:rsid w:val="005D6126"/>
    <w:rsid w:val="005E1B74"/>
    <w:rsid w:val="005E5205"/>
    <w:rsid w:val="005E742B"/>
    <w:rsid w:val="005F68A4"/>
    <w:rsid w:val="006056E2"/>
    <w:rsid w:val="00606A8C"/>
    <w:rsid w:val="0062238B"/>
    <w:rsid w:val="006318DB"/>
    <w:rsid w:val="00653110"/>
    <w:rsid w:val="006602D5"/>
    <w:rsid w:val="0066613B"/>
    <w:rsid w:val="00667B99"/>
    <w:rsid w:val="00676EEC"/>
    <w:rsid w:val="006A0C3B"/>
    <w:rsid w:val="006B544F"/>
    <w:rsid w:val="006E207E"/>
    <w:rsid w:val="006E6E09"/>
    <w:rsid w:val="006F3CB1"/>
    <w:rsid w:val="007226CD"/>
    <w:rsid w:val="00727929"/>
    <w:rsid w:val="00731D55"/>
    <w:rsid w:val="00752960"/>
    <w:rsid w:val="00766EF3"/>
    <w:rsid w:val="007676FF"/>
    <w:rsid w:val="00777360"/>
    <w:rsid w:val="0078100D"/>
    <w:rsid w:val="00781865"/>
    <w:rsid w:val="007A39AC"/>
    <w:rsid w:val="007B0BFC"/>
    <w:rsid w:val="007B158C"/>
    <w:rsid w:val="007B2E4F"/>
    <w:rsid w:val="007B3DE6"/>
    <w:rsid w:val="007B6771"/>
    <w:rsid w:val="007C35BE"/>
    <w:rsid w:val="007D3BAD"/>
    <w:rsid w:val="007D3C0C"/>
    <w:rsid w:val="007E693E"/>
    <w:rsid w:val="00806DC4"/>
    <w:rsid w:val="008119E0"/>
    <w:rsid w:val="008141BF"/>
    <w:rsid w:val="00830E1D"/>
    <w:rsid w:val="00851CD4"/>
    <w:rsid w:val="00872BD7"/>
    <w:rsid w:val="00880334"/>
    <w:rsid w:val="008B540A"/>
    <w:rsid w:val="008C25B4"/>
    <w:rsid w:val="00904E43"/>
    <w:rsid w:val="00931AB8"/>
    <w:rsid w:val="0093661B"/>
    <w:rsid w:val="0096060F"/>
    <w:rsid w:val="00990740"/>
    <w:rsid w:val="00996BC6"/>
    <w:rsid w:val="009B2EC4"/>
    <w:rsid w:val="009B3B2E"/>
    <w:rsid w:val="009E68AF"/>
    <w:rsid w:val="00A0183A"/>
    <w:rsid w:val="00A05F23"/>
    <w:rsid w:val="00A163CD"/>
    <w:rsid w:val="00A306A0"/>
    <w:rsid w:val="00A41AF1"/>
    <w:rsid w:val="00A52CFE"/>
    <w:rsid w:val="00A55488"/>
    <w:rsid w:val="00A557D0"/>
    <w:rsid w:val="00A61911"/>
    <w:rsid w:val="00A84D4C"/>
    <w:rsid w:val="00AA022D"/>
    <w:rsid w:val="00AC0BAE"/>
    <w:rsid w:val="00AD0801"/>
    <w:rsid w:val="00AD19C4"/>
    <w:rsid w:val="00AE50B1"/>
    <w:rsid w:val="00AF00A8"/>
    <w:rsid w:val="00AF12C8"/>
    <w:rsid w:val="00B1523C"/>
    <w:rsid w:val="00B1530D"/>
    <w:rsid w:val="00B40D7C"/>
    <w:rsid w:val="00B41F90"/>
    <w:rsid w:val="00B44A0B"/>
    <w:rsid w:val="00B6056B"/>
    <w:rsid w:val="00B63276"/>
    <w:rsid w:val="00BA60B6"/>
    <w:rsid w:val="00BE71AA"/>
    <w:rsid w:val="00C077DF"/>
    <w:rsid w:val="00C2128A"/>
    <w:rsid w:val="00C333AD"/>
    <w:rsid w:val="00C41423"/>
    <w:rsid w:val="00C4205D"/>
    <w:rsid w:val="00C619C1"/>
    <w:rsid w:val="00C85DAE"/>
    <w:rsid w:val="00CA161A"/>
    <w:rsid w:val="00D03742"/>
    <w:rsid w:val="00D120F4"/>
    <w:rsid w:val="00D172D6"/>
    <w:rsid w:val="00D257D0"/>
    <w:rsid w:val="00D30981"/>
    <w:rsid w:val="00D52D0D"/>
    <w:rsid w:val="00D57F83"/>
    <w:rsid w:val="00D80E86"/>
    <w:rsid w:val="00D87F04"/>
    <w:rsid w:val="00DB7FA6"/>
    <w:rsid w:val="00DD08A5"/>
    <w:rsid w:val="00DF34C3"/>
    <w:rsid w:val="00E03AD9"/>
    <w:rsid w:val="00E0748F"/>
    <w:rsid w:val="00E173AA"/>
    <w:rsid w:val="00E377F5"/>
    <w:rsid w:val="00E461BA"/>
    <w:rsid w:val="00E474F4"/>
    <w:rsid w:val="00E63AF0"/>
    <w:rsid w:val="00E77361"/>
    <w:rsid w:val="00E9022A"/>
    <w:rsid w:val="00EA1CAB"/>
    <w:rsid w:val="00EA2C65"/>
    <w:rsid w:val="00EC0F81"/>
    <w:rsid w:val="00EE2F8E"/>
    <w:rsid w:val="00EE5BC4"/>
    <w:rsid w:val="00F21DFE"/>
    <w:rsid w:val="00F225FC"/>
    <w:rsid w:val="00F315EC"/>
    <w:rsid w:val="00F329AF"/>
    <w:rsid w:val="00F5421C"/>
    <w:rsid w:val="00F63650"/>
    <w:rsid w:val="00F71957"/>
    <w:rsid w:val="00F92DB3"/>
    <w:rsid w:val="00FA573D"/>
    <w:rsid w:val="00FA6150"/>
    <w:rsid w:val="00FA61C3"/>
    <w:rsid w:val="00FD3FDD"/>
    <w:rsid w:val="00FE10DA"/>
    <w:rsid w:val="00FE13FA"/>
    <w:rsid w:val="00FF35A1"/>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A990D"/>
  <w15:chartTrackingRefBased/>
  <w15:docId w15:val="{BA25F187-6AF6-49EE-B968-05201032A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F12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AF12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AF12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0">
    <w:name w:val="Formatvorlage10"/>
    <w:basedOn w:val="berschrift1"/>
    <w:link w:val="Formatvorlage10Zchn"/>
    <w:autoRedefine/>
    <w:qFormat/>
    <w:rsid w:val="00AF12C8"/>
    <w:rPr>
      <w:b/>
      <w:color w:val="000000" w:themeColor="text1"/>
      <w:sz w:val="24"/>
    </w:rPr>
  </w:style>
  <w:style w:type="character" w:customStyle="1" w:styleId="Formatvorlage10Zchn">
    <w:name w:val="Formatvorlage10 Zchn"/>
    <w:basedOn w:val="berschrift1Zchn"/>
    <w:link w:val="Formatvorlage10"/>
    <w:rsid w:val="00AF12C8"/>
    <w:rPr>
      <w:rFonts w:asciiTheme="majorHAnsi" w:eastAsiaTheme="majorEastAsia" w:hAnsiTheme="majorHAnsi" w:cstheme="majorBidi"/>
      <w:b/>
      <w:color w:val="000000" w:themeColor="text1"/>
      <w:sz w:val="24"/>
      <w:szCs w:val="32"/>
      <w:lang w:val="en-US"/>
    </w:rPr>
  </w:style>
  <w:style w:type="character" w:customStyle="1" w:styleId="berschrift1Zchn">
    <w:name w:val="Überschrift 1 Zchn"/>
    <w:basedOn w:val="Absatz-Standardschriftart"/>
    <w:link w:val="berschrift1"/>
    <w:uiPriority w:val="9"/>
    <w:rsid w:val="00AF12C8"/>
    <w:rPr>
      <w:rFonts w:asciiTheme="majorHAnsi" w:eastAsiaTheme="majorEastAsia" w:hAnsiTheme="majorHAnsi" w:cstheme="majorBidi"/>
      <w:color w:val="2F5496" w:themeColor="accent1" w:themeShade="BF"/>
      <w:sz w:val="32"/>
      <w:szCs w:val="32"/>
    </w:rPr>
  </w:style>
  <w:style w:type="paragraph" w:customStyle="1" w:styleId="Formatvorlage11">
    <w:name w:val="Formatvorlage11"/>
    <w:basedOn w:val="berschrift2"/>
    <w:link w:val="Formatvorlage11Zchn"/>
    <w:qFormat/>
    <w:rsid w:val="00AF12C8"/>
    <w:rPr>
      <w:b/>
      <w:color w:val="000000" w:themeColor="text1"/>
      <w:sz w:val="24"/>
    </w:rPr>
  </w:style>
  <w:style w:type="character" w:customStyle="1" w:styleId="Formatvorlage11Zchn">
    <w:name w:val="Formatvorlage11 Zchn"/>
    <w:basedOn w:val="Absatz-Standardschriftart"/>
    <w:link w:val="Formatvorlage11"/>
    <w:rsid w:val="00AF12C8"/>
    <w:rPr>
      <w:rFonts w:asciiTheme="majorHAnsi" w:eastAsiaTheme="majorEastAsia" w:hAnsiTheme="majorHAnsi" w:cstheme="majorBidi"/>
      <w:b/>
      <w:color w:val="000000" w:themeColor="text1"/>
      <w:sz w:val="24"/>
      <w:szCs w:val="26"/>
      <w:lang w:val="en-US"/>
    </w:rPr>
  </w:style>
  <w:style w:type="character" w:customStyle="1" w:styleId="berschrift2Zchn">
    <w:name w:val="Überschrift 2 Zchn"/>
    <w:basedOn w:val="Absatz-Standardschriftart"/>
    <w:link w:val="berschrift2"/>
    <w:uiPriority w:val="9"/>
    <w:semiHidden/>
    <w:rsid w:val="00AF12C8"/>
    <w:rPr>
      <w:rFonts w:asciiTheme="majorHAnsi" w:eastAsiaTheme="majorEastAsia" w:hAnsiTheme="majorHAnsi" w:cstheme="majorBidi"/>
      <w:color w:val="2F5496" w:themeColor="accent1" w:themeShade="BF"/>
      <w:sz w:val="26"/>
      <w:szCs w:val="26"/>
    </w:rPr>
  </w:style>
  <w:style w:type="paragraph" w:customStyle="1" w:styleId="Formatvorlage12">
    <w:name w:val="Formatvorlage12"/>
    <w:basedOn w:val="berschrift3"/>
    <w:link w:val="Formatvorlage12Zchn"/>
    <w:qFormat/>
    <w:rsid w:val="00AF12C8"/>
    <w:rPr>
      <w:b/>
      <w:color w:val="000000" w:themeColor="text1"/>
    </w:rPr>
  </w:style>
  <w:style w:type="character" w:customStyle="1" w:styleId="Formatvorlage12Zchn">
    <w:name w:val="Formatvorlage12 Zchn"/>
    <w:basedOn w:val="berschrift3Zchn"/>
    <w:link w:val="Formatvorlage12"/>
    <w:rsid w:val="00AF12C8"/>
    <w:rPr>
      <w:rFonts w:asciiTheme="majorHAnsi" w:eastAsiaTheme="majorEastAsia" w:hAnsiTheme="majorHAnsi" w:cstheme="majorBidi"/>
      <w:b/>
      <w:color w:val="000000" w:themeColor="text1"/>
      <w:sz w:val="24"/>
      <w:szCs w:val="24"/>
      <w:lang w:val="en-US"/>
    </w:rPr>
  </w:style>
  <w:style w:type="character" w:customStyle="1" w:styleId="berschrift3Zchn">
    <w:name w:val="Überschrift 3 Zchn"/>
    <w:basedOn w:val="Absatz-Standardschriftart"/>
    <w:link w:val="berschrift3"/>
    <w:uiPriority w:val="9"/>
    <w:semiHidden/>
    <w:rsid w:val="00AF12C8"/>
    <w:rPr>
      <w:rFonts w:asciiTheme="majorHAnsi" w:eastAsiaTheme="majorEastAsia" w:hAnsiTheme="majorHAnsi" w:cstheme="majorBidi"/>
      <w:color w:val="1F3763" w:themeColor="accent1" w:themeShade="7F"/>
      <w:sz w:val="24"/>
      <w:szCs w:val="24"/>
    </w:rPr>
  </w:style>
  <w:style w:type="paragraph" w:styleId="Listenabsatz">
    <w:name w:val="List Paragraph"/>
    <w:basedOn w:val="Standard"/>
    <w:uiPriority w:val="34"/>
    <w:qFormat/>
    <w:rsid w:val="00D172D6"/>
    <w:pPr>
      <w:ind w:left="720"/>
      <w:contextualSpacing/>
    </w:pPr>
  </w:style>
  <w:style w:type="table" w:styleId="Tabellenraster">
    <w:name w:val="Table Grid"/>
    <w:basedOn w:val="NormaleTabelle"/>
    <w:uiPriority w:val="39"/>
    <w:rsid w:val="00574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E2F8E"/>
    <w:rPr>
      <w:color w:val="808080"/>
    </w:rPr>
  </w:style>
  <w:style w:type="paragraph" w:customStyle="1" w:styleId="CitaviBibliographyEntry">
    <w:name w:val="Citavi Bibliography Entry"/>
    <w:basedOn w:val="Standard"/>
    <w:next w:val="Standard"/>
    <w:rsid w:val="00D30981"/>
    <w:pPr>
      <w:spacing w:after="120"/>
    </w:pPr>
    <w:rPr>
      <w:rFonts w:eastAsiaTheme="minorEastAsia"/>
    </w:rPr>
  </w:style>
  <w:style w:type="paragraph" w:customStyle="1" w:styleId="CitaviBibliographyHeading">
    <w:name w:val="Citavi Bibliography Heading"/>
    <w:basedOn w:val="berschrift1"/>
    <w:rsid w:val="00D30981"/>
    <w:rPr>
      <w:rFonts w:hAnsiTheme="minorHAnsi"/>
    </w:rPr>
  </w:style>
  <w:style w:type="paragraph" w:customStyle="1" w:styleId="SWCText">
    <w:name w:val="SWC_Text"/>
    <w:qFormat/>
    <w:rsid w:val="00103A49"/>
    <w:pPr>
      <w:widowControl w:val="0"/>
      <w:spacing w:after="120" w:line="276" w:lineRule="auto"/>
      <w:jc w:val="both"/>
    </w:pPr>
    <w:rPr>
      <w:rFonts w:ascii="Times New Roman" w:eastAsia="Times New Roman" w:hAnsi="Times New Roman" w:cs="Times New Roman"/>
      <w:color w:val="000000"/>
      <w:sz w:val="20"/>
      <w:lang w:eastAsia="de-DE"/>
    </w:rPr>
  </w:style>
  <w:style w:type="paragraph" w:customStyle="1" w:styleId="SWCTitle">
    <w:name w:val="SWC_Title"/>
    <w:basedOn w:val="Standard"/>
    <w:qFormat/>
    <w:rsid w:val="00103A49"/>
    <w:pPr>
      <w:spacing w:before="360" w:after="120" w:line="280" w:lineRule="exact"/>
      <w:jc w:val="center"/>
    </w:pPr>
    <w:rPr>
      <w:rFonts w:ascii="Arial" w:eastAsia="Times New Roman" w:hAnsi="Arial" w:cs="Times New Roman"/>
      <w:b/>
      <w:color w:val="000000"/>
      <w:sz w:val="24"/>
      <w:szCs w:val="24"/>
      <w:lang w:eastAsia="de-DE"/>
    </w:rPr>
  </w:style>
  <w:style w:type="paragraph" w:customStyle="1" w:styleId="SWCSummary">
    <w:name w:val="SWC_Summary"/>
    <w:basedOn w:val="Standard"/>
    <w:link w:val="SWCSummaryCar"/>
    <w:qFormat/>
    <w:rsid w:val="00103A49"/>
    <w:pPr>
      <w:spacing w:before="360" w:after="120" w:line="280" w:lineRule="exact"/>
      <w:jc w:val="center"/>
    </w:pPr>
    <w:rPr>
      <w:rFonts w:ascii="Arial" w:eastAsia="Times New Roman" w:hAnsi="Arial" w:cs="Times New Roman"/>
      <w:b/>
      <w:color w:val="000000"/>
      <w:sz w:val="20"/>
      <w:szCs w:val="24"/>
      <w:lang w:eastAsia="de-DE"/>
    </w:rPr>
  </w:style>
  <w:style w:type="character" w:customStyle="1" w:styleId="SWCSummaryCar">
    <w:name w:val="SWC_Summary Car"/>
    <w:basedOn w:val="Absatz-Standardschriftart"/>
    <w:link w:val="SWCSummary"/>
    <w:rsid w:val="00103A49"/>
    <w:rPr>
      <w:rFonts w:ascii="Arial" w:eastAsia="Times New Roman" w:hAnsi="Arial" w:cs="Times New Roman"/>
      <w:b/>
      <w:color w:val="000000"/>
      <w:sz w:val="20"/>
      <w:szCs w:val="24"/>
      <w:lang w:eastAsia="de-DE"/>
    </w:rPr>
  </w:style>
  <w:style w:type="paragraph" w:customStyle="1" w:styleId="SWCHeading1">
    <w:name w:val="SWC_Heading1"/>
    <w:next w:val="Standard"/>
    <w:link w:val="SWCHeading1Car"/>
    <w:qFormat/>
    <w:rsid w:val="00103A49"/>
    <w:pPr>
      <w:spacing w:before="360" w:after="120" w:line="280" w:lineRule="exact"/>
      <w:jc w:val="center"/>
    </w:pPr>
    <w:rPr>
      <w:rFonts w:ascii="Arial" w:eastAsia="Times New Roman" w:hAnsi="Arial" w:cs="Times New Roman"/>
      <w:b/>
      <w:color w:val="000000"/>
      <w:sz w:val="20"/>
      <w:szCs w:val="24"/>
      <w:lang w:eastAsia="de-DE"/>
    </w:rPr>
  </w:style>
  <w:style w:type="character" w:customStyle="1" w:styleId="SWCHeading1Car">
    <w:name w:val="SWC_Heading1 Car"/>
    <w:basedOn w:val="Absatz-Standardschriftart"/>
    <w:link w:val="SWCHeading1"/>
    <w:rsid w:val="00103A49"/>
    <w:rPr>
      <w:rFonts w:ascii="Arial" w:eastAsia="Times New Roman" w:hAnsi="Arial" w:cs="Times New Roman"/>
      <w:b/>
      <w:color w:val="000000"/>
      <w:sz w:val="20"/>
      <w:szCs w:val="24"/>
      <w:lang w:eastAsia="de-DE"/>
    </w:rPr>
  </w:style>
  <w:style w:type="character" w:styleId="Kommentarzeichen">
    <w:name w:val="annotation reference"/>
    <w:basedOn w:val="Absatz-Standardschriftart"/>
    <w:uiPriority w:val="99"/>
    <w:semiHidden/>
    <w:unhideWhenUsed/>
    <w:rsid w:val="00FF35A1"/>
    <w:rPr>
      <w:sz w:val="16"/>
      <w:szCs w:val="16"/>
    </w:rPr>
  </w:style>
  <w:style w:type="paragraph" w:styleId="Kommentartext">
    <w:name w:val="annotation text"/>
    <w:basedOn w:val="Standard"/>
    <w:link w:val="KommentartextZchn"/>
    <w:uiPriority w:val="99"/>
    <w:semiHidden/>
    <w:unhideWhenUsed/>
    <w:rsid w:val="00FF35A1"/>
    <w:pPr>
      <w:spacing w:line="240" w:lineRule="auto"/>
    </w:pPr>
    <w:rPr>
      <w:sz w:val="20"/>
      <w:szCs w:val="20"/>
      <w:lang w:val="de-AT"/>
    </w:rPr>
  </w:style>
  <w:style w:type="character" w:customStyle="1" w:styleId="KommentartextZchn">
    <w:name w:val="Kommentartext Zchn"/>
    <w:basedOn w:val="Absatz-Standardschriftart"/>
    <w:link w:val="Kommentartext"/>
    <w:uiPriority w:val="99"/>
    <w:semiHidden/>
    <w:rsid w:val="00FF35A1"/>
    <w:rPr>
      <w:sz w:val="20"/>
      <w:szCs w:val="20"/>
      <w:lang w:val="de-AT"/>
    </w:rPr>
  </w:style>
  <w:style w:type="paragraph" w:styleId="berarbeitung">
    <w:name w:val="Revision"/>
    <w:hidden/>
    <w:uiPriority w:val="99"/>
    <w:semiHidden/>
    <w:rsid w:val="00AA022D"/>
    <w:pPr>
      <w:spacing w:after="0" w:line="240" w:lineRule="auto"/>
    </w:pPr>
  </w:style>
  <w:style w:type="paragraph" w:styleId="Kommentarthema">
    <w:name w:val="annotation subject"/>
    <w:basedOn w:val="Kommentartext"/>
    <w:next w:val="Kommentartext"/>
    <w:link w:val="KommentarthemaZchn"/>
    <w:uiPriority w:val="99"/>
    <w:semiHidden/>
    <w:unhideWhenUsed/>
    <w:rsid w:val="00AA022D"/>
    <w:rPr>
      <w:b/>
      <w:bCs/>
      <w:lang w:val="en-US"/>
    </w:rPr>
  </w:style>
  <w:style w:type="character" w:customStyle="1" w:styleId="KommentarthemaZchn">
    <w:name w:val="Kommentarthema Zchn"/>
    <w:basedOn w:val="KommentartextZchn"/>
    <w:link w:val="Kommentarthema"/>
    <w:uiPriority w:val="99"/>
    <w:semiHidden/>
    <w:rsid w:val="00AA022D"/>
    <w:rPr>
      <w:b/>
      <w:bCs/>
      <w:sz w:val="20"/>
      <w:szCs w:val="20"/>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22192">
      <w:bodyDiv w:val="1"/>
      <w:marLeft w:val="0"/>
      <w:marRight w:val="0"/>
      <w:marTop w:val="0"/>
      <w:marBottom w:val="0"/>
      <w:divBdr>
        <w:top w:val="none" w:sz="0" w:space="0" w:color="auto"/>
        <w:left w:val="none" w:sz="0" w:space="0" w:color="auto"/>
        <w:bottom w:val="none" w:sz="0" w:space="0" w:color="auto"/>
        <w:right w:val="none" w:sz="0" w:space="0" w:color="auto"/>
      </w:divBdr>
    </w:div>
    <w:div w:id="305940721">
      <w:bodyDiv w:val="1"/>
      <w:marLeft w:val="0"/>
      <w:marRight w:val="0"/>
      <w:marTop w:val="0"/>
      <w:marBottom w:val="0"/>
      <w:divBdr>
        <w:top w:val="none" w:sz="0" w:space="0" w:color="auto"/>
        <w:left w:val="none" w:sz="0" w:space="0" w:color="auto"/>
        <w:bottom w:val="none" w:sz="0" w:space="0" w:color="auto"/>
        <w:right w:val="none" w:sz="0" w:space="0" w:color="auto"/>
      </w:divBdr>
    </w:div>
    <w:div w:id="483353910">
      <w:bodyDiv w:val="1"/>
      <w:marLeft w:val="0"/>
      <w:marRight w:val="0"/>
      <w:marTop w:val="0"/>
      <w:marBottom w:val="0"/>
      <w:divBdr>
        <w:top w:val="none" w:sz="0" w:space="0" w:color="auto"/>
        <w:left w:val="none" w:sz="0" w:space="0" w:color="auto"/>
        <w:bottom w:val="none" w:sz="0" w:space="0" w:color="auto"/>
        <w:right w:val="none" w:sz="0" w:space="0" w:color="auto"/>
      </w:divBdr>
    </w:div>
    <w:div w:id="766003904">
      <w:bodyDiv w:val="1"/>
      <w:marLeft w:val="0"/>
      <w:marRight w:val="0"/>
      <w:marTop w:val="0"/>
      <w:marBottom w:val="0"/>
      <w:divBdr>
        <w:top w:val="none" w:sz="0" w:space="0" w:color="auto"/>
        <w:left w:val="none" w:sz="0" w:space="0" w:color="auto"/>
        <w:bottom w:val="none" w:sz="0" w:space="0" w:color="auto"/>
        <w:right w:val="none" w:sz="0" w:space="0" w:color="auto"/>
      </w:divBdr>
    </w:div>
    <w:div w:id="10814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86D5F9-858A-411E-9870-43356B832F19}">
  <we:reference id="wa200002891" version="2021.3.29.10" store="de-DE" storeType="OMEX"/>
  <we:alternateReferences>
    <we:reference id="WA200002891" version="2021.3.29.10" store="" storeType="OMEX"/>
  </we:alternateReferences>
  <we:properties>
    <we:property name="CitaviDocumentProperty_1007" value="&quot;ffe8ebe1-f4eb-8534-da79-7197ad7a373b&quot;"/>
    <we:property name="CitaviDocumentProperty_1008" value="&quot;references&quot;"/>
    <we:property name="CitaviDocumentProperty_18" value="7"/>
    <we:property name="CitaviDocumentProperty_19" value="8"/>
    <we:property name="CitaviDocumentProperty_31" value="&quot;jiz7zxpv608lfsp2borb1635vxj4cqxrtu7qwwlu&quot;"/>
    <we:property name="CitaviDocumentProperty_33" value="&quot;{\&quot;CitationSystem\&quot;:1,\&quot;FileName\&quot;:\&quot;Solar Energy.ccs\&quot;,\&quot;Name\&quot;:\&quot;Solar Energy\&quot;,\&quot;Id\&quot;:\&quot;e8ceae4f-6963-4f46-bcdd-671333c32e44\&quot;,\&quot;Version\&quot;:3,\&quot;preview\&quot;:{\&quot;book\&quot;:\&quot;&lt;div&gt;&lt;p style=\\\&quot;margin:0pt 0pt 0pt 17pt; text-indent:-17pt\\\&quot;&gt;&lt;span style=\\\&quot;\\\&quot;&gt;Sukowski&lt;/span&gt;&lt;span style=\\\&quot;\\\&quot;&gt;, &lt;/span&gt;&lt;span style=\\\&quot;\\\&quot;&gt;R.W.&lt;/span&gt;&lt;span style=\\\&quot;\\\&quot;&gt;, &lt;/span&gt;&lt;span style=\\\&quot;\\\&quot;&gt;2009&lt;/span&gt;&lt;span style=\\\&quot;\\\&quot;&gt;. &lt;/span&gt;&lt;span style=\\\&quot;\\\&quot;&gt;Golden rules for writing well&lt;/span&gt;&lt;span style=\\\&quot;\\\&quot;&gt;, &lt;/span&gt;&lt;span style=\\\&quot;\\\&quot;&gt;2&lt;/span&gt;&lt;span style=\\\&quot;\\\&quot;&gt;nd&lt;/span&gt;&lt;span style=\\\&quot;\\\&quot;&gt; &lt;/span&gt;&lt;span style=\\\&quot;\\\&quot;&gt;ed.&lt;/span&gt;&lt;span style=\\\&quot;\\\&quot;&gt; &lt;/span&gt;&lt;span style=\\\&quot;\\\&quot;&gt;University Press&lt;/span&gt;&lt;span style=\\\&quot;\\\&quot;&gt;, &lt;/span&gt;&lt;span style=\\\&quot;\\\&quot;&gt;Toronto&lt;/span&gt;&lt;span style=\\\&quot;\\\&quot;&gt;.&lt;/span&gt;&lt;/p&gt;&lt;/div&gt;\&quot;,\&quot;contribution\&quot;:\&quot;&lt;div&gt;&lt;p style=\\\&quot;margin:0pt 0pt 0pt 17pt; text-indent:-17pt\\\&quot;&gt;&lt;span style=\\\&quot;\\\&quot;&gt;Twain&lt;/span&gt;&lt;span style=\\\&quot;\\\&quot;&gt;, &lt;/span&gt;&lt;span style=\\\&quot;\\\&quot;&gt;E.&lt;/span&gt;&lt;span style=\\\&quot;\\\&quot;&gt;, &lt;/span&gt;&lt;span style=\\\&quot;\\\&quot;&gt;Singer&lt;/span&gt;&lt;span style=\\\&quot;\\\&quot;&gt;, &lt;/span&gt;&lt;span style=\\\&quot;\\\&quot;&gt;P.&lt;/span&gt;&lt;span style=\\\&quot;\\\&quot;&gt;, &lt;/span&gt;&lt;span style=\\\&quot;\\\&quot;&gt;2004&lt;/span&gt;&lt;span style=\\\&quot;\\\&quot;&gt;. &lt;/span&gt;&lt;span style=\\\&quot;\\\&quot;&gt;Structuring your knowledge&lt;/span&gt;&lt;span style=\\\&quot;\\\&quot;&gt;, &lt;/span&gt;&lt;span style=\\\&quot;\\\&quot;&gt;in:&lt;/span&gt;&lt;span style=\\\&quot;\\\&quot;&gt;&amp;#xa0;&lt;/span&gt;&lt;span style=\\\&quot;\\\&quot;&gt;Frey&lt;/span&gt;&lt;span style=\\\&quot;\\\&quot;&gt;, &lt;/span&gt;&lt;span style=\\\&quot;\\\&quot;&gt;F.&lt;/span&gt;&lt;span style=\\\&quot;\\\&quot;&gt; (&lt;/span&gt;&lt;span style=\\\&quot;\\\&quot;&gt;Ed.)&lt;/span&gt;&lt;span style=\\\&quot;\\\&quot;&gt;, &lt;/span&gt;&lt;span style=\\\&quot;\\\&quot;&gt;The art of writing&lt;/span&gt;&lt;span style=\\\&quot;\\\&quot;&gt;, &lt;/span&gt;&lt;span style=\\\&quot;\\\&quot;&gt;vol. &lt;/span&gt;&lt;span style=\\\&quot;\\\&quot;&gt;1&lt;/span&gt;&lt;span style=\\\&quot;\\\&quot;&gt;, &lt;/span&gt;&lt;span style=\\\&quot;\\\&quot;&gt;2&lt;/span&gt;&lt;span style=\\\&quot;\\\&quot;&gt;nd&lt;/span&gt;&lt;span style=\\\&quot;\\\&quot;&gt; &lt;/span&gt;&lt;span style=\\\&quot;\\\&quot;&gt;ed.&lt;/span&gt;&lt;span style=\\\&quot;\\\&quot;&gt; &lt;/span&gt;&lt;span style=\\\&quot;\\\&quot;&gt;Quickpress&lt;/span&gt;&lt;span style=\\\&quot;\\\&quot;&gt;, &lt;/span&gt;&lt;span style=\\\&quot;\\\&quot;&gt;Sheffield&lt;/span&gt;&lt;span style=\\\&quot;\\\&quot;&gt;, &lt;/span&gt;&lt;span style=\\\&quot;\\\&quot;&gt;pp. &lt;/span&gt;&lt;span style=\\\&quot;\\\&quot;&gt;88&lt;/span&gt;&lt;span style=\\\&quot;\\\&quot;&gt;–&lt;/span&gt;&lt;span style=\\\&quot;\\\&quot;&gt;170&lt;/span&gt;&lt;span style=\\\&quot;\\\&quot;&gt;.&lt;/span&gt;&lt;/p&gt;&lt;/div&gt;\&quot;,\&quot;footnote\&quot;:\&quot;\&quot;,\&quot;intext\&quot;:\&quot;&lt;div&gt;&lt;p style=\\\&quot;margin:0pt 0pt 6pt\\\&quot;&gt;&lt;span style=\\\&quot;\\\&quot;&gt;(&lt;/span&gt;&lt;span style=\\\&quot;\\\&quot;&gt;Brown&lt;/span&gt;&lt;span style=\\\&quot;\\\&quot;&gt; &lt;/span&gt;&lt;span style=\\\&quot;\\\&quot;&gt;et al.&lt;/span&gt;&lt;span style=\\\&quot;\\\&quot;&gt;, &lt;/span&gt;&lt;span style=\\\&quot;\\\&quot;&gt;2007&lt;/span&gt;&lt;span style=\\\&quot;\\\&quot;&gt;)&lt;/span&gt;&lt;/p&gt;&lt;/div&gt;\&quot;,\&quot;article\&quot;:\&quot;&lt;div&gt;&lt;p style=\\\&quot;margin:0pt 0pt 0pt 17pt; text-indent:-17pt\\\&quot;&gt;&lt;span style=\\\&quot;\\\&quot;&gt;Brown&lt;/span&gt;&lt;span style=\\\&quot;\\\&quot;&gt;, &lt;/span&gt;&lt;span style=\\\&quot;\\\&quot;&gt;C.&lt;/span&gt;&lt;span style=\\\&quot;\\\&quot;&gt;, &lt;/span&gt;&lt;span style=\\\&quot;\\\&quot;&gt;Trefil&lt;/span&gt;&lt;span style=\\\&quot;\\\&quot;&gt;, &lt;/span&gt;&lt;span style=\\\&quot;\\\&quot;&gt;J.&lt;/span&gt;&lt;span style=\\\&quot;\\\&quot;&gt;, &lt;/span&gt;&lt;span style=\\\&quot;\\\&quot;&gt;Caringella&lt;/span&gt;&lt;span style=\\\&quot;\\\&quot;&gt;, &lt;/span&gt;&lt;span style=\\\&quot;\\\&quot;&gt;P.&lt;/span&gt;&lt;span style=\\\&quot;\\\&quot;&gt;, &lt;/span&gt;&lt;span style=\\\&quot;\\\&quot;&gt;2007&lt;/span&gt;&lt;span style=\\\&quot;\\\&quot;&gt;. &lt;/span&gt;&lt;span style=\\\&quot;\\\&quot;&gt;Citing is easy&lt;/span&gt;&lt;span style=\\\&quot;\\\&quot;&gt;. &lt;/span&gt;&lt;span style=\\\&quot;\\\&quot;&gt;Style Review&lt;/span&gt;&lt;span style=\\\&quot;\\\&quot;&gt; &lt;/span&gt;&lt;span style=\\\&quot;\\\&quot;&gt;24&lt;/span&gt;&lt;span style=\\\&quot;\\\&quot;&gt; &lt;/span&gt;&lt;span style=\\\&quot;\\\&quot;&gt;(&lt;/span&gt;&lt;span style=\\\&quot;\\\&quot;&gt;2&lt;/span&gt;&lt;span style=\\\&quot;\\\&quot;&gt;)&lt;/span&gt;&lt;span style=\\\&quot;\\\&quot;&gt;, &lt;/span&gt;&lt;span style=\\\&quot;\\\&quot;&gt;10&lt;/span&gt;&lt;span style=\\\&quot;\\\&quot;&gt;–&lt;/span&gt;&lt;span style=\\\&quot;\\\&quot;&gt;19&lt;/span&gt;&lt;span style=\\\&quot;\\\&quot;&gt;.&lt;/span&gt;&lt;/p&gt;&lt;/div&gt;\&quot;},\&quot;helpContext\&quot;:\&quot;&lt;span style=\\\&quot;  \\\&quot; class=\\\&quot;ms-fontWeight-semibold\\\&quot;&gt;Distinctive Feature:&lt;/span&gt;&lt;br style=\\\&quot;\\\&quot;&gt;&lt;span style=\\\&quot;  font-weight:normal\\\&quot;&gt;The bibliography is sorted alphabetically. The author’s last name and the year of publication are used as the citation key in the text.&lt;/span&gt;&lt;br/&gt;&lt;br/&gt;&lt;span style=\\\&quot;  \\\&quot; class=\\\&quot;ms-fontWeight-semibold\\\&quot;&gt;Source:&lt;/span&gt;&lt;span style=\\\&quot;  font-weight:normal\\\&quot;&gt; &lt;/span&gt;&lt;br style=\\\&quot;\\\&quot;&gt;&lt;span style=\\\&quot;  font-weight:normal\\\&quot;&gt;Elsevier, 2010. Ecological Indicators. &lt;a class='wordbreak' href=\\\&quot;http://www.elsevier.com/wps/find/journaldescription.cws_home/329/authorinstructions\\\&quot; title=\\\&quot;http://www.elsevier.com/wps/find/journaldescription.cws_home/329/authorinstructions\\\&quot;&gt;http://www.elsevier.com/wps/find/journaldescription.cws_home/329/authorinstructions&lt;/a&gt;#68000. Accessed 11 November 2010.&lt;/span&gt;&lt;br/&gt;\&quot;}&quot;"/>
    <we:property name="CitaviDocumentProperty_34" value="19"/>
    <we:property name="CitaviDocumentProperty_7" value="&quot;EuroSun&quot;"/>
    <we:property name="CitaviDocumentProperty_8" value="&quot;WestEurope&quot;"/>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A4D3F-F63D-4142-8CFC-0FC347974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10397</Words>
  <Characters>59269</Characters>
  <Application>Microsoft Office Word</Application>
  <DocSecurity>0</DocSecurity>
  <Lines>493</Lines>
  <Paragraphs>139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Forndran, Sandra Julia</dc:creator>
  <cp:keywords/>
  <dc:description/>
  <cp:lastModifiedBy>Forndran, Sandra Julia</cp:lastModifiedBy>
  <cp:revision>10</cp:revision>
  <dcterms:created xsi:type="dcterms:W3CDTF">2026-09-02T08:20:00Z</dcterms:created>
  <dcterms:modified xsi:type="dcterms:W3CDTF">2026-09-03T13:53:00Z</dcterms:modified>
</cp:coreProperties>
</file>