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31D56" w14:textId="77777777" w:rsidR="004D7E97" w:rsidRDefault="00000000">
      <w:pPr>
        <w:pBdr>
          <w:top w:val="nil"/>
          <w:left w:val="nil"/>
          <w:bottom w:val="nil"/>
          <w:right w:val="nil"/>
          <w:between w:val="nil"/>
        </w:pBdr>
        <w:spacing w:before="360" w:after="120" w:line="280" w:lineRule="auto"/>
        <w:jc w:val="center"/>
        <w:rPr>
          <w:rFonts w:ascii="Arial" w:eastAsia="Arial" w:hAnsi="Arial" w:cs="Arial"/>
          <w:b/>
          <w:bCs/>
          <w:color w:val="000000"/>
          <w:sz w:val="28"/>
          <w:szCs w:val="28"/>
        </w:rPr>
      </w:pPr>
      <w:r>
        <w:rPr>
          <w:rFonts w:ascii="Arial" w:eastAsia="Arial" w:hAnsi="Arial" w:cs="Arial"/>
          <w:b/>
          <w:bCs/>
          <w:color w:val="000000"/>
          <w:sz w:val="28"/>
          <w:szCs w:val="28"/>
        </w:rPr>
        <w:t>EuroSun2026</w:t>
      </w:r>
    </w:p>
    <w:p w14:paraId="7EF9738F" w14:textId="77777777" w:rsidR="004D7E97" w:rsidRDefault="00000000">
      <w:pPr>
        <w:jc w:val="center"/>
        <w:rPr>
          <w:rFonts w:ascii="Arial" w:eastAsia="Arial" w:hAnsi="Arial" w:cs="Arial"/>
          <w:b/>
          <w:bCs/>
          <w:sz w:val="28"/>
          <w:szCs w:val="28"/>
        </w:rPr>
      </w:pPr>
      <w:r>
        <w:rPr>
          <w:rFonts w:ascii="Arial" w:eastAsia="Arial" w:hAnsi="Arial" w:cs="Arial"/>
          <w:b/>
          <w:bCs/>
          <w:sz w:val="28"/>
          <w:szCs w:val="28"/>
        </w:rPr>
        <w:t>MEASUREMENT SYSTEM DESIGN FOR THE EXPERIMENTAL EVALUATION OF HIGH-VACUUM MULTILAYER INSULATION IN MID-TEMPERATURE APPLICATIONS</w:t>
      </w:r>
    </w:p>
    <w:p w14:paraId="42D336F3" w14:textId="40D79585" w:rsidR="004D7E97" w:rsidRDefault="00000000">
      <w:pPr>
        <w:pBdr>
          <w:top w:val="nil"/>
          <w:left w:val="nil"/>
          <w:bottom w:val="nil"/>
          <w:right w:val="nil"/>
          <w:between w:val="nil"/>
        </w:pBdr>
        <w:spacing w:after="120" w:line="280" w:lineRule="auto"/>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rPr>
        <w:t>Fabio Capolupo</w:t>
      </w:r>
      <w:r>
        <w:rPr>
          <w:rFonts w:ascii="Times New Roman" w:eastAsia="Times New Roman" w:hAnsi="Times New Roman" w:cs="Times New Roman"/>
          <w:color w:val="000000"/>
          <w:sz w:val="20"/>
          <w:szCs w:val="20"/>
          <w:vertAlign w:val="superscript"/>
        </w:rPr>
        <w:t>1,2</w:t>
      </w:r>
      <w:r>
        <w:rPr>
          <w:rFonts w:ascii="Times New Roman" w:eastAsia="Times New Roman" w:hAnsi="Times New Roman" w:cs="Times New Roman"/>
          <w:color w:val="000000"/>
          <w:sz w:val="20"/>
          <w:szCs w:val="20"/>
        </w:rPr>
        <w:t xml:space="preserve"> (corresponding author), Rossana Riccardi</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Annalisa Di Napoli</w:t>
      </w:r>
      <w:r>
        <w:rPr>
          <w:rFonts w:ascii="Times New Roman" w:eastAsia="Times New Roman" w:hAnsi="Times New Roman" w:cs="Times New Roman"/>
          <w:color w:val="000000"/>
          <w:sz w:val="20"/>
          <w:szCs w:val="20"/>
          <w:vertAlign w:val="superscript"/>
        </w:rPr>
        <w:t>1,2</w:t>
      </w:r>
      <w:r>
        <w:rPr>
          <w:rFonts w:ascii="Times New Roman" w:eastAsia="Times New Roman" w:hAnsi="Times New Roman" w:cs="Times New Roman"/>
          <w:color w:val="000000"/>
          <w:sz w:val="20"/>
          <w:szCs w:val="20"/>
        </w:rPr>
        <w:t>, Mara Pesapane</w:t>
      </w:r>
      <w:r>
        <w:rPr>
          <w:rFonts w:ascii="Times New Roman" w:eastAsia="Times New Roman" w:hAnsi="Times New Roman" w:cs="Times New Roman"/>
          <w:color w:val="000000"/>
          <w:sz w:val="20"/>
          <w:szCs w:val="20"/>
          <w:vertAlign w:val="superscript"/>
        </w:rPr>
        <w:t>1,2</w:t>
      </w:r>
      <w:r>
        <w:rPr>
          <w:rFonts w:ascii="Times New Roman" w:eastAsia="Times New Roman" w:hAnsi="Times New Roman" w:cs="Times New Roman"/>
          <w:color w:val="000000"/>
          <w:sz w:val="20"/>
          <w:szCs w:val="20"/>
        </w:rPr>
        <w:t>, Alessandro Vitaliano Anacreonte</w:t>
      </w:r>
      <w:r>
        <w:rPr>
          <w:rFonts w:ascii="Times New Roman" w:eastAsia="Times New Roman" w:hAnsi="Times New Roman" w:cs="Times New Roman"/>
          <w:color w:val="000000"/>
          <w:sz w:val="20"/>
          <w:szCs w:val="20"/>
          <w:vertAlign w:val="superscript"/>
        </w:rPr>
        <w:t>1,2</w:t>
      </w:r>
      <w:r>
        <w:rPr>
          <w:rFonts w:ascii="Times New Roman" w:eastAsia="Times New Roman" w:hAnsi="Times New Roman" w:cs="Times New Roman"/>
          <w:color w:val="000000"/>
          <w:sz w:val="20"/>
          <w:szCs w:val="20"/>
        </w:rPr>
        <w:t xml:space="preserve">, </w:t>
      </w:r>
      <w:r w:rsidR="000662BD">
        <w:rPr>
          <w:rFonts w:ascii="Times New Roman" w:eastAsia="Times New Roman" w:hAnsi="Times New Roman" w:cs="Times New Roman"/>
          <w:color w:val="000000"/>
          <w:sz w:val="20"/>
          <w:szCs w:val="20"/>
        </w:rPr>
        <w:t>Carmine D’Alessandro</w:t>
      </w:r>
      <w:r w:rsidR="000662BD">
        <w:rPr>
          <w:rFonts w:ascii="Times New Roman" w:eastAsia="Times New Roman" w:hAnsi="Times New Roman" w:cs="Times New Roman"/>
          <w:color w:val="000000"/>
          <w:sz w:val="20"/>
          <w:szCs w:val="20"/>
          <w:vertAlign w:val="superscript"/>
        </w:rPr>
        <w:t>3</w:t>
      </w:r>
      <w:r w:rsidR="000662BD">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Benedetta Catalano</w:t>
      </w:r>
      <w:r>
        <w:rPr>
          <w:rFonts w:ascii="Times New Roman" w:eastAsia="Times New Roman" w:hAnsi="Times New Roman" w:cs="Times New Roman"/>
          <w:color w:val="000000"/>
          <w:sz w:val="20"/>
          <w:szCs w:val="20"/>
          <w:vertAlign w:val="superscript"/>
        </w:rPr>
        <w:t>2,4</w:t>
      </w:r>
      <w:r>
        <w:rPr>
          <w:rFonts w:ascii="Times New Roman" w:eastAsia="Times New Roman" w:hAnsi="Times New Roman" w:cs="Times New Roman"/>
          <w:color w:val="000000"/>
          <w:sz w:val="20"/>
          <w:szCs w:val="20"/>
        </w:rPr>
        <w:t>, Antonio Caldarelli</w:t>
      </w:r>
      <w:r>
        <w:rPr>
          <w:rFonts w:ascii="Times New Roman" w:eastAsia="Times New Roman" w:hAnsi="Times New Roman" w:cs="Times New Roman"/>
          <w:color w:val="000000"/>
          <w:sz w:val="20"/>
          <w:szCs w:val="20"/>
          <w:vertAlign w:val="superscript"/>
        </w:rPr>
        <w:t>5</w:t>
      </w:r>
      <w:r>
        <w:rPr>
          <w:rFonts w:ascii="Times New Roman" w:eastAsia="Times New Roman" w:hAnsi="Times New Roman" w:cs="Times New Roman"/>
          <w:color w:val="000000"/>
          <w:sz w:val="20"/>
          <w:szCs w:val="20"/>
        </w:rPr>
        <w:t>, Eliana Gaudino</w:t>
      </w:r>
      <w:r>
        <w:rPr>
          <w:rFonts w:ascii="Times New Roman" w:eastAsia="Times New Roman" w:hAnsi="Times New Roman" w:cs="Times New Roman"/>
          <w:color w:val="000000"/>
          <w:sz w:val="20"/>
          <w:szCs w:val="20"/>
          <w:vertAlign w:val="superscript"/>
        </w:rPr>
        <w:t>1,2</w:t>
      </w:r>
      <w:r>
        <w:rPr>
          <w:rFonts w:ascii="Times New Roman" w:eastAsia="Times New Roman" w:hAnsi="Times New Roman" w:cs="Times New Roman"/>
          <w:color w:val="000000"/>
          <w:sz w:val="20"/>
          <w:szCs w:val="20"/>
        </w:rPr>
        <w:t>, Emiliano Di Gennaro</w:t>
      </w:r>
      <w:r>
        <w:rPr>
          <w:rFonts w:ascii="Times New Roman" w:eastAsia="Times New Roman" w:hAnsi="Times New Roman" w:cs="Times New Roman"/>
          <w:color w:val="000000"/>
          <w:sz w:val="20"/>
          <w:szCs w:val="20"/>
          <w:vertAlign w:val="superscript"/>
        </w:rPr>
        <w:t>2,4</w:t>
      </w:r>
      <w:r>
        <w:rPr>
          <w:rFonts w:ascii="Times New Roman" w:eastAsia="Times New Roman" w:hAnsi="Times New Roman" w:cs="Times New Roman"/>
          <w:color w:val="000000"/>
          <w:sz w:val="20"/>
          <w:szCs w:val="20"/>
        </w:rPr>
        <w:t>, Marilena Musto</w:t>
      </w:r>
      <w:r>
        <w:rPr>
          <w:rFonts w:ascii="Times New Roman" w:eastAsia="Times New Roman" w:hAnsi="Times New Roman" w:cs="Times New Roman"/>
          <w:color w:val="000000"/>
          <w:sz w:val="20"/>
          <w:szCs w:val="20"/>
          <w:vertAlign w:val="superscript"/>
        </w:rPr>
        <w:t>1,2</w:t>
      </w:r>
      <w:r>
        <w:rPr>
          <w:rFonts w:ascii="Times New Roman" w:eastAsia="Times New Roman" w:hAnsi="Times New Roman" w:cs="Times New Roman"/>
          <w:color w:val="000000"/>
          <w:sz w:val="20"/>
          <w:szCs w:val="20"/>
        </w:rPr>
        <w:t xml:space="preserve"> and Roberto Russo</w:t>
      </w:r>
      <w:r>
        <w:rPr>
          <w:rFonts w:ascii="Times New Roman" w:eastAsia="Times New Roman" w:hAnsi="Times New Roman" w:cs="Times New Roman"/>
          <w:color w:val="000000"/>
          <w:sz w:val="20"/>
          <w:szCs w:val="20"/>
          <w:vertAlign w:val="superscript"/>
        </w:rPr>
        <w:t>2</w:t>
      </w:r>
    </w:p>
    <w:p w14:paraId="3BEFE7D0" w14:textId="77777777" w:rsidR="004D7E9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Industrial Engineering Department, University of Napoli “Federico II”, Piazzale Vincenzo Tecchio, 80, Napoli, 80125, Italy</w:t>
      </w:r>
    </w:p>
    <w:p w14:paraId="7D9CE0BD" w14:textId="77777777" w:rsidR="004D7E9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Institute of Applied Sciences and Intelligent Systems, National Research Council of Italy, via Pietro Castellino 111, Napoli, 80131, Italy</w:t>
      </w:r>
    </w:p>
    <w:p w14:paraId="0666AC1F" w14:textId="77777777" w:rsidR="004D7E9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 xml:space="preserve"> TVPSOLAR SA, 10 rue du Prè-de-la-Fontaine, 1242 Satigny, Geneva, Switzerland</w:t>
      </w:r>
    </w:p>
    <w:p w14:paraId="2BE5E5AC" w14:textId="77777777" w:rsidR="004D7E97" w:rsidRDefault="0000000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 xml:space="preserve">4 </w:t>
      </w:r>
      <w:r>
        <w:rPr>
          <w:rFonts w:ascii="Times New Roman" w:eastAsia="Times New Roman" w:hAnsi="Times New Roman" w:cs="Times New Roman"/>
          <w:sz w:val="20"/>
          <w:szCs w:val="20"/>
        </w:rPr>
        <w:t>Physics Department, University of Napoli “Federico II”, Via Cinthia, 21, Napoli, 80126, Italy</w:t>
      </w:r>
    </w:p>
    <w:p w14:paraId="2DA8CB1B" w14:textId="77777777" w:rsidR="004D7E9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 xml:space="preserve">5 </w:t>
      </w:r>
      <w:r>
        <w:rPr>
          <w:rFonts w:ascii="Times New Roman" w:eastAsia="Times New Roman" w:hAnsi="Times New Roman" w:cs="Times New Roman"/>
          <w:sz w:val="20"/>
          <w:szCs w:val="20"/>
        </w:rPr>
        <w:t>CNR-SPIN Napoli, c/o Complesso Universitario di Monte Sant’Angelo – Via Cinthia, 21 – Building 6, 80126, Napoli, Italy</w:t>
      </w:r>
    </w:p>
    <w:p w14:paraId="3F84998F" w14:textId="77777777" w:rsidR="004D7E97" w:rsidRDefault="00000000">
      <w:pPr>
        <w:pBdr>
          <w:top w:val="nil"/>
          <w:left w:val="nil"/>
          <w:bottom w:val="nil"/>
          <w:right w:val="nil"/>
          <w:between w:val="nil"/>
        </w:pBdr>
        <w:spacing w:after="120" w:line="28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fabio.capolupo@unina.it; rossanariccardi.1999@gmail.com; annalisa.dinapoli@na.isasi.cnr.it; mara.pesapane@na.isasi.cnr.it; vitalianoalessandro.anacreonte@unina.it; benedetta.catalano@na.isasi.cnr.it; antonio.caldarelli@na.isasi.cnr.it; eliana.gaudino@na.isasi.cnr.it; dalessandro@tvpsolar.com; emiliano.digennaro@unina.it; marilena.musto@unina.it; roberto.russo@na.isasi.cnr.it</w:t>
      </w:r>
    </w:p>
    <w:p w14:paraId="5D03D91E" w14:textId="77777777" w:rsidR="004D7E97" w:rsidRDefault="00000000">
      <w:pPr>
        <w:pBdr>
          <w:top w:val="nil"/>
          <w:left w:val="nil"/>
          <w:bottom w:val="single" w:sz="6" w:space="1" w:color="000000"/>
          <w:right w:val="nil"/>
          <w:between w:val="nil"/>
        </w:pBdr>
        <w:spacing w:before="360" w:after="120" w:line="280" w:lineRule="auto"/>
        <w:jc w:val="center"/>
        <w:rPr>
          <w:rFonts w:ascii="Arial" w:eastAsia="Arial" w:hAnsi="Arial" w:cs="Arial"/>
          <w:b/>
          <w:bCs/>
          <w:color w:val="000000"/>
          <w:sz w:val="20"/>
          <w:szCs w:val="20"/>
        </w:rPr>
      </w:pPr>
      <w:r>
        <w:rPr>
          <w:rFonts w:ascii="Arial" w:eastAsia="Arial" w:hAnsi="Arial" w:cs="Arial"/>
          <w:b/>
          <w:bCs/>
          <w:color w:val="000000"/>
          <w:sz w:val="20"/>
          <w:szCs w:val="20"/>
        </w:rPr>
        <w:t>Summary</w:t>
      </w:r>
    </w:p>
    <w:p w14:paraId="77AD2963" w14:textId="40DB00C8" w:rsidR="004D7E97"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Thermal insulation plays a critical role in improving the efficiency of solar thermal systems by reducing heat losses, particularly in heat transfer fluid pipelines and thermal energy storage applications. High-Vacuum Multilayer Insulation (HVMLI) has demonstrated promising performance due to its ability to minimize heat transfer in the mid-temp</w:t>
      </w:r>
      <w:r>
        <w:rPr>
          <w:rFonts w:ascii="Times New Roman" w:eastAsia="Times New Roman" w:hAnsi="Times New Roman" w:cs="Times New Roman"/>
          <w:sz w:val="20"/>
          <w:szCs w:val="20"/>
        </w:rPr>
        <w:t>erature range up to 250 °C</w:t>
      </w:r>
      <w:r>
        <w:rPr>
          <w:rFonts w:ascii="Times New Roman" w:eastAsia="Times New Roman" w:hAnsi="Times New Roman" w:cs="Times New Roman"/>
          <w:color w:val="000000"/>
          <w:sz w:val="20"/>
          <w:szCs w:val="20"/>
        </w:rPr>
        <w:t xml:space="preserve">. This work identifies the most relevant design parameters through thermal and mechanical analyses and subsequently evaluates the proposed HVMLI configurations experimentally between 100 °C and 250 °C. The proposed apparatus consists of an annular high-vacuum gap containing the HVMLI between two concentric stainless-steel tubes. Experimental tests, </w:t>
      </w:r>
      <w:r>
        <w:rPr>
          <w:rFonts w:ascii="Times New Roman" w:eastAsia="Times New Roman" w:hAnsi="Times New Roman" w:cs="Times New Roman"/>
          <w:sz w:val="20"/>
          <w:szCs w:val="20"/>
        </w:rPr>
        <w:t>based on</w:t>
      </w:r>
      <w:r>
        <w:rPr>
          <w:rFonts w:ascii="Times New Roman" w:eastAsia="Times New Roman" w:hAnsi="Times New Roman" w:cs="Times New Roman"/>
          <w:color w:val="000000"/>
          <w:sz w:val="20"/>
          <w:szCs w:val="20"/>
        </w:rPr>
        <w:t xml:space="preserve"> the </w:t>
      </w:r>
      <w:r>
        <w:rPr>
          <w:rFonts w:ascii="Times New Roman" w:eastAsia="Times New Roman" w:hAnsi="Times New Roman" w:cs="Times New Roman"/>
          <w:sz w:val="20"/>
          <w:szCs w:val="20"/>
        </w:rPr>
        <w:t xml:space="preserve">Guarded Hot Pipe approach to minimize </w:t>
      </w:r>
      <w:r>
        <w:rPr>
          <w:rFonts w:ascii="Times New Roman" w:eastAsia="Times New Roman" w:hAnsi="Times New Roman" w:cs="Times New Roman"/>
          <w:color w:val="000000"/>
          <w:sz w:val="20"/>
          <w:szCs w:val="20"/>
        </w:rPr>
        <w:t>axial heat losses, were conducted on two HVMLI configurations employing one and ten aluminium layers. Both samples exhibited lower thermal losses than conventional rockwool insulation.</w:t>
      </w:r>
      <w:r w:rsidR="00962A45">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While the experimental results confirmed the improved performance of the multilayer configuration, discrepancies with analytical predictions suggest the need for further investigation of </w:t>
      </w:r>
      <w:r w:rsidR="00962A45">
        <w:rPr>
          <w:rFonts w:ascii="Times New Roman" w:eastAsia="Times New Roman" w:hAnsi="Times New Roman" w:cs="Times New Roman"/>
          <w:color w:val="000000"/>
          <w:sz w:val="20"/>
          <w:szCs w:val="20"/>
        </w:rPr>
        <w:t xml:space="preserve">unpredicted </w:t>
      </w:r>
      <w:r>
        <w:rPr>
          <w:rFonts w:ascii="Times New Roman" w:eastAsia="Times New Roman" w:hAnsi="Times New Roman" w:cs="Times New Roman"/>
          <w:color w:val="000000"/>
          <w:sz w:val="20"/>
          <w:szCs w:val="20"/>
        </w:rPr>
        <w:t>heat transfer mechanisms.</w:t>
      </w:r>
    </w:p>
    <w:p w14:paraId="4919C4D5" w14:textId="77777777" w:rsidR="004D7E97" w:rsidRDefault="00000000" w:rsidP="00962A45">
      <w:pPr>
        <w:pBdr>
          <w:top w:val="nil"/>
          <w:left w:val="nil"/>
          <w:bottom w:val="nil"/>
          <w:right w:val="nil"/>
          <w:between w:val="nil"/>
        </w:pBdr>
        <w:spacing w:after="0" w:line="276" w:lineRule="auto"/>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Keywords: High Vacuum, Multilayer Insulation, Guarded Hot Pipe, Measurement System </w:t>
      </w:r>
    </w:p>
    <w:p w14:paraId="7CA1019B" w14:textId="77777777" w:rsidR="004D7E97" w:rsidRDefault="00000000" w:rsidP="00962A45">
      <w:pPr>
        <w:pBdr>
          <w:top w:val="nil"/>
          <w:left w:val="nil"/>
          <w:bottom w:val="nil"/>
          <w:right w:val="nil"/>
          <w:between w:val="nil"/>
        </w:pBdr>
        <w:spacing w:after="0" w:line="276" w:lineRule="auto"/>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Field of application for the findings: Solar thermal fields, Thermal energy storage and distribution </w:t>
      </w:r>
    </w:p>
    <w:p w14:paraId="47C79C88" w14:textId="77777777" w:rsidR="004D7E97" w:rsidRDefault="00000000" w:rsidP="00962A45">
      <w:pPr>
        <w:pBdr>
          <w:top w:val="nil"/>
          <w:left w:val="nil"/>
          <w:bottom w:val="nil"/>
          <w:right w:val="nil"/>
          <w:between w:val="nil"/>
        </w:pBdr>
        <w:spacing w:after="0" w:line="276" w:lineRule="auto"/>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Addressed audience: Researchers, engineers, and industry professionals in solar thermal energy </w:t>
      </w:r>
    </w:p>
    <w:p w14:paraId="4FCCE5BF" w14:textId="77777777" w:rsidR="004D7E97" w:rsidRDefault="00000000">
      <w:pPr>
        <w:numPr>
          <w:ilvl w:val="0"/>
          <w:numId w:val="1"/>
        </w:numPr>
        <w:pBdr>
          <w:top w:val="nil"/>
          <w:left w:val="nil"/>
          <w:bottom w:val="nil"/>
          <w:right w:val="nil"/>
          <w:between w:val="nil"/>
        </w:pBdr>
        <w:spacing w:before="240"/>
        <w:jc w:val="center"/>
        <w:rPr>
          <w:rFonts w:ascii="Arial" w:eastAsia="Arial" w:hAnsi="Arial" w:cs="Arial"/>
          <w:b/>
          <w:bCs/>
          <w:color w:val="000000"/>
          <w:sz w:val="20"/>
          <w:szCs w:val="20"/>
        </w:rPr>
      </w:pPr>
      <w:r>
        <w:rPr>
          <w:rFonts w:ascii="Arial" w:eastAsia="Arial" w:hAnsi="Arial" w:cs="Arial"/>
          <w:b/>
          <w:bCs/>
          <w:color w:val="000000"/>
          <w:sz w:val="20"/>
          <w:szCs w:val="20"/>
        </w:rPr>
        <w:t>Introduction</w:t>
      </w:r>
    </w:p>
    <w:p w14:paraId="0296B026" w14:textId="77777777" w:rsidR="004D7E97" w:rsidRDefault="00000000">
      <w:pPr>
        <w:pBdr>
          <w:top w:val="nil"/>
          <w:left w:val="nil"/>
          <w:bottom w:val="nil"/>
          <w:right w:val="nil"/>
          <w:between w:val="nil"/>
        </w:pBdr>
        <w:spacing w:before="280"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concept of thermal insulation is fundamental for limiting heat transfer within a system and plays a central role in current strategies for energy transport and conservation. Enhancing insulation performance substantially decreases energy consumption, thereby supporting global efforts to mitigate climate change.</w:t>
      </w:r>
    </w:p>
    <w:p w14:paraId="69F05A86" w14:textId="336C0E8C"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Global energy consumption is primarily distributed among four main sectors: industry, buildings, transportation, and agriculture. In all these sectors, fluid distribution pipelines are often characterized by non-optimized thermal performance</w:t>
      </w:r>
      <w:r w:rsidR="00F37C02">
        <w:rPr>
          <w:rFonts w:ascii="Times New Roman" w:eastAsia="Times New Roman" w:hAnsi="Times New Roman" w:cs="Times New Roman"/>
          <w:color w:val="000000"/>
          <w:sz w:val="20"/>
          <w:szCs w:val="20"/>
        </w:rPr>
        <w:t xml:space="preserve"> </w:t>
      </w:r>
      <w:r w:rsidR="00F37C02">
        <w:rPr>
          <w:rFonts w:ascii="Times New Roman" w:eastAsia="Times New Roman" w:hAnsi="Times New Roman" w:cs="Times New Roman"/>
          <w:color w:val="000000"/>
          <w:sz w:val="20"/>
          <w:szCs w:val="20"/>
        </w:rPr>
        <w:fldChar w:fldCharType="begin"/>
      </w:r>
      <w:r w:rsidR="00F37C02">
        <w:rPr>
          <w:rFonts w:ascii="Times New Roman" w:eastAsia="Times New Roman" w:hAnsi="Times New Roman" w:cs="Times New Roman"/>
          <w:color w:val="000000"/>
          <w:sz w:val="20"/>
          <w:szCs w:val="20"/>
        </w:rPr>
        <w:instrText xml:space="preserve"> ADDIN ZOTERO_ITEM CSL_CITATION {"citationID":"OcKc65DK","properties":{"unsorted":false,"formattedCitation":"(Lund and Mohammadi, 2016)","plainCitation":"(Lund and Mohammadi, 2016)","noteIndex":0},"citationItems":[{"id":76,"uris":["http://zotero.org/users/11848684/items/A5U9S29D"],"itemData":{"id":76,"type":"article-journal","abstract":"Reducing heat losses from the pipe networks in district heating (DH) systems is one of the main challenges when developing DH in the future. Fourth generation DH is a concept that deﬁnes the role of DH in future smart energy systems as an integrated part together with smart electricity grids and smart gas grids. Improving DH pipes by improving the insulation standard results in decreasing the heat and temperature losses from the pipe networks. When reducing heat losses from DH pipes, there is a trade-off between the increasing cost of pipe insulation and the associated savings in the heat supply system. This study presents a methodology to describe this balance for a speciﬁc case and its application for the case of Denmark.","container-title":"Applied Thermal Engineering","DOI":"10.1016/j.applthermaleng.2015.12.015","ISSN":"13594311","journalAbbreviation":"Applied Thermal Engineering","language":"en","page":"256-264","source":"DOI.org (Crossref)","title":"Choice of insulation standard for pipe networks in 4 th generation district heating systems","volume":"98","author":[{"family":"Lund","given":"Rasmus"},{"family":"Mohammadi","given":"Soma"}],"issued":{"date-parts":[["2016",4]]}}}],"schema":"https://github.com/citation-style-language/schema/raw/master/csl-citation.json"} </w:instrText>
      </w:r>
      <w:r w:rsidR="00F37C02">
        <w:rPr>
          <w:rFonts w:ascii="Times New Roman" w:eastAsia="Times New Roman" w:hAnsi="Times New Roman" w:cs="Times New Roman"/>
          <w:color w:val="000000"/>
          <w:sz w:val="20"/>
          <w:szCs w:val="20"/>
        </w:rPr>
        <w:fldChar w:fldCharType="separate"/>
      </w:r>
      <w:r w:rsidR="00F37C02" w:rsidRPr="00F37C02">
        <w:rPr>
          <w:rFonts w:ascii="Times New Roman" w:hAnsi="Times New Roman" w:cs="Times New Roman"/>
          <w:sz w:val="20"/>
        </w:rPr>
        <w:t>(Lund and Mohammadi, 2016)</w:t>
      </w:r>
      <w:r w:rsidR="00F37C02">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w:t>
      </w:r>
    </w:p>
    <w:p w14:paraId="44CDB3C7" w14:textId="68832D46"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large temperature difference between the Heat Transfer Fluid (HTF), typically operating between 100 °C and 250 °C, and the surrounding environment leads to significant thermal losses. Consequently, the HTF temperature decreases along the pipeline, negatively affecting the overall efficiency of the system. Effective </w:t>
      </w:r>
      <w:r>
        <w:rPr>
          <w:rFonts w:ascii="Times New Roman" w:eastAsia="Times New Roman" w:hAnsi="Times New Roman" w:cs="Times New Roman"/>
          <w:color w:val="000000"/>
          <w:sz w:val="20"/>
          <w:szCs w:val="20"/>
        </w:rPr>
        <w:lastRenderedPageBreak/>
        <w:t>pipe insulation is therefore essential to maintain a constant HTF temperature throughout the distribution network and minimize heat losses</w:t>
      </w:r>
      <w:r w:rsidR="00F37C02">
        <w:rPr>
          <w:rFonts w:ascii="Times New Roman" w:eastAsia="Times New Roman" w:hAnsi="Times New Roman" w:cs="Times New Roman"/>
          <w:color w:val="000000"/>
          <w:sz w:val="20"/>
          <w:szCs w:val="20"/>
        </w:rPr>
        <w:t xml:space="preserve"> </w:t>
      </w:r>
      <w:r w:rsidR="00F37C02">
        <w:rPr>
          <w:rFonts w:ascii="Times New Roman" w:eastAsia="Times New Roman" w:hAnsi="Times New Roman" w:cs="Times New Roman"/>
          <w:color w:val="000000"/>
          <w:sz w:val="20"/>
          <w:szCs w:val="20"/>
        </w:rPr>
        <w:fldChar w:fldCharType="begin"/>
      </w:r>
      <w:r w:rsidR="00F37C02">
        <w:rPr>
          <w:rFonts w:ascii="Times New Roman" w:eastAsia="Times New Roman" w:hAnsi="Times New Roman" w:cs="Times New Roman"/>
          <w:color w:val="000000"/>
          <w:sz w:val="20"/>
          <w:szCs w:val="20"/>
        </w:rPr>
        <w:instrText xml:space="preserve"> ADDIN ZOTERO_ITEM CSL_CITATION {"citationID":"J1PYpALf","properties":{"unsorted":false,"formattedCitation":"(Ucar and Balo, 2009)","plainCitation":"(Ucar and Balo, 2009)","noteIndex":0},"citationItems":[{"id":158,"uris":["http://zotero.org/users/11848684/items/WM5ZHQAY"],"itemData":{"id":158,"type":"article-journal","container-title":"Applied Energy","DOI":"10.1016/j.apenergy.2008.09.015","ISSN":"03062619","issue":"5","journalAbbreviation":"Applied Energy","language":"en","license":"https://www.elsevier.com/tdm/userlicense/1.0/","page":"730-736","source":"DOI.org (Crossref)","title":"Effect of fuel type on the optimum thickness of selected insulation materials for the four different climatic regions of Turkey","volume":"86","author":[{"family":"Ucar","given":"Aynur"},{"family":"Balo","given":"Figen"}],"issued":{"date-parts":[["2009",5]]}}}],"schema":"https://github.com/citation-style-language/schema/raw/master/csl-citation.json"} </w:instrText>
      </w:r>
      <w:r w:rsidR="00F37C02">
        <w:rPr>
          <w:rFonts w:ascii="Times New Roman" w:eastAsia="Times New Roman" w:hAnsi="Times New Roman" w:cs="Times New Roman"/>
          <w:color w:val="000000"/>
          <w:sz w:val="20"/>
          <w:szCs w:val="20"/>
        </w:rPr>
        <w:fldChar w:fldCharType="separate"/>
      </w:r>
      <w:r w:rsidR="00F37C02" w:rsidRPr="00F37C02">
        <w:rPr>
          <w:rFonts w:ascii="Times New Roman" w:hAnsi="Times New Roman" w:cs="Times New Roman"/>
          <w:sz w:val="20"/>
        </w:rPr>
        <w:t>(Ucar and Balo, 2009)</w:t>
      </w:r>
      <w:r w:rsidR="00F37C02">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w:t>
      </w:r>
    </w:p>
    <w:p w14:paraId="2276B5C2" w14:textId="74AC63EA"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When expressed in cylindrical coordinates, Fourier’s law describes radial heat transfer from the inner pipe wall to the outer surface of the insula</w:t>
      </w:r>
      <w:r>
        <w:rPr>
          <w:rFonts w:ascii="Times New Roman" w:eastAsia="Times New Roman" w:hAnsi="Times New Roman" w:cs="Times New Roman"/>
          <w:sz w:val="20"/>
          <w:szCs w:val="20"/>
        </w:rPr>
        <w:t xml:space="preserve">tor exposed to </w:t>
      </w:r>
      <w:r>
        <w:rPr>
          <w:rFonts w:ascii="Times New Roman" w:eastAsia="Times New Roman" w:hAnsi="Times New Roman" w:cs="Times New Roman"/>
          <w:color w:val="000000"/>
          <w:sz w:val="20"/>
          <w:szCs w:val="20"/>
        </w:rPr>
        <w:t xml:space="preserve">the surrounding environment. The heat flux is reduced by covering the outer surface of the carrier pipe with an insulating material characterized by low thermal conductivity, </w:t>
      </w:r>
      <w:r>
        <w:rPr>
          <w:rFonts w:ascii="Times New Roman" w:eastAsia="Times New Roman" w:hAnsi="Times New Roman" w:cs="Times New Roman"/>
          <w:i/>
          <w:iCs/>
          <w:color w:val="000000"/>
          <w:sz w:val="20"/>
          <w:szCs w:val="20"/>
        </w:rPr>
        <w:t>k</w:t>
      </w:r>
      <w:r>
        <w:rPr>
          <w:rFonts w:ascii="Times New Roman" w:eastAsia="Times New Roman" w:hAnsi="Times New Roman" w:cs="Times New Roman"/>
          <w:color w:val="000000"/>
          <w:sz w:val="20"/>
          <w:szCs w:val="20"/>
        </w:rPr>
        <w:t xml:space="preserve"> (W m</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K</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w:t>
      </w:r>
      <w:r w:rsidR="00F37C02">
        <w:rPr>
          <w:rFonts w:ascii="Times New Roman" w:eastAsia="Times New Roman" w:hAnsi="Times New Roman" w:cs="Times New Roman"/>
          <w:color w:val="000000"/>
          <w:sz w:val="20"/>
          <w:szCs w:val="20"/>
        </w:rPr>
        <w:t xml:space="preserve"> </w:t>
      </w:r>
      <w:r w:rsidR="00F37C02">
        <w:rPr>
          <w:rFonts w:ascii="Times New Roman" w:eastAsia="Times New Roman" w:hAnsi="Times New Roman" w:cs="Times New Roman"/>
          <w:color w:val="000000"/>
          <w:sz w:val="20"/>
          <w:szCs w:val="20"/>
        </w:rPr>
        <w:fldChar w:fldCharType="begin"/>
      </w:r>
      <w:r w:rsidR="00F37C02">
        <w:rPr>
          <w:rFonts w:ascii="Times New Roman" w:eastAsia="Times New Roman" w:hAnsi="Times New Roman" w:cs="Times New Roman"/>
          <w:color w:val="000000"/>
          <w:sz w:val="20"/>
          <w:szCs w:val="20"/>
        </w:rPr>
        <w:instrText xml:space="preserve"> ADDIN ZOTERO_ITEM CSL_CITATION {"citationID":"lcgHtD5U","properties":{"unsorted":false,"formattedCitation":"(Rohsenow, 1998)","plainCitation":"(Rohsenow, 1998)","noteIndex":0},"citationItems":[{"id":137,"uris":["http://zotero.org/users/11848684/items/QUSZT5UU"],"itemData":{"id":137,"type":"book","collection-title":"McGraw-Hill handbooks","edition":"3. ed","ISBN":"978-0-07-053555-8","language":"eng","number-of-pages":"1500","publisher":"McGraw-Hill","publisher-place":"New York, NY","source":"K10plus ISBN","title":"Handbook of heat transfer","editor":[{"family":"Rohsenow","given":"Warren M."}],"issued":{"date-parts":[["1998"]]}}}],"schema":"https://github.com/citation-style-language/schema/raw/master/csl-citation.json"} </w:instrText>
      </w:r>
      <w:r w:rsidR="00F37C02">
        <w:rPr>
          <w:rFonts w:ascii="Times New Roman" w:eastAsia="Times New Roman" w:hAnsi="Times New Roman" w:cs="Times New Roman"/>
          <w:color w:val="000000"/>
          <w:sz w:val="20"/>
          <w:szCs w:val="20"/>
        </w:rPr>
        <w:fldChar w:fldCharType="separate"/>
      </w:r>
      <w:r w:rsidR="00F37C02" w:rsidRPr="00F37C02">
        <w:rPr>
          <w:rFonts w:ascii="Times New Roman" w:hAnsi="Times New Roman" w:cs="Times New Roman"/>
          <w:sz w:val="20"/>
        </w:rPr>
        <w:t>(Rohsenow, 1998)</w:t>
      </w:r>
      <w:r w:rsidR="00F37C02">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Materials commonly employed to insulate HTF pipelines include fiberglass</w:t>
      </w:r>
      <w:r w:rsidR="00F37C02">
        <w:rPr>
          <w:rFonts w:ascii="Times New Roman" w:eastAsia="Times New Roman" w:hAnsi="Times New Roman" w:cs="Times New Roman"/>
          <w:color w:val="000000"/>
          <w:sz w:val="20"/>
          <w:szCs w:val="20"/>
        </w:rPr>
        <w:t xml:space="preserve"> </w:t>
      </w:r>
      <w:r w:rsidR="00F37C02">
        <w:rPr>
          <w:rFonts w:ascii="Times New Roman" w:eastAsia="Times New Roman" w:hAnsi="Times New Roman" w:cs="Times New Roman"/>
          <w:color w:val="000000"/>
          <w:sz w:val="20"/>
          <w:szCs w:val="20"/>
        </w:rPr>
        <w:fldChar w:fldCharType="begin"/>
      </w:r>
      <w:r w:rsidR="00F37C02">
        <w:rPr>
          <w:rFonts w:ascii="Times New Roman" w:eastAsia="Times New Roman" w:hAnsi="Times New Roman" w:cs="Times New Roman"/>
          <w:color w:val="000000"/>
          <w:sz w:val="20"/>
          <w:szCs w:val="20"/>
        </w:rPr>
        <w:instrText xml:space="preserve"> ADDIN ZOTERO_ITEM CSL_CITATION {"citationID":"V9kOcRXe","properties":{"unsorted":false,"formattedCitation":"(Abu-Jdayil et al., 2019; Choudhary and Eastes, 2023)","plainCitation":"(Abu-Jdayil et al., 2019; Choudhary and Eastes, 2023)","noteIndex":0},"citationItems":[{"id":73,"uris":["http://zotero.org/users/11848684/items/6HLEADWC"],"itemData":{"id":73,"type":"article-journal","abstract":"Energy saving has become a strategic goal in the whole world, that will lead to protect the environment and conserve natural resources. The energy consumption in buildings for heating and cooling is considered as one of the major sources of energy consumption in a lot of countries. Therefore, there is an ongoing search for ﬁnding the proper alternatives to preserve energy and minimize energy losses. Subsequently, heat insulators, part of building materials, are steadily getting their importance as a means of saving energy. Although, a lot of insulation materials are used commercially, this part of building construction still faces different difﬁculties and challenges such as the cost, thermal and mechanical properties, health problems, etc. Current insulation materials used in construction industry are generally polymer based materials such as polystyrene and polyurethane foam. Although these materials have a high performance in thermal insulation, but the environmental impacts in their production processes are signiﬁcant. Consequently, the researchers ﬁnd that there is a necessity to develop and come up with insulating materials that possess excellent properties and at the same time, they have less environmental impacts, and are relatively cheap. In this review paper, the researches carried out in the formulation and development of different kinds of thermal insulation in the last decades are presented. The focus was placed on researches utilized of renewable resources and wastes in thermal insulations development. In addition, the light was shed on the composites materials which was developed as a construction material with high thermal insulation capacity. Ó 2019 Elsevier Ltd. All rights reserved.","container-title":"Construction and Building Materials","DOI":"10.1016/j.conbuildmat.2019.04.102","ISSN":"09500618","journalAbbreviation":"Construction and Building Materials","language":"en","page":"709-735","source":"DOI.org (Crossref)","title":"Traditional, state-of-the-art and renewable thermal building insulation materials: An overview","title-short":"Traditional, state-of-the-art and renewable thermal building insulation materials","volume":"214","author":[{"family":"Abu-Jdayil","given":"Basim"},{"family":"Mourad","given":"Abdel-Hamid"},{"family":"Hittini","given":"Waseem"},{"family":"Hassan","given":"Muzamil"},{"family":"Hameedi","given":"Suhaib"}],"issued":{"date-parts":[["2019",7]]}}},{"id":28,"uris":["http://zotero.org/users/11848684/items/9882GRIA"],"itemData":{"id":28,"type":"article-journal","abstract":"Abstract\n            \n              Globally, the operational energy usage in buildings accounts for about 30% of the final energy consumption and 26% of the energy‐related emissions. In 2022, the building sector recorded 132 EJ in energy usage and 9.8 Gt of CO\n              2\n              emissions. Energy‐intensive space heating and air conditioning play a significant role in these statistics, with slightly over half of US home energy usage attributed to them. Thus, energy‐efficient buildings, incorporating effective thermal insulation, are essential for addressing climate change. Fiberglass is the dominant insulation material used in US homes, comprising about 71% of installations. The paper discusses the fundamental aspects of heat transfer in fibrous insulation in general and fiberglass insulation in particular. The thermal performance of a fibrous insulation is characterized by an effective thermal conductivity, which combines conductive and radiative terms. The former represents heat conduction through the gas–fiber network and the latter the absorption and the scattering of thermal radiation by the fibers. The paper describes mathematical formulations for these terms and presents results showing the dependence of the effective conductivity on insulation density, fiber diameter, and temperature. The predicted values of the effective conductivity are found to be in good agreement with the measured ones.","container-title":"International Journal of Applied Glass Science","DOI":"10.1111/ijag.16652","ISSN":"2041-1286, 2041-1294","journalAbbreviation":"Int J of Appl Glass Sci","language":"en","page":"ijag.16652","source":"DOI.org (Crossref)","title":"Effective thermal conductivity of fiberglass insulation","author":[{"family":"Choudhary","given":"Manoj K."},{"family":"Eastes","given":"Walter"}],"issued":{"date-parts":[["2023",12,28]]}}}],"schema":"https://github.com/citation-style-language/schema/raw/master/csl-citation.json"} </w:instrText>
      </w:r>
      <w:r w:rsidR="00F37C02">
        <w:rPr>
          <w:rFonts w:ascii="Times New Roman" w:eastAsia="Times New Roman" w:hAnsi="Times New Roman" w:cs="Times New Roman"/>
          <w:color w:val="000000"/>
          <w:sz w:val="20"/>
          <w:szCs w:val="20"/>
        </w:rPr>
        <w:fldChar w:fldCharType="separate"/>
      </w:r>
      <w:r w:rsidR="00F37C02" w:rsidRPr="00F37C02">
        <w:rPr>
          <w:rFonts w:ascii="Times New Roman" w:hAnsi="Times New Roman" w:cs="Times New Roman"/>
          <w:sz w:val="20"/>
        </w:rPr>
        <w:t>(Abu-Jdayil et al., 2019; Choudhary and Eastes, 2023)</w:t>
      </w:r>
      <w:r w:rsidR="00F37C02">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polyurethane foam</w:t>
      </w:r>
      <w:r w:rsidR="00F37C02">
        <w:rPr>
          <w:rFonts w:ascii="Times New Roman" w:eastAsia="Times New Roman" w:hAnsi="Times New Roman" w:cs="Times New Roman"/>
          <w:color w:val="000000"/>
          <w:sz w:val="20"/>
          <w:szCs w:val="20"/>
        </w:rPr>
        <w:t xml:space="preserve"> </w:t>
      </w:r>
      <w:r w:rsidR="00F37C02">
        <w:rPr>
          <w:rFonts w:ascii="Times New Roman" w:eastAsia="Times New Roman" w:hAnsi="Times New Roman" w:cs="Times New Roman"/>
          <w:color w:val="000000"/>
          <w:sz w:val="20"/>
          <w:szCs w:val="20"/>
        </w:rPr>
        <w:fldChar w:fldCharType="begin"/>
      </w:r>
      <w:r w:rsidR="00F37C02">
        <w:rPr>
          <w:rFonts w:ascii="Times New Roman" w:eastAsia="Times New Roman" w:hAnsi="Times New Roman" w:cs="Times New Roman"/>
          <w:color w:val="000000"/>
          <w:sz w:val="20"/>
          <w:szCs w:val="20"/>
        </w:rPr>
        <w:instrText xml:space="preserve"> ADDIN ZOTERO_ITEM CSL_CITATION {"citationID":"WclfiOkL","properties":{"unsorted":false,"formattedCitation":"(Wu et al., 1999; Zhang et al., 2017)","plainCitation":"(Wu et al., 1999; Zhang et al., 2017)","noteIndex":0},"citationItems":[{"id":32,"uris":["http://zotero.org/users/11848684/items/SA7LBHFW"],"itemData":{"id":32,"type":"article-journal","container-title":"International Journal of Heat and Mass Transfer","DOI":"10.1016/S0017-9310(98)00315-9","ISSN":"00179310","issue":"12","journalAbbreviation":"International Journal of Heat and Mass Transfer","language":"en","page":"2211-2217","source":"DOI.org (Crossref)","title":"Thermal conductivity of polyurethane foams","volume":"42","author":[{"family":"Wu","given":"Jhy-Wen"},{"family":"Sung","given":"Wen-Fa"},{"family":"Chu","given":"Hsin-Sen"}],"issued":{"date-parts":[["1999",6]]}}},{"id":4286,"uris":["http://zotero.org/users/11848684/items/8RKHEPWV"],"itemData":{"id":4286,"type":"article-journal","container-title":"Applied Thermal Engineering","DOI":"10.1016/j.applthermaleng.2016.12.057","ISSN":"13594311","journalAbbreviation":"Applied Thermal Engineering","language":"en","page":"528-538","source":"DOI.org (Crossref)","title":"Experimental study of the thermal conductivity of polyurethane foams","volume":"115","author":[{"family":"Zhang","given":"Hu"},{"family":"Fang","given":"Wen-Zhen"},{"family":"Li","given":"Yue-Ming"},{"family":"Tao","given":"Wen-Quan"}],"issued":{"date-parts":[["2017",3]]}}}],"schema":"https://github.com/citation-style-language/schema/raw/master/csl-citation.json"} </w:instrText>
      </w:r>
      <w:r w:rsidR="00F37C02">
        <w:rPr>
          <w:rFonts w:ascii="Times New Roman" w:eastAsia="Times New Roman" w:hAnsi="Times New Roman" w:cs="Times New Roman"/>
          <w:color w:val="000000"/>
          <w:sz w:val="20"/>
          <w:szCs w:val="20"/>
        </w:rPr>
        <w:fldChar w:fldCharType="separate"/>
      </w:r>
      <w:r w:rsidR="00F37C02" w:rsidRPr="00F37C02">
        <w:rPr>
          <w:rFonts w:ascii="Times New Roman" w:hAnsi="Times New Roman" w:cs="Times New Roman"/>
          <w:sz w:val="20"/>
        </w:rPr>
        <w:t>(Wu et al., 1999; Zhang et al., 2017)</w:t>
      </w:r>
      <w:r w:rsidR="00F37C02">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rockwool</w:t>
      </w:r>
      <w:r w:rsidR="00F37C02">
        <w:rPr>
          <w:rFonts w:ascii="Times New Roman" w:eastAsia="Times New Roman" w:hAnsi="Times New Roman" w:cs="Times New Roman"/>
          <w:color w:val="000000"/>
          <w:sz w:val="20"/>
          <w:szCs w:val="20"/>
        </w:rPr>
        <w:t xml:space="preserve"> </w:t>
      </w:r>
      <w:r w:rsidR="00F37C02">
        <w:rPr>
          <w:rFonts w:ascii="Times New Roman" w:eastAsia="Times New Roman" w:hAnsi="Times New Roman" w:cs="Times New Roman"/>
          <w:color w:val="000000"/>
          <w:sz w:val="20"/>
          <w:szCs w:val="20"/>
        </w:rPr>
        <w:fldChar w:fldCharType="begin"/>
      </w:r>
      <w:r w:rsidR="00F37C02">
        <w:rPr>
          <w:rFonts w:ascii="Times New Roman" w:eastAsia="Times New Roman" w:hAnsi="Times New Roman" w:cs="Times New Roman"/>
          <w:color w:val="000000"/>
          <w:sz w:val="20"/>
          <w:szCs w:val="20"/>
        </w:rPr>
        <w:instrText xml:space="preserve"> ADDIN ZOTERO_ITEM CSL_CITATION {"citationID":"kxS6QUsL","properties":{"unsorted":false,"formattedCitation":"(Mohammed W. Muhieldeen et al., 2021)","plainCitation":"(Mohammed W. Muhieldeen et al., 2021)","noteIndex":0},"citationItems":[{"id":26,"uris":["http://zotero.org/users/11848684/items/JT9Q9394"],"itemData":{"id":26,"type":"article-journal","abstract":"&amp;lt;p&amp;gt;The excessive energy consumption through the last decades especially in air conditioning due to the negative awareness behaviour of consumers has reflected not only on the economy but also on the weather and environment. The aim of this study is to find the optimum thickness of Rockwool insulation to reduce the cooling load inside the buildings. Two items have been used through this research, VELOCICALC to measure the air temperature, humidity, and air velocity, with Infrared Thermometer to measure profile temperature of the walls. Three different thicknesses have been selected for the Rockwool insulation which are one layer 50 mm, two layers 100 mm and three layers 150 mm, as well as without insulation. The data present the 100 mm thickness layer of Rockwool is a better insulation thickness to reduce the heating load inside the room, the differential between outside and inside is 0.9°C, the Rockwool of one layer reduced only 0.5°C and the maximum thickness with three layers reduced only 1°C, which is not much effective compared to the two layers but even more costly. The results observed that the optimum thickness insulation is between 50 mm and&amp;amp;nbsp;&amp;amp;nbsp; 100 mm to reduce the temperature inside the room without wasting any cost for over insulating.&amp;lt;/p&amp;gt;","container-title":"Journal of Advanced Research in Experimental Fluid Mechanics and Heat Transfer","issue":"1","journalAbbreviation":"J. Adv. Res. Exp. Fluid Mech. Heat Trans.","page":"9-15","section":"Articles","title":"Effect of Rockwool Insulation on Room Temperature Distribution","volume":"3","author":[{"literal":"Mohammed W. Muhieldeen"},{"literal":"Lim Chong Lye"},{"literal":"M.S.S. Kassim"},{"literal":"Tey Wah Yen"},{"literal":"K.H Teng"}],"issued":{"date-parts":[["2021",4,29]]}}}],"schema":"https://github.com/citation-style-language/schema/raw/master/csl-citation.json"} </w:instrText>
      </w:r>
      <w:r w:rsidR="00F37C02">
        <w:rPr>
          <w:rFonts w:ascii="Times New Roman" w:eastAsia="Times New Roman" w:hAnsi="Times New Roman" w:cs="Times New Roman"/>
          <w:color w:val="000000"/>
          <w:sz w:val="20"/>
          <w:szCs w:val="20"/>
        </w:rPr>
        <w:fldChar w:fldCharType="separate"/>
      </w:r>
      <w:r w:rsidR="00F37C02" w:rsidRPr="00F37C02">
        <w:rPr>
          <w:rFonts w:ascii="Times New Roman" w:hAnsi="Times New Roman" w:cs="Times New Roman"/>
          <w:sz w:val="20"/>
        </w:rPr>
        <w:t>(Mohammed W. Muhieldeen et al., 2021)</w:t>
      </w:r>
      <w:r w:rsidR="00F37C02">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and aerogel</w:t>
      </w:r>
      <w:r w:rsidR="00F37C02">
        <w:rPr>
          <w:rFonts w:ascii="Times New Roman" w:eastAsia="Times New Roman" w:hAnsi="Times New Roman" w:cs="Times New Roman"/>
          <w:color w:val="000000"/>
          <w:sz w:val="20"/>
          <w:szCs w:val="20"/>
        </w:rPr>
        <w:t xml:space="preserve"> </w:t>
      </w:r>
      <w:r w:rsidR="00F37C02">
        <w:rPr>
          <w:rFonts w:ascii="Times New Roman" w:eastAsia="Times New Roman" w:hAnsi="Times New Roman" w:cs="Times New Roman"/>
          <w:color w:val="000000"/>
          <w:sz w:val="20"/>
          <w:szCs w:val="20"/>
        </w:rPr>
        <w:fldChar w:fldCharType="begin"/>
      </w:r>
      <w:r w:rsidR="00F37C02">
        <w:rPr>
          <w:rFonts w:ascii="Times New Roman" w:eastAsia="Times New Roman" w:hAnsi="Times New Roman" w:cs="Times New Roman"/>
          <w:color w:val="000000"/>
          <w:sz w:val="20"/>
          <w:szCs w:val="20"/>
        </w:rPr>
        <w:instrText xml:space="preserve"> ADDIN ZOTERO_ITEM CSL_CITATION {"citationID":"op6ocZHs","properties":{"unsorted":false,"formattedCitation":"(Pastushkov et al., 2020; Sen et al., 2022)","plainCitation":"(Pastushkov et al., 2020; Sen et al., 2022)","noteIndex":0},"citationItems":[{"id":4290,"uris":["http://zotero.org/users/11848684/items/Z75JGD5D"],"itemData":{"id":4290,"type":"article-journal","abstract":"Abstract\n            \n              In this article, the general information about aerogels as well as application areas of materials based on them are presented. Scientific and technical review on heat conductivity of aerogel-based thermal insulation materials was made. It was determined, that among the Russian studies the results of behaviour of these materials under high temperatures are not presented. Comprehensive studies of thermal characteristics, including heat conductivity values in temperature range of 10–650 °C (where 650 °C is the maximal operating temperature) for the thermal insulation rolled materials based on TiO\n              2\n              -aerogel DRT06-Z (Alison Aerogel) were carried out. The mathematical relationship between heat conductivity and operating temperature in range of 10–650 °C was determined. Using the obtained results, the calculation of thickness of insulation for the studied aerogel-based rolled materials was realized according to the construction rules SP 61.13330.2010, that can be applied for design of high-heat insulation for equipment and pipelines.","container-title":"IOP Conference Series: Materials Science and Engineering","DOI":"10.1088/1757-899X/896/1/012103","ISSN":"1757-8981, 1757-899X","issue":"1","journalAbbreviation":"IOP Conf. Ser.: Mater. Sci. Eng.","page":"012103","source":"DOI.org (Crossref)","title":"Heat conductivity of aerogel-based rolled materials for high-thermal isolation for equipment and pipelines","volume":"896","author":[{"family":"Pastushkov","given":"P P"},{"family":"Gutnikov","given":"S I"},{"family":"Pavlenko","given":"N V"},{"family":"Zheldakov","given":"D Yu"},{"family":"Stolyarov","given":"M D"}],"issued":{"date-parts":[["2020",7,1]]}}},{"id":72,"uris":["http://zotero.org/users/11848684/items/BEHR3ILS"],"itemData":{"id":72,"type":"article-journal","container-title":"Cellulose","DOI":"10.1007/s10570-022-04586-7","ISSN":"0969-0239, 1572-882X","issue":"9","journalAbbreviation":"Cellulose","language":"en","page":"4805-4833","source":"DOI.org (Crossref)","title":"Recent developments in biomass derived cellulose aerogel materials for thermal insulation application: a review","title-short":"Recent developments in biomass derived cellulose aerogel materials for thermal insulation application","volume":"29","author":[{"family":"Sen","given":"Sourav"},{"family":"Singh","given":"Ajit"},{"family":"Bera","given":"Chandan"},{"family":"Roy","given":"Sangita"},{"family":"Kailasam","given":"Kamalakannan"}],"issued":{"date-parts":[["2022",6]]}}}],"schema":"https://github.com/citation-style-language/schema/raw/master/csl-citation.json"} </w:instrText>
      </w:r>
      <w:r w:rsidR="00F37C02">
        <w:rPr>
          <w:rFonts w:ascii="Times New Roman" w:eastAsia="Times New Roman" w:hAnsi="Times New Roman" w:cs="Times New Roman"/>
          <w:color w:val="000000"/>
          <w:sz w:val="20"/>
          <w:szCs w:val="20"/>
        </w:rPr>
        <w:fldChar w:fldCharType="separate"/>
      </w:r>
      <w:r w:rsidR="00F37C02" w:rsidRPr="00F37C02">
        <w:rPr>
          <w:rFonts w:ascii="Times New Roman" w:hAnsi="Times New Roman" w:cs="Times New Roman"/>
          <w:sz w:val="20"/>
        </w:rPr>
        <w:t>(Pastushkov et al., 2020; Sen et al., 2022)</w:t>
      </w:r>
      <w:r w:rsidR="00F37C02">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Among these materials, aerogel exhibits the lowest thermal conductivity, with values of approximately 0.02 W m</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K</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However, its widespread application remains limited by its relatively high production cost, complex manufacturing process, mechanical fragility, and handling requirements</w:t>
      </w:r>
      <w:r w:rsidR="00F37C02">
        <w:rPr>
          <w:rFonts w:ascii="Times New Roman" w:eastAsia="Times New Roman" w:hAnsi="Times New Roman" w:cs="Times New Roman"/>
          <w:color w:val="000000"/>
          <w:sz w:val="20"/>
          <w:szCs w:val="20"/>
        </w:rPr>
        <w:t xml:space="preserve"> </w:t>
      </w:r>
      <w:r w:rsidR="00F37C02">
        <w:rPr>
          <w:rFonts w:ascii="Times New Roman" w:eastAsia="Times New Roman" w:hAnsi="Times New Roman" w:cs="Times New Roman"/>
          <w:color w:val="000000"/>
          <w:sz w:val="20"/>
          <w:szCs w:val="20"/>
        </w:rPr>
        <w:fldChar w:fldCharType="begin"/>
      </w:r>
      <w:r w:rsidR="00F37C02">
        <w:rPr>
          <w:rFonts w:ascii="Times New Roman" w:eastAsia="Times New Roman" w:hAnsi="Times New Roman" w:cs="Times New Roman"/>
          <w:color w:val="000000"/>
          <w:sz w:val="20"/>
          <w:szCs w:val="20"/>
        </w:rPr>
        <w:instrText xml:space="preserve"> ADDIN ZOTERO_ITEM CSL_CITATION {"citationID":"R4KeyPe9","properties":{"unsorted":false,"formattedCitation":"(Koebel et al., 2012)","plainCitation":"(Koebel et al., 2012)","noteIndex":0},"citationItems":[{"id":4296,"uris":["http://zotero.org/users/11848684/items/XHUBDWBZ"],"itemData":{"id":4296,"type":"article-journal","container-title":"Journal of Sol-Gel Science and Technology","DOI":"10.1007/s10971-012-2792-9","ISSN":"0928-0707, 1573-4846","issue":"3","journalAbbreviation":"J Sol-Gel Sci Technol","language":"en","license":"http://www.springer.com/tdm","page":"315-339","source":"DOI.org (Crossref)","title":"Aerogel-based thermal superinsulation: an overview","title-short":"Aerogel-based thermal superinsulation","volume":"63","author":[{"family":"Koebel","given":"Matthias"},{"family":"Rigacci","given":"Arnaud"},{"family":"Achard","given":"Patrick"}],"issued":{"date-parts":[["2012",9]]}}}],"schema":"https://github.com/citation-style-language/schema/raw/master/csl-citation.json"} </w:instrText>
      </w:r>
      <w:r w:rsidR="00F37C02">
        <w:rPr>
          <w:rFonts w:ascii="Times New Roman" w:eastAsia="Times New Roman" w:hAnsi="Times New Roman" w:cs="Times New Roman"/>
          <w:color w:val="000000"/>
          <w:sz w:val="20"/>
          <w:szCs w:val="20"/>
        </w:rPr>
        <w:fldChar w:fldCharType="separate"/>
      </w:r>
      <w:r w:rsidR="00F37C02" w:rsidRPr="00F37C02">
        <w:rPr>
          <w:rFonts w:ascii="Times New Roman" w:hAnsi="Times New Roman" w:cs="Times New Roman"/>
          <w:sz w:val="20"/>
        </w:rPr>
        <w:t>(Koebel et al., 2012)</w:t>
      </w:r>
      <w:r w:rsidR="00F37C02">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Rockwool therefore represents a widely adopted compromise for industrial pipelines operating between 100 °C and 250 °C. Although its thermal conductivity is about twice that of aerogel (approximately 0.04 W m</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K</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rockwool combines adequate thermal performance with lower cost, commercial availability, mechanical robustness, and straightforward installation.</w:t>
      </w:r>
    </w:p>
    <w:p w14:paraId="3F278C7F" w14:textId="7877E751"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thermal properties of insulating materials vary depending on the surrounding environmental conditions. In particular, the thermal conductivity of fibrous materials, such as rockwool and fiberglass, is strongly affected by air humidity. Even limited moisture absorption increases their thermal conductivity and, as a result, enhances heat losses along the pipeline</w:t>
      </w:r>
      <w:r w:rsidR="001E7B13">
        <w:rPr>
          <w:rFonts w:ascii="Times New Roman" w:eastAsia="Times New Roman" w:hAnsi="Times New Roman" w:cs="Times New Roman"/>
          <w:color w:val="000000"/>
          <w:sz w:val="20"/>
          <w:szCs w:val="20"/>
        </w:rPr>
        <w:t xml:space="preserve"> </w:t>
      </w:r>
      <w:r w:rsidR="001E7B13">
        <w:rPr>
          <w:rFonts w:ascii="Times New Roman" w:eastAsia="Times New Roman" w:hAnsi="Times New Roman" w:cs="Times New Roman"/>
          <w:color w:val="000000"/>
          <w:sz w:val="20"/>
          <w:szCs w:val="20"/>
        </w:rPr>
        <w:fldChar w:fldCharType="begin"/>
      </w:r>
      <w:r w:rsidR="001E7B13">
        <w:rPr>
          <w:rFonts w:ascii="Times New Roman" w:eastAsia="Times New Roman" w:hAnsi="Times New Roman" w:cs="Times New Roman"/>
          <w:color w:val="000000"/>
          <w:sz w:val="20"/>
          <w:szCs w:val="20"/>
        </w:rPr>
        <w:instrText xml:space="preserve"> ADDIN ZOTERO_ITEM CSL_CITATION {"citationID":"zuGkhdtt","properties":{"unsorted":false,"formattedCitation":"(Abdou and Budaiwi, 2013)","plainCitation":"(Abdou and Budaiwi, 2013)","noteIndex":0},"citationItems":[{"id":35,"uris":["http://zotero.org/users/11848684/items/5RVP6UTI"],"itemData":{"id":35,"type":"article-journal","abstract":"Thermal insulation plays an important role in determining the thermal and energy performance of a building. The effectiveness of thermal insulation is dependent on its thermal conductivity (k-value) and its ability to maintain its thermal characteristics over an extended period of time. However, the kvalue can be greatly reduced by the presence of moisture within the insulation materials. For example, when circumstances are conducive, under hot–humid climatic conditions, condensation may occur within the insulation material, raising its moisture content well above the hygroscopic level. The objective of this paper is to investigate experimentally the impact of moisture content on the thermal conductivity of commonly used ﬁbrous insulation materials. Three types of material with different densities are investigated with the emphasis on ﬁberglass. A comparison of the behavior and magnitude of k-value changes according to moisture content levels indicated appreciable variations. Higher thermal conductivity at a given operating temperature for the investigated densities is always associated with higher moisture content. The relationship between k-value and moisture content is found to be affected by the initial conditioning moisture content level. Materials having similar density but conditioned at different initial moisture content levels exhibit different relationships between k-value and moisture content. The rate of change in thermal conductivity with moisture content is higher at higher initial moisture content. The results should be of great importance to material manufacturers, building owners and designers when selecting suitable insulating materials and correctly predicting the thermal and energy performance of buildings and their energy-efﬁciency.","container-title":"Construction and Building Materials","DOI":"10.1016/j.conbuildmat.2013.02.058","ISSN":"09500618","journalAbbreviation":"Construction and Building Materials","language":"en","page":"533-544","source":"DOI.org (Crossref)","title":"The variation of thermal conductivity of fibrous insulation materials under different levels of moisture content","volume":"43","author":[{"family":"Abdou","given":"A."},{"family":"Budaiwi","given":"I."}],"issued":{"date-parts":[["2013",6]]}}}],"schema":"https://github.com/citation-style-language/schema/raw/master/csl-citation.json"} </w:instrText>
      </w:r>
      <w:r w:rsidR="001E7B13">
        <w:rPr>
          <w:rFonts w:ascii="Times New Roman" w:eastAsia="Times New Roman" w:hAnsi="Times New Roman" w:cs="Times New Roman"/>
          <w:color w:val="000000"/>
          <w:sz w:val="20"/>
          <w:szCs w:val="20"/>
        </w:rPr>
        <w:fldChar w:fldCharType="separate"/>
      </w:r>
      <w:r w:rsidR="001E7B13" w:rsidRPr="001E7B13">
        <w:rPr>
          <w:rFonts w:ascii="Times New Roman" w:hAnsi="Times New Roman" w:cs="Times New Roman"/>
          <w:sz w:val="20"/>
        </w:rPr>
        <w:t>(Abdou and Budaiwi, 2013)</w:t>
      </w:r>
      <w:r w:rsidR="001E7B13">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001E7B13">
        <w:rPr>
          <w:rFonts w:ascii="Times New Roman" w:eastAsia="Times New Roman" w:hAnsi="Times New Roman" w:cs="Times New Roman"/>
          <w:color w:val="000000"/>
          <w:sz w:val="20"/>
          <w:szCs w:val="20"/>
        </w:rPr>
        <w:t>Recent papers</w:t>
      </w:r>
      <w:r>
        <w:rPr>
          <w:rFonts w:ascii="Times New Roman" w:eastAsia="Times New Roman" w:hAnsi="Times New Roman" w:cs="Times New Roman"/>
          <w:color w:val="000000"/>
          <w:sz w:val="20"/>
          <w:szCs w:val="20"/>
        </w:rPr>
        <w:t>, for example, reported an increase in the thermal conductivity of rockwool from 0.036 W m</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K</w:t>
      </w:r>
      <w:r>
        <w:rPr>
          <w:rFonts w:ascii="Times New Roman" w:eastAsia="Times New Roman" w:hAnsi="Times New Roman" w:cs="Times New Roman"/>
          <w:color w:val="000000"/>
          <w:sz w:val="20"/>
          <w:szCs w:val="20"/>
          <w:vertAlign w:val="superscript"/>
        </w:rPr>
        <w:t xml:space="preserve">-1 </w:t>
      </w:r>
      <w:r>
        <w:rPr>
          <w:rFonts w:ascii="Times New Roman" w:eastAsia="Times New Roman" w:hAnsi="Times New Roman" w:cs="Times New Roman"/>
          <w:color w:val="000000"/>
          <w:sz w:val="20"/>
          <w:szCs w:val="20"/>
        </w:rPr>
        <w:t>under dry conditions to 0.052 W m</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K</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at a moisture content of 5%</w:t>
      </w:r>
      <w:r w:rsidR="00760DB4">
        <w:rPr>
          <w:rFonts w:ascii="Times New Roman" w:eastAsia="Times New Roman" w:hAnsi="Times New Roman" w:cs="Times New Roman"/>
          <w:color w:val="000000"/>
          <w:sz w:val="20"/>
          <w:szCs w:val="20"/>
        </w:rPr>
        <w:t xml:space="preserve"> </w:t>
      </w:r>
      <w:r w:rsidR="00760DB4">
        <w:rPr>
          <w:rFonts w:ascii="Times New Roman" w:eastAsia="Times New Roman" w:hAnsi="Times New Roman" w:cs="Times New Roman"/>
          <w:color w:val="000000"/>
          <w:sz w:val="20"/>
          <w:szCs w:val="20"/>
        </w:rPr>
        <w:fldChar w:fldCharType="begin"/>
      </w:r>
      <w:r w:rsidR="00760DB4">
        <w:rPr>
          <w:rFonts w:ascii="Times New Roman" w:eastAsia="Times New Roman" w:hAnsi="Times New Roman" w:cs="Times New Roman"/>
          <w:color w:val="000000"/>
          <w:sz w:val="20"/>
          <w:szCs w:val="20"/>
        </w:rPr>
        <w:instrText xml:space="preserve"> ADDIN ZOTERO_ITEM CSL_CITATION {"citationID":"f7n441BW","properties":{"unsorted":false,"formattedCitation":"(Hayrullin et al., 2022)","plainCitation":"(Hayrullin et al., 2022)","noteIndex":0},"citationItems":[{"id":68,"uris":["http://zotero.org/users/11848684/items/TH6D67X5"],"itemData":{"id":68,"type":"article-journal","container-title":"Transportation Research Procedia","DOI":"10.1016/j.trpro.2022.06.109","ISSN":"23521465","journalAbbreviation":"Transportation Research Procedia","language":"en","page":"1074-1080","source":"DOI.org (Crossref)","title":"Insulation thermal conductivity heating networks during transportation thermal energy under dry and moisturizing condition: a comparative study of the guarded hot plate and guarded hot pipe method","title-short":"Insulation thermal conductivity heating networks during transportation thermal energy under dry and moisturizing condition","volume":"63","author":[{"family":"Hayrullin","given":"Aidar"},{"family":"Haibullina","given":"Aigul"},{"family":"Sinyavin","given":"Alex"}],"issued":{"date-parts":[["2022"]]}}}],"schema":"https://github.com/citation-style-language/schema/raw/master/csl-citation.json"} </w:instrText>
      </w:r>
      <w:r w:rsidR="00760DB4">
        <w:rPr>
          <w:rFonts w:ascii="Times New Roman" w:eastAsia="Times New Roman" w:hAnsi="Times New Roman" w:cs="Times New Roman"/>
          <w:color w:val="000000"/>
          <w:sz w:val="20"/>
          <w:szCs w:val="20"/>
        </w:rPr>
        <w:fldChar w:fldCharType="separate"/>
      </w:r>
      <w:r w:rsidR="00760DB4" w:rsidRPr="00760DB4">
        <w:rPr>
          <w:rFonts w:ascii="Times New Roman" w:hAnsi="Times New Roman" w:cs="Times New Roman"/>
          <w:sz w:val="20"/>
        </w:rPr>
        <w:t>(Hayrullin et al., 2022)</w:t>
      </w:r>
      <w:r w:rsidR="00760DB4">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w:t>
      </w:r>
    </w:p>
    <w:p w14:paraId="6B45C6BD" w14:textId="77777777"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Vacuum insulation represents a promising approach for improving thermal performance while overcoming some of the limitations associated with rockwool, including its large </w:t>
      </w:r>
      <w:r>
        <w:rPr>
          <w:rFonts w:ascii="Times New Roman" w:eastAsia="Times New Roman" w:hAnsi="Times New Roman" w:cs="Times New Roman"/>
          <w:sz w:val="20"/>
          <w:szCs w:val="20"/>
        </w:rPr>
        <w:t>thicknesses</w:t>
      </w:r>
      <w:r>
        <w:rPr>
          <w:rFonts w:ascii="Times New Roman" w:eastAsia="Times New Roman" w:hAnsi="Times New Roman" w:cs="Times New Roman"/>
          <w:color w:val="000000"/>
          <w:sz w:val="20"/>
          <w:szCs w:val="20"/>
        </w:rPr>
        <w:t xml:space="preserve"> and sensitivity to atmospheric conditions. Under high-vacuum conditions, heat transfer is reduced by suppressing convection and limiting conduction through residual gases. Consequently, thermal radiation becomes the dominant heat-transfer mechanism</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governed by the Stefan–Boltzmann law with thermal emittance </w:t>
      </w:r>
      <w:r>
        <w:rPr>
          <w:rFonts w:ascii="Times New Roman" w:eastAsia="Times New Roman" w:hAnsi="Times New Roman" w:cs="Times New Roman"/>
          <w:i/>
          <w:iCs/>
          <w:color w:val="000000"/>
          <w:sz w:val="20"/>
          <w:szCs w:val="20"/>
        </w:rPr>
        <w:t>ε</w:t>
      </w:r>
      <w:r>
        <w:rPr>
          <w:rFonts w:ascii="Times New Roman" w:eastAsia="Times New Roman" w:hAnsi="Times New Roman" w:cs="Times New Roman"/>
          <w:color w:val="000000"/>
          <w:sz w:val="20"/>
          <w:szCs w:val="20"/>
        </w:rPr>
        <w:t xml:space="preserve"> represent</w:t>
      </w:r>
      <w:r>
        <w:rPr>
          <w:rFonts w:ascii="Times New Roman" w:eastAsia="Times New Roman" w:hAnsi="Times New Roman" w:cs="Times New Roman"/>
          <w:sz w:val="20"/>
          <w:szCs w:val="20"/>
        </w:rPr>
        <w:t>ing</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color w:val="000000"/>
          <w:sz w:val="20"/>
          <w:szCs w:val="20"/>
        </w:rPr>
        <w:t xml:space="preserve"> key parameter. </w:t>
      </w:r>
    </w:p>
    <w:p w14:paraId="6EE6425C" w14:textId="2E3E132D"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To compare the insulation performance of a Vacuum Insulated Tube (VIT) with that of conventional insulating materials, the overall heat transfer is commonly expressed in terms of an equivalent thermal conductivity </w:t>
      </w:r>
      <w:r>
        <w:rPr>
          <w:rFonts w:ascii="Times New Roman" w:eastAsia="Times New Roman" w:hAnsi="Times New Roman" w:cs="Times New Roman"/>
          <w:i/>
          <w:iCs/>
          <w:sz w:val="20"/>
          <w:szCs w:val="20"/>
        </w:rPr>
        <w:t>k</w:t>
      </w:r>
      <w:r>
        <w:rPr>
          <w:rFonts w:ascii="Times New Roman" w:eastAsia="Times New Roman" w:hAnsi="Times New Roman" w:cs="Times New Roman"/>
          <w:i/>
          <w:iCs/>
          <w:sz w:val="20"/>
          <w:szCs w:val="20"/>
          <w:vertAlign w:val="subscript"/>
        </w:rPr>
        <w:t xml:space="preserve">eq </w:t>
      </w:r>
      <w:r>
        <w:rPr>
          <w:rFonts w:ascii="Times New Roman" w:eastAsia="Times New Roman" w:hAnsi="Times New Roman" w:cs="Times New Roman"/>
          <w:sz w:val="20"/>
          <w:szCs w:val="20"/>
        </w:rPr>
        <w:t>(W m</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K</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r w:rsidR="001E7B13">
        <w:rPr>
          <w:rFonts w:ascii="Times New Roman" w:eastAsia="Times New Roman" w:hAnsi="Times New Roman" w:cs="Times New Roman"/>
          <w:sz w:val="20"/>
          <w:szCs w:val="20"/>
        </w:rPr>
        <w:t xml:space="preserve"> </w:t>
      </w:r>
      <w:r w:rsidR="001E7B13">
        <w:rPr>
          <w:rFonts w:ascii="Times New Roman" w:eastAsia="Times New Roman" w:hAnsi="Times New Roman" w:cs="Times New Roman"/>
          <w:sz w:val="20"/>
          <w:szCs w:val="20"/>
        </w:rPr>
        <w:fldChar w:fldCharType="begin"/>
      </w:r>
      <w:r w:rsidR="001E7B13">
        <w:rPr>
          <w:rFonts w:ascii="Times New Roman" w:eastAsia="Times New Roman" w:hAnsi="Times New Roman" w:cs="Times New Roman"/>
          <w:sz w:val="20"/>
          <w:szCs w:val="20"/>
        </w:rPr>
        <w:instrText xml:space="preserve"> ADDIN ZOTERO_ITEM CSL_CITATION {"citationID":"EzR47MPq","properties":{"unsorted":false,"formattedCitation":"(Kuba\\uc0\\u269{}ka and Karayiannis, 2024)","plainCitation":"(Kubačka and Karayiannis, 2024)","noteIndex":0},"citationItems":[{"id":1840,"uris":["http://zotero.org/users/11848684/items/UM8ZZRSN"],"itemData":{"id":1840,"type":"article-journal","archive":"Scopus","container-title":"International Journal of Low-Carbon Technologies","DOI":"10.1093/ijlct/ctae132","page":"2068-2085","title":"Performance of vacuum-insulated central pipes for deep borehole heat exchangers in geothermal systems","volume":"19","author":[{"family":"Kubačka","given":"J."},{"family":"Karayiannis","given":"T.G."}],"issued":{"date-parts":[["2024"]]}}}],"schema":"https://github.com/citation-style-language/schema/raw/master/csl-citation.json"} </w:instrText>
      </w:r>
      <w:r w:rsidR="001E7B13">
        <w:rPr>
          <w:rFonts w:ascii="Times New Roman" w:eastAsia="Times New Roman" w:hAnsi="Times New Roman" w:cs="Times New Roman"/>
          <w:sz w:val="20"/>
          <w:szCs w:val="20"/>
        </w:rPr>
        <w:fldChar w:fldCharType="separate"/>
      </w:r>
      <w:r w:rsidR="001E7B13" w:rsidRPr="001E7B13">
        <w:rPr>
          <w:rFonts w:ascii="Times New Roman" w:hAnsi="Times New Roman" w:cs="Times New Roman"/>
          <w:sz w:val="20"/>
        </w:rPr>
        <w:t>(Kubačka and Karayiannis, 2024)</w:t>
      </w:r>
      <w:r w:rsidR="001E7B13">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This parameter is obtained by representing the total radial heat transfer through the VIT as an equivalent one-dimensional conduction process through a cylindrical insulation layer.</w:t>
      </w:r>
    </w:p>
    <w:p w14:paraId="128CAD73" w14:textId="7E29B901"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thermal performance of a VIT is improved by using low-emittance materials. Aluminium, copper, and silver are among the most employed materials for this purpose. Silver provides particularly low thermal emittance, with values ranging from below 0.01 near room temperature to approximately 0.02 at 250 °C, depending on temperature and surface condition</w:t>
      </w:r>
      <w:r w:rsidR="001E7B13">
        <w:rPr>
          <w:rFonts w:ascii="Times New Roman" w:eastAsia="Times New Roman" w:hAnsi="Times New Roman" w:cs="Times New Roman"/>
          <w:sz w:val="20"/>
          <w:szCs w:val="20"/>
        </w:rPr>
        <w:t xml:space="preserve"> </w:t>
      </w:r>
      <w:r w:rsidR="001E7B13">
        <w:rPr>
          <w:rFonts w:ascii="Times New Roman" w:eastAsia="Times New Roman" w:hAnsi="Times New Roman" w:cs="Times New Roman"/>
          <w:sz w:val="20"/>
          <w:szCs w:val="20"/>
        </w:rPr>
        <w:fldChar w:fldCharType="begin"/>
      </w:r>
      <w:r w:rsidR="001E7B13">
        <w:rPr>
          <w:rFonts w:ascii="Times New Roman" w:eastAsia="Times New Roman" w:hAnsi="Times New Roman" w:cs="Times New Roman"/>
          <w:sz w:val="20"/>
          <w:szCs w:val="20"/>
        </w:rPr>
        <w:instrText xml:space="preserve"> ADDIN ZOTERO_ITEM CSL_CITATION {"citationID":"mT40l0jA","properties":{"unsorted":false,"formattedCitation":"(Ramanathan and Yen, 1977; Woods et al., 2014)","plainCitation":"(Ramanathan and Yen, 1977; Woods et al., 2014)","noteIndex":0},"citationItems":[{"id":4293,"uris":["http://zotero.org/users/11848684/items/52YTC583"],"itemData":{"id":4293,"type":"article-journal","container-title":"Journal of the Optical Society of America","DOI":"10.1364/JOSA.67.000032","ISSN":"0030-3941","issue":"1","journalAbbreviation":"J. Opt. Soc. Am.","language":"en","license":"https://doi.org/10.1364/OA_License_v1#VOR","page":"32","source":"DOI.org (Crossref)","title":"High-temperature emissivities of copper, aluminum, and silver","volume":"67","author":[{"family":"Ramanathan","given":"K. G."},{"family":"Yen","given":"S. H."}],"issued":{"date-parts":[["1977",1,1]]}}},{"id":4291,"uris":["http://zotero.org/users/11848684/items/9J6CB6HY"],"itemData":{"id":4291,"type":"article-journal","container-title":"Cryogenics","DOI":"10.1016/j.cryogenics.2014.01.002","ISSN":"00112275","journalAbbreviation":"Cryogenics","language":"en","page":"44-48","source":"DOI.org (Crossref)","title":"Emissivity of silver and stainless steel from 80K to 300K: Application to ITER thermal shields","title-short":"Emissivity of silver and stainless steel from 80K to 300K","volume":"60","author":[{"family":"Woods","given":"S.I."},{"family":"Jung","given":"T.M."},{"family":"Sears","given":"D.R."},{"family":"Yu","given":"J."}],"issued":{"date-parts":[["2014",3]]}}}],"schema":"https://github.com/citation-style-language/schema/raw/master/csl-citation.json"} </w:instrText>
      </w:r>
      <w:r w:rsidR="001E7B13">
        <w:rPr>
          <w:rFonts w:ascii="Times New Roman" w:eastAsia="Times New Roman" w:hAnsi="Times New Roman" w:cs="Times New Roman"/>
          <w:sz w:val="20"/>
          <w:szCs w:val="20"/>
        </w:rPr>
        <w:fldChar w:fldCharType="separate"/>
      </w:r>
      <w:r w:rsidR="001E7B13" w:rsidRPr="001E7B13">
        <w:rPr>
          <w:rFonts w:ascii="Times New Roman" w:hAnsi="Times New Roman" w:cs="Times New Roman"/>
          <w:sz w:val="20"/>
        </w:rPr>
        <w:t>(Ramanathan and Yen, 1977; Woods et al., 2014)</w:t>
      </w:r>
      <w:r w:rsidR="001E7B13">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w:t>
      </w:r>
    </w:p>
    <w:p w14:paraId="39E6C927" w14:textId="0B3CDA3F"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Thermal insulating performance is further enhanced by adopting Multilayer Insulation (MLI), which uses multiple radiation shields to suppress radiative heat transfer. This configuration is well established in cryogenics and consists of thin foils, typically aluminized Mylar, wrapped around the cold pipe. Ideally, the overall heat flux can be reduced by a factor equal to the number of installed foils. Such MLI systems are widely employed in cryogenic applications at temperatures below -150 °C, including pipelines and storage vessels for liquid nitrogen and helium. At -196 °C, these systems achieve </w:t>
      </w:r>
      <w:r>
        <w:rPr>
          <w:rFonts w:ascii="Times New Roman" w:eastAsia="Times New Roman" w:hAnsi="Times New Roman" w:cs="Times New Roman"/>
          <w:i/>
          <w:iCs/>
          <w:sz w:val="20"/>
          <w:szCs w:val="20"/>
        </w:rPr>
        <w:t>k</w:t>
      </w:r>
      <w:r>
        <w:rPr>
          <w:rFonts w:ascii="Times New Roman" w:eastAsia="Times New Roman" w:hAnsi="Times New Roman" w:cs="Times New Roman"/>
          <w:i/>
          <w:iCs/>
          <w:sz w:val="20"/>
          <w:szCs w:val="20"/>
          <w:vertAlign w:val="subscript"/>
        </w:rPr>
        <w:t>eq</w:t>
      </w:r>
      <w:r>
        <w:rPr>
          <w:rFonts w:ascii="Times New Roman" w:eastAsia="Times New Roman" w:hAnsi="Times New Roman" w:cs="Times New Roman"/>
          <w:sz w:val="20"/>
          <w:szCs w:val="20"/>
        </w:rPr>
        <w:t xml:space="preserve"> as low as 10</w:t>
      </w:r>
      <w:r>
        <w:rPr>
          <w:rFonts w:ascii="Times New Roman" w:eastAsia="Times New Roman" w:hAnsi="Times New Roman" w:cs="Times New Roman"/>
          <w:sz w:val="20"/>
          <w:szCs w:val="20"/>
          <w:vertAlign w:val="superscript"/>
        </w:rPr>
        <w:t>-5</w:t>
      </w:r>
      <w:r>
        <w:rPr>
          <w:rFonts w:ascii="Times New Roman" w:eastAsia="Times New Roman" w:hAnsi="Times New Roman" w:cs="Times New Roman"/>
          <w:sz w:val="20"/>
          <w:szCs w:val="20"/>
        </w:rPr>
        <w:t xml:space="preserve"> W m</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K</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w:t>
      </w:r>
      <w:r w:rsidR="00C92919">
        <w:rPr>
          <w:rFonts w:ascii="Times New Roman" w:eastAsia="Times New Roman" w:hAnsi="Times New Roman" w:cs="Times New Roman"/>
          <w:sz w:val="20"/>
          <w:szCs w:val="20"/>
        </w:rPr>
        <w:fldChar w:fldCharType="begin"/>
      </w:r>
      <w:r w:rsidR="00C92919">
        <w:rPr>
          <w:rFonts w:ascii="Times New Roman" w:eastAsia="Times New Roman" w:hAnsi="Times New Roman" w:cs="Times New Roman"/>
          <w:sz w:val="20"/>
          <w:szCs w:val="20"/>
        </w:rPr>
        <w:instrText xml:space="preserve"> ADDIN ZOTERO_ITEM CSL_CITATION {"citationID":"oIZ0JVWM","properties":{"unsorted":false,"formattedCitation":"(Jacob et al., 1992)","plainCitation":"(Jacob et al., 1992)","noteIndex":0},"citationItems":[{"id":82,"uris":["http://zotero.org/users/11848684/items/A3QTQBKG"],"itemData":{"id":82,"type":"article-journal","container-title":"Cryogenics","DOI":"10.1016/0011-2275(92)90328-8","ISSN":"00112275","issue":"12","journalAbbreviation":"Cryogenics","language":"en","page":"1137-1146","source":"DOI.org (Crossref)","title":"Investigations into the thermal performance of multilayer insulation (300-77 K) Part 1: Calorimetric studies","title-short":"Investigations into the thermal performance of multilayer insulation (300-77 K) Part 1","volume":"32","author":[{"family":"Jacob","given":"S."},{"family":"Kasthurirengan","given":"S."},{"family":"Karunanithi","given":"R."}],"issued":{"date-parts":[["1992",1]]}}}],"schema":"https://github.com/citation-style-language/schema/raw/master/csl-citation.json"} </w:instrText>
      </w:r>
      <w:r w:rsidR="00C92919">
        <w:rPr>
          <w:rFonts w:ascii="Times New Roman" w:eastAsia="Times New Roman" w:hAnsi="Times New Roman" w:cs="Times New Roman"/>
          <w:sz w:val="20"/>
          <w:szCs w:val="20"/>
        </w:rPr>
        <w:fldChar w:fldCharType="separate"/>
      </w:r>
      <w:r w:rsidR="00C92919" w:rsidRPr="00C92919">
        <w:rPr>
          <w:rFonts w:ascii="Times New Roman" w:hAnsi="Times New Roman" w:cs="Times New Roman"/>
          <w:sz w:val="20"/>
        </w:rPr>
        <w:t>(Jacob et al., 1992)</w:t>
      </w:r>
      <w:r w:rsidR="00C92919">
        <w:rPr>
          <w:rFonts w:ascii="Times New Roman" w:eastAsia="Times New Roman" w:hAnsi="Times New Roman" w:cs="Times New Roman"/>
          <w:sz w:val="20"/>
          <w:szCs w:val="20"/>
        </w:rPr>
        <w:fldChar w:fldCharType="end"/>
      </w:r>
      <w:r w:rsidR="00C92919">
        <w:rPr>
          <w:rFonts w:ascii="Times New Roman" w:eastAsia="Times New Roman" w:hAnsi="Times New Roman" w:cs="Times New Roman"/>
          <w:sz w:val="20"/>
          <w:szCs w:val="20"/>
        </w:rPr>
        <w:t>.</w:t>
      </w:r>
    </w:p>
    <w:p w14:paraId="65BFB5BB" w14:textId="133AACC1" w:rsidR="004D7E97" w:rsidRDefault="00000000">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Standardization in methodologies for the testing and evaluation of MLI systems has included test apparatus, design approaches, and analytical techniques with a focus on the total cryogenic-vacuum system performance </w:t>
      </w:r>
      <w:r w:rsidR="00C92919">
        <w:rPr>
          <w:rFonts w:ascii="Times New Roman" w:eastAsia="Times New Roman" w:hAnsi="Times New Roman" w:cs="Times New Roman"/>
          <w:sz w:val="20"/>
          <w:szCs w:val="20"/>
        </w:rPr>
        <w:t xml:space="preserve"> </w:t>
      </w:r>
      <w:r w:rsidR="00C92919">
        <w:rPr>
          <w:rFonts w:ascii="Times New Roman" w:eastAsia="Times New Roman" w:hAnsi="Times New Roman" w:cs="Times New Roman"/>
          <w:sz w:val="20"/>
          <w:szCs w:val="20"/>
        </w:rPr>
        <w:fldChar w:fldCharType="begin"/>
      </w:r>
      <w:r w:rsidR="00C92919">
        <w:rPr>
          <w:rFonts w:ascii="Times New Roman" w:eastAsia="Times New Roman" w:hAnsi="Times New Roman" w:cs="Times New Roman"/>
          <w:sz w:val="20"/>
          <w:szCs w:val="20"/>
        </w:rPr>
        <w:instrText xml:space="preserve"> ADDIN ZOTERO_ITEM CSL_CITATION {"citationID":"FFCM6fN6","properties":{"unsorted":false,"formattedCitation":"(Bapat et al., 1990a, 1990b)","plainCitation":"(Bapat et al., 1990a, 1990b)","noteIndex":0},"citationItems":[{"id":79,"uris":["http://zotero.org/users/11848684/items/WVF33YTM"],"itemData":{"id":79,"type":"article-journal","container-title":"Cryogenics","DOI":"10.1016/0011-2275(90)90235-5","ISSN":"00112275","issue":"8","journalAbbreviation":"Cryogenics","language":"en","page":"711-719","source":"DOI.org (Crossref)","title":"Experimental investigations of multilayer insulation","volume":"30","author":[{"family":"Bapat","given":"S.L."},{"family":"Narayankhedkar","given":"K.G."},{"family":"Lukose","given":"T.P."}],"issued":{"date-parts":[["1990",8]]}}},{"id":3,"uris":["http://zotero.org/users/11848684/items/5XUJ8IZ3"],"itemData":{"id":3,"type":"article-journal","container-title":"Cryogenics","DOI":"10.1016/0011-2275(90)90234-4","ISSN":"00112275","issue":"8","journalAbbreviation":"Cryogenics","language":"en","page":"700-710","source":"DOI.org (Crossref)","title":"Performance prediction of multilayer insulation","volume":"30","author":[{"family":"Bapat","given":"S.L."},{"family":"Narayankhedkar","given":"K.G."},{"family":"Lukose","given":"T.P."}],"issued":{"date-parts":[["1990",8]]}}}],"schema":"https://github.com/citation-style-language/schema/raw/master/csl-citation.json"} </w:instrText>
      </w:r>
      <w:r w:rsidR="00C92919">
        <w:rPr>
          <w:rFonts w:ascii="Times New Roman" w:eastAsia="Times New Roman" w:hAnsi="Times New Roman" w:cs="Times New Roman"/>
          <w:sz w:val="20"/>
          <w:szCs w:val="20"/>
        </w:rPr>
        <w:fldChar w:fldCharType="separate"/>
      </w:r>
      <w:r w:rsidR="00C92919" w:rsidRPr="00C92919">
        <w:rPr>
          <w:rFonts w:ascii="Times New Roman" w:hAnsi="Times New Roman" w:cs="Times New Roman"/>
          <w:sz w:val="20"/>
        </w:rPr>
        <w:t>(Bapat et al., 1990a, 1990b)</w:t>
      </w:r>
      <w:r w:rsidR="00C92919">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Evaporation or “boil-off” calorimetry has been a valuable technique for evaluating the thermal insulating performance of materials for more than 50 years</w:t>
      </w:r>
      <w:r w:rsidR="00C92919">
        <w:rPr>
          <w:rFonts w:ascii="Times New Roman" w:eastAsia="Times New Roman" w:hAnsi="Times New Roman" w:cs="Times New Roman"/>
          <w:sz w:val="20"/>
          <w:szCs w:val="20"/>
        </w:rPr>
        <w:t xml:space="preserve"> </w:t>
      </w:r>
      <w:r w:rsidR="00C92919">
        <w:rPr>
          <w:rFonts w:ascii="Times New Roman" w:eastAsia="Times New Roman" w:hAnsi="Times New Roman" w:cs="Times New Roman"/>
          <w:sz w:val="20"/>
          <w:szCs w:val="20"/>
        </w:rPr>
        <w:fldChar w:fldCharType="begin"/>
      </w:r>
      <w:r w:rsidR="00C92919">
        <w:rPr>
          <w:rFonts w:ascii="Times New Roman" w:eastAsia="Times New Roman" w:hAnsi="Times New Roman" w:cs="Times New Roman"/>
          <w:sz w:val="20"/>
          <w:szCs w:val="20"/>
        </w:rPr>
        <w:instrText xml:space="preserve"> ADDIN ZOTERO_ITEM CSL_CITATION {"citationID":"ftkganGm","properties":{"unsorted":false,"formattedCitation":"(Fesmire and Johnson, 2018)","plainCitation":"(Fesmire and Johnson, 2018)","noteIndex":0},"citationItems":[{"id":83,"uris":["http://zotero.org/users/11848684/items/PB4HYTSZ"],"itemData":{"id":83,"type":"article-journal","abstract":"Extensive cryogenic thermal testing of more than 100 diﬀerent multilayer insulation (MLI) specimens was performed over the last 20 years for the research and development of evacuated reﬂective thermal insulation systems. From this data library, 26 MLI systems plus several vacuum-only systems are selected for analysis and comparison. The test apparatus, methods, and results enabled the adoption of two new technical consensus standards under ASTM International. Materials tested include reﬂectors of aluminum foil or double-aluminized Mylar and spacers of ﬁberglass paper, polyester netting, silk netting, polyester fabric, or discrete polymer standoﬀs. The six types of MLI systems tested are listed as follows: Mylar/Paper, Foil/Paper, Mylar/Net, Mylar/ Blanket, Mylar/Fabric, Mylar/Discrete. Also tested are vacuum-only systems with diﬀerent cold surface materials/ﬁnishes including stainless steel, black, copper, and aluminum. Testing was performed between the boundary temperatures of 78 K and 293 K (and up to 350 K) using a thermally guarded one-meter-long cylindrical calorimeter (Cryostat-100) for absolute heat ﬂow measurement. Cold vacuum pressures include the full range from 1 × 10−6 torr to 760 torr with nitrogen as the residual gas. System variations include number of layers from one to 80 layers, layer densities from 0.5 to 5 layers per millimeter, and installation techniques such layer-by-layer, blankets (multi-layer assemblies), sub-blankets, seaming, butt-joining, spiral wrapping, and rollwrapping. Experimental thermal performance data for the diﬀerent MLI systems are presented in terms of heat ﬂux and eﬀective thermal conductivity. Benchmark cryogenic-vacuum thermal performance curves for MLI are given for comparison with diﬀerent insulation approaches for storage and transfer equipment, cryostats, launch vehicles, spacecraft, or science instruments.","container-title":"Cryogenics","DOI":"10.1016/j.cryogenics.2017.11.004","ISSN":"00112275","journalAbbreviation":"Cryogenics","language":"en","page":"58-75","source":"DOI.org (Crossref)","title":"Cylindrical cryogenic calorimeter testing of six types of multilayer insulation systems","volume":"89","author":[{"family":"Fesmire","given":"J.E."},{"family":"Johnson","given":"W.L."}],"issued":{"date-parts":[["2018",1]]}}}],"schema":"https://github.com/citation-style-language/schema/raw/master/csl-citation.json"} </w:instrText>
      </w:r>
      <w:r w:rsidR="00C92919">
        <w:rPr>
          <w:rFonts w:ascii="Times New Roman" w:eastAsia="Times New Roman" w:hAnsi="Times New Roman" w:cs="Times New Roman"/>
          <w:sz w:val="20"/>
          <w:szCs w:val="20"/>
        </w:rPr>
        <w:fldChar w:fldCharType="separate"/>
      </w:r>
      <w:r w:rsidR="00C92919" w:rsidRPr="00C92919">
        <w:rPr>
          <w:rFonts w:ascii="Times New Roman" w:hAnsi="Times New Roman" w:cs="Times New Roman"/>
          <w:sz w:val="20"/>
        </w:rPr>
        <w:t>(Fesmire and Johnson, 2018)</w:t>
      </w:r>
      <w:r w:rsidR="00C92919">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The Cryostat-100 apparatus—following the guidelines of ASTM C1774, Annex A1—is guarded on top and bottom for absolute thermal performance measurement in the vertical layout</w:t>
      </w:r>
      <w:r w:rsidR="00C92919">
        <w:rPr>
          <w:rFonts w:ascii="Times New Roman" w:eastAsia="Times New Roman" w:hAnsi="Times New Roman" w:cs="Times New Roman"/>
          <w:sz w:val="20"/>
          <w:szCs w:val="20"/>
        </w:rPr>
        <w:t xml:space="preserve"> </w:t>
      </w:r>
      <w:r w:rsidR="00C92919">
        <w:rPr>
          <w:rFonts w:ascii="Times New Roman" w:eastAsia="Times New Roman" w:hAnsi="Times New Roman" w:cs="Times New Roman"/>
          <w:sz w:val="20"/>
          <w:szCs w:val="20"/>
        </w:rPr>
        <w:fldChar w:fldCharType="begin"/>
      </w:r>
      <w:r w:rsidR="00C92919">
        <w:rPr>
          <w:rFonts w:ascii="Times New Roman" w:eastAsia="Times New Roman" w:hAnsi="Times New Roman" w:cs="Times New Roman"/>
          <w:sz w:val="20"/>
          <w:szCs w:val="20"/>
        </w:rPr>
        <w:instrText xml:space="preserve"> ADDIN ZOTERO_ITEM CSL_CITATION {"citationID":"r9r2Y5qS","properties":{"unsorted":false,"formattedCitation":"(Fesmire and Dokos, 2014)","plainCitation":"(Fesmire and Dokos, 2014)","noteIndex":0},"citationItems":[{"id":85,"uris":["http://zotero.org/users/11848684/items/GMB5YBTN"],"itemData":{"id":85,"type":"article-journal","abstract":"A multi-purpose, cylindrical thermal insulation test apparatus is used for testing insulation materials and systems of materials using a liquid boil-off calorimeter system for absolute measurement of the effective thermal conductivity (k-value) and heat flux of a specimen material at a fixed environmental condition (cold-side temperature, warm-side temperature, vacuum pressure level, and residual gas composition). The apparatus includes an inner vessel for receiving a liquid with a normal boiling point below ambient temperature, such as liquid nitrogen, enclosed within a vacuum chamber. A cold mass assembly, including the upper and lower guard chambers and a middle test vessel, is suspended from a lid of the vacuum canister. Each of the three chambers is filled and vented through a single feedthrough. All fluid and instrumentation feedthroughs are mounted and suspended from a top domed lid to allow easy removal of the cold mass. A lift mechanism allows manipulation of the cold mass assembly and insulation test article.","language":"en","source":"ntrs.nasa.gov","title":"Insulation Test Cryostat with Lift Mechanism","URL":"https://ntrs.nasa.gov/citations/20150003183","author":[{"family":"Fesmire","given":"James E."},{"family":"Dokos","given":"Adam G."}],"accessed":{"date-parts":[["2023",6,19]]},"issued":{"date-parts":[["2014",1,14]]}}}],"schema":"https://github.com/citation-style-language/schema/raw/master/csl-citation.json"} </w:instrText>
      </w:r>
      <w:r w:rsidR="00C92919">
        <w:rPr>
          <w:rFonts w:ascii="Times New Roman" w:eastAsia="Times New Roman" w:hAnsi="Times New Roman" w:cs="Times New Roman"/>
          <w:sz w:val="20"/>
          <w:szCs w:val="20"/>
        </w:rPr>
        <w:fldChar w:fldCharType="separate"/>
      </w:r>
      <w:r w:rsidR="00C92919" w:rsidRPr="00C92919">
        <w:rPr>
          <w:rFonts w:ascii="Times New Roman" w:hAnsi="Times New Roman" w:cs="Times New Roman"/>
          <w:sz w:val="20"/>
        </w:rPr>
        <w:t>(Fesmire and Dokos, 2014)</w:t>
      </w:r>
      <w:r w:rsidR="00C92919">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p w14:paraId="06ABBB9A" w14:textId="7E0904D9"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the mid-temperature range, between 100 °C and 300 °C, the MLI technology has been employed in the oil recovery sector for steam injection, where the lowest </w:t>
      </w:r>
      <w:r>
        <w:rPr>
          <w:rFonts w:ascii="Times New Roman" w:eastAsia="Times New Roman" w:hAnsi="Times New Roman" w:cs="Times New Roman"/>
          <w:i/>
          <w:iCs/>
          <w:sz w:val="20"/>
          <w:szCs w:val="20"/>
        </w:rPr>
        <w:t>k</w:t>
      </w:r>
      <w:r>
        <w:rPr>
          <w:rFonts w:ascii="Times New Roman" w:eastAsia="Times New Roman" w:hAnsi="Times New Roman" w:cs="Times New Roman"/>
          <w:i/>
          <w:iCs/>
          <w:sz w:val="20"/>
          <w:szCs w:val="20"/>
          <w:vertAlign w:val="subscript"/>
        </w:rPr>
        <w:t>eq</w:t>
      </w:r>
      <w:r>
        <w:rPr>
          <w:rFonts w:ascii="Times New Roman" w:eastAsia="Times New Roman" w:hAnsi="Times New Roman" w:cs="Times New Roman"/>
          <w:sz w:val="20"/>
          <w:szCs w:val="20"/>
        </w:rPr>
        <w:t xml:space="preserve"> and the smallest thickness of the component are required</w:t>
      </w:r>
      <w:r w:rsidR="00C92919">
        <w:rPr>
          <w:rFonts w:ascii="Times New Roman" w:eastAsia="Times New Roman" w:hAnsi="Times New Roman" w:cs="Times New Roman"/>
          <w:sz w:val="20"/>
          <w:szCs w:val="20"/>
        </w:rPr>
        <w:t xml:space="preserve"> </w:t>
      </w:r>
      <w:r w:rsidR="00C92919">
        <w:rPr>
          <w:rFonts w:ascii="Times New Roman" w:eastAsia="Times New Roman" w:hAnsi="Times New Roman" w:cs="Times New Roman"/>
          <w:sz w:val="20"/>
          <w:szCs w:val="20"/>
        </w:rPr>
        <w:fldChar w:fldCharType="begin"/>
      </w:r>
      <w:r w:rsidR="00C92919">
        <w:rPr>
          <w:rFonts w:ascii="Times New Roman" w:eastAsia="Times New Roman" w:hAnsi="Times New Roman" w:cs="Times New Roman"/>
          <w:sz w:val="20"/>
          <w:szCs w:val="20"/>
        </w:rPr>
        <w:instrText xml:space="preserve"> ADDIN ZOTERO_ITEM CSL_CITATION {"citationID":"4N0bpCgM","properties":{"unsorted":false,"formattedCitation":"(Guillet-Lhermite et al., 2017)","plainCitation":"(Guillet-Lhermite et al., 2017)","noteIndex":0},"citationItems":[{"id":1914,"uris":["http://zotero.org/users/11848684/items/RQNCPSDY"],"itemData":{"id":1914,"type":"article-journal","abstract":"This paper validates the thermal efficiency of Vacuum Insulated Tubing (VIT) for offshore steam injection application on Emeraude Field (Congo). It includes field measurement of thermal dissipation prior to VIT installation, steam injection logging tool interpretation, thermal losses modelling of offshore steam injection, and well monitoring data post-installation. It is concluded that VIT improved steam quality from 35% up to +95%, leading to significant steam generation cost savings and overall EOR efficiency improvement.","language":"en","source":"Zotero","title":"Vacuum Insulated Tubing Efficiency for Offshore Steam Injection: Case Study from Emeraude Field Congo","author":[{"family":"Guillet-Lhermite","given":"J"},{"family":"Robert","given":"B"},{"family":"Bimperling","given":"F"},{"family":"Nkoukou","given":"C"},{"family":"Congo","given":"Perenco"},{"family":"Damour","given":"J"},{"family":"Ollier","given":"P"}],"issued":{"date-parts":[["2017",12,1]]}}}],"schema":"https://github.com/citation-style-language/schema/raw/master/csl-citation.json"} </w:instrText>
      </w:r>
      <w:r w:rsidR="00C92919">
        <w:rPr>
          <w:rFonts w:ascii="Times New Roman" w:eastAsia="Times New Roman" w:hAnsi="Times New Roman" w:cs="Times New Roman"/>
          <w:sz w:val="20"/>
          <w:szCs w:val="20"/>
        </w:rPr>
        <w:fldChar w:fldCharType="separate"/>
      </w:r>
      <w:r w:rsidR="00C92919" w:rsidRPr="00C92919">
        <w:rPr>
          <w:rFonts w:ascii="Times New Roman" w:hAnsi="Times New Roman" w:cs="Times New Roman"/>
          <w:sz w:val="20"/>
        </w:rPr>
        <w:t>(Guillet-Lhermite et al., 2017)</w:t>
      </w:r>
      <w:r w:rsidR="00C92919">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r w:rsidR="00C92919">
        <w:rPr>
          <w:rFonts w:ascii="Times New Roman" w:eastAsia="Times New Roman" w:hAnsi="Times New Roman" w:cs="Times New Roman"/>
          <w:sz w:val="20"/>
          <w:szCs w:val="20"/>
        </w:rPr>
        <w:t xml:space="preserve">Different papers </w:t>
      </w:r>
      <w:r>
        <w:rPr>
          <w:rFonts w:ascii="Times New Roman" w:eastAsia="Times New Roman" w:hAnsi="Times New Roman" w:cs="Times New Roman"/>
          <w:sz w:val="20"/>
          <w:szCs w:val="20"/>
        </w:rPr>
        <w:t>investigated three different commercial VITs, and the best one achieved a thermal transmittance of 0.6 W m</w:t>
      </w:r>
      <w:r>
        <w:rPr>
          <w:rFonts w:ascii="Times New Roman" w:eastAsia="Times New Roman" w:hAnsi="Times New Roman" w:cs="Times New Roman"/>
          <w:sz w:val="20"/>
          <w:szCs w:val="20"/>
          <w:vertAlign w:val="superscript"/>
        </w:rPr>
        <w:t xml:space="preserve">-2 </w:t>
      </w:r>
      <w:r>
        <w:rPr>
          <w:rFonts w:ascii="Times New Roman" w:eastAsia="Times New Roman" w:hAnsi="Times New Roman" w:cs="Times New Roman"/>
          <w:sz w:val="20"/>
          <w:szCs w:val="20"/>
        </w:rPr>
        <w:t>K</w:t>
      </w:r>
      <w:r>
        <w:rPr>
          <w:rFonts w:ascii="Times New Roman" w:eastAsia="Times New Roman" w:hAnsi="Times New Roman" w:cs="Times New Roman"/>
          <w:sz w:val="20"/>
          <w:szCs w:val="20"/>
          <w:vertAlign w:val="superscript"/>
        </w:rPr>
        <w:t xml:space="preserve">-1 </w:t>
      </w:r>
      <w:r>
        <w:rPr>
          <w:rFonts w:ascii="Times New Roman" w:eastAsia="Times New Roman" w:hAnsi="Times New Roman" w:cs="Times New Roman"/>
          <w:sz w:val="20"/>
          <w:szCs w:val="20"/>
        </w:rPr>
        <w:t>at 300 °C for an 89 mm overall diameter</w:t>
      </w:r>
      <w:r w:rsidR="00C92919">
        <w:rPr>
          <w:rFonts w:ascii="Times New Roman" w:eastAsia="Times New Roman" w:hAnsi="Times New Roman" w:cs="Times New Roman"/>
          <w:sz w:val="20"/>
          <w:szCs w:val="20"/>
        </w:rPr>
        <w:t xml:space="preserve"> </w:t>
      </w:r>
      <w:r w:rsidR="00C92919">
        <w:rPr>
          <w:rFonts w:ascii="Times New Roman" w:eastAsia="Times New Roman" w:hAnsi="Times New Roman" w:cs="Times New Roman"/>
          <w:sz w:val="20"/>
          <w:szCs w:val="20"/>
        </w:rPr>
        <w:fldChar w:fldCharType="begin"/>
      </w:r>
      <w:r w:rsidR="00C92919">
        <w:rPr>
          <w:rFonts w:ascii="Times New Roman" w:eastAsia="Times New Roman" w:hAnsi="Times New Roman" w:cs="Times New Roman"/>
          <w:sz w:val="20"/>
          <w:szCs w:val="20"/>
        </w:rPr>
        <w:instrText xml:space="preserve"> ADDIN ZOTERO_ITEM CSL_CITATION {"citationID":"ALxAAfnG","properties":{"unsorted":false,"formattedCitation":"(Damour and Johannson, 2016)","plainCitation":"(Damour and Johannson, 2016)","noteIndex":0},"citationItems":[{"id":1915,"uris":["http://zotero.org/users/11848684/items/VQ573E7V"],"itemData":{"id":1915,"type":"paper-conference","abstract":"Thermal wells were widely developed with the expansion of thermal enhanced oil recovery processes like SAGD, CSS or steamflood. These high temperature processes brought new challenges to the well design in term of well integrity and well performance. The use of vacuum insulated tubing (VIT) or vacuum insulated casing (VIC) has significant benefits on the well completion by two main aspects: mitigate the effect of high temperature on some part of the completion and reduce the heat loss from the injected steam.","container-title":"Day 4 Thu, December 01, 2016","DOI":"10.2118/182515-MS","event-title":"SPE Thermal Well Integrity and Design Symposium","language":"en","page":"D041S011R004","publisher":"SPE","publisher-place":"Banff, Alberta, Canada","source":"DOI.org (Crossref)","title":"What Vacuum Insulated Tubings Or Vacuum Insulated Casings Bring To Thermal Wells","URL":"https://onepetro.org/SPETWID/proceedings/16TWID/4-16TWID/Banff,%20Alberta,%20Canada/188348","author":[{"family":"Damour","given":"J.."},{"family":"Johannson","given":"D.."}],"accessed":{"date-parts":[["2024",4,18]]},"issued":{"date-parts":[["2016",11,28]]}}}],"schema":"https://github.com/citation-style-language/schema/raw/master/csl-citation.json"} </w:instrText>
      </w:r>
      <w:r w:rsidR="00C92919">
        <w:rPr>
          <w:rFonts w:ascii="Times New Roman" w:eastAsia="Times New Roman" w:hAnsi="Times New Roman" w:cs="Times New Roman"/>
          <w:sz w:val="20"/>
          <w:szCs w:val="20"/>
        </w:rPr>
        <w:fldChar w:fldCharType="separate"/>
      </w:r>
      <w:r w:rsidR="00C92919" w:rsidRPr="00C92919">
        <w:rPr>
          <w:rFonts w:ascii="Times New Roman" w:hAnsi="Times New Roman" w:cs="Times New Roman"/>
          <w:sz w:val="20"/>
        </w:rPr>
        <w:t>(Damour and Johannson, 2016)</w:t>
      </w:r>
      <w:r w:rsidR="00C92919">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w:t>
      </w:r>
      <w:r w:rsidR="00041F93">
        <w:rPr>
          <w:rFonts w:ascii="Times New Roman" w:eastAsia="Times New Roman" w:hAnsi="Times New Roman" w:cs="Times New Roman"/>
          <w:sz w:val="20"/>
          <w:szCs w:val="20"/>
        </w:rPr>
        <w:t xml:space="preserve"> </w:t>
      </w:r>
      <w:r w:rsidR="00C92919">
        <w:rPr>
          <w:rFonts w:ascii="Times New Roman" w:eastAsia="Times New Roman" w:hAnsi="Times New Roman" w:cs="Times New Roman"/>
          <w:sz w:val="20"/>
          <w:szCs w:val="20"/>
        </w:rPr>
        <w:t>The lowest</w:t>
      </w:r>
      <w:r>
        <w:rPr>
          <w:rFonts w:ascii="Times New Roman" w:eastAsia="Times New Roman" w:hAnsi="Times New Roman" w:cs="Times New Roman"/>
          <w:sz w:val="20"/>
          <w:szCs w:val="20"/>
        </w:rPr>
        <w:t xml:space="preserve"> obtained </w:t>
      </w:r>
      <w:r>
        <w:rPr>
          <w:rFonts w:ascii="Times New Roman" w:eastAsia="Times New Roman" w:hAnsi="Times New Roman" w:cs="Times New Roman"/>
          <w:i/>
          <w:iCs/>
          <w:sz w:val="20"/>
          <w:szCs w:val="20"/>
        </w:rPr>
        <w:t>k</w:t>
      </w:r>
      <w:r>
        <w:rPr>
          <w:rFonts w:ascii="Times New Roman" w:eastAsia="Times New Roman" w:hAnsi="Times New Roman" w:cs="Times New Roman"/>
          <w:i/>
          <w:iCs/>
          <w:sz w:val="20"/>
          <w:szCs w:val="20"/>
          <w:vertAlign w:val="subscript"/>
        </w:rPr>
        <w:t>eq</w:t>
      </w:r>
      <w:r>
        <w:rPr>
          <w:rFonts w:ascii="Times New Roman" w:eastAsia="Times New Roman" w:hAnsi="Times New Roman" w:cs="Times New Roman"/>
          <w:sz w:val="20"/>
          <w:szCs w:val="20"/>
        </w:rPr>
        <w:t xml:space="preserve"> of 0.01 W m</w:t>
      </w:r>
      <w:r>
        <w:rPr>
          <w:rFonts w:ascii="Times New Roman" w:eastAsia="Times New Roman" w:hAnsi="Times New Roman" w:cs="Times New Roman"/>
          <w:sz w:val="20"/>
          <w:szCs w:val="20"/>
          <w:vertAlign w:val="superscript"/>
        </w:rPr>
        <w:t xml:space="preserve">-1 </w:t>
      </w:r>
      <w:r>
        <w:rPr>
          <w:rFonts w:ascii="Times New Roman" w:eastAsia="Times New Roman" w:hAnsi="Times New Roman" w:cs="Times New Roman"/>
          <w:sz w:val="20"/>
          <w:szCs w:val="20"/>
        </w:rPr>
        <w:t>K</w:t>
      </w:r>
      <w:r>
        <w:rPr>
          <w:rFonts w:ascii="Times New Roman" w:eastAsia="Times New Roman" w:hAnsi="Times New Roman" w:cs="Times New Roman"/>
          <w:sz w:val="20"/>
          <w:szCs w:val="20"/>
          <w:vertAlign w:val="superscript"/>
        </w:rPr>
        <w:t xml:space="preserve">-1 </w:t>
      </w:r>
      <w:r>
        <w:rPr>
          <w:rFonts w:ascii="Times New Roman" w:eastAsia="Times New Roman" w:hAnsi="Times New Roman" w:cs="Times New Roman"/>
          <w:sz w:val="20"/>
          <w:szCs w:val="20"/>
        </w:rPr>
        <w:t xml:space="preserve">for a VIT, is also the lowest </w:t>
      </w:r>
      <w:r>
        <w:rPr>
          <w:rFonts w:ascii="Times New Roman" w:eastAsia="Times New Roman" w:hAnsi="Times New Roman" w:cs="Times New Roman"/>
          <w:i/>
          <w:iCs/>
          <w:sz w:val="20"/>
          <w:szCs w:val="20"/>
        </w:rPr>
        <w:t>k</w:t>
      </w:r>
      <w:r>
        <w:rPr>
          <w:rFonts w:ascii="Times New Roman" w:eastAsia="Times New Roman" w:hAnsi="Times New Roman" w:cs="Times New Roman"/>
          <w:i/>
          <w:iCs/>
          <w:sz w:val="20"/>
          <w:szCs w:val="20"/>
          <w:vertAlign w:val="subscript"/>
        </w:rPr>
        <w:t>eq</w:t>
      </w:r>
      <w:r>
        <w:rPr>
          <w:rFonts w:ascii="Times New Roman" w:eastAsia="Times New Roman" w:hAnsi="Times New Roman" w:cs="Times New Roman"/>
          <w:sz w:val="20"/>
          <w:szCs w:val="20"/>
        </w:rPr>
        <w:t xml:space="preserve"> found in the literature for pipeline insulation in the range from 100 ºC to 250 °C</w:t>
      </w:r>
      <w:r w:rsidR="00C92919">
        <w:rPr>
          <w:rFonts w:ascii="Times New Roman" w:eastAsia="Times New Roman" w:hAnsi="Times New Roman" w:cs="Times New Roman"/>
          <w:sz w:val="20"/>
          <w:szCs w:val="20"/>
        </w:rPr>
        <w:t xml:space="preserve"> </w:t>
      </w:r>
      <w:r w:rsidR="00C92919">
        <w:rPr>
          <w:rFonts w:ascii="Times New Roman" w:eastAsia="Times New Roman" w:hAnsi="Times New Roman" w:cs="Times New Roman"/>
          <w:sz w:val="20"/>
          <w:szCs w:val="20"/>
        </w:rPr>
        <w:fldChar w:fldCharType="begin"/>
      </w:r>
      <w:r w:rsidR="00C92919">
        <w:rPr>
          <w:rFonts w:ascii="Times New Roman" w:eastAsia="Times New Roman" w:hAnsi="Times New Roman" w:cs="Times New Roman"/>
          <w:sz w:val="20"/>
          <w:szCs w:val="20"/>
        </w:rPr>
        <w:instrText xml:space="preserve"> ADDIN ZOTERO_ITEM CSL_CITATION {"citationID":"8lqWx1t4","properties":{"unsorted":false,"formattedCitation":"(Sapinska-Sliwa et al., 2020)","plainCitation":"(Sapinska-Sliwa et al., 2020)","noteIndex":0},"citationItems":[{"id":2009,"uris":["http://zotero.org/users/11848684/items/SQNM2Z7X"],"itemData":{"id":2009,"type":"article-journal","archive":"Scopus","container-title":"Energies","DOI":"10.3390/en13143737","issue":"14","title":"Method of averaging the effective thermal conductivity based on thermal response tests of borehole heat exchangers","URL":"https://www.scopus.com/inward/record.uri?eid=2-s2.0-85090511350&amp;doi=10.3390%2fen13143737&amp;partnerID=40&amp;md5=c95168c9b1e504caeb2e6ad96daf8cdb","volume":"13","author":[{"family":"Sapinska-Sliwa","given":"A."},{"family":"Sliwa","given":"T."},{"family":"Twardowski","given":"K."},{"family":"Szymski","given":"K."},{"family":"Gonet","given":"A."},{"family":"Zuk","given":"P."}],"issued":{"date-parts":[["2020"]]}}}],"schema":"https://github.com/citation-style-language/schema/raw/master/csl-citation.json"} </w:instrText>
      </w:r>
      <w:r w:rsidR="00C92919">
        <w:rPr>
          <w:rFonts w:ascii="Times New Roman" w:eastAsia="Times New Roman" w:hAnsi="Times New Roman" w:cs="Times New Roman"/>
          <w:sz w:val="20"/>
          <w:szCs w:val="20"/>
        </w:rPr>
        <w:fldChar w:fldCharType="separate"/>
      </w:r>
      <w:r w:rsidR="00C92919" w:rsidRPr="00C92919">
        <w:rPr>
          <w:rFonts w:ascii="Times New Roman" w:hAnsi="Times New Roman" w:cs="Times New Roman"/>
          <w:sz w:val="20"/>
        </w:rPr>
        <w:t>(Sapinska-Sliwa et al., 2020)</w:t>
      </w:r>
      <w:r w:rsidR="00C92919">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w:t>
      </w:r>
    </w:p>
    <w:p w14:paraId="0548AF4F" w14:textId="62247A53"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use of the MLI has been extended to the high-temperature range for the Thermal Protection System (TPS) in aerospace vehicle re-entry</w:t>
      </w:r>
      <w:r w:rsidR="009E4977">
        <w:rPr>
          <w:rFonts w:ascii="Times New Roman" w:eastAsia="Times New Roman" w:hAnsi="Times New Roman" w:cs="Times New Roman"/>
          <w:sz w:val="20"/>
          <w:szCs w:val="20"/>
        </w:rPr>
        <w:t xml:space="preserve"> </w:t>
      </w:r>
      <w:r w:rsidR="009E4977">
        <w:rPr>
          <w:rFonts w:ascii="Times New Roman" w:eastAsia="Times New Roman" w:hAnsi="Times New Roman" w:cs="Times New Roman"/>
          <w:sz w:val="20"/>
          <w:szCs w:val="20"/>
        </w:rPr>
        <w:fldChar w:fldCharType="begin"/>
      </w:r>
      <w:r w:rsidR="009E4977">
        <w:rPr>
          <w:rFonts w:ascii="Times New Roman" w:eastAsia="Times New Roman" w:hAnsi="Times New Roman" w:cs="Times New Roman"/>
          <w:sz w:val="20"/>
          <w:szCs w:val="20"/>
        </w:rPr>
        <w:instrText xml:space="preserve"> ADDIN ZOTERO_ITEM CSL_CITATION {"citationID":"TbWurm0w","properties":{"unsorted":false,"formattedCitation":"(Daryabeigi, 2002)","plainCitation":"(Daryabeigi, 2002)","noteIndex":0},"citationItems":[{"id":4277,"uris":["http://zotero.org/users/11848684/items/4AQG2YAW"],"itemData":{"id":4277,"type":"article-journal","container-title":"Journal of Spacecraft and Rockets","DOI":"10.2514/2.3863","ISSN":"0022-4650, 1533-6794","issue":"4","journalAbbreviation":"Journal of Spacecraft and Rockets","language":"en","page":"509-514","source":"DOI.org (Crossref)","title":"Thermal Analysis and Design Optimization of Multilayer Insulation for Reentry Aerodynamic Heating","volume":"39","author":[{"family":"Daryabeigi","given":"Kamran"}],"issued":{"date-parts":[["2002",7]]}}}],"schema":"https://github.com/citation-style-language/schema/raw/master/csl-citation.json"} </w:instrText>
      </w:r>
      <w:r w:rsidR="009E4977">
        <w:rPr>
          <w:rFonts w:ascii="Times New Roman" w:eastAsia="Times New Roman" w:hAnsi="Times New Roman" w:cs="Times New Roman"/>
          <w:sz w:val="20"/>
          <w:szCs w:val="20"/>
        </w:rPr>
        <w:fldChar w:fldCharType="separate"/>
      </w:r>
      <w:r w:rsidR="009E4977" w:rsidRPr="009E4977">
        <w:rPr>
          <w:rFonts w:ascii="Times New Roman" w:hAnsi="Times New Roman" w:cs="Times New Roman"/>
          <w:sz w:val="20"/>
        </w:rPr>
        <w:t>(Daryabeigi, 2002)</w:t>
      </w:r>
      <w:r w:rsidR="009E4977">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An experimental and numerical study has been developed to evaluate the performance of the MLI above 800 °C</w:t>
      </w:r>
      <w:r w:rsidR="009E4977">
        <w:rPr>
          <w:rFonts w:ascii="Times New Roman" w:eastAsia="Times New Roman" w:hAnsi="Times New Roman" w:cs="Times New Roman"/>
          <w:sz w:val="20"/>
          <w:szCs w:val="20"/>
        </w:rPr>
        <w:t xml:space="preserve"> </w:t>
      </w:r>
      <w:r w:rsidR="009E4977">
        <w:rPr>
          <w:rFonts w:ascii="Times New Roman" w:eastAsia="Times New Roman" w:hAnsi="Times New Roman" w:cs="Times New Roman"/>
          <w:sz w:val="20"/>
          <w:szCs w:val="20"/>
        </w:rPr>
        <w:fldChar w:fldCharType="begin"/>
      </w:r>
      <w:r w:rsidR="009E4977">
        <w:rPr>
          <w:rFonts w:ascii="Times New Roman" w:eastAsia="Times New Roman" w:hAnsi="Times New Roman" w:cs="Times New Roman"/>
          <w:sz w:val="20"/>
          <w:szCs w:val="20"/>
        </w:rPr>
        <w:instrText xml:space="preserve"> ADDIN ZOTERO_ITEM CSL_CITATION {"citationID":"BIVcV03t","properties":{"unsorted":false,"formattedCitation":"(Chen et al., 2018)","plainCitation":"(Chen et al., 2018)","noteIndex":0},"citationItems":[{"id":17,"uris":["http://zotero.org/users/11848684/items/VI2AAJH6"],"itemData":{"id":17,"type":"article-journal","container-title":"Science China Technological Sciences","DOI":"10.1007/s11431-017-9250-x","ISSN":"1674-7321, 1869-1900","issue":"7","journalAbbreviation":"Sci. China Technol. Sci.","language":"en","page":"994-1002","source":"DOI.org (Crossref)","title":"Design and heat transfer analysis of a compound multi-layer insulations for use in high temperature cylinder thermal protection systems","volume":"61","author":[{"family":"Chen","given":"MengJun"},{"family":"Zhang","given":"Ping"},{"family":"Li","given":"Qiang"}],"issued":{"date-parts":[["2018",7]]}}}],"schema":"https://github.com/citation-style-language/schema/raw/master/csl-citation.json"} </w:instrText>
      </w:r>
      <w:r w:rsidR="009E4977">
        <w:rPr>
          <w:rFonts w:ascii="Times New Roman" w:eastAsia="Times New Roman" w:hAnsi="Times New Roman" w:cs="Times New Roman"/>
          <w:sz w:val="20"/>
          <w:szCs w:val="20"/>
        </w:rPr>
        <w:fldChar w:fldCharType="separate"/>
      </w:r>
      <w:r w:rsidR="009E4977" w:rsidRPr="009E4977">
        <w:rPr>
          <w:rFonts w:ascii="Times New Roman" w:hAnsi="Times New Roman" w:cs="Times New Roman"/>
          <w:sz w:val="20"/>
        </w:rPr>
        <w:t>(Chen et al., 2018)</w:t>
      </w:r>
      <w:r w:rsidR="009E4977">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p w14:paraId="507A0B31" w14:textId="77777777"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In the mid-temperature range, the typical boil-off measurement of MLI for cryogenic applications is not feasible. The proposed setup covers the temperature range from 100 °C to 250 °C rather than targeting a single temperature, as in the boil-off approach.</w:t>
      </w:r>
    </w:p>
    <w:p w14:paraId="750C380E" w14:textId="1182C41C"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Thermal conductivity of novel materials in hot conditions is typically evaluated with the Hot Guarded (HG) method</w:t>
      </w:r>
      <w:r w:rsidR="009E4977">
        <w:rPr>
          <w:rFonts w:ascii="Times New Roman" w:eastAsia="Times New Roman" w:hAnsi="Times New Roman" w:cs="Times New Roman"/>
          <w:sz w:val="20"/>
          <w:szCs w:val="20"/>
        </w:rPr>
        <w:t xml:space="preserve"> </w:t>
      </w:r>
      <w:r w:rsidR="009E4977">
        <w:rPr>
          <w:rFonts w:ascii="Times New Roman" w:eastAsia="Times New Roman" w:hAnsi="Times New Roman" w:cs="Times New Roman"/>
          <w:sz w:val="20"/>
          <w:szCs w:val="20"/>
        </w:rPr>
        <w:fldChar w:fldCharType="begin"/>
      </w:r>
      <w:r w:rsidR="009E4977">
        <w:rPr>
          <w:rFonts w:ascii="Times New Roman" w:eastAsia="Times New Roman" w:hAnsi="Times New Roman" w:cs="Times New Roman"/>
          <w:sz w:val="20"/>
          <w:szCs w:val="20"/>
        </w:rPr>
        <w:instrText xml:space="preserve"> ADDIN ZOTERO_ITEM CSL_CITATION {"citationID":"2ilwRmj1","properties":{"unsorted":false,"formattedCitation":"(Selzer et al., 2009)","plainCitation":"(Selzer et al., 2009)","noteIndex":0},"citationItems":[{"id":78,"uris":["http://zotero.org/users/11848684/items/IMMSPX3M"],"itemData":{"id":78,"type":"article-journal","language":"en","source":"Zotero","title":"HIGH TEMPERATURE THERMAL CONDUCTIVITY MEASUREMENT APPARATUS","author":[{"family":"Selzer","given":"Markus"},{"family":"Keller","given":"Karl"},{"family":"Reimer","given":"Thomas"},{"family":"Ritter","given":"Heiko"}],"issued":{"date-parts":[["2009"]]}}}],"schema":"https://github.com/citation-style-language/schema/raw/master/csl-citation.json"} </w:instrText>
      </w:r>
      <w:r w:rsidR="009E4977">
        <w:rPr>
          <w:rFonts w:ascii="Times New Roman" w:eastAsia="Times New Roman" w:hAnsi="Times New Roman" w:cs="Times New Roman"/>
          <w:sz w:val="20"/>
          <w:szCs w:val="20"/>
        </w:rPr>
        <w:fldChar w:fldCharType="separate"/>
      </w:r>
      <w:r w:rsidR="009E4977" w:rsidRPr="009E4977">
        <w:rPr>
          <w:rFonts w:ascii="Times New Roman" w:hAnsi="Times New Roman" w:cs="Times New Roman"/>
          <w:sz w:val="20"/>
        </w:rPr>
        <w:t>(Selzer et al., 2009)</w:t>
      </w:r>
      <w:r w:rsidR="009E4977">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In the Guarded Hot Plate configuration, a flat specimen is positioned between a heated plate and a cooled plate, which establishes a well-defined temperature difference across the material. The central metering section of the hot plate is surrounded by a guard heater maintained at the same temperature</w:t>
      </w:r>
      <w:r w:rsidR="009E4977">
        <w:rPr>
          <w:rFonts w:ascii="Times New Roman" w:eastAsia="Times New Roman" w:hAnsi="Times New Roman" w:cs="Times New Roman"/>
          <w:sz w:val="20"/>
          <w:szCs w:val="20"/>
        </w:rPr>
        <w:t xml:space="preserve"> </w:t>
      </w:r>
      <w:r w:rsidR="009E4977">
        <w:rPr>
          <w:rFonts w:ascii="Times New Roman" w:eastAsia="Times New Roman" w:hAnsi="Times New Roman" w:cs="Times New Roman"/>
          <w:sz w:val="20"/>
          <w:szCs w:val="20"/>
        </w:rPr>
        <w:fldChar w:fldCharType="begin"/>
      </w:r>
      <w:r w:rsidR="009E4977">
        <w:rPr>
          <w:rFonts w:ascii="Times New Roman" w:eastAsia="Times New Roman" w:hAnsi="Times New Roman" w:cs="Times New Roman"/>
          <w:sz w:val="20"/>
          <w:szCs w:val="20"/>
        </w:rPr>
        <w:instrText xml:space="preserve"> ADDIN ZOTERO_ITEM CSL_CITATION {"citationID":"q9oDTjio","properties":{"unsorted":false,"formattedCitation":"(Scoarnec et al., 2015)","plainCitation":"(Scoarnec et al., 2015)","noteIndex":0},"citationItems":[{"id":4278,"uris":["http://zotero.org/users/11848684/items/Z4RQJP72"],"itemData":{"id":4278,"type":"article-journal","container-title":"International Journal of Thermophysics","DOI":"10.1007/s10765-014-1794-y","ISSN":"0195-928X, 1572-9567","issue":"2-3","journalAbbreviation":"Int J Thermophys","language":"en","page":"540-556","source":"DOI.org (Crossref)","title":"A New Guarded Hot Plate Designed for Thermal-Conductivity Measurements at High Temperature","volume":"36","author":[{"family":"Scoarnec","given":"V."},{"family":"Hameury","given":"J."},{"family":"Hay","given":"B."}],"issued":{"date-parts":[["2015",3]]}}}],"schema":"https://github.com/citation-style-language/schema/raw/master/csl-citation.json"} </w:instrText>
      </w:r>
      <w:r w:rsidR="009E4977">
        <w:rPr>
          <w:rFonts w:ascii="Times New Roman" w:eastAsia="Times New Roman" w:hAnsi="Times New Roman" w:cs="Times New Roman"/>
          <w:sz w:val="20"/>
          <w:szCs w:val="20"/>
        </w:rPr>
        <w:fldChar w:fldCharType="separate"/>
      </w:r>
      <w:r w:rsidR="009E4977" w:rsidRPr="009E4977">
        <w:rPr>
          <w:rFonts w:ascii="Times New Roman" w:hAnsi="Times New Roman" w:cs="Times New Roman"/>
          <w:sz w:val="20"/>
        </w:rPr>
        <w:t>(Scoarnec et al., 2015)</w:t>
      </w:r>
      <w:r w:rsidR="009E4977">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This arrangement minimizes lateral heat losses and promotes one-dimensional heat transfer through the specimen. Once steady-state conditions are achieved, the thermal conductivity is calculated from the measured heat input, specimen thickness, heat-transfer area, and temperature difference according to Fourier’s law. </w:t>
      </w:r>
    </w:p>
    <w:p w14:paraId="70CF6872" w14:textId="717C6044"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For insulating systems with cylindrical geometries, such as pipe insulation, the corresponding Guarded Hot Pipe (HGP) method is more representative. In this configuration, the test material is installed around an electrically heated pipe, while independently controlled guard sections are placed at both ends of the metering section. These guards reduce axial heat losses, enabling the radial heat transfer through the insulation to be evaluated</w:t>
      </w:r>
      <w:r w:rsidR="009E4977">
        <w:rPr>
          <w:rFonts w:ascii="Times New Roman" w:eastAsia="Times New Roman" w:hAnsi="Times New Roman" w:cs="Times New Roman"/>
          <w:sz w:val="20"/>
          <w:szCs w:val="20"/>
        </w:rPr>
        <w:t xml:space="preserve"> </w:t>
      </w:r>
      <w:r w:rsidR="009E4977">
        <w:rPr>
          <w:rFonts w:ascii="Times New Roman" w:eastAsia="Times New Roman" w:hAnsi="Times New Roman" w:cs="Times New Roman"/>
          <w:sz w:val="20"/>
          <w:szCs w:val="20"/>
        </w:rPr>
        <w:fldChar w:fldCharType="begin"/>
      </w:r>
      <w:r w:rsidR="009E4977">
        <w:rPr>
          <w:rFonts w:ascii="Times New Roman" w:eastAsia="Times New Roman" w:hAnsi="Times New Roman" w:cs="Times New Roman"/>
          <w:sz w:val="20"/>
          <w:szCs w:val="20"/>
        </w:rPr>
        <w:instrText xml:space="preserve"> ADDIN ZOTERO_ITEM CSL_CITATION {"citationID":"Ga7O9656","properties":{"unsorted":false,"formattedCitation":"(Hayrullin et al., 2022)","plainCitation":"(Hayrullin et al., 2022)","noteIndex":0},"citationItems":[{"id":68,"uris":["http://zotero.org/users/11848684/items/TH6D67X5"],"itemData":{"id":68,"type":"article-journal","container-title":"Transportation Research Procedia","DOI":"10.1016/j.trpro.2022.06.109","ISSN":"23521465","journalAbbreviation":"Transportation Research Procedia","language":"en","page":"1074-1080","source":"DOI.org (Crossref)","title":"Insulation thermal conductivity heating networks during transportation thermal energy under dry and moisturizing condition: a comparative study of the guarded hot plate and guarded hot pipe method","title-short":"Insulation thermal conductivity heating networks during transportation thermal energy under dry and moisturizing condition","volume":"63","author":[{"family":"Hayrullin","given":"Aidar"},{"family":"Haibullina","given":"Aigul"},{"family":"Sinyavin","given":"Alex"}],"issued":{"date-parts":[["2022"]]}}}],"schema":"https://github.com/citation-style-language/schema/raw/master/csl-citation.json"} </w:instrText>
      </w:r>
      <w:r w:rsidR="009E4977">
        <w:rPr>
          <w:rFonts w:ascii="Times New Roman" w:eastAsia="Times New Roman" w:hAnsi="Times New Roman" w:cs="Times New Roman"/>
          <w:sz w:val="20"/>
          <w:szCs w:val="20"/>
        </w:rPr>
        <w:fldChar w:fldCharType="separate"/>
      </w:r>
      <w:r w:rsidR="009E4977" w:rsidRPr="009E4977">
        <w:rPr>
          <w:rFonts w:ascii="Times New Roman" w:hAnsi="Times New Roman" w:cs="Times New Roman"/>
          <w:sz w:val="20"/>
        </w:rPr>
        <w:t>(Hayrullin et al., 2022)</w:t>
      </w:r>
      <w:r w:rsidR="009E4977">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Guarded hot methods are therefore suitable for characterizing newly developed insulation materials over their intended operating-temperature range, although they require accurate temperature control and long stabilization times.</w:t>
      </w:r>
    </w:p>
    <w:p w14:paraId="5FE6C4E3" w14:textId="77777777" w:rsidR="004D7E97" w:rsidRDefault="00000000">
      <w:pPr>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 this work, we designed and constructed an optimized measurement system based on the Guarded Hot Pipe method. The system was used to evaluate the insulating performance of two HVMLI configurations for industrial fluid pipelines between 100 °C and 250 °C: a single aluminium layer (1-Al) and ten aluminium layers (10-Al) surrounding the inner pipe.</w:t>
      </w:r>
    </w:p>
    <w:p w14:paraId="331C32D3" w14:textId="77777777" w:rsidR="004D7E97" w:rsidRDefault="00000000">
      <w:pPr>
        <w:numPr>
          <w:ilvl w:val="0"/>
          <w:numId w:val="1"/>
        </w:numPr>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Main idea and conceptualization</w:t>
      </w:r>
    </w:p>
    <w:p w14:paraId="5BD693E1" w14:textId="77777777"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Fig. 1 shows the two configurations adopted in this paper for the thermal insulation of an industrial HTF pipe in the range from 100 °C to 250 °C. On the left, the traditional solution of rockwool contained within aluminium cladding is depicted. On the right, the proposed solution, a vacuum insulated tube (VIT) with HVMLI is shown.</w:t>
      </w:r>
    </w:p>
    <w:p w14:paraId="6896A695" w14:textId="6EEB3EDA" w:rsidR="00DA5EF6" w:rsidRDefault="00000000" w:rsidP="00DA5EF6">
      <w:pPr>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main heat exchange mechanism of rockwool insulation is conduction, described by Fourier’s law for cylindrical geometries in eq.</w:t>
      </w:r>
      <w:r w:rsidR="008344B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1: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DA5EF6" w:rsidRPr="00A35228" w14:paraId="7D2A3246" w14:textId="77777777" w:rsidTr="00697A40">
        <w:trPr>
          <w:trHeight w:val="603"/>
        </w:trPr>
        <w:tc>
          <w:tcPr>
            <w:tcW w:w="6804" w:type="dxa"/>
            <w:vAlign w:val="center"/>
          </w:tcPr>
          <w:p w14:paraId="7832463F" w14:textId="4498C649" w:rsidR="00DA5EF6" w:rsidRPr="00DA5EF6" w:rsidRDefault="00000000" w:rsidP="00DA5EF6">
            <w:pPr>
              <w:ind w:firstLine="284"/>
              <w:jc w:val="both"/>
              <w:rPr>
                <w:sz w:val="22"/>
                <w:szCs w:val="22"/>
              </w:rPr>
            </w:pPr>
            <m:oMathPara>
              <m:oMathParaPr>
                <m:jc m:val="left"/>
              </m:oMathParaPr>
              <m:oMath>
                <m:acc>
                  <m:accPr>
                    <m:chr m:val="̇"/>
                    <m:ctrlPr>
                      <w:rPr>
                        <w:rFonts w:ascii="Cambria Math" w:eastAsia="Cambria Math" w:hAnsi="Cambria Math" w:cs="Cambria Math"/>
                        <w:iCs/>
                      </w:rPr>
                    </m:ctrlPr>
                  </m:accPr>
                  <m:e>
                    <m:r>
                      <m:rPr>
                        <m:sty m:val="p"/>
                      </m:rPr>
                      <w:rPr>
                        <w:rFonts w:ascii="Cambria Math" w:eastAsia="Cambria Math" w:hAnsi="Cambria Math" w:cs="Cambria Math"/>
                      </w:rPr>
                      <m:t>Q</m:t>
                    </m:r>
                  </m:e>
                </m:acc>
                <m:r>
                  <m:rPr>
                    <m:sty m:val="p"/>
                  </m:rPr>
                  <w:rPr>
                    <w:rFonts w:ascii="Cambria Math" w:eastAsia="Cambria Math" w:hAnsi="Cambria Math" w:cs="Cambria Math"/>
                  </w:rPr>
                  <m:t>=</m:t>
                </m:r>
                <m:f>
                  <m:fPr>
                    <m:ctrlPr>
                      <w:rPr>
                        <w:rFonts w:ascii="Cambria Math" w:eastAsia="Cambria Math" w:hAnsi="Cambria Math" w:cs="Cambria Math"/>
                        <w:iCs/>
                      </w:rPr>
                    </m:ctrlPr>
                  </m:fPr>
                  <m:num>
                    <m:r>
                      <m:rPr>
                        <m:sty m:val="p"/>
                      </m:rPr>
                      <w:rPr>
                        <w:rFonts w:ascii="Cambria Math" w:eastAsia="Cambria Math" w:hAnsi="Cambria Math" w:cs="Cambria Math"/>
                      </w:rPr>
                      <m:t>2πL</m:t>
                    </m:r>
                    <m:sSub>
                      <m:sSubPr>
                        <m:ctrlPr>
                          <w:rPr>
                            <w:rFonts w:ascii="Cambria Math" w:eastAsia="Cambria Math" w:hAnsi="Cambria Math" w:cs="Cambria Math"/>
                            <w:iCs/>
                          </w:rPr>
                        </m:ctrlPr>
                      </m:sSubPr>
                      <m:e>
                        <m:r>
                          <m:rPr>
                            <m:sty m:val="p"/>
                          </m:rPr>
                          <w:rPr>
                            <w:rFonts w:ascii="Cambria Math" w:eastAsia="Cambria Math" w:hAnsi="Cambria Math" w:cs="Cambria Math"/>
                          </w:rPr>
                          <m:t>k</m:t>
                        </m:r>
                      </m:e>
                      <m:sub>
                        <m:r>
                          <m:rPr>
                            <m:sty m:val="p"/>
                          </m:rPr>
                          <w:rPr>
                            <w:rFonts w:ascii="Cambria Math" w:eastAsia="Cambria Math" w:hAnsi="Cambria Math" w:cs="Cambria Math"/>
                          </w:rPr>
                          <m:t>r</m:t>
                        </m:r>
                      </m:sub>
                    </m:sSub>
                  </m:num>
                  <m:den>
                    <m:r>
                      <m:rPr>
                        <m:sty m:val="p"/>
                      </m:rPr>
                      <w:rPr>
                        <w:rFonts w:ascii="Cambria Math" w:eastAsia="Cambria Math" w:hAnsi="Cambria Math" w:cs="Cambria Math"/>
                      </w:rPr>
                      <m:t xml:space="preserve">ln </m:t>
                    </m:r>
                    <m:d>
                      <m:dPr>
                        <m:ctrlPr>
                          <w:rPr>
                            <w:rFonts w:ascii="Cambria Math" w:eastAsia="Cambria Math" w:hAnsi="Cambria Math" w:cs="Cambria Math"/>
                            <w:iCs/>
                          </w:rPr>
                        </m:ctrlPr>
                      </m:dPr>
                      <m:e>
                        <m:f>
                          <m:fPr>
                            <m:ctrlPr>
                              <w:rPr>
                                <w:rFonts w:ascii="Cambria Math" w:eastAsia="Cambria Math" w:hAnsi="Cambria Math" w:cs="Cambria Math"/>
                                <w:iCs/>
                              </w:rPr>
                            </m:ctrlPr>
                          </m:fPr>
                          <m:num>
                            <m:sSub>
                              <m:sSubPr>
                                <m:ctrlPr>
                                  <w:rPr>
                                    <w:rFonts w:ascii="Cambria Math" w:eastAsia="Cambria Math" w:hAnsi="Cambria Math" w:cs="Cambria Math"/>
                                    <w:iCs/>
                                  </w:rPr>
                                </m:ctrlPr>
                              </m:sSubPr>
                              <m:e>
                                <m:r>
                                  <m:rPr>
                                    <m:sty m:val="p"/>
                                  </m:rPr>
                                  <w:rPr>
                                    <w:rFonts w:ascii="Cambria Math" w:eastAsia="Cambria Math" w:hAnsi="Cambria Math" w:cs="Cambria Math"/>
                                  </w:rPr>
                                  <m:t>D</m:t>
                                </m:r>
                              </m:e>
                              <m:sub>
                                <m:r>
                                  <m:rPr>
                                    <m:sty m:val="p"/>
                                  </m:rPr>
                                  <w:rPr>
                                    <w:rFonts w:ascii="Cambria Math" w:eastAsia="Cambria Math" w:hAnsi="Cambria Math" w:cs="Cambria Math"/>
                                  </w:rPr>
                                  <m:t>out</m:t>
                                </m:r>
                              </m:sub>
                            </m:sSub>
                          </m:num>
                          <m:den>
                            <m:sSub>
                              <m:sSubPr>
                                <m:ctrlPr>
                                  <w:rPr>
                                    <w:rFonts w:ascii="Cambria Math" w:eastAsia="Cambria Math" w:hAnsi="Cambria Math" w:cs="Cambria Math"/>
                                    <w:iCs/>
                                  </w:rPr>
                                </m:ctrlPr>
                              </m:sSubPr>
                              <m:e>
                                <m:r>
                                  <m:rPr>
                                    <m:sty m:val="p"/>
                                  </m:rPr>
                                  <w:rPr>
                                    <w:rFonts w:ascii="Cambria Math" w:eastAsia="Cambria Math" w:hAnsi="Cambria Math" w:cs="Cambria Math"/>
                                  </w:rPr>
                                  <m:t>D</m:t>
                                </m:r>
                              </m:e>
                              <m:sub>
                                <m:r>
                                  <m:rPr>
                                    <m:sty m:val="p"/>
                                  </m:rPr>
                                  <w:rPr>
                                    <w:rFonts w:ascii="Cambria Math" w:eastAsia="Cambria Math" w:hAnsi="Cambria Math" w:cs="Cambria Math"/>
                                  </w:rPr>
                                  <m:t>in</m:t>
                                </m:r>
                              </m:sub>
                            </m:sSub>
                          </m:den>
                        </m:f>
                      </m:e>
                    </m:d>
                  </m:den>
                </m:f>
                <m:r>
                  <m:rPr>
                    <m:sty m:val="p"/>
                  </m:rPr>
                  <w:rPr>
                    <w:rFonts w:ascii="Cambria Math" w:eastAsia="Cambria Math" w:hAnsi="Cambria Math" w:cs="Cambria Math"/>
                  </w:rPr>
                  <m:t xml:space="preserve"> </m:t>
                </m:r>
                <m:d>
                  <m:dPr>
                    <m:ctrlPr>
                      <w:rPr>
                        <w:rFonts w:ascii="Cambria Math" w:eastAsia="Cambria Math" w:hAnsi="Cambria Math" w:cs="Cambria Math"/>
                        <w:iCs/>
                      </w:rPr>
                    </m:ctrlPr>
                  </m:dPr>
                  <m:e>
                    <m:sSub>
                      <m:sSubPr>
                        <m:ctrlPr>
                          <w:rPr>
                            <w:rFonts w:ascii="Cambria Math" w:eastAsia="Cambria Math" w:hAnsi="Cambria Math" w:cs="Cambria Math"/>
                            <w:iCs/>
                          </w:rPr>
                        </m:ctrlPr>
                      </m:sSubPr>
                      <m:e>
                        <m:r>
                          <m:rPr>
                            <m:sty m:val="p"/>
                          </m:rPr>
                          <w:rPr>
                            <w:rFonts w:ascii="Cambria Math" w:eastAsia="Cambria Math" w:hAnsi="Cambria Math" w:cs="Cambria Math"/>
                          </w:rPr>
                          <m:t>T</m:t>
                        </m:r>
                      </m:e>
                      <m:sub>
                        <m:r>
                          <m:rPr>
                            <m:sty m:val="p"/>
                          </m:rPr>
                          <w:rPr>
                            <w:rFonts w:ascii="Cambria Math" w:eastAsia="Cambria Math" w:hAnsi="Cambria Math" w:cs="Cambria Math"/>
                          </w:rPr>
                          <m:t>in</m:t>
                        </m:r>
                      </m:sub>
                    </m:sSub>
                    <m:r>
                      <m:rPr>
                        <m:sty m:val="p"/>
                      </m:rPr>
                      <w:rPr>
                        <w:rFonts w:ascii="Cambria Math" w:eastAsia="Cambria Math" w:hAnsi="Cambria Math" w:cs="Cambria Math"/>
                      </w:rPr>
                      <m:t>-</m:t>
                    </m:r>
                    <m:sSub>
                      <m:sSubPr>
                        <m:ctrlPr>
                          <w:rPr>
                            <w:rFonts w:ascii="Cambria Math" w:eastAsia="Cambria Math" w:hAnsi="Cambria Math" w:cs="Cambria Math"/>
                            <w:iCs/>
                          </w:rPr>
                        </m:ctrlPr>
                      </m:sSubPr>
                      <m:e>
                        <m:r>
                          <m:rPr>
                            <m:sty m:val="p"/>
                          </m:rPr>
                          <w:rPr>
                            <w:rFonts w:ascii="Cambria Math" w:eastAsia="Cambria Math" w:hAnsi="Cambria Math" w:cs="Cambria Math"/>
                          </w:rPr>
                          <m:t>T</m:t>
                        </m:r>
                      </m:e>
                      <m:sub>
                        <m:r>
                          <m:rPr>
                            <m:sty m:val="p"/>
                          </m:rPr>
                          <w:rPr>
                            <w:rFonts w:ascii="Cambria Math" w:eastAsia="Cambria Math" w:hAnsi="Cambria Math" w:cs="Cambria Math"/>
                          </w:rPr>
                          <m:t>out</m:t>
                        </m:r>
                      </m:sub>
                    </m:sSub>
                  </m:e>
                </m:d>
                <m:r>
                  <w:rPr>
                    <w:rFonts w:ascii="Cambria Math" w:eastAsia="Cambria Math" w:hAnsi="Cambria Math" w:cs="Cambria Math"/>
                  </w:rPr>
                  <m:t xml:space="preserve">            </m:t>
                </m:r>
              </m:oMath>
            </m:oMathPara>
          </w:p>
        </w:tc>
        <w:tc>
          <w:tcPr>
            <w:tcW w:w="2835" w:type="dxa"/>
            <w:vAlign w:val="center"/>
          </w:tcPr>
          <w:p w14:paraId="3BBDD892" w14:textId="77777777" w:rsidR="00DA5EF6" w:rsidRPr="00A35228" w:rsidRDefault="00DA5EF6" w:rsidP="00697A40">
            <w:pPr>
              <w:pStyle w:val="SWCText"/>
              <w:rPr>
                <w:lang w:val="en-GB"/>
              </w:rPr>
            </w:pPr>
            <w:r w:rsidRPr="00A35228">
              <w:rPr>
                <w:lang w:val="en-GB"/>
              </w:rPr>
              <w:t>(</w:t>
            </w:r>
            <w:r>
              <w:rPr>
                <w:lang w:val="en-GB"/>
              </w:rPr>
              <w:t xml:space="preserve">eq. </w:t>
            </w:r>
            <w:r w:rsidRPr="00A35228">
              <w:rPr>
                <w:lang w:val="en-GB"/>
              </w:rPr>
              <w:t>1)</w:t>
            </w:r>
          </w:p>
        </w:tc>
      </w:tr>
    </w:tbl>
    <w:p w14:paraId="482B9C9C" w14:textId="6CFBEC5C" w:rsidR="004D7E97" w:rsidRDefault="008344B8" w:rsidP="00DA5EF6">
      <w:pPr>
        <w:spacing w:before="240"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w:t>
      </w:r>
      <w:r w:rsidR="00000000">
        <w:rPr>
          <w:rFonts w:ascii="Times New Roman" w:eastAsia="Times New Roman" w:hAnsi="Times New Roman" w:cs="Times New Roman"/>
          <w:sz w:val="20"/>
          <w:szCs w:val="20"/>
        </w:rPr>
        <w:t xml:space="preserve">here </w:t>
      </w:r>
      <m:oMath>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Q</m:t>
            </m:r>
          </m:e>
        </m:acc>
        <m:r>
          <w:rPr>
            <w:rFonts w:ascii="Cambria Math" w:eastAsia="Cambria Math" w:hAnsi="Cambria Math" w:cs="Cambria Math"/>
            <w:sz w:val="20"/>
            <w:szCs w:val="20"/>
          </w:rPr>
          <m:t xml:space="preserve"> </m:t>
        </m:r>
      </m:oMath>
      <w:r w:rsidR="00000000">
        <w:rPr>
          <w:rFonts w:ascii="Times New Roman" w:eastAsia="Times New Roman" w:hAnsi="Times New Roman" w:cs="Times New Roman"/>
          <w:sz w:val="20"/>
          <w:szCs w:val="20"/>
        </w:rPr>
        <w:t>(W) is the thermal power,</w:t>
      </w:r>
      <w:r w:rsidR="00000000">
        <w:rPr>
          <w:rFonts w:ascii="Times New Roman" w:eastAsia="Times New Roman" w:hAnsi="Times New Roman" w:cs="Times New Roman"/>
          <w:i/>
          <w:iCs/>
          <w:sz w:val="20"/>
          <w:szCs w:val="20"/>
        </w:rPr>
        <w:t xml:space="preserve"> L</w:t>
      </w:r>
      <w:r w:rsidR="00000000">
        <w:rPr>
          <w:rFonts w:ascii="Times New Roman" w:eastAsia="Times New Roman" w:hAnsi="Times New Roman" w:cs="Times New Roman"/>
          <w:sz w:val="20"/>
          <w:szCs w:val="20"/>
        </w:rPr>
        <w:t xml:space="preserve"> (m) is the length of the pipe, </w:t>
      </w:r>
      <w:r w:rsidR="00000000">
        <w:rPr>
          <w:rFonts w:ascii="Times New Roman" w:eastAsia="Times New Roman" w:hAnsi="Times New Roman" w:cs="Times New Roman"/>
          <w:i/>
          <w:iCs/>
          <w:sz w:val="20"/>
          <w:szCs w:val="20"/>
        </w:rPr>
        <w:t>k</w:t>
      </w:r>
      <w:r w:rsidR="00000000">
        <w:rPr>
          <w:rFonts w:ascii="Times New Roman" w:eastAsia="Times New Roman" w:hAnsi="Times New Roman" w:cs="Times New Roman"/>
          <w:i/>
          <w:iCs/>
          <w:sz w:val="20"/>
          <w:szCs w:val="20"/>
          <w:vertAlign w:val="subscript"/>
        </w:rPr>
        <w:t>r</w:t>
      </w:r>
      <w:r w:rsidR="00000000">
        <w:rPr>
          <w:rFonts w:ascii="Times New Roman" w:eastAsia="Times New Roman" w:hAnsi="Times New Roman" w:cs="Times New Roman"/>
          <w:sz w:val="20"/>
          <w:szCs w:val="20"/>
        </w:rPr>
        <w:t xml:space="preserve"> is the thermal conductivity of rockwool (0.04 W m</w:t>
      </w:r>
      <w:r w:rsidR="00000000">
        <w:rPr>
          <w:rFonts w:ascii="Times New Roman" w:eastAsia="Times New Roman" w:hAnsi="Times New Roman" w:cs="Times New Roman"/>
          <w:sz w:val="20"/>
          <w:szCs w:val="20"/>
          <w:vertAlign w:val="superscript"/>
        </w:rPr>
        <w:t xml:space="preserve">-1 </w:t>
      </w:r>
      <w:r w:rsidR="00000000">
        <w:rPr>
          <w:rFonts w:ascii="Times New Roman" w:eastAsia="Times New Roman" w:hAnsi="Times New Roman" w:cs="Times New Roman"/>
          <w:sz w:val="20"/>
          <w:szCs w:val="20"/>
        </w:rPr>
        <w:t>K</w:t>
      </w:r>
      <w:r w:rsidR="00000000">
        <w:rPr>
          <w:rFonts w:ascii="Times New Roman" w:eastAsia="Times New Roman" w:hAnsi="Times New Roman" w:cs="Times New Roman"/>
          <w:sz w:val="20"/>
          <w:szCs w:val="20"/>
          <w:vertAlign w:val="superscript"/>
        </w:rPr>
        <w:t>-1</w:t>
      </w:r>
      <w:r w:rsidR="00000000">
        <w:rPr>
          <w:rFonts w:ascii="Times New Roman" w:eastAsia="Times New Roman" w:hAnsi="Times New Roman" w:cs="Times New Roman"/>
          <w:sz w:val="20"/>
          <w:szCs w:val="20"/>
        </w:rPr>
        <w:t xml:space="preserve">), </w:t>
      </w:r>
      <w:r w:rsidR="00000000">
        <w:rPr>
          <w:rFonts w:ascii="Times New Roman" w:eastAsia="Times New Roman" w:hAnsi="Times New Roman" w:cs="Times New Roman"/>
          <w:i/>
          <w:iCs/>
          <w:sz w:val="20"/>
          <w:szCs w:val="20"/>
        </w:rPr>
        <w:t>D</w:t>
      </w:r>
      <w:r w:rsidR="00000000">
        <w:rPr>
          <w:rFonts w:ascii="Times New Roman" w:eastAsia="Times New Roman" w:hAnsi="Times New Roman" w:cs="Times New Roman"/>
          <w:i/>
          <w:iCs/>
          <w:sz w:val="20"/>
          <w:szCs w:val="20"/>
          <w:vertAlign w:val="subscript"/>
        </w:rPr>
        <w:t>out</w:t>
      </w:r>
      <w:r w:rsidR="00000000">
        <w:rPr>
          <w:rFonts w:ascii="Times New Roman" w:eastAsia="Times New Roman" w:hAnsi="Times New Roman" w:cs="Times New Roman"/>
          <w:sz w:val="20"/>
          <w:szCs w:val="20"/>
        </w:rPr>
        <w:t xml:space="preserve"> (m) is the outer diameter of the insulator, </w:t>
      </w:r>
      <w:r w:rsidR="00000000">
        <w:rPr>
          <w:rFonts w:ascii="Times New Roman" w:eastAsia="Times New Roman" w:hAnsi="Times New Roman" w:cs="Times New Roman"/>
          <w:i/>
          <w:iCs/>
          <w:sz w:val="20"/>
          <w:szCs w:val="20"/>
        </w:rPr>
        <w:t>D</w:t>
      </w:r>
      <w:r w:rsidR="00000000">
        <w:rPr>
          <w:rFonts w:ascii="Times New Roman" w:eastAsia="Times New Roman" w:hAnsi="Times New Roman" w:cs="Times New Roman"/>
          <w:i/>
          <w:iCs/>
          <w:sz w:val="20"/>
          <w:szCs w:val="20"/>
          <w:vertAlign w:val="subscript"/>
        </w:rPr>
        <w:t>in</w:t>
      </w:r>
      <w:r w:rsidR="00000000">
        <w:rPr>
          <w:rFonts w:ascii="Times New Roman" w:eastAsia="Times New Roman" w:hAnsi="Times New Roman" w:cs="Times New Roman"/>
          <w:sz w:val="20"/>
          <w:szCs w:val="20"/>
          <w:vertAlign w:val="subscript"/>
        </w:rPr>
        <w:t xml:space="preserve"> </w:t>
      </w:r>
      <w:r w:rsidR="00000000">
        <w:rPr>
          <w:rFonts w:ascii="Times New Roman" w:eastAsia="Times New Roman" w:hAnsi="Times New Roman" w:cs="Times New Roman"/>
          <w:sz w:val="20"/>
          <w:szCs w:val="20"/>
        </w:rPr>
        <w:t xml:space="preserve">(m) is the outer diameter of the inner tube, </w:t>
      </w:r>
      <w:r w:rsidR="00000000">
        <w:rPr>
          <w:rFonts w:ascii="Times New Roman" w:eastAsia="Times New Roman" w:hAnsi="Times New Roman" w:cs="Times New Roman"/>
          <w:i/>
          <w:iCs/>
          <w:sz w:val="20"/>
          <w:szCs w:val="20"/>
        </w:rPr>
        <w:t>T</w:t>
      </w:r>
      <w:r w:rsidR="00000000">
        <w:rPr>
          <w:rFonts w:ascii="Times New Roman" w:eastAsia="Times New Roman" w:hAnsi="Times New Roman" w:cs="Times New Roman"/>
          <w:i/>
          <w:iCs/>
          <w:sz w:val="20"/>
          <w:szCs w:val="20"/>
          <w:vertAlign w:val="subscript"/>
        </w:rPr>
        <w:t>in</w:t>
      </w:r>
      <w:r w:rsidR="00000000">
        <w:rPr>
          <w:rFonts w:ascii="Times New Roman" w:eastAsia="Times New Roman" w:hAnsi="Times New Roman" w:cs="Times New Roman"/>
          <w:sz w:val="20"/>
          <w:szCs w:val="20"/>
        </w:rPr>
        <w:t xml:space="preserve"> (°C) is the temperature of the inner tube, equal to the HTF one, ranging between 100 °C and 250 °C, and </w:t>
      </w:r>
      <w:r w:rsidR="00000000">
        <w:rPr>
          <w:rFonts w:ascii="Times New Roman" w:eastAsia="Times New Roman" w:hAnsi="Times New Roman" w:cs="Times New Roman"/>
          <w:i/>
          <w:iCs/>
          <w:sz w:val="20"/>
          <w:szCs w:val="20"/>
        </w:rPr>
        <w:t>T</w:t>
      </w:r>
      <w:r w:rsidR="00000000">
        <w:rPr>
          <w:rFonts w:ascii="Times New Roman" w:eastAsia="Times New Roman" w:hAnsi="Times New Roman" w:cs="Times New Roman"/>
          <w:i/>
          <w:iCs/>
          <w:sz w:val="20"/>
          <w:szCs w:val="20"/>
          <w:vertAlign w:val="subscript"/>
        </w:rPr>
        <w:t>out</w:t>
      </w:r>
      <w:r w:rsidR="00000000">
        <w:rPr>
          <w:rFonts w:ascii="Times New Roman" w:eastAsia="Times New Roman" w:hAnsi="Times New Roman" w:cs="Times New Roman"/>
          <w:sz w:val="20"/>
          <w:szCs w:val="20"/>
        </w:rPr>
        <w:t xml:space="preserve"> (°C) is the temperature of the outer surface, set equal to the ambient laboratory temperature (25 °C). In this analysis, contribution of thermal resistance due to the thickness of the hot pipe is negligible, returning a formally uniform temperature distribution within the thickness itself. Looking at eq.</w:t>
      </w:r>
      <w:r>
        <w:rPr>
          <w:rFonts w:ascii="Times New Roman" w:eastAsia="Times New Roman" w:hAnsi="Times New Roman" w:cs="Times New Roman"/>
          <w:sz w:val="20"/>
          <w:szCs w:val="20"/>
        </w:rPr>
        <w:t xml:space="preserve"> </w:t>
      </w:r>
      <w:r w:rsidR="00000000">
        <w:rPr>
          <w:rFonts w:ascii="Times New Roman" w:eastAsia="Times New Roman" w:hAnsi="Times New Roman" w:cs="Times New Roman"/>
          <w:sz w:val="20"/>
          <w:szCs w:val="20"/>
        </w:rPr>
        <w:t xml:space="preserve">1, when </w:t>
      </w:r>
      <w:r w:rsidR="00000000">
        <w:rPr>
          <w:rFonts w:ascii="Times New Roman" w:eastAsia="Times New Roman" w:hAnsi="Times New Roman" w:cs="Times New Roman"/>
          <w:i/>
          <w:iCs/>
          <w:sz w:val="20"/>
          <w:szCs w:val="20"/>
        </w:rPr>
        <w:t>L</w:t>
      </w:r>
      <w:r w:rsidR="00000000">
        <w:rPr>
          <w:rFonts w:ascii="Times New Roman" w:eastAsia="Times New Roman" w:hAnsi="Times New Roman" w:cs="Times New Roman"/>
          <w:sz w:val="20"/>
          <w:szCs w:val="20"/>
        </w:rPr>
        <w:t>, (</w:t>
      </w:r>
      <w:r w:rsidR="00000000">
        <w:rPr>
          <w:rFonts w:ascii="Times New Roman" w:eastAsia="Times New Roman" w:hAnsi="Times New Roman" w:cs="Times New Roman"/>
          <w:i/>
          <w:iCs/>
          <w:sz w:val="20"/>
          <w:szCs w:val="20"/>
        </w:rPr>
        <w:t>T</w:t>
      </w:r>
      <w:r w:rsidR="00000000">
        <w:rPr>
          <w:rFonts w:ascii="Times New Roman" w:eastAsia="Times New Roman" w:hAnsi="Times New Roman" w:cs="Times New Roman"/>
          <w:i/>
          <w:iCs/>
          <w:sz w:val="20"/>
          <w:szCs w:val="20"/>
          <w:vertAlign w:val="subscript"/>
        </w:rPr>
        <w:t>in</w:t>
      </w:r>
      <w:r w:rsidR="00000000">
        <w:rPr>
          <w:rFonts w:ascii="Times New Roman" w:eastAsia="Times New Roman" w:hAnsi="Times New Roman" w:cs="Times New Roman"/>
          <w:i/>
          <w:iCs/>
          <w:sz w:val="20"/>
          <w:szCs w:val="20"/>
        </w:rPr>
        <w:t>-T</w:t>
      </w:r>
      <w:r w:rsidR="00000000">
        <w:rPr>
          <w:rFonts w:ascii="Times New Roman" w:eastAsia="Times New Roman" w:hAnsi="Times New Roman" w:cs="Times New Roman"/>
          <w:i/>
          <w:iCs/>
          <w:sz w:val="20"/>
          <w:szCs w:val="20"/>
          <w:vertAlign w:val="subscript"/>
        </w:rPr>
        <w:t>out</w:t>
      </w:r>
      <w:r w:rsidR="00000000">
        <w:rPr>
          <w:rFonts w:ascii="Times New Roman" w:eastAsia="Times New Roman" w:hAnsi="Times New Roman" w:cs="Times New Roman"/>
          <w:sz w:val="20"/>
          <w:szCs w:val="20"/>
        </w:rPr>
        <w:t xml:space="preserve">) and </w:t>
      </w:r>
      <w:r w:rsidR="00000000">
        <w:rPr>
          <w:rFonts w:ascii="Times New Roman" w:eastAsia="Times New Roman" w:hAnsi="Times New Roman" w:cs="Times New Roman"/>
          <w:i/>
          <w:iCs/>
          <w:sz w:val="20"/>
          <w:szCs w:val="20"/>
        </w:rPr>
        <w:t>k</w:t>
      </w:r>
      <w:r w:rsidR="00000000">
        <w:rPr>
          <w:rFonts w:ascii="Times New Roman" w:eastAsia="Times New Roman" w:hAnsi="Times New Roman" w:cs="Times New Roman"/>
          <w:i/>
          <w:iCs/>
          <w:sz w:val="20"/>
          <w:szCs w:val="20"/>
          <w:vertAlign w:val="subscript"/>
        </w:rPr>
        <w:t>r</w:t>
      </w:r>
      <w:r w:rsidR="00000000">
        <w:rPr>
          <w:rFonts w:ascii="Times New Roman" w:eastAsia="Times New Roman" w:hAnsi="Times New Roman" w:cs="Times New Roman"/>
          <w:sz w:val="20"/>
          <w:szCs w:val="20"/>
        </w:rPr>
        <w:t xml:space="preserve"> are fixed, </w:t>
      </w:r>
      <m:oMath>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Q</m:t>
            </m:r>
          </m:e>
        </m:acc>
      </m:oMath>
      <w:r w:rsidR="00000000">
        <w:rPr>
          <w:rFonts w:ascii="Times New Roman" w:eastAsia="Times New Roman" w:hAnsi="Times New Roman" w:cs="Times New Roman"/>
          <w:sz w:val="20"/>
          <w:szCs w:val="20"/>
        </w:rPr>
        <w:t xml:space="preserve"> can be reduced only by increasing the ratio </w:t>
      </w:r>
      <w:r w:rsidR="00000000">
        <w:rPr>
          <w:rFonts w:ascii="Times New Roman" w:eastAsia="Times New Roman" w:hAnsi="Times New Roman" w:cs="Times New Roman"/>
          <w:i/>
          <w:iCs/>
          <w:sz w:val="20"/>
          <w:szCs w:val="20"/>
        </w:rPr>
        <w:t>D</w:t>
      </w:r>
      <w:r w:rsidR="00000000">
        <w:rPr>
          <w:rFonts w:ascii="Times New Roman" w:eastAsia="Times New Roman" w:hAnsi="Times New Roman" w:cs="Times New Roman"/>
          <w:i/>
          <w:iCs/>
          <w:sz w:val="20"/>
          <w:szCs w:val="20"/>
          <w:vertAlign w:val="subscript"/>
        </w:rPr>
        <w:t>out</w:t>
      </w:r>
      <w:r w:rsidR="00000000">
        <w:rPr>
          <w:rFonts w:ascii="Times New Roman" w:eastAsia="Times New Roman" w:hAnsi="Times New Roman" w:cs="Times New Roman"/>
          <w:i/>
          <w:iCs/>
          <w:sz w:val="20"/>
          <w:szCs w:val="20"/>
        </w:rPr>
        <w:t>/D</w:t>
      </w:r>
      <w:r w:rsidR="00000000">
        <w:rPr>
          <w:rFonts w:ascii="Times New Roman" w:eastAsia="Times New Roman" w:hAnsi="Times New Roman" w:cs="Times New Roman"/>
          <w:i/>
          <w:iCs/>
          <w:sz w:val="20"/>
          <w:szCs w:val="20"/>
          <w:vertAlign w:val="subscript"/>
        </w:rPr>
        <w:t>in</w:t>
      </w:r>
      <w:r w:rsidR="00000000">
        <w:rPr>
          <w:rFonts w:ascii="Times New Roman" w:eastAsia="Times New Roman" w:hAnsi="Times New Roman" w:cs="Times New Roman"/>
          <w:sz w:val="20"/>
          <w:szCs w:val="20"/>
        </w:rPr>
        <w:t xml:space="preserve">, by increasing the thickness of the insulator. </w:t>
      </w:r>
    </w:p>
    <w:p w14:paraId="4C23F4E6" w14:textId="0EDD976E" w:rsidR="004D7E97" w:rsidRDefault="00000000">
      <w:pPr>
        <w:spacing w:after="0" w:line="240" w:lineRule="auto"/>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100 mm thickness of rockwool surrounding the hot pipe is a common value for industrial pipelines and is provided by an optimization analysis balancing heat loss reduction, component size, and costs</w:t>
      </w:r>
      <w:r w:rsidR="009E4977">
        <w:rPr>
          <w:rFonts w:ascii="Times New Roman" w:eastAsia="Times New Roman" w:hAnsi="Times New Roman" w:cs="Times New Roman"/>
          <w:sz w:val="20"/>
          <w:szCs w:val="20"/>
        </w:rPr>
        <w:t xml:space="preserve"> </w:t>
      </w:r>
      <w:r w:rsidR="009E4977">
        <w:rPr>
          <w:rFonts w:ascii="Times New Roman" w:eastAsia="Times New Roman" w:hAnsi="Times New Roman" w:cs="Times New Roman"/>
          <w:sz w:val="20"/>
          <w:szCs w:val="20"/>
        </w:rPr>
        <w:fldChar w:fldCharType="begin"/>
      </w:r>
      <w:r w:rsidR="009E4977">
        <w:rPr>
          <w:rFonts w:ascii="Times New Roman" w:eastAsia="Times New Roman" w:hAnsi="Times New Roman" w:cs="Times New Roman"/>
          <w:sz w:val="20"/>
          <w:szCs w:val="20"/>
        </w:rPr>
        <w:instrText xml:space="preserve"> ADDIN ZOTERO_ITEM CSL_CITATION {"citationID":"QuhFhzsP","properties":{"unsorted":false,"formattedCitation":"(Ert\\uc0\\u252{}rk, 2016)","plainCitation":"(Ertürk, 2016)","noteIndex":0},"citationItems":[{"id":4295,"uris":["http://zotero.org/users/11848684/items/WLL3RKAN"],"itemData":{"id":4295,"type":"article-journal","container-title":"Energy","DOI":"10.1016/j.energy.2016.07.115","ISSN":"03605442","journalAbbreviation":"Energy","language":"en","page":"991-1003","source":"DOI.org (Crossref)","title":"Optimum insulation thicknesses of pipes with respect to different insulation materials, fuels and climate zones in Turkey","volume":"113","author":[{"family":"Ertürk","given":"Mustafa"}],"issued":{"date-parts":[["2016",10]]}}}],"schema":"https://github.com/citation-style-language/schema/raw/master/csl-citation.json"} </w:instrText>
      </w:r>
      <w:r w:rsidR="009E4977">
        <w:rPr>
          <w:rFonts w:ascii="Times New Roman" w:eastAsia="Times New Roman" w:hAnsi="Times New Roman" w:cs="Times New Roman"/>
          <w:sz w:val="20"/>
          <w:szCs w:val="20"/>
        </w:rPr>
        <w:fldChar w:fldCharType="separate"/>
      </w:r>
      <w:r w:rsidR="009E4977" w:rsidRPr="009E4977">
        <w:rPr>
          <w:rFonts w:ascii="Times New Roman" w:hAnsi="Times New Roman" w:cs="Times New Roman"/>
          <w:sz w:val="20"/>
        </w:rPr>
        <w:t>(Ertürk, 2016)</w:t>
      </w:r>
      <w:r w:rsidR="009E4977">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w:t>
      </w:r>
      <w:r>
        <w:t xml:space="preserve"> </w:t>
      </w:r>
      <w:r>
        <w:rPr>
          <w:rFonts w:ascii="Times New Roman" w:eastAsia="Times New Roman" w:hAnsi="Times New Roman" w:cs="Times New Roman"/>
          <w:sz w:val="20"/>
          <w:szCs w:val="20"/>
        </w:rPr>
        <w:t xml:space="preserve">The </w:t>
      </w:r>
      <m:oMath>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Q</m:t>
            </m:r>
          </m:e>
        </m:acc>
      </m:oMath>
      <w:r>
        <w:rPr>
          <w:rFonts w:ascii="Times New Roman" w:eastAsia="Times New Roman" w:hAnsi="Times New Roman" w:cs="Times New Roman"/>
          <w:sz w:val="20"/>
          <w:szCs w:val="20"/>
        </w:rPr>
        <w:t xml:space="preserve"> is computed as a function of </w:t>
      </w:r>
      <w:r>
        <w:rPr>
          <w:rFonts w:ascii="Times New Roman" w:eastAsia="Times New Roman" w:hAnsi="Times New Roman" w:cs="Times New Roman"/>
          <w:i/>
          <w:iCs/>
          <w:sz w:val="20"/>
          <w:szCs w:val="20"/>
        </w:rPr>
        <w:t>T</w:t>
      </w:r>
      <w:r>
        <w:rPr>
          <w:rFonts w:ascii="Times New Roman" w:eastAsia="Times New Roman" w:hAnsi="Times New Roman" w:cs="Times New Roman"/>
          <w:i/>
          <w:iCs/>
          <w:sz w:val="20"/>
          <w:szCs w:val="20"/>
          <w:vertAlign w:val="subscript"/>
        </w:rPr>
        <w:t>in</w:t>
      </w:r>
      <w:r>
        <w:rPr>
          <w:rFonts w:ascii="Times New Roman" w:eastAsia="Times New Roman" w:hAnsi="Times New Roman" w:cs="Times New Roman"/>
          <w:sz w:val="20"/>
          <w:szCs w:val="20"/>
        </w:rPr>
        <w:t xml:space="preserve"> using the geometrical parameters of a commercially available AISI 304 pipe to provide a comparative analysis among different insulation solutions, as in fig.</w:t>
      </w:r>
      <w:r w:rsidR="008344B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2. The outer diameter is equal to 54 mm, and the length is assumed equal to 1 m. </w:t>
      </w:r>
    </w:p>
    <w:p w14:paraId="16E958B3" w14:textId="77777777" w:rsidR="00DA1595" w:rsidRDefault="00DA1595" w:rsidP="00DA1595">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VIT replaces the rockwool layer with a high-vacuum annular gap surrounding the inner tube. This solution also employs an aluminium HVMLI surrounding the hot pipe. The heat transfer mechanism of MLI is described by the Lockheed equation for a cryogenic pipeline </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 xml:space="preserve"> ADDIN ZOTERO_ITEM CSL_CITATION {"citationID":"XLIAIh8s","properties":{"unsorted":false,"formattedCitation":"(McIntosh, 1994)","plainCitation":"(McIntosh, 1994)","noteIndex":0},"citationItems":[{"id":187,"uris":["http://zotero.org/users/11848684/items/PHEIMEDY"],"itemData":{"id":187,"type":"chapter","container-title":"Advances in Cryogenic Engineering","DOI":"10.1007/978-1-4615-2522-6_206","ISBN":"978-1-4613-6074-2","language":"en","page":"1683-1690","publisher":"Springer US","publisher-place":"Boston, MA","source":"DOI.org (Crossref)","title":"Layer by Layer MLI Calculation Using a Separated Mode Equation","URL":"http://link.springer.com/10.1007/978-1-4615-2522-6_206","editor":[{"family":"Kittel","given":"Peter"}],"author":[{"family":"McIntosh","given":"Glen E."}],"accessed":{"date-parts":[["2024",2,20]]},"issued":{"date-parts":[["1994"]]}}}],"schema":"https://github.com/citation-style-language/schema/raw/master/csl-citation.json"} </w:instrText>
      </w:r>
      <w:r>
        <w:rPr>
          <w:rFonts w:ascii="Times New Roman" w:eastAsia="Times New Roman" w:hAnsi="Times New Roman" w:cs="Times New Roman"/>
          <w:sz w:val="20"/>
          <w:szCs w:val="20"/>
        </w:rPr>
        <w:fldChar w:fldCharType="separate"/>
      </w:r>
      <w:r w:rsidRPr="009E4977">
        <w:rPr>
          <w:rFonts w:ascii="Times New Roman" w:hAnsi="Times New Roman" w:cs="Times New Roman"/>
          <w:sz w:val="20"/>
        </w:rPr>
        <w:t>(McIntosh, 1994)</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The Lockheed model combines the radiative heat exchange, the residual gas conduction among the layers, and the solid conduction through the MLI. </w:t>
      </w:r>
    </w:p>
    <w:p w14:paraId="1B405F63" w14:textId="45C8BC3C" w:rsidR="00EF4BEB" w:rsidRDefault="00EF4BEB" w:rsidP="00EF4BEB">
      <w:pPr>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As a first assumption, conductive mechanisms are neglected and </w:t>
      </w:r>
      <m:oMath>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Q</m:t>
            </m:r>
          </m:e>
        </m:acc>
      </m:oMath>
      <w:r>
        <w:rPr>
          <w:rFonts w:ascii="Times New Roman" w:eastAsia="Times New Roman" w:hAnsi="Times New Roman" w:cs="Times New Roman"/>
          <w:sz w:val="20"/>
          <w:szCs w:val="20"/>
        </w:rPr>
        <w:t xml:space="preserve"> exchanged through the HVMLI is expressed in eq.</w:t>
      </w:r>
      <w:r w:rsidR="008344B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2, according to the radiative shields theory.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EF4BEB" w:rsidRPr="00A35228" w14:paraId="053FEE39" w14:textId="77777777" w:rsidTr="00697A40">
        <w:trPr>
          <w:trHeight w:val="603"/>
        </w:trPr>
        <w:tc>
          <w:tcPr>
            <w:tcW w:w="6804" w:type="dxa"/>
            <w:vAlign w:val="center"/>
          </w:tcPr>
          <w:p w14:paraId="0F9826BE" w14:textId="77777777" w:rsidR="00EF4BEB" w:rsidRPr="00DA5EF6" w:rsidRDefault="00000000" w:rsidP="00697A40">
            <w:pPr>
              <w:ind w:firstLine="284"/>
              <w:jc w:val="both"/>
              <w:rPr>
                <w:iCs/>
                <w:sz w:val="22"/>
                <w:szCs w:val="22"/>
              </w:rPr>
            </w:pPr>
            <m:oMathPara>
              <m:oMathParaPr>
                <m:jc m:val="left"/>
              </m:oMathParaPr>
              <m:oMath>
                <m:acc>
                  <m:accPr>
                    <m:chr m:val="̇"/>
                    <m:ctrlPr>
                      <w:rPr>
                        <w:rFonts w:ascii="Cambria Math" w:eastAsia="Cambria Math" w:hAnsi="Cambria Math" w:cs="Cambria Math"/>
                        <w:iCs/>
                      </w:rPr>
                    </m:ctrlPr>
                  </m:accPr>
                  <m:e>
                    <m:r>
                      <m:rPr>
                        <m:sty m:val="p"/>
                      </m:rPr>
                      <w:rPr>
                        <w:rFonts w:ascii="Cambria Math" w:eastAsia="Cambria Math" w:hAnsi="Cambria Math" w:cs="Cambria Math"/>
                      </w:rPr>
                      <m:t>Q</m:t>
                    </m:r>
                  </m:e>
                </m:acc>
                <m:r>
                  <m:rPr>
                    <m:sty m:val="p"/>
                  </m:rPr>
                  <w:rPr>
                    <w:rFonts w:ascii="Cambria Math" w:eastAsia="Cambria Math" w:hAnsi="Cambria Math" w:cs="Cambria Math"/>
                  </w:rPr>
                  <m:t>=</m:t>
                </m:r>
                <m:f>
                  <m:fPr>
                    <m:ctrlPr>
                      <w:rPr>
                        <w:rFonts w:ascii="Cambria Math" w:eastAsia="Cambria Math" w:hAnsi="Cambria Math" w:cs="Cambria Math"/>
                        <w:iCs/>
                      </w:rPr>
                    </m:ctrlPr>
                  </m:fPr>
                  <m:num>
                    <m:r>
                      <m:rPr>
                        <m:sty m:val="p"/>
                      </m:rPr>
                      <w:rPr>
                        <w:rFonts w:ascii="Cambria Math" w:eastAsia="Cambria Math" w:hAnsi="Cambria Math" w:cs="Cambria Math"/>
                      </w:rPr>
                      <m:t>π</m:t>
                    </m:r>
                    <m:sSub>
                      <m:sSubPr>
                        <m:ctrlPr>
                          <w:rPr>
                            <w:rFonts w:ascii="Cambria Math" w:eastAsia="Cambria Math" w:hAnsi="Cambria Math" w:cs="Cambria Math"/>
                            <w:iCs/>
                          </w:rPr>
                        </m:ctrlPr>
                      </m:sSubPr>
                      <m:e>
                        <m:r>
                          <m:rPr>
                            <m:sty m:val="p"/>
                          </m:rPr>
                          <w:rPr>
                            <w:rFonts w:ascii="Cambria Math" w:eastAsia="Cambria Math" w:hAnsi="Cambria Math" w:cs="Cambria Math"/>
                          </w:rPr>
                          <m:t>D</m:t>
                        </m:r>
                      </m:e>
                      <m:sub>
                        <m:r>
                          <m:rPr>
                            <m:sty m:val="p"/>
                          </m:rPr>
                          <w:rPr>
                            <w:rFonts w:ascii="Cambria Math" w:eastAsia="Cambria Math" w:hAnsi="Cambria Math" w:cs="Cambria Math"/>
                          </w:rPr>
                          <m:t>in</m:t>
                        </m:r>
                      </m:sub>
                    </m:sSub>
                    <m:r>
                      <m:rPr>
                        <m:sty m:val="p"/>
                      </m:rPr>
                      <w:rPr>
                        <w:rFonts w:ascii="Cambria Math" w:eastAsia="Cambria Math" w:hAnsi="Cambria Math" w:cs="Cambria Math"/>
                      </w:rPr>
                      <m:t>L</m:t>
                    </m:r>
                    <m:sSub>
                      <m:sSubPr>
                        <m:ctrlPr>
                          <w:rPr>
                            <w:rFonts w:ascii="Cambria Math" w:eastAsia="Cambria Math" w:hAnsi="Cambria Math" w:cs="Cambria Math"/>
                            <w:iCs/>
                          </w:rPr>
                        </m:ctrlPr>
                      </m:sSubPr>
                      <m:e>
                        <m:r>
                          <m:rPr>
                            <m:sty m:val="p"/>
                          </m:rPr>
                          <w:rPr>
                            <w:rFonts w:ascii="Cambria Math" w:eastAsia="Cambria Math" w:hAnsi="Cambria Math" w:cs="Cambria Math"/>
                          </w:rPr>
                          <m:t>ε</m:t>
                        </m:r>
                      </m:e>
                      <m:sub>
                        <m:r>
                          <m:rPr>
                            <m:sty m:val="p"/>
                          </m:rPr>
                          <w:rPr>
                            <w:rFonts w:ascii="Cambria Math" w:eastAsia="Cambria Math" w:hAnsi="Cambria Math" w:cs="Cambria Math"/>
                          </w:rPr>
                          <m:t>al</m:t>
                        </m:r>
                      </m:sub>
                    </m:sSub>
                    <m:r>
                      <m:rPr>
                        <m:sty m:val="p"/>
                      </m:rPr>
                      <w:rPr>
                        <w:rFonts w:ascii="Cambria Math" w:eastAsia="Cambria Math" w:hAnsi="Cambria Math" w:cs="Cambria Math"/>
                      </w:rPr>
                      <m:t>σ</m:t>
                    </m:r>
                    <m:d>
                      <m:dPr>
                        <m:ctrlPr>
                          <w:rPr>
                            <w:rFonts w:ascii="Cambria Math" w:eastAsia="Cambria Math" w:hAnsi="Cambria Math" w:cs="Cambria Math"/>
                            <w:iCs/>
                          </w:rPr>
                        </m:ctrlPr>
                      </m:dPr>
                      <m:e>
                        <m:sSubSup>
                          <m:sSubSupPr>
                            <m:ctrlPr>
                              <w:rPr>
                                <w:rFonts w:ascii="Cambria Math" w:eastAsia="Cambria Math" w:hAnsi="Cambria Math" w:cs="Cambria Math"/>
                                <w:iCs/>
                              </w:rPr>
                            </m:ctrlPr>
                          </m:sSubSupPr>
                          <m:e>
                            <m:r>
                              <m:rPr>
                                <m:sty m:val="p"/>
                              </m:rPr>
                              <w:rPr>
                                <w:rFonts w:ascii="Cambria Math" w:eastAsia="Cambria Math" w:hAnsi="Cambria Math" w:cs="Cambria Math"/>
                              </w:rPr>
                              <m:t>T</m:t>
                            </m:r>
                          </m:e>
                          <m:sub>
                            <m:r>
                              <m:rPr>
                                <m:sty m:val="p"/>
                              </m:rPr>
                              <w:rPr>
                                <w:rFonts w:ascii="Cambria Math" w:eastAsia="Cambria Math" w:hAnsi="Cambria Math" w:cs="Cambria Math"/>
                              </w:rPr>
                              <m:t>in</m:t>
                            </m:r>
                          </m:sub>
                          <m:sup>
                            <m:r>
                              <m:rPr>
                                <m:sty m:val="p"/>
                              </m:rPr>
                              <w:rPr>
                                <w:rFonts w:ascii="Cambria Math" w:eastAsia="Cambria Math" w:hAnsi="Cambria Math" w:cs="Cambria Math"/>
                              </w:rPr>
                              <m:t>4</m:t>
                            </m:r>
                          </m:sup>
                        </m:sSubSup>
                        <m:r>
                          <m:rPr>
                            <m:sty m:val="p"/>
                          </m:rPr>
                          <w:rPr>
                            <w:rFonts w:ascii="Cambria Math" w:eastAsia="Cambria Math" w:hAnsi="Cambria Math" w:cs="Cambria Math"/>
                          </w:rPr>
                          <m:t>-</m:t>
                        </m:r>
                        <m:sSubSup>
                          <m:sSubSupPr>
                            <m:ctrlPr>
                              <w:rPr>
                                <w:rFonts w:ascii="Cambria Math" w:eastAsia="Cambria Math" w:hAnsi="Cambria Math" w:cs="Cambria Math"/>
                                <w:iCs/>
                              </w:rPr>
                            </m:ctrlPr>
                          </m:sSubSupPr>
                          <m:e>
                            <m:r>
                              <m:rPr>
                                <m:sty m:val="p"/>
                              </m:rPr>
                              <w:rPr>
                                <w:rFonts w:ascii="Cambria Math" w:eastAsia="Cambria Math" w:hAnsi="Cambria Math" w:cs="Cambria Math"/>
                              </w:rPr>
                              <m:t>T</m:t>
                            </m:r>
                          </m:e>
                          <m:sub>
                            <m:r>
                              <m:rPr>
                                <m:sty m:val="p"/>
                              </m:rPr>
                              <w:rPr>
                                <w:rFonts w:ascii="Cambria Math" w:eastAsia="Cambria Math" w:hAnsi="Cambria Math" w:cs="Cambria Math"/>
                              </w:rPr>
                              <m:t>out</m:t>
                            </m:r>
                          </m:sub>
                          <m:sup>
                            <m:r>
                              <m:rPr>
                                <m:sty m:val="p"/>
                              </m:rPr>
                              <w:rPr>
                                <w:rFonts w:ascii="Cambria Math" w:eastAsia="Cambria Math" w:hAnsi="Cambria Math" w:cs="Cambria Math"/>
                              </w:rPr>
                              <m:t>4</m:t>
                            </m:r>
                          </m:sup>
                        </m:sSubSup>
                      </m:e>
                    </m:d>
                  </m:num>
                  <m:den>
                    <m:r>
                      <m:rPr>
                        <m:sty m:val="p"/>
                      </m:rPr>
                      <w:rPr>
                        <w:rFonts w:ascii="Cambria Math" w:eastAsia="Cambria Math" w:hAnsi="Cambria Math" w:cs="Cambria Math"/>
                      </w:rPr>
                      <m:t>n+1</m:t>
                    </m:r>
                  </m:den>
                </m:f>
                <m:r>
                  <m:rPr>
                    <m:sty m:val="p"/>
                  </m:rPr>
                  <w:rPr>
                    <w:rFonts w:ascii="Cambria Math" w:eastAsia="Cambria Math" w:hAnsi="Cambria Math" w:cs="Cambria Math"/>
                  </w:rPr>
                  <m:t xml:space="preserve">         </m:t>
                </m:r>
              </m:oMath>
            </m:oMathPara>
          </w:p>
        </w:tc>
        <w:tc>
          <w:tcPr>
            <w:tcW w:w="2835" w:type="dxa"/>
            <w:vAlign w:val="center"/>
          </w:tcPr>
          <w:p w14:paraId="5B130F54" w14:textId="77777777" w:rsidR="00EF4BEB" w:rsidRPr="00A35228" w:rsidRDefault="00EF4BEB" w:rsidP="00697A40">
            <w:pPr>
              <w:pStyle w:val="SWCText"/>
              <w:rPr>
                <w:lang w:val="en-GB"/>
              </w:rPr>
            </w:pPr>
            <w:r w:rsidRPr="00A35228">
              <w:rPr>
                <w:lang w:val="en-GB"/>
              </w:rPr>
              <w:t>(</w:t>
            </w:r>
            <w:r>
              <w:rPr>
                <w:lang w:val="en-GB"/>
              </w:rPr>
              <w:t>eq. 2</w:t>
            </w:r>
            <w:r w:rsidRPr="00A35228">
              <w:rPr>
                <w:lang w:val="en-GB"/>
              </w:rPr>
              <w:t>)</w:t>
            </w:r>
          </w:p>
        </w:tc>
      </w:tr>
    </w:tbl>
    <w:p w14:paraId="1A76E86F" w14:textId="77777777" w:rsidR="004D7E97" w:rsidRDefault="00000000">
      <w:pPr>
        <w:keepNext/>
        <w:spacing w:before="240"/>
        <w:jc w:val="center"/>
      </w:pPr>
      <w:r>
        <w:rPr>
          <w:noProof/>
        </w:rPr>
        <w:drawing>
          <wp:inline distT="0" distB="0" distL="0" distR="0" wp14:anchorId="47BA6349" wp14:editId="547FC135">
            <wp:extent cx="4683291" cy="1838782"/>
            <wp:effectExtent l="0" t="0" r="0" b="0"/>
            <wp:docPr id="202099827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
                    <a:srcRect/>
                    <a:stretch>
                      <a:fillRect/>
                    </a:stretch>
                  </pic:blipFill>
                  <pic:spPr>
                    <a:xfrm>
                      <a:off x="0" y="0"/>
                      <a:ext cx="4683291" cy="1838782"/>
                    </a:xfrm>
                    <a:prstGeom prst="rect">
                      <a:avLst/>
                    </a:prstGeom>
                    <a:ln/>
                  </pic:spPr>
                </pic:pic>
              </a:graphicData>
            </a:graphic>
          </wp:inline>
        </w:drawing>
      </w:r>
    </w:p>
    <w:p w14:paraId="5EBFABBC" w14:textId="77777777" w:rsidR="004D7E97" w:rsidRDefault="00000000" w:rsidP="00677C91">
      <w:pPr>
        <w:ind w:firstLine="284"/>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Fig. 1 – Schematic representation of two thermally insulated heat-transfer-fluid pipelines. On the left, the 54 mm inner pipe is surrounded by a 100 mm-thick rockwool layer enclosed by an aluminium cladding. The cross-sectional view of the High-Vacuum Multilayer Insulation configuration is shown on the right, illustrating the aluminium MLI surrounding the inner pipe within the 23 mm evacuated annular gap.</w:t>
      </w:r>
    </w:p>
    <w:p w14:paraId="3C40F891" w14:textId="40EA291B" w:rsidR="004D7E97" w:rsidRDefault="00000000" w:rsidP="00DA5EF6">
      <w:pPr>
        <w:spacing w:before="240"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where </w:t>
      </w:r>
      <m:oMath>
        <m:r>
          <w:rPr>
            <w:rFonts w:ascii="Cambria Math" w:hAnsi="Cambria Math"/>
          </w:rPr>
          <m:t>σ</m:t>
        </m:r>
      </m:oMath>
      <w:r>
        <w:rPr>
          <w:rFonts w:ascii="Times New Roman" w:eastAsia="Times New Roman" w:hAnsi="Times New Roman" w:cs="Times New Roman"/>
          <w:sz w:val="20"/>
          <w:szCs w:val="20"/>
        </w:rPr>
        <w:t xml:space="preserve"> is Stefan-Boltzmann constant (W m</w:t>
      </w:r>
      <w:r>
        <w:rPr>
          <w:rFonts w:ascii="Times New Roman" w:eastAsia="Times New Roman" w:hAnsi="Times New Roman" w:cs="Times New Roman"/>
          <w:sz w:val="20"/>
          <w:szCs w:val="20"/>
          <w:vertAlign w:val="superscript"/>
        </w:rPr>
        <w:t xml:space="preserve">-2 </w:t>
      </w:r>
      <w:r>
        <w:rPr>
          <w:rFonts w:ascii="Times New Roman" w:eastAsia="Times New Roman" w:hAnsi="Times New Roman" w:cs="Times New Roman"/>
          <w:sz w:val="20"/>
          <w:szCs w:val="20"/>
        </w:rPr>
        <w:t>K</w:t>
      </w:r>
      <w:r>
        <w:rPr>
          <w:rFonts w:ascii="Times New Roman" w:eastAsia="Times New Roman" w:hAnsi="Times New Roman" w:cs="Times New Roman"/>
          <w:sz w:val="20"/>
          <w:szCs w:val="20"/>
          <w:vertAlign w:val="superscript"/>
        </w:rPr>
        <w:t>-4</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ε</w:t>
      </w:r>
      <w:r>
        <w:rPr>
          <w:rFonts w:ascii="Times New Roman" w:eastAsia="Times New Roman" w:hAnsi="Times New Roman" w:cs="Times New Roman"/>
          <w:i/>
          <w:iCs/>
          <w:sz w:val="20"/>
          <w:szCs w:val="20"/>
          <w:vertAlign w:val="subscript"/>
        </w:rPr>
        <w:t>al</w:t>
      </w:r>
      <w:r>
        <w:rPr>
          <w:rFonts w:ascii="Times New Roman" w:eastAsia="Times New Roman" w:hAnsi="Times New Roman" w:cs="Times New Roman"/>
          <w:sz w:val="20"/>
          <w:szCs w:val="20"/>
          <w:vertAlign w:val="subscript"/>
        </w:rPr>
        <w:t xml:space="preserve"> </w:t>
      </w:r>
      <w:r>
        <w:rPr>
          <w:rFonts w:ascii="Times New Roman" w:eastAsia="Times New Roman" w:hAnsi="Times New Roman" w:cs="Times New Roman"/>
          <w:sz w:val="20"/>
          <w:szCs w:val="20"/>
        </w:rPr>
        <w:t>is the thermal emittance of aluminium</w:t>
      </w:r>
      <w:r w:rsidR="009E4977">
        <w:rPr>
          <w:rFonts w:ascii="Times New Roman" w:eastAsia="Times New Roman" w:hAnsi="Times New Roman" w:cs="Times New Roman"/>
          <w:sz w:val="20"/>
          <w:szCs w:val="20"/>
        </w:rPr>
        <w:t xml:space="preserve"> </w:t>
      </w:r>
      <w:r w:rsidR="009E4977">
        <w:rPr>
          <w:rFonts w:ascii="Times New Roman" w:eastAsia="Times New Roman" w:hAnsi="Times New Roman" w:cs="Times New Roman"/>
          <w:sz w:val="20"/>
          <w:szCs w:val="20"/>
        </w:rPr>
        <w:fldChar w:fldCharType="begin"/>
      </w:r>
      <w:r w:rsidR="009E4977">
        <w:rPr>
          <w:rFonts w:ascii="Times New Roman" w:eastAsia="Times New Roman" w:hAnsi="Times New Roman" w:cs="Times New Roman"/>
          <w:sz w:val="20"/>
          <w:szCs w:val="20"/>
        </w:rPr>
        <w:instrText xml:space="preserve"> ADDIN ZOTERO_ITEM CSL_CITATION {"citationID":"eSJ29vvF","properties":{"unsorted":false,"formattedCitation":"(Frolec et al., 2019)","plainCitation":"(Frolec et al., 2019)","noteIndex":0},"citationItems":[{"id":67,"uris":["http://zotero.org/users/11848684/items/R2Z49XL5"],"itemData":{"id":67,"type":"article-journal","abstract":"The paper introduces a database of low temperature total hemispherical emissivities and absorptivities of various metallic materials obtained from measurements conducted in our laboratory. Both quantities are measured in dependence on the temperature of thermal radiation starting at 20 K and ending between 120 K and 320 K. The database contains 58 results from measurements of 45 different samples such as bulk metals, foils and coated plastic or metallic surfaces. The database includes samples with surfaces finished by mechanical or chemical polishing, fine turning, sand blasting, abrading, etching and gold deposition and covers to some extent effects of material purity and surface aging. The dataset of all measurements has been published in Mendeley Data repository and is freely available online. Presented values of thermal absorptivity or emissivity are thus easily mutually comparable and provide a useful basis for calculation of radiative heat flows and thermal design of cryogenic devices.","container-title":"Cryogenics","DOI":"10.1016/j.cryogenics.2018.12.003","ISSN":"00112275","journalAbbreviation":"Cryogenics","language":"en","page":"85-99","source":"DOI.org (Crossref)","title":"A database of metallic materials emissivities and absorptivities for cryogenics","volume":"97","author":[{"family":"Frolec","given":"Jiří"},{"family":"Králík","given":"Tomáš"},{"family":"Musilová","given":"Věra"},{"family":"Hanzelka","given":"Pavel"},{"family":"Srnka","given":"Aleš"},{"family":"Jelínek","given":"Josef"}],"issued":{"date-parts":[["2019",1]]}}}],"schema":"https://github.com/citation-style-language/schema/raw/master/csl-citation.json"} </w:instrText>
      </w:r>
      <w:r w:rsidR="009E4977">
        <w:rPr>
          <w:rFonts w:ascii="Times New Roman" w:eastAsia="Times New Roman" w:hAnsi="Times New Roman" w:cs="Times New Roman"/>
          <w:sz w:val="20"/>
          <w:szCs w:val="20"/>
        </w:rPr>
        <w:fldChar w:fldCharType="separate"/>
      </w:r>
      <w:r w:rsidR="009E4977" w:rsidRPr="009E4977">
        <w:rPr>
          <w:rFonts w:ascii="Times New Roman" w:hAnsi="Times New Roman" w:cs="Times New Roman"/>
          <w:sz w:val="20"/>
        </w:rPr>
        <w:t>(Frolec et al., 2019)</w:t>
      </w:r>
      <w:r w:rsidR="009E4977">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n</w:t>
      </w:r>
      <w:r>
        <w:rPr>
          <w:rFonts w:ascii="Times New Roman" w:eastAsia="Times New Roman" w:hAnsi="Times New Roman" w:cs="Times New Roman"/>
          <w:sz w:val="20"/>
          <w:szCs w:val="20"/>
        </w:rPr>
        <w:t xml:space="preserve"> is the number of layers; the temperatures </w:t>
      </w:r>
      <w:r>
        <w:rPr>
          <w:rFonts w:ascii="Times New Roman" w:eastAsia="Times New Roman" w:hAnsi="Times New Roman" w:cs="Times New Roman"/>
          <w:i/>
          <w:iCs/>
          <w:sz w:val="20"/>
          <w:szCs w:val="20"/>
        </w:rPr>
        <w:t>T</w:t>
      </w:r>
      <w:r>
        <w:rPr>
          <w:rFonts w:ascii="Times New Roman" w:eastAsia="Times New Roman" w:hAnsi="Times New Roman" w:cs="Times New Roman"/>
          <w:i/>
          <w:iCs/>
          <w:sz w:val="20"/>
          <w:szCs w:val="20"/>
          <w:vertAlign w:val="subscript"/>
        </w:rPr>
        <w:t>in</w:t>
      </w:r>
      <w:r>
        <w:rPr>
          <w:rFonts w:ascii="Times New Roman" w:eastAsia="Times New Roman" w:hAnsi="Times New Roman" w:cs="Times New Roman"/>
          <w:sz w:val="20"/>
          <w:szCs w:val="20"/>
        </w:rPr>
        <w:t xml:space="preserve"> and </w:t>
      </w:r>
      <w:r>
        <w:rPr>
          <w:rFonts w:ascii="Times New Roman" w:eastAsia="Times New Roman" w:hAnsi="Times New Roman" w:cs="Times New Roman"/>
          <w:i/>
          <w:iCs/>
          <w:sz w:val="20"/>
          <w:szCs w:val="20"/>
        </w:rPr>
        <w:t>T</w:t>
      </w:r>
      <w:r>
        <w:rPr>
          <w:rFonts w:ascii="Times New Roman" w:eastAsia="Times New Roman" w:hAnsi="Times New Roman" w:cs="Times New Roman"/>
          <w:i/>
          <w:iCs/>
          <w:sz w:val="20"/>
          <w:szCs w:val="20"/>
          <w:vertAlign w:val="subscript"/>
        </w:rPr>
        <w:t>out</w:t>
      </w:r>
      <w:r>
        <w:rPr>
          <w:rFonts w:ascii="Times New Roman" w:eastAsia="Times New Roman" w:hAnsi="Times New Roman" w:cs="Times New Roman"/>
          <w:sz w:val="20"/>
          <w:szCs w:val="20"/>
        </w:rPr>
        <w:t xml:space="preserve"> (here expressed in Kelvin), the outer diameter of the inner tube </w:t>
      </w:r>
      <w:r>
        <w:rPr>
          <w:rFonts w:ascii="Times New Roman" w:eastAsia="Times New Roman" w:hAnsi="Times New Roman" w:cs="Times New Roman"/>
          <w:i/>
          <w:iCs/>
          <w:sz w:val="20"/>
          <w:szCs w:val="20"/>
        </w:rPr>
        <w:t>D</w:t>
      </w:r>
      <w:r>
        <w:rPr>
          <w:rFonts w:ascii="Times New Roman" w:eastAsia="Times New Roman" w:hAnsi="Times New Roman" w:cs="Times New Roman"/>
          <w:i/>
          <w:iCs/>
          <w:sz w:val="20"/>
          <w:szCs w:val="20"/>
          <w:vertAlign w:val="subscript"/>
        </w:rPr>
        <w:t>in</w:t>
      </w:r>
      <w:r>
        <w:rPr>
          <w:rFonts w:ascii="Times New Roman" w:eastAsia="Times New Roman" w:hAnsi="Times New Roman" w:cs="Times New Roman"/>
          <w:sz w:val="20"/>
          <w:szCs w:val="20"/>
        </w:rPr>
        <w:t xml:space="preserve"> and the length of the pipe </w:t>
      </w:r>
      <w:r>
        <w:rPr>
          <w:rFonts w:ascii="Times New Roman" w:eastAsia="Times New Roman" w:hAnsi="Times New Roman" w:cs="Times New Roman"/>
          <w:i/>
          <w:iCs/>
          <w:sz w:val="20"/>
          <w:szCs w:val="20"/>
        </w:rPr>
        <w:t>L</w:t>
      </w:r>
      <w:r>
        <w:rPr>
          <w:rFonts w:ascii="Times New Roman" w:eastAsia="Times New Roman" w:hAnsi="Times New Roman" w:cs="Times New Roman"/>
          <w:sz w:val="20"/>
          <w:szCs w:val="20"/>
        </w:rPr>
        <w:t>, are the same as those defined for eq.</w:t>
      </w:r>
      <w:r w:rsidR="008344B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1. Aluminium (ε=0.035) is chosen as low-ε material because it is cheaper and lighter than copper and silver. </w:t>
      </w:r>
    </w:p>
    <w:p w14:paraId="238C9E6E" w14:textId="7237CC71" w:rsidR="004D7E97" w:rsidRDefault="00000000">
      <w:pPr>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Fig. 2 shows the thermal power as a function of the inner temperature for four different solutions. The thermal power of the rockwool insulation is calculated according to eq.</w:t>
      </w:r>
      <w:r w:rsidR="008344B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1 for two different external solutions: D</w:t>
      </w:r>
      <w:r>
        <w:rPr>
          <w:rFonts w:ascii="Times New Roman" w:eastAsia="Times New Roman" w:hAnsi="Times New Roman" w:cs="Times New Roman"/>
          <w:sz w:val="20"/>
          <w:szCs w:val="20"/>
          <w:vertAlign w:val="subscript"/>
        </w:rPr>
        <w:t>out</w:t>
      </w:r>
      <w:r>
        <w:rPr>
          <w:rFonts w:ascii="Times New Roman" w:eastAsia="Times New Roman" w:hAnsi="Times New Roman" w:cs="Times New Roman"/>
          <w:sz w:val="20"/>
          <w:szCs w:val="20"/>
        </w:rPr>
        <w:t xml:space="preserve"> = 254 mm, which is the typical value of industrial pipelines (red line + squares), and D</w:t>
      </w:r>
      <w:r>
        <w:rPr>
          <w:rFonts w:ascii="Times New Roman" w:eastAsia="Times New Roman" w:hAnsi="Times New Roman" w:cs="Times New Roman"/>
          <w:sz w:val="20"/>
          <w:szCs w:val="20"/>
          <w:vertAlign w:val="subscript"/>
        </w:rPr>
        <w:t>out</w:t>
      </w:r>
      <w:r>
        <w:rPr>
          <w:rFonts w:ascii="Times New Roman" w:eastAsia="Times New Roman" w:hAnsi="Times New Roman" w:cs="Times New Roman"/>
          <w:sz w:val="20"/>
          <w:szCs w:val="20"/>
        </w:rPr>
        <w:t xml:space="preserve"> = 100 mm as a reduced diameter configuration (blue line + circles), selected to provide a comparison with the VIT at the same overall diameter. As already mentioned, the rockwool thickness plays a key role in reducing the heat transfer by conduction. </w:t>
      </w:r>
    </w:p>
    <w:p w14:paraId="64A6ADF0" w14:textId="77777777" w:rsidR="004D7E97" w:rsidRDefault="00000000">
      <w:pPr>
        <w:spacing w:after="0"/>
        <w:ind w:firstLine="284"/>
        <w:jc w:val="center"/>
        <w:rPr>
          <w:rFonts w:ascii="Times New Roman" w:eastAsia="Times New Roman" w:hAnsi="Times New Roman" w:cs="Times New Roman"/>
          <w:sz w:val="20"/>
          <w:szCs w:val="20"/>
        </w:rPr>
      </w:pPr>
      <w:r>
        <w:rPr>
          <w:noProof/>
        </w:rPr>
        <w:drawing>
          <wp:inline distT="0" distB="0" distL="0" distR="0" wp14:anchorId="4423F85A" wp14:editId="663CD3B7">
            <wp:extent cx="3214800" cy="2700000"/>
            <wp:effectExtent l="0" t="0" r="5080" b="5715"/>
            <wp:docPr id="2020998276"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l="10332" t="9594" r="12602" b="5848"/>
                    <a:stretch>
                      <a:fillRect/>
                    </a:stretch>
                  </pic:blipFill>
                  <pic:spPr>
                    <a:xfrm>
                      <a:off x="0" y="0"/>
                      <a:ext cx="3214800" cy="2700000"/>
                    </a:xfrm>
                    <a:prstGeom prst="rect">
                      <a:avLst/>
                    </a:prstGeom>
                    <a:ln/>
                  </pic:spPr>
                </pic:pic>
              </a:graphicData>
            </a:graphic>
          </wp:inline>
        </w:drawing>
      </w:r>
    </w:p>
    <w:p w14:paraId="696BB111" w14:textId="37701921" w:rsidR="004D7E97" w:rsidRDefault="00000000" w:rsidP="00677C91">
      <w:pPr>
        <w:pBdr>
          <w:top w:val="nil"/>
          <w:left w:val="nil"/>
          <w:bottom w:val="nil"/>
          <w:right w:val="nil"/>
          <w:between w:val="nil"/>
        </w:pBdr>
        <w:spacing w:before="240" w:after="20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Fig.</w:t>
      </w:r>
      <w:r w:rsidR="008344B8">
        <w:rPr>
          <w:rFonts w:ascii="Times New Roman" w:eastAsia="Times New Roman" w:hAnsi="Times New Roman" w:cs="Times New Roman"/>
          <w:b/>
          <w:bCs/>
          <w:color w:val="000000"/>
          <w:sz w:val="16"/>
          <w:szCs w:val="16"/>
        </w:rPr>
        <w:t xml:space="preserve"> </w:t>
      </w:r>
      <w:r>
        <w:rPr>
          <w:rFonts w:ascii="Times New Roman" w:eastAsia="Times New Roman" w:hAnsi="Times New Roman" w:cs="Times New Roman"/>
          <w:b/>
          <w:bCs/>
          <w:color w:val="000000"/>
          <w:sz w:val="16"/>
          <w:szCs w:val="16"/>
        </w:rPr>
        <w:t>2 – Thermal power as a function of the inner temperature for four different insulation solutions, according to eq.</w:t>
      </w:r>
      <w:r w:rsidR="008344B8">
        <w:rPr>
          <w:rFonts w:ascii="Times New Roman" w:eastAsia="Times New Roman" w:hAnsi="Times New Roman" w:cs="Times New Roman"/>
          <w:b/>
          <w:bCs/>
          <w:color w:val="000000"/>
          <w:sz w:val="16"/>
          <w:szCs w:val="16"/>
        </w:rPr>
        <w:t xml:space="preserve"> </w:t>
      </w:r>
      <w:r>
        <w:rPr>
          <w:rFonts w:ascii="Times New Roman" w:eastAsia="Times New Roman" w:hAnsi="Times New Roman" w:cs="Times New Roman"/>
          <w:b/>
          <w:bCs/>
          <w:color w:val="000000"/>
          <w:sz w:val="16"/>
          <w:szCs w:val="16"/>
        </w:rPr>
        <w:t>1-eq.</w:t>
      </w:r>
      <w:r w:rsidR="008344B8">
        <w:rPr>
          <w:rFonts w:ascii="Times New Roman" w:eastAsia="Times New Roman" w:hAnsi="Times New Roman" w:cs="Times New Roman"/>
          <w:b/>
          <w:bCs/>
          <w:color w:val="000000"/>
          <w:sz w:val="16"/>
          <w:szCs w:val="16"/>
        </w:rPr>
        <w:t xml:space="preserve"> </w:t>
      </w:r>
      <w:r>
        <w:rPr>
          <w:rFonts w:ascii="Times New Roman" w:eastAsia="Times New Roman" w:hAnsi="Times New Roman" w:cs="Times New Roman"/>
          <w:b/>
          <w:bCs/>
          <w:color w:val="000000"/>
          <w:sz w:val="16"/>
          <w:szCs w:val="16"/>
        </w:rPr>
        <w:t>2: 100 mm outer diameter rockwool insulation (blue line + circles), 254 mm outer diameter rockwool insulation (red line + squares), HVMLI with 1 aluminium layer (green line + triangles), HVMLI with 10 aluminium layers (brown line + diamonds).</w:t>
      </w:r>
    </w:p>
    <w:p w14:paraId="6374D40E" w14:textId="45952573"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thermal power exchanged by HVMLI solutions is calculated according to eq.</w:t>
      </w:r>
      <w:r w:rsidR="008344B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2, with n = 1 for the single aluminium layer, and n = 10 for the 10 layers solution. Increasing the number of low-emittance layers proportionally reduces the radiative heat transfer in vacuum, with an enhanced difference at elevated </w:t>
      </w:r>
      <w:r>
        <w:rPr>
          <w:rFonts w:ascii="Times New Roman" w:eastAsia="Times New Roman" w:hAnsi="Times New Roman" w:cs="Times New Roman"/>
          <w:sz w:val="20"/>
          <w:szCs w:val="20"/>
        </w:rPr>
        <w:lastRenderedPageBreak/>
        <w:t xml:space="preserve">temperatures: at 250 °C the HVMLI reduces the heat exchange of about 5 times compared to the single aluminium layer. </w:t>
      </w:r>
    </w:p>
    <w:p w14:paraId="13F81918" w14:textId="77777777" w:rsidR="004D7E97" w:rsidRDefault="00000000">
      <w:pPr>
        <w:ind w:firstLine="284"/>
        <w:jc w:val="both"/>
      </w:pPr>
      <w:r>
        <w:rPr>
          <w:rFonts w:ascii="Times New Roman" w:eastAsia="Times New Roman" w:hAnsi="Times New Roman" w:cs="Times New Roman"/>
          <w:sz w:val="20"/>
          <w:szCs w:val="20"/>
        </w:rPr>
        <w:t>The preliminary analysis shows the benefits of replacing the traditional thermal insulator (i.e. rockwool) with the high-vacuum insulation combined with HVMLI. The heat transfer is reduced by a factor of 3.5 at 250 °C with the 1-Al configuration and by a factor of approximately 18 with the 10-Al configuration. An experimental analysis is necessary to confirm the advantages of the proposed solution, as additional heat transfer mechanisms arise in real-world components.</w:t>
      </w:r>
    </w:p>
    <w:p w14:paraId="2FE778CC" w14:textId="77777777" w:rsidR="004D7E97" w:rsidRDefault="00000000">
      <w:pPr>
        <w:numPr>
          <w:ilvl w:val="0"/>
          <w:numId w:val="1"/>
        </w:numPr>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Design and Thermal Analysis</w:t>
      </w:r>
    </w:p>
    <w:p w14:paraId="5E120419" w14:textId="1F3F0867" w:rsidR="004D7E97" w:rsidRDefault="00000000">
      <w:pPr>
        <w:keepNext/>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As a novel solution, the design of an experimental measurement system for the evaluation of the HVMLI performance involves different analyses in the mechanical engineering field. The thermal analysis conducted in Section 2 shows the expected advantages of employing the HVMLI as an insulation system in the temperature range between 100 °C and 250 °C. A structural analysis is required to design a proper vacuum chamber to resist atmospheric pressure due to internal high-vacuum conditions (i.e. pressure below 10</w:t>
      </w:r>
      <w:r>
        <w:rPr>
          <w:rFonts w:ascii="Times New Roman" w:eastAsia="Times New Roman" w:hAnsi="Times New Roman" w:cs="Times New Roman"/>
          <w:sz w:val="20"/>
          <w:szCs w:val="20"/>
          <w:vertAlign w:val="superscript"/>
        </w:rPr>
        <w:t>-5</w:t>
      </w:r>
      <w:r>
        <w:rPr>
          <w:rFonts w:ascii="Times New Roman" w:eastAsia="Times New Roman" w:hAnsi="Times New Roman" w:cs="Times New Roman"/>
          <w:sz w:val="20"/>
          <w:szCs w:val="20"/>
        </w:rPr>
        <w:t xml:space="preserve"> mbar). Accordingly, a dedicated experimental apparatus must be designed and constructed to characterize the thermal performance of the proposed HVMLI configurations under representative operating conditions. The apparatus must combine sufficient measurement sensitivity to resolve the expected low heat-transfer rates with a mechanically robust and leak-tight vacuum chamber capable of maintaining and continuously monitoring the required high-vacuum conditions throughout the tests.</w:t>
      </w:r>
    </w:p>
    <w:p w14:paraId="743412B0" w14:textId="627D1B4E" w:rsidR="004D7E97" w:rsidRDefault="00A5406D">
      <w:pPr>
        <w:keepNext/>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3.1 Thermal Design</w:t>
      </w:r>
    </w:p>
    <w:p w14:paraId="0CBDE174" w14:textId="77777777"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Fig. 3 shows the architecture of the proposed experimental setup developed to assess the performance of the two HVMLI configurations. The system consists of an inner AISI 304 stainless-steel tube wrapped with aluminium layers arranged in a spiral pattern. A high-vacuum condition is created in the annular space between the inner and outer AISI 304 stainless-steel tubes. </w:t>
      </w:r>
    </w:p>
    <w:p w14:paraId="6B7EC7D3" w14:textId="77777777" w:rsidR="004D7E97" w:rsidRDefault="00000000">
      <w:pPr>
        <w:keepNext/>
        <w:spacing w:after="0"/>
        <w:jc w:val="center"/>
      </w:pPr>
      <w:r>
        <w:rPr>
          <w:noProof/>
        </w:rPr>
        <w:drawing>
          <wp:inline distT="0" distB="0" distL="0" distR="0" wp14:anchorId="73F741FD" wp14:editId="6FAB8011">
            <wp:extent cx="4882177" cy="1713122"/>
            <wp:effectExtent l="0" t="0" r="0" b="0"/>
            <wp:docPr id="20209982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882177" cy="1713122"/>
                    </a:xfrm>
                    <a:prstGeom prst="rect">
                      <a:avLst/>
                    </a:prstGeom>
                    <a:ln/>
                  </pic:spPr>
                </pic:pic>
              </a:graphicData>
            </a:graphic>
          </wp:inline>
        </w:drawing>
      </w:r>
    </w:p>
    <w:p w14:paraId="79C4DBB1" w14:textId="77777777" w:rsidR="004D7E97" w:rsidRDefault="00000000">
      <w:pPr>
        <w:pBdr>
          <w:top w:val="nil"/>
          <w:left w:val="nil"/>
          <w:bottom w:val="nil"/>
          <w:right w:val="nil"/>
          <w:between w:val="nil"/>
        </w:pBdr>
        <w:spacing w:after="200" w:line="240" w:lineRule="auto"/>
        <w:jc w:val="center"/>
        <w:rPr>
          <w:b/>
          <w:bCs/>
          <w:i/>
          <w:iCs/>
          <w:color w:val="44546A"/>
          <w:sz w:val="12"/>
          <w:szCs w:val="12"/>
        </w:rPr>
      </w:pPr>
      <w:r>
        <w:rPr>
          <w:rFonts w:ascii="Times New Roman" w:eastAsia="Times New Roman" w:hAnsi="Times New Roman" w:cs="Times New Roman"/>
          <w:b/>
          <w:bCs/>
          <w:color w:val="000000"/>
          <w:sz w:val="16"/>
          <w:szCs w:val="16"/>
        </w:rPr>
        <w:t>Fig. 3 -</w:t>
      </w:r>
      <w:r>
        <w:rPr>
          <w:rFonts w:ascii="Times New Roman" w:eastAsia="Times New Roman" w:hAnsi="Times New Roman" w:cs="Times New Roman"/>
          <w:b/>
          <w:bCs/>
          <w:color w:val="000000"/>
          <w:sz w:val="12"/>
          <w:szCs w:val="12"/>
        </w:rPr>
        <w:t xml:space="preserve"> </w:t>
      </w:r>
      <w:r>
        <w:rPr>
          <w:rFonts w:ascii="Times New Roman" w:eastAsia="Times New Roman" w:hAnsi="Times New Roman" w:cs="Times New Roman"/>
          <w:b/>
          <w:bCs/>
          <w:color w:val="000000"/>
          <w:sz w:val="16"/>
          <w:szCs w:val="16"/>
        </w:rPr>
        <w:t xml:space="preserve">Schematic view of the Guarded Hot Pipe setup design. The black arrow shows the pathway of heat exchange mechanisms. Main geometrical parameters are reported. </w:t>
      </w:r>
      <w:r>
        <w:rPr>
          <w:rFonts w:ascii="Times New Roman" w:eastAsia="Times New Roman" w:hAnsi="Times New Roman" w:cs="Times New Roman"/>
          <w:b/>
          <w:bCs/>
          <w:color w:val="000000"/>
          <w:sz w:val="12"/>
          <w:szCs w:val="12"/>
        </w:rPr>
        <w:t xml:space="preserve"> </w:t>
      </w:r>
    </w:p>
    <w:p w14:paraId="102D00D3" w14:textId="05CA8F03"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 this scheme, two main heat exchange mechanisms are involved: the thermal radiation </w:t>
      </w:r>
      <m:oMath>
        <m:sSub>
          <m:sSubPr>
            <m:ctrlPr>
              <w:rPr>
                <w:rFonts w:ascii="Cambria Math" w:eastAsia="Cambria Math" w:hAnsi="Cambria Math" w:cs="Cambria Math"/>
                <w:color w:val="000000"/>
                <w:sz w:val="20"/>
                <w:szCs w:val="20"/>
              </w:rPr>
            </m:ctrlPr>
          </m:sSubPr>
          <m:e>
            <m:acc>
              <m:accPr>
                <m:chr m:val="̇"/>
                <m:ctrlPr>
                  <w:rPr>
                    <w:rFonts w:ascii="Cambria Math" w:eastAsia="Cambria Math" w:hAnsi="Cambria Math" w:cs="Cambria Math"/>
                    <w:color w:val="000000"/>
                    <w:sz w:val="20"/>
                    <w:szCs w:val="20"/>
                  </w:rPr>
                </m:ctrlPr>
              </m:accPr>
              <m:e>
                <m:r>
                  <w:rPr>
                    <w:rFonts w:ascii="Cambria Math" w:eastAsia="Cambria Math" w:hAnsi="Cambria Math" w:cs="Cambria Math"/>
                    <w:color w:val="000000"/>
                    <w:sz w:val="20"/>
                    <w:szCs w:val="20"/>
                  </w:rPr>
                  <m:t>Q</m:t>
                </m:r>
              </m:e>
            </m:acc>
          </m:e>
          <m:sub>
            <m:r>
              <w:rPr>
                <w:rFonts w:ascii="Cambria Math" w:eastAsia="Cambria Math" w:hAnsi="Cambria Math" w:cs="Cambria Math"/>
                <w:color w:val="000000"/>
                <w:sz w:val="20"/>
                <w:szCs w:val="20"/>
              </w:rPr>
              <m:t>r</m:t>
            </m:r>
          </m:sub>
        </m:sSub>
      </m:oMath>
      <w:r>
        <w:rPr>
          <w:rFonts w:ascii="Times New Roman" w:eastAsia="Times New Roman" w:hAnsi="Times New Roman" w:cs="Times New Roman"/>
          <w:color w:val="000000"/>
          <w:sz w:val="20"/>
          <w:szCs w:val="20"/>
        </w:rPr>
        <w:t xml:space="preserve"> (W) in the radial direction calculated according to eq. 2, and the thermal conduction in axial direction </w:t>
      </w:r>
      <m:oMath>
        <m:sSub>
          <m:sSubPr>
            <m:ctrlPr>
              <w:rPr>
                <w:rFonts w:ascii="Cambria Math" w:eastAsia="Cambria Math" w:hAnsi="Cambria Math" w:cs="Cambria Math"/>
                <w:color w:val="000000"/>
                <w:sz w:val="20"/>
                <w:szCs w:val="20"/>
              </w:rPr>
            </m:ctrlPr>
          </m:sSubPr>
          <m:e>
            <m:acc>
              <m:accPr>
                <m:chr m:val="̇"/>
                <m:ctrlPr>
                  <w:rPr>
                    <w:rFonts w:ascii="Cambria Math" w:eastAsia="Cambria Math" w:hAnsi="Cambria Math" w:cs="Cambria Math"/>
                    <w:color w:val="000000"/>
                    <w:sz w:val="20"/>
                    <w:szCs w:val="20"/>
                  </w:rPr>
                </m:ctrlPr>
              </m:accPr>
              <m:e>
                <m:r>
                  <w:rPr>
                    <w:rFonts w:ascii="Cambria Math" w:eastAsia="Cambria Math" w:hAnsi="Cambria Math" w:cs="Cambria Math"/>
                    <w:color w:val="000000"/>
                    <w:sz w:val="20"/>
                    <w:szCs w:val="20"/>
                  </w:rPr>
                  <m:t>Q</m:t>
                </m:r>
              </m:e>
            </m:acc>
          </m:e>
          <m:sub>
            <m:r>
              <w:rPr>
                <w:rFonts w:ascii="Cambria Math" w:eastAsia="Cambria Math" w:hAnsi="Cambria Math" w:cs="Cambria Math"/>
                <w:color w:val="000000"/>
                <w:sz w:val="20"/>
                <w:szCs w:val="20"/>
              </w:rPr>
              <m:t>ax</m:t>
            </m:r>
          </m:sub>
        </m:sSub>
      </m:oMath>
      <w:r>
        <w:rPr>
          <w:rFonts w:ascii="Times New Roman" w:eastAsia="Times New Roman" w:hAnsi="Times New Roman" w:cs="Times New Roman"/>
          <w:color w:val="000000"/>
          <w:sz w:val="20"/>
          <w:szCs w:val="20"/>
        </w:rPr>
        <w:t xml:space="preserve"> (W) through</w:t>
      </w:r>
      <w:r w:rsidRPr="001A15BE">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the thickness of the inner </w:t>
      </w:r>
      <w:r w:rsidRPr="001A15BE">
        <w:rPr>
          <w:rFonts w:ascii="Times New Roman" w:eastAsia="Times New Roman" w:hAnsi="Times New Roman" w:cs="Times New Roman"/>
          <w:sz w:val="20"/>
          <w:szCs w:val="20"/>
        </w:rPr>
        <w:t>pipe</w:t>
      </w:r>
      <w:r>
        <w:rPr>
          <w:rFonts w:ascii="Times New Roman" w:eastAsia="Times New Roman" w:hAnsi="Times New Roman" w:cs="Times New Roman"/>
          <w:color w:val="000000"/>
          <w:sz w:val="20"/>
          <w:szCs w:val="20"/>
        </w:rPr>
        <w:t xml:space="preserve"> calculated in eq.</w:t>
      </w:r>
      <w:r w:rsidR="008344B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3 according to Fourier’s law. </w:t>
      </w:r>
    </w:p>
    <w:p w14:paraId="29856B4E" w14:textId="77777777" w:rsidR="004D7E97" w:rsidRDefault="00000000">
      <w:pPr>
        <w:pBdr>
          <w:top w:val="nil"/>
          <w:left w:val="nil"/>
          <w:bottom w:val="nil"/>
          <w:right w:val="nil"/>
          <w:between w:val="nil"/>
        </w:pBdr>
        <w:spacing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There are two symmetrical contributions between the central section “</w:t>
      </w:r>
      <w:r>
        <w:rPr>
          <w:rFonts w:ascii="Times New Roman" w:eastAsia="Times New Roman" w:hAnsi="Times New Roman" w:cs="Times New Roman"/>
          <w:i/>
          <w:iCs/>
          <w:color w:val="000000"/>
          <w:sz w:val="20"/>
          <w:szCs w:val="20"/>
        </w:rPr>
        <w:t>c</w:t>
      </w:r>
      <w:r>
        <w:rPr>
          <w:rFonts w:ascii="Times New Roman" w:eastAsia="Times New Roman" w:hAnsi="Times New Roman" w:cs="Times New Roman"/>
          <w:color w:val="000000"/>
          <w:sz w:val="20"/>
          <w:szCs w:val="20"/>
        </w:rPr>
        <w:t>” and the outer section “</w:t>
      </w:r>
      <w:r>
        <w:rPr>
          <w:rFonts w:ascii="Times New Roman" w:eastAsia="Times New Roman" w:hAnsi="Times New Roman" w:cs="Times New Roman"/>
          <w:i/>
          <w:iCs/>
          <w:color w:val="000000"/>
          <w:sz w:val="20"/>
          <w:szCs w:val="20"/>
        </w:rPr>
        <w:t>o</w:t>
      </w:r>
      <w:r>
        <w:rPr>
          <w:rFonts w:ascii="Times New Roman" w:eastAsia="Times New Roman" w:hAnsi="Times New Roman" w:cs="Times New Roman"/>
          <w:color w:val="000000"/>
          <w:sz w:val="20"/>
          <w:szCs w:val="20"/>
        </w:rPr>
        <w:t>” adjacent to the Hot Guard, as represented in fig. 3, to the right and to the left. L</w:t>
      </w:r>
      <w:r>
        <w:rPr>
          <w:rFonts w:ascii="Times New Roman" w:eastAsia="Times New Roman" w:hAnsi="Times New Roman" w:cs="Times New Roman"/>
          <w:color w:val="000000"/>
          <w:sz w:val="20"/>
          <w:szCs w:val="20"/>
          <w:vertAlign w:val="subscript"/>
        </w:rPr>
        <w:t>ax</w:t>
      </w:r>
      <w:r>
        <w:rPr>
          <w:rFonts w:ascii="Times New Roman" w:eastAsia="Times New Roman" w:hAnsi="Times New Roman" w:cs="Times New Roman"/>
          <w:color w:val="000000"/>
          <w:sz w:val="20"/>
          <w:szCs w:val="20"/>
        </w:rPr>
        <w:t>=L/2 (m) is the distance between sections “</w:t>
      </w:r>
      <w:r>
        <w:rPr>
          <w:rFonts w:ascii="Times New Roman" w:eastAsia="Times New Roman" w:hAnsi="Times New Roman" w:cs="Times New Roman"/>
          <w:i/>
          <w:iCs/>
          <w:color w:val="000000"/>
          <w:sz w:val="20"/>
          <w:szCs w:val="20"/>
        </w:rPr>
        <w:t>c</w:t>
      </w:r>
      <w:r>
        <w:rPr>
          <w:rFonts w:ascii="Times New Roman" w:eastAsia="Times New Roman" w:hAnsi="Times New Roman" w:cs="Times New Roman"/>
          <w:color w:val="000000"/>
          <w:sz w:val="20"/>
          <w:szCs w:val="20"/>
        </w:rPr>
        <w:t>” and “</w:t>
      </w:r>
      <w:r>
        <w:rPr>
          <w:rFonts w:ascii="Times New Roman" w:eastAsia="Times New Roman" w:hAnsi="Times New Roman" w:cs="Times New Roman"/>
          <w:i/>
          <w:iCs/>
          <w:color w:val="000000"/>
          <w:sz w:val="20"/>
          <w:szCs w:val="20"/>
        </w:rPr>
        <w:t>o</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ΔT</w:t>
      </w:r>
      <w:r>
        <w:rPr>
          <w:rFonts w:ascii="Times New Roman" w:eastAsia="Times New Roman" w:hAnsi="Times New Roman" w:cs="Times New Roman"/>
          <w:i/>
          <w:iCs/>
          <w:color w:val="000000"/>
          <w:sz w:val="20"/>
          <w:szCs w:val="20"/>
          <w:vertAlign w:val="subscript"/>
        </w:rPr>
        <w:t>ax</w:t>
      </w:r>
      <w:r>
        <w:rPr>
          <w:rFonts w:ascii="Times New Roman" w:eastAsia="Times New Roman" w:hAnsi="Times New Roman" w:cs="Times New Roman"/>
          <w:color w:val="000000"/>
          <w:sz w:val="20"/>
          <w:szCs w:val="20"/>
        </w:rPr>
        <w:t xml:space="preserve"> (K) is the temperature difference between those two sections, </w:t>
      </w:r>
      <w:r>
        <w:rPr>
          <w:rFonts w:ascii="Times New Roman" w:eastAsia="Times New Roman" w:hAnsi="Times New Roman" w:cs="Times New Roman"/>
          <w:i/>
          <w:iCs/>
          <w:color w:val="000000"/>
          <w:sz w:val="20"/>
          <w:szCs w:val="20"/>
        </w:rPr>
        <w:t>th</w:t>
      </w:r>
      <w:r>
        <w:rPr>
          <w:rFonts w:ascii="Times New Roman" w:eastAsia="Times New Roman" w:hAnsi="Times New Roman" w:cs="Times New Roman"/>
          <w:i/>
          <w:iCs/>
          <w:color w:val="000000"/>
          <w:sz w:val="20"/>
          <w:szCs w:val="20"/>
          <w:vertAlign w:val="subscript"/>
        </w:rPr>
        <w:t>ss</w:t>
      </w:r>
      <w:r>
        <w:rPr>
          <w:rFonts w:ascii="Times New Roman" w:eastAsia="Times New Roman" w:hAnsi="Times New Roman" w:cs="Times New Roman"/>
          <w:color w:val="000000"/>
          <w:sz w:val="20"/>
          <w:szCs w:val="20"/>
        </w:rPr>
        <w:t xml:space="preserve"> (m) and </w:t>
      </w:r>
      <w:r>
        <w:rPr>
          <w:rFonts w:ascii="Times New Roman" w:eastAsia="Times New Roman" w:hAnsi="Times New Roman" w:cs="Times New Roman"/>
          <w:i/>
          <w:iCs/>
          <w:color w:val="000000"/>
          <w:sz w:val="20"/>
          <w:szCs w:val="20"/>
        </w:rPr>
        <w:t>k</w:t>
      </w:r>
      <w:r>
        <w:rPr>
          <w:rFonts w:ascii="Times New Roman" w:eastAsia="Times New Roman" w:hAnsi="Times New Roman" w:cs="Times New Roman"/>
          <w:color w:val="000000"/>
          <w:sz w:val="20"/>
          <w:szCs w:val="20"/>
          <w:vertAlign w:val="subscript"/>
        </w:rPr>
        <w:t>ss</w:t>
      </w:r>
      <w:r>
        <w:rPr>
          <w:rFonts w:ascii="Times New Roman" w:eastAsia="Times New Roman" w:hAnsi="Times New Roman" w:cs="Times New Roman"/>
          <w:color w:val="000000"/>
          <w:sz w:val="20"/>
          <w:szCs w:val="20"/>
        </w:rPr>
        <w:t xml:space="preserve"> (W m</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K</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are, respectively, the thickness and the thermal conductivity of the stainless-steel tube.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DA5EF6" w:rsidRPr="00A35228" w14:paraId="2AB46D26" w14:textId="77777777" w:rsidTr="00697A40">
        <w:trPr>
          <w:trHeight w:val="603"/>
        </w:trPr>
        <w:tc>
          <w:tcPr>
            <w:tcW w:w="6804" w:type="dxa"/>
            <w:vAlign w:val="center"/>
          </w:tcPr>
          <w:p w14:paraId="63F4144C" w14:textId="65A995FD" w:rsidR="00DA5EF6" w:rsidRPr="00DA5EF6" w:rsidRDefault="00000000" w:rsidP="00697A40">
            <w:pPr>
              <w:ind w:firstLine="284"/>
              <w:jc w:val="both"/>
              <w:rPr>
                <w:iCs/>
                <w:sz w:val="22"/>
                <w:szCs w:val="22"/>
              </w:rPr>
            </w:pPr>
            <m:oMathPara>
              <m:oMathParaPr>
                <m:jc m:val="left"/>
              </m:oMathParaPr>
              <m:oMath>
                <m:sSub>
                  <m:sSubPr>
                    <m:ctrlPr>
                      <w:rPr>
                        <w:rFonts w:ascii="Cambria Math" w:eastAsia="Cambria Math" w:hAnsi="Cambria Math" w:cs="Cambria Math"/>
                        <w:iCs/>
                        <w:color w:val="000000"/>
                      </w:rPr>
                    </m:ctrlPr>
                  </m:sSubPr>
                  <m:e>
                    <m:acc>
                      <m:accPr>
                        <m:chr m:val="̇"/>
                        <m:ctrlPr>
                          <w:rPr>
                            <w:rFonts w:ascii="Cambria Math" w:eastAsia="Cambria Math" w:hAnsi="Cambria Math" w:cs="Cambria Math"/>
                            <w:iCs/>
                            <w:color w:val="000000"/>
                          </w:rPr>
                        </m:ctrlPr>
                      </m:accPr>
                      <m:e>
                        <m:r>
                          <m:rPr>
                            <m:sty m:val="p"/>
                          </m:rPr>
                          <w:rPr>
                            <w:rFonts w:ascii="Cambria Math" w:eastAsia="Cambria Math" w:hAnsi="Cambria Math" w:cs="Cambria Math"/>
                            <w:color w:val="000000"/>
                          </w:rPr>
                          <m:t>Q</m:t>
                        </m:r>
                      </m:e>
                    </m:acc>
                  </m:e>
                  <m:sub>
                    <m:r>
                      <m:rPr>
                        <m:sty m:val="p"/>
                      </m:rPr>
                      <w:rPr>
                        <w:rFonts w:ascii="Cambria Math" w:eastAsia="Cambria Math" w:hAnsi="Cambria Math" w:cs="Cambria Math"/>
                        <w:color w:val="000000"/>
                      </w:rPr>
                      <m:t>ax</m:t>
                    </m:r>
                  </m:sub>
                </m:sSub>
                <m:r>
                  <m:rPr>
                    <m:sty m:val="p"/>
                  </m:rPr>
                  <w:rPr>
                    <w:rFonts w:ascii="Cambria Math" w:eastAsia="Cambria Math" w:hAnsi="Cambria Math" w:cs="Cambria Math"/>
                    <w:color w:val="000000"/>
                  </w:rPr>
                  <m:t>=2</m:t>
                </m:r>
                <m:f>
                  <m:fPr>
                    <m:ctrlPr>
                      <w:rPr>
                        <w:rFonts w:ascii="Cambria Math" w:eastAsia="Cambria Math" w:hAnsi="Cambria Math" w:cs="Cambria Math"/>
                        <w:iCs/>
                        <w:color w:val="000000"/>
                      </w:rPr>
                    </m:ctrlPr>
                  </m:fPr>
                  <m:num>
                    <m:d>
                      <m:dPr>
                        <m:ctrlPr>
                          <w:rPr>
                            <w:rFonts w:ascii="Cambria Math" w:eastAsia="Cambria Math" w:hAnsi="Cambria Math" w:cs="Cambria Math"/>
                            <w:iCs/>
                            <w:color w:val="000000"/>
                          </w:rPr>
                        </m:ctrlPr>
                      </m:dPr>
                      <m:e>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k</m:t>
                            </m:r>
                          </m:e>
                          <m:sub>
                            <m:r>
                              <m:rPr>
                                <m:sty m:val="p"/>
                              </m:rPr>
                              <w:rPr>
                                <w:rFonts w:ascii="Cambria Math" w:eastAsia="Cambria Math" w:hAnsi="Cambria Math" w:cs="Cambria Math"/>
                                <w:color w:val="000000"/>
                              </w:rPr>
                              <m:t>ss</m:t>
                            </m:r>
                          </m:sub>
                        </m:sSub>
                        <m:r>
                          <m:rPr>
                            <m:sty m:val="p"/>
                          </m:rPr>
                          <w:rPr>
                            <w:rFonts w:ascii="Cambria Math" w:eastAsia="Cambria Math" w:hAnsi="Cambria Math" w:cs="Cambria Math"/>
                            <w:color w:val="000000"/>
                          </w:rPr>
                          <m:t>π</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D</m:t>
                            </m:r>
                          </m:e>
                          <m:sub>
                            <m:r>
                              <m:rPr>
                                <m:sty m:val="p"/>
                              </m:rPr>
                              <w:rPr>
                                <w:rFonts w:ascii="Cambria Math" w:eastAsia="Cambria Math" w:hAnsi="Cambria Math" w:cs="Cambria Math"/>
                                <w:color w:val="000000"/>
                              </w:rPr>
                              <m:t>in</m:t>
                            </m:r>
                          </m:sub>
                        </m:sSub>
                        <m:r>
                          <m:rPr>
                            <m:sty m:val="p"/>
                          </m:rPr>
                          <w:rPr>
                            <w:rFonts w:ascii="Cambria Math" w:eastAsia="Cambria Math" w:hAnsi="Cambria Math" w:cs="Cambria Math"/>
                            <w:color w:val="000000"/>
                          </w:rPr>
                          <m:t>t</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m:rPr>
                                <m:sty m:val="p"/>
                              </m:rPr>
                              <w:rPr>
                                <w:rFonts w:ascii="Cambria Math" w:eastAsia="Cambria Math" w:hAnsi="Cambria Math" w:cs="Cambria Math"/>
                                <w:color w:val="000000"/>
                              </w:rPr>
                              <m:t>ss</m:t>
                            </m:r>
                          </m:sub>
                        </m:sSub>
                      </m:e>
                    </m:d>
                  </m:num>
                  <m:den>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L</m:t>
                        </m:r>
                      </m:e>
                      <m:sub>
                        <m:r>
                          <m:rPr>
                            <m:sty m:val="p"/>
                          </m:rPr>
                          <w:rPr>
                            <w:rFonts w:ascii="Cambria Math" w:eastAsia="Cambria Math" w:hAnsi="Cambria Math" w:cs="Cambria Math"/>
                            <w:color w:val="000000"/>
                          </w:rPr>
                          <m:t>ax</m:t>
                        </m:r>
                      </m:sub>
                    </m:sSub>
                  </m:den>
                </m:f>
                <m:r>
                  <m:rPr>
                    <m:sty m:val="p"/>
                  </m:rPr>
                  <w:rPr>
                    <w:rFonts w:ascii="Cambria Math" w:eastAsia="Cambria Math" w:hAnsi="Cambria Math" w:cs="Cambria Math"/>
                    <w:color w:val="000000"/>
                  </w:rPr>
                  <m:t>∆</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T</m:t>
                    </m:r>
                  </m:e>
                  <m:sub>
                    <m:r>
                      <m:rPr>
                        <m:sty m:val="p"/>
                      </m:rPr>
                      <w:rPr>
                        <w:rFonts w:ascii="Cambria Math" w:eastAsia="Cambria Math" w:hAnsi="Cambria Math" w:cs="Cambria Math"/>
                        <w:color w:val="000000"/>
                      </w:rPr>
                      <m:t>ax</m:t>
                    </m:r>
                  </m:sub>
                </m:sSub>
                <m:r>
                  <m:rPr>
                    <m:sty m:val="p"/>
                  </m:rPr>
                  <w:rPr>
                    <w:rFonts w:ascii="Cambria Math" w:eastAsia="Cambria Math" w:hAnsi="Cambria Math" w:cs="Cambria Math"/>
                  </w:rPr>
                  <m:t xml:space="preserve">         </m:t>
                </m:r>
              </m:oMath>
            </m:oMathPara>
          </w:p>
        </w:tc>
        <w:tc>
          <w:tcPr>
            <w:tcW w:w="2835" w:type="dxa"/>
            <w:vAlign w:val="center"/>
          </w:tcPr>
          <w:p w14:paraId="25BBA4F7" w14:textId="39008567" w:rsidR="00DA5EF6" w:rsidRPr="00A35228" w:rsidRDefault="00DA5EF6" w:rsidP="00697A40">
            <w:pPr>
              <w:pStyle w:val="SWCText"/>
              <w:rPr>
                <w:lang w:val="en-GB"/>
              </w:rPr>
            </w:pPr>
            <w:r w:rsidRPr="00A35228">
              <w:rPr>
                <w:lang w:val="en-GB"/>
              </w:rPr>
              <w:t>(</w:t>
            </w:r>
            <w:r>
              <w:rPr>
                <w:lang w:val="en-GB"/>
              </w:rPr>
              <w:t>eq. 3</w:t>
            </w:r>
            <w:r w:rsidRPr="00A35228">
              <w:rPr>
                <w:lang w:val="en-GB"/>
              </w:rPr>
              <w:t>)</w:t>
            </w:r>
          </w:p>
        </w:tc>
      </w:tr>
    </w:tbl>
    <w:p w14:paraId="052E610D" w14:textId="46DD1E96" w:rsidR="004D7E97" w:rsidRDefault="00000000" w:rsidP="00DA5EF6">
      <w:pPr>
        <w:pBdr>
          <w:top w:val="nil"/>
          <w:left w:val="nil"/>
          <w:bottom w:val="nil"/>
          <w:right w:val="nil"/>
          <w:between w:val="nil"/>
        </w:pBdr>
        <w:spacing w:before="240"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Fig. 4 presents the main outcomes of the thermal analysis conducted on the proposed configuration to determine both the geometric characteristics of the experimental setup and the appropriate measurement chain. The left y-axis shows the radiative heat loss, calculated as in eq.</w:t>
      </w:r>
      <w:r w:rsidR="008344B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2 as a function of the sample axial length for three different inner diameters. The 10-Al sample, with 1 m length and inner diameters of 50 mm and 100 mm, yields a thermal loss of at least 0.5 W. Even if these values refer to theoretical conditions, they are a clear indication of the low thermal losses expected to be measured with an experimental setup.</w:t>
      </w:r>
    </w:p>
    <w:p w14:paraId="5F4DE273" w14:textId="2BEB38AF" w:rsidR="004D7E97" w:rsidRDefault="00000000">
      <w:pPr>
        <w:pBdr>
          <w:top w:val="nil"/>
          <w:left w:val="nil"/>
          <w:bottom w:val="nil"/>
          <w:right w:val="nil"/>
          <w:between w:val="nil"/>
        </w:pBdr>
        <w:spacing w:after="24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The right y-axis reports the ratio between axial heat loss, calculated as in eq.</w:t>
      </w:r>
      <w:r w:rsidR="008344B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3, and the radial thermal loss, which defines the maximum measurement resolution achievable by the system. Analysis is reported for ΔT</w:t>
      </w:r>
      <w:r>
        <w:rPr>
          <w:rFonts w:ascii="Times New Roman" w:eastAsia="Times New Roman" w:hAnsi="Times New Roman" w:cs="Times New Roman"/>
          <w:color w:val="000000"/>
          <w:sz w:val="20"/>
          <w:szCs w:val="20"/>
          <w:vertAlign w:val="subscript"/>
        </w:rPr>
        <w:t>ax</w:t>
      </w:r>
      <w:r>
        <w:rPr>
          <w:rFonts w:ascii="Times New Roman" w:eastAsia="Times New Roman" w:hAnsi="Times New Roman" w:cs="Times New Roman"/>
          <w:color w:val="000000"/>
          <w:sz w:val="20"/>
          <w:szCs w:val="20"/>
        </w:rPr>
        <w:t xml:space="preserve"> = 1 °C, as a realistic value consistent with the expanded uncertainty of the type-K thermocouples. The </w:t>
      </w:r>
      <w:r w:rsidRPr="001A15BE">
        <w:rPr>
          <w:rFonts w:ascii="Times New Roman" w:eastAsia="Times New Roman" w:hAnsi="Times New Roman" w:cs="Times New Roman"/>
          <w:sz w:val="20"/>
          <w:szCs w:val="20"/>
        </w:rPr>
        <w:t>thickness</w:t>
      </w:r>
      <w:r>
        <w:rPr>
          <w:rFonts w:ascii="Times New Roman" w:eastAsia="Times New Roman" w:hAnsi="Times New Roman" w:cs="Times New Roman"/>
          <w:color w:val="000000"/>
          <w:sz w:val="20"/>
          <w:szCs w:val="20"/>
        </w:rPr>
        <w:t xml:space="preserve"> of th</w:t>
      </w:r>
      <w:r>
        <w:rPr>
          <w:rFonts w:ascii="Times New Roman" w:eastAsia="Times New Roman" w:hAnsi="Times New Roman" w:cs="Times New Roman"/>
          <w:color w:val="000000"/>
          <w:sz w:val="20"/>
          <w:szCs w:val="20"/>
          <w:vertAlign w:val="subscript"/>
        </w:rPr>
        <w:t xml:space="preserve">ss </w:t>
      </w:r>
      <w:r>
        <w:rPr>
          <w:rFonts w:ascii="Times New Roman" w:eastAsia="Times New Roman" w:hAnsi="Times New Roman" w:cs="Times New Roman"/>
          <w:color w:val="000000"/>
          <w:sz w:val="20"/>
          <w:szCs w:val="20"/>
        </w:rPr>
        <w:t>= 0.1 mm is considered as a best-case scenario, but additional mechanical constraints should be considered for the design of such a thinner sample. However, the black-dashed line also represents a scenario with th</w:t>
      </w:r>
      <w:r>
        <w:rPr>
          <w:rFonts w:ascii="Times New Roman" w:eastAsia="Times New Roman" w:hAnsi="Times New Roman" w:cs="Times New Roman"/>
          <w:color w:val="000000"/>
          <w:sz w:val="20"/>
          <w:szCs w:val="20"/>
          <w:vertAlign w:val="subscript"/>
        </w:rPr>
        <w:t xml:space="preserve">ss </w:t>
      </w:r>
      <w:r>
        <w:rPr>
          <w:rFonts w:ascii="Times New Roman" w:eastAsia="Times New Roman" w:hAnsi="Times New Roman" w:cs="Times New Roman"/>
          <w:color w:val="000000"/>
          <w:sz w:val="20"/>
          <w:szCs w:val="20"/>
        </w:rPr>
        <w:t>= 1 mm and ΔT</w:t>
      </w:r>
      <w:r>
        <w:rPr>
          <w:rFonts w:ascii="Times New Roman" w:eastAsia="Times New Roman" w:hAnsi="Times New Roman" w:cs="Times New Roman"/>
          <w:color w:val="000000"/>
          <w:sz w:val="20"/>
          <w:szCs w:val="20"/>
          <w:vertAlign w:val="subscript"/>
        </w:rPr>
        <w:t xml:space="preserve">ax </w:t>
      </w:r>
      <w:r>
        <w:rPr>
          <w:rFonts w:ascii="Times New Roman" w:eastAsia="Times New Roman" w:hAnsi="Times New Roman" w:cs="Times New Roman"/>
          <w:color w:val="000000"/>
          <w:sz w:val="20"/>
          <w:szCs w:val="20"/>
        </w:rPr>
        <w:t>= 0.1 °C (the two curves overlap), that could be achieved by introducing Pt100 sensors for temperature measurements. The analysis indicates that, for a stainless-steel tube thickness of 1 mm, an axial length of approximately 0.75 m is necessary to reduce axial heat losses to a negligible level, below 1% of the radiative contribution.</w:t>
      </w:r>
    </w:p>
    <w:p w14:paraId="49F52E7E" w14:textId="77777777" w:rsidR="004D7E97" w:rsidRDefault="00000000">
      <w:pPr>
        <w:keepNext/>
        <w:jc w:val="center"/>
      </w:pPr>
      <w:r>
        <w:rPr>
          <w:noProof/>
        </w:rPr>
        <w:drawing>
          <wp:inline distT="0" distB="0" distL="0" distR="0" wp14:anchorId="215D0171" wp14:editId="7D230DD6">
            <wp:extent cx="3600450" cy="2573240"/>
            <wp:effectExtent l="0" t="0" r="0" b="0"/>
            <wp:docPr id="2020998278"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l="7374" t="9767" r="3307" b="6893"/>
                    <a:stretch>
                      <a:fillRect/>
                    </a:stretch>
                  </pic:blipFill>
                  <pic:spPr>
                    <a:xfrm>
                      <a:off x="0" y="0"/>
                      <a:ext cx="3607301" cy="2578136"/>
                    </a:xfrm>
                    <a:prstGeom prst="rect">
                      <a:avLst/>
                    </a:prstGeom>
                    <a:ln/>
                  </pic:spPr>
                </pic:pic>
              </a:graphicData>
            </a:graphic>
          </wp:inline>
        </w:drawing>
      </w:r>
    </w:p>
    <w:p w14:paraId="5E057402" w14:textId="77777777" w:rsidR="004D7E97" w:rsidRDefault="00000000">
      <w:pPr>
        <w:pBdr>
          <w:top w:val="nil"/>
          <w:left w:val="nil"/>
          <w:bottom w:val="nil"/>
          <w:right w:val="nil"/>
          <w:between w:val="nil"/>
        </w:pBdr>
        <w:spacing w:after="20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16"/>
          <w:szCs w:val="16"/>
        </w:rPr>
        <w:t>Fig. 4 - Thermal radiation (left y-axis) as a function of the length of the internal tube for three different internal diameters. Ratio between axial thermal conduction and thermal radiation as a function of the length for two different thicknesses of the stainless-steel tube. The internal box reports simulation parameters.</w:t>
      </w:r>
    </w:p>
    <w:p w14:paraId="12406192" w14:textId="5FB0535C" w:rsidR="004D7E97" w:rsidRDefault="00A5406D">
      <w:pPr>
        <w:pBdr>
          <w:top w:val="nil"/>
          <w:left w:val="nil"/>
          <w:bottom w:val="nil"/>
          <w:right w:val="nil"/>
          <w:between w:val="nil"/>
        </w:pBdr>
        <w:spacing w:line="240" w:lineRule="auto"/>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3.2 Mechanical Design</w:t>
      </w:r>
    </w:p>
    <w:p w14:paraId="4AEBE6A5" w14:textId="77777777"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mechanical behaviour of the proposed system is assessed by separately considering the inner and outer AISI 304</w:t>
      </w:r>
      <w:r>
        <w:t xml:space="preserve"> </w:t>
      </w:r>
      <w:r>
        <w:rPr>
          <w:rFonts w:ascii="Times New Roman" w:eastAsia="Times New Roman" w:hAnsi="Times New Roman" w:cs="Times New Roman"/>
          <w:color w:val="000000"/>
          <w:sz w:val="20"/>
          <w:szCs w:val="20"/>
        </w:rPr>
        <w:t>tubes, as they are subjected to different pressures (Fig. 5). The annular gap between the tubes is evacuated to a pressure below 10</w:t>
      </w:r>
      <w:r>
        <w:rPr>
          <w:rFonts w:ascii="Times New Roman" w:eastAsia="Times New Roman" w:hAnsi="Times New Roman" w:cs="Times New Roman"/>
          <w:color w:val="000000"/>
          <w:sz w:val="20"/>
          <w:szCs w:val="20"/>
          <w:vertAlign w:val="superscript"/>
        </w:rPr>
        <w:t>-5</w:t>
      </w:r>
      <w:r>
        <w:rPr>
          <w:rFonts w:ascii="Times New Roman" w:eastAsia="Times New Roman" w:hAnsi="Times New Roman" w:cs="Times New Roman"/>
          <w:color w:val="000000"/>
          <w:sz w:val="20"/>
          <w:szCs w:val="20"/>
        </w:rPr>
        <w:t xml:space="preserve"> mbar, while atmospheric pressure is assumed both outside the external tube and inside the inner tube.</w:t>
      </w:r>
    </w:p>
    <w:p w14:paraId="56FC2227" w14:textId="79EA6365" w:rsidR="004D7E97" w:rsidRDefault="00000000">
      <w:pPr>
        <w:pBdr>
          <w:top w:val="nil"/>
          <w:left w:val="nil"/>
          <w:bottom w:val="nil"/>
          <w:right w:val="nil"/>
          <w:between w:val="nil"/>
        </w:pBdr>
        <w:spacing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inner tube is subjected to a pressure difference acting from the inside towards the evacuated annulus. Under the thin-cylinder assumption, the circumferential stress σ</w:t>
      </w:r>
      <w:r>
        <w:rPr>
          <w:rFonts w:ascii="Times New Roman" w:eastAsia="Times New Roman" w:hAnsi="Times New Roman" w:cs="Times New Roman"/>
          <w:color w:val="000000"/>
          <w:sz w:val="20"/>
          <w:szCs w:val="20"/>
          <w:vertAlign w:val="subscript"/>
        </w:rPr>
        <w:t xml:space="preserve">θ </w:t>
      </w:r>
      <w:r>
        <w:rPr>
          <w:rFonts w:ascii="Times New Roman" w:eastAsia="Times New Roman" w:hAnsi="Times New Roman" w:cs="Times New Roman"/>
          <w:color w:val="000000"/>
          <w:sz w:val="20"/>
          <w:szCs w:val="20"/>
        </w:rPr>
        <w:t>(Pa), described according to eq.</w:t>
      </w:r>
      <w:r w:rsidR="008344B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4, is more critical compared to the longitudinal one</w:t>
      </w:r>
      <w:r w:rsidR="009E4977">
        <w:rPr>
          <w:rFonts w:ascii="Times New Roman" w:eastAsia="Times New Roman" w:hAnsi="Times New Roman" w:cs="Times New Roman"/>
          <w:color w:val="000000"/>
          <w:sz w:val="20"/>
          <w:szCs w:val="20"/>
        </w:rPr>
        <w:t xml:space="preserve"> </w:t>
      </w:r>
      <w:r w:rsidR="009E4977">
        <w:rPr>
          <w:rFonts w:ascii="Times New Roman" w:eastAsia="Times New Roman" w:hAnsi="Times New Roman" w:cs="Times New Roman"/>
          <w:color w:val="000000"/>
          <w:sz w:val="20"/>
          <w:szCs w:val="20"/>
        </w:rPr>
        <w:fldChar w:fldCharType="begin"/>
      </w:r>
      <w:r w:rsidR="009E4977">
        <w:rPr>
          <w:rFonts w:ascii="Times New Roman" w:eastAsia="Times New Roman" w:hAnsi="Times New Roman" w:cs="Times New Roman"/>
          <w:color w:val="000000"/>
          <w:sz w:val="20"/>
          <w:szCs w:val="20"/>
        </w:rPr>
        <w:instrText xml:space="preserve"> ADDIN ZOTERO_ITEM CSL_CITATION {"citationID":"WhAYWUHA","properties":{"unsorted":false,"formattedCitation":"(Goodno and Gere, 2018)","plainCitation":"(Goodno and Gere, 2018)","noteIndex":0},"citationItems":[{"id":4279,"uris":["http://zotero.org/users/11848684/items/9NHG8AH7"],"itemData":{"id":4279,"type":"book","abstract":"This text develops student understanding along with analytical and problem-solving skills. The main topics include analysis and design of structural members subjected to tension, compression, torsion, bending, and more","edition":"Ninth edition","ISBN":"978-1-337-40027-5","language":"eng","note":"OCLC: 970034758","publisher":"Cengage Learning","publisher-place":"Boston, MA","source":"Open WorldCat","title":"Mechanics of materials","author":[{"family":"Goodno","given":"Barry J."},{"family":"Gere","given":"James M."}],"issued":{"date-parts":[["2018"]]}}}],"schema":"https://github.com/citation-style-language/schema/raw/master/csl-citation.json"} </w:instrText>
      </w:r>
      <w:r w:rsidR="009E4977">
        <w:rPr>
          <w:rFonts w:ascii="Times New Roman" w:eastAsia="Times New Roman" w:hAnsi="Times New Roman" w:cs="Times New Roman"/>
          <w:color w:val="000000"/>
          <w:sz w:val="20"/>
          <w:szCs w:val="20"/>
        </w:rPr>
        <w:fldChar w:fldCharType="separate"/>
      </w:r>
      <w:r w:rsidR="009E4977" w:rsidRPr="009E4977">
        <w:rPr>
          <w:rFonts w:ascii="Times New Roman" w:hAnsi="Times New Roman" w:cs="Times New Roman"/>
          <w:sz w:val="20"/>
        </w:rPr>
        <w:t>(Goodno and Gere, 2018)</w:t>
      </w:r>
      <w:r w:rsidR="009E4977">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7E6F1A" w:rsidRPr="00A35228" w14:paraId="5CF42365" w14:textId="77777777" w:rsidTr="00697A40">
        <w:trPr>
          <w:trHeight w:val="603"/>
        </w:trPr>
        <w:tc>
          <w:tcPr>
            <w:tcW w:w="6804" w:type="dxa"/>
            <w:vAlign w:val="center"/>
          </w:tcPr>
          <w:p w14:paraId="689565A7" w14:textId="3B5FD0F5" w:rsidR="007E6F1A" w:rsidRPr="007E6F1A" w:rsidRDefault="00000000" w:rsidP="00697A40">
            <w:pPr>
              <w:ind w:firstLine="284"/>
              <w:jc w:val="both"/>
              <w:rPr>
                <w:iCs/>
                <w:sz w:val="22"/>
                <w:szCs w:val="22"/>
              </w:rPr>
            </w:pPr>
            <m:oMathPara>
              <m:oMathParaPr>
                <m:jc m:val="left"/>
              </m:oMathParaPr>
              <m:oMath>
                <m:sSub>
                  <m:sSubPr>
                    <m:ctrlPr>
                      <w:rPr>
                        <w:rFonts w:ascii="Cambria Math" w:hAnsi="Cambria Math"/>
                        <w:iCs/>
                      </w:rPr>
                    </m:ctrlPr>
                  </m:sSubPr>
                  <m:e>
                    <m:r>
                      <m:rPr>
                        <m:sty m:val="p"/>
                      </m:rPr>
                      <w:rPr>
                        <w:rFonts w:ascii="Cambria Math" w:hAnsi="Cambria Math"/>
                      </w:rPr>
                      <m:t>σ</m:t>
                    </m:r>
                  </m:e>
                  <m:sub>
                    <m:r>
                      <m:rPr>
                        <m:sty m:val="p"/>
                      </m:rPr>
                      <w:rPr>
                        <w:rFonts w:ascii="Cambria Math" w:hAnsi="Cambria Math"/>
                      </w:rPr>
                      <m:t>θ</m:t>
                    </m:r>
                  </m:sub>
                </m:sSub>
                <m:r>
                  <m:rPr>
                    <m:sty m:val="p"/>
                  </m:rPr>
                  <w:rPr>
                    <w:rFonts w:ascii="Cambria Math" w:eastAsia="Cambria Math" w:hAnsi="Cambria Math" w:cs="Cambria Math"/>
                    <w:color w:val="000000"/>
                  </w:rPr>
                  <m:t>=</m:t>
                </m:r>
                <m:f>
                  <m:fPr>
                    <m:ctrlPr>
                      <w:rPr>
                        <w:rFonts w:ascii="Cambria Math" w:eastAsia="Cambria Math" w:hAnsi="Cambria Math" w:cs="Cambria Math"/>
                        <w:iCs/>
                        <w:color w:val="000000"/>
                      </w:rPr>
                    </m:ctrlPr>
                  </m:fPr>
                  <m:num>
                    <m:r>
                      <m:rPr>
                        <m:sty m:val="p"/>
                      </m:rPr>
                      <w:rPr>
                        <w:rFonts w:ascii="Cambria Math" w:eastAsia="Cambria Math" w:hAnsi="Cambria Math" w:cs="Cambria Math"/>
                        <w:color w:val="000000"/>
                      </w:rPr>
                      <m:t>∆p</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D</m:t>
                        </m:r>
                      </m:e>
                      <m:sub>
                        <m:r>
                          <m:rPr>
                            <m:sty m:val="p"/>
                          </m:rPr>
                          <w:rPr>
                            <w:rFonts w:ascii="Cambria Math" w:eastAsia="Cambria Math" w:hAnsi="Cambria Math" w:cs="Cambria Math"/>
                            <w:color w:val="000000"/>
                          </w:rPr>
                          <m:t>in</m:t>
                        </m:r>
                      </m:sub>
                    </m:sSub>
                  </m:num>
                  <m:den>
                    <m:r>
                      <m:rPr>
                        <m:sty m:val="p"/>
                      </m:rPr>
                      <w:rPr>
                        <w:rFonts w:ascii="Cambria Math" w:eastAsia="Cambria Math" w:hAnsi="Cambria Math" w:cs="Cambria Math"/>
                        <w:color w:val="000000"/>
                      </w:rPr>
                      <m:t>2t</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m:rPr>
                            <m:sty m:val="p"/>
                          </m:rPr>
                          <w:rPr>
                            <w:rFonts w:ascii="Cambria Math" w:eastAsia="Cambria Math" w:hAnsi="Cambria Math" w:cs="Cambria Math"/>
                            <w:color w:val="000000"/>
                          </w:rPr>
                          <m:t>ss</m:t>
                        </m:r>
                      </m:sub>
                    </m:sSub>
                  </m:den>
                </m:f>
                <m:r>
                  <m:rPr>
                    <m:sty m:val="p"/>
                  </m:rPr>
                  <w:rPr>
                    <w:rFonts w:ascii="Cambria Math" w:eastAsia="Cambria Math" w:hAnsi="Cambria Math" w:cs="Cambria Math"/>
                    <w:color w:val="000000"/>
                  </w:rPr>
                  <m:t xml:space="preserve"> </m:t>
                </m:r>
                <m:r>
                  <m:rPr>
                    <m:sty m:val="p"/>
                  </m:rPr>
                  <w:rPr>
                    <w:rFonts w:ascii="Cambria Math" w:eastAsia="Cambria Math" w:hAnsi="Cambria Math" w:cs="Cambria Math"/>
                  </w:rPr>
                  <m:t xml:space="preserve">      </m:t>
                </m:r>
              </m:oMath>
            </m:oMathPara>
          </w:p>
        </w:tc>
        <w:tc>
          <w:tcPr>
            <w:tcW w:w="2835" w:type="dxa"/>
            <w:vAlign w:val="center"/>
          </w:tcPr>
          <w:p w14:paraId="46699E8B" w14:textId="73EF266B" w:rsidR="007E6F1A" w:rsidRPr="00A35228" w:rsidRDefault="007E6F1A" w:rsidP="00697A40">
            <w:pPr>
              <w:pStyle w:val="SWCText"/>
              <w:rPr>
                <w:lang w:val="en-GB"/>
              </w:rPr>
            </w:pPr>
            <w:r w:rsidRPr="00A35228">
              <w:rPr>
                <w:lang w:val="en-GB"/>
              </w:rPr>
              <w:t>(</w:t>
            </w:r>
            <w:r>
              <w:rPr>
                <w:lang w:val="en-GB"/>
              </w:rPr>
              <w:t>eq. 4</w:t>
            </w:r>
            <w:r w:rsidRPr="00A35228">
              <w:rPr>
                <w:lang w:val="en-GB"/>
              </w:rPr>
              <w:t>)</w:t>
            </w:r>
          </w:p>
        </w:tc>
      </w:tr>
    </w:tbl>
    <w:p w14:paraId="4BD3B585" w14:textId="0C34DCA9" w:rsidR="004D7E97" w:rsidRDefault="008344B8" w:rsidP="007E6F1A">
      <w:pPr>
        <w:pBdr>
          <w:top w:val="nil"/>
          <w:left w:val="nil"/>
          <w:bottom w:val="nil"/>
          <w:right w:val="nil"/>
          <w:between w:val="nil"/>
        </w:pBdr>
        <w:spacing w:before="240"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w:t>
      </w:r>
      <w:r w:rsidR="00000000">
        <w:rPr>
          <w:rFonts w:ascii="Times New Roman" w:eastAsia="Times New Roman" w:hAnsi="Times New Roman" w:cs="Times New Roman"/>
          <w:color w:val="000000"/>
          <w:sz w:val="20"/>
          <w:szCs w:val="20"/>
        </w:rPr>
        <w:t xml:space="preserve">here </w:t>
      </w:r>
      <w:r w:rsidR="00000000">
        <w:rPr>
          <w:rFonts w:ascii="Times New Roman" w:eastAsia="Times New Roman" w:hAnsi="Times New Roman" w:cs="Times New Roman"/>
          <w:i/>
          <w:iCs/>
          <w:color w:val="000000"/>
          <w:sz w:val="20"/>
          <w:szCs w:val="20"/>
        </w:rPr>
        <w:t>Δp</w:t>
      </w:r>
      <w:r w:rsidR="00000000">
        <w:rPr>
          <w:rFonts w:ascii="Times New Roman" w:eastAsia="Times New Roman" w:hAnsi="Times New Roman" w:cs="Times New Roman"/>
          <w:color w:val="000000"/>
          <w:sz w:val="20"/>
          <w:szCs w:val="20"/>
        </w:rPr>
        <w:t xml:space="preserve"> (Pa) is the pressure differential. Considering the minimum 0.2% proof strength of AISI 304 at 250 °C according to EN 10028-7:2016, and a safety factor of 3, the allowable stress is 39.3 MPa. Considering a maximum diameter of 200 mm as the most demanding condition, it results in a theoretical minimum thickness of 0.258 mm. </w:t>
      </w:r>
    </w:p>
    <w:p w14:paraId="13E78FD4" w14:textId="77777777" w:rsidR="004D7E97"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Conversely, the outer tube is subjected to atmospheric pressure on its external surface and near-zero pressure on its internal surface. This loading produces compressive circumferential stresses and causes elastic instability before material yielding. Geometrical imperfections and welded lock-disk connections are not modelled explicitly and are accounted for through the adopted safety factor.</w:t>
      </w:r>
    </w:p>
    <w:p w14:paraId="358569B2" w14:textId="2FF40105" w:rsidR="004D7E97" w:rsidRDefault="00000000">
      <w:pPr>
        <w:pBdr>
          <w:top w:val="nil"/>
          <w:left w:val="nil"/>
          <w:bottom w:val="nil"/>
          <w:right w:val="nil"/>
          <w:between w:val="nil"/>
        </w:pBdr>
        <w:spacing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design condition is expressed according to eq.</w:t>
      </w:r>
      <w:r w:rsidR="008344B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5, under the long-cylinder approximation</w:t>
      </w:r>
      <w:r w:rsidR="003006ED">
        <w:rPr>
          <w:rFonts w:ascii="Times New Roman" w:eastAsia="Times New Roman" w:hAnsi="Times New Roman" w:cs="Times New Roman"/>
          <w:color w:val="000000"/>
          <w:sz w:val="20"/>
          <w:szCs w:val="20"/>
        </w:rPr>
        <w:t xml:space="preserve"> </w:t>
      </w:r>
      <w:r w:rsidR="003006ED">
        <w:rPr>
          <w:rFonts w:ascii="Times New Roman" w:eastAsia="Times New Roman" w:hAnsi="Times New Roman" w:cs="Times New Roman"/>
          <w:color w:val="000000"/>
          <w:sz w:val="20"/>
          <w:szCs w:val="20"/>
        </w:rPr>
        <w:fldChar w:fldCharType="begin"/>
      </w:r>
      <w:r w:rsidR="003006ED">
        <w:rPr>
          <w:rFonts w:ascii="Times New Roman" w:eastAsia="Times New Roman" w:hAnsi="Times New Roman" w:cs="Times New Roman"/>
          <w:color w:val="000000"/>
          <w:sz w:val="20"/>
          <w:szCs w:val="20"/>
        </w:rPr>
        <w:instrText xml:space="preserve"> ADDIN ZOTERO_ITEM CSL_CITATION {"citationID":"u7Ig41ZL","properties":{"unsorted":false,"formattedCitation":"(Salahshour and Fallah, 2018)","plainCitation":"(Salahshour and Fallah, 2018)","noteIndex":0},"citationItems":[{"id":4280,"uris":["http://zotero.org/users/11848684/items/YYRWZIJB"],"itemData":{"id":4280,"type":"article-journal","container-title":"Thin-Walled Structures","DOI":"10.1016/j.tws.2017.11.058","ISSN":"02638231","journalAbbreviation":"Thin-Walled Structures","language":"en","page":"81-87","source":"DOI.org (Crossref)","title":"Elastic collapse of thin long cylindrical shells under external pressure","volume":"124","author":[{"family":"Salahshour","given":"Soheil"},{"family":"Fallah","given":"Famida"}],"issued":{"date-parts":[["2018",3]]}}}],"schema":"https://github.com/citation-style-language/schema/raw/master/csl-citation.json"} </w:instrText>
      </w:r>
      <w:r w:rsidR="003006ED">
        <w:rPr>
          <w:rFonts w:ascii="Times New Roman" w:eastAsia="Times New Roman" w:hAnsi="Times New Roman" w:cs="Times New Roman"/>
          <w:color w:val="000000"/>
          <w:sz w:val="20"/>
          <w:szCs w:val="20"/>
        </w:rPr>
        <w:fldChar w:fldCharType="separate"/>
      </w:r>
      <w:r w:rsidR="003006ED" w:rsidRPr="003006ED">
        <w:rPr>
          <w:rFonts w:ascii="Times New Roman" w:hAnsi="Times New Roman" w:cs="Times New Roman"/>
          <w:sz w:val="20"/>
        </w:rPr>
        <w:t>(Salahshour and Fallah, 2018)</w:t>
      </w:r>
      <w:r w:rsidR="003006ED">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7E6F1A" w:rsidRPr="00A35228" w14:paraId="41E81659" w14:textId="77777777" w:rsidTr="00697A40">
        <w:trPr>
          <w:trHeight w:val="603"/>
        </w:trPr>
        <w:tc>
          <w:tcPr>
            <w:tcW w:w="6804" w:type="dxa"/>
            <w:vAlign w:val="center"/>
          </w:tcPr>
          <w:p w14:paraId="2F6C3C44" w14:textId="41864F3C" w:rsidR="007E6F1A" w:rsidRPr="007E6F1A" w:rsidRDefault="00000000" w:rsidP="00697A40">
            <w:pPr>
              <w:ind w:firstLine="284"/>
              <w:jc w:val="both"/>
              <w:rPr>
                <w:iCs/>
                <w:sz w:val="22"/>
                <w:szCs w:val="22"/>
              </w:rPr>
            </w:pPr>
            <m:oMathPara>
              <m:oMathParaPr>
                <m:jc m:val="left"/>
              </m:oMathParaPr>
              <m:oMath>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th</m:t>
                    </m:r>
                  </m:e>
                  <m:sub>
                    <m:r>
                      <m:rPr>
                        <m:sty m:val="p"/>
                      </m:rPr>
                      <w:rPr>
                        <w:rFonts w:ascii="Cambria Math" w:eastAsia="Cambria Math" w:hAnsi="Cambria Math" w:cs="Cambria Math"/>
                        <w:color w:val="000000"/>
                      </w:rPr>
                      <m:t>min</m:t>
                    </m:r>
                  </m:sub>
                </m:sSub>
                <m:r>
                  <m:rPr>
                    <m:sty m:val="p"/>
                  </m:rPr>
                  <w:rPr>
                    <w:rFonts w:ascii="Cambria Math" w:eastAsia="Cambria Math" w:hAnsi="Cambria Math" w:cs="Cambria Math"/>
                    <w:color w:val="000000"/>
                  </w:rPr>
                  <m:t>=</m:t>
                </m:r>
                <m:sSup>
                  <m:sSupPr>
                    <m:ctrlPr>
                      <w:rPr>
                        <w:rFonts w:ascii="Cambria Math" w:eastAsia="Cambria Math" w:hAnsi="Cambria Math" w:cs="Cambria Math"/>
                        <w:iCs/>
                        <w:color w:val="000000"/>
                      </w:rPr>
                    </m:ctrlPr>
                  </m:sSupPr>
                  <m:e>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D</m:t>
                        </m:r>
                      </m:e>
                      <m:sub>
                        <m:r>
                          <m:rPr>
                            <m:sty m:val="p"/>
                          </m:rPr>
                          <w:rPr>
                            <w:rFonts w:ascii="Cambria Math" w:eastAsia="Cambria Math" w:hAnsi="Cambria Math" w:cs="Cambria Math"/>
                            <w:color w:val="000000"/>
                          </w:rPr>
                          <m:t>out</m:t>
                        </m:r>
                      </m:sub>
                    </m:sSub>
                    <m:d>
                      <m:dPr>
                        <m:ctrlPr>
                          <w:rPr>
                            <w:rFonts w:ascii="Cambria Math" w:eastAsia="Cambria Math" w:hAnsi="Cambria Math" w:cs="Cambria Math"/>
                            <w:iCs/>
                            <w:color w:val="000000"/>
                          </w:rPr>
                        </m:ctrlPr>
                      </m:dPr>
                      <m:e>
                        <m:f>
                          <m:fPr>
                            <m:ctrlPr>
                              <w:rPr>
                                <w:rFonts w:ascii="Cambria Math" w:eastAsia="Cambria Math" w:hAnsi="Cambria Math" w:cs="Cambria Math"/>
                                <w:iCs/>
                                <w:color w:val="000000"/>
                              </w:rPr>
                            </m:ctrlPr>
                          </m:fPr>
                          <m:num>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f</m:t>
                                </m:r>
                              </m:e>
                              <m:sub>
                                <m:r>
                                  <m:rPr>
                                    <m:sty m:val="p"/>
                                  </m:rPr>
                                  <w:rPr>
                                    <w:rFonts w:ascii="Cambria Math" w:eastAsia="Cambria Math" w:hAnsi="Cambria Math" w:cs="Cambria Math"/>
                                    <w:color w:val="000000"/>
                                  </w:rPr>
                                  <m:t>s</m:t>
                                </m:r>
                              </m:sub>
                            </m:sSub>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p</m:t>
                                </m:r>
                              </m:e>
                              <m:sub>
                                <m:r>
                                  <m:rPr>
                                    <m:sty m:val="p"/>
                                  </m:rPr>
                                  <w:rPr>
                                    <w:rFonts w:ascii="Cambria Math" w:eastAsia="Cambria Math" w:hAnsi="Cambria Math" w:cs="Cambria Math"/>
                                    <w:color w:val="000000"/>
                                  </w:rPr>
                                  <m:t>atm</m:t>
                                </m:r>
                              </m:sub>
                            </m:sSub>
                            <m:d>
                              <m:dPr>
                                <m:ctrlPr>
                                  <w:rPr>
                                    <w:rFonts w:ascii="Cambria Math" w:eastAsia="Cambria Math" w:hAnsi="Cambria Math" w:cs="Cambria Math"/>
                                    <w:iCs/>
                                    <w:color w:val="000000"/>
                                  </w:rPr>
                                </m:ctrlPr>
                              </m:dPr>
                              <m:e>
                                <m:r>
                                  <m:rPr>
                                    <m:sty m:val="p"/>
                                  </m:rPr>
                                  <w:rPr>
                                    <w:rFonts w:ascii="Cambria Math" w:eastAsia="Cambria Math" w:hAnsi="Cambria Math" w:cs="Cambria Math"/>
                                    <w:color w:val="000000"/>
                                  </w:rPr>
                                  <m:t>1-</m:t>
                                </m:r>
                                <m:sSup>
                                  <m:sSupPr>
                                    <m:ctrlPr>
                                      <w:rPr>
                                        <w:rFonts w:ascii="Cambria Math" w:eastAsia="Cambria Math" w:hAnsi="Cambria Math" w:cs="Cambria Math"/>
                                        <w:iCs/>
                                        <w:color w:val="000000"/>
                                      </w:rPr>
                                    </m:ctrlPr>
                                  </m:sSupPr>
                                  <m:e>
                                    <m:r>
                                      <m:rPr>
                                        <m:sty m:val="p"/>
                                      </m:rPr>
                                      <w:rPr>
                                        <w:rFonts w:ascii="Cambria Math" w:eastAsia="Cambria Math" w:hAnsi="Cambria Math" w:cs="Cambria Math"/>
                                        <w:color w:val="000000"/>
                                      </w:rPr>
                                      <m:t>ν</m:t>
                                    </m:r>
                                  </m:e>
                                  <m:sup>
                                    <m:r>
                                      <m:rPr>
                                        <m:sty m:val="p"/>
                                      </m:rPr>
                                      <w:rPr>
                                        <w:rFonts w:ascii="Cambria Math" w:eastAsia="Cambria Math" w:hAnsi="Cambria Math" w:cs="Cambria Math"/>
                                        <w:color w:val="000000"/>
                                      </w:rPr>
                                      <m:t>2</m:t>
                                    </m:r>
                                  </m:sup>
                                </m:sSup>
                              </m:e>
                            </m:d>
                          </m:num>
                          <m:den>
                            <m:r>
                              <m:rPr>
                                <m:sty m:val="p"/>
                              </m:rPr>
                              <w:rPr>
                                <w:rFonts w:ascii="Cambria Math" w:eastAsia="Cambria Math" w:hAnsi="Cambria Math" w:cs="Cambria Math"/>
                                <w:color w:val="000000"/>
                              </w:rPr>
                              <m:t>2E</m:t>
                            </m:r>
                          </m:den>
                        </m:f>
                      </m:e>
                    </m:d>
                  </m:e>
                  <m:sup>
                    <m:f>
                      <m:fPr>
                        <m:ctrlPr>
                          <w:rPr>
                            <w:rFonts w:ascii="Cambria Math" w:eastAsia="Cambria Math" w:hAnsi="Cambria Math" w:cs="Cambria Math"/>
                            <w:iCs/>
                            <w:color w:val="000000"/>
                          </w:rPr>
                        </m:ctrlPr>
                      </m:fPr>
                      <m:num>
                        <m:r>
                          <m:rPr>
                            <m:sty m:val="p"/>
                          </m:rPr>
                          <w:rPr>
                            <w:rFonts w:ascii="Cambria Math" w:eastAsia="Cambria Math" w:hAnsi="Cambria Math" w:cs="Cambria Math"/>
                            <w:color w:val="000000"/>
                          </w:rPr>
                          <m:t>1</m:t>
                        </m:r>
                      </m:num>
                      <m:den>
                        <m:r>
                          <m:rPr>
                            <m:sty m:val="p"/>
                          </m:rPr>
                          <w:rPr>
                            <w:rFonts w:ascii="Cambria Math" w:eastAsia="Cambria Math" w:hAnsi="Cambria Math" w:cs="Cambria Math"/>
                            <w:color w:val="000000"/>
                          </w:rPr>
                          <m:t>3</m:t>
                        </m:r>
                      </m:den>
                    </m:f>
                  </m:sup>
                </m:sSup>
              </m:oMath>
            </m:oMathPara>
          </w:p>
        </w:tc>
        <w:tc>
          <w:tcPr>
            <w:tcW w:w="2835" w:type="dxa"/>
            <w:vAlign w:val="center"/>
          </w:tcPr>
          <w:p w14:paraId="6650B978" w14:textId="3BFEDE4D" w:rsidR="007E6F1A" w:rsidRPr="00A35228" w:rsidRDefault="007E6F1A" w:rsidP="00697A40">
            <w:pPr>
              <w:pStyle w:val="SWCText"/>
              <w:rPr>
                <w:lang w:val="en-GB"/>
              </w:rPr>
            </w:pPr>
            <w:r w:rsidRPr="00A35228">
              <w:rPr>
                <w:lang w:val="en-GB"/>
              </w:rPr>
              <w:t>(</w:t>
            </w:r>
            <w:r>
              <w:rPr>
                <w:lang w:val="en-GB"/>
              </w:rPr>
              <w:t>eq. 5</w:t>
            </w:r>
            <w:r w:rsidRPr="00A35228">
              <w:rPr>
                <w:lang w:val="en-GB"/>
              </w:rPr>
              <w:t>)</w:t>
            </w:r>
          </w:p>
        </w:tc>
      </w:tr>
    </w:tbl>
    <w:p w14:paraId="2E5A0B6E" w14:textId="5FEB62DC" w:rsidR="004D7E97" w:rsidRDefault="008344B8">
      <w:pPr>
        <w:pBdr>
          <w:top w:val="nil"/>
          <w:left w:val="nil"/>
          <w:bottom w:val="nil"/>
          <w:right w:val="nil"/>
          <w:between w:val="nil"/>
        </w:pBdr>
        <w:spacing w:before="240"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w</w:t>
      </w:r>
      <w:r w:rsidR="00000000">
        <w:rPr>
          <w:rFonts w:ascii="Times New Roman" w:eastAsia="Times New Roman" w:hAnsi="Times New Roman" w:cs="Times New Roman"/>
          <w:color w:val="000000"/>
          <w:sz w:val="20"/>
          <w:szCs w:val="20"/>
        </w:rPr>
        <w:t xml:space="preserve">here </w:t>
      </w:r>
      <w:r w:rsidR="00000000">
        <w:rPr>
          <w:rFonts w:ascii="Times New Roman" w:eastAsia="Times New Roman" w:hAnsi="Times New Roman" w:cs="Times New Roman"/>
          <w:i/>
          <w:iCs/>
          <w:color w:val="000000"/>
          <w:sz w:val="20"/>
          <w:szCs w:val="20"/>
        </w:rPr>
        <w:t>th</w:t>
      </w:r>
      <w:r w:rsidR="00000000">
        <w:rPr>
          <w:rFonts w:ascii="Times New Roman" w:eastAsia="Times New Roman" w:hAnsi="Times New Roman" w:cs="Times New Roman"/>
          <w:i/>
          <w:iCs/>
          <w:color w:val="000000"/>
          <w:sz w:val="20"/>
          <w:szCs w:val="20"/>
          <w:vertAlign w:val="subscript"/>
        </w:rPr>
        <w:t>min</w:t>
      </w:r>
      <w:r w:rsidR="00000000">
        <w:rPr>
          <w:rFonts w:ascii="Times New Roman" w:eastAsia="Times New Roman" w:hAnsi="Times New Roman" w:cs="Times New Roman"/>
          <w:color w:val="000000"/>
          <w:sz w:val="20"/>
          <w:szCs w:val="20"/>
        </w:rPr>
        <w:t xml:space="preserve"> (m) is the minimum required thickness, f</w:t>
      </w:r>
      <w:r w:rsidR="00000000">
        <w:rPr>
          <w:rFonts w:ascii="Times New Roman" w:eastAsia="Times New Roman" w:hAnsi="Times New Roman" w:cs="Times New Roman"/>
          <w:color w:val="000000"/>
          <w:sz w:val="20"/>
          <w:szCs w:val="20"/>
          <w:vertAlign w:val="subscript"/>
        </w:rPr>
        <w:t>s</w:t>
      </w:r>
      <w:r w:rsidR="00000000">
        <w:rPr>
          <w:rFonts w:ascii="Times New Roman" w:eastAsia="Times New Roman" w:hAnsi="Times New Roman" w:cs="Times New Roman"/>
          <w:color w:val="000000"/>
          <w:sz w:val="20"/>
          <w:szCs w:val="20"/>
        </w:rPr>
        <w:t xml:space="preserve"> = 3 is the safety factor, </w:t>
      </w:r>
      <w:r w:rsidR="00000000">
        <w:rPr>
          <w:rFonts w:ascii="Times New Roman" w:eastAsia="Times New Roman" w:hAnsi="Times New Roman" w:cs="Times New Roman"/>
          <w:i/>
          <w:iCs/>
          <w:color w:val="000000"/>
          <w:sz w:val="20"/>
          <w:szCs w:val="20"/>
        </w:rPr>
        <w:t>p</w:t>
      </w:r>
      <w:r w:rsidR="00000000">
        <w:rPr>
          <w:rFonts w:ascii="Times New Roman" w:eastAsia="Times New Roman" w:hAnsi="Times New Roman" w:cs="Times New Roman"/>
          <w:i/>
          <w:iCs/>
          <w:color w:val="000000"/>
          <w:sz w:val="20"/>
          <w:szCs w:val="20"/>
          <w:vertAlign w:val="subscript"/>
        </w:rPr>
        <w:t>atm</w:t>
      </w:r>
      <w:r w:rsidR="00000000">
        <w:rPr>
          <w:rFonts w:ascii="Times New Roman" w:eastAsia="Times New Roman" w:hAnsi="Times New Roman" w:cs="Times New Roman"/>
          <w:color w:val="000000"/>
          <w:sz w:val="20"/>
          <w:szCs w:val="20"/>
        </w:rPr>
        <w:t xml:space="preserve"> (Pa) is the atmospheric pressure. The calculations are performed using the Young’s modulus E = 193 GPa and a Poisson’s ratio </w:t>
      </w:r>
      <w:r w:rsidR="004D7DEF">
        <w:rPr>
          <w:rFonts w:ascii="Times New Roman" w:eastAsia="Times New Roman" w:hAnsi="Times New Roman" w:cs="Times New Roman"/>
          <w:color w:val="000000"/>
          <w:sz w:val="20"/>
          <w:szCs w:val="20"/>
        </w:rPr>
        <w:t>ν</w:t>
      </w:r>
      <w:r w:rsidR="00000000">
        <w:rPr>
          <w:rFonts w:ascii="Times New Roman" w:eastAsia="Times New Roman" w:hAnsi="Times New Roman" w:cs="Times New Roman"/>
          <w:color w:val="000000"/>
          <w:sz w:val="20"/>
          <w:szCs w:val="20"/>
        </w:rPr>
        <w:t xml:space="preserve"> = 0.29 for AISI 304 at the maximum outer temperature of 30 °C</w:t>
      </w:r>
      <w:r w:rsidR="003F54AB">
        <w:rPr>
          <w:rFonts w:ascii="Times New Roman" w:eastAsia="Times New Roman" w:hAnsi="Times New Roman" w:cs="Times New Roman"/>
          <w:color w:val="000000"/>
          <w:sz w:val="20"/>
          <w:szCs w:val="20"/>
        </w:rPr>
        <w:t xml:space="preserve"> </w:t>
      </w:r>
      <w:r w:rsidR="003F54AB">
        <w:rPr>
          <w:rFonts w:ascii="Times New Roman" w:eastAsia="Times New Roman" w:hAnsi="Times New Roman" w:cs="Times New Roman"/>
          <w:color w:val="000000"/>
          <w:sz w:val="20"/>
          <w:szCs w:val="20"/>
        </w:rPr>
        <w:fldChar w:fldCharType="begin"/>
      </w:r>
      <w:r w:rsidR="003F54AB">
        <w:rPr>
          <w:rFonts w:ascii="Times New Roman" w:eastAsia="Times New Roman" w:hAnsi="Times New Roman" w:cs="Times New Roman"/>
          <w:color w:val="000000"/>
          <w:sz w:val="20"/>
          <w:szCs w:val="20"/>
        </w:rPr>
        <w:instrText xml:space="preserve"> ADDIN ZOTERO_ITEM CSL_CITATION {"citationID":"A6PZURBR","properties":{"unsorted":false,"formattedCitation":"(Davis, 1999)","plainCitation":"(Davis, 1999)","noteIndex":0},"citationItems":[{"id":4281,"uris":["http://zotero.org/users/11848684/items/MZDS4ZQV"],"itemData":{"id":4281,"type":"book","collection-title":"ASM specialty handbook","edition":"3. print","ISBN":"978-0-87170-503-7","language":"eng","number-of-pages":"577","publisher":"ASM International","publisher-place":"Materials Park, OH","source":"K10plus ISBN","title":"Stainless steels","editor":[{"family":"Davis","given":"Joseph R."}],"issued":{"date-parts":[["1999"]]}}}],"schema":"https://github.com/citation-style-language/schema/raw/master/csl-citation.json"} </w:instrText>
      </w:r>
      <w:r w:rsidR="003F54AB">
        <w:rPr>
          <w:rFonts w:ascii="Times New Roman" w:eastAsia="Times New Roman" w:hAnsi="Times New Roman" w:cs="Times New Roman"/>
          <w:color w:val="000000"/>
          <w:sz w:val="20"/>
          <w:szCs w:val="20"/>
        </w:rPr>
        <w:fldChar w:fldCharType="separate"/>
      </w:r>
      <w:r w:rsidR="003F54AB" w:rsidRPr="003F54AB">
        <w:rPr>
          <w:rFonts w:ascii="Times New Roman" w:hAnsi="Times New Roman" w:cs="Times New Roman"/>
          <w:sz w:val="20"/>
        </w:rPr>
        <w:t>(Davis, 1999)</w:t>
      </w:r>
      <w:r w:rsidR="003F54AB">
        <w:rPr>
          <w:rFonts w:ascii="Times New Roman" w:eastAsia="Times New Roman" w:hAnsi="Times New Roman" w:cs="Times New Roman"/>
          <w:color w:val="000000"/>
          <w:sz w:val="20"/>
          <w:szCs w:val="20"/>
        </w:rPr>
        <w:fldChar w:fldCharType="end"/>
      </w:r>
      <w:r w:rsidR="00000000">
        <w:rPr>
          <w:rFonts w:ascii="Times New Roman" w:eastAsia="Times New Roman" w:hAnsi="Times New Roman" w:cs="Times New Roman"/>
          <w:color w:val="000000"/>
          <w:sz w:val="20"/>
          <w:szCs w:val="20"/>
        </w:rPr>
        <w:t xml:space="preserve">. </w:t>
      </w:r>
    </w:p>
    <w:p w14:paraId="4F754032" w14:textId="3ED7E2E0" w:rsidR="004D7E97" w:rsidRDefault="00000000">
      <w:pPr>
        <w:pBdr>
          <w:top w:val="nil"/>
          <w:left w:val="nil"/>
          <w:bottom w:val="nil"/>
          <w:right w:val="nil"/>
          <w:between w:val="nil"/>
        </w:pBdr>
        <w:spacing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minimum length </w:t>
      </w:r>
      <w:r>
        <w:rPr>
          <w:rFonts w:ascii="Times New Roman" w:eastAsia="Times New Roman" w:hAnsi="Times New Roman" w:cs="Times New Roman"/>
          <w:i/>
          <w:iCs/>
          <w:color w:val="000000"/>
          <w:sz w:val="20"/>
          <w:szCs w:val="20"/>
        </w:rPr>
        <w:t>L</w:t>
      </w:r>
      <w:r>
        <w:rPr>
          <w:rFonts w:ascii="Times New Roman" w:eastAsia="Times New Roman" w:hAnsi="Times New Roman" w:cs="Times New Roman"/>
          <w:i/>
          <w:iCs/>
          <w:color w:val="000000"/>
          <w:sz w:val="20"/>
          <w:szCs w:val="20"/>
          <w:vertAlign w:val="subscript"/>
        </w:rPr>
        <w:t>min</w:t>
      </w:r>
      <w:r>
        <w:rPr>
          <w:rFonts w:ascii="Times New Roman" w:eastAsia="Times New Roman" w:hAnsi="Times New Roman" w:cs="Times New Roman"/>
          <w:color w:val="000000"/>
          <w:sz w:val="20"/>
          <w:szCs w:val="20"/>
        </w:rPr>
        <w:t xml:space="preserve"> required for the applicability of the model is expressed in eq.</w:t>
      </w:r>
      <w:r w:rsidR="008344B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6.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7E6F1A" w:rsidRPr="00A35228" w14:paraId="44CF06B2" w14:textId="77777777" w:rsidTr="00697A40">
        <w:trPr>
          <w:trHeight w:val="603"/>
        </w:trPr>
        <w:tc>
          <w:tcPr>
            <w:tcW w:w="6804" w:type="dxa"/>
            <w:vAlign w:val="center"/>
          </w:tcPr>
          <w:p w14:paraId="5B93621A" w14:textId="703CA7BE" w:rsidR="007E6F1A" w:rsidRPr="007E6F1A" w:rsidRDefault="00000000" w:rsidP="00697A40">
            <w:pPr>
              <w:ind w:firstLine="284"/>
              <w:jc w:val="both"/>
              <w:rPr>
                <w:iCs/>
                <w:sz w:val="22"/>
                <w:szCs w:val="22"/>
              </w:rPr>
            </w:pPr>
            <m:oMathPara>
              <m:oMathParaPr>
                <m:jc m:val="left"/>
              </m:oMathParaPr>
              <m:oMath>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L</m:t>
                    </m:r>
                  </m:e>
                  <m:sub>
                    <m:r>
                      <m:rPr>
                        <m:sty m:val="p"/>
                      </m:rPr>
                      <w:rPr>
                        <w:rFonts w:ascii="Cambria Math" w:eastAsia="Cambria Math" w:hAnsi="Cambria Math" w:cs="Cambria Math"/>
                        <w:color w:val="000000"/>
                      </w:rPr>
                      <m:t>min</m:t>
                    </m:r>
                  </m:sub>
                </m:sSub>
                <m:r>
                  <m:rPr>
                    <m:sty m:val="p"/>
                  </m:rPr>
                  <w:rPr>
                    <w:rFonts w:ascii="Cambria Math" w:eastAsia="Cambria Math" w:hAnsi="Cambria Math" w:cs="Cambria Math"/>
                    <w:color w:val="000000"/>
                  </w:rPr>
                  <m:t xml:space="preserve"> ≥</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D</m:t>
                    </m:r>
                  </m:e>
                  <m:sub>
                    <m:r>
                      <m:rPr>
                        <m:sty m:val="p"/>
                      </m:rPr>
                      <w:rPr>
                        <w:rFonts w:ascii="Cambria Math" w:eastAsia="Cambria Math" w:hAnsi="Cambria Math" w:cs="Cambria Math"/>
                        <w:color w:val="000000"/>
                      </w:rPr>
                      <m:t>out</m:t>
                    </m:r>
                  </m:sub>
                </m:sSub>
                <m:sSup>
                  <m:sSupPr>
                    <m:ctrlPr>
                      <w:rPr>
                        <w:rFonts w:ascii="Cambria Math" w:eastAsia="Cambria Math" w:hAnsi="Cambria Math" w:cs="Cambria Math"/>
                        <w:iCs/>
                        <w:color w:val="000000"/>
                      </w:rPr>
                    </m:ctrlPr>
                  </m:sSupPr>
                  <m:e>
                    <m:d>
                      <m:dPr>
                        <m:ctrlPr>
                          <w:rPr>
                            <w:rFonts w:ascii="Cambria Math" w:eastAsia="Cambria Math" w:hAnsi="Cambria Math" w:cs="Cambria Math"/>
                            <w:iCs/>
                            <w:color w:val="000000"/>
                          </w:rPr>
                        </m:ctrlPr>
                      </m:dPr>
                      <m:e>
                        <m:f>
                          <m:fPr>
                            <m:ctrlPr>
                              <w:rPr>
                                <w:rFonts w:ascii="Cambria Math" w:eastAsia="Cambria Math" w:hAnsi="Cambria Math" w:cs="Cambria Math"/>
                                <w:iCs/>
                                <w:color w:val="000000"/>
                              </w:rPr>
                            </m:ctrlPr>
                          </m:fPr>
                          <m:num>
                            <m:r>
                              <m:rPr>
                                <m:sty m:val="p"/>
                              </m:rPr>
                              <w:rPr>
                                <w:rFonts w:ascii="Cambria Math" w:eastAsia="Cambria Math" w:hAnsi="Cambria Math" w:cs="Cambria Math"/>
                                <w:color w:val="000000"/>
                              </w:rPr>
                              <m:t>5</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D</m:t>
                                </m:r>
                              </m:e>
                              <m:sub>
                                <m:r>
                                  <m:rPr>
                                    <m:sty m:val="p"/>
                                  </m:rPr>
                                  <w:rPr>
                                    <w:rFonts w:ascii="Cambria Math" w:eastAsia="Cambria Math" w:hAnsi="Cambria Math" w:cs="Cambria Math"/>
                                    <w:color w:val="000000"/>
                                  </w:rPr>
                                  <m:t>out</m:t>
                                </m:r>
                              </m:sub>
                            </m:sSub>
                          </m:num>
                          <m:den>
                            <m:r>
                              <m:rPr>
                                <m:sty m:val="p"/>
                              </m:rPr>
                              <w:rPr>
                                <w:rFonts w:ascii="Cambria Math" w:eastAsia="Cambria Math" w:hAnsi="Cambria Math" w:cs="Cambria Math"/>
                                <w:color w:val="000000"/>
                              </w:rPr>
                              <m:t>8t</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m:rPr>
                                    <m:sty m:val="p"/>
                                  </m:rPr>
                                  <w:rPr>
                                    <w:rFonts w:ascii="Cambria Math" w:eastAsia="Cambria Math" w:hAnsi="Cambria Math" w:cs="Cambria Math"/>
                                    <w:color w:val="000000"/>
                                  </w:rPr>
                                  <m:t>min</m:t>
                                </m:r>
                              </m:sub>
                            </m:sSub>
                          </m:den>
                        </m:f>
                      </m:e>
                    </m:d>
                  </m:e>
                  <m:sup>
                    <m:f>
                      <m:fPr>
                        <m:ctrlPr>
                          <w:rPr>
                            <w:rFonts w:ascii="Cambria Math" w:eastAsia="Cambria Math" w:hAnsi="Cambria Math" w:cs="Cambria Math"/>
                            <w:iCs/>
                            <w:color w:val="000000"/>
                          </w:rPr>
                        </m:ctrlPr>
                      </m:fPr>
                      <m:num>
                        <m:r>
                          <m:rPr>
                            <m:sty m:val="p"/>
                          </m:rPr>
                          <w:rPr>
                            <w:rFonts w:ascii="Cambria Math" w:eastAsia="Cambria Math" w:hAnsi="Cambria Math" w:cs="Cambria Math"/>
                            <w:color w:val="000000"/>
                          </w:rPr>
                          <m:t>1</m:t>
                        </m:r>
                      </m:num>
                      <m:den>
                        <m:r>
                          <m:rPr>
                            <m:sty m:val="p"/>
                          </m:rPr>
                          <w:rPr>
                            <w:rFonts w:ascii="Cambria Math" w:eastAsia="Cambria Math" w:hAnsi="Cambria Math" w:cs="Cambria Math"/>
                            <w:color w:val="000000"/>
                          </w:rPr>
                          <m:t>2</m:t>
                        </m:r>
                      </m:den>
                    </m:f>
                  </m:sup>
                </m:sSup>
              </m:oMath>
            </m:oMathPara>
          </w:p>
        </w:tc>
        <w:tc>
          <w:tcPr>
            <w:tcW w:w="2835" w:type="dxa"/>
            <w:vAlign w:val="center"/>
          </w:tcPr>
          <w:p w14:paraId="40277562" w14:textId="2CA77E11" w:rsidR="007E6F1A" w:rsidRPr="00A35228" w:rsidRDefault="007E6F1A" w:rsidP="00697A40">
            <w:pPr>
              <w:pStyle w:val="SWCText"/>
              <w:rPr>
                <w:lang w:val="en-GB"/>
              </w:rPr>
            </w:pPr>
            <w:r w:rsidRPr="00A35228">
              <w:rPr>
                <w:lang w:val="en-GB"/>
              </w:rPr>
              <w:t>(</w:t>
            </w:r>
            <w:r>
              <w:rPr>
                <w:lang w:val="en-GB"/>
              </w:rPr>
              <w:t>eq. 6</w:t>
            </w:r>
            <w:r w:rsidRPr="00A35228">
              <w:rPr>
                <w:lang w:val="en-GB"/>
              </w:rPr>
              <w:t>)</w:t>
            </w:r>
          </w:p>
        </w:tc>
      </w:tr>
    </w:tbl>
    <w:p w14:paraId="28DEBAE6" w14:textId="6280C613" w:rsidR="004D7E97" w:rsidRDefault="00000000">
      <w:pPr>
        <w:pBdr>
          <w:top w:val="nil"/>
          <w:left w:val="nil"/>
          <w:bottom w:val="nil"/>
          <w:right w:val="nil"/>
          <w:between w:val="nil"/>
        </w:pBdr>
        <w:spacing w:before="24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parametric analysis is performed for external tube diameters ranging from 50 to 200 mm, as shown in fig.</w:t>
      </w:r>
      <w:r w:rsidR="008344B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5. Within this range, the calculated minimum thickness increases from approximately 0.45 to 1.80 mm, while the minimum length required to satisfy the long-cylinder assumption increased from approximately 0.42 to 1.67 m. These results identify external-pressure buckling of the outer tube as the governing mechanical design condition, whereas the inner tube remains safely within the membrane-stress limit.</w:t>
      </w:r>
    </w:p>
    <w:p w14:paraId="03B4E3D9" w14:textId="77777777" w:rsidR="004D7E97" w:rsidRDefault="00000000">
      <w:pPr>
        <w:keepNext/>
        <w:pBdr>
          <w:top w:val="nil"/>
          <w:left w:val="nil"/>
          <w:bottom w:val="nil"/>
          <w:right w:val="nil"/>
          <w:between w:val="nil"/>
        </w:pBdr>
        <w:spacing w:line="240" w:lineRule="auto"/>
        <w:jc w:val="center"/>
      </w:pPr>
      <w:r>
        <w:rPr>
          <w:noProof/>
        </w:rPr>
        <w:drawing>
          <wp:inline distT="0" distB="0" distL="0" distR="0" wp14:anchorId="77405DDD" wp14:editId="7B5DEDC7">
            <wp:extent cx="4681456" cy="1931403"/>
            <wp:effectExtent l="0" t="0" r="0" b="0"/>
            <wp:docPr id="202099827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681456" cy="1931403"/>
                    </a:xfrm>
                    <a:prstGeom prst="rect">
                      <a:avLst/>
                    </a:prstGeom>
                    <a:ln/>
                  </pic:spPr>
                </pic:pic>
              </a:graphicData>
            </a:graphic>
          </wp:inline>
        </w:drawing>
      </w:r>
    </w:p>
    <w:p w14:paraId="4D95AA96" w14:textId="77777777" w:rsidR="004D7E97" w:rsidRDefault="00000000">
      <w:pPr>
        <w:pBdr>
          <w:top w:val="nil"/>
          <w:left w:val="nil"/>
          <w:bottom w:val="nil"/>
          <w:right w:val="nil"/>
          <w:between w:val="nil"/>
        </w:pBdr>
        <w:spacing w:after="200" w:line="240" w:lineRule="auto"/>
        <w:jc w:val="center"/>
        <w:rPr>
          <w:rFonts w:ascii="Times New Roman" w:eastAsia="Times New Roman" w:hAnsi="Times New Roman" w:cs="Times New Roman"/>
          <w:b/>
          <w:bCs/>
          <w:i/>
          <w:iCs/>
          <w:color w:val="000000"/>
          <w:sz w:val="16"/>
          <w:szCs w:val="16"/>
        </w:rPr>
      </w:pPr>
      <w:r>
        <w:rPr>
          <w:rFonts w:ascii="Times New Roman" w:eastAsia="Times New Roman" w:hAnsi="Times New Roman" w:cs="Times New Roman"/>
          <w:b/>
          <w:bCs/>
          <w:color w:val="000000"/>
          <w:sz w:val="16"/>
          <w:szCs w:val="16"/>
        </w:rPr>
        <w:t xml:space="preserve">Fig. 5 – On the left, pressure distribution and dominant mechanical response of the concentric tubes: membrane tension in the internally pressurized inner tube and external-pressure buckling of the outer tube. On the right, minimum outer-tube wall thickness as a function of the external diameter for a sufficiently long AISI 304 cylindrical shell. </w:t>
      </w:r>
    </w:p>
    <w:p w14:paraId="01BE2386" w14:textId="77777777" w:rsidR="004D7E97" w:rsidRDefault="00000000">
      <w:pPr>
        <w:numPr>
          <w:ilvl w:val="0"/>
          <w:numId w:val="1"/>
        </w:numPr>
        <w:pBdr>
          <w:top w:val="nil"/>
          <w:left w:val="nil"/>
          <w:bottom w:val="nil"/>
          <w:right w:val="nil"/>
          <w:between w:val="nil"/>
        </w:pBdr>
        <w:spacing w:before="240"/>
        <w:jc w:val="center"/>
        <w:rPr>
          <w:rFonts w:ascii="Arial" w:eastAsia="Arial" w:hAnsi="Arial" w:cs="Arial"/>
          <w:b/>
          <w:bCs/>
          <w:color w:val="000000"/>
          <w:sz w:val="20"/>
          <w:szCs w:val="20"/>
        </w:rPr>
      </w:pPr>
      <w:r>
        <w:rPr>
          <w:rFonts w:ascii="Arial" w:eastAsia="Arial" w:hAnsi="Arial" w:cs="Arial"/>
          <w:b/>
          <w:bCs/>
          <w:color w:val="000000"/>
          <w:sz w:val="20"/>
          <w:szCs w:val="20"/>
        </w:rPr>
        <w:t xml:space="preserve">Design and Construction </w:t>
      </w:r>
    </w:p>
    <w:p w14:paraId="766575C9" w14:textId="449B4F22" w:rsidR="004D7E97" w:rsidRDefault="00000000">
      <w:pPr>
        <w:spacing w:before="240"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design process and thermal analysis of the proposed architecture provided the main parameters for the realization of the experimental setup. The system is based on a welded concentric-tube arrangement composed of two stainless-steel tubes, as shown in fig. 6. The inner tube is 1.7 m long, with an outer diameter of 54 mm and a thickness of 1.5 mm, consistent with commercial standards for heat transfer fluid pipelines. The selected length and diameter were defined according to the results discussed in fig. 4, while the thickness was verified against the membrane-stress requirement. The outer tube is 1.4 m long, with a 100 mm diameter and 1 mm thickness; these dimensions ensure that the tube can withstand atmospheric pressure without buckling, according to fig. 5. </w:t>
      </w:r>
    </w:p>
    <w:p w14:paraId="2D64A35F" w14:textId="1F65CC9E" w:rsidR="004D7E97" w:rsidRDefault="00000000" w:rsidP="00DA1595">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Two additional components are welded on the external surface of the outer tube. </w:t>
      </w:r>
      <w:r w:rsidR="001A15BE">
        <w:rPr>
          <w:rFonts w:ascii="Times New Roman" w:eastAsia="Times New Roman" w:hAnsi="Times New Roman" w:cs="Times New Roman"/>
          <w:sz w:val="20"/>
          <w:szCs w:val="20"/>
        </w:rPr>
        <w:t>A s</w:t>
      </w:r>
      <w:r>
        <w:rPr>
          <w:rFonts w:ascii="Times New Roman" w:eastAsia="Times New Roman" w:hAnsi="Times New Roman" w:cs="Times New Roman"/>
          <w:sz w:val="20"/>
          <w:szCs w:val="20"/>
        </w:rPr>
        <w:t xml:space="preserve">tainless-steel tube is used as a pumping port to evacuate the annular gap through the pumping system. Additionally, a Compact Cold Cathode Full Range Gauge is mounted to continuously monitor the pressure inside the evacuated gap. </w:t>
      </w:r>
    </w:p>
    <w:p w14:paraId="42A5037A" w14:textId="77777777" w:rsidR="00DA1595" w:rsidRDefault="00DA1595" w:rsidP="00DA1595">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Two different configurations of the HVMLI are built for the experimental activity. The first configuration consists of a single layer of 15-μm-thick crinkled aluminium foil wrapped around the outer surface of the inner tube. The second prototype has ten layers of aluminium (10-Al) mounted in a spiral assembly around the external surface of the inner tube.</w:t>
      </w:r>
    </w:p>
    <w:p w14:paraId="15CF0950" w14:textId="77777777" w:rsidR="00DA1595" w:rsidRDefault="00DA1595">
      <w:pPr>
        <w:ind w:firstLine="284"/>
        <w:jc w:val="both"/>
        <w:rPr>
          <w:rFonts w:ascii="Times New Roman" w:eastAsia="Times New Roman" w:hAnsi="Times New Roman" w:cs="Times New Roman"/>
          <w:sz w:val="20"/>
          <w:szCs w:val="20"/>
        </w:rPr>
      </w:pPr>
    </w:p>
    <w:p w14:paraId="08DC4DF4" w14:textId="77777777" w:rsidR="004D7E97" w:rsidRDefault="00000000">
      <w:pPr>
        <w:pBdr>
          <w:top w:val="nil"/>
          <w:left w:val="nil"/>
          <w:bottom w:val="nil"/>
          <w:right w:val="nil"/>
          <w:between w:val="nil"/>
        </w:pBdr>
        <w:spacing w:after="200" w:line="240" w:lineRule="auto"/>
        <w:jc w:val="center"/>
      </w:pPr>
      <w:r>
        <w:rPr>
          <w:noProof/>
        </w:rPr>
        <w:lastRenderedPageBreak/>
        <w:drawing>
          <wp:inline distT="0" distB="0" distL="0" distR="0" wp14:anchorId="5D77ED4B" wp14:editId="5CD735C7">
            <wp:extent cx="4430474" cy="2156349"/>
            <wp:effectExtent l="0" t="0" r="0" b="0"/>
            <wp:docPr id="202099828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4430474" cy="2156349"/>
                    </a:xfrm>
                    <a:prstGeom prst="rect">
                      <a:avLst/>
                    </a:prstGeom>
                    <a:ln/>
                  </pic:spPr>
                </pic:pic>
              </a:graphicData>
            </a:graphic>
          </wp:inline>
        </w:drawing>
      </w:r>
    </w:p>
    <w:p w14:paraId="06A74656" w14:textId="77777777" w:rsidR="004D7E97" w:rsidRDefault="00000000">
      <w:pPr>
        <w:pBdr>
          <w:top w:val="nil"/>
          <w:left w:val="nil"/>
          <w:bottom w:val="nil"/>
          <w:right w:val="nil"/>
          <w:between w:val="nil"/>
        </w:pBdr>
        <w:spacing w:after="20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Fig. 6 – Schematic view of the prototype with the detail of the components.</w:t>
      </w:r>
    </w:p>
    <w:p w14:paraId="32798FFB" w14:textId="77777777" w:rsidR="004D7E97" w:rsidRDefault="00000000">
      <w:pPr>
        <w:pBdr>
          <w:top w:val="nil"/>
          <w:left w:val="nil"/>
          <w:bottom w:val="nil"/>
          <w:right w:val="nil"/>
          <w:between w:val="nil"/>
        </w:pBdr>
        <w:spacing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thermal performance of the prototypes was assessed experimentally using the HGP method. The HGP scheme includes three heater cartridges separated by Teflon spacers (50 mm each) and placed in the inner tube as shown schematically in fig. 7. The central section of the set-up is one meter long and it is the one under test, while the lateral ones are 15 cm long and they act as thermal guards. The heating elements are inserted in a copper tube to provide uniform heating sources; the copper tube is surrounded by an AISI 304 tube that contains the channel for the thermocouple and is placed in intimate contact with the hot tube. The central thermocouple measures the inner temperature of the prototype, as reference for the performance evaluation. The lateral thermocouples on the main heater define the axial temperature difference, as ΔT = 1 °C is the maximum admissible temperature difference required to neglect the axial thermal losses, according to the results shown in fig. 4.  </w:t>
      </w:r>
    </w:p>
    <w:p w14:paraId="7C95661F" w14:textId="77777777" w:rsidR="004D7E97" w:rsidRDefault="00000000">
      <w:pPr>
        <w:keepNext/>
        <w:pBdr>
          <w:top w:val="nil"/>
          <w:left w:val="nil"/>
          <w:bottom w:val="nil"/>
          <w:right w:val="nil"/>
          <w:between w:val="nil"/>
        </w:pBdr>
        <w:spacing w:before="240"/>
        <w:ind w:left="720"/>
        <w:jc w:val="center"/>
        <w:rPr>
          <w:color w:val="000000"/>
        </w:rPr>
      </w:pPr>
      <w:r>
        <w:rPr>
          <w:noProof/>
          <w:color w:val="000000"/>
        </w:rPr>
        <w:drawing>
          <wp:inline distT="0" distB="0" distL="0" distR="0" wp14:anchorId="473703D6" wp14:editId="249AFBD7">
            <wp:extent cx="3711753" cy="2700000"/>
            <wp:effectExtent l="0" t="0" r="0" b="0"/>
            <wp:docPr id="202099827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711753" cy="2700000"/>
                    </a:xfrm>
                    <a:prstGeom prst="rect">
                      <a:avLst/>
                    </a:prstGeom>
                    <a:ln/>
                  </pic:spPr>
                </pic:pic>
              </a:graphicData>
            </a:graphic>
          </wp:inline>
        </w:drawing>
      </w:r>
    </w:p>
    <w:p w14:paraId="0A7BC095" w14:textId="77777777" w:rsidR="004D7E97" w:rsidRDefault="00000000">
      <w:pPr>
        <w:pBdr>
          <w:top w:val="nil"/>
          <w:left w:val="nil"/>
          <w:bottom w:val="nil"/>
          <w:right w:val="nil"/>
          <w:between w:val="nil"/>
        </w:pBdr>
        <w:spacing w:after="20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Fig. 7 – Schematic view of the heater designed for the Guarded Hot Pipe method. Magnified views provide the detail of the thermocouple accommodation and the Teflon spacers between the main heater and the lateral sections.</w:t>
      </w:r>
    </w:p>
    <w:p w14:paraId="4897B76C" w14:textId="77777777" w:rsidR="004D7E97" w:rsidRDefault="00000000">
      <w:pPr>
        <w:numPr>
          <w:ilvl w:val="0"/>
          <w:numId w:val="1"/>
        </w:numPr>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Results and Discussion</w:t>
      </w:r>
    </w:p>
    <w:p w14:paraId="7F6472E9" w14:textId="353A0BA5" w:rsidR="004D7E97" w:rsidRDefault="00000000">
      <w:pPr>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central heater is supplied with a fixed DC voltage to provide the heat dissipated according to the theoretical calculation of eq.</w:t>
      </w:r>
      <w:r w:rsidR="008344B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2 at the desired inner temperature. The power supplied to the guarding units is iteratively adjusted until the temperature difference </w:t>
      </w:r>
      <w:r>
        <w:rPr>
          <w:rFonts w:ascii="Times New Roman" w:eastAsia="Times New Roman" w:hAnsi="Times New Roman" w:cs="Times New Roman"/>
          <w:i/>
          <w:iCs/>
          <w:sz w:val="20"/>
          <w:szCs w:val="20"/>
        </w:rPr>
        <w:t>ΔT</w:t>
      </w:r>
      <w:r>
        <w:rPr>
          <w:rFonts w:ascii="Times New Roman" w:eastAsia="Times New Roman" w:hAnsi="Times New Roman" w:cs="Times New Roman"/>
          <w:i/>
          <w:iCs/>
          <w:sz w:val="20"/>
          <w:szCs w:val="20"/>
          <w:vertAlign w:val="subscript"/>
        </w:rPr>
        <w:t>ax</w:t>
      </w:r>
      <w:r>
        <w:rPr>
          <w:rFonts w:ascii="Times New Roman" w:eastAsia="Times New Roman" w:hAnsi="Times New Roman" w:cs="Times New Roman"/>
          <w:sz w:val="20"/>
          <w:szCs w:val="20"/>
        </w:rPr>
        <w:t xml:space="preserve">, required to ensure a negligible </w:t>
      </w:r>
      <m:oMath>
        <m:sSub>
          <m:sSubPr>
            <m:ctrlPr>
              <w:rPr>
                <w:rFonts w:ascii="Cambria Math" w:eastAsia="Cambria Math" w:hAnsi="Cambria Math" w:cs="Cambria Math"/>
                <w:sz w:val="20"/>
                <w:szCs w:val="20"/>
              </w:rPr>
            </m:ctrlPr>
          </m:sSubPr>
          <m:e>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Q</m:t>
                </m:r>
              </m:e>
            </m:acc>
          </m:e>
          <m:sub>
            <m:r>
              <w:rPr>
                <w:rFonts w:ascii="Cambria Math" w:eastAsia="Cambria Math" w:hAnsi="Cambria Math" w:cs="Cambria Math"/>
                <w:sz w:val="20"/>
                <w:szCs w:val="20"/>
              </w:rPr>
              <m:t>ax</m:t>
            </m:r>
          </m:sub>
        </m:sSub>
      </m:oMath>
      <w:r>
        <w:rPr>
          <w:rFonts w:ascii="Times New Roman" w:eastAsia="Times New Roman" w:hAnsi="Times New Roman" w:cs="Times New Roman"/>
          <w:sz w:val="20"/>
          <w:szCs w:val="20"/>
        </w:rPr>
        <w:t xml:space="preserve">, is reached in steady-state conditions. </w:t>
      </w:r>
      <w:r>
        <w:rPr>
          <w:rFonts w:ascii="Times New Roman" w:eastAsia="Times New Roman" w:hAnsi="Times New Roman" w:cs="Times New Roman"/>
          <w:i/>
          <w:iCs/>
          <w:sz w:val="20"/>
          <w:szCs w:val="20"/>
        </w:rPr>
        <w:t>ΔT</w:t>
      </w:r>
      <w:r>
        <w:rPr>
          <w:rFonts w:ascii="Times New Roman" w:eastAsia="Times New Roman" w:hAnsi="Times New Roman" w:cs="Times New Roman"/>
          <w:i/>
          <w:iCs/>
          <w:sz w:val="20"/>
          <w:szCs w:val="20"/>
          <w:vertAlign w:val="subscript"/>
        </w:rPr>
        <w:t>ax</w:t>
      </w:r>
      <w:r>
        <w:rPr>
          <w:rFonts w:ascii="Times New Roman" w:eastAsia="Times New Roman" w:hAnsi="Times New Roman" w:cs="Times New Roman"/>
          <w:sz w:val="20"/>
          <w:szCs w:val="20"/>
        </w:rPr>
        <w:t xml:space="preserve"> is evaluated as the difference between central temperature, </w:t>
      </w:r>
      <w:r>
        <w:rPr>
          <w:rFonts w:ascii="Times New Roman" w:eastAsia="Times New Roman" w:hAnsi="Times New Roman" w:cs="Times New Roman"/>
          <w:i/>
          <w:iCs/>
          <w:sz w:val="20"/>
          <w:szCs w:val="20"/>
        </w:rPr>
        <w:t>T</w:t>
      </w:r>
      <w:r>
        <w:rPr>
          <w:rFonts w:ascii="Times New Roman" w:eastAsia="Times New Roman" w:hAnsi="Times New Roman" w:cs="Times New Roman"/>
          <w:i/>
          <w:iCs/>
          <w:sz w:val="20"/>
          <w:szCs w:val="20"/>
          <w:vertAlign w:val="subscript"/>
        </w:rPr>
        <w:t>c</w:t>
      </w:r>
      <w:r>
        <w:rPr>
          <w:rFonts w:ascii="Times New Roman" w:eastAsia="Times New Roman" w:hAnsi="Times New Roman" w:cs="Times New Roman"/>
          <w:sz w:val="20"/>
          <w:szCs w:val="20"/>
        </w:rPr>
        <w:t xml:space="preserve"> and the mean of the temperatures measured at the two lateral sections of the tested unit. Fig. 8 shows the thermal power as a function of the internal temperature of the single layer prototype. The solid line represents the theoretical value calculated according to eq.</w:t>
      </w:r>
      <w:r w:rsidR="008344B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2, while the markers represent the experimental points. For each thermal power </w:t>
      </w:r>
      <w:r>
        <w:rPr>
          <w:rFonts w:ascii="Times New Roman" w:eastAsia="Times New Roman" w:hAnsi="Times New Roman" w:cs="Times New Roman"/>
          <w:sz w:val="20"/>
          <w:szCs w:val="20"/>
        </w:rPr>
        <w:lastRenderedPageBreak/>
        <w:t xml:space="preserve">supplied to the main heater (2.0 W, 4.5 W, 8.1 W), a different inner temperature is reached depending on the axial temperature difference </w:t>
      </w:r>
      <w:r>
        <w:rPr>
          <w:rFonts w:ascii="Times New Roman" w:eastAsia="Times New Roman" w:hAnsi="Times New Roman" w:cs="Times New Roman"/>
          <w:i/>
          <w:iCs/>
          <w:sz w:val="20"/>
          <w:szCs w:val="20"/>
        </w:rPr>
        <w:t>ΔT</w:t>
      </w:r>
      <w:r>
        <w:rPr>
          <w:rFonts w:ascii="Times New Roman" w:eastAsia="Times New Roman" w:hAnsi="Times New Roman" w:cs="Times New Roman"/>
          <w:i/>
          <w:iCs/>
          <w:sz w:val="20"/>
          <w:szCs w:val="20"/>
          <w:vertAlign w:val="subscript"/>
        </w:rPr>
        <w:t>ax</w:t>
      </w:r>
      <w:r>
        <w:rPr>
          <w:rFonts w:ascii="Times New Roman" w:eastAsia="Times New Roman" w:hAnsi="Times New Roman" w:cs="Times New Roman"/>
          <w:sz w:val="20"/>
          <w:szCs w:val="20"/>
        </w:rPr>
        <w:t xml:space="preserve">.  The power supplied to the lateral heaters is adjusted to progressively reduce </w:t>
      </w:r>
      <w:r w:rsidR="00C653EF" w:rsidRPr="00C653EF">
        <w:rPr>
          <w:rFonts w:ascii="Times New Roman" w:eastAsia="Times New Roman" w:hAnsi="Times New Roman" w:cs="Times New Roman"/>
          <w:i/>
          <w:iCs/>
          <w:sz w:val="20"/>
          <w:szCs w:val="20"/>
        </w:rPr>
        <w:t>ΔT</w:t>
      </w:r>
      <w:r w:rsidR="00C653EF" w:rsidRPr="00C653EF">
        <w:rPr>
          <w:rFonts w:ascii="Times New Roman" w:eastAsia="Times New Roman" w:hAnsi="Times New Roman" w:cs="Times New Roman"/>
          <w:i/>
          <w:iCs/>
          <w:sz w:val="20"/>
          <w:szCs w:val="20"/>
          <w:vertAlign w:val="subscript"/>
        </w:rPr>
        <w:t>ax</w:t>
      </w:r>
      <w:r w:rsidR="00C653E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from its maximum value (filled square) until ΔT</w:t>
      </w:r>
      <w:r>
        <w:rPr>
          <w:rFonts w:ascii="Times New Roman" w:eastAsia="Times New Roman" w:hAnsi="Times New Roman" w:cs="Times New Roman"/>
          <w:sz w:val="20"/>
          <w:szCs w:val="20"/>
          <w:vertAlign w:val="subscript"/>
        </w:rPr>
        <w:t>ax</w:t>
      </w:r>
      <w:r>
        <w:rPr>
          <w:rFonts w:ascii="Times New Roman" w:eastAsia="Times New Roman" w:hAnsi="Times New Roman" w:cs="Times New Roman"/>
          <w:sz w:val="20"/>
          <w:szCs w:val="20"/>
        </w:rPr>
        <w:t xml:space="preserve"> &lt; 1 °C. For the two lower-temperature conditions, the experimental points obtained with ΔTax &lt; 1 °C closely align with the theoretical predictions. A larger discrepancy is observed for the highest-temperature condition, corresponding to a supplied thermal power of 8.1 W and an inner temperature of approximately 220 °C. This mismatch originates from the simplified assumption of the thermal model. The discrepancy may arise because the simplified model neglects additional heat-transfer mechanisms, such as residual-gas conduction, does not account for the temperature dependence of thermal emittance, and applies a radiation-shield formulation that is more representative of configurations containing multiple layers.</w:t>
      </w:r>
    </w:p>
    <w:p w14:paraId="4B995C30" w14:textId="77777777" w:rsidR="004D7E97" w:rsidRDefault="00000000">
      <w:pPr>
        <w:pBdr>
          <w:top w:val="nil"/>
          <w:left w:val="nil"/>
          <w:bottom w:val="nil"/>
          <w:right w:val="nil"/>
          <w:between w:val="nil"/>
        </w:pBdr>
        <w:spacing w:after="200" w:line="240" w:lineRule="auto"/>
        <w:jc w:val="center"/>
        <w:rPr>
          <w:rFonts w:ascii="Times New Roman" w:eastAsia="Times New Roman" w:hAnsi="Times New Roman" w:cs="Times New Roman"/>
          <w:b/>
          <w:bCs/>
          <w:color w:val="000000"/>
          <w:sz w:val="16"/>
          <w:szCs w:val="16"/>
        </w:rPr>
      </w:pPr>
      <w:r>
        <w:rPr>
          <w:noProof/>
        </w:rPr>
        <w:drawing>
          <wp:inline distT="0" distB="0" distL="0" distR="0" wp14:anchorId="68BC2B70" wp14:editId="79BA324F">
            <wp:extent cx="3250800" cy="2700000"/>
            <wp:effectExtent l="0" t="0" r="6985" b="5715"/>
            <wp:docPr id="2020998282"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3"/>
                    <a:srcRect l="10332" t="10407" r="12491" b="5827"/>
                    <a:stretch>
                      <a:fillRect/>
                    </a:stretch>
                  </pic:blipFill>
                  <pic:spPr>
                    <a:xfrm>
                      <a:off x="0" y="0"/>
                      <a:ext cx="3250800" cy="2700000"/>
                    </a:xfrm>
                    <a:prstGeom prst="rect">
                      <a:avLst/>
                    </a:prstGeom>
                    <a:ln/>
                  </pic:spPr>
                </pic:pic>
              </a:graphicData>
            </a:graphic>
          </wp:inline>
        </w:drawing>
      </w:r>
    </w:p>
    <w:p w14:paraId="55728DE7" w14:textId="4673D8B5" w:rsidR="004D7E97" w:rsidRPr="00677C91" w:rsidRDefault="00000000">
      <w:pPr>
        <w:pBdr>
          <w:top w:val="nil"/>
          <w:left w:val="nil"/>
          <w:bottom w:val="nil"/>
          <w:right w:val="nil"/>
          <w:between w:val="nil"/>
        </w:pBdr>
        <w:spacing w:after="200" w:line="240" w:lineRule="auto"/>
        <w:jc w:val="center"/>
        <w:rPr>
          <w:rFonts w:ascii="Times New Roman" w:eastAsia="Times New Roman" w:hAnsi="Times New Roman" w:cs="Times New Roman"/>
          <w:b/>
          <w:bCs/>
          <w:color w:val="000000"/>
          <w:sz w:val="16"/>
          <w:szCs w:val="16"/>
        </w:rPr>
      </w:pPr>
      <w:r w:rsidRPr="00677C91">
        <w:rPr>
          <w:rFonts w:ascii="Times New Roman" w:eastAsia="Times New Roman" w:hAnsi="Times New Roman" w:cs="Times New Roman"/>
          <w:b/>
          <w:bCs/>
          <w:color w:val="000000"/>
          <w:sz w:val="16"/>
          <w:szCs w:val="16"/>
        </w:rPr>
        <w:t xml:space="preserve">Fig. 8 – Thermal power as a function of the inner-pipe temperature for the single-layer prototype. The solid line represents the theoretical trend calculated using eq. 2, whereas the squares represent experimental data obtained at three different main-heater power levels and axial temperature differences. Filled squares identify the maximum </w:t>
      </w:r>
      <w:r w:rsidR="000D616A">
        <w:rPr>
          <w:rFonts w:ascii="Times New Roman" w:eastAsia="Times New Roman" w:hAnsi="Times New Roman" w:cs="Times New Roman"/>
          <w:b/>
          <w:bCs/>
          <w:color w:val="000000"/>
          <w:sz w:val="16"/>
          <w:szCs w:val="16"/>
        </w:rPr>
        <w:t>ΔT</w:t>
      </w:r>
      <w:r w:rsidR="000D616A">
        <w:rPr>
          <w:rFonts w:ascii="Times New Roman" w:eastAsia="Times New Roman" w:hAnsi="Times New Roman" w:cs="Times New Roman"/>
          <w:b/>
          <w:bCs/>
          <w:color w:val="000000"/>
          <w:sz w:val="16"/>
          <w:szCs w:val="16"/>
          <w:vertAlign w:val="subscript"/>
        </w:rPr>
        <w:t>ax</w:t>
      </w:r>
      <w:r w:rsidR="000D616A">
        <w:rPr>
          <w:rFonts w:ascii="Times New Roman" w:eastAsia="Times New Roman" w:hAnsi="Times New Roman" w:cs="Times New Roman"/>
          <w:b/>
          <w:bCs/>
          <w:color w:val="000000"/>
          <w:sz w:val="16"/>
          <w:szCs w:val="16"/>
        </w:rPr>
        <w:t xml:space="preserve"> </w:t>
      </w:r>
      <w:r w:rsidRPr="00677C91">
        <w:rPr>
          <w:rFonts w:ascii="Times New Roman" w:eastAsia="Times New Roman" w:hAnsi="Times New Roman" w:cs="Times New Roman"/>
          <w:b/>
          <w:bCs/>
          <w:color w:val="000000"/>
          <w:sz w:val="16"/>
          <w:szCs w:val="16"/>
        </w:rPr>
        <w:t>investigated for each power level.</w:t>
      </w:r>
    </w:p>
    <w:p w14:paraId="26BAC969" w14:textId="77777777" w:rsidR="004D7E97" w:rsidRDefault="00000000" w:rsidP="00BB08A8">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Fig. 9 summarizes the main results of the experimental activity. The experimental results are shown for an axial temperature difference ΔT</w:t>
      </w:r>
      <w:r>
        <w:rPr>
          <w:rFonts w:ascii="Times New Roman" w:eastAsia="Times New Roman" w:hAnsi="Times New Roman" w:cs="Times New Roman"/>
          <w:sz w:val="20"/>
          <w:szCs w:val="20"/>
          <w:vertAlign w:val="subscript"/>
        </w:rPr>
        <w:t>ax</w:t>
      </w:r>
      <w:r>
        <w:rPr>
          <w:rFonts w:ascii="Times New Roman" w:eastAsia="Times New Roman" w:hAnsi="Times New Roman" w:cs="Times New Roman"/>
          <w:sz w:val="20"/>
          <w:szCs w:val="20"/>
        </w:rPr>
        <w:t xml:space="preserve"> &lt; 1 °C for all six data points. </w:t>
      </w:r>
      <w:r>
        <w:rPr>
          <w:rFonts w:ascii="Times New Roman" w:eastAsia="Times New Roman" w:hAnsi="Times New Roman" w:cs="Times New Roman"/>
          <w:color w:val="000000"/>
          <w:sz w:val="20"/>
          <w:szCs w:val="20"/>
        </w:rPr>
        <w:t xml:space="preserve">The </w:t>
      </w:r>
      <m:oMath>
        <m:sSub>
          <m:sSubPr>
            <m:ctrlPr>
              <w:rPr>
                <w:rFonts w:ascii="Cambria Math" w:eastAsia="Cambria Math" w:hAnsi="Cambria Math" w:cs="Cambria Math"/>
                <w:color w:val="000000"/>
                <w:sz w:val="20"/>
                <w:szCs w:val="20"/>
              </w:rPr>
            </m:ctrlPr>
          </m:sSubPr>
          <m:e>
            <m:acc>
              <m:accPr>
                <m:chr m:val="̇"/>
                <m:ctrlPr>
                  <w:rPr>
                    <w:rFonts w:ascii="Cambria Math" w:eastAsia="Cambria Math" w:hAnsi="Cambria Math" w:cs="Cambria Math"/>
                    <w:color w:val="000000"/>
                    <w:sz w:val="20"/>
                    <w:szCs w:val="20"/>
                  </w:rPr>
                </m:ctrlPr>
              </m:accPr>
              <m:e>
                <m:r>
                  <w:rPr>
                    <w:rFonts w:ascii="Cambria Math" w:eastAsia="Cambria Math" w:hAnsi="Cambria Math" w:cs="Cambria Math"/>
                    <w:color w:val="000000"/>
                    <w:sz w:val="20"/>
                    <w:szCs w:val="20"/>
                  </w:rPr>
                  <m:t>Q</m:t>
                </m:r>
              </m:e>
            </m:acc>
          </m:e>
          <m:sub>
            <m:r>
              <w:rPr>
                <w:rFonts w:ascii="Cambria Math" w:eastAsia="Cambria Math" w:hAnsi="Cambria Math" w:cs="Cambria Math"/>
                <w:color w:val="000000"/>
                <w:sz w:val="20"/>
                <w:szCs w:val="20"/>
              </w:rPr>
              <m:t>ax</m:t>
            </m:r>
          </m:sub>
        </m:sSub>
        <m:r>
          <w:rPr>
            <w:rFonts w:ascii="Cambria Math" w:eastAsia="Cambria Math" w:hAnsi="Cambria Math" w:cs="Cambria Math"/>
            <w:color w:val="000000"/>
            <w:sz w:val="20"/>
            <w:szCs w:val="20"/>
          </w:rPr>
          <m:t>/</m:t>
        </m:r>
        <m:sSub>
          <m:sSubPr>
            <m:ctrlPr>
              <w:rPr>
                <w:rFonts w:ascii="Cambria Math" w:eastAsia="Cambria Math" w:hAnsi="Cambria Math" w:cs="Cambria Math"/>
                <w:color w:val="000000"/>
                <w:sz w:val="20"/>
                <w:szCs w:val="20"/>
              </w:rPr>
            </m:ctrlPr>
          </m:sSubPr>
          <m:e>
            <m:acc>
              <m:accPr>
                <m:chr m:val="̇"/>
                <m:ctrlPr>
                  <w:rPr>
                    <w:rFonts w:ascii="Cambria Math" w:eastAsia="Cambria Math" w:hAnsi="Cambria Math" w:cs="Cambria Math"/>
                    <w:color w:val="000000"/>
                    <w:sz w:val="20"/>
                    <w:szCs w:val="20"/>
                  </w:rPr>
                </m:ctrlPr>
              </m:accPr>
              <m:e>
                <m:r>
                  <w:rPr>
                    <w:rFonts w:ascii="Cambria Math" w:eastAsia="Cambria Math" w:hAnsi="Cambria Math" w:cs="Cambria Math"/>
                    <w:color w:val="000000"/>
                    <w:sz w:val="20"/>
                    <w:szCs w:val="20"/>
                  </w:rPr>
                  <m:t>Q</m:t>
                </m:r>
              </m:e>
            </m:acc>
          </m:e>
          <m:sub>
            <m:r>
              <w:rPr>
                <w:rFonts w:ascii="Cambria Math" w:eastAsia="Cambria Math" w:hAnsi="Cambria Math" w:cs="Cambria Math"/>
                <w:color w:val="000000"/>
                <w:sz w:val="20"/>
                <w:szCs w:val="20"/>
              </w:rPr>
              <m:t>r</m:t>
            </m:r>
          </m:sub>
        </m:sSub>
      </m:oMath>
      <w:r>
        <w:rPr>
          <w:rFonts w:ascii="Times New Roman" w:eastAsia="Times New Roman" w:hAnsi="Times New Roman" w:cs="Times New Roman"/>
          <w:color w:val="000000"/>
          <w:sz w:val="20"/>
          <w:szCs w:val="20"/>
        </w:rPr>
        <w:t xml:space="preserve"> ratio ranges between the minimum value of 0.05% for the 1-Al sample at 160 °C and the maximum value of 0.36% for the 10-Al sample at 186 °C.</w:t>
      </w:r>
      <w:r>
        <w:rPr>
          <w:rFonts w:ascii="Times New Roman" w:eastAsia="Times New Roman" w:hAnsi="Times New Roman" w:cs="Times New Roman"/>
          <w:sz w:val="18"/>
          <w:szCs w:val="18"/>
        </w:rPr>
        <w:t xml:space="preserve"> </w:t>
      </w:r>
      <w:r>
        <w:rPr>
          <w:rFonts w:ascii="Times New Roman" w:eastAsia="Times New Roman" w:hAnsi="Times New Roman" w:cs="Times New Roman"/>
          <w:sz w:val="20"/>
          <w:szCs w:val="20"/>
        </w:rPr>
        <w:t xml:space="preserve">As already shown in fig. 8, the 1-Al solution shows a good agreement between the theoretical value (red dashed line) and the experimental points (red empty squares), with the only exception of the point at 220 °C. </w:t>
      </w:r>
    </w:p>
    <w:p w14:paraId="24297E98" w14:textId="77777777" w:rsidR="00BB08A8" w:rsidRDefault="00BB08A8" w:rsidP="00BB08A8">
      <w:pPr>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This solution decreases the thermal loss of industrial fluid pipelines by about 4 times when compared to the traditional solution employing rockwool (as in fig. 2). Moreover, additional improvement is obtained by reducing the insulator thickness, from the total 254 mm outer diameter of the rockwool component to the 100 mm outer diameter of the VIT. At approximately 220 °C, the measured thermal power of the 10-Al configuration was about 30% lower than that of the 1-Al configuration, but with a considerable discrepancy with the theoretical values. This discrepancy may arise from heat-transfer mechanisms neglected in the simplified model, including solid conduction between contacting layers, residual-gas conduction, and temperature-dependent surface emittance.</w:t>
      </w:r>
    </w:p>
    <w:p w14:paraId="7C214A3A" w14:textId="77777777" w:rsidR="00BB08A8" w:rsidRDefault="00BB08A8">
      <w:pPr>
        <w:ind w:firstLine="284"/>
        <w:jc w:val="both"/>
        <w:rPr>
          <w:rFonts w:ascii="Times New Roman" w:eastAsia="Times New Roman" w:hAnsi="Times New Roman" w:cs="Times New Roman"/>
          <w:sz w:val="20"/>
          <w:szCs w:val="20"/>
        </w:rPr>
      </w:pPr>
    </w:p>
    <w:p w14:paraId="66CD8999" w14:textId="77777777" w:rsidR="004D7E97" w:rsidRDefault="00000000">
      <w:pPr>
        <w:keepNext/>
        <w:jc w:val="center"/>
      </w:pPr>
      <w:r>
        <w:rPr>
          <w:noProof/>
        </w:rPr>
        <w:lastRenderedPageBreak/>
        <w:drawing>
          <wp:inline distT="0" distB="0" distL="0" distR="0" wp14:anchorId="1B337E44" wp14:editId="217FA623">
            <wp:extent cx="3222176" cy="2700000"/>
            <wp:effectExtent l="0" t="0" r="0" b="0"/>
            <wp:docPr id="202099828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l="10056" t="9772" r="12683" b="5635"/>
                    <a:stretch>
                      <a:fillRect/>
                    </a:stretch>
                  </pic:blipFill>
                  <pic:spPr>
                    <a:xfrm>
                      <a:off x="0" y="0"/>
                      <a:ext cx="3222176" cy="2700000"/>
                    </a:xfrm>
                    <a:prstGeom prst="rect">
                      <a:avLst/>
                    </a:prstGeom>
                    <a:ln/>
                  </pic:spPr>
                </pic:pic>
              </a:graphicData>
            </a:graphic>
          </wp:inline>
        </w:drawing>
      </w:r>
    </w:p>
    <w:p w14:paraId="7624A538" w14:textId="77777777" w:rsidR="004D7E97" w:rsidRDefault="00000000">
      <w:pPr>
        <w:pBdr>
          <w:top w:val="nil"/>
          <w:left w:val="nil"/>
          <w:bottom w:val="nil"/>
          <w:right w:val="nil"/>
          <w:between w:val="nil"/>
        </w:pBdr>
        <w:spacing w:after="20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6"/>
          <w:szCs w:val="16"/>
        </w:rPr>
        <w:t>Fig. 9 – Thermal power as a function of the inner temperature for the two HVMLI prototypes. The lines represent the theoretical trend, and the markers represent the experimental points.</w:t>
      </w:r>
    </w:p>
    <w:p w14:paraId="09D1738F" w14:textId="77777777" w:rsidR="004D7E97" w:rsidRDefault="00000000">
      <w:pPr>
        <w:numPr>
          <w:ilvl w:val="0"/>
          <w:numId w:val="1"/>
        </w:numPr>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Conclusions</w:t>
      </w:r>
    </w:p>
    <w:p w14:paraId="434AECC5" w14:textId="77777777"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High Vacuum Multilayer Insulation (HVMLI) is an insulation technique that ensures high performance. The high-vacuum environment reduces thermal convection and gas conduction to negligible values, while the Multilayer Insulation reduces the thermal radiation by employing low-emittance foils. The characterization of the HVMLI is mainly limited to the cryogenic range (i.e. temperature below -150 °C) through boil-off calorimetry measurements. A different approach is needed to extend the use of HVMLI to the industrial pipeline temperature range between 100 °C and 250 °C. </w:t>
      </w:r>
    </w:p>
    <w:p w14:paraId="2C6A27C5" w14:textId="77777777"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 optimized measurement setup based on the Guarded Hot Pipe (HGP) is proposed in this paper to adequately measure the thermal loss of two different HVMLI samples: a single aluminium layer (1-Al) and a 10-layer insulation configuration (10-Al).</w:t>
      </w:r>
    </w:p>
    <w:p w14:paraId="7F84811C" w14:textId="77777777"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preliminary thermal and structural analyses provided the main geometrical parameters to design a high-resolution experimental setup. The setup consists of an evacuated gap between concentric tubes</w:t>
      </w:r>
      <w:r>
        <w:t xml:space="preserve"> </w:t>
      </w:r>
      <w:r>
        <w:rPr>
          <w:rFonts w:ascii="Times New Roman" w:eastAsia="Times New Roman" w:hAnsi="Times New Roman" w:cs="Times New Roman"/>
          <w:sz w:val="20"/>
          <w:szCs w:val="20"/>
        </w:rPr>
        <w:t xml:space="preserve">with the MLI wrapped around the outer surface of the inner tube. The HGP method employs a three-section heater, with the central section serving as the test section and the two lateral sections balancing the axial heat losses. </w:t>
      </w:r>
    </w:p>
    <w:p w14:paraId="195A197E" w14:textId="77777777"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experimental results of the 1-Al configuration showed good agreement with the analytical model, supporting the capability of the experimental setup when the temperature difference in the axial direction is below 1 °C. The 10-Al configuration reduced the total exchanged power, although significant discrepancies with theoretical values remain. </w:t>
      </w:r>
    </w:p>
    <w:p w14:paraId="3090B63D" w14:textId="77777777" w:rsidR="004D7E97" w:rsidRDefault="00000000">
      <w:pPr>
        <w:spacing w:after="0"/>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results showed that the HVMLI technology reduces the thermal loss of industrial heat transfer fluid pipelines in the temperature range between 100 °C and 250 °C while substantially reducing the overall dimensions of the insulation system. These findings support the need to improve the experimental setup to identify the cause of the discrepancy between the theoretical and experimental values of the 10-layer configuration. </w:t>
      </w:r>
    </w:p>
    <w:p w14:paraId="3AAC163B" w14:textId="77777777" w:rsidR="004D7E97" w:rsidRDefault="00000000">
      <w:pPr>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Future work will focus on the development of a dismountable vacuum chamber, allowing different HVMLI configurations to be tested more easily and facilitating the identification of the most effective design solution. At the same time, the experimental setup will be upgraded with additional sensors to investigate other physical phenomena, such as residual gas conduction.</w:t>
      </w:r>
    </w:p>
    <w:p w14:paraId="3074AF4B" w14:textId="4E18C7C5" w:rsidR="004D7E97" w:rsidRPr="00324EC4" w:rsidRDefault="00000000" w:rsidP="00324EC4">
      <w:pPr>
        <w:numPr>
          <w:ilvl w:val="0"/>
          <w:numId w:val="1"/>
        </w:numPr>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References</w:t>
      </w:r>
    </w:p>
    <w:p w14:paraId="453995C2" w14:textId="77777777" w:rsidR="00760DB4" w:rsidRPr="00BE2E4C" w:rsidRDefault="00324EC4" w:rsidP="00760DB4">
      <w:pPr>
        <w:pStyle w:val="Bibliography"/>
        <w:rPr>
          <w:rFonts w:ascii="Times New Roman" w:hAnsi="Times New Roman" w:cs="Times New Roman"/>
          <w:sz w:val="20"/>
          <w:szCs w:val="20"/>
        </w:rPr>
      </w:pPr>
      <w:r w:rsidRPr="00760DB4">
        <w:rPr>
          <w:rFonts w:ascii="Times New Roman" w:hAnsi="Times New Roman" w:cs="Times New Roman"/>
        </w:rPr>
        <w:fldChar w:fldCharType="begin"/>
      </w:r>
      <w:r w:rsidRPr="00760DB4">
        <w:rPr>
          <w:rFonts w:ascii="Times New Roman" w:hAnsi="Times New Roman" w:cs="Times New Roman"/>
        </w:rPr>
        <w:instrText xml:space="preserve"> ADDIN ZOTERO_BIBL {"uncited":[],"omitted":[],"custom":[]} CSL_BIBLIOGRAPHY </w:instrText>
      </w:r>
      <w:r w:rsidRPr="00760DB4">
        <w:rPr>
          <w:rFonts w:ascii="Times New Roman" w:hAnsi="Times New Roman" w:cs="Times New Roman"/>
        </w:rPr>
        <w:fldChar w:fldCharType="separate"/>
      </w:r>
      <w:r w:rsidR="00760DB4" w:rsidRPr="00BE2E4C">
        <w:rPr>
          <w:rFonts w:ascii="Times New Roman" w:hAnsi="Times New Roman" w:cs="Times New Roman"/>
          <w:sz w:val="20"/>
          <w:szCs w:val="20"/>
        </w:rPr>
        <w:t>Abdou, A., Budaiwi, I., 2013. The variation of thermal conductivity of fibrous insulation materials under different levels of moisture content. Constr. Build. Mater. 43, 533–544. https://doi.org/10.1016/j.conbuildmat.2013.02.058</w:t>
      </w:r>
    </w:p>
    <w:p w14:paraId="4D3315EF"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lastRenderedPageBreak/>
        <w:t>Abu-Jdayil, B., Mourad, A.-H., Hittini, W., Hassan, M., Hameedi, S., 2019. Traditional, state-of-the-art and renewable thermal building insulation materials: An overview. Constr. Build. Mater. 214, 709–735. https://doi.org/10.1016/j.conbuildmat.2019.04.102</w:t>
      </w:r>
    </w:p>
    <w:p w14:paraId="3BDD3F3A"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Bapat, S.L., Narayankhedkar, K.G., Lukose, T.P., 1990a. Experimental investigations of multilayer insulation. Cryogenics 30, 711–719. https://doi.org/10.1016/0011-2275(90)90235-5</w:t>
      </w:r>
    </w:p>
    <w:p w14:paraId="31CF5FE6"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Bapat, S.L., Narayankhedkar, K.G., Lukose, T.P., 1990b. Performance prediction of multilayer insulation. Cryogenics 30, 700–710. https://doi.org/10.1016/0011-2275(90)90234-4</w:t>
      </w:r>
    </w:p>
    <w:p w14:paraId="7B9ECD7F"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Chen, M., Zhang, P., Li, Q., 2018. Design and heat transfer analysis of a compound multi-layer insulations for use in high temperature cylinder thermal protection systems. Sci. China Technol. Sci. 61, 994–1002. https://doi.org/10.1007/s11431-017-9250-x</w:t>
      </w:r>
    </w:p>
    <w:p w14:paraId="163E8444"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Choudhary, M.K., Eastes, W., 2023. Effective thermal conductivity of fiberglass insulation. Int. J. Appl. Glass Sci. ijag.16652. https://doi.org/10.1111/ijag.16652</w:t>
      </w:r>
    </w:p>
    <w:p w14:paraId="7764D361"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Damour, J.., Johannson, D.., 2016. What Vacuum Insulated Tubings Or Vacuum Insulated Casings Bring To Thermal Wells, in: Day 4 Thu, December 01, 2016. Presented at the SPE Thermal Well Integrity and Design Symposium, SPE, Banff, Alberta, Canada, p. D041S011R004. https://doi.org/10.2118/182515-MS</w:t>
      </w:r>
    </w:p>
    <w:p w14:paraId="720E36A8"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Daryabeigi, K., 2002. Thermal Analysis and Design Optimization of Multilayer Insulation for Reentry Aerodynamic Heating. J. Spacecr. Rockets 39, 509–514. https://doi.org/10.2514/2.3863</w:t>
      </w:r>
    </w:p>
    <w:p w14:paraId="2653C624"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Davis, J.R. (Ed.), 1999. Stainless steels, 3. print. ed, ASM specialty handbook. ASM International, Materials Park, OH.</w:t>
      </w:r>
    </w:p>
    <w:p w14:paraId="76E51756"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Ertürk, M., 2016. Optimum insulation thicknesses of pipes with respect to different insulation materials, fuels and climate zones in Turkey. Energy 113, 991–1003. https://doi.org/10.1016/j.energy.2016.07.115</w:t>
      </w:r>
    </w:p>
    <w:p w14:paraId="4DBD2A4A"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Fesmire, J.E., Dokos, A.G., 2014. Insulation Test Cryostat with Lift Mechanism.</w:t>
      </w:r>
    </w:p>
    <w:p w14:paraId="6D0C3006"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Fesmire, J.E., Johnson, W.L., 2018. Cylindrical cryogenic calorimeter testing of six types of multilayer insulation systems. Cryogenics 89, 58–75. https://doi.org/10.1016/j.cryogenics.2017.11.004</w:t>
      </w:r>
    </w:p>
    <w:p w14:paraId="079B398A"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Frolec, J., Králík, T., Musilová, V., Hanzelka, P., Srnka, A., Jelínek, J., 2019. A database of metallic materials emissivities and absorptivities for cryogenics. Cryogenics 97, 85–99. https://doi.org/10.1016/j.cryogenics.2018.12.003</w:t>
      </w:r>
    </w:p>
    <w:p w14:paraId="68FB1136"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Goodno, B.J., Gere, J.M., 2018. Mechanics of materials, Ninth edition. ed. Cengage Learning, Boston, MA.</w:t>
      </w:r>
    </w:p>
    <w:p w14:paraId="02D039A9"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Guillet-Lhermite, J., Robert, B., Bimperling, F., Nkoukou, C., Congo, P., Damour, J., Ollier, P., 2017. Vacuum Insulated Tubing Efficiency for Offshore Steam Injection: Case Study from Emeraude Field Congo.</w:t>
      </w:r>
    </w:p>
    <w:p w14:paraId="0940B13C"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Hayrullin, A., Haibullina, A., Sinyavin, A., 2022. Insulation thermal conductivity heating networks during transportation thermal energy under dry and moisturizing condition: a comparative study of the guarded hot plate and guarded hot pipe method. Transp. Res. Procedia 63, 1074–1080. https://doi.org/10.1016/j.trpro.2022.06.109</w:t>
      </w:r>
    </w:p>
    <w:p w14:paraId="11DBFE0E"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Jacob, S., Kasthurirengan, S., Karunanithi, R., 1992. Investigations into the thermal performance of multilayer insulation (300-77 K) Part 1: Calorimetric studies. Cryogenics 32, 1137–1146. https://doi.org/10.1016/0011-2275(92)90328-8</w:t>
      </w:r>
    </w:p>
    <w:p w14:paraId="3FAE0C7C"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Koebel, M., Rigacci, A., Achard, P., 2012. Aerogel-based thermal superinsulation: an overview. J. Sol-Gel Sci. Technol. 63, 315–339. https://doi.org/10.1007/s10971-012-2792-9</w:t>
      </w:r>
    </w:p>
    <w:p w14:paraId="1321BE7D"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Kubačka, J., Karayiannis, T.G., 2024. Performance of vacuum-insulated central pipes for deep borehole heat exchangers in geothermal systems. Int. J. Low-Carbon Technol. 19, 2068–2085. https://doi.org/10.1093/ijlct/ctae132</w:t>
      </w:r>
    </w:p>
    <w:p w14:paraId="10957D82"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Lund, R., Mohammadi, S., 2016. Choice of insulation standard for pipe networks in 4 th generation district heating systems. Appl. Therm. Eng. 98, 256–264. https://doi.org/10.1016/j.applthermaleng.2015.12.015</w:t>
      </w:r>
    </w:p>
    <w:p w14:paraId="51FC8B43"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McIntosh, G.E., 1994. Layer by Layer MLI Calculation Using a Separated Mode Equation, in: Kittel, P. (Ed.), Advances in Cryogenic Engineering. Springer US, Boston, MA, pp. 1683–1690. https://doi.org/10.1007/978-1-4615-2522-6_206</w:t>
      </w:r>
    </w:p>
    <w:p w14:paraId="60777B87"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Mohammed W. Muhieldeen, Lim Chong Lye, M.S.S. Kassim, Tey Wah Yen, K.H Teng, 2021. Effect of Rockwool Insulation on Room Temperature Distribution. J. Adv. Res. Exp. Fluid Mech. Heat Transf. 3, 9–15.</w:t>
      </w:r>
    </w:p>
    <w:p w14:paraId="62CAE35A"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Pastushkov, P.P., Gutnikov, S.I., Pavlenko, N.V., Zheldakov, D.Y., Stolyarov, M.D., 2020. Heat conductivity of aerogel-based rolled materials for high-thermal isolation for equipment and pipelines. IOP Conf. Ser. Mater. Sci. Eng. 896, 012103. https://doi.org/10.1088/1757-899X/896/1/012103</w:t>
      </w:r>
    </w:p>
    <w:p w14:paraId="1C80D076"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lastRenderedPageBreak/>
        <w:t>Ramanathan, K.G., Yen, S.H., 1977. High-temperature emissivities of copper, aluminum, and silver. J. Opt. Soc. Am. 67, 32. https://doi.org/10.1364/JOSA.67.000032</w:t>
      </w:r>
    </w:p>
    <w:p w14:paraId="14C9ED67"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Rohsenow, W.M. (Ed.), 1998. Handbook of heat transfer, 3. ed. ed, McGraw-Hill handbooks. McGraw-Hill, New York, NY.</w:t>
      </w:r>
    </w:p>
    <w:p w14:paraId="21A5342E"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Salahshour, S., Fallah, F., 2018. Elastic collapse of thin long cylindrical shells under external pressure. Thin-Walled Struct. 124, 81–87. https://doi.org/10.1016/j.tws.2017.11.058</w:t>
      </w:r>
    </w:p>
    <w:p w14:paraId="59CF7F2F"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Sapinska-Sliwa, A., Sliwa, T., Twardowski, K., Szymski, K., Gonet, A., Zuk, P., 2020. Method of averaging the effective thermal conductivity based on thermal response tests of borehole heat exchangers. Energies 13. https://doi.org/10.3390/en13143737</w:t>
      </w:r>
    </w:p>
    <w:p w14:paraId="084F09F1"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Scoarnec, V., Hameury, J., Hay, B., 2015. A New Guarded Hot Plate Designed for Thermal-Conductivity Measurements at High Temperature. Int. J. Thermophys. 36, 540–556. https://doi.org/10.1007/s10765-014-1794-y</w:t>
      </w:r>
    </w:p>
    <w:p w14:paraId="5B3D0A30"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Selzer, M., Keller, K., Reimer, T., Ritter, H., 2009. HIGH TEMPERATURE THERMAL CONDUCTIVITY MEASUREMENT APPARATUS.</w:t>
      </w:r>
    </w:p>
    <w:p w14:paraId="4FBCB0A6"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Sen, S., Singh, A., Bera, C., Roy, S., Kailasam, K., 2022. Recent developments in biomass derived cellulose aerogel materials for thermal insulation application: a review. Cellulose 29, 4805–4833. https://doi.org/10.1007/s10570-022-04586-7</w:t>
      </w:r>
    </w:p>
    <w:p w14:paraId="14D1A8A6"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Ucar, A., Balo, F., 2009. Effect of fuel type on the optimum thickness of selected insulation materials for the four different climatic regions of Turkey. Appl. Energy 86, 730–736. https://doi.org/10.1016/j.apenergy.2008.09.015</w:t>
      </w:r>
    </w:p>
    <w:p w14:paraId="4A3FA1B3"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Woods, S.I., Jung, T.M., Sears, D.R., Yu, J., 2014. Emissivity of silver and stainless steel from 80K to 300K: Application to ITER thermal shields. Cryogenics 60, 44–48. https://doi.org/10.1016/j.cryogenics.2014.01.002</w:t>
      </w:r>
    </w:p>
    <w:p w14:paraId="062B2F1D" w14:textId="77777777" w:rsidR="00760DB4" w:rsidRPr="00BE2E4C" w:rsidRDefault="00760DB4" w:rsidP="00760DB4">
      <w:pPr>
        <w:pStyle w:val="Bibliography"/>
        <w:rPr>
          <w:rFonts w:ascii="Times New Roman" w:hAnsi="Times New Roman" w:cs="Times New Roman"/>
          <w:sz w:val="20"/>
          <w:szCs w:val="20"/>
        </w:rPr>
      </w:pPr>
      <w:r w:rsidRPr="00BE2E4C">
        <w:rPr>
          <w:rFonts w:ascii="Times New Roman" w:hAnsi="Times New Roman" w:cs="Times New Roman"/>
          <w:sz w:val="20"/>
          <w:szCs w:val="20"/>
        </w:rPr>
        <w:t>Wu, J.-W., Sung, W.-F., Chu, H.-S., 1999. Thermal conductivity of polyurethane foams. Int. J. Heat Mass Transf. 42, 2211–2217. https://doi.org/10.1016/S0017-9310(98)00315-9</w:t>
      </w:r>
    </w:p>
    <w:p w14:paraId="41BB3245" w14:textId="77777777" w:rsidR="00760DB4" w:rsidRPr="00760DB4" w:rsidRDefault="00760DB4" w:rsidP="00760DB4">
      <w:pPr>
        <w:pStyle w:val="Bibliography"/>
        <w:rPr>
          <w:rFonts w:ascii="Times New Roman" w:hAnsi="Times New Roman" w:cs="Times New Roman"/>
        </w:rPr>
      </w:pPr>
      <w:r w:rsidRPr="00BE2E4C">
        <w:rPr>
          <w:rFonts w:ascii="Times New Roman" w:hAnsi="Times New Roman" w:cs="Times New Roman"/>
          <w:sz w:val="20"/>
          <w:szCs w:val="20"/>
        </w:rPr>
        <w:t>Zhang, H., Fang, W.-Z., Li, Y.-M., Tao, W.-Q., 2017. Experimental study of the thermal conductivity of polyurethane foams. Appl. Therm. Eng. 115, 528–538. https://doi.org/10.1016/j.applthermaleng.2016.12.057</w:t>
      </w:r>
    </w:p>
    <w:p w14:paraId="0775A7FE" w14:textId="5224B2C5" w:rsidR="004D7E97" w:rsidRDefault="00324EC4">
      <w:pPr>
        <w:jc w:val="both"/>
      </w:pPr>
      <w:r w:rsidRPr="00760DB4">
        <w:rPr>
          <w:rFonts w:ascii="Times New Roman" w:hAnsi="Times New Roman" w:cs="Times New Roman"/>
        </w:rPr>
        <w:fldChar w:fldCharType="end"/>
      </w:r>
    </w:p>
    <w:sectPr w:rsidR="004D7E97">
      <w:pgSz w:w="11906" w:h="16838"/>
      <w:pgMar w:top="1701" w:right="1440" w:bottom="1440"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3756B35-1F7E-433E-A7B1-8B763C09195E}"/>
    <w:embedBold r:id="rId2" w:fontKey="{CC162AEA-A67A-477A-97DF-41E7D2997B17}"/>
    <w:embedItalic r:id="rId3" w:fontKey="{4AED349D-D02A-45C7-843D-C13F39A44525}"/>
    <w:embedBoldItalic r:id="rId4" w:fontKey="{0518E52B-6A92-4CC8-97EC-E58D71A700F6}"/>
  </w:font>
  <w:font w:name="Play">
    <w:charset w:val="00"/>
    <w:family w:val="auto"/>
    <w:pitch w:val="default"/>
    <w:embedRegular r:id="rId5" w:fontKey="{1C2F7971-AF64-4C64-AAB6-DA72759C8E3B}"/>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56B554AE-3E12-41DC-98EC-7DA6717E63C7}"/>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7" w:fontKey="{31E8B18D-51D6-4EE5-9C26-1CF034E9322F}"/>
    <w:embedItalic r:id="rId8" w:fontKey="{403CE0CA-C4B2-4252-BE4F-D03B1112F6F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8E2FC2"/>
    <w:multiLevelType w:val="multilevel"/>
    <w:tmpl w:val="B8D66F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03700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E97"/>
    <w:rsid w:val="00041F93"/>
    <w:rsid w:val="000662BD"/>
    <w:rsid w:val="000D616A"/>
    <w:rsid w:val="000E0527"/>
    <w:rsid w:val="001A15BE"/>
    <w:rsid w:val="001E7B13"/>
    <w:rsid w:val="003006ED"/>
    <w:rsid w:val="00324EC4"/>
    <w:rsid w:val="003F54AB"/>
    <w:rsid w:val="004D7DEF"/>
    <w:rsid w:val="004D7E97"/>
    <w:rsid w:val="00510FF4"/>
    <w:rsid w:val="00677C91"/>
    <w:rsid w:val="00760DB4"/>
    <w:rsid w:val="007C6F7C"/>
    <w:rsid w:val="007E6F1A"/>
    <w:rsid w:val="008344B8"/>
    <w:rsid w:val="00962A45"/>
    <w:rsid w:val="009E4977"/>
    <w:rsid w:val="00A5406D"/>
    <w:rsid w:val="00BB08A8"/>
    <w:rsid w:val="00BB77EE"/>
    <w:rsid w:val="00BE2E4C"/>
    <w:rsid w:val="00C071F8"/>
    <w:rsid w:val="00C653EF"/>
    <w:rsid w:val="00C92919"/>
    <w:rsid w:val="00D14669"/>
    <w:rsid w:val="00DA1595"/>
    <w:rsid w:val="00DA5EF6"/>
    <w:rsid w:val="00DC0B93"/>
    <w:rsid w:val="00EF4BEB"/>
    <w:rsid w:val="00F03929"/>
    <w:rsid w:val="00F37C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5320D"/>
  <w15:docId w15:val="{C2234163-BAE7-40C8-901A-3CF97FEB8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561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1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1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A561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1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1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1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1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1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1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1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1C9"/>
    <w:rPr>
      <w:rFonts w:eastAsiaTheme="majorEastAsia" w:cstheme="majorBidi"/>
      <w:color w:val="272727" w:themeColor="text1" w:themeTint="D8"/>
    </w:rPr>
  </w:style>
  <w:style w:type="character" w:customStyle="1" w:styleId="TitleChar">
    <w:name w:val="Title Char"/>
    <w:basedOn w:val="DefaultParagraphFont"/>
    <w:link w:val="Title"/>
    <w:uiPriority w:val="10"/>
    <w:rsid w:val="00A561C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561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1C9"/>
    <w:pPr>
      <w:spacing w:before="160"/>
      <w:jc w:val="center"/>
    </w:pPr>
    <w:rPr>
      <w:i/>
      <w:iCs/>
      <w:color w:val="404040" w:themeColor="text1" w:themeTint="BF"/>
    </w:rPr>
  </w:style>
  <w:style w:type="character" w:customStyle="1" w:styleId="QuoteChar">
    <w:name w:val="Quote Char"/>
    <w:basedOn w:val="DefaultParagraphFont"/>
    <w:link w:val="Quote"/>
    <w:uiPriority w:val="29"/>
    <w:rsid w:val="00A561C9"/>
    <w:rPr>
      <w:i/>
      <w:iCs/>
      <w:color w:val="404040" w:themeColor="text1" w:themeTint="BF"/>
    </w:rPr>
  </w:style>
  <w:style w:type="paragraph" w:styleId="ListParagraph">
    <w:name w:val="List Paragraph"/>
    <w:basedOn w:val="Normal"/>
    <w:uiPriority w:val="34"/>
    <w:qFormat/>
    <w:rsid w:val="00A561C9"/>
    <w:pPr>
      <w:ind w:left="720"/>
      <w:contextualSpacing/>
    </w:pPr>
  </w:style>
  <w:style w:type="character" w:styleId="IntenseEmphasis">
    <w:name w:val="Intense Emphasis"/>
    <w:basedOn w:val="DefaultParagraphFont"/>
    <w:uiPriority w:val="21"/>
    <w:qFormat/>
    <w:rsid w:val="00A561C9"/>
    <w:rPr>
      <w:i/>
      <w:iCs/>
      <w:color w:val="0F4761" w:themeColor="accent1" w:themeShade="BF"/>
    </w:rPr>
  </w:style>
  <w:style w:type="paragraph" w:styleId="IntenseQuote">
    <w:name w:val="Intense Quote"/>
    <w:basedOn w:val="Normal"/>
    <w:next w:val="Normal"/>
    <w:link w:val="IntenseQuoteChar"/>
    <w:uiPriority w:val="30"/>
    <w:qFormat/>
    <w:rsid w:val="00A56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1C9"/>
    <w:rPr>
      <w:i/>
      <w:iCs/>
      <w:color w:val="0F4761" w:themeColor="accent1" w:themeShade="BF"/>
    </w:rPr>
  </w:style>
  <w:style w:type="character" w:styleId="IntenseReference">
    <w:name w:val="Intense Reference"/>
    <w:basedOn w:val="DefaultParagraphFont"/>
    <w:uiPriority w:val="32"/>
    <w:qFormat/>
    <w:rsid w:val="00A561C9"/>
    <w:rPr>
      <w:b/>
      <w:bCs/>
      <w:smallCaps/>
      <w:color w:val="0F4761" w:themeColor="accent1" w:themeShade="BF"/>
      <w:spacing w:val="5"/>
    </w:rPr>
  </w:style>
  <w:style w:type="paragraph" w:customStyle="1" w:styleId="SWCTitle">
    <w:name w:val="SWC_Title"/>
    <w:basedOn w:val="Normal"/>
    <w:qFormat/>
    <w:rsid w:val="00A561C9"/>
    <w:pPr>
      <w:spacing w:before="360" w:after="120" w:line="280" w:lineRule="exact"/>
      <w:jc w:val="center"/>
    </w:pPr>
    <w:rPr>
      <w:rFonts w:ascii="Arial" w:eastAsia="Times New Roman" w:hAnsi="Arial" w:cs="Times New Roman"/>
      <w:b/>
      <w:color w:val="000000"/>
      <w:sz w:val="24"/>
      <w:szCs w:val="24"/>
      <w:lang w:val="en-US" w:eastAsia="de-DE"/>
    </w:rPr>
  </w:style>
  <w:style w:type="character" w:styleId="Hyperlink">
    <w:name w:val="Hyperlink"/>
    <w:basedOn w:val="DefaultParagraphFont"/>
    <w:uiPriority w:val="99"/>
    <w:unhideWhenUsed/>
    <w:rsid w:val="00A561C9"/>
    <w:rPr>
      <w:color w:val="467886" w:themeColor="hyperlink"/>
      <w:u w:val="single"/>
    </w:rPr>
  </w:style>
  <w:style w:type="character" w:styleId="UnresolvedMention">
    <w:name w:val="Unresolved Mention"/>
    <w:basedOn w:val="DefaultParagraphFont"/>
    <w:uiPriority w:val="99"/>
    <w:semiHidden/>
    <w:unhideWhenUsed/>
    <w:rsid w:val="00A561C9"/>
    <w:rPr>
      <w:color w:val="605E5C"/>
      <w:shd w:val="clear" w:color="auto" w:fill="E1DFDD"/>
    </w:rPr>
  </w:style>
  <w:style w:type="paragraph" w:customStyle="1" w:styleId="SWCSummary">
    <w:name w:val="SWC_Summary"/>
    <w:basedOn w:val="Normal"/>
    <w:link w:val="SWCSummaryCar"/>
    <w:qFormat/>
    <w:rsid w:val="00A561C9"/>
    <w:pPr>
      <w:spacing w:before="360" w:after="120" w:line="280" w:lineRule="exact"/>
      <w:jc w:val="center"/>
    </w:pPr>
    <w:rPr>
      <w:rFonts w:ascii="Arial" w:eastAsia="Times New Roman" w:hAnsi="Arial" w:cs="Times New Roman"/>
      <w:b/>
      <w:color w:val="000000"/>
      <w:sz w:val="20"/>
      <w:szCs w:val="24"/>
      <w:lang w:val="en-US" w:eastAsia="de-DE"/>
    </w:rPr>
  </w:style>
  <w:style w:type="character" w:customStyle="1" w:styleId="SWCSummaryCar">
    <w:name w:val="SWC_Summary Car"/>
    <w:basedOn w:val="DefaultParagraphFont"/>
    <w:link w:val="SWCSummary"/>
    <w:rsid w:val="00A561C9"/>
    <w:rPr>
      <w:rFonts w:ascii="Arial" w:eastAsia="Times New Roman" w:hAnsi="Arial" w:cs="Times New Roman"/>
      <w:b/>
      <w:color w:val="000000"/>
      <w:kern w:val="0"/>
      <w:sz w:val="20"/>
      <w:szCs w:val="24"/>
      <w:lang w:val="en-US" w:eastAsia="de-DE"/>
    </w:rPr>
  </w:style>
  <w:style w:type="paragraph" w:customStyle="1" w:styleId="pdq2pgselectionanchorcontainer">
    <w:name w:val="pdq2pg_selectionanchorcontainer"/>
    <w:basedOn w:val="Normal"/>
    <w:rsid w:val="0001579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157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5792"/>
    <w:rPr>
      <w:i/>
      <w:iCs/>
    </w:rPr>
  </w:style>
  <w:style w:type="paragraph" w:styleId="Caption">
    <w:name w:val="caption"/>
    <w:basedOn w:val="Normal"/>
    <w:next w:val="Normal"/>
    <w:uiPriority w:val="35"/>
    <w:unhideWhenUsed/>
    <w:qFormat/>
    <w:rsid w:val="00725F36"/>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A54A09"/>
    <w:rPr>
      <w:color w:val="666666"/>
    </w:rPr>
  </w:style>
  <w:style w:type="paragraph" w:styleId="Bibliography">
    <w:name w:val="Bibliography"/>
    <w:basedOn w:val="Normal"/>
    <w:next w:val="Normal"/>
    <w:uiPriority w:val="37"/>
    <w:unhideWhenUsed/>
    <w:rsid w:val="006D5195"/>
    <w:pPr>
      <w:spacing w:after="0" w:line="240" w:lineRule="auto"/>
      <w:ind w:left="720" w:hanging="72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010E6"/>
    <w:pPr>
      <w:spacing w:after="0" w:line="240" w:lineRule="auto"/>
    </w:pPr>
  </w:style>
  <w:style w:type="paragraph" w:styleId="CommentSubject">
    <w:name w:val="annotation subject"/>
    <w:basedOn w:val="CommentText"/>
    <w:next w:val="CommentText"/>
    <w:link w:val="CommentSubjectChar"/>
    <w:uiPriority w:val="99"/>
    <w:semiHidden/>
    <w:unhideWhenUsed/>
    <w:rsid w:val="007102E7"/>
    <w:rPr>
      <w:b/>
      <w:bCs/>
    </w:rPr>
  </w:style>
  <w:style w:type="character" w:customStyle="1" w:styleId="CommentSubjectChar">
    <w:name w:val="Comment Subject Char"/>
    <w:basedOn w:val="CommentTextChar"/>
    <w:link w:val="CommentSubject"/>
    <w:uiPriority w:val="99"/>
    <w:semiHidden/>
    <w:rsid w:val="007102E7"/>
    <w:rPr>
      <w:b/>
      <w:bCs/>
      <w:sz w:val="20"/>
      <w:szCs w:val="20"/>
    </w:rPr>
  </w:style>
  <w:style w:type="paragraph" w:styleId="Subtitle">
    <w:name w:val="Subtitle"/>
    <w:basedOn w:val="Normal"/>
    <w:next w:val="Normal"/>
    <w:link w:val="SubtitleChar"/>
    <w:uiPriority w:val="11"/>
    <w:qFormat/>
    <w:rPr>
      <w:color w:val="595959"/>
      <w:sz w:val="28"/>
      <w:szCs w:val="28"/>
    </w:rPr>
  </w:style>
  <w:style w:type="paragraph" w:customStyle="1" w:styleId="SWCText">
    <w:name w:val="SWC_Text"/>
    <w:qFormat/>
    <w:rsid w:val="00DA5EF6"/>
    <w:pPr>
      <w:widowControl w:val="0"/>
      <w:spacing w:after="120" w:line="276" w:lineRule="auto"/>
      <w:jc w:val="both"/>
    </w:pPr>
    <w:rPr>
      <w:rFonts w:ascii="Times New Roman" w:eastAsia="Times New Roman" w:hAnsi="Times New Roman" w:cs="Times New Roman"/>
      <w:color w:val="000000"/>
      <w:sz w:val="20"/>
      <w:lang w:val="en-US" w:eastAsia="de-DE"/>
    </w:rPr>
  </w:style>
  <w:style w:type="table" w:styleId="TableGrid">
    <w:name w:val="Table Grid"/>
    <w:basedOn w:val="TableNormal"/>
    <w:rsid w:val="00DA5EF6"/>
    <w:pPr>
      <w:spacing w:after="0" w:line="240" w:lineRule="auto"/>
    </w:pPr>
    <w:rPr>
      <w:rFonts w:ascii="Times New Roman" w:eastAsia="Times New Roman" w:hAnsi="Times New Roman"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GwUyIAKNMiCwsVhWT7OGTe7IGw==">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Pages>
  <Words>12560</Words>
  <Characters>71593</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 CAPOLUPO</dc:creator>
  <cp:lastModifiedBy>FABIO CAPOLUPO</cp:lastModifiedBy>
  <cp:revision>30</cp:revision>
  <dcterms:created xsi:type="dcterms:W3CDTF">2026-09-10T12:12:00Z</dcterms:created>
  <dcterms:modified xsi:type="dcterms:W3CDTF">2026-09-10T13:24:00Z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2026-08-19T09:36:56Z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2f5df065-4f67-4aa8-9a6c-3dfdf1775cd8</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y fmtid="{D5CDD505-2E9C-101B-9397-08002B2CF9AE}" pid="10" name="ZOTERO_PREF_1">
    <vt:lpwstr>&lt;data data-version="3" zotero-version="9.0.6"&gt;&lt;session id="A5gdGylz"/&gt;&lt;style id="http://www.zotero.org/styles/solar-energy" hasBibliography="1" bibliographyStyleHasBeenSet="1"/&gt;&lt;prefs&gt;&lt;pref name="fieldType" value="Field"/&gt;&lt;pref name="automaticJournalAbbre</vt:lpwstr>
  </property>
  <property fmtid="{D5CDD505-2E9C-101B-9397-08002B2CF9AE}" pid="11" name="ZOTERO_PREF_2">
    <vt:lpwstr>viations" value="true"/&gt;&lt;/prefs&gt;&lt;/data&gt;</vt:lpwstr>
  </property>
</Properties>
</file>