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05F2C" w14:textId="77777777"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A3FE250" w14:textId="77777777" w:rsidR="0035638A" w:rsidRDefault="00B32703" w:rsidP="00B32703">
      <w:pPr>
        <w:pStyle w:val="SWCTitle"/>
        <w:rPr>
          <w:sz w:val="28"/>
          <w:szCs w:val="28"/>
        </w:rPr>
      </w:pPr>
      <w:r w:rsidRPr="0035638A">
        <w:rPr>
          <w:sz w:val="28"/>
          <w:szCs w:val="28"/>
        </w:rPr>
        <w:br/>
      </w:r>
      <w:r w:rsidR="00CC1CD0">
        <w:rPr>
          <w:sz w:val="28"/>
          <w:szCs w:val="28"/>
        </w:rPr>
        <w:t>Techno-economic analysis of a low-cost polymeric heat absorber for PV/Thermal and ground source heat pump applic</w:t>
      </w:r>
      <w:r w:rsidR="00961F52">
        <w:rPr>
          <w:sz w:val="28"/>
          <w:szCs w:val="28"/>
        </w:rPr>
        <w:t>a</w:t>
      </w:r>
      <w:r w:rsidR="00CC1CD0">
        <w:rPr>
          <w:sz w:val="28"/>
          <w:szCs w:val="28"/>
        </w:rPr>
        <w:t>tions</w:t>
      </w:r>
      <w:r w:rsidR="00212628" w:rsidRPr="0035638A">
        <w:rPr>
          <w:sz w:val="28"/>
          <w:szCs w:val="28"/>
        </w:rPr>
        <w:t xml:space="preserve"> </w:t>
      </w:r>
    </w:p>
    <w:p w14:paraId="25507523" w14:textId="77777777" w:rsidR="0094267A" w:rsidRDefault="0094267A" w:rsidP="0094267A">
      <w:pPr>
        <w:pStyle w:val="SWCTitle"/>
        <w:spacing w:before="0" w:after="0"/>
        <w:jc w:val="left"/>
        <w:rPr>
          <w:rFonts w:ascii="Times New Roman" w:hAnsi="Times New Roman"/>
          <w:b w:val="0"/>
          <w:sz w:val="20"/>
          <w:szCs w:val="20"/>
        </w:rPr>
      </w:pPr>
    </w:p>
    <w:p w14:paraId="39A28DF4" w14:textId="4064DF40" w:rsidR="007504D2" w:rsidRDefault="0013717C" w:rsidP="004E238D">
      <w:pPr>
        <w:pStyle w:val="SWCTitle"/>
        <w:spacing w:before="0" w:after="0"/>
        <w:rPr>
          <w:rFonts w:ascii="Times New Roman" w:hAnsi="Times New Roman"/>
          <w:b w:val="0"/>
          <w:sz w:val="20"/>
          <w:szCs w:val="20"/>
          <w:vertAlign w:val="superscript"/>
          <w:lang w:val="es-UY"/>
        </w:rPr>
      </w:pPr>
      <w:r w:rsidRPr="00BB304C">
        <w:rPr>
          <w:rFonts w:ascii="Times New Roman" w:hAnsi="Times New Roman"/>
          <w:b w:val="0"/>
          <w:sz w:val="20"/>
          <w:szCs w:val="20"/>
          <w:lang w:val="es-UY"/>
        </w:rPr>
        <w:t>Axel Lund</w:t>
      </w:r>
      <w:r w:rsidR="00BB304C" w:rsidRPr="00BB304C">
        <w:rPr>
          <w:rFonts w:ascii="Times New Roman" w:hAnsi="Times New Roman"/>
          <w:b w:val="0"/>
          <w:sz w:val="20"/>
          <w:szCs w:val="20"/>
          <w:vertAlign w:val="superscript"/>
          <w:lang w:val="es-UY"/>
        </w:rPr>
        <w:t>1</w:t>
      </w:r>
      <w:r w:rsidR="00BB304C" w:rsidRPr="00BB304C">
        <w:rPr>
          <w:rFonts w:ascii="Times New Roman" w:hAnsi="Times New Roman"/>
          <w:b w:val="0"/>
          <w:sz w:val="20"/>
          <w:szCs w:val="20"/>
          <w:lang w:val="es-UY"/>
        </w:rPr>
        <w:t>, Francisco Beltrán</w:t>
      </w:r>
      <w:r w:rsidR="00BB304C" w:rsidRPr="00BB304C">
        <w:rPr>
          <w:rFonts w:ascii="Times New Roman" w:hAnsi="Times New Roman"/>
          <w:b w:val="0"/>
          <w:sz w:val="20"/>
          <w:szCs w:val="20"/>
          <w:vertAlign w:val="superscript"/>
          <w:lang w:val="es-UY"/>
        </w:rPr>
        <w:t>1</w:t>
      </w:r>
      <w:r w:rsidR="00CF0ED4" w:rsidRPr="00CF0ED4">
        <w:rPr>
          <w:rFonts w:ascii="Times New Roman" w:hAnsi="Times New Roman"/>
          <w:b w:val="0"/>
          <w:sz w:val="20"/>
          <w:szCs w:val="20"/>
          <w:lang w:val="es-UY"/>
        </w:rPr>
        <w:t>*</w:t>
      </w:r>
      <w:r w:rsidR="00BB304C" w:rsidRPr="00BB304C">
        <w:rPr>
          <w:rFonts w:ascii="Times New Roman" w:hAnsi="Times New Roman"/>
          <w:b w:val="0"/>
          <w:sz w:val="20"/>
          <w:szCs w:val="20"/>
          <w:lang w:val="es-UY"/>
        </w:rPr>
        <w:t>, Iván Acosta-Pazmiño</w:t>
      </w:r>
      <w:r w:rsidR="00BB304C" w:rsidRPr="00BB304C">
        <w:rPr>
          <w:rFonts w:ascii="Times New Roman" w:hAnsi="Times New Roman"/>
          <w:b w:val="0"/>
          <w:sz w:val="20"/>
          <w:szCs w:val="20"/>
          <w:vertAlign w:val="superscript"/>
          <w:lang w:val="es-UY"/>
        </w:rPr>
        <w:t>2</w:t>
      </w:r>
      <w:r w:rsidR="00463CC1">
        <w:rPr>
          <w:rFonts w:ascii="Times New Roman" w:hAnsi="Times New Roman"/>
          <w:b w:val="0"/>
          <w:sz w:val="20"/>
          <w:szCs w:val="20"/>
          <w:vertAlign w:val="superscript"/>
          <w:lang w:val="es-UY"/>
        </w:rPr>
        <w:t>,3</w:t>
      </w:r>
      <w:r w:rsidR="00BB304C" w:rsidRPr="00BB304C">
        <w:rPr>
          <w:rFonts w:ascii="Times New Roman" w:hAnsi="Times New Roman"/>
          <w:b w:val="0"/>
          <w:sz w:val="20"/>
          <w:szCs w:val="20"/>
          <w:lang w:val="es-UY"/>
        </w:rPr>
        <w:t>, Damu Murali</w:t>
      </w:r>
      <w:r w:rsidR="00C54616">
        <w:rPr>
          <w:rFonts w:ascii="Times New Roman" w:hAnsi="Times New Roman"/>
          <w:b w:val="0"/>
          <w:sz w:val="20"/>
          <w:szCs w:val="20"/>
          <w:vertAlign w:val="superscript"/>
          <w:lang w:val="es-UY"/>
        </w:rPr>
        <w:t>3</w:t>
      </w:r>
      <w:r w:rsidR="00BB304C" w:rsidRPr="00BB304C">
        <w:rPr>
          <w:rFonts w:ascii="Times New Roman" w:hAnsi="Times New Roman"/>
          <w:b w:val="0"/>
          <w:sz w:val="20"/>
          <w:szCs w:val="20"/>
          <w:lang w:val="es-UY"/>
        </w:rPr>
        <w:t>, Nelson Sommerfeldt</w:t>
      </w:r>
      <w:r w:rsidR="00BB304C" w:rsidRPr="00BB304C">
        <w:rPr>
          <w:rFonts w:ascii="Times New Roman" w:hAnsi="Times New Roman"/>
          <w:b w:val="0"/>
          <w:sz w:val="20"/>
          <w:szCs w:val="20"/>
          <w:vertAlign w:val="superscript"/>
          <w:lang w:val="es-UY"/>
        </w:rPr>
        <w:t>1</w:t>
      </w:r>
    </w:p>
    <w:p w14:paraId="0E4C17C0" w14:textId="40B97F47" w:rsidR="00804B3C" w:rsidRDefault="00804B3C" w:rsidP="00EA46EC">
      <w:pPr>
        <w:pStyle w:val="SWCTitle"/>
        <w:numPr>
          <w:ilvl w:val="0"/>
          <w:numId w:val="27"/>
        </w:numPr>
        <w:spacing w:before="0" w:after="0"/>
        <w:ind w:left="584" w:hanging="227"/>
        <w:rPr>
          <w:rFonts w:ascii="Times New Roman" w:hAnsi="Times New Roman"/>
          <w:b w:val="0"/>
          <w:sz w:val="20"/>
          <w:szCs w:val="20"/>
        </w:rPr>
      </w:pPr>
      <w:r w:rsidRPr="00804B3C">
        <w:rPr>
          <w:rFonts w:ascii="Times New Roman" w:hAnsi="Times New Roman"/>
          <w:b w:val="0"/>
          <w:sz w:val="20"/>
          <w:szCs w:val="20"/>
        </w:rPr>
        <w:t>KTH Royal Institute of T</w:t>
      </w:r>
      <w:r>
        <w:rPr>
          <w:rFonts w:ascii="Times New Roman" w:hAnsi="Times New Roman"/>
          <w:b w:val="0"/>
          <w:sz w:val="20"/>
          <w:szCs w:val="20"/>
        </w:rPr>
        <w:t xml:space="preserve">echnology, </w:t>
      </w:r>
      <w:proofErr w:type="spellStart"/>
      <w:r>
        <w:rPr>
          <w:rFonts w:ascii="Times New Roman" w:hAnsi="Times New Roman"/>
          <w:b w:val="0"/>
          <w:sz w:val="20"/>
          <w:szCs w:val="20"/>
        </w:rPr>
        <w:t>Brinellvägen</w:t>
      </w:r>
      <w:proofErr w:type="spellEnd"/>
      <w:r>
        <w:rPr>
          <w:rFonts w:ascii="Times New Roman" w:hAnsi="Times New Roman"/>
          <w:b w:val="0"/>
          <w:sz w:val="20"/>
          <w:szCs w:val="20"/>
        </w:rPr>
        <w:t xml:space="preserve"> 68, 100 44 Stockholm, Sweden</w:t>
      </w:r>
    </w:p>
    <w:p w14:paraId="733EC88F" w14:textId="79A09E0C" w:rsidR="00804B3C" w:rsidRDefault="00804B3C" w:rsidP="00EA46EC">
      <w:pPr>
        <w:pStyle w:val="SWCTitle"/>
        <w:numPr>
          <w:ilvl w:val="0"/>
          <w:numId w:val="27"/>
        </w:numPr>
        <w:spacing w:before="0" w:after="0"/>
        <w:ind w:left="584" w:hanging="227"/>
        <w:rPr>
          <w:rFonts w:ascii="Times New Roman" w:hAnsi="Times New Roman"/>
          <w:b w:val="0"/>
          <w:sz w:val="20"/>
          <w:szCs w:val="20"/>
        </w:rPr>
      </w:pPr>
      <w:r>
        <w:rPr>
          <w:rFonts w:ascii="Times New Roman" w:hAnsi="Times New Roman"/>
          <w:b w:val="0"/>
          <w:sz w:val="20"/>
          <w:szCs w:val="20"/>
        </w:rPr>
        <w:t xml:space="preserve">MG Sustainable Engineering AB, S:t </w:t>
      </w:r>
      <w:proofErr w:type="spellStart"/>
      <w:r>
        <w:rPr>
          <w:rFonts w:ascii="Times New Roman" w:hAnsi="Times New Roman"/>
          <w:b w:val="0"/>
          <w:sz w:val="20"/>
          <w:szCs w:val="20"/>
        </w:rPr>
        <w:t>Olofsgatan</w:t>
      </w:r>
      <w:proofErr w:type="spellEnd"/>
      <w:r>
        <w:rPr>
          <w:rFonts w:ascii="Times New Roman" w:hAnsi="Times New Roman"/>
          <w:b w:val="0"/>
          <w:sz w:val="20"/>
          <w:szCs w:val="20"/>
        </w:rPr>
        <w:t xml:space="preserve"> 9B, </w:t>
      </w:r>
      <w:r w:rsidR="00054E26">
        <w:rPr>
          <w:rFonts w:ascii="Times New Roman" w:hAnsi="Times New Roman"/>
          <w:b w:val="0"/>
          <w:sz w:val="20"/>
          <w:szCs w:val="20"/>
        </w:rPr>
        <w:t>753 21 Uppsala, Sweden</w:t>
      </w:r>
    </w:p>
    <w:p w14:paraId="161CA09E" w14:textId="3F5B3EDE" w:rsidR="00054E26" w:rsidRPr="00804B3C" w:rsidRDefault="00577E09" w:rsidP="00EA46EC">
      <w:pPr>
        <w:pStyle w:val="SWCTitle"/>
        <w:numPr>
          <w:ilvl w:val="0"/>
          <w:numId w:val="27"/>
        </w:numPr>
        <w:spacing w:before="0" w:after="0"/>
        <w:ind w:left="584" w:hanging="227"/>
        <w:rPr>
          <w:rFonts w:ascii="Times New Roman" w:hAnsi="Times New Roman"/>
          <w:b w:val="0"/>
          <w:sz w:val="20"/>
          <w:szCs w:val="20"/>
        </w:rPr>
      </w:pPr>
      <w:r w:rsidRPr="00577E09">
        <w:rPr>
          <w:rFonts w:ascii="Times New Roman" w:hAnsi="Times New Roman"/>
          <w:b w:val="0"/>
          <w:bCs/>
          <w:sz w:val="20"/>
          <w:szCs w:val="20"/>
          <w:lang w:val="de-DE"/>
        </w:rPr>
        <w:t xml:space="preserve">University of </w:t>
      </w:r>
      <w:proofErr w:type="spellStart"/>
      <w:r w:rsidRPr="00577E09">
        <w:rPr>
          <w:rFonts w:ascii="Times New Roman" w:hAnsi="Times New Roman"/>
          <w:b w:val="0"/>
          <w:bCs/>
          <w:sz w:val="20"/>
          <w:szCs w:val="20"/>
          <w:lang w:val="de-DE"/>
        </w:rPr>
        <w:t>Gävle</w:t>
      </w:r>
      <w:proofErr w:type="spellEnd"/>
      <w:r w:rsidRPr="00577E09">
        <w:rPr>
          <w:rFonts w:ascii="Times New Roman" w:hAnsi="Times New Roman"/>
          <w:b w:val="0"/>
          <w:bCs/>
          <w:sz w:val="20"/>
          <w:szCs w:val="20"/>
          <w:lang w:val="de-DE"/>
        </w:rPr>
        <w:t>, 801</w:t>
      </w:r>
      <w:r>
        <w:rPr>
          <w:rFonts w:ascii="Times New Roman" w:hAnsi="Times New Roman"/>
          <w:b w:val="0"/>
          <w:bCs/>
          <w:sz w:val="20"/>
          <w:szCs w:val="20"/>
          <w:lang w:val="de-DE"/>
        </w:rPr>
        <w:t xml:space="preserve"> </w:t>
      </w:r>
      <w:r w:rsidRPr="00577E09">
        <w:rPr>
          <w:rFonts w:ascii="Times New Roman" w:hAnsi="Times New Roman"/>
          <w:b w:val="0"/>
          <w:bCs/>
          <w:sz w:val="20"/>
          <w:szCs w:val="20"/>
          <w:lang w:val="de-DE"/>
        </w:rPr>
        <w:t xml:space="preserve">76 </w:t>
      </w:r>
      <w:proofErr w:type="spellStart"/>
      <w:r w:rsidRPr="00577E09">
        <w:rPr>
          <w:rFonts w:ascii="Times New Roman" w:hAnsi="Times New Roman"/>
          <w:b w:val="0"/>
          <w:bCs/>
          <w:sz w:val="20"/>
          <w:szCs w:val="20"/>
          <w:lang w:val="de-DE"/>
        </w:rPr>
        <w:t>Gävle</w:t>
      </w:r>
      <w:proofErr w:type="spellEnd"/>
      <w:r w:rsidRPr="00577E09">
        <w:rPr>
          <w:rFonts w:ascii="Times New Roman" w:hAnsi="Times New Roman"/>
          <w:b w:val="0"/>
          <w:bCs/>
          <w:sz w:val="20"/>
          <w:szCs w:val="20"/>
          <w:lang w:val="de-DE"/>
        </w:rPr>
        <w:t>, Sweden</w:t>
      </w:r>
    </w:p>
    <w:p w14:paraId="3BFE92FA" w14:textId="4670D16C" w:rsidR="0094267A" w:rsidRDefault="0094267A" w:rsidP="0094267A">
      <w:pPr>
        <w:pStyle w:val="SWCTitle"/>
        <w:spacing w:before="0" w:after="0"/>
        <w:jc w:val="left"/>
        <w:rPr>
          <w:rFonts w:ascii="Times New Roman" w:hAnsi="Times New Roman"/>
          <w:b w:val="0"/>
          <w:sz w:val="20"/>
          <w:szCs w:val="22"/>
        </w:rPr>
      </w:pPr>
    </w:p>
    <w:p w14:paraId="09683E5A" w14:textId="385397F8" w:rsidR="00B0653D" w:rsidRPr="0094267A" w:rsidRDefault="00CF0ED4" w:rsidP="0094267A">
      <w:pPr>
        <w:pStyle w:val="SWCTitle"/>
        <w:spacing w:before="0" w:after="0"/>
        <w:jc w:val="left"/>
        <w:rPr>
          <w:rFonts w:ascii="Times New Roman" w:hAnsi="Times New Roman"/>
          <w:b w:val="0"/>
          <w:sz w:val="20"/>
          <w:szCs w:val="22"/>
        </w:rPr>
      </w:pPr>
      <w:r w:rsidRPr="00CF0ED4">
        <w:rPr>
          <w:rFonts w:ascii="Times New Roman" w:hAnsi="Times New Roman"/>
          <w:b w:val="0"/>
          <w:sz w:val="20"/>
          <w:szCs w:val="22"/>
        </w:rPr>
        <w:t>*</w:t>
      </w:r>
      <w:r w:rsidR="00B0653D">
        <w:rPr>
          <w:rFonts w:ascii="Times New Roman" w:hAnsi="Times New Roman"/>
          <w:b w:val="0"/>
          <w:sz w:val="20"/>
          <w:szCs w:val="22"/>
        </w:rPr>
        <w:t xml:space="preserve">Corresponding author: </w:t>
      </w:r>
      <w:hyperlink r:id="rId8" w:history="1">
        <w:r w:rsidR="00B0653D" w:rsidRPr="0042793B">
          <w:rPr>
            <w:rStyle w:val="Hyperlink"/>
            <w:rFonts w:ascii="Times New Roman" w:hAnsi="Times New Roman"/>
            <w:b w:val="0"/>
            <w:sz w:val="20"/>
            <w:szCs w:val="22"/>
          </w:rPr>
          <w:t>fbeltran@kth.se</w:t>
        </w:r>
      </w:hyperlink>
    </w:p>
    <w:p w14:paraId="6C48629F" w14:textId="77777777" w:rsidR="001A775B" w:rsidRDefault="001A775B" w:rsidP="007361EC">
      <w:pPr>
        <w:pStyle w:val="SWCSummary"/>
        <w:spacing w:before="320"/>
      </w:pPr>
      <w:r>
        <w:t>Summary</w:t>
      </w:r>
    </w:p>
    <w:p w14:paraId="2FFC5996" w14:textId="5EA1BC6E" w:rsidR="00CC1CD0" w:rsidRDefault="00CC1CD0" w:rsidP="00A74442">
      <w:pPr>
        <w:pStyle w:val="SWCText"/>
        <w:widowControl/>
        <w:pBdr>
          <w:bottom w:val="single" w:sz="6" w:space="1" w:color="auto"/>
        </w:pBdr>
        <w:spacing w:after="60"/>
      </w:pPr>
      <w:r>
        <w:t xml:space="preserve">This study evaluates a low-cost photovoltaic thermal (PVT) prototype intended as a supplementary and alternative heat source for a ground source heat pump (GSHP). The prototype combines a conventional PV module with a polymeric heat exchanger designed for pool heating and is compared with a standard </w:t>
      </w:r>
      <w:proofErr w:type="gramStart"/>
      <w:r>
        <w:t>aluminum sheet</w:t>
      </w:r>
      <w:proofErr w:type="gramEnd"/>
      <w:r>
        <w:t xml:space="preserve">-and-tube PVT collector. The measured thermal behavior is </w:t>
      </w:r>
      <w:proofErr w:type="gramStart"/>
      <w:r w:rsidR="00302920">
        <w:t>characterized</w:t>
      </w:r>
      <w:proofErr w:type="gramEnd"/>
      <w:r>
        <w:t xml:space="preserve"> using a simplified ISO 9806:2017 regression model and the resulting coefficients are used in a 20-year dynamic simulation of a PVT+GSHP system for a multi-family building in Stockholm. The prototype achieved a higher zero-loss efficiency than the reference collector (0.3</w:t>
      </w:r>
      <w:r w:rsidR="00302920">
        <w:t>9</w:t>
      </w:r>
      <w:r>
        <w:t xml:space="preserve"> compared with 0.37), while both PVT alternatives produced nearly identical long-term system performance, with an average </w:t>
      </w:r>
      <w:r w:rsidR="00302920">
        <w:t>seasonal performance factor</w:t>
      </w:r>
      <w:r>
        <w:t xml:space="preserve"> of approximately 2.98 compared with 2.84 for the GSHP-only case. The low-cost prototype also produced the lowest total life-cycle cost, at </w:t>
      </w:r>
      <w:r w:rsidR="00BE48FF">
        <w:t>k</w:t>
      </w:r>
      <w:r w:rsidR="00BE48FF" w:rsidRPr="005D5DC2">
        <w:t>€</w:t>
      </w:r>
      <w:r w:rsidR="00BE48FF">
        <w:t xml:space="preserve"> 365</w:t>
      </w:r>
      <w:r>
        <w:t xml:space="preserve">, compared with </w:t>
      </w:r>
      <w:r w:rsidR="00BE48FF">
        <w:t>k</w:t>
      </w:r>
      <w:r w:rsidR="00BE48FF" w:rsidRPr="005D5DC2">
        <w:t>€</w:t>
      </w:r>
      <w:r w:rsidR="00BE48FF">
        <w:t xml:space="preserve"> 401</w:t>
      </w:r>
      <w:r w:rsidR="00302920" w:rsidRPr="005D5DC2">
        <w:t xml:space="preserve"> </w:t>
      </w:r>
      <w:r>
        <w:t xml:space="preserve">for the reference PVT system and </w:t>
      </w:r>
      <w:r w:rsidR="00BE48FF">
        <w:t>k</w:t>
      </w:r>
      <w:r w:rsidR="00BE48FF" w:rsidRPr="005D5DC2">
        <w:t>€</w:t>
      </w:r>
      <w:r w:rsidR="00BE48FF">
        <w:t xml:space="preserve"> 377</w:t>
      </w:r>
      <w:r>
        <w:t xml:space="preserve"> for the GSHP-only case. The results indicate that a polymeric absorber can retain the system-level benefits of conventional PVT at substantially lower collector cost, although improved bonding, reduced weight, and long-term durability testing are required before commercial deployment.</w:t>
      </w:r>
    </w:p>
    <w:p w14:paraId="7F0591A6" w14:textId="77777777" w:rsidR="00DB52E7" w:rsidRDefault="00DB52E7" w:rsidP="007361EC">
      <w:pPr>
        <w:pStyle w:val="SWCText"/>
        <w:widowControl/>
        <w:pBdr>
          <w:bottom w:val="single" w:sz="6" w:space="1" w:color="auto"/>
        </w:pBdr>
        <w:spacing w:after="60"/>
        <w:rPr>
          <w:i/>
          <w:iCs/>
        </w:rPr>
      </w:pPr>
      <w:r w:rsidRPr="0004545F">
        <w:rPr>
          <w:i/>
          <w:iCs/>
        </w:rPr>
        <w:t xml:space="preserve">Keywords: </w:t>
      </w:r>
      <w:r w:rsidR="00961F52">
        <w:rPr>
          <w:i/>
          <w:iCs/>
        </w:rPr>
        <w:t>PVT, GSHP, experimental testing, solar energy, heating electrification</w:t>
      </w:r>
    </w:p>
    <w:p w14:paraId="13B19C6C" w14:textId="77777777" w:rsidR="00FA4DF8" w:rsidRDefault="002C089D" w:rsidP="007361EC">
      <w:pPr>
        <w:pStyle w:val="SWCText"/>
        <w:widowControl/>
        <w:pBdr>
          <w:bottom w:val="single" w:sz="6" w:space="1" w:color="auto"/>
        </w:pBdr>
        <w:spacing w:after="60"/>
        <w:rPr>
          <w:i/>
          <w:iCs/>
        </w:rPr>
      </w:pPr>
      <w:r>
        <w:rPr>
          <w:i/>
          <w:iCs/>
        </w:rPr>
        <w:t>Field of application for the findings:</w:t>
      </w:r>
      <w:r w:rsidR="00961F52">
        <w:rPr>
          <w:i/>
          <w:iCs/>
        </w:rPr>
        <w:t xml:space="preserve"> solar heating and cooling systems for buildings</w:t>
      </w:r>
    </w:p>
    <w:p w14:paraId="1FCA8C51" w14:textId="77777777" w:rsidR="002C089D" w:rsidRDefault="00CC3B0C" w:rsidP="007361EC">
      <w:pPr>
        <w:pStyle w:val="SWCText"/>
        <w:widowControl/>
        <w:pBdr>
          <w:bottom w:val="single" w:sz="6" w:space="1" w:color="auto"/>
        </w:pBdr>
        <w:spacing w:after="60"/>
      </w:pPr>
      <w:r>
        <w:rPr>
          <w:i/>
          <w:iCs/>
        </w:rPr>
        <w:t>Addressed audience:</w:t>
      </w:r>
      <w:r w:rsidR="00961F52">
        <w:rPr>
          <w:i/>
          <w:iCs/>
        </w:rPr>
        <w:t xml:space="preserve"> researchers, practitioners, developers, building owners, solar PVT manufacturers</w:t>
      </w:r>
    </w:p>
    <w:p w14:paraId="3875B1EE" w14:textId="77777777" w:rsidR="00D32EF0" w:rsidRPr="004C4EE9" w:rsidRDefault="00D32EF0" w:rsidP="004C4EE9">
      <w:pPr>
        <w:pStyle w:val="SWCHeading1"/>
      </w:pPr>
      <w:r w:rsidRPr="004C4EE9">
        <w:t>Introduction</w:t>
      </w:r>
    </w:p>
    <w:p w14:paraId="1637BB46" w14:textId="77777777" w:rsidR="00A74442" w:rsidRDefault="00A74442" w:rsidP="00C065D2">
      <w:pPr>
        <w:pStyle w:val="SWCText"/>
        <w:widowControl/>
      </w:pPr>
      <w:r w:rsidRPr="00A74442">
        <w:t xml:space="preserve">Photovoltaic-thermal (PVT) collectors are </w:t>
      </w:r>
      <w:r>
        <w:t xml:space="preserve">a promising </w:t>
      </w:r>
      <w:r w:rsidRPr="00A74442">
        <w:t xml:space="preserve">technology for integration into modern heating systems. </w:t>
      </w:r>
      <w:r w:rsidR="007361EC">
        <w:t>By combining</w:t>
      </w:r>
      <w:r w:rsidRPr="00A74442">
        <w:t xml:space="preserve"> a photovoltaic (PV) module with a </w:t>
      </w:r>
      <w:r w:rsidR="007361EC">
        <w:t>rear-side thermal absorber</w:t>
      </w:r>
      <w:r w:rsidRPr="00A74442">
        <w:t xml:space="preserve">, </w:t>
      </w:r>
      <w:r w:rsidR="007361EC">
        <w:t>they generate electricity and heat simultaneously</w:t>
      </w:r>
      <w:r w:rsidRPr="00A74442">
        <w:t xml:space="preserve">. In water-based systems, a fluid </w:t>
      </w:r>
      <w:r w:rsidR="007361EC">
        <w:t>circulates</w:t>
      </w:r>
      <w:r w:rsidRPr="00A74442">
        <w:t xml:space="preserve"> through the absorber to recover </w:t>
      </w:r>
      <w:r w:rsidR="007361EC">
        <w:t>heat from the incoming solar irradiance, and, in some cases,</w:t>
      </w:r>
      <w:r w:rsidRPr="00A74442">
        <w:t xml:space="preserve"> </w:t>
      </w:r>
      <w:r w:rsidR="007361EC">
        <w:t>from the surrounding air</w:t>
      </w:r>
      <w:r w:rsidRPr="00A74442">
        <w:t xml:space="preserve">. </w:t>
      </w:r>
      <w:r w:rsidR="007361EC" w:rsidRPr="007361EC">
        <w:t xml:space="preserve">In doing so, PVT collectors recover heat that would otherwise be lost to ambient, </w:t>
      </w:r>
      <w:r w:rsidR="007361EC">
        <w:t>and</w:t>
      </w:r>
      <w:r w:rsidR="007361EC" w:rsidRPr="007361EC">
        <w:t xml:space="preserve"> cool the PV cells, which can improve electrical efficiency.</w:t>
      </w:r>
      <w:r w:rsidRPr="00A74442">
        <w:t xml:space="preserve"> </w:t>
      </w:r>
    </w:p>
    <w:p w14:paraId="73182EAA" w14:textId="26673053" w:rsidR="00A74442" w:rsidRDefault="007361EC" w:rsidP="00C065D2">
      <w:pPr>
        <w:pStyle w:val="SWCText"/>
        <w:widowControl/>
      </w:pPr>
      <w:r w:rsidRPr="007361EC">
        <w:t>Collector design plays a key role in performance, with glazing, insulation, absorber material, and channel arrangement all affecting the balance between thermal and electrical output</w:t>
      </w:r>
      <w:r>
        <w:t xml:space="preserve"> </w:t>
      </w:r>
      <w:r w:rsidR="00A74442">
        <w:fldChar w:fldCharType="begin" w:fldLock="1"/>
      </w:r>
      <w:r w:rsidR="00EB6F9A">
        <w:instrText>ADDIN CSL_CITATION {"citationItems":[{"id":"ITEM-1","itemData":{"DOI":"10.1016/j.solener.2014.01.025","ISSN":"0038092X","abstract":"Over the last 30. years, a large amount of research about air PVT collectors has been carried out, but the most investigated PVT technology in recent time is based on systems using water as the heat transfer fluid, because they achieve higher overall efficiencies than air systems, due to the higher heat capacity of water. In this sense, this article presents an extensive review about water flat plate PV-thermal collectors, which are the most widespread in the current market. The review is subdivided according to the elements that compose PVT collectors, from the cover to the insulation material, identifying the most important design parameters of them. This article gives an up-to-date review of the technology, with a specific focus on technological progress in recent years and on the future development. © 2014 Elsevier Ltd.","author":[{"dropping-particle":"","family":"Aste","given":"Niccolò","non-dropping-particle":"","parse-names":false,"suffix":""},{"dropping-particle":"","family":"Pero","given":"Claudio","non-dropping-particle":"del","parse-names":false,"suffix":""},{"dropping-particle":"","family":"Leonforte","given":"Fabrizio","non-dropping-particle":"","parse-names":false,"suffix":""}],"container-title":"Solar Energy","id":"ITEM-1","issued":{"date-parts":[["2014"]]},"page":"98-115","title":"Water flat plate PV-thermal collectors: A review","type":"article-journal","volume":"102"},"uris":["http://www.mendeley.com/documents/?uuid=6fca2fc5-ed59-48f2-999d-69711aec82a8"]},{"id":"ITEM-2","itemData":{"DOI":"10.1016/j.solener.2020.07.062","author":[{"dropping-particle":"","family":"Herez","given":"Amal","non-dropping-particle":"","parse-names":false,"suffix":""},{"dropping-particle":"","family":"El","given":"Hicham","non-dropping-particle":"","parse-names":false,"suffix":""},{"dropping-particle":"","family":"Lemenand","given":"Thierry","non-dropping-particle":"","parse-names":false,"suffix":""},{"dropping-particle":"","family":"Ramadan","given":"Mohamad","non-dropping-particle":"","parse-names":false,"suffix":""}],"container-title":"Solar Energy","id":"ITEM-2","issue":"May","issued":{"date-parts":[["2020"]]},"page":"1321-1347","title":"Review on photovoltaic/thermal hybrid solar collectors: Classifications, applications and new systems","type":"article-journal","volume":"207"},"uris":["http://www.mendeley.com/documents/?uuid=7aac4341-5845-48d2-bbca-798647d980b2"]}],"mendeley":{"formattedCitation":"(Aste et al., 2014; Herez et al., 2020)","plainTextFormattedCitation":"(Aste et al., 2014; Herez et al., 2020)","previouslyFormattedCitation":"(Aste et al., 2014; Herez et al., 2020)"},"properties":{"noteIndex":0},"schema":"https://github.com/citation-style-language/schema/raw/master/csl-citation.json"}</w:instrText>
      </w:r>
      <w:r w:rsidR="00A74442">
        <w:fldChar w:fldCharType="separate"/>
      </w:r>
      <w:r w:rsidR="00B977B3" w:rsidRPr="00B977B3">
        <w:rPr>
          <w:noProof/>
        </w:rPr>
        <w:t>(Aste et al., 2014; Herez et al., 2020)</w:t>
      </w:r>
      <w:r w:rsidR="00A74442">
        <w:fldChar w:fldCharType="end"/>
      </w:r>
      <w:r w:rsidR="00A74442" w:rsidRPr="00A74442">
        <w:t xml:space="preserve">. </w:t>
      </w:r>
      <w:r w:rsidRPr="007361EC">
        <w:t>In particular, absorber geometry and rear-side heat-exchange design strongly influence thermal behavior, with configurations such as sheet-and-tube, box-channel, and fin-enhanced absorbers offering trade-offs between efficiency, complexity, and cost</w:t>
      </w:r>
      <w:r w:rsidR="00A74442" w:rsidRPr="00A74442">
        <w:t xml:space="preserve"> </w:t>
      </w:r>
      <w:r w:rsidR="00A74442">
        <w:fldChar w:fldCharType="begin" w:fldLock="1"/>
      </w:r>
      <w:r w:rsidR="00A74442">
        <w:instrText>ADDIN CSL_CITATION {"citationItems":[{"id":"ITEM-1","itemData":{"DOI":"10.1016/j.applthermaleng.2024.125020","ISSN":"13594311","abstract":"There has been an increase in solar photovoltaic/thermal (PVT) research in recent years, however, relatively little research has been dedicated to the design of PVT collectors as part of a heat pump system. This study aims to identify cost-effective design strategies for a PVT collector absorber to be integrated into a ground source heat pump (GSHP) circuit and enhance heat capture from the ambient air. The effect of geometry, material selection, fins, and forced convection on the overall U-value and thermal performance coefficients of the collector, are evaluated under steady state conditions using numerical modelling tool COMSOL Multiphysics. An annual mean fluid temperature profile is derived from a PVT + GSHP system simulation to calculate the annual thermal energy output, energy-to-mass and energy-to-cost ratios of the absorbers. Results show that the addition of fins and forced convection have the greatest influence on collector thermal performance, while material selection has a negligible impact. The corrugated, polycarbonate absorber with 10 mm fins, generates 55 % more thermal energy (1,464 kWhth/m2-yr) than the reference metallic sheet and tube collector at an energy-to-cost ratio 1/10th the reference, suggesting good market potential. An exergy analysis reveals that thermal exergy contributes 20 % to 50 % of the total exergy output, highlighting that low-temperature PVT designs exhibiting a smaller thermal share relative to electrical exergy compared to their higher temperature counterparts. This work's novelty and contribution comes from PVT design specifically for GSHP integration, examined at component and system levels, from both technical and economic perspectives.","author":[{"dropping-particle":"","family":"Beltrán","given":"Francisco","non-dropping-particle":"","parse-names":false,"suffix":""},{"dropping-particle":"","family":"Sommerfeldt","given":"Nelson","non-dropping-particle":"","parse-names":false,"suffix":""},{"dropping-particle":"","family":"Reichl","given":"Christoph","non-dropping-particle":"","parse-names":false,"suffix":""},{"dropping-particle":"","family":"Madani","given":"Hatef","non-dropping-particle":"","parse-names":false,"suffix":""}],"container-title":"Applied Thermal Engineering","id":"ITEM-1","issue":"November 2024","issued":{"date-parts":[["2025"]]},"title":"Cold solar: PVT heat exchanger designs for heat pump integration","type":"article-journal","volume":"261"},"uris":["http://www.mendeley.com/documents/?uuid=3837fea2-4a3f-48a2-897a-fe205ad565b6"]},{"id":"ITEM-2","itemData":{"DOI":"10.1016/j.apenergy.2018.11.024","ISSN":"03062619","abstract":"In this paper, 26 alternative absorber-exchanger designs for hybrid PV-Thermal (PVT) solar collectors are proposed and compared against a reference-case, commercial sheet-and-tube PVT collector. The collectors involve different geometric design features based on the conventional sheet-and-tube configuration, and also on a newer flat-box structure constructed from alternative polymeric materials with the aim of maintaining or even improving heat transfer and overall (thermal and electrical) performance while achieving reductions in the overall weight and cost of the collectors. The main contributions of this research include: (i) the development and validation of a detailed 3-D computational finite-element model of the proposed PVT collector designs involving multi-physics processes (heat transfer, fluid dynamics and solid mechanics); (ii) results from comparative techno-economic analyses of the proposed PVT designs; and, (iii) further insights from thermal stress and structural deformation analyses of the proposed collectors, which are crucial for ensuring long lifetimes and especially important in the case of polymeric collectors. The results show that, in general, the flat-box designs (characterised by a thin absorber plate) are not sensitive to the flow-channel size or construction material, at least within the range of investigation. A PVT collector featuring a polycarbonate (PC) flat-box design with 3 × 2 mm rectangular channels appears to be a particularly promising alternative to commercial PVT collectors, achieving a slightly improved thermal performance compared to the reference case (with a 4% higher optical efficiency and 15% lower linear heat-loss coefficient), while also lowering the weight (by around 9%) and investment cost (by about 21%) of the collector. The structural analysis shows that the maximum von Mises stress experienced in the absorber-exchanger of the PC flat-box collector is considerably lower than that in the copper sheet-and-tube collector (&lt;13% vs. 64% of the material's yield stress), which is attributed to the larger thermal expansion of the PC absorber-exchanger, that leads to lower stresses. Therefore, the proposed PC flat-box design is not expected to suffer higher strains than the commercially-available PVT collector.","author":[{"dropping-particle":"","family":"Herrando","given":"María","non-dropping-particle":"","parse-names":false,"suffix":""},{"dropping-particle":"","family":"Ramos","given":"Alba","non-dropping-particle":"","parse-names":false,"suffix":""},{"dropping-particle":"","family":"Zabalza","given":"Ignacio","non-dropping-particle":"","parse-names":false,"suffix":""},{"dropping-particle":"","family":"Markides","given":"Christos N.","non-dropping-particle":"","parse-names":false,"suffix":""}],"container-title":"Applied Energy","id":"ITEM-2","issue":"November 2018","issued":{"date-parts":[["2019"]]},"page":"1583-1602","publisher":"Elsevier","title":"A comprehensive assessment of alternative absorber-exchanger designs for hybrid PVT-water collectors","type":"article-journal","volume":"235"},"uris":["http://www.mendeley.com/documents/?uuid=7dfa43c7-7651-4c9f-9684-399967146034"]}],"mendeley":{"formattedCitation":"(Beltrán et al., 2025; Herrando et al., 2019)","plainTextFormattedCitation":"(Beltrán et al., 2025; Herrando et al., 2019)","previouslyFormattedCitation":"(Beltrán et al., 2025; Herrando et al., 2019)"},"properties":{"noteIndex":0},"schema":"https://github.com/citation-style-language/schema/raw/master/csl-citation.json"}</w:instrText>
      </w:r>
      <w:r w:rsidR="00A74442">
        <w:fldChar w:fldCharType="separate"/>
      </w:r>
      <w:r w:rsidR="00A74442" w:rsidRPr="00A74442">
        <w:rPr>
          <w:noProof/>
        </w:rPr>
        <w:t>(Beltrán et al., 2025; Herrando et al., 2019)</w:t>
      </w:r>
      <w:r w:rsidR="00A74442">
        <w:fldChar w:fldCharType="end"/>
      </w:r>
      <w:r w:rsidR="00A74442" w:rsidRPr="00A74442">
        <w:t xml:space="preserve">. </w:t>
      </w:r>
    </w:p>
    <w:p w14:paraId="01C31F7B" w14:textId="3776EB82" w:rsidR="00A74442" w:rsidRDefault="007361EC" w:rsidP="00C065D2">
      <w:pPr>
        <w:pStyle w:val="SWCText"/>
        <w:widowControl/>
      </w:pPr>
      <w:r w:rsidRPr="007361EC">
        <w:t>PVT collectors can also be effectively combined with ground-source heat pumps (GSHPs), where they contribute to borehole regeneration, improving long-term system performance and reducing borehole sizing requirements</w:t>
      </w:r>
      <w:r>
        <w:t xml:space="preserve"> </w:t>
      </w:r>
      <w:r w:rsidR="00A74442">
        <w:fldChar w:fldCharType="begin" w:fldLock="1"/>
      </w:r>
      <w:r w:rsidR="00A74442">
        <w:instrText>ADDIN CSL_CITATION {"citationItems":[{"id":"ITEM-1","itemData":{"DOI":"10.1016/j.solener.2004.09.019","ISSN":"0038092X","abstract":"A photovoltaic/thermal (PVT) panel is a combination of photovoltaic cells with a solar thermal collector, generating solar electricity and solar heat simultaneously. Hence, PVT panels are an alternative for a combination of separate PV panels and solar thermal collectors. A promising system concept, consisting of 25m2 of PVT panels and a ground coupled heat pump, has been simulated in TRNSYS. It has been found that this system is able to cover 100% of the total heat demand for a typical newly-built Dutch one-family dwelling, while covering nearly all of its own electricity use and keeping the long-term average ground temperature constant. The cost of such a system has been compared to the cost of a reference system, where the PVT panels have been replaced with separate PV panels (26m2) and solar thermal collectors (7m2), but which is otherwise identical. The electrical and thermal yield of this reference system is equal to that of the PVT system. It has been found that both systems require a nearly identical initial investment. Finally, a view on future PVT markets is given. In general, the residential market is by far the most promising market. The system discussed in this paper is expected to be most successful in newly-built low-energy housing concepts. © 2004 Elsevier Ltd. All rights reserved.","author":[{"dropping-particle":"","family":"Bakker","given":"M.","non-dropping-particle":"","parse-names":false,"suffix":""},{"dropping-particle":"","family":"Zondag","given":"H. A.","non-dropping-particle":"","parse-names":false,"suffix":""},{"dropping-particle":"","family":"Elswijk","given":"M. J.","non-dropping-particle":"","parse-names":false,"suffix":""},{"dropping-particle":"","family":"Strootman","given":"K. J.","non-dropping-particle":"","parse-names":false,"suffix":""},{"dropping-particle":"","family":"Jong","given":"M. J.M.","non-dropping-particle":"","parse-names":false,"suffix":""}],"container-title":"Solar Energy","id":"ITEM-1","issue":"2","issued":{"date-parts":[["2005"]]},"page":"331-339","title":"Performance and costs of a roof-sized PV/thermal array combined with a ground coupled heat pump","type":"article-journal","volume":"78"},"uris":["http://www.mendeley.com/documents/?uuid=1493b3e8-f8bf-40f0-9f8b-e375408c824f"]},{"id":"ITEM-2","itemData":{"DOI":"10.1016/j.solener.2019.07.080","ISSN":"0038092X","abstract":"The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author":[{"dropping-particle":"","family":"Sommerfeldt","given":"Nelson","non-dropping-particle":"","parse-names":false,"suffix":""},{"dropping-particle":"","family":"Madani","given":"H.","non-dropping-particle":"","parse-names":false,"suffix":""}],"container-title":"Solar Energy","id":"ITEM-2","issue":"July","issued":{"date-parts":[["2019"]]},"page":"44-62","publisher":"Elsevier","title":"In-depth techno-economic analysis of PV/Thermal plus ground source heat pump systems for multi-family houses in a heating dominated climate","type":"article-journal","volume":"190"},"uris":["http://www.mendeley.com/documents/?uuid=af1a24ff-0bf1-4041-979a-77170975171b"]}],"mendeley":{"formattedCitation":"(Bakker et al., 2005; Sommerfeldt &amp; Madani, 2019)","plainTextFormattedCitation":"(Bakker et al., 2005; Sommerfeldt &amp; Madani, 2019)","previouslyFormattedCitation":"(Bakker et al., 2005; Sommerfeldt &amp; Madani, 2019)"},"properties":{"noteIndex":0},"schema":"https://github.com/citation-style-language/schema/raw/master/csl-citation.json"}</w:instrText>
      </w:r>
      <w:r w:rsidR="00A74442">
        <w:fldChar w:fldCharType="separate"/>
      </w:r>
      <w:r w:rsidR="00A74442" w:rsidRPr="00A74442">
        <w:rPr>
          <w:noProof/>
        </w:rPr>
        <w:t>(Bakker et al., 2005; Sommerfeldt &amp; Madani, 2019)</w:t>
      </w:r>
      <w:r w:rsidR="00A74442">
        <w:fldChar w:fldCharType="end"/>
      </w:r>
      <w:r w:rsidR="00A74442" w:rsidRPr="00A74442">
        <w:t xml:space="preserve">. Previous work has also shown that PVT-assisted GSHP systems can reduce borehole sizing requirements and perform competitively in buildings where land constraints limit conventional ground-source design options </w:t>
      </w:r>
      <w:r w:rsidR="00246DF4">
        <w:fldChar w:fldCharType="begin" w:fldLock="1"/>
      </w:r>
      <w:r w:rsidR="003234E6">
        <w:instrText>ADDIN CSL_CITATION {"citationItems":[{"id":"ITEM-1","itemData":{"DOI":"10.1016/j.solener.2004.09.019","ISSN":"0038092X","abstract":"A photovoltaic/thermal (PVT) panel is a combination of photovoltaic cells with a solar thermal collector, generating solar electricity and solar heat simultaneously. Hence, PVT panels are an alternative for a combination of separate PV panels and solar thermal collectors. A promising system concept, consisting of 25m2 of PVT panels and a ground coupled heat pump, has been simulated in TRNSYS. It has been found that this system is able to cover 100% of the total heat demand for a typical newly-built Dutch one-family dwelling, while covering nearly all of its own electricity use and keeping the long-term average ground temperature constant. The cost of such a system has been compared to the cost of a reference system, where the PVT panels have been replaced with separate PV panels (26m2) and solar thermal collectors (7m2), but which is otherwise identical. The electrical and thermal yield of this reference system is equal to that of the PVT system. It has been found that both systems require a nearly identical initial investment. Finally, a view on future PVT markets is given. In general, the residential market is by far the most promising market. The system discussed in this paper is expected to be most successful in newly-built low-energy housing concepts. © 2004 Elsevier Ltd. All rights reserved.","author":[{"dropping-particle":"","family":"Bakker","given":"M.","non-dropping-particle":"","parse-names":false,"suffix":""},{"dropping-particle":"","family":"Zondag","given":"H. A.","non-dropping-particle":"","parse-names":false,"suffix":""},{"dropping-particle":"","family":"Elswijk","given":"M. J.","non-dropping-particle":"","parse-names":false,"suffix":""},{"dropping-particle":"","family":"Strootman","given":"K. J.","non-dropping-particle":"","parse-names":false,"suffix":""},{"dropping-particle":"","family":"Jong","given":"M. J.M.","non-dropping-particle":"","parse-names":false,"suffix":""}],"container-title":"Solar Energy","id":"ITEM-1","issue":"2","issued":{"date-parts":[["2005"]]},"page":"331-339","title":"Performance and costs of a roof-sized PV/thermal array combined with a ground coupled heat pump","type":"article-journal","volume":"78"},"uris":["http://www.mendeley.com/documents/?uuid=1493b3e8-f8bf-40f0-9f8b-e375408c824f"]},{"id":"ITEM-2","itemData":{"DOI":"10.1016/j.solener.2019.07.080","ISSN":"0038092X","abstract":"The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author":[{"dropping-particle":"","family":"Sommerfeldt","given":"Nelson","non-dropping-particle":"","parse-names":false,"suffix":""},{"dropping-particle":"","family":"Madani","given":"H.","non-dropping-particle":"","parse-names":false,"suffix":""}],"container-title":"Solar Energy","id":"ITEM-2","issue":"July","issued":{"date-parts":[["2019"]]},"page":"44-62","publisher":"Elsevier","title":"In-depth techno-economic analysis of PV/Thermal plus ground source heat pump systems for multi-family houses in a heating dominated climate","type":"article-journal","volume":"190"},"uris":["http://www.mendeley.com/documents/?uuid=af1a24ff-0bf1-4041-979a-77170975171b"]}],"mendeley":{"formattedCitation":"(Bakker et al., 2005; Sommerfeldt &amp; Madani, 2019)","plainTextFormattedCitation":"(Bakker et al., 2005; Sommerfeldt &amp; Madani, 2019)","previouslyFormattedCitation":"(Bakker et al., 2005; Sommerfeldt &amp; Madani, 2019)"},"properties":{"noteIndex":0},"schema":"https://github.com/citation-style-language/schema/raw/master/csl-citation.json"}</w:instrText>
      </w:r>
      <w:r w:rsidR="00246DF4">
        <w:fldChar w:fldCharType="separate"/>
      </w:r>
      <w:r w:rsidR="00246DF4" w:rsidRPr="00246DF4">
        <w:rPr>
          <w:noProof/>
        </w:rPr>
        <w:t>(Bakker et al., 2005; Sommerfeldt &amp; Madani, 2019)</w:t>
      </w:r>
      <w:r w:rsidR="00246DF4">
        <w:fldChar w:fldCharType="end"/>
      </w:r>
      <w:r w:rsidR="00246DF4">
        <w:t xml:space="preserve">. </w:t>
      </w:r>
      <w:r w:rsidRPr="007361EC">
        <w:t>However, wider adoption has been limited by high manufacturing and material costs, making simpler and lower-cost designs particularly relevant</w:t>
      </w:r>
      <w:r w:rsidR="00A74442" w:rsidRPr="00A74442">
        <w:t xml:space="preserve"> </w:t>
      </w:r>
      <w:r w:rsidR="00A74442">
        <w:fldChar w:fldCharType="begin" w:fldLock="1"/>
      </w:r>
      <w:r w:rsidR="00B977B3">
        <w:instrText>ADDIN CSL_CITATION {"citationItems":[{"id":"ITEM-1","itemData":{"DOI":"10.1016/j.seta.2021.101520","ISSN":"22131388","abstract":"This paper assesses the technical and economic viability of a hybrid water-based mono-crystalline silicon (mc-Si) photovoltaic-thermal (PVT) module in comparison with a conventional mc-Si photovoltaic (PV) module installed in Ghana. Analytical models are developed to analyze the technical and economic performance of the systems over a 25-year period. The study shows that although the PVT system is more expensive to setup, it generally performs better than the conventional PV system when both systems are installed with batteries. The estimated average yearly total exergy to load from PV and PVT sub-systems are respectively 159.42 kWh/m2 and 330.15 kWh/m2. The levelized cost of exergy (LCOEx) from the PV and PVT basic systems are US$ 0.45/kWh and US$ 0.33/kWh respectively for average peak sun hours (Sh) of 4.6 h (installation site). Varying Sh from 4.6 h to 6.5 h (northmost regions of Ghana) reduces the LCOEx for the PV and PVT systems by approximately 18% and 11% respectively. The PV system however becomes more economically viable than the PVT system when both systems are installed without batteries.","author":[{"dropping-particle":"","family":"Abdul-Ganiyu","given":"Saeed","non-dropping-particle":"","parse-names":false,"suffix":""},{"dropping-particle":"","family":"Quansah","given":"David A.","non-dropping-particle":"","parse-names":false,"suffix":""},{"dropping-particle":"","family":"Ramde","given":"Emmanuel W.","non-dropping-particle":"","parse-names":false,"suffix":""},{"dropping-particle":"","family":"Seidu","given":"Razak","non-dropping-particle":"","parse-names":false,"suffix":""},{"dropping-particle":"","family":"Adaramola","given":"Muyiwa S.","non-dropping-particle":"","parse-names":false,"suffix":""}],"container-title":"Sustainable Energy Technologies and Assessments","id":"ITEM-1","issue":"November 2020","issued":{"date-parts":[["2021"]]},"page":"101520","publisher":"Elsevier Ltd","title":"Techno-economic analysis of solar photovoltaic (PV) and solar photovoltaic thermal (PVT) systems using exergy analysis","type":"article-journal","volume":"47"},"uris":["http://www.mendeley.com/documents/?uuid=6792ffb3-4c5f-4fca-9a0f-46c2c9db44c9"]}],"mendeley":{"formattedCitation":"(Abdul-Ganiyu et al., 2021)","plainTextFormattedCitation":"(Abdul-Ganiyu et al., 2021)","previouslyFormattedCitation":"(Abdul-Ganiyu et al., 2021)"},"properties":{"noteIndex":0},"schema":"https://github.com/citation-style-language/schema/raw/master/csl-citation.json"}</w:instrText>
      </w:r>
      <w:r w:rsidR="00A74442">
        <w:fldChar w:fldCharType="separate"/>
      </w:r>
      <w:r w:rsidRPr="007361EC">
        <w:rPr>
          <w:noProof/>
        </w:rPr>
        <w:t>(Abdul-Ganiyu et al., 2021)</w:t>
      </w:r>
      <w:r w:rsidR="00A74442">
        <w:fldChar w:fldCharType="end"/>
      </w:r>
      <w:r w:rsidR="00A74442" w:rsidRPr="00A74442">
        <w:t xml:space="preserve">. </w:t>
      </w:r>
    </w:p>
    <w:p w14:paraId="359B5E91" w14:textId="3BFA2FEB" w:rsidR="00B55EF3" w:rsidRDefault="000966D0">
      <w:pPr>
        <w:pStyle w:val="SWCText"/>
        <w:widowControl/>
      </w:pPr>
      <w:r>
        <w:t>For heat-pump integration, unglazed water-based PVT collectors operate at relatively low fluid temperatures and can recover heat from both solar irradiance and the ambient air</w:t>
      </w:r>
      <w:r w:rsidR="00EB6F9A">
        <w:t xml:space="preserve"> </w:t>
      </w:r>
      <w:r w:rsidR="00EB6F9A">
        <w:fldChar w:fldCharType="begin" w:fldLock="1"/>
      </w:r>
      <w:r w:rsidR="00EB6F9A">
        <w:instrText>ADDIN CSL_CITATION {"citationItems":[{"id":"ITEM-1","itemData":{"DOI":"10.18086/swc.2019.05.03","ISBN":"9783982040813","abstract":"Uncovered, liquid-based photovoltaic-thermal (PV-T) collectors can be combined with ground-coupled heat pump systems for different purposes: to increase the evaporator temperature, to regenerate geothermal resources or for pre-heating domestic hot water. This paper experimentally investigates the behavior of a novel PV-T panel with enhanced ambient heat transfer properties and primarily conceived for the operation as the sole heat source for brine-to-water compression heat pumps. After presenting the results of the thermal efficiency measurement of the panel, which attest its unusual parameters (c1= 23 W/m2K c3 = 7.6 J/m3K c6 = 0.1 s/m), we report on the long-term performance tests carried out on large roof-mounted PV-T fields at two different locations in Germany. The investigation focuses on the impact of real environmental and installation conditions on the performance of the field as ambient heat exchanger, operating at fluid temperatures below ambient air temperature. The results confirm the high overall heat transfer coefficient U of the field, up to 40 W/m2K which is reduced by about 20% in comparison to the U-value determined for the single panel, however. The reduction can be attributed to a large extent to the high sensitivity of the collector design to convective heat transfer mechanisms and to the different wind exposure during the tests. For the same reasons we report a 30% decrease in the U-value compared to the basic configuration by using joint plates to cover the gaps of the field with the aim of improving the reliability and aesthetics of the installation.","author":[{"dropping-particle":"","family":"Giovannetti","given":"Federico","non-dropping-particle":"","parse-names":false,"suffix":""},{"dropping-particle":"","family":"Lampe","given":"Carsten","non-dropping-particle":"","parse-names":false,"suffix":""},{"dropping-particle":"","family":"Kirchner","given":"Maik","non-dropping-particle":"","parse-names":false,"suffix":""},{"dropping-particle":"","family":"Littwin","given":"Matthias","non-dropping-particle":"","parse-names":false,"suffix":""},{"dropping-particle":"","family":"Asenbeck","given":"Sebastian","non-dropping-particle":"","parse-names":false,"suffix":""},{"dropping-particle":"","family":"Fischer","given":"Stephan","non-dropping-particle":"","parse-names":false,"suffix":""}],"container-title":"Proceedings of the ISES Solar World Congress 2019 and IEA SHC International Conference on Solar Heating and Cooling for Buildings and Industry 2019","id":"ITEM-1","issued":{"date-parts":[["2019"]]},"page":"177-188","title":"Experimental investigations on photovoltaic-thermal arrays designed for the use as heat pump source","type":"article-journal"},"uris":["http://www.mendeley.com/documents/?uuid=724eddd1-a3a7-4ae0-bd78-a498d0af45cf"]},{"id":"ITEM-2","itemData":{"DOI":"10.1016/j.egypro.2012.11.049","ISSN":"18766102","author":[{"dropping-particle":"","family":"Bertram","given":"Erik","non-dropping-particle":"","parse-names":false,"suffix":""},{"dropping-particle":"","family":"Glembin","given":"Jens","non-dropping-particle":"","parse-names":false,"suffix":""},{"dropping-particle":"","family":"Rockendorf","given":"Gunter","non-dropping-particle":"","parse-names":false,"suffix":""}],"container-title":"Energy Procedia","id":"ITEM-2","issued":{"date-parts":[["2012","1"]]},"page":"414-423","title":"Unglazed PVT collectors as additional heat source in heat pump systems with borehole heat exchanger","type":"article-journal","volume":"30"},"uris":["http://www.mendeley.com/documents/?uuid=e7a4379c-2c5f-4a83-a00b-652fd02c4369"]}],"mendeley":{"formattedCitation":"(Bertram et al., 2012; Giovannetti et al., 2019)","plainTextFormattedCitation":"(Bertram et al., 2012; Giovannetti et al., 2019)","previouslyFormattedCitation":"(Bertram et al., 2012; Giovannetti et al., 2019)"},"properties":{"noteIndex":0},"schema":"https://github.com/citation-style-language/schema/raw/master/csl-citation.json"}</w:instrText>
      </w:r>
      <w:r w:rsidR="00EB6F9A">
        <w:fldChar w:fldCharType="separate"/>
      </w:r>
      <w:r w:rsidR="00EB6F9A" w:rsidRPr="00EB6F9A">
        <w:rPr>
          <w:noProof/>
        </w:rPr>
        <w:t>(Bertram et al., 2012; Giovannetti et al., 2019)</w:t>
      </w:r>
      <w:r w:rsidR="00EB6F9A">
        <w:fldChar w:fldCharType="end"/>
      </w:r>
      <w:r>
        <w:t xml:space="preserve">. </w:t>
      </w:r>
      <w:r w:rsidR="00EB6F9A" w:rsidRPr="00EB6F9A">
        <w:t xml:space="preserve">This operating range changes the design requirements compared with conventional higher-temperature </w:t>
      </w:r>
      <w:r w:rsidR="00EB6F9A" w:rsidRPr="00EB6F9A">
        <w:lastRenderedPageBreak/>
        <w:t>solar thermal applications, as heat transfer from the ambient can contribute positively to thermal output when the working fluid is below ambient temperature</w:t>
      </w:r>
      <w:r w:rsidR="00EB6F9A">
        <w:t xml:space="preserve">. </w:t>
      </w:r>
      <w:r w:rsidR="00EB6F9A" w:rsidRPr="00EB6F9A">
        <w:rPr>
          <w:lang w:val="de-DE"/>
        </w:rPr>
        <w:t xml:space="preserve">Absorber </w:t>
      </w:r>
      <w:proofErr w:type="spellStart"/>
      <w:r w:rsidR="00EB6F9A" w:rsidRPr="00EB6F9A">
        <w:rPr>
          <w:lang w:val="de-DE"/>
        </w:rPr>
        <w:t>geometry</w:t>
      </w:r>
      <w:proofErr w:type="spellEnd"/>
      <w:r w:rsidR="00EB6F9A" w:rsidRPr="00EB6F9A">
        <w:rPr>
          <w:lang w:val="de-DE"/>
        </w:rPr>
        <w:t xml:space="preserve">, material </w:t>
      </w:r>
      <w:proofErr w:type="spellStart"/>
      <w:r w:rsidR="00EB6F9A" w:rsidRPr="00EB6F9A">
        <w:rPr>
          <w:lang w:val="de-DE"/>
        </w:rPr>
        <w:t>use</w:t>
      </w:r>
      <w:proofErr w:type="spellEnd"/>
      <w:r w:rsidR="00EB6F9A" w:rsidRPr="00EB6F9A">
        <w:rPr>
          <w:lang w:val="de-DE"/>
        </w:rPr>
        <w:t xml:space="preserve">, thermal </w:t>
      </w:r>
      <w:proofErr w:type="spellStart"/>
      <w:r w:rsidR="00EB6F9A" w:rsidRPr="00EB6F9A">
        <w:rPr>
          <w:lang w:val="de-DE"/>
        </w:rPr>
        <w:t>contact</w:t>
      </w:r>
      <w:proofErr w:type="spellEnd"/>
      <w:r w:rsidR="00EB6F9A" w:rsidRPr="00EB6F9A">
        <w:rPr>
          <w:lang w:val="de-DE"/>
        </w:rPr>
        <w:t xml:space="preserve">, </w:t>
      </w:r>
      <w:proofErr w:type="spellStart"/>
      <w:r w:rsidR="00EB6F9A" w:rsidRPr="00EB6F9A">
        <w:rPr>
          <w:lang w:val="de-DE"/>
        </w:rPr>
        <w:t>hydraulic</w:t>
      </w:r>
      <w:proofErr w:type="spellEnd"/>
      <w:r w:rsidR="00EB6F9A" w:rsidRPr="00EB6F9A">
        <w:rPr>
          <w:lang w:val="de-DE"/>
        </w:rPr>
        <w:t xml:space="preserve"> </w:t>
      </w:r>
      <w:proofErr w:type="spellStart"/>
      <w:r w:rsidR="00EB6F9A" w:rsidRPr="00EB6F9A">
        <w:rPr>
          <w:lang w:val="de-DE"/>
        </w:rPr>
        <w:t>characteristics</w:t>
      </w:r>
      <w:proofErr w:type="spellEnd"/>
      <w:r w:rsidR="00EB6F9A" w:rsidRPr="00EB6F9A">
        <w:rPr>
          <w:lang w:val="de-DE"/>
        </w:rPr>
        <w:t xml:space="preserve"> and </w:t>
      </w:r>
      <w:proofErr w:type="spellStart"/>
      <w:r w:rsidR="00EB6F9A" w:rsidRPr="00EB6F9A">
        <w:rPr>
          <w:lang w:val="de-DE"/>
        </w:rPr>
        <w:t>manufacturability</w:t>
      </w:r>
      <w:proofErr w:type="spellEnd"/>
      <w:r w:rsidR="00EB6F9A" w:rsidRPr="00EB6F9A">
        <w:rPr>
          <w:lang w:val="de-DE"/>
        </w:rPr>
        <w:t xml:space="preserve"> </w:t>
      </w:r>
      <w:proofErr w:type="spellStart"/>
      <w:r w:rsidR="00EB6F9A" w:rsidRPr="00EB6F9A">
        <w:rPr>
          <w:lang w:val="de-DE"/>
        </w:rPr>
        <w:t>therefore</w:t>
      </w:r>
      <w:proofErr w:type="spellEnd"/>
      <w:r w:rsidR="00EB6F9A" w:rsidRPr="00EB6F9A">
        <w:rPr>
          <w:lang w:val="de-DE"/>
        </w:rPr>
        <w:t xml:space="preserve"> </w:t>
      </w:r>
      <w:proofErr w:type="spellStart"/>
      <w:r w:rsidR="00EB6F9A" w:rsidRPr="00EB6F9A">
        <w:rPr>
          <w:lang w:val="de-DE"/>
        </w:rPr>
        <w:t>become</w:t>
      </w:r>
      <w:proofErr w:type="spellEnd"/>
      <w:r w:rsidR="00EB6F9A" w:rsidRPr="00EB6F9A">
        <w:rPr>
          <w:lang w:val="de-DE"/>
        </w:rPr>
        <w:t xml:space="preserve"> important design </w:t>
      </w:r>
      <w:proofErr w:type="spellStart"/>
      <w:r w:rsidR="00EB6F9A" w:rsidRPr="00EB6F9A">
        <w:rPr>
          <w:lang w:val="de-DE"/>
        </w:rPr>
        <w:t>considerations</w:t>
      </w:r>
      <w:proofErr w:type="spellEnd"/>
      <w:r w:rsidR="00EB6F9A">
        <w:rPr>
          <w:lang w:val="de-DE"/>
        </w:rPr>
        <w:t xml:space="preserve"> </w:t>
      </w:r>
      <w:r w:rsidR="00EB6F9A">
        <w:rPr>
          <w:lang w:val="de-DE"/>
        </w:rPr>
        <w:fldChar w:fldCharType="begin" w:fldLock="1"/>
      </w:r>
      <w:r w:rsidR="00EB6F9A">
        <w:rPr>
          <w:lang w:val="de-DE"/>
        </w:rPr>
        <w:instrText>ADDIN CSL_CITATION {"citationItems":[{"id":"ITEM-1","itemData":{"DOI":"10.1016/j.solener.2018.05.030","ISSN":"0038092X","abstract":"Concerning the manufacturing of uncovered, liquid-based photovoltaic-thermal (PVT) collectors, design requirements or low expenses have higher priority than the all-out optimization of the thermal efficiency. The specific impact of inevitable thermal resistances caused by wavy surfaces and imperfect contacts between PV modules and heat exchangers has not been comprehensively investigated yet. This paper focuses on the performances of uncovered PVT collectors with detachable mounting of PV modules on heat exchangers and the effect of macroscopic air gaps. Two prototypes with thin film modules were built without using silicon glue, other adhesives or heat conductive paste. Measured in sun simulator in electrical open-circuit mode, the thermal zero-loss efficiencies for the adhesive-free collectors are η0,M = 66.8% (copper pipe meander laser-welded on aluminium sheet) and η0,M = 69.2 % (aluminium roll-bond) based on gross areas. These results are similar or better than the efficiencies of commercially available collectors. Due to the thermal resistance of air gaps, we calculated temperature differences of 12 K and higher between absorbing sheets and heat carrier, which have to be considered while estimating the electrical yield by means of system simulations. For comparison, we built a prototype with a roll-bond heat exchanger and a very thin adhesive layer and thereby an optimized heat transport (η0,M = 76.8 %). Using numerical, two-dimensional models, we can verify the efficiency measurements and determine the influence of design and boundary conditions on heat transfer mechanisms in the collectors. Simulations show good agreement with experimental results and prove to be an effective tool for design optimization.","author":[{"dropping-particle":"","family":"Brötje","given":"Steffen","non-dropping-particle":"","parse-names":false,"suffix":""},{"dropping-particle":"","family":"Kirchner","given":"Maik","non-dropping-particle":"","parse-names":false,"suffix":""},{"dropping-particle":"","family":"Giovannetti","given":"Federico","non-dropping-particle":"","parse-names":false,"suffix":""}],"container-title":"Solar Energy","id":"ITEM-1","issue":"October 2017","issued":{"date-parts":[["2018"]]},"page":"406-418","title":"Performance and heat transfer analysis of uncovered photovoltaic-thermal collectors with detachable compound","type":"article-journal","volume":"170"},"uris":["http://www.mendeley.com/documents/?uuid=e6c46df8-3504-4387-89f5-08d8c66d8796"]},{"id":"ITEM-2","itemData":{"DOI":"10.1016/j.apenergy.2018.11.024","ISSN":"03062619","abstract":"In this paper, 26 alternative absorber-exchanger designs for hybrid PV-Thermal (PVT) solar collectors are proposed and compared against a reference-case, commercial sheet-and-tube PVT collector. The collectors involve different geometric design features based on the conventional sheet-and-tube configuration, and also on a newer flat-box structure constructed from alternative polymeric materials with the aim of maintaining or even improving heat transfer and overall (thermal and electrical) performance while achieving reductions in the overall weight and cost of the collectors. The main contributions of this research include: (i) the development and validation of a detailed 3-D computational finite-element model of the proposed PVT collector designs involving multi-physics processes (heat transfer, fluid dynamics and solid mechanics); (ii) results from comparative techno-economic analyses of the proposed PVT designs; and, (iii) further insights from thermal stress and structural deformation analyses of the proposed collectors, which are crucial for ensuring long lifetimes and especially important in the case of polymeric collectors. The results show that, in general, the flat-box designs (characterised by a thin absorber plate) are not sensitive to the flow-channel size or construction material, at least within the range of investigation. A PVT collector featuring a polycarbonate (PC) flat-box design with 3 × 2 mm rectangular channels appears to be a particularly promising alternative to commercial PVT collectors, achieving a slightly improved thermal performance compared to the reference case (with a 4% higher optical efficiency and 15% lower linear heat-loss coefficient), while also lowering the weight (by around 9%) and investment cost (by about 21%) of the collector. The structural analysis shows that the maximum von Mises stress experienced in the absorber-exchanger of the PC flat-box collector is considerably lower than that in the copper sheet-and-tube collector (&lt;13% vs. 64% of the material's yield stress), which is attributed to the larger thermal expansion of the PC absorber-exchanger, that leads to lower stresses. Therefore, the proposed PC flat-box design is not expected to suffer higher strains than the commercially-available PVT collector.","author":[{"dropping-particle":"","family":"Herrando","given":"María","non-dropping-particle":"","parse-names":false,"suffix":""},{"dropping-particle":"","family":"Ramos","given":"Alba","non-dropping-particle":"","parse-names":false,"suffix":""},{"dropping-particle":"","family":"Zabalza","given":"Ignacio","non-dropping-particle":"","parse-names":false,"suffix":""},{"dropping-particle":"","family":"Markides","given":"Christos N.","non-dropping-particle":"","parse-names":false,"suffix":""}],"container-title":"Applied Energy","id":"ITEM-2","issue":"November 2018","issued":{"date-parts":[["2019"]]},"page":"1583-1602","publisher":"Elsevier","title":"A comprehensive assessment of alternative absorber-exchanger designs for hybrid PVT-water collectors","type":"article-journal","volume":"235"},"uris":["http://www.mendeley.com/documents/?uuid=7dfa43c7-7651-4c9f-9684-399967146034"]}],"mendeley":{"formattedCitation":"(Brötje et al., 2018; Herrando et al., 2019)","plainTextFormattedCitation":"(Brötje et al., 2018; Herrando et al., 2019)","previouslyFormattedCitation":"(Brötje et al., 2018; Herrando et al., 2019)"},"properties":{"noteIndex":0},"schema":"https://github.com/citation-style-language/schema/raw/master/csl-citation.json"}</w:instrText>
      </w:r>
      <w:r w:rsidR="00EB6F9A">
        <w:rPr>
          <w:lang w:val="de-DE"/>
        </w:rPr>
        <w:fldChar w:fldCharType="separate"/>
      </w:r>
      <w:r w:rsidR="00EB6F9A" w:rsidRPr="00EB6F9A">
        <w:rPr>
          <w:noProof/>
          <w:lang w:val="de-DE"/>
        </w:rPr>
        <w:t>(Brötje et al., 2018; Herrando et al., 2019)</w:t>
      </w:r>
      <w:r w:rsidR="00EB6F9A">
        <w:rPr>
          <w:lang w:val="de-DE"/>
        </w:rPr>
        <w:fldChar w:fldCharType="end"/>
      </w:r>
      <w:r>
        <w:t xml:space="preserve">. </w:t>
      </w:r>
      <w:r w:rsidR="00EB6F9A" w:rsidRPr="00EB6F9A">
        <w:rPr>
          <w:lang w:val="de-DE"/>
        </w:rPr>
        <w:t xml:space="preserve">Metallic </w:t>
      </w:r>
      <w:proofErr w:type="spellStart"/>
      <w:r w:rsidR="00EB6F9A" w:rsidRPr="00EB6F9A">
        <w:rPr>
          <w:lang w:val="de-DE"/>
        </w:rPr>
        <w:t>absorbers</w:t>
      </w:r>
      <w:proofErr w:type="spellEnd"/>
      <w:r w:rsidR="00EB6F9A" w:rsidRPr="00EB6F9A">
        <w:rPr>
          <w:lang w:val="de-DE"/>
        </w:rPr>
        <w:t xml:space="preserve"> </w:t>
      </w:r>
      <w:proofErr w:type="spellStart"/>
      <w:r w:rsidR="00EB6F9A" w:rsidRPr="00EB6F9A">
        <w:rPr>
          <w:lang w:val="de-DE"/>
        </w:rPr>
        <w:t>provide</w:t>
      </w:r>
      <w:proofErr w:type="spellEnd"/>
      <w:r w:rsidR="00EB6F9A" w:rsidRPr="00EB6F9A">
        <w:rPr>
          <w:lang w:val="de-DE"/>
        </w:rPr>
        <w:t xml:space="preserve"> high thermal </w:t>
      </w:r>
      <w:proofErr w:type="spellStart"/>
      <w:r w:rsidR="00EB6F9A" w:rsidRPr="00EB6F9A">
        <w:rPr>
          <w:lang w:val="de-DE"/>
        </w:rPr>
        <w:t>conductivity</w:t>
      </w:r>
      <w:proofErr w:type="spellEnd"/>
      <w:r w:rsidR="00EB6F9A" w:rsidRPr="00EB6F9A">
        <w:rPr>
          <w:lang w:val="de-DE"/>
        </w:rPr>
        <w:t xml:space="preserve"> but </w:t>
      </w:r>
      <w:proofErr w:type="spellStart"/>
      <w:r w:rsidR="00EB6F9A" w:rsidRPr="00EB6F9A">
        <w:rPr>
          <w:lang w:val="de-DE"/>
        </w:rPr>
        <w:t>can</w:t>
      </w:r>
      <w:proofErr w:type="spellEnd"/>
      <w:r w:rsidR="00EB6F9A" w:rsidRPr="00EB6F9A">
        <w:rPr>
          <w:lang w:val="de-DE"/>
        </w:rPr>
        <w:t xml:space="preserve"> </w:t>
      </w:r>
      <w:proofErr w:type="spellStart"/>
      <w:r w:rsidR="00EB6F9A" w:rsidRPr="00EB6F9A">
        <w:rPr>
          <w:lang w:val="de-DE"/>
        </w:rPr>
        <w:t>increase</w:t>
      </w:r>
      <w:proofErr w:type="spellEnd"/>
      <w:r w:rsidR="00EB6F9A" w:rsidRPr="00EB6F9A">
        <w:rPr>
          <w:lang w:val="de-DE"/>
        </w:rPr>
        <w:t xml:space="preserve"> </w:t>
      </w:r>
      <w:proofErr w:type="spellStart"/>
      <w:r w:rsidR="00EB6F9A" w:rsidRPr="00EB6F9A">
        <w:rPr>
          <w:lang w:val="de-DE"/>
        </w:rPr>
        <w:t>collector</w:t>
      </w:r>
      <w:proofErr w:type="spellEnd"/>
      <w:r w:rsidR="00EB6F9A" w:rsidRPr="00EB6F9A">
        <w:rPr>
          <w:lang w:val="de-DE"/>
        </w:rPr>
        <w:t xml:space="preserve"> </w:t>
      </w:r>
      <w:proofErr w:type="spellStart"/>
      <w:r w:rsidR="00EB6F9A" w:rsidRPr="00EB6F9A">
        <w:rPr>
          <w:lang w:val="de-DE"/>
        </w:rPr>
        <w:t>weight</w:t>
      </w:r>
      <w:proofErr w:type="spellEnd"/>
      <w:r w:rsidR="00EB6F9A" w:rsidRPr="00EB6F9A">
        <w:rPr>
          <w:lang w:val="de-DE"/>
        </w:rPr>
        <w:t xml:space="preserve"> and material </w:t>
      </w:r>
      <w:proofErr w:type="spellStart"/>
      <w:r w:rsidR="00EB6F9A" w:rsidRPr="00EB6F9A">
        <w:rPr>
          <w:lang w:val="de-DE"/>
        </w:rPr>
        <w:t>requirements</w:t>
      </w:r>
      <w:proofErr w:type="spellEnd"/>
      <w:r w:rsidR="00EB6F9A" w:rsidRPr="00EB6F9A">
        <w:rPr>
          <w:lang w:val="de-DE"/>
        </w:rPr>
        <w:t xml:space="preserve">, </w:t>
      </w:r>
      <w:proofErr w:type="spellStart"/>
      <w:r w:rsidR="00EB6F9A" w:rsidRPr="00EB6F9A">
        <w:rPr>
          <w:lang w:val="de-DE"/>
        </w:rPr>
        <w:t>whereas</w:t>
      </w:r>
      <w:proofErr w:type="spellEnd"/>
      <w:r w:rsidR="00EB6F9A" w:rsidRPr="00EB6F9A">
        <w:rPr>
          <w:lang w:val="de-DE"/>
        </w:rPr>
        <w:t xml:space="preserve"> </w:t>
      </w:r>
      <w:proofErr w:type="spellStart"/>
      <w:r w:rsidR="00EB6F9A" w:rsidRPr="00EB6F9A">
        <w:rPr>
          <w:lang w:val="de-DE"/>
        </w:rPr>
        <w:t>polymeric</w:t>
      </w:r>
      <w:proofErr w:type="spellEnd"/>
      <w:r w:rsidR="00EB6F9A" w:rsidRPr="00EB6F9A">
        <w:rPr>
          <w:lang w:val="de-DE"/>
        </w:rPr>
        <w:t xml:space="preserve"> </w:t>
      </w:r>
      <w:proofErr w:type="spellStart"/>
      <w:r w:rsidR="00EB6F9A" w:rsidRPr="00EB6F9A">
        <w:rPr>
          <w:lang w:val="de-DE"/>
        </w:rPr>
        <w:t>absorber</w:t>
      </w:r>
      <w:proofErr w:type="spellEnd"/>
      <w:r w:rsidR="00EB6F9A" w:rsidRPr="00EB6F9A">
        <w:rPr>
          <w:lang w:val="de-DE"/>
        </w:rPr>
        <w:t xml:space="preserve"> </w:t>
      </w:r>
      <w:proofErr w:type="spellStart"/>
      <w:r w:rsidR="00EB6F9A" w:rsidRPr="00EB6F9A">
        <w:rPr>
          <w:lang w:val="de-DE"/>
        </w:rPr>
        <w:t>designs</w:t>
      </w:r>
      <w:proofErr w:type="spellEnd"/>
      <w:r w:rsidR="00EB6F9A" w:rsidRPr="00EB6F9A">
        <w:rPr>
          <w:lang w:val="de-DE"/>
        </w:rPr>
        <w:t xml:space="preserve"> </w:t>
      </w:r>
      <w:proofErr w:type="spellStart"/>
      <w:r w:rsidR="00EB6F9A" w:rsidRPr="00EB6F9A">
        <w:rPr>
          <w:lang w:val="de-DE"/>
        </w:rPr>
        <w:t>offer</w:t>
      </w:r>
      <w:proofErr w:type="spellEnd"/>
      <w:r w:rsidR="00EB6F9A" w:rsidRPr="00EB6F9A">
        <w:rPr>
          <w:lang w:val="de-DE"/>
        </w:rPr>
        <w:t xml:space="preserve"> </w:t>
      </w:r>
      <w:proofErr w:type="spellStart"/>
      <w:r w:rsidR="00EB6F9A" w:rsidRPr="00EB6F9A">
        <w:rPr>
          <w:lang w:val="de-DE"/>
        </w:rPr>
        <w:t>opportunities</w:t>
      </w:r>
      <w:proofErr w:type="spellEnd"/>
      <w:r w:rsidR="00EB6F9A" w:rsidRPr="00EB6F9A">
        <w:rPr>
          <w:lang w:val="de-DE"/>
        </w:rPr>
        <w:t xml:space="preserve"> to </w:t>
      </w:r>
      <w:proofErr w:type="spellStart"/>
      <w:r w:rsidR="00EB6F9A" w:rsidRPr="00EB6F9A">
        <w:rPr>
          <w:lang w:val="de-DE"/>
        </w:rPr>
        <w:t>reduce</w:t>
      </w:r>
      <w:proofErr w:type="spellEnd"/>
      <w:r w:rsidR="00EB6F9A" w:rsidRPr="00EB6F9A">
        <w:rPr>
          <w:lang w:val="de-DE"/>
        </w:rPr>
        <w:t xml:space="preserve"> </w:t>
      </w:r>
      <w:proofErr w:type="spellStart"/>
      <w:r w:rsidR="00EB6F9A" w:rsidRPr="00EB6F9A">
        <w:rPr>
          <w:lang w:val="de-DE"/>
        </w:rPr>
        <w:t>weight</w:t>
      </w:r>
      <w:proofErr w:type="spellEnd"/>
      <w:r w:rsidR="00EB6F9A" w:rsidRPr="00EB6F9A">
        <w:rPr>
          <w:lang w:val="de-DE"/>
        </w:rPr>
        <w:t xml:space="preserve"> and </w:t>
      </w:r>
      <w:proofErr w:type="spellStart"/>
      <w:r w:rsidR="00EB6F9A" w:rsidRPr="00EB6F9A">
        <w:rPr>
          <w:lang w:val="de-DE"/>
        </w:rPr>
        <w:t>investment</w:t>
      </w:r>
      <w:proofErr w:type="spellEnd"/>
      <w:r w:rsidR="00EB6F9A" w:rsidRPr="00EB6F9A">
        <w:rPr>
          <w:lang w:val="de-DE"/>
        </w:rPr>
        <w:t xml:space="preserve"> </w:t>
      </w:r>
      <w:proofErr w:type="spellStart"/>
      <w:r w:rsidR="00EB6F9A" w:rsidRPr="00EB6F9A">
        <w:rPr>
          <w:lang w:val="de-DE"/>
        </w:rPr>
        <w:t>cost</w:t>
      </w:r>
      <w:proofErr w:type="spellEnd"/>
      <w:r w:rsidR="00EB6F9A" w:rsidRPr="00EB6F9A">
        <w:rPr>
          <w:lang w:val="de-DE"/>
        </w:rPr>
        <w:t xml:space="preserve"> </w:t>
      </w:r>
      <w:proofErr w:type="spellStart"/>
      <w:r w:rsidR="00EB6F9A" w:rsidRPr="00EB6F9A">
        <w:rPr>
          <w:lang w:val="de-DE"/>
        </w:rPr>
        <w:t>despite</w:t>
      </w:r>
      <w:proofErr w:type="spellEnd"/>
      <w:r w:rsidR="00EB6F9A" w:rsidRPr="00EB6F9A">
        <w:rPr>
          <w:lang w:val="de-DE"/>
        </w:rPr>
        <w:t xml:space="preserve"> </w:t>
      </w:r>
      <w:proofErr w:type="spellStart"/>
      <w:r w:rsidR="00EB6F9A" w:rsidRPr="00EB6F9A">
        <w:rPr>
          <w:lang w:val="de-DE"/>
        </w:rPr>
        <w:t>their</w:t>
      </w:r>
      <w:proofErr w:type="spellEnd"/>
      <w:r w:rsidR="00EB6F9A" w:rsidRPr="00EB6F9A">
        <w:rPr>
          <w:lang w:val="de-DE"/>
        </w:rPr>
        <w:t xml:space="preserve"> </w:t>
      </w:r>
      <w:proofErr w:type="spellStart"/>
      <w:r w:rsidR="00EB6F9A" w:rsidRPr="00EB6F9A">
        <w:rPr>
          <w:lang w:val="de-DE"/>
        </w:rPr>
        <w:t>lower</w:t>
      </w:r>
      <w:proofErr w:type="spellEnd"/>
      <w:r w:rsidR="00EB6F9A" w:rsidRPr="00EB6F9A">
        <w:rPr>
          <w:lang w:val="de-DE"/>
        </w:rPr>
        <w:t xml:space="preserve"> thermal </w:t>
      </w:r>
      <w:proofErr w:type="spellStart"/>
      <w:r w:rsidR="00EB6F9A" w:rsidRPr="00EB6F9A">
        <w:rPr>
          <w:lang w:val="de-DE"/>
        </w:rPr>
        <w:t>conductivity</w:t>
      </w:r>
      <w:proofErr w:type="spellEnd"/>
      <w:r>
        <w:t xml:space="preserve"> </w:t>
      </w:r>
      <w:r w:rsidR="00EB6F9A">
        <w:fldChar w:fldCharType="begin" w:fldLock="1"/>
      </w:r>
      <w:r w:rsidR="00EB6F9A">
        <w:instrText>ADDIN CSL_CITATION {"citationItems":[{"id":"ITEM-1","itemData":{"DOI":"10.1016/j.rser.2016.11.063","ISSN":"18790690","abstract":"Thermal absorbers and their integration methods are critical to solar photovoltaic/thermal (PV/T) modules. These two elements directly influence the cooling effort of PV layers and as a result, the related electrical/thermal/overall efficiency. This paper conducts a critical review on the essential thermal absorbers and their integration methods for the currently-available PV modules for the purpose of producing the combined PV/T modules. A brief overview of different PV/T technologies is initially summarized, including aspects of their structure, efficiencies, thermal governing expressions and their applications. Seven different types of thermal absorbers and four corresponding integration methods are subsequently discussed and summarized in terms of their advantages/disadvantages and the associated application for various PV/T modules. Compared to traditional thermal absorbers, such as sheet-and-tube structure, rectangular tunnel with or without fins/grooves and flat-plate tube, these four types, i.e. micro-channel heat pipe array/heat mat, extruded heat exchanger, roll-bond heat exchanger and cotton wick structure, are promising due to the significant enhancement in terms of efficiency, structure, weight, and cost etc. The appropriate or suitable integration method varies in different cases, i.e. the ethylene-vinyl acetate (EVA) based lamination method seems the best option for integration of PV layer with thermal absorber when compared with other conventional methods, such as direct contact, thermal adhesive and mechanical fixing. Finally, suggestions for further research topics are proposed from five aspects. The overall research results would provide useful information for the assistance of further development of solar PV/T modules with high feasibility for widespread application in energy supply even at district or city-level in the near future.","author":[{"dropping-particle":"","family":"Xu","given":"Peng","non-dropping-particle":"","parse-names":false,"suffix":""},{"dropping-particle":"","family":"Zhang","given":"Xingxing","non-dropping-particle":"","parse-names":false,"suffix":""},{"dropping-particle":"","family":"Shen","given":"Jingchun","non-dropping-particle":"","parse-names":false,"suffix":""},{"dropping-particle":"","family":"Wu","given":"Yupeng","non-dropping-particle":"","parse-names":false,"suffix":""},{"dropping-particle":"","family":"Connelly","given":"Karen","non-dropping-particle":"","parse-names":false,"suffix":""},{"dropping-particle":"","family":"Yang","given":"Tong","non-dropping-particle":"","parse-names":false,"suffix":""},{"dropping-particle":"","family":"Tang","given":"Llewellyn","non-dropping-particle":"","parse-names":false,"suffix":""},{"dropping-particle":"","family":"Xiao","given":"Manxuan","non-dropping-particle":"","parse-names":false,"suffix":""},{"dropping-particle":"","family":"Wei","given":"Yixuan","non-dropping-particle":"","parse-names":false,"suffix":""}],"container-title":"Renewable and Sustainable Energy Reviews","id":"ITEM-1","issued":{"date-parts":[["2017"]]},"title":"A review of thermal absorbers and their integration methods for the combined solar photovoltaic/thermal (PV/T) modules","type":"article","volume":"75"},"uris":["http://www.mendeley.com/documents/?uuid=e5ad2136-d575-3550-aaad-4b17bb544e00"]},{"id":"ITEM-2","itemData":{"DOI":"10.1016/j.apenergy.2018.11.024","ISSN":"03062619","abstract":"In this paper, 26 alternative absorber-exchanger designs for hybrid PV-Thermal (PVT) solar collectors are proposed and compared against a reference-case, commercial sheet-and-tube PVT collector. The collectors involve different geometric design features based on the conventional sheet-and-tube configuration, and also on a newer flat-box structure constructed from alternative polymeric materials with the aim of maintaining or even improving heat transfer and overall (thermal and electrical) performance while achieving reductions in the overall weight and cost of the collectors. The main contributions of this research include: (i) the development and validation of a detailed 3-D computational finite-element model of the proposed PVT collector designs involving multi-physics processes (heat transfer, fluid dynamics and solid mechanics); (ii) results from comparative techno-economic analyses of the proposed PVT designs; and, (iii) further insights from thermal stress and structural deformation analyses of the proposed collectors, which are crucial for ensuring long lifetimes and especially important in the case of polymeric collectors. The results show that, in general, the flat-box designs (characterised by a thin absorber plate) are not sensitive to the flow-channel size or construction material, at least within the range of investigation. A PVT collector featuring a polycarbonate (PC) flat-box design with 3 × 2 mm rectangular channels appears to be a particularly promising alternative to commercial PVT collectors, achieving a slightly improved thermal performance compared to the reference case (with a 4% higher optical efficiency and 15% lower linear heat-loss coefficient), while also lowering the weight (by around 9%) and investment cost (by about 21%) of the collector. The structural analysis shows that the maximum von Mises stress experienced in the absorber-exchanger of the PC flat-box collector is considerably lower than that in the copper sheet-and-tube collector (&lt;13% vs. 64% of the material's yield stress), which is attributed to the larger thermal expansion of the PC absorber-exchanger, that leads to lower stresses. Therefore, the proposed PC flat-box design is not expected to suffer higher strains than the commercially-available PVT collector.","author":[{"dropping-particle":"","family":"Herrando","given":"María","non-dropping-particle":"","parse-names":false,"suffix":""},{"dropping-particle":"","family":"Ramos","given":"Alba","non-dropping-particle":"","parse-names":false,"suffix":""},{"dropping-particle":"","family":"Zabalza","given":"Ignacio","non-dropping-particle":"","parse-names":false,"suffix":""},{"dropping-particle":"","family":"Markides","given":"Christos N.","non-dropping-particle":"","parse-names":false,"suffix":""}],"container-title":"Applied Energy","id":"ITEM-2","issue":"November 2018","issued":{"date-parts":[["2019"]]},"page":"1583-1602","publisher":"Elsevier","title":"A comprehensive assessment of alternative absorber-exchanger designs for hybrid PVT-water collectors","type":"article-journal","volume":"235"},"uris":["http://www.mendeley.com/documents/?uuid=7dfa43c7-7651-4c9f-9684-399967146034"]}],"mendeley":{"formattedCitation":"(Herrando et al., 2019; Xu et al., 2017)","plainTextFormattedCitation":"(Herrando et al., 2019; Xu et al., 2017)","previouslyFormattedCitation":"(Herrando et al., 2019; Xu et al., 2017)"},"properties":{"noteIndex":0},"schema":"https://github.com/citation-style-language/schema/raw/master/csl-citation.json"}</w:instrText>
      </w:r>
      <w:r w:rsidR="00EB6F9A">
        <w:fldChar w:fldCharType="separate"/>
      </w:r>
      <w:r w:rsidR="00EB6F9A" w:rsidRPr="00EB6F9A">
        <w:rPr>
          <w:noProof/>
        </w:rPr>
        <w:t>(Herrando et al., 2019; Xu et al., 2017)</w:t>
      </w:r>
      <w:r w:rsidR="00EB6F9A">
        <w:fldChar w:fldCharType="end"/>
      </w:r>
      <w:r>
        <w:t xml:space="preserve">. </w:t>
      </w:r>
      <w:r w:rsidR="00EB6F9A" w:rsidRPr="00EB6F9A">
        <w:rPr>
          <w:lang w:val="de-DE"/>
        </w:rPr>
        <w:t xml:space="preserve">The relevant </w:t>
      </w:r>
      <w:proofErr w:type="spellStart"/>
      <w:r w:rsidR="00EB6F9A" w:rsidRPr="00EB6F9A">
        <w:rPr>
          <w:lang w:val="de-DE"/>
        </w:rPr>
        <w:t>question</w:t>
      </w:r>
      <w:proofErr w:type="spellEnd"/>
      <w:r w:rsidR="00EB6F9A" w:rsidRPr="00EB6F9A">
        <w:rPr>
          <w:lang w:val="de-DE"/>
        </w:rPr>
        <w:t xml:space="preserve"> for PVT+GSHP </w:t>
      </w:r>
      <w:proofErr w:type="spellStart"/>
      <w:r w:rsidR="00EB6F9A" w:rsidRPr="00EB6F9A">
        <w:rPr>
          <w:lang w:val="de-DE"/>
        </w:rPr>
        <w:t>applications</w:t>
      </w:r>
      <w:proofErr w:type="spellEnd"/>
      <w:r w:rsidR="00EB6F9A" w:rsidRPr="00EB6F9A">
        <w:rPr>
          <w:lang w:val="de-DE"/>
        </w:rPr>
        <w:t xml:space="preserve"> </w:t>
      </w:r>
      <w:proofErr w:type="spellStart"/>
      <w:r w:rsidR="00EB6F9A" w:rsidRPr="00EB6F9A">
        <w:rPr>
          <w:lang w:val="de-DE"/>
        </w:rPr>
        <w:t>is</w:t>
      </w:r>
      <w:proofErr w:type="spellEnd"/>
      <w:r w:rsidR="00EB6F9A" w:rsidRPr="00EB6F9A">
        <w:rPr>
          <w:lang w:val="de-DE"/>
        </w:rPr>
        <w:t xml:space="preserve"> </w:t>
      </w:r>
      <w:proofErr w:type="spellStart"/>
      <w:r w:rsidR="00EB6F9A" w:rsidRPr="00EB6F9A">
        <w:rPr>
          <w:lang w:val="de-DE"/>
        </w:rPr>
        <w:t>therefore</w:t>
      </w:r>
      <w:proofErr w:type="spellEnd"/>
      <w:r w:rsidR="00EB6F9A" w:rsidRPr="00EB6F9A">
        <w:rPr>
          <w:lang w:val="de-DE"/>
        </w:rPr>
        <w:t xml:space="preserve"> not </w:t>
      </w:r>
      <w:proofErr w:type="spellStart"/>
      <w:r w:rsidR="00EB6F9A" w:rsidRPr="00EB6F9A">
        <w:rPr>
          <w:lang w:val="de-DE"/>
        </w:rPr>
        <w:t>only</w:t>
      </w:r>
      <w:proofErr w:type="spellEnd"/>
      <w:r w:rsidR="00EB6F9A" w:rsidRPr="00EB6F9A">
        <w:rPr>
          <w:lang w:val="de-DE"/>
        </w:rPr>
        <w:t xml:space="preserve"> </w:t>
      </w:r>
      <w:proofErr w:type="spellStart"/>
      <w:r w:rsidR="00EB6F9A" w:rsidRPr="00EB6F9A">
        <w:rPr>
          <w:lang w:val="de-DE"/>
        </w:rPr>
        <w:t>whether</w:t>
      </w:r>
      <w:proofErr w:type="spellEnd"/>
      <w:r w:rsidR="00EB6F9A" w:rsidRPr="00EB6F9A">
        <w:rPr>
          <w:lang w:val="de-DE"/>
        </w:rPr>
        <w:t xml:space="preserve"> a </w:t>
      </w:r>
      <w:proofErr w:type="spellStart"/>
      <w:r w:rsidR="00EB6F9A" w:rsidRPr="00EB6F9A">
        <w:rPr>
          <w:lang w:val="de-DE"/>
        </w:rPr>
        <w:t>polymeric</w:t>
      </w:r>
      <w:proofErr w:type="spellEnd"/>
      <w:r w:rsidR="00EB6F9A" w:rsidRPr="00EB6F9A">
        <w:rPr>
          <w:lang w:val="de-DE"/>
        </w:rPr>
        <w:t xml:space="preserve"> </w:t>
      </w:r>
      <w:proofErr w:type="spellStart"/>
      <w:r w:rsidR="00EB6F9A" w:rsidRPr="00EB6F9A">
        <w:rPr>
          <w:lang w:val="de-DE"/>
        </w:rPr>
        <w:t>absorber</w:t>
      </w:r>
      <w:proofErr w:type="spellEnd"/>
      <w:r w:rsidR="00EB6F9A" w:rsidRPr="00EB6F9A">
        <w:rPr>
          <w:lang w:val="de-DE"/>
        </w:rPr>
        <w:t xml:space="preserve"> </w:t>
      </w:r>
      <w:proofErr w:type="spellStart"/>
      <w:r w:rsidR="00EB6F9A" w:rsidRPr="00EB6F9A">
        <w:rPr>
          <w:lang w:val="de-DE"/>
        </w:rPr>
        <w:t>performs</w:t>
      </w:r>
      <w:proofErr w:type="spellEnd"/>
      <w:r w:rsidR="00EB6F9A" w:rsidRPr="00EB6F9A">
        <w:rPr>
          <w:lang w:val="de-DE"/>
        </w:rPr>
        <w:t xml:space="preserve"> as </w:t>
      </w:r>
      <w:proofErr w:type="spellStart"/>
      <w:r w:rsidR="00EB6F9A" w:rsidRPr="00EB6F9A">
        <w:rPr>
          <w:lang w:val="de-DE"/>
        </w:rPr>
        <w:t>well</w:t>
      </w:r>
      <w:proofErr w:type="spellEnd"/>
      <w:r w:rsidR="00EB6F9A" w:rsidRPr="00EB6F9A">
        <w:rPr>
          <w:lang w:val="de-DE"/>
        </w:rPr>
        <w:t xml:space="preserve"> as a </w:t>
      </w:r>
      <w:proofErr w:type="spellStart"/>
      <w:r w:rsidR="00EB6F9A" w:rsidRPr="00EB6F9A">
        <w:rPr>
          <w:lang w:val="de-DE"/>
        </w:rPr>
        <w:t>conventional</w:t>
      </w:r>
      <w:proofErr w:type="spellEnd"/>
      <w:r w:rsidR="00EB6F9A" w:rsidRPr="00EB6F9A">
        <w:rPr>
          <w:lang w:val="de-DE"/>
        </w:rPr>
        <w:t xml:space="preserve"> </w:t>
      </w:r>
      <w:proofErr w:type="spellStart"/>
      <w:r w:rsidR="00EB6F9A" w:rsidRPr="00EB6F9A">
        <w:rPr>
          <w:lang w:val="de-DE"/>
        </w:rPr>
        <w:t>metal</w:t>
      </w:r>
      <w:proofErr w:type="spellEnd"/>
      <w:r w:rsidR="00EB6F9A" w:rsidRPr="00EB6F9A">
        <w:rPr>
          <w:lang w:val="de-DE"/>
        </w:rPr>
        <w:t xml:space="preserve"> </w:t>
      </w:r>
      <w:proofErr w:type="spellStart"/>
      <w:r w:rsidR="00EB6F9A" w:rsidRPr="00EB6F9A">
        <w:rPr>
          <w:lang w:val="de-DE"/>
        </w:rPr>
        <w:t>absorber</w:t>
      </w:r>
      <w:proofErr w:type="spellEnd"/>
      <w:r w:rsidR="00EB6F9A" w:rsidRPr="00EB6F9A">
        <w:rPr>
          <w:lang w:val="de-DE"/>
        </w:rPr>
        <w:t xml:space="preserve"> at </w:t>
      </w:r>
      <w:proofErr w:type="spellStart"/>
      <w:r w:rsidR="00EB6F9A" w:rsidRPr="00EB6F9A">
        <w:rPr>
          <w:lang w:val="de-DE"/>
        </w:rPr>
        <w:t>collector</w:t>
      </w:r>
      <w:proofErr w:type="spellEnd"/>
      <w:r w:rsidR="00EB6F9A" w:rsidRPr="00EB6F9A">
        <w:rPr>
          <w:lang w:val="de-DE"/>
        </w:rPr>
        <w:t xml:space="preserve"> </w:t>
      </w:r>
      <w:proofErr w:type="spellStart"/>
      <w:r w:rsidR="00EB6F9A" w:rsidRPr="00EB6F9A">
        <w:rPr>
          <w:lang w:val="de-DE"/>
        </w:rPr>
        <w:t>level</w:t>
      </w:r>
      <w:proofErr w:type="spellEnd"/>
      <w:r w:rsidR="00EB6F9A" w:rsidRPr="00EB6F9A">
        <w:rPr>
          <w:lang w:val="de-DE"/>
        </w:rPr>
        <w:t xml:space="preserve">, but </w:t>
      </w:r>
      <w:proofErr w:type="spellStart"/>
      <w:r w:rsidR="00EB6F9A" w:rsidRPr="00EB6F9A">
        <w:rPr>
          <w:lang w:val="de-DE"/>
        </w:rPr>
        <w:t>whether</w:t>
      </w:r>
      <w:proofErr w:type="spellEnd"/>
      <w:r w:rsidR="00EB6F9A" w:rsidRPr="00EB6F9A">
        <w:rPr>
          <w:lang w:val="de-DE"/>
        </w:rPr>
        <w:t xml:space="preserve"> </w:t>
      </w:r>
      <w:proofErr w:type="spellStart"/>
      <w:r w:rsidR="00EB6F9A" w:rsidRPr="00EB6F9A">
        <w:rPr>
          <w:lang w:val="de-DE"/>
        </w:rPr>
        <w:t>any</w:t>
      </w:r>
      <w:proofErr w:type="spellEnd"/>
      <w:r w:rsidR="00EB6F9A" w:rsidRPr="00EB6F9A">
        <w:rPr>
          <w:lang w:val="de-DE"/>
        </w:rPr>
        <w:t xml:space="preserve"> </w:t>
      </w:r>
      <w:proofErr w:type="spellStart"/>
      <w:r w:rsidR="00EB6F9A" w:rsidRPr="00EB6F9A">
        <w:rPr>
          <w:lang w:val="de-DE"/>
        </w:rPr>
        <w:t>performance</w:t>
      </w:r>
      <w:proofErr w:type="spellEnd"/>
      <w:r w:rsidR="00EB6F9A" w:rsidRPr="00EB6F9A">
        <w:rPr>
          <w:lang w:val="de-DE"/>
        </w:rPr>
        <w:t xml:space="preserve"> </w:t>
      </w:r>
      <w:proofErr w:type="spellStart"/>
      <w:r w:rsidR="00EB6F9A" w:rsidRPr="00EB6F9A">
        <w:rPr>
          <w:lang w:val="de-DE"/>
        </w:rPr>
        <w:t>penalty</w:t>
      </w:r>
      <w:proofErr w:type="spellEnd"/>
      <w:r w:rsidR="00EB6F9A" w:rsidRPr="00EB6F9A">
        <w:rPr>
          <w:lang w:val="de-DE"/>
        </w:rPr>
        <w:t xml:space="preserve"> </w:t>
      </w:r>
      <w:proofErr w:type="spellStart"/>
      <w:r w:rsidR="00EB6F9A" w:rsidRPr="00EB6F9A">
        <w:rPr>
          <w:lang w:val="de-DE"/>
        </w:rPr>
        <w:t>remains</w:t>
      </w:r>
      <w:proofErr w:type="spellEnd"/>
      <w:r w:rsidR="00EB6F9A" w:rsidRPr="00EB6F9A">
        <w:rPr>
          <w:lang w:val="de-DE"/>
        </w:rPr>
        <w:t xml:space="preserve"> important after </w:t>
      </w:r>
      <w:proofErr w:type="spellStart"/>
      <w:r w:rsidR="00EB6F9A" w:rsidRPr="00EB6F9A">
        <w:rPr>
          <w:lang w:val="de-DE"/>
        </w:rPr>
        <w:t>integration</w:t>
      </w:r>
      <w:proofErr w:type="spellEnd"/>
      <w:r w:rsidR="00EB6F9A" w:rsidRPr="00EB6F9A">
        <w:rPr>
          <w:lang w:val="de-DE"/>
        </w:rPr>
        <w:t xml:space="preserve"> </w:t>
      </w:r>
      <w:proofErr w:type="spellStart"/>
      <w:r w:rsidR="00EB6F9A" w:rsidRPr="00EB6F9A">
        <w:rPr>
          <w:lang w:val="de-DE"/>
        </w:rPr>
        <w:t>into</w:t>
      </w:r>
      <w:proofErr w:type="spellEnd"/>
      <w:r w:rsidR="00EB6F9A" w:rsidRPr="00EB6F9A">
        <w:rPr>
          <w:lang w:val="de-DE"/>
        </w:rPr>
        <w:t xml:space="preserve"> the </w:t>
      </w:r>
      <w:proofErr w:type="spellStart"/>
      <w:r w:rsidR="00EB6F9A" w:rsidRPr="00EB6F9A">
        <w:rPr>
          <w:lang w:val="de-DE"/>
        </w:rPr>
        <w:t>complete</w:t>
      </w:r>
      <w:proofErr w:type="spellEnd"/>
      <w:r w:rsidR="00EB6F9A" w:rsidRPr="00EB6F9A">
        <w:rPr>
          <w:lang w:val="de-DE"/>
        </w:rPr>
        <w:t xml:space="preserve"> </w:t>
      </w:r>
      <w:proofErr w:type="spellStart"/>
      <w:r w:rsidR="00EB6F9A" w:rsidRPr="00EB6F9A">
        <w:rPr>
          <w:lang w:val="de-DE"/>
        </w:rPr>
        <w:t>heating</w:t>
      </w:r>
      <w:proofErr w:type="spellEnd"/>
      <w:r w:rsidR="00EB6F9A" w:rsidRPr="00EB6F9A">
        <w:rPr>
          <w:lang w:val="de-DE"/>
        </w:rPr>
        <w:t xml:space="preserve"> </w:t>
      </w:r>
      <w:proofErr w:type="spellStart"/>
      <w:r w:rsidR="00EB6F9A" w:rsidRPr="00EB6F9A">
        <w:rPr>
          <w:lang w:val="de-DE"/>
        </w:rPr>
        <w:t>system</w:t>
      </w:r>
      <w:proofErr w:type="spellEnd"/>
      <w:r w:rsidR="00EB6F9A" w:rsidRPr="00EB6F9A">
        <w:rPr>
          <w:lang w:val="de-DE"/>
        </w:rPr>
        <w:t>.</w:t>
      </w:r>
    </w:p>
    <w:p w14:paraId="2487B2F4" w14:textId="77777777" w:rsidR="00BE630A" w:rsidRDefault="007361EC" w:rsidP="00DA61E7">
      <w:pPr>
        <w:pStyle w:val="SWCText"/>
        <w:widowControl/>
      </w:pPr>
      <w:r>
        <w:t>This study evaluates a low-cost water-based PVT prototype, developed using inexpensive materials and simple manufacturing methods, against a reference sheet-and-tube PVT panel through experimental testing and 20-year simulations of a PVT+GSHP system. The work focuses on three questions: how the simplified polymeric absorber affects measured thermal behavior, whether differences between collector designs remain significant at system level, and whether the reduction in collector investment cost is sufficient to improve long-term economic performance.</w:t>
      </w:r>
    </w:p>
    <w:p w14:paraId="04E8EFB2" w14:textId="77777777" w:rsidR="00FE6390" w:rsidRPr="00FE6390" w:rsidRDefault="00890224" w:rsidP="00FF3D40">
      <w:pPr>
        <w:pStyle w:val="SWCHeading1"/>
      </w:pPr>
      <w:r>
        <w:t>Meth</w:t>
      </w:r>
      <w:r w:rsidR="00FF3D40">
        <w:t>ods</w:t>
      </w:r>
    </w:p>
    <w:p w14:paraId="4D56E657" w14:textId="12AF35F4" w:rsidR="00EB6F9A" w:rsidRPr="00EB6F9A" w:rsidRDefault="007C2E22" w:rsidP="00EB6F9A">
      <w:pPr>
        <w:pStyle w:val="SWCHeading11"/>
      </w:pPr>
      <w:r>
        <w:t>2</w:t>
      </w:r>
      <w:r w:rsidR="00EB6F9A">
        <w:t xml:space="preserve">.1. </w:t>
      </w:r>
      <w:r w:rsidR="000966D0">
        <w:t>Collector configurations</w:t>
      </w:r>
    </w:p>
    <w:p w14:paraId="72AC5821" w14:textId="74DD4401" w:rsidR="00890224" w:rsidRDefault="00890224" w:rsidP="00B214A1">
      <w:pPr>
        <w:pStyle w:val="SWCText"/>
        <w:widowControl/>
      </w:pPr>
      <w:r>
        <w:t>The prototype, hereon referred to as “Pool PVT”, combines a 425</w:t>
      </w:r>
      <w:r w:rsidR="003234E6">
        <w:t> </w:t>
      </w:r>
      <w:r>
        <w:t>Wp PV panel with a heat exchanger originally designed for pool heating. The 1.95</w:t>
      </w:r>
      <w:r w:rsidR="003234E6">
        <w:t> </w:t>
      </w:r>
      <w:r>
        <w:t xml:space="preserve">m² PV module contains 108 monocrystalline half-cells, while the heat exchanger is made of polyvinyl chloride (PVC) and closely matches the rear dimensions of the PV panel. The absorber is attached using spray adhesive together with mechanical pressure from springs and horizontal metal bars, as shown in </w:t>
      </w:r>
      <w:r w:rsidR="009140DF">
        <w:fldChar w:fldCharType="begin"/>
      </w:r>
      <w:r w:rsidR="009140DF">
        <w:instrText xml:space="preserve"> REF _Ref225553116 \h </w:instrText>
      </w:r>
      <w:r w:rsidR="009140DF">
        <w:fldChar w:fldCharType="separate"/>
      </w:r>
      <w:r w:rsidR="009140DF">
        <w:t xml:space="preserve">Fig. </w:t>
      </w:r>
      <w:r w:rsidR="009140DF">
        <w:rPr>
          <w:noProof/>
        </w:rPr>
        <w:t>1</w:t>
      </w:r>
      <w:r w:rsidR="009140DF">
        <w:fldChar w:fldCharType="end"/>
      </w:r>
      <w:r>
        <w:t xml:space="preserve"> (left). This assembly method was selected to minimize the number of dedicated manufacturing steps and to evaluate the performance that can be achieved with commercially available low-cost components.</w:t>
      </w:r>
    </w:p>
    <w:p w14:paraId="58BDE698" w14:textId="7DC6C22A" w:rsidR="00B55EF3" w:rsidRDefault="000966D0">
      <w:pPr>
        <w:pStyle w:val="SWCText"/>
        <w:widowControl/>
      </w:pPr>
      <w:r>
        <w:t>The reference collector</w:t>
      </w:r>
      <w:r w:rsidR="006C49A2">
        <w:t xml:space="preserve">, shown in </w:t>
      </w:r>
      <w:r w:rsidR="006C49A2">
        <w:fldChar w:fldCharType="begin"/>
      </w:r>
      <w:r w:rsidR="006C49A2">
        <w:instrText xml:space="preserve"> REF _Ref225553116 \h </w:instrText>
      </w:r>
      <w:r w:rsidR="006C49A2">
        <w:fldChar w:fldCharType="separate"/>
      </w:r>
      <w:r w:rsidR="006C49A2">
        <w:t xml:space="preserve">Fig. </w:t>
      </w:r>
      <w:r w:rsidR="006C49A2">
        <w:rPr>
          <w:noProof/>
        </w:rPr>
        <w:t>1</w:t>
      </w:r>
      <w:r w:rsidR="006C49A2">
        <w:fldChar w:fldCharType="end"/>
      </w:r>
      <w:r w:rsidR="006C49A2">
        <w:t xml:space="preserve"> (right)</w:t>
      </w:r>
      <w:r w:rsidR="003234E6">
        <w:t>,</w:t>
      </w:r>
      <w:r>
        <w:t xml:space="preserve"> uses an aluminum sheet-and-tube absorber with a serpentine flow arrangement. It has the same external dimensions and monocrystalline half-cells as the prototype, but a slightly lower rated PV capacity of 420</w:t>
      </w:r>
      <w:r w:rsidR="003234E6">
        <w:t> </w:t>
      </w:r>
      <w:r>
        <w:t>Wp. The aluminum sheet provides continuous thermal contact over a larger fraction of the rear surface and is therefore expected to provide more uniform PV cooling than the polymeric channel structure. The comparison is intentionally focused on the absorber construction: the two collectors have closely matched PV areas and are tested simultaneously under the same outdoor conditions.</w:t>
      </w:r>
    </w:p>
    <w:p w14:paraId="084431C2" w14:textId="77777777" w:rsidR="00FE6390" w:rsidRDefault="00FE6390" w:rsidP="00FF3D40">
      <w:pPr>
        <w:pStyle w:val="SWCText"/>
        <w:keepNext/>
        <w:widowControl/>
        <w:jc w:val="center"/>
      </w:pPr>
      <w:r>
        <w:rPr>
          <w:noProof/>
        </w:rPr>
        <w:drawing>
          <wp:inline distT="0" distB="0" distL="0" distR="0" wp14:anchorId="67E0BB3A" wp14:editId="57E1DA43">
            <wp:extent cx="3354497" cy="2088000"/>
            <wp:effectExtent l="0" t="0" r="0" b="7620"/>
            <wp:docPr id="99939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94203" name=""/>
                    <pic:cNvPicPr/>
                  </pic:nvPicPr>
                  <pic:blipFill>
                    <a:blip r:embed="rId9"/>
                    <a:stretch>
                      <a:fillRect/>
                    </a:stretch>
                  </pic:blipFill>
                  <pic:spPr>
                    <a:xfrm>
                      <a:off x="0" y="0"/>
                      <a:ext cx="3354497" cy="2088000"/>
                    </a:xfrm>
                    <a:prstGeom prst="rect">
                      <a:avLst/>
                    </a:prstGeom>
                  </pic:spPr>
                </pic:pic>
              </a:graphicData>
            </a:graphic>
          </wp:inline>
        </w:drawing>
      </w:r>
      <w:r w:rsidR="00FF3D40">
        <w:t xml:space="preserve">      </w:t>
      </w:r>
      <w:r w:rsidR="00FF3D40">
        <w:rPr>
          <w:noProof/>
        </w:rPr>
        <w:drawing>
          <wp:inline distT="0" distB="0" distL="0" distR="0" wp14:anchorId="7ADAF66D" wp14:editId="635AAF84">
            <wp:extent cx="1668381" cy="2088000"/>
            <wp:effectExtent l="0" t="0" r="8255" b="7620"/>
            <wp:docPr id="754802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02285" name=""/>
                    <pic:cNvPicPr/>
                  </pic:nvPicPr>
                  <pic:blipFill>
                    <a:blip r:embed="rId10"/>
                    <a:stretch>
                      <a:fillRect/>
                    </a:stretch>
                  </pic:blipFill>
                  <pic:spPr>
                    <a:xfrm>
                      <a:off x="0" y="0"/>
                      <a:ext cx="1668381" cy="2088000"/>
                    </a:xfrm>
                    <a:prstGeom prst="rect">
                      <a:avLst/>
                    </a:prstGeom>
                  </pic:spPr>
                </pic:pic>
              </a:graphicData>
            </a:graphic>
          </wp:inline>
        </w:drawing>
      </w:r>
    </w:p>
    <w:p w14:paraId="3B359F77" w14:textId="38AC3D3B" w:rsidR="00FE6390" w:rsidRDefault="009140DF" w:rsidP="009140DF">
      <w:pPr>
        <w:pStyle w:val="SWCTableFigureCaption"/>
      </w:pPr>
      <w:bookmarkStart w:id="0" w:name="_Ref225553116"/>
      <w:r>
        <w:t xml:space="preserve">Fig. </w:t>
      </w:r>
      <w:r>
        <w:fldChar w:fldCharType="begin"/>
      </w:r>
      <w:r>
        <w:instrText xml:space="preserve"> SEQ Fig. \* ARABIC </w:instrText>
      </w:r>
      <w:r>
        <w:fldChar w:fldCharType="separate"/>
      </w:r>
      <w:r w:rsidR="0007187A">
        <w:rPr>
          <w:noProof/>
        </w:rPr>
        <w:t>1</w:t>
      </w:r>
      <w:r>
        <w:fldChar w:fldCharType="end"/>
      </w:r>
      <w:bookmarkEnd w:id="0"/>
      <w:r w:rsidR="00FE6390">
        <w:t xml:space="preserve">: Rear side </w:t>
      </w:r>
      <w:proofErr w:type="gramStart"/>
      <w:r w:rsidR="00FE6390">
        <w:t>of</w:t>
      </w:r>
      <w:r w:rsidR="001F698A">
        <w:t>:</w:t>
      </w:r>
      <w:proofErr w:type="gramEnd"/>
      <w:r w:rsidR="00FE6390">
        <w:t xml:space="preserve"> assembled polymeric absorber</w:t>
      </w:r>
      <w:r w:rsidR="00FF3D40">
        <w:t xml:space="preserve"> (left) reference sheet-and-tube </w:t>
      </w:r>
      <w:r w:rsidR="001F698A">
        <w:t>collector (right)</w:t>
      </w:r>
    </w:p>
    <w:p w14:paraId="133376B8" w14:textId="5CF45F3E" w:rsidR="00B55EF3" w:rsidRDefault="007C2E22">
      <w:pPr>
        <w:pStyle w:val="SWCHeading11"/>
      </w:pPr>
      <w:r>
        <w:t xml:space="preserve">2.2. </w:t>
      </w:r>
      <w:r w:rsidR="000966D0">
        <w:t>Experimental setup</w:t>
      </w:r>
    </w:p>
    <w:p w14:paraId="385E2632" w14:textId="5E40750E" w:rsidR="00FE6390" w:rsidRDefault="00FE6390" w:rsidP="00FE6390">
      <w:pPr>
        <w:pStyle w:val="SWCText"/>
        <w:widowControl/>
      </w:pPr>
      <w:r>
        <w:t>The outdoor testing facility is equipped with a mounting rack, circulation pumps, water tanks, and measuring instruments. The two collectors are mounted facing south at a 45° tilt (</w:t>
      </w:r>
      <w:r w:rsidR="003234E6">
        <w:fldChar w:fldCharType="begin"/>
      </w:r>
      <w:r w:rsidR="003234E6">
        <w:instrText xml:space="preserve"> REF _Ref225724241 \h </w:instrText>
      </w:r>
      <w:r w:rsidR="003234E6">
        <w:fldChar w:fldCharType="separate"/>
      </w:r>
      <w:r w:rsidR="003234E6">
        <w:t xml:space="preserve">Fig. </w:t>
      </w:r>
      <w:r w:rsidR="003234E6">
        <w:rPr>
          <w:noProof/>
        </w:rPr>
        <w:t>2</w:t>
      </w:r>
      <w:r w:rsidR="003234E6">
        <w:fldChar w:fldCharType="end"/>
      </w:r>
      <w:r>
        <w:t>) and connected to separate working-fluid circuits, allowing their thermal response to be compared under the same weather conditions without hydraulic interaction. A variable-speed heat pump cools a cold storage tank and rejects heat through a water-to-air heat exchanger. This enables collector inlet temperatures between approximately -5</w:t>
      </w:r>
      <w:r w:rsidR="003234E6">
        <w:t> </w:t>
      </w:r>
      <w:r>
        <w:t>°C and 10</w:t>
      </w:r>
      <w:r w:rsidR="003234E6">
        <w:t> </w:t>
      </w:r>
      <w:r>
        <w:t>°C, representative of the low source-side temperatures that can occur in heat-pump applications. A 35</w:t>
      </w:r>
      <w:r w:rsidR="003234E6">
        <w:t> </w:t>
      </w:r>
      <w:r>
        <w:t>% propylene glycol solution is used to provide freeze protection, with a freezing point well below the temperatures encountered during the tests.</w:t>
      </w:r>
    </w:p>
    <w:p w14:paraId="0EEC0C3B" w14:textId="77777777" w:rsidR="00B471BC" w:rsidRDefault="00B471BC" w:rsidP="001F698A">
      <w:pPr>
        <w:pStyle w:val="SWCText"/>
        <w:keepNext/>
        <w:widowControl/>
        <w:jc w:val="center"/>
      </w:pPr>
      <w:r>
        <w:rPr>
          <w:noProof/>
        </w:rPr>
        <w:lastRenderedPageBreak/>
        <w:drawing>
          <wp:inline distT="0" distB="0" distL="0" distR="0" wp14:anchorId="48CD858C" wp14:editId="7C2D6DD8">
            <wp:extent cx="5187329" cy="2520000"/>
            <wp:effectExtent l="0" t="0" r="0" b="0"/>
            <wp:docPr id="113673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38870" name=""/>
                    <pic:cNvPicPr/>
                  </pic:nvPicPr>
                  <pic:blipFill>
                    <a:blip r:embed="rId11"/>
                    <a:stretch>
                      <a:fillRect/>
                    </a:stretch>
                  </pic:blipFill>
                  <pic:spPr>
                    <a:xfrm>
                      <a:off x="0" y="0"/>
                      <a:ext cx="5187329" cy="2520000"/>
                    </a:xfrm>
                    <a:prstGeom prst="rect">
                      <a:avLst/>
                    </a:prstGeom>
                  </pic:spPr>
                </pic:pic>
              </a:graphicData>
            </a:graphic>
          </wp:inline>
        </w:drawing>
      </w:r>
    </w:p>
    <w:p w14:paraId="109DF287" w14:textId="546066CD" w:rsidR="00B471BC" w:rsidRDefault="00B471BC" w:rsidP="00B471BC">
      <w:pPr>
        <w:pStyle w:val="SWCTableFigureCaption"/>
        <w:rPr>
          <w:i/>
          <w:iCs/>
        </w:rPr>
      </w:pPr>
      <w:bookmarkStart w:id="1" w:name="_Ref225724241"/>
      <w:r>
        <w:t xml:space="preserve">Fig. </w:t>
      </w:r>
      <w:r>
        <w:fldChar w:fldCharType="begin"/>
      </w:r>
      <w:r>
        <w:instrText xml:space="preserve"> SEQ Fig. \* ARABIC </w:instrText>
      </w:r>
      <w:r>
        <w:fldChar w:fldCharType="separate"/>
      </w:r>
      <w:r w:rsidR="0007187A">
        <w:rPr>
          <w:noProof/>
        </w:rPr>
        <w:t>2</w:t>
      </w:r>
      <w:r>
        <w:fldChar w:fldCharType="end"/>
      </w:r>
      <w:bookmarkEnd w:id="1"/>
      <w:r w:rsidR="001F698A">
        <w:t>:</w:t>
      </w:r>
      <w:r>
        <w:t xml:space="preserve"> PVT outdoor testing facility with prototype collector (red) and reference panel (green)</w:t>
      </w:r>
    </w:p>
    <w:p w14:paraId="166DD646" w14:textId="1EB02540" w:rsidR="00B55EF3" w:rsidRDefault="000966D0">
      <w:pPr>
        <w:pStyle w:val="SWCText"/>
        <w:widowControl/>
      </w:pPr>
      <w:r>
        <w:t>The collectors were monitored from 7 to 30 April 2025</w:t>
      </w:r>
      <w:r w:rsidR="00BE48FF">
        <w:t xml:space="preserve">, </w:t>
      </w:r>
      <w:proofErr w:type="spellStart"/>
      <w:r w:rsidR="00BE48FF" w:rsidRPr="00BE48FF">
        <w:rPr>
          <w:lang w:val="de-DE"/>
        </w:rPr>
        <w:t>with</w:t>
      </w:r>
      <w:proofErr w:type="spellEnd"/>
      <w:r w:rsidR="00BE48FF" w:rsidRPr="00BE48FF">
        <w:rPr>
          <w:lang w:val="de-DE"/>
        </w:rPr>
        <w:t xml:space="preserve"> </w:t>
      </w:r>
      <w:proofErr w:type="spellStart"/>
      <w:r w:rsidR="00BE48FF" w:rsidRPr="00BE48FF">
        <w:rPr>
          <w:lang w:val="de-DE"/>
        </w:rPr>
        <w:t>measurements</w:t>
      </w:r>
      <w:proofErr w:type="spellEnd"/>
      <w:r w:rsidR="00BE48FF" w:rsidRPr="00BE48FF">
        <w:rPr>
          <w:lang w:val="de-DE"/>
        </w:rPr>
        <w:t xml:space="preserve"> </w:t>
      </w:r>
      <w:proofErr w:type="spellStart"/>
      <w:r w:rsidR="00BE48FF" w:rsidRPr="00BE48FF">
        <w:rPr>
          <w:lang w:val="de-DE"/>
        </w:rPr>
        <w:t>recorded</w:t>
      </w:r>
      <w:proofErr w:type="spellEnd"/>
      <w:r w:rsidR="00BE48FF" w:rsidRPr="00BE48FF">
        <w:rPr>
          <w:lang w:val="de-DE"/>
        </w:rPr>
        <w:t xml:space="preserve"> at </w:t>
      </w:r>
      <w:proofErr w:type="spellStart"/>
      <w:r w:rsidR="00BE48FF" w:rsidRPr="00BE48FF">
        <w:rPr>
          <w:lang w:val="de-DE"/>
        </w:rPr>
        <w:t>one</w:t>
      </w:r>
      <w:proofErr w:type="spellEnd"/>
      <w:r w:rsidR="00BE48FF" w:rsidRPr="00BE48FF">
        <w:rPr>
          <w:lang w:val="de-DE"/>
        </w:rPr>
        <w:t xml:space="preserve">-minute </w:t>
      </w:r>
      <w:proofErr w:type="spellStart"/>
      <w:r w:rsidR="00BE48FF" w:rsidRPr="00BE48FF">
        <w:rPr>
          <w:lang w:val="de-DE"/>
        </w:rPr>
        <w:t>intervals</w:t>
      </w:r>
      <w:proofErr w:type="spellEnd"/>
      <w:r w:rsidR="00BE48FF">
        <w:rPr>
          <w:lang w:val="de-DE"/>
        </w:rPr>
        <w:t>.</w:t>
      </w:r>
      <w:r>
        <w:t xml:space="preserve"> Testing was performed under natural spring weather in Stockholm and therefore included periods of clear sky, variable irradiance, wind, overcast conditions, and precipitation. Data affected by rain or heavy overcast were excluded from the regression analysis because </w:t>
      </w:r>
      <w:r w:rsidR="00E4525F">
        <w:t>they are not well represented by</w:t>
      </w:r>
      <w:r>
        <w:t xml:space="preserve"> the quasi-dynamic </w:t>
      </w:r>
      <w:r w:rsidR="00E4525F">
        <w:t>formulation</w:t>
      </w:r>
      <w:r>
        <w:t>. The remaining dataset was used both to compare the collectors directly and to derive performance coefficients for long-term simulation.</w:t>
      </w:r>
    </w:p>
    <w:p w14:paraId="0EC1FBDF" w14:textId="02CFE8D7" w:rsidR="00B55EF3" w:rsidRDefault="007C2E22">
      <w:pPr>
        <w:pStyle w:val="SWCHeading11"/>
      </w:pPr>
      <w:r>
        <w:t xml:space="preserve">2.3. </w:t>
      </w:r>
      <w:r w:rsidR="000966D0">
        <w:t>Thermal performance characterization</w:t>
      </w:r>
    </w:p>
    <w:p w14:paraId="42E85594" w14:textId="6F1E1035" w:rsidR="00B471BC" w:rsidRDefault="00B471BC" w:rsidP="00B471BC">
      <w:pPr>
        <w:pStyle w:val="SWCText"/>
        <w:widowControl/>
      </w:pPr>
      <w:r>
        <w:t xml:space="preserve">The monitored variables include volumetric flow rate, collector inlet and outlet temperature, ambient air temperature, plane-of-array solar irradiance, and wind speed. Specific thermal output is calculated from the measured flow rate, the density and specific heat capacity of the glycol mixture, the temperature </w:t>
      </w:r>
      <w:proofErr w:type="gramStart"/>
      <w:r>
        <w:t>increase</w:t>
      </w:r>
      <w:proofErr w:type="gramEnd"/>
      <w:r>
        <w:t xml:space="preserve"> across the collector, and the collector area. The resulting thermal output is then used to obtain the collector coefficients through regression with a simplified version of the ISO 9806:2017 quasi-dynamic equation (</w:t>
      </w:r>
      <w:r w:rsidR="003E35CE">
        <w:fldChar w:fldCharType="begin"/>
      </w:r>
      <w:r w:rsidR="003E35CE">
        <w:instrText xml:space="preserve"> REF Equation \h </w:instrText>
      </w:r>
      <w:r w:rsidR="003E35CE">
        <w:fldChar w:fldCharType="separate"/>
      </w:r>
      <w:r w:rsidR="003E35CE">
        <w:t>eq. 1</w:t>
      </w:r>
      <w:r w:rsidR="003E35CE">
        <w:fldChar w:fldCharType="end"/>
      </w:r>
      <w:r>
        <w:t xml:space="preserve">) </w:t>
      </w:r>
      <w:r w:rsidR="003234E6">
        <w:fldChar w:fldCharType="begin" w:fldLock="1"/>
      </w:r>
      <w:r w:rsidR="00EC224D">
        <w:instrText>ADDIN CSL_CITATION {"citationItems":[{"id":"ITEM-1","itemData":{"author":[{"dropping-particle":"","family":"ISO","given":"","non-dropping-particle":"","parse-names":false,"suffix":""}],"id":"ITEM-1","issued":{"date-parts":[["2017"]]},"title":"ISO 9806:2017 Solar energy - Solar thermal collectors - Test methods","type":"report"},"uris":["http://www.mendeley.com/documents/?uuid=287cd36f-8ddd-35a6-9e02-003d4d5450ea"]}],"mendeley":{"formattedCitation":"(ISO, 2017)","plainTextFormattedCitation":"(ISO, 2017)","previouslyFormattedCitation":"(ISO, 2017)"},"properties":{"noteIndex":0},"schema":"https://github.com/citation-style-language/schema/raw/master/csl-citation.json"}</w:instrText>
      </w:r>
      <w:r w:rsidR="003234E6">
        <w:fldChar w:fldCharType="separate"/>
      </w:r>
      <w:r w:rsidR="003234E6" w:rsidRPr="003234E6">
        <w:rPr>
          <w:noProof/>
        </w:rPr>
        <w:t>(ISO, 2017)</w:t>
      </w:r>
      <w:r w:rsidR="003234E6">
        <w:fldChar w:fldCharType="end"/>
      </w:r>
      <w:r>
        <w:t>:</w:t>
      </w: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260"/>
      </w:tblGrid>
      <w:tr w:rsidR="00EC4596" w14:paraId="3F793CF1" w14:textId="77777777" w:rsidTr="00EC4596">
        <w:tc>
          <w:tcPr>
            <w:tcW w:w="5529" w:type="dxa"/>
          </w:tcPr>
          <w:p w14:paraId="6627F81D" w14:textId="77777777" w:rsidR="00EC4596" w:rsidRPr="00EC4596" w:rsidRDefault="00000000" w:rsidP="00EC4596">
            <w:pPr>
              <w:pStyle w:val="SWCText"/>
              <w:rPr>
                <w:lang w:eastAsia="en-US"/>
              </w:rPr>
            </w:pPr>
            <m:oMathPara>
              <m:oMathParaPr>
                <m:jc m:val="left"/>
              </m:oMathParaPr>
              <m:oMath>
                <m:sSub>
                  <m:sSubPr>
                    <m:ctrlPr>
                      <w:rPr>
                        <w:rFonts w:ascii="Cambria Math" w:hAnsi="Cambria Math"/>
                        <w:i/>
                      </w:rPr>
                    </m:ctrlPr>
                  </m:sSubPr>
                  <m:e>
                    <m:acc>
                      <m:accPr>
                        <m:chr m:val="̇"/>
                        <m:ctrlPr>
                          <w:rPr>
                            <w:rFonts w:ascii="Cambria Math" w:hAnsi="Cambria Math"/>
                            <w:i/>
                          </w:rPr>
                        </m:ctrlPr>
                      </m:accPr>
                      <m:e>
                        <m:r>
                          <w:rPr>
                            <w:rFonts w:ascii="Cambria Math" w:hAnsi="Cambria Math"/>
                          </w:rPr>
                          <m:t>q</m:t>
                        </m:r>
                      </m:e>
                    </m:acc>
                  </m:e>
                  <m:sub>
                    <m:r>
                      <w:rPr>
                        <w:rFonts w:ascii="Cambria Math" w:hAnsi="Cambria Math"/>
                      </w:rPr>
                      <m:t>th</m:t>
                    </m:r>
                  </m:sub>
                </m:sSub>
                <m:r>
                  <w:rPr>
                    <w:rFonts w:ascii="Cambria Math" w:hAnsi="Cambria Math"/>
                  </w:rPr>
                  <m:t>=</m:t>
                </m:r>
                <m:sSub>
                  <m:sSubPr>
                    <m:ctrlPr>
                      <w:rPr>
                        <w:rFonts w:ascii="Cambria Math" w:hAnsi="Cambria Math"/>
                        <w:i/>
                      </w:rPr>
                    </m:ctrlPr>
                  </m:sSubPr>
                  <m:e>
                    <m:r>
                      <w:rPr>
                        <w:rFonts w:ascii="Cambria Math" w:hAnsi="Cambria Math"/>
                      </w:rPr>
                      <m:t>(η</m:t>
                    </m:r>
                  </m:e>
                  <m:sub>
                    <m:r>
                      <w:rPr>
                        <w:rFonts w:ascii="Cambria Math" w:hAnsi="Cambria Math"/>
                      </w:rPr>
                      <m:t>0,</m:t>
                    </m:r>
                    <m:r>
                      <w:rPr>
                        <w:rFonts w:ascii="Cambria Math" w:hAnsi="Cambria Math"/>
                      </w:rPr>
                      <m:t>hem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6</m:t>
                    </m:r>
                  </m:sub>
                </m:sSub>
                <m:r>
                  <w:rPr>
                    <w:rFonts w:ascii="Cambria Math" w:hAnsi="Cambria Math"/>
                  </w:rPr>
                  <m:t>u')</m:t>
                </m:r>
                <m:sSub>
                  <m:sSubPr>
                    <m:ctrlPr>
                      <w:rPr>
                        <w:rFonts w:ascii="Cambria Math" w:hAnsi="Cambria Math"/>
                        <w:i/>
                      </w:rPr>
                    </m:ctrlPr>
                  </m:sSubPr>
                  <m:e>
                    <m:r>
                      <w:rPr>
                        <w:rFonts w:ascii="Cambria Math" w:hAnsi="Cambria Math"/>
                      </w:rPr>
                      <m:t>G</m:t>
                    </m:r>
                  </m:e>
                  <m:sub>
                    <m:r>
                      <w:rPr>
                        <w:rFonts w:ascii="Cambria Math" w:hAnsi="Cambria Math"/>
                      </w:rPr>
                      <m:t>hem</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3</m:t>
                    </m:r>
                  </m:sub>
                </m:sSub>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a</m:t>
                        </m:r>
                      </m:sub>
                    </m:sSub>
                  </m:e>
                </m:d>
              </m:oMath>
            </m:oMathPara>
          </w:p>
        </w:tc>
        <w:tc>
          <w:tcPr>
            <w:tcW w:w="3260" w:type="dxa"/>
          </w:tcPr>
          <w:p w14:paraId="26665936" w14:textId="77777777" w:rsidR="00EC4596" w:rsidRDefault="00EC4596" w:rsidP="00EC4596">
            <w:pPr>
              <w:rPr>
                <w:lang w:val="en-US" w:eastAsia="en-US"/>
              </w:rPr>
            </w:pPr>
            <w:r w:rsidRPr="00EC4596">
              <w:rPr>
                <w:color w:val="000000"/>
                <w:sz w:val="20"/>
                <w:szCs w:val="22"/>
                <w:lang w:val="en-US"/>
              </w:rPr>
              <w:t>(</w:t>
            </w:r>
            <w:bookmarkStart w:id="2" w:name="Equation"/>
            <w:r>
              <w:rPr>
                <w:color w:val="000000"/>
                <w:sz w:val="20"/>
                <w:szCs w:val="22"/>
                <w:lang w:val="en-US"/>
              </w:rPr>
              <w:t>eq. 1</w:t>
            </w:r>
            <w:bookmarkEnd w:id="2"/>
            <w:r w:rsidRPr="00EC4596">
              <w:rPr>
                <w:color w:val="000000"/>
                <w:sz w:val="20"/>
                <w:szCs w:val="22"/>
                <w:lang w:val="en-US"/>
              </w:rPr>
              <w:t>)</w:t>
            </w:r>
          </w:p>
        </w:tc>
      </w:tr>
    </w:tbl>
    <w:p w14:paraId="2923B89A" w14:textId="6B2DF09F" w:rsidR="001F698A" w:rsidRPr="00317087" w:rsidRDefault="001F698A" w:rsidP="00B471BC">
      <w:pPr>
        <w:pStyle w:val="SWCText"/>
        <w:widowControl/>
      </w:pPr>
      <w:r>
        <w:t xml:space="preserve">where </w:t>
      </w:r>
      <m:oMath>
        <m:sSub>
          <m:sSubPr>
            <m:ctrlPr>
              <w:rPr>
                <w:rFonts w:ascii="Cambria Math" w:hAnsi="Cambria Math"/>
                <w:i/>
              </w:rPr>
            </m:ctrlPr>
          </m:sSubPr>
          <m:e>
            <m:r>
              <w:rPr>
                <w:rFonts w:ascii="Cambria Math" w:hAnsi="Cambria Math"/>
              </w:rPr>
              <m:t>η</m:t>
            </m:r>
          </m:e>
          <m:sub>
            <m:r>
              <w:rPr>
                <w:rFonts w:ascii="Cambria Math" w:hAnsi="Cambria Math"/>
              </w:rPr>
              <m:t>0,</m:t>
            </m:r>
            <m:r>
              <w:rPr>
                <w:rFonts w:ascii="Cambria Math" w:hAnsi="Cambria Math"/>
              </w:rPr>
              <m:t>hem</m:t>
            </m:r>
          </m:sub>
        </m:sSub>
      </m:oMath>
      <w:r>
        <w:t xml:space="preserve">, </w:t>
      </w:r>
      <w:r w:rsidRPr="001F698A">
        <w:t>represents the zero-loss efficiency;</w:t>
      </w:r>
      <w:r>
        <w:t xml:space="preserve">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t xml:space="preserve"> </w:t>
      </w:r>
      <w:r w:rsidRPr="001F698A">
        <w:t>the first-order heat loss coefficient;</w:t>
      </w:r>
      <w:r>
        <w:t xml:space="preserve"> </w:t>
      </w:r>
      <m:oMath>
        <m:sSub>
          <m:sSubPr>
            <m:ctrlPr>
              <w:rPr>
                <w:rFonts w:ascii="Cambria Math" w:hAnsi="Cambria Math"/>
                <w:i/>
              </w:rPr>
            </m:ctrlPr>
          </m:sSubPr>
          <m:e>
            <m:r>
              <w:rPr>
                <w:rFonts w:ascii="Cambria Math" w:hAnsi="Cambria Math"/>
              </w:rPr>
              <m:t>c</m:t>
            </m:r>
          </m:e>
          <m:sub>
            <m:r>
              <w:rPr>
                <w:rFonts w:ascii="Cambria Math" w:hAnsi="Cambria Math"/>
              </w:rPr>
              <m:t>3</m:t>
            </m:r>
          </m:sub>
        </m:sSub>
      </m:oMath>
      <w:r>
        <w:t xml:space="preserve"> </w:t>
      </w:r>
      <w:r w:rsidRPr="001F698A">
        <w:t>the wind-dependent term of the heat loss coefficient;</w:t>
      </w:r>
      <w:r>
        <w:t xml:space="preserve"> </w:t>
      </w:r>
      <m:oMath>
        <m:sSub>
          <m:sSubPr>
            <m:ctrlPr>
              <w:rPr>
                <w:rFonts w:ascii="Cambria Math" w:hAnsi="Cambria Math"/>
                <w:i/>
              </w:rPr>
            </m:ctrlPr>
          </m:sSubPr>
          <m:e>
            <m:r>
              <w:rPr>
                <w:rFonts w:ascii="Cambria Math" w:hAnsi="Cambria Math"/>
              </w:rPr>
              <m:t>c</m:t>
            </m:r>
          </m:e>
          <m:sub>
            <m:r>
              <w:rPr>
                <w:rFonts w:ascii="Cambria Math" w:hAnsi="Cambria Math"/>
              </w:rPr>
              <m:t>6</m:t>
            </m:r>
          </m:sub>
        </m:sSub>
      </m:oMath>
      <w:r w:rsidR="007C11B3">
        <w:t xml:space="preserve"> </w:t>
      </w:r>
      <w:r w:rsidRPr="001F698A">
        <w:t>the wind dependence of the zero-loss efficiency;</w:t>
      </w:r>
      <w:r>
        <w:t xml:space="preserve"> </w:t>
      </w:r>
      <m:oMath>
        <m:sSub>
          <m:sSubPr>
            <m:ctrlPr>
              <w:rPr>
                <w:rFonts w:ascii="Cambria Math" w:hAnsi="Cambria Math"/>
                <w:i/>
              </w:rPr>
            </m:ctrlPr>
          </m:sSubPr>
          <m:e>
            <m:r>
              <w:rPr>
                <w:rFonts w:ascii="Cambria Math" w:hAnsi="Cambria Math"/>
              </w:rPr>
              <m:t>G</m:t>
            </m:r>
          </m:e>
          <m:sub>
            <m:r>
              <w:rPr>
                <w:rFonts w:ascii="Cambria Math" w:hAnsi="Cambria Math"/>
              </w:rPr>
              <m:t>hem</m:t>
            </m:r>
          </m:sub>
        </m:sSub>
      </m:oMath>
      <w:r>
        <w:t xml:space="preserve"> </w:t>
      </w:r>
      <w:r w:rsidRPr="001F698A">
        <w:t>the solar irradiance incident on the plane of the array</w:t>
      </w:r>
      <w:r w:rsidR="009F18CB">
        <w:t xml:space="preserve"> (W/m</w:t>
      </w:r>
      <w:r w:rsidR="009F18CB" w:rsidRPr="007D1CA1">
        <w:rPr>
          <w:vertAlign w:val="superscript"/>
        </w:rPr>
        <w:t>2</w:t>
      </w:r>
      <w:r w:rsidR="009F18CB">
        <w:t>)</w:t>
      </w:r>
      <w:r>
        <w:t xml:space="preserve">; </w:t>
      </w:r>
      <m:oMath>
        <m:r>
          <w:rPr>
            <w:rFonts w:ascii="Cambria Math" w:hAnsi="Cambria Math"/>
          </w:rPr>
          <m:t>u'</m:t>
        </m:r>
      </m:oMath>
      <w:r w:rsidR="00317087">
        <w:t xml:space="preserve"> </w:t>
      </w:r>
      <w:r w:rsidR="00317087" w:rsidRPr="00317087">
        <w:t>is the reduced wind speed</w:t>
      </w:r>
      <w:r w:rsidR="009F18CB">
        <w:t xml:space="preserve"> (m/s)</w:t>
      </w:r>
      <w:r w:rsidR="00317087">
        <w:t xml:space="preserve">; </w:t>
      </w:r>
      <m:oMath>
        <m:sSub>
          <m:sSubPr>
            <m:ctrlPr>
              <w:rPr>
                <w:rFonts w:ascii="Cambria Math" w:hAnsi="Cambria Math"/>
                <w:i/>
              </w:rPr>
            </m:ctrlPr>
          </m:sSubPr>
          <m:e>
            <m:r>
              <w:rPr>
                <w:rFonts w:ascii="Cambria Math" w:hAnsi="Cambria Math"/>
              </w:rPr>
              <m:t>T</m:t>
            </m:r>
          </m:e>
          <m:sub>
            <m:r>
              <w:rPr>
                <w:rFonts w:ascii="Cambria Math" w:hAnsi="Cambria Math"/>
              </w:rPr>
              <m:t>m</m:t>
            </m:r>
          </m:sub>
        </m:sSub>
      </m:oMath>
      <w:r w:rsidR="00317087">
        <w:t xml:space="preserve"> is the mean fluid temperature</w:t>
      </w:r>
      <w:r w:rsidR="006A0DD0">
        <w:t xml:space="preserve"> (</w:t>
      </w:r>
      <w:r w:rsidR="009F18CB">
        <w:sym w:font="Symbol" w:char="F0B0"/>
      </w:r>
      <w:r w:rsidR="009F18CB">
        <w:t>C</w:t>
      </w:r>
      <w:r w:rsidR="006A0DD0">
        <w:t>)</w:t>
      </w:r>
      <w:r w:rsidR="00317087">
        <w:t xml:space="preserve"> through the collector; </w:t>
      </w:r>
      <m:oMath>
        <m:sSub>
          <m:sSubPr>
            <m:ctrlPr>
              <w:rPr>
                <w:rFonts w:ascii="Cambria Math" w:hAnsi="Cambria Math"/>
                <w:i/>
              </w:rPr>
            </m:ctrlPr>
          </m:sSubPr>
          <m:e>
            <m:r>
              <w:rPr>
                <w:rFonts w:ascii="Cambria Math" w:hAnsi="Cambria Math"/>
              </w:rPr>
              <m:t>T</m:t>
            </m:r>
          </m:e>
          <m:sub>
            <m:r>
              <w:rPr>
                <w:rFonts w:ascii="Cambria Math" w:hAnsi="Cambria Math"/>
              </w:rPr>
              <m:t>a</m:t>
            </m:r>
          </m:sub>
        </m:sSub>
      </m:oMath>
      <w:r w:rsidR="00317087">
        <w:t xml:space="preserve"> is the ambient air temperature</w:t>
      </w:r>
      <w:r w:rsidR="006A0DD0">
        <w:t xml:space="preserve"> (</w:t>
      </w:r>
      <w:r w:rsidR="009F18CB">
        <w:sym w:font="Symbol" w:char="F0B0"/>
      </w:r>
      <w:r w:rsidR="009F18CB">
        <w:t>C</w:t>
      </w:r>
      <w:r w:rsidR="006A0DD0">
        <w:t>)</w:t>
      </w:r>
      <w:r w:rsidR="00317087">
        <w:t>.</w:t>
      </w:r>
    </w:p>
    <w:p w14:paraId="5A6DB79F" w14:textId="77777777" w:rsidR="00B55EF3" w:rsidRDefault="000966D0">
      <w:pPr>
        <w:pStyle w:val="SWCText"/>
        <w:widowControl/>
      </w:pPr>
      <w:r>
        <w:t>The regression coefficients describe the zero-loss response to irradiance, first-order heat exchange with the surroundings, and wind dependence. Together they provide a compact representation of collector behavior over a range of operating temperatures and weather conditions. Because the simplified formulation does not explicitly represent all transient effects, the regression results are also checked against measured temperature rise and thermal output during representative sunny and cloudy periods.</w:t>
      </w:r>
    </w:p>
    <w:p w14:paraId="3E2A3A22" w14:textId="70BEEE18" w:rsidR="00B55EF3" w:rsidRDefault="007C2E22">
      <w:pPr>
        <w:pStyle w:val="SWCHeading11"/>
      </w:pPr>
      <w:r>
        <w:t xml:space="preserve">2.4. </w:t>
      </w:r>
      <w:r w:rsidR="000966D0">
        <w:t>Long-term system and economic assessment</w:t>
      </w:r>
    </w:p>
    <w:p w14:paraId="75050F5A" w14:textId="03766DBC" w:rsidR="00B471BC" w:rsidRDefault="00B471BC" w:rsidP="00B471BC">
      <w:pPr>
        <w:pStyle w:val="SWCText"/>
        <w:widowControl/>
      </w:pPr>
      <w:r>
        <w:t>The coefficients are then used in a TRNSYS model for 20-year PVT and GSHP system simulations. The model</w:t>
      </w:r>
      <w:r w:rsidR="003E35CE">
        <w:t xml:space="preserve">, originally developed by </w:t>
      </w:r>
      <w:r w:rsidR="00EC224D">
        <w:fldChar w:fldCharType="begin" w:fldLock="1"/>
      </w:r>
      <w:r w:rsidR="00F242F4">
        <w:instrText>ADDIN CSL_CITATION {"citationItems":[{"id":"ITEM-1","itemData":{"DOI":"10.1016/j.solener.2019.07.080","ISSN":"0038092X","abstract":"The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author":[{"dropping-particle":"","family":"Sommerfeldt","given":"Nelson","non-dropping-particle":"","parse-names":false,"suffix":""},{"dropping-particle":"","family":"Madani","given":"H.","non-dropping-particle":"","parse-names":false,"suffix":""}],"container-title":"Solar Energy","id":"ITEM-1","issue":"July","issued":{"date-parts":[["2019"]]},"page":"44-62","publisher":"Elsevier","title":"In-depth techno-economic analysis of PV/Thermal plus ground source heat pump systems for multi-family houses in a heating dominated climate","type":"article-journal","volume":"190"},"uris":["http://www.mendeley.com/documents/?uuid=af1a24ff-0bf1-4041-979a-77170975171b"]}],"mendeley":{"formattedCitation":"(Sommerfeldt &amp; Madani, 2019)","manualFormatting":"Sommerfeldt &amp; Madani (2019)","plainTextFormattedCitation":"(Sommerfeldt &amp; Madani, 2019)","previouslyFormattedCitation":"(Sommerfeldt &amp; Madani, 2019)"},"properties":{"noteIndex":0},"schema":"https://github.com/citation-style-language/schema/raw/master/csl-citation.json"}</w:instrText>
      </w:r>
      <w:r w:rsidR="00EC224D">
        <w:fldChar w:fldCharType="separate"/>
      </w:r>
      <w:r w:rsidR="00EC224D" w:rsidRPr="00EC224D">
        <w:rPr>
          <w:noProof/>
        </w:rPr>
        <w:t xml:space="preserve">Sommerfeldt &amp; Madani </w:t>
      </w:r>
      <w:r w:rsidR="00EC224D">
        <w:rPr>
          <w:noProof/>
        </w:rPr>
        <w:t>(</w:t>
      </w:r>
      <w:r w:rsidR="00EC224D" w:rsidRPr="00EC224D">
        <w:rPr>
          <w:noProof/>
        </w:rPr>
        <w:t>2019)</w:t>
      </w:r>
      <w:r w:rsidR="00EC224D">
        <w:fldChar w:fldCharType="end"/>
      </w:r>
      <w:r w:rsidR="00EC224D">
        <w:t>,</w:t>
      </w:r>
      <w:r>
        <w:t xml:space="preserve"> represents a 2</w:t>
      </w:r>
      <w:r w:rsidR="007C2E22">
        <w:t>,</w:t>
      </w:r>
      <w:r>
        <w:t xml:space="preserve">000 m² multi-family building in Stockholm, </w:t>
      </w:r>
      <w:r w:rsidR="00AE40B4">
        <w:t xml:space="preserve">demand </w:t>
      </w:r>
      <w:r w:rsidR="00D87CBA">
        <w:t>250</w:t>
      </w:r>
      <w:r w:rsidR="006F435C">
        <w:t xml:space="preserve"> MWh/yr of space heat and </w:t>
      </w:r>
      <w:r w:rsidR="005B3E0D">
        <w:t>76</w:t>
      </w:r>
      <w:r w:rsidR="006F435C">
        <w:t xml:space="preserve"> MWh/yr of hot water supplied by</w:t>
      </w:r>
      <w:r>
        <w:t xml:space="preserve"> a 21-88 kW variable-speed heat pump, eight 300 m boreholes, and 120 roof-mounted PVT collectors. </w:t>
      </w:r>
      <w:proofErr w:type="spellStart"/>
      <w:r w:rsidR="00B815A3" w:rsidRPr="00B815A3">
        <w:rPr>
          <w:lang w:val="de-DE"/>
        </w:rPr>
        <w:t>Three</w:t>
      </w:r>
      <w:proofErr w:type="spellEnd"/>
      <w:r w:rsidR="00B815A3" w:rsidRPr="00B815A3">
        <w:rPr>
          <w:lang w:val="de-DE"/>
        </w:rPr>
        <w:t xml:space="preserve"> </w:t>
      </w:r>
      <w:proofErr w:type="spellStart"/>
      <w:r w:rsidR="00B815A3" w:rsidRPr="00B815A3">
        <w:rPr>
          <w:lang w:val="de-DE"/>
        </w:rPr>
        <w:t>configurations</w:t>
      </w:r>
      <w:proofErr w:type="spellEnd"/>
      <w:r w:rsidR="00B815A3" w:rsidRPr="00B815A3">
        <w:rPr>
          <w:lang w:val="de-DE"/>
        </w:rPr>
        <w:t xml:space="preserve"> </w:t>
      </w:r>
      <w:proofErr w:type="spellStart"/>
      <w:r w:rsidR="00B815A3" w:rsidRPr="00B815A3">
        <w:rPr>
          <w:lang w:val="de-DE"/>
        </w:rPr>
        <w:t>are</w:t>
      </w:r>
      <w:proofErr w:type="spellEnd"/>
      <w:r w:rsidR="00B815A3" w:rsidRPr="00B815A3">
        <w:rPr>
          <w:lang w:val="de-DE"/>
        </w:rPr>
        <w:t xml:space="preserve"> </w:t>
      </w:r>
      <w:proofErr w:type="spellStart"/>
      <w:r w:rsidR="00B815A3" w:rsidRPr="00B815A3">
        <w:rPr>
          <w:lang w:val="de-DE"/>
        </w:rPr>
        <w:t>compared</w:t>
      </w:r>
      <w:proofErr w:type="spellEnd"/>
      <w:r w:rsidR="00B815A3" w:rsidRPr="00B815A3">
        <w:rPr>
          <w:lang w:val="de-DE"/>
        </w:rPr>
        <w:t>: a GSHP-</w:t>
      </w:r>
      <w:proofErr w:type="spellStart"/>
      <w:r w:rsidR="00B815A3" w:rsidRPr="00B815A3">
        <w:rPr>
          <w:lang w:val="de-DE"/>
        </w:rPr>
        <w:t>only</w:t>
      </w:r>
      <w:proofErr w:type="spellEnd"/>
      <w:r w:rsidR="00B815A3" w:rsidRPr="00B815A3">
        <w:rPr>
          <w:lang w:val="de-DE"/>
        </w:rPr>
        <w:t xml:space="preserve"> </w:t>
      </w:r>
      <w:proofErr w:type="spellStart"/>
      <w:r w:rsidR="00B815A3" w:rsidRPr="00B815A3">
        <w:rPr>
          <w:lang w:val="de-DE"/>
        </w:rPr>
        <w:t>reference</w:t>
      </w:r>
      <w:proofErr w:type="spellEnd"/>
      <w:r w:rsidR="00B815A3" w:rsidRPr="00B815A3">
        <w:rPr>
          <w:lang w:val="de-DE"/>
        </w:rPr>
        <w:t xml:space="preserve">, GSHP </w:t>
      </w:r>
      <w:proofErr w:type="spellStart"/>
      <w:r w:rsidR="00B815A3" w:rsidRPr="00B815A3">
        <w:rPr>
          <w:lang w:val="de-DE"/>
        </w:rPr>
        <w:t>combined</w:t>
      </w:r>
      <w:proofErr w:type="spellEnd"/>
      <w:r w:rsidR="00B815A3" w:rsidRPr="00B815A3">
        <w:rPr>
          <w:lang w:val="de-DE"/>
        </w:rPr>
        <w:t xml:space="preserve"> </w:t>
      </w:r>
      <w:proofErr w:type="spellStart"/>
      <w:r w:rsidR="00B815A3" w:rsidRPr="00B815A3">
        <w:rPr>
          <w:lang w:val="de-DE"/>
        </w:rPr>
        <w:t>with</w:t>
      </w:r>
      <w:proofErr w:type="spellEnd"/>
      <w:r w:rsidR="00B815A3" w:rsidRPr="00B815A3">
        <w:rPr>
          <w:lang w:val="de-DE"/>
        </w:rPr>
        <w:t xml:space="preserve"> the Pool PVT prototype, and GSHP </w:t>
      </w:r>
      <w:proofErr w:type="spellStart"/>
      <w:r w:rsidR="00B815A3" w:rsidRPr="00B815A3">
        <w:rPr>
          <w:lang w:val="de-DE"/>
        </w:rPr>
        <w:t>combined</w:t>
      </w:r>
      <w:proofErr w:type="spellEnd"/>
      <w:r w:rsidR="00B815A3" w:rsidRPr="00B815A3">
        <w:rPr>
          <w:lang w:val="de-DE"/>
        </w:rPr>
        <w:t xml:space="preserve"> </w:t>
      </w:r>
      <w:proofErr w:type="spellStart"/>
      <w:r w:rsidR="00B815A3" w:rsidRPr="00B815A3">
        <w:rPr>
          <w:lang w:val="de-DE"/>
        </w:rPr>
        <w:t>with</w:t>
      </w:r>
      <w:proofErr w:type="spellEnd"/>
      <w:r w:rsidR="00B815A3" w:rsidRPr="00B815A3">
        <w:rPr>
          <w:lang w:val="de-DE"/>
        </w:rPr>
        <w:t xml:space="preserve"> the </w:t>
      </w:r>
      <w:proofErr w:type="spellStart"/>
      <w:r w:rsidR="00B815A3" w:rsidRPr="00B815A3">
        <w:rPr>
          <w:lang w:val="de-DE"/>
        </w:rPr>
        <w:t>reference</w:t>
      </w:r>
      <w:proofErr w:type="spellEnd"/>
      <w:r w:rsidR="00B815A3" w:rsidRPr="00B815A3">
        <w:rPr>
          <w:lang w:val="de-DE"/>
        </w:rPr>
        <w:t xml:space="preserve"> </w:t>
      </w:r>
      <w:proofErr w:type="spellStart"/>
      <w:r w:rsidR="00B815A3" w:rsidRPr="00B815A3">
        <w:rPr>
          <w:lang w:val="de-DE"/>
        </w:rPr>
        <w:t>sheet</w:t>
      </w:r>
      <w:proofErr w:type="spellEnd"/>
      <w:r w:rsidR="00B815A3" w:rsidRPr="00B815A3">
        <w:rPr>
          <w:lang w:val="de-DE"/>
        </w:rPr>
        <w:t xml:space="preserve">-and-tube PVT </w:t>
      </w:r>
      <w:proofErr w:type="spellStart"/>
      <w:r w:rsidR="00B815A3" w:rsidRPr="00B815A3">
        <w:rPr>
          <w:lang w:val="de-DE"/>
        </w:rPr>
        <w:t>collector</w:t>
      </w:r>
      <w:proofErr w:type="spellEnd"/>
      <w:r>
        <w:t>. The model captures the long-term interaction between collector output, borehole temperature, heat-pump electricity use, and backup heating.</w:t>
      </w:r>
    </w:p>
    <w:p w14:paraId="53FC2350" w14:textId="0848A340" w:rsidR="00776BDF" w:rsidRDefault="00776BDF" w:rsidP="00B471BC">
      <w:pPr>
        <w:pStyle w:val="SWCText"/>
        <w:widowControl/>
      </w:pPr>
      <w:r w:rsidRPr="00776BDF">
        <w:t xml:space="preserve">System-level performance is evaluated using the seasonal performance factor </w:t>
      </w:r>
      <w:r w:rsidR="004F3373">
        <w:t>(</w:t>
      </w:r>
      <w:r w:rsidRPr="00776BDF">
        <w:t>SPF</w:t>
      </w:r>
      <w:r w:rsidRPr="00776BDF">
        <w:rPr>
          <w:vertAlign w:val="subscript"/>
        </w:rPr>
        <w:t>4+</w:t>
      </w:r>
      <w:r w:rsidR="004F3373" w:rsidRPr="007D1CA1">
        <w:t>)</w:t>
      </w:r>
      <w:r w:rsidRPr="00776BDF">
        <w:t>, and total life-cycle cost</w:t>
      </w:r>
      <w:r w:rsidR="004F3373">
        <w:t xml:space="preserve"> (</w:t>
      </w:r>
      <w:r w:rsidRPr="00776BDF">
        <w:t>TLCC</w:t>
      </w:r>
      <w:r w:rsidR="004F3373">
        <w:t>)</w:t>
      </w:r>
      <w:r w:rsidRPr="00776BDF">
        <w:t xml:space="preserve"> following the definitions presented by </w:t>
      </w:r>
      <w:r>
        <w:fldChar w:fldCharType="begin" w:fldLock="1"/>
      </w:r>
      <w:r w:rsidR="00F242F4">
        <w:instrText>ADDIN CSL_CITATION {"citationItems":[{"id":"ITEM-1","itemData":{"DOI":"10.1016/j.solener.2019.07.080","ISSN":"0038092X","abstract":"The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author":[{"dropping-particle":"","family":"Sommerfeldt","given":"Nelson","non-dropping-particle":"","parse-names":false,"suffix":""},{"dropping-particle":"","family":"Madani","given":"H.","non-dropping-particle":"","parse-names":false,"suffix":""}],"container-title":"Solar Energy","id":"ITEM-1","issue":"July","issued":{"date-parts":[["2019"]]},"page":"44-62","publisher":"Elsevier","title":"In-depth techno-economic analysis of PV/Thermal plus ground source heat pump systems for multi-family houses in a heating dominated climate","type":"article-journal","volume":"190"},"uris":["http://www.mendeley.com/documents/?uuid=af1a24ff-0bf1-4041-979a-77170975171b"]}],"mendeley":{"formattedCitation":"(Sommerfeldt &amp; Madani, 2019)","manualFormatting":"Sommerfeldt &amp; Madani (2019)","plainTextFormattedCitation":"(Sommerfeldt &amp; Madani, 2019)","previouslyFormattedCitation":"(Sommerfeldt &amp; Madani, 2019)"},"properties":{"noteIndex":0},"schema":"https://github.com/citation-style-language/schema/raw/master/csl-citation.json"}</w:instrText>
      </w:r>
      <w:r>
        <w:fldChar w:fldCharType="separate"/>
      </w:r>
      <w:r w:rsidRPr="00EC224D">
        <w:rPr>
          <w:noProof/>
        </w:rPr>
        <w:t xml:space="preserve">Sommerfeldt &amp; Madani </w:t>
      </w:r>
      <w:r>
        <w:rPr>
          <w:noProof/>
        </w:rPr>
        <w:t>(</w:t>
      </w:r>
      <w:r w:rsidRPr="00EC224D">
        <w:rPr>
          <w:noProof/>
        </w:rPr>
        <w:t>2019)</w:t>
      </w:r>
      <w:r>
        <w:fldChar w:fldCharType="end"/>
      </w:r>
      <w:r w:rsidRPr="00776BDF">
        <w:t>. SPF</w:t>
      </w:r>
      <w:r w:rsidRPr="00776BDF">
        <w:rPr>
          <w:vertAlign w:val="subscript"/>
        </w:rPr>
        <w:t>4+</w:t>
      </w:r>
      <w:r w:rsidRPr="00776BDF">
        <w:t xml:space="preserve"> accounts for the total useful heat supplied relative to the electricity consumed by the heat pump and auxiliary components, while TLCC captures the long-term economic performance of the complete system.</w:t>
      </w:r>
    </w:p>
    <w:p w14:paraId="5E2AEA34" w14:textId="1C5D3D67" w:rsidR="00B55EF3" w:rsidRDefault="000966D0">
      <w:pPr>
        <w:pStyle w:val="SWCText"/>
        <w:widowControl/>
      </w:pPr>
      <w:r>
        <w:t xml:space="preserve">For the economic comparison, all system cost assumptions are held equal between the two PVT alternatives except for the </w:t>
      </w:r>
      <w:proofErr w:type="gramStart"/>
      <w:r>
        <w:t>collector</w:t>
      </w:r>
      <w:proofErr w:type="gramEnd"/>
      <w:r>
        <w:t xml:space="preserve"> investment cost.</w:t>
      </w:r>
      <w:r w:rsidR="006E50ED">
        <w:t xml:space="preserve"> </w:t>
      </w:r>
      <w:r w:rsidR="00A83699" w:rsidRPr="00A83699">
        <w:rPr>
          <w:lang w:val="de-DE"/>
        </w:rPr>
        <w:t xml:space="preserve">The </w:t>
      </w:r>
      <w:proofErr w:type="spellStart"/>
      <w:r w:rsidR="00A83699" w:rsidRPr="00A83699">
        <w:rPr>
          <w:lang w:val="de-DE"/>
        </w:rPr>
        <w:t>common</w:t>
      </w:r>
      <w:proofErr w:type="spellEnd"/>
      <w:r w:rsidR="00A83699" w:rsidRPr="00A83699">
        <w:rPr>
          <w:lang w:val="de-DE"/>
        </w:rPr>
        <w:t xml:space="preserve"> </w:t>
      </w:r>
      <w:proofErr w:type="spellStart"/>
      <w:r w:rsidR="00A83699" w:rsidRPr="00A83699">
        <w:rPr>
          <w:lang w:val="de-DE"/>
        </w:rPr>
        <w:t>assumptions</w:t>
      </w:r>
      <w:proofErr w:type="spellEnd"/>
      <w:r w:rsidR="00A83699" w:rsidRPr="00A83699">
        <w:rPr>
          <w:lang w:val="de-DE"/>
        </w:rPr>
        <w:t xml:space="preserve"> </w:t>
      </w:r>
      <w:proofErr w:type="spellStart"/>
      <w:r w:rsidR="00A83699" w:rsidRPr="00A83699">
        <w:rPr>
          <w:lang w:val="de-DE"/>
        </w:rPr>
        <w:t>include</w:t>
      </w:r>
      <w:proofErr w:type="spellEnd"/>
      <w:r w:rsidR="00A83699" w:rsidRPr="00A83699">
        <w:rPr>
          <w:lang w:val="de-DE"/>
        </w:rPr>
        <w:t xml:space="preserve"> a </w:t>
      </w:r>
      <w:proofErr w:type="spellStart"/>
      <w:r w:rsidR="00A83699" w:rsidRPr="00A83699">
        <w:rPr>
          <w:lang w:val="de-DE"/>
        </w:rPr>
        <w:t>fixed</w:t>
      </w:r>
      <w:proofErr w:type="spellEnd"/>
      <w:r w:rsidR="00A83699" w:rsidRPr="00A83699">
        <w:rPr>
          <w:lang w:val="de-DE"/>
        </w:rPr>
        <w:t xml:space="preserve"> PVT </w:t>
      </w:r>
      <w:proofErr w:type="spellStart"/>
      <w:r w:rsidR="00A83699" w:rsidRPr="00A83699">
        <w:rPr>
          <w:lang w:val="de-DE"/>
        </w:rPr>
        <w:t>installation</w:t>
      </w:r>
      <w:proofErr w:type="spellEnd"/>
      <w:r w:rsidR="00A83699" w:rsidRPr="00A83699">
        <w:rPr>
          <w:lang w:val="de-DE"/>
        </w:rPr>
        <w:t xml:space="preserve"> </w:t>
      </w:r>
      <w:proofErr w:type="spellStart"/>
      <w:r w:rsidR="00A83699" w:rsidRPr="00A83699">
        <w:rPr>
          <w:lang w:val="de-DE"/>
        </w:rPr>
        <w:t>cost</w:t>
      </w:r>
      <w:proofErr w:type="spellEnd"/>
      <w:r w:rsidR="00A83699" w:rsidRPr="00A83699">
        <w:rPr>
          <w:lang w:val="de-DE"/>
        </w:rPr>
        <w:t xml:space="preserve"> of </w:t>
      </w:r>
      <w:proofErr w:type="spellStart"/>
      <w:r w:rsidR="00A83699" w:rsidRPr="00A83699">
        <w:rPr>
          <w:lang w:val="de-DE"/>
        </w:rPr>
        <w:lastRenderedPageBreak/>
        <w:t>approximately</w:t>
      </w:r>
      <w:proofErr w:type="spellEnd"/>
      <w:r w:rsidR="00A83699" w:rsidRPr="00A83699">
        <w:rPr>
          <w:lang w:val="de-DE"/>
        </w:rPr>
        <w:t xml:space="preserve"> €</w:t>
      </w:r>
      <w:r w:rsidR="004E5653">
        <w:rPr>
          <w:lang w:val="de-DE"/>
        </w:rPr>
        <w:t> </w:t>
      </w:r>
      <w:r w:rsidR="00A83699" w:rsidRPr="00A83699">
        <w:rPr>
          <w:lang w:val="de-DE"/>
        </w:rPr>
        <w:t xml:space="preserve">11,820 and a variable </w:t>
      </w:r>
      <w:proofErr w:type="spellStart"/>
      <w:r w:rsidR="00A83699" w:rsidRPr="00A83699">
        <w:rPr>
          <w:lang w:val="de-DE"/>
        </w:rPr>
        <w:t>installation</w:t>
      </w:r>
      <w:proofErr w:type="spellEnd"/>
      <w:r w:rsidR="00A83699" w:rsidRPr="00A83699">
        <w:rPr>
          <w:lang w:val="de-DE"/>
        </w:rPr>
        <w:t xml:space="preserve"> </w:t>
      </w:r>
      <w:proofErr w:type="spellStart"/>
      <w:r w:rsidR="00A83699" w:rsidRPr="00A83699">
        <w:rPr>
          <w:lang w:val="de-DE"/>
        </w:rPr>
        <w:t>cost</w:t>
      </w:r>
      <w:proofErr w:type="spellEnd"/>
      <w:r w:rsidR="00A83699" w:rsidRPr="00A83699">
        <w:rPr>
          <w:lang w:val="de-DE"/>
        </w:rPr>
        <w:t xml:space="preserve"> of €</w:t>
      </w:r>
      <w:r w:rsidR="004E5653">
        <w:rPr>
          <w:lang w:val="de-DE"/>
        </w:rPr>
        <w:t> </w:t>
      </w:r>
      <w:r w:rsidR="00A83699" w:rsidRPr="00A83699">
        <w:rPr>
          <w:lang w:val="de-DE"/>
        </w:rPr>
        <w:t xml:space="preserve">400 per </w:t>
      </w:r>
      <w:proofErr w:type="spellStart"/>
      <w:r w:rsidR="00A83699" w:rsidRPr="00A83699">
        <w:rPr>
          <w:lang w:val="de-DE"/>
        </w:rPr>
        <w:t>collector</w:t>
      </w:r>
      <w:proofErr w:type="spellEnd"/>
      <w:r w:rsidR="00A83699" w:rsidRPr="00A83699">
        <w:rPr>
          <w:lang w:val="de-DE"/>
        </w:rPr>
        <w:t xml:space="preserve"> for the 120-collector </w:t>
      </w:r>
      <w:proofErr w:type="spellStart"/>
      <w:r w:rsidR="00A83699" w:rsidRPr="00A83699">
        <w:rPr>
          <w:lang w:val="de-DE"/>
        </w:rPr>
        <w:t>array</w:t>
      </w:r>
      <w:proofErr w:type="spellEnd"/>
      <w:r w:rsidR="00A83699" w:rsidRPr="00A83699">
        <w:rPr>
          <w:lang w:val="de-DE"/>
        </w:rPr>
        <w:t xml:space="preserve">, a </w:t>
      </w:r>
      <w:proofErr w:type="spellStart"/>
      <w:r w:rsidR="00A83699" w:rsidRPr="00A83699">
        <w:rPr>
          <w:lang w:val="de-DE"/>
        </w:rPr>
        <w:t>heat</w:t>
      </w:r>
      <w:proofErr w:type="spellEnd"/>
      <w:r w:rsidR="00A83699" w:rsidRPr="00A83699">
        <w:rPr>
          <w:lang w:val="de-DE"/>
        </w:rPr>
        <w:t xml:space="preserve">-pump </w:t>
      </w:r>
      <w:proofErr w:type="spellStart"/>
      <w:r w:rsidR="00A83699" w:rsidRPr="00A83699">
        <w:rPr>
          <w:lang w:val="de-DE"/>
        </w:rPr>
        <w:t>investment</w:t>
      </w:r>
      <w:proofErr w:type="spellEnd"/>
      <w:r w:rsidR="00A83699" w:rsidRPr="00A83699">
        <w:rPr>
          <w:lang w:val="de-DE"/>
        </w:rPr>
        <w:t xml:space="preserve"> </w:t>
      </w:r>
      <w:proofErr w:type="spellStart"/>
      <w:r w:rsidR="00A83699" w:rsidRPr="00A83699">
        <w:rPr>
          <w:lang w:val="de-DE"/>
        </w:rPr>
        <w:t>cost</w:t>
      </w:r>
      <w:proofErr w:type="spellEnd"/>
      <w:r w:rsidR="00A83699" w:rsidRPr="00A83699">
        <w:rPr>
          <w:lang w:val="de-DE"/>
        </w:rPr>
        <w:t xml:space="preserve"> of </w:t>
      </w:r>
      <w:proofErr w:type="spellStart"/>
      <w:r w:rsidR="00A83699" w:rsidRPr="00A83699">
        <w:rPr>
          <w:lang w:val="de-DE"/>
        </w:rPr>
        <w:t>approximately</w:t>
      </w:r>
      <w:proofErr w:type="spellEnd"/>
      <w:r w:rsidR="00A83699" w:rsidRPr="00A83699">
        <w:rPr>
          <w:lang w:val="de-DE"/>
        </w:rPr>
        <w:t xml:space="preserve"> €</w:t>
      </w:r>
      <w:r w:rsidR="004E5653">
        <w:rPr>
          <w:lang w:val="de-DE"/>
        </w:rPr>
        <w:t> </w:t>
      </w:r>
      <w:r w:rsidR="00A83699" w:rsidRPr="00A83699">
        <w:rPr>
          <w:lang w:val="de-DE"/>
        </w:rPr>
        <w:t xml:space="preserve">68,180, and a </w:t>
      </w:r>
      <w:proofErr w:type="spellStart"/>
      <w:r w:rsidR="00A83699" w:rsidRPr="00A83699">
        <w:rPr>
          <w:lang w:val="de-DE"/>
        </w:rPr>
        <w:t>borehole-field</w:t>
      </w:r>
      <w:proofErr w:type="spellEnd"/>
      <w:r w:rsidR="00A83699" w:rsidRPr="00A83699">
        <w:rPr>
          <w:lang w:val="de-DE"/>
        </w:rPr>
        <w:t xml:space="preserve"> </w:t>
      </w:r>
      <w:proofErr w:type="spellStart"/>
      <w:r w:rsidR="00A83699" w:rsidRPr="00A83699">
        <w:rPr>
          <w:lang w:val="de-DE"/>
        </w:rPr>
        <w:t>investment</w:t>
      </w:r>
      <w:proofErr w:type="spellEnd"/>
      <w:r w:rsidR="00A83699" w:rsidRPr="00A83699">
        <w:rPr>
          <w:lang w:val="de-DE"/>
        </w:rPr>
        <w:t xml:space="preserve"> </w:t>
      </w:r>
      <w:proofErr w:type="spellStart"/>
      <w:r w:rsidR="00A83699" w:rsidRPr="00A83699">
        <w:rPr>
          <w:lang w:val="de-DE"/>
        </w:rPr>
        <w:t>cost</w:t>
      </w:r>
      <w:proofErr w:type="spellEnd"/>
      <w:r w:rsidR="00A83699" w:rsidRPr="00A83699">
        <w:rPr>
          <w:lang w:val="de-DE"/>
        </w:rPr>
        <w:t xml:space="preserve"> of </w:t>
      </w:r>
      <w:proofErr w:type="spellStart"/>
      <w:r w:rsidR="00A83699" w:rsidRPr="00A83699">
        <w:rPr>
          <w:lang w:val="de-DE"/>
        </w:rPr>
        <w:t>approximately</w:t>
      </w:r>
      <w:proofErr w:type="spellEnd"/>
      <w:r w:rsidR="00A83699" w:rsidRPr="00A83699">
        <w:rPr>
          <w:lang w:val="de-DE"/>
        </w:rPr>
        <w:t xml:space="preserve"> €</w:t>
      </w:r>
      <w:r w:rsidR="004E5653">
        <w:rPr>
          <w:lang w:val="de-DE"/>
        </w:rPr>
        <w:t> </w:t>
      </w:r>
      <w:r w:rsidR="00A83699" w:rsidRPr="00A83699">
        <w:rPr>
          <w:lang w:val="de-DE"/>
        </w:rPr>
        <w:t xml:space="preserve">70,450. Equipment </w:t>
      </w:r>
      <w:proofErr w:type="spellStart"/>
      <w:r w:rsidR="00A83699" w:rsidRPr="00A83699">
        <w:rPr>
          <w:lang w:val="de-DE"/>
        </w:rPr>
        <w:t>operation</w:t>
      </w:r>
      <w:proofErr w:type="spellEnd"/>
      <w:r w:rsidR="00A83699" w:rsidRPr="00A83699">
        <w:rPr>
          <w:lang w:val="de-DE"/>
        </w:rPr>
        <w:t xml:space="preserve"> and </w:t>
      </w:r>
      <w:proofErr w:type="spellStart"/>
      <w:r w:rsidR="00A83699" w:rsidRPr="00A83699">
        <w:rPr>
          <w:lang w:val="de-DE"/>
        </w:rPr>
        <w:t>maintenance</w:t>
      </w:r>
      <w:proofErr w:type="spellEnd"/>
      <w:r w:rsidR="00A83699" w:rsidRPr="00A83699">
        <w:rPr>
          <w:lang w:val="de-DE"/>
        </w:rPr>
        <w:t xml:space="preserve"> </w:t>
      </w:r>
      <w:proofErr w:type="spellStart"/>
      <w:r w:rsidR="00A83699" w:rsidRPr="00A83699">
        <w:rPr>
          <w:lang w:val="de-DE"/>
        </w:rPr>
        <w:t>costs</w:t>
      </w:r>
      <w:proofErr w:type="spellEnd"/>
      <w:r w:rsidR="00A83699" w:rsidRPr="00A83699">
        <w:rPr>
          <w:lang w:val="de-DE"/>
        </w:rPr>
        <w:t xml:space="preserve"> </w:t>
      </w:r>
      <w:proofErr w:type="spellStart"/>
      <w:r w:rsidR="00A83699" w:rsidRPr="00A83699">
        <w:rPr>
          <w:lang w:val="de-DE"/>
        </w:rPr>
        <w:t>are</w:t>
      </w:r>
      <w:proofErr w:type="spellEnd"/>
      <w:r w:rsidR="00A83699" w:rsidRPr="00A83699">
        <w:rPr>
          <w:lang w:val="de-DE"/>
        </w:rPr>
        <w:t xml:space="preserve"> </w:t>
      </w:r>
      <w:proofErr w:type="spellStart"/>
      <w:r w:rsidR="00A83699" w:rsidRPr="00A83699">
        <w:rPr>
          <w:lang w:val="de-DE"/>
        </w:rPr>
        <w:t>assumed</w:t>
      </w:r>
      <w:proofErr w:type="spellEnd"/>
      <w:r w:rsidR="00A83699" w:rsidRPr="00A83699">
        <w:rPr>
          <w:lang w:val="de-DE"/>
        </w:rPr>
        <w:t xml:space="preserve"> to </w:t>
      </w:r>
      <w:proofErr w:type="spellStart"/>
      <w:r w:rsidR="00A83699" w:rsidRPr="00A83699">
        <w:rPr>
          <w:lang w:val="de-DE"/>
        </w:rPr>
        <w:t>correspond</w:t>
      </w:r>
      <w:proofErr w:type="spellEnd"/>
      <w:r w:rsidR="00A83699" w:rsidRPr="00A83699">
        <w:rPr>
          <w:lang w:val="de-DE"/>
        </w:rPr>
        <w:t xml:space="preserve"> to 1</w:t>
      </w:r>
      <w:r w:rsidR="004E5653">
        <w:rPr>
          <w:lang w:val="de-DE"/>
        </w:rPr>
        <w:t> </w:t>
      </w:r>
      <w:r w:rsidR="00A83699" w:rsidRPr="00A83699">
        <w:rPr>
          <w:lang w:val="de-DE"/>
        </w:rPr>
        <w:t xml:space="preserve">% of the </w:t>
      </w:r>
      <w:proofErr w:type="spellStart"/>
      <w:r w:rsidR="00A83699" w:rsidRPr="00A83699">
        <w:rPr>
          <w:lang w:val="de-DE"/>
        </w:rPr>
        <w:t>heat</w:t>
      </w:r>
      <w:proofErr w:type="spellEnd"/>
      <w:r w:rsidR="00A83699" w:rsidRPr="00A83699">
        <w:rPr>
          <w:lang w:val="de-DE"/>
        </w:rPr>
        <w:t xml:space="preserve">-pump </w:t>
      </w:r>
      <w:proofErr w:type="spellStart"/>
      <w:r w:rsidR="00A83699" w:rsidRPr="00A83699">
        <w:rPr>
          <w:lang w:val="de-DE"/>
        </w:rPr>
        <w:t>investment</w:t>
      </w:r>
      <w:proofErr w:type="spellEnd"/>
      <w:r w:rsidR="00A83699" w:rsidRPr="00A83699">
        <w:rPr>
          <w:lang w:val="de-DE"/>
        </w:rPr>
        <w:t xml:space="preserve"> </w:t>
      </w:r>
      <w:proofErr w:type="spellStart"/>
      <w:r w:rsidR="00A83699" w:rsidRPr="00A83699">
        <w:rPr>
          <w:lang w:val="de-DE"/>
        </w:rPr>
        <w:t>cost</w:t>
      </w:r>
      <w:proofErr w:type="spellEnd"/>
      <w:r w:rsidR="00A83699" w:rsidRPr="00A83699">
        <w:rPr>
          <w:lang w:val="de-DE"/>
        </w:rPr>
        <w:t xml:space="preserve">. </w:t>
      </w:r>
      <w:proofErr w:type="spellStart"/>
      <w:r w:rsidR="00A83699" w:rsidRPr="00A83699">
        <w:rPr>
          <w:lang w:val="de-DE"/>
        </w:rPr>
        <w:t>Electricity</w:t>
      </w:r>
      <w:proofErr w:type="spellEnd"/>
      <w:r w:rsidR="00A83699" w:rsidRPr="00A83699">
        <w:rPr>
          <w:lang w:val="de-DE"/>
        </w:rPr>
        <w:t xml:space="preserve"> </w:t>
      </w:r>
      <w:proofErr w:type="spellStart"/>
      <w:r w:rsidR="00A83699" w:rsidRPr="00A83699">
        <w:rPr>
          <w:lang w:val="de-DE"/>
        </w:rPr>
        <w:t>is</w:t>
      </w:r>
      <w:proofErr w:type="spellEnd"/>
      <w:r w:rsidR="00A83699" w:rsidRPr="00A83699">
        <w:rPr>
          <w:lang w:val="de-DE"/>
        </w:rPr>
        <w:t xml:space="preserve"> </w:t>
      </w:r>
      <w:proofErr w:type="spellStart"/>
      <w:r w:rsidR="00A83699" w:rsidRPr="00A83699">
        <w:rPr>
          <w:lang w:val="de-DE"/>
        </w:rPr>
        <w:t>purchased</w:t>
      </w:r>
      <w:proofErr w:type="spellEnd"/>
      <w:r w:rsidR="00A83699" w:rsidRPr="00A83699">
        <w:rPr>
          <w:lang w:val="de-DE"/>
        </w:rPr>
        <w:t xml:space="preserve"> at </w:t>
      </w:r>
      <w:proofErr w:type="spellStart"/>
      <w:r w:rsidR="00A83699" w:rsidRPr="00A83699">
        <w:rPr>
          <w:lang w:val="de-DE"/>
        </w:rPr>
        <w:t>approximately</w:t>
      </w:r>
      <w:proofErr w:type="spellEnd"/>
      <w:r w:rsidR="00A83699" w:rsidRPr="00A83699">
        <w:rPr>
          <w:lang w:val="de-DE"/>
        </w:rPr>
        <w:t xml:space="preserve"> €</w:t>
      </w:r>
      <w:r w:rsidR="004E5653">
        <w:rPr>
          <w:lang w:val="de-DE"/>
        </w:rPr>
        <w:t> </w:t>
      </w:r>
      <w:r w:rsidR="00A83699" w:rsidRPr="00A83699">
        <w:rPr>
          <w:lang w:val="de-DE"/>
        </w:rPr>
        <w:t xml:space="preserve">0.145/kWh and </w:t>
      </w:r>
      <w:proofErr w:type="spellStart"/>
      <w:r w:rsidR="00A83699" w:rsidRPr="00A83699">
        <w:rPr>
          <w:lang w:val="de-DE"/>
        </w:rPr>
        <w:t>exported</w:t>
      </w:r>
      <w:proofErr w:type="spellEnd"/>
      <w:r w:rsidR="00A83699" w:rsidRPr="00A83699">
        <w:rPr>
          <w:lang w:val="de-DE"/>
        </w:rPr>
        <w:t xml:space="preserve"> at €</w:t>
      </w:r>
      <w:r w:rsidR="004E5653">
        <w:rPr>
          <w:lang w:val="de-DE"/>
        </w:rPr>
        <w:t> </w:t>
      </w:r>
      <w:r w:rsidR="00A83699" w:rsidRPr="00A83699">
        <w:rPr>
          <w:lang w:val="de-DE"/>
        </w:rPr>
        <w:t xml:space="preserve">0.055/kWh, </w:t>
      </w:r>
      <w:proofErr w:type="spellStart"/>
      <w:r w:rsidR="00A83699" w:rsidRPr="00A83699">
        <w:rPr>
          <w:lang w:val="de-DE"/>
        </w:rPr>
        <w:t>with</w:t>
      </w:r>
      <w:proofErr w:type="spellEnd"/>
      <w:r w:rsidR="00A83699" w:rsidRPr="00A83699">
        <w:rPr>
          <w:lang w:val="de-DE"/>
        </w:rPr>
        <w:t xml:space="preserve"> </w:t>
      </w:r>
      <w:proofErr w:type="spellStart"/>
      <w:r w:rsidR="00A83699" w:rsidRPr="00A83699">
        <w:rPr>
          <w:lang w:val="de-DE"/>
        </w:rPr>
        <w:t>electricity</w:t>
      </w:r>
      <w:proofErr w:type="spellEnd"/>
      <w:r w:rsidR="00A83699" w:rsidRPr="00A83699">
        <w:rPr>
          <w:lang w:val="de-DE"/>
        </w:rPr>
        <w:t xml:space="preserve"> </w:t>
      </w:r>
      <w:proofErr w:type="spellStart"/>
      <w:r w:rsidR="00A83699" w:rsidRPr="00A83699">
        <w:rPr>
          <w:lang w:val="de-DE"/>
        </w:rPr>
        <w:t>prices</w:t>
      </w:r>
      <w:proofErr w:type="spellEnd"/>
      <w:r w:rsidR="00A83699" w:rsidRPr="00A83699">
        <w:rPr>
          <w:lang w:val="de-DE"/>
        </w:rPr>
        <w:t xml:space="preserve"> </w:t>
      </w:r>
      <w:proofErr w:type="spellStart"/>
      <w:r w:rsidR="00A83699" w:rsidRPr="00A83699">
        <w:rPr>
          <w:lang w:val="de-DE"/>
        </w:rPr>
        <w:t>increasing</w:t>
      </w:r>
      <w:proofErr w:type="spellEnd"/>
      <w:r w:rsidR="00A83699" w:rsidRPr="00A83699">
        <w:rPr>
          <w:lang w:val="de-DE"/>
        </w:rPr>
        <w:t xml:space="preserve"> by 1</w:t>
      </w:r>
      <w:r w:rsidR="004E5653">
        <w:rPr>
          <w:lang w:val="de-DE"/>
        </w:rPr>
        <w:t> </w:t>
      </w:r>
      <w:r w:rsidR="00A83699" w:rsidRPr="00A83699">
        <w:rPr>
          <w:lang w:val="de-DE"/>
        </w:rPr>
        <w:t xml:space="preserve">% </w:t>
      </w:r>
      <w:proofErr w:type="spellStart"/>
      <w:r w:rsidR="00A83699" w:rsidRPr="00A83699">
        <w:rPr>
          <w:lang w:val="de-DE"/>
        </w:rPr>
        <w:t>annually</w:t>
      </w:r>
      <w:proofErr w:type="spellEnd"/>
      <w:r w:rsidR="006E50ED" w:rsidRPr="006E50ED">
        <w:rPr>
          <w:lang w:val="de-DE"/>
        </w:rPr>
        <w:t>.</w:t>
      </w:r>
      <w:r>
        <w:t xml:space="preserve"> The estimated retail-equivalent cost of the Pool PVT collector is </w:t>
      </w:r>
      <w:r w:rsidR="004E5653">
        <w:t>€</w:t>
      </w:r>
      <w:r w:rsidR="004E5653">
        <w:t> </w:t>
      </w:r>
      <w:r>
        <w:t>242</w:t>
      </w:r>
      <w:r w:rsidR="007C2E22">
        <w:t> </w:t>
      </w:r>
      <w:r>
        <w:t xml:space="preserve">per panel, based on the prototype materials and the market cost of the PV module, while the reference PVT panel is valued at </w:t>
      </w:r>
      <w:r w:rsidR="004E5653">
        <w:t>€</w:t>
      </w:r>
      <w:r w:rsidR="004E5653">
        <w:t> </w:t>
      </w:r>
      <w:r>
        <w:t>504</w:t>
      </w:r>
      <w:r w:rsidR="007C2E22">
        <w:t> </w:t>
      </w:r>
      <w:r>
        <w:t>per panel. Total life-cycle cost (TLCC) accounts for the main system investments and electricity use over the modeled period. A sensitivity analysis is additionally used to test how uncertainty in the future retail cost of the polymeric prototype affects the economic ranking of the alternatives.</w:t>
      </w:r>
    </w:p>
    <w:p w14:paraId="2F67A622" w14:textId="77777777" w:rsidR="00B471BC" w:rsidRDefault="00B471BC" w:rsidP="00B471BC">
      <w:pPr>
        <w:pStyle w:val="SWCHeading1"/>
      </w:pPr>
      <w:r>
        <w:t>Results</w:t>
      </w:r>
    </w:p>
    <w:p w14:paraId="365D26A4" w14:textId="1A5B1356" w:rsidR="00B55EF3" w:rsidRDefault="007C2E22">
      <w:pPr>
        <w:pStyle w:val="SWCHeading11"/>
      </w:pPr>
      <w:r>
        <w:t xml:space="preserve">3.1. </w:t>
      </w:r>
      <w:r w:rsidR="000966D0">
        <w:t>Experimental collector performance</w:t>
      </w:r>
    </w:p>
    <w:p w14:paraId="2EA03593" w14:textId="1F7916F7" w:rsidR="00B471BC" w:rsidRDefault="004F10CE" w:rsidP="00B471BC">
      <w:pPr>
        <w:pStyle w:val="SWCText"/>
        <w:keepLines/>
        <w:widowControl/>
      </w:pPr>
      <w:r>
        <w:t xml:space="preserve">After filtering the measurements for unsuitable weather periods, the regression analysis used 10,358 data points, corresponding to 7.2 </w:t>
      </w:r>
      <w:r w:rsidR="007C2E22">
        <w:t xml:space="preserve">full </w:t>
      </w:r>
      <w:r>
        <w:t>days</w:t>
      </w:r>
      <w:r w:rsidR="007C2E22">
        <w:t xml:space="preserve"> or 173 hours</w:t>
      </w:r>
      <w:r>
        <w:t xml:space="preserve"> of usable measurements. The fitted models show good agreement with the experimental data, with R² values of 0.835 for Pool PVT and 0.855 for the reference collector. The Pool PVT prototype achieved a zero-loss efficiency of 0.389 compared with 0.372 for the reference panel. The first-order heat loss coefficients were 11.67 and 12.22</w:t>
      </w:r>
      <w:r w:rsidR="0004105B">
        <w:t> </w:t>
      </w:r>
      <w:r>
        <w:t>W/m²K, respectively, while the reported effective U-values were 17.68 and 18.08</w:t>
      </w:r>
      <w:r w:rsidR="0004105B">
        <w:t> </w:t>
      </w:r>
      <w:r>
        <w:t xml:space="preserve">W/m²K. The results indicate that the prototype responds particularly well when irradiance is high, whereas the reference collector has a small advantage </w:t>
      </w:r>
      <w:r w:rsidR="00A7641D">
        <w:t xml:space="preserve">extracting </w:t>
      </w:r>
      <w:r>
        <w:t>heat from the ambient air.</w:t>
      </w:r>
    </w:p>
    <w:p w14:paraId="533413A1" w14:textId="77777777" w:rsidR="00B55EF3" w:rsidRDefault="000966D0">
      <w:pPr>
        <w:pStyle w:val="SWCTableFigureCaption"/>
        <w:keepNext/>
      </w:pPr>
      <w:r>
        <w:t>Table 1. Thermal coefficients obtained from the regression analysis.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1701"/>
        <w:gridCol w:w="1701"/>
        <w:gridCol w:w="1701"/>
      </w:tblGrid>
      <w:tr w:rsidR="00B55EF3" w14:paraId="0C0439A7" w14:textId="77777777" w:rsidTr="00D70DB1">
        <w:trPr>
          <w:jc w:val="center"/>
        </w:trPr>
        <w:tc>
          <w:tcPr>
            <w:tcW w:w="3539" w:type="dxa"/>
            <w:vAlign w:val="center"/>
          </w:tcPr>
          <w:p w14:paraId="0FE1EF6B" w14:textId="77777777" w:rsidR="00B55EF3" w:rsidRDefault="000966D0">
            <w:pPr>
              <w:pStyle w:val="SWCTableHeader"/>
            </w:pPr>
            <w:r>
              <w:t>Parameter</w:t>
            </w:r>
          </w:p>
        </w:tc>
        <w:tc>
          <w:tcPr>
            <w:tcW w:w="1701" w:type="dxa"/>
            <w:vAlign w:val="center"/>
          </w:tcPr>
          <w:p w14:paraId="69AA8CDF" w14:textId="77777777" w:rsidR="00B55EF3" w:rsidRDefault="000966D0">
            <w:pPr>
              <w:pStyle w:val="SWCTableHeader"/>
            </w:pPr>
            <w:r>
              <w:t>Pool PVT</w:t>
            </w:r>
          </w:p>
        </w:tc>
        <w:tc>
          <w:tcPr>
            <w:tcW w:w="1701" w:type="dxa"/>
            <w:vAlign w:val="center"/>
          </w:tcPr>
          <w:p w14:paraId="4EEB3F45" w14:textId="77777777" w:rsidR="00B55EF3" w:rsidRDefault="000966D0">
            <w:pPr>
              <w:pStyle w:val="SWCTableHeader"/>
            </w:pPr>
            <w:r>
              <w:t>Reference</w:t>
            </w:r>
          </w:p>
        </w:tc>
        <w:tc>
          <w:tcPr>
            <w:tcW w:w="1701" w:type="dxa"/>
            <w:vAlign w:val="center"/>
          </w:tcPr>
          <w:p w14:paraId="31E7285D" w14:textId="77777777" w:rsidR="00B55EF3" w:rsidRDefault="000966D0">
            <w:pPr>
              <w:pStyle w:val="SWCTableHeader"/>
            </w:pPr>
            <w:r>
              <w:t>Unit</w:t>
            </w:r>
          </w:p>
        </w:tc>
      </w:tr>
      <w:tr w:rsidR="00B55EF3" w14:paraId="44396412" w14:textId="77777777" w:rsidTr="00D70DB1">
        <w:trPr>
          <w:jc w:val="center"/>
        </w:trPr>
        <w:tc>
          <w:tcPr>
            <w:tcW w:w="3539" w:type="dxa"/>
            <w:vAlign w:val="center"/>
          </w:tcPr>
          <w:p w14:paraId="1924622F" w14:textId="77777777" w:rsidR="00B55EF3" w:rsidRDefault="000966D0">
            <w:pPr>
              <w:pStyle w:val="SWCTableText"/>
              <w:jc w:val="left"/>
            </w:pPr>
            <w:r>
              <w:t>Zero-loss efficiency</w:t>
            </w:r>
          </w:p>
        </w:tc>
        <w:tc>
          <w:tcPr>
            <w:tcW w:w="1701" w:type="dxa"/>
            <w:vAlign w:val="center"/>
          </w:tcPr>
          <w:p w14:paraId="23D7667D" w14:textId="77777777" w:rsidR="00B55EF3" w:rsidRDefault="000966D0">
            <w:pPr>
              <w:pStyle w:val="SWCTableText"/>
            </w:pPr>
            <w:r>
              <w:t>0.389</w:t>
            </w:r>
          </w:p>
        </w:tc>
        <w:tc>
          <w:tcPr>
            <w:tcW w:w="1701" w:type="dxa"/>
            <w:vAlign w:val="center"/>
          </w:tcPr>
          <w:p w14:paraId="198392D8" w14:textId="77777777" w:rsidR="00B55EF3" w:rsidRDefault="000966D0">
            <w:pPr>
              <w:pStyle w:val="SWCTableText"/>
            </w:pPr>
            <w:r>
              <w:t>0.372</w:t>
            </w:r>
          </w:p>
        </w:tc>
        <w:tc>
          <w:tcPr>
            <w:tcW w:w="1701" w:type="dxa"/>
            <w:vAlign w:val="center"/>
          </w:tcPr>
          <w:p w14:paraId="67A51C3E" w14:textId="77777777" w:rsidR="00B55EF3" w:rsidRDefault="000966D0">
            <w:pPr>
              <w:pStyle w:val="SWCTableText"/>
            </w:pPr>
            <w:r>
              <w:t>-</w:t>
            </w:r>
          </w:p>
        </w:tc>
      </w:tr>
      <w:tr w:rsidR="00B55EF3" w14:paraId="3AB463A6" w14:textId="77777777" w:rsidTr="00D70DB1">
        <w:trPr>
          <w:jc w:val="center"/>
        </w:trPr>
        <w:tc>
          <w:tcPr>
            <w:tcW w:w="3539" w:type="dxa"/>
            <w:vAlign w:val="center"/>
          </w:tcPr>
          <w:p w14:paraId="68C0CF71" w14:textId="77777777" w:rsidR="00B55EF3" w:rsidRDefault="000966D0">
            <w:pPr>
              <w:pStyle w:val="SWCTableText"/>
              <w:jc w:val="left"/>
            </w:pPr>
            <w:r>
              <w:t>First-order heat loss coefficient</w:t>
            </w:r>
          </w:p>
        </w:tc>
        <w:tc>
          <w:tcPr>
            <w:tcW w:w="1701" w:type="dxa"/>
            <w:vAlign w:val="center"/>
          </w:tcPr>
          <w:p w14:paraId="47E31823" w14:textId="77777777" w:rsidR="00B55EF3" w:rsidRDefault="000966D0">
            <w:pPr>
              <w:pStyle w:val="SWCTableText"/>
            </w:pPr>
            <w:r>
              <w:t>11.67</w:t>
            </w:r>
          </w:p>
        </w:tc>
        <w:tc>
          <w:tcPr>
            <w:tcW w:w="1701" w:type="dxa"/>
            <w:vAlign w:val="center"/>
          </w:tcPr>
          <w:p w14:paraId="6E21DABE" w14:textId="77777777" w:rsidR="00B55EF3" w:rsidRDefault="000966D0">
            <w:pPr>
              <w:pStyle w:val="SWCTableText"/>
            </w:pPr>
            <w:r>
              <w:t>12.22</w:t>
            </w:r>
          </w:p>
        </w:tc>
        <w:tc>
          <w:tcPr>
            <w:tcW w:w="1701" w:type="dxa"/>
            <w:vAlign w:val="center"/>
          </w:tcPr>
          <w:p w14:paraId="23D197AC" w14:textId="77777777" w:rsidR="00B55EF3" w:rsidRDefault="000966D0">
            <w:pPr>
              <w:pStyle w:val="SWCTableText"/>
            </w:pPr>
            <w:r>
              <w:t>W/m²K</w:t>
            </w:r>
          </w:p>
        </w:tc>
      </w:tr>
      <w:tr w:rsidR="00B55EF3" w14:paraId="48327E7C" w14:textId="77777777" w:rsidTr="00D70DB1">
        <w:trPr>
          <w:jc w:val="center"/>
        </w:trPr>
        <w:tc>
          <w:tcPr>
            <w:tcW w:w="3539" w:type="dxa"/>
            <w:vAlign w:val="center"/>
          </w:tcPr>
          <w:p w14:paraId="355F99B1" w14:textId="77777777" w:rsidR="00B55EF3" w:rsidRDefault="000966D0">
            <w:pPr>
              <w:pStyle w:val="SWCTableText"/>
              <w:jc w:val="left"/>
            </w:pPr>
            <w:r>
              <w:t>Wind-dependent heat-loss term</w:t>
            </w:r>
          </w:p>
        </w:tc>
        <w:tc>
          <w:tcPr>
            <w:tcW w:w="1701" w:type="dxa"/>
            <w:vAlign w:val="center"/>
          </w:tcPr>
          <w:p w14:paraId="2F97F298" w14:textId="77777777" w:rsidR="00B55EF3" w:rsidRDefault="000966D0">
            <w:pPr>
              <w:pStyle w:val="SWCTableText"/>
            </w:pPr>
            <w:r>
              <w:t>4.62</w:t>
            </w:r>
          </w:p>
        </w:tc>
        <w:tc>
          <w:tcPr>
            <w:tcW w:w="1701" w:type="dxa"/>
            <w:vAlign w:val="center"/>
          </w:tcPr>
          <w:p w14:paraId="73427C25" w14:textId="77777777" w:rsidR="00B55EF3" w:rsidRDefault="000966D0">
            <w:pPr>
              <w:pStyle w:val="SWCTableText"/>
            </w:pPr>
            <w:r>
              <w:t>4.50</w:t>
            </w:r>
          </w:p>
        </w:tc>
        <w:tc>
          <w:tcPr>
            <w:tcW w:w="1701" w:type="dxa"/>
            <w:vAlign w:val="center"/>
          </w:tcPr>
          <w:p w14:paraId="58A189DB" w14:textId="77777777" w:rsidR="00B55EF3" w:rsidRDefault="000966D0">
            <w:pPr>
              <w:pStyle w:val="SWCTableText"/>
            </w:pPr>
            <w:r>
              <w:t>J/m³K</w:t>
            </w:r>
          </w:p>
        </w:tc>
      </w:tr>
      <w:tr w:rsidR="00B55EF3" w14:paraId="35060DEC" w14:textId="77777777" w:rsidTr="00D70DB1">
        <w:trPr>
          <w:jc w:val="center"/>
        </w:trPr>
        <w:tc>
          <w:tcPr>
            <w:tcW w:w="3539" w:type="dxa"/>
            <w:vAlign w:val="center"/>
          </w:tcPr>
          <w:p w14:paraId="542B326A" w14:textId="77777777" w:rsidR="00B55EF3" w:rsidRDefault="000966D0">
            <w:pPr>
              <w:pStyle w:val="SWCTableText"/>
              <w:jc w:val="left"/>
            </w:pPr>
            <w:r>
              <w:t>Wind dependence of zero-loss efficiency</w:t>
            </w:r>
          </w:p>
        </w:tc>
        <w:tc>
          <w:tcPr>
            <w:tcW w:w="1701" w:type="dxa"/>
            <w:vAlign w:val="center"/>
          </w:tcPr>
          <w:p w14:paraId="1839DE68" w14:textId="77777777" w:rsidR="00B55EF3" w:rsidRDefault="000966D0">
            <w:pPr>
              <w:pStyle w:val="SWCTableText"/>
            </w:pPr>
            <w:r>
              <w:t>0.032</w:t>
            </w:r>
          </w:p>
        </w:tc>
        <w:tc>
          <w:tcPr>
            <w:tcW w:w="1701" w:type="dxa"/>
            <w:vAlign w:val="center"/>
          </w:tcPr>
          <w:p w14:paraId="7F1603B5" w14:textId="77777777" w:rsidR="00B55EF3" w:rsidRDefault="000966D0">
            <w:pPr>
              <w:pStyle w:val="SWCTableText"/>
            </w:pPr>
            <w:r>
              <w:t>0.037</w:t>
            </w:r>
          </w:p>
        </w:tc>
        <w:tc>
          <w:tcPr>
            <w:tcW w:w="1701" w:type="dxa"/>
            <w:vAlign w:val="center"/>
          </w:tcPr>
          <w:p w14:paraId="0A994559" w14:textId="77777777" w:rsidR="00B55EF3" w:rsidRDefault="000966D0">
            <w:pPr>
              <w:pStyle w:val="SWCTableText"/>
            </w:pPr>
            <w:r>
              <w:t>s/m</w:t>
            </w:r>
          </w:p>
        </w:tc>
      </w:tr>
      <w:tr w:rsidR="00B55EF3" w14:paraId="12AFD6BD" w14:textId="77777777" w:rsidTr="00D70DB1">
        <w:trPr>
          <w:jc w:val="center"/>
        </w:trPr>
        <w:tc>
          <w:tcPr>
            <w:tcW w:w="3539" w:type="dxa"/>
            <w:vAlign w:val="center"/>
          </w:tcPr>
          <w:p w14:paraId="4450DF1D" w14:textId="77777777" w:rsidR="00B55EF3" w:rsidRDefault="000966D0">
            <w:pPr>
              <w:pStyle w:val="SWCTableText"/>
              <w:jc w:val="left"/>
            </w:pPr>
            <w:r>
              <w:t>Effective U-value</w:t>
            </w:r>
          </w:p>
        </w:tc>
        <w:tc>
          <w:tcPr>
            <w:tcW w:w="1701" w:type="dxa"/>
            <w:vAlign w:val="center"/>
          </w:tcPr>
          <w:p w14:paraId="6D8C4734" w14:textId="77777777" w:rsidR="00B55EF3" w:rsidRDefault="000966D0">
            <w:pPr>
              <w:pStyle w:val="SWCTableText"/>
            </w:pPr>
            <w:r>
              <w:t>17.68</w:t>
            </w:r>
          </w:p>
        </w:tc>
        <w:tc>
          <w:tcPr>
            <w:tcW w:w="1701" w:type="dxa"/>
            <w:vAlign w:val="center"/>
          </w:tcPr>
          <w:p w14:paraId="399496C5" w14:textId="77777777" w:rsidR="00B55EF3" w:rsidRDefault="000966D0">
            <w:pPr>
              <w:pStyle w:val="SWCTableText"/>
            </w:pPr>
            <w:r>
              <w:t>18.08</w:t>
            </w:r>
          </w:p>
        </w:tc>
        <w:tc>
          <w:tcPr>
            <w:tcW w:w="1701" w:type="dxa"/>
            <w:vAlign w:val="center"/>
          </w:tcPr>
          <w:p w14:paraId="1468C73B" w14:textId="77777777" w:rsidR="00B55EF3" w:rsidRDefault="000966D0">
            <w:pPr>
              <w:pStyle w:val="SWCTableText"/>
            </w:pPr>
            <w:r>
              <w:t>W/m²K</w:t>
            </w:r>
          </w:p>
        </w:tc>
      </w:tr>
      <w:tr w:rsidR="00B55EF3" w14:paraId="74FEF9D4" w14:textId="77777777" w:rsidTr="00D70DB1">
        <w:trPr>
          <w:jc w:val="center"/>
        </w:trPr>
        <w:tc>
          <w:tcPr>
            <w:tcW w:w="3539" w:type="dxa"/>
            <w:vAlign w:val="center"/>
          </w:tcPr>
          <w:p w14:paraId="7ECDBBE4" w14:textId="77777777" w:rsidR="00B55EF3" w:rsidRDefault="000966D0">
            <w:pPr>
              <w:pStyle w:val="SWCTableText"/>
              <w:jc w:val="left"/>
            </w:pPr>
            <w:r>
              <w:t>R²</w:t>
            </w:r>
          </w:p>
        </w:tc>
        <w:tc>
          <w:tcPr>
            <w:tcW w:w="1701" w:type="dxa"/>
            <w:vAlign w:val="center"/>
          </w:tcPr>
          <w:p w14:paraId="35AE129D" w14:textId="77777777" w:rsidR="00B55EF3" w:rsidRDefault="000966D0">
            <w:pPr>
              <w:pStyle w:val="SWCTableText"/>
            </w:pPr>
            <w:r>
              <w:t>0.835</w:t>
            </w:r>
          </w:p>
        </w:tc>
        <w:tc>
          <w:tcPr>
            <w:tcW w:w="1701" w:type="dxa"/>
            <w:vAlign w:val="center"/>
          </w:tcPr>
          <w:p w14:paraId="720CE361" w14:textId="77777777" w:rsidR="00B55EF3" w:rsidRDefault="000966D0">
            <w:pPr>
              <w:pStyle w:val="SWCTableText"/>
            </w:pPr>
            <w:r>
              <w:t>0.855</w:t>
            </w:r>
          </w:p>
        </w:tc>
        <w:tc>
          <w:tcPr>
            <w:tcW w:w="1701" w:type="dxa"/>
            <w:vAlign w:val="center"/>
          </w:tcPr>
          <w:p w14:paraId="737BF1FA" w14:textId="77777777" w:rsidR="00B55EF3" w:rsidRDefault="000966D0">
            <w:pPr>
              <w:pStyle w:val="SWCTableText"/>
            </w:pPr>
            <w:r>
              <w:t>-</w:t>
            </w:r>
          </w:p>
        </w:tc>
      </w:tr>
    </w:tbl>
    <w:p w14:paraId="74C33D83" w14:textId="5789BC30" w:rsidR="00B55EF3" w:rsidRDefault="000966D0" w:rsidP="007C2E22">
      <w:pPr>
        <w:pStyle w:val="SWCText"/>
        <w:widowControl/>
        <w:spacing w:before="240"/>
      </w:pPr>
      <w:r>
        <w:t>Direct comparison of the monitored periods supports the regression results. On high-irradiance days, the Pool PVT collector produced a slightly larger temperature rise and thermal output, while the reference collector performed somewhat better during low-irradiance periods. Infrared imaging also showed a clear difference in rear-side heat transfer (</w:t>
      </w:r>
      <w:r w:rsidR="0097016C">
        <w:fldChar w:fldCharType="begin"/>
      </w:r>
      <w:r w:rsidR="0097016C">
        <w:instrText xml:space="preserve"> REF _Ref238766014 \h </w:instrText>
      </w:r>
      <w:r w:rsidR="0097016C">
        <w:fldChar w:fldCharType="separate"/>
      </w:r>
      <w:r w:rsidR="0097016C">
        <w:t xml:space="preserve">Fig. </w:t>
      </w:r>
      <w:r w:rsidR="0097016C">
        <w:rPr>
          <w:noProof/>
        </w:rPr>
        <w:t>3</w:t>
      </w:r>
      <w:r w:rsidR="0097016C">
        <w:fldChar w:fldCharType="end"/>
      </w:r>
      <w:r>
        <w:t>). The aluminum reference collector cooled the PV surface more uniformly, whereas the polymeric prototype extracted heat mainly along the fluid channels and showed warmer regions around areas with weaker contact, particularly close to the junction box. Despite this less uniform cooling pattern, the larger contact area of the polymeric channel structure was sufficient to produce comparable overall thermal performance.</w:t>
      </w:r>
    </w:p>
    <w:p w14:paraId="011BC268" w14:textId="77777777" w:rsidR="00B55EF3" w:rsidRDefault="000966D0">
      <w:pPr>
        <w:pStyle w:val="SWCText"/>
        <w:keepNext/>
        <w:jc w:val="center"/>
      </w:pPr>
      <w:r>
        <w:rPr>
          <w:noProof/>
        </w:rPr>
        <w:drawing>
          <wp:inline distT="0" distB="0" distL="0" distR="0" wp14:anchorId="6AAD4A52" wp14:editId="08C7D2D0">
            <wp:extent cx="3835400" cy="2337424"/>
            <wp:effectExtent l="0" t="0" r="0" b="6350"/>
            <wp:docPr id="1659878357" name="Picture 1659878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_final.png"/>
                    <pic:cNvPicPr/>
                  </pic:nvPicPr>
                  <pic:blipFill>
                    <a:blip r:embed="rId12"/>
                    <a:stretch>
                      <a:fillRect/>
                    </a:stretch>
                  </pic:blipFill>
                  <pic:spPr>
                    <a:xfrm>
                      <a:off x="0" y="0"/>
                      <a:ext cx="3843098" cy="2342115"/>
                    </a:xfrm>
                    <a:prstGeom prst="rect">
                      <a:avLst/>
                    </a:prstGeom>
                  </pic:spPr>
                </pic:pic>
              </a:graphicData>
            </a:graphic>
          </wp:inline>
        </w:drawing>
      </w:r>
    </w:p>
    <w:p w14:paraId="20FDADFB" w14:textId="0EC51204" w:rsidR="00B55EF3" w:rsidRDefault="0097016C" w:rsidP="0097016C">
      <w:pPr>
        <w:pStyle w:val="SWCTableFigureCaption"/>
      </w:pPr>
      <w:bookmarkStart w:id="3" w:name="_Ref238766014"/>
      <w:r>
        <w:t xml:space="preserve">Fig. </w:t>
      </w:r>
      <w:r>
        <w:fldChar w:fldCharType="begin"/>
      </w:r>
      <w:r>
        <w:instrText xml:space="preserve"> SEQ Fig. \* ARABIC </w:instrText>
      </w:r>
      <w:r>
        <w:fldChar w:fldCharType="separate"/>
      </w:r>
      <w:r w:rsidR="0007187A">
        <w:rPr>
          <w:noProof/>
        </w:rPr>
        <w:t>3</w:t>
      </w:r>
      <w:r>
        <w:fldChar w:fldCharType="end"/>
      </w:r>
      <w:bookmarkEnd w:id="3"/>
      <w:r w:rsidR="000966D0">
        <w:t>: Infrared image of</w:t>
      </w:r>
      <w:r w:rsidR="006E50ED">
        <w:t xml:space="preserve"> the front side of the</w:t>
      </w:r>
      <w:r w:rsidR="000966D0">
        <w:t xml:space="preserve"> Pool PVT prototype (left) and reference S&amp;T collector (right).</w:t>
      </w:r>
    </w:p>
    <w:p w14:paraId="3F083161" w14:textId="70350243" w:rsidR="00B55EF3" w:rsidRDefault="007C2E22">
      <w:pPr>
        <w:pStyle w:val="SWCHeading11"/>
      </w:pPr>
      <w:r>
        <w:lastRenderedPageBreak/>
        <w:t xml:space="preserve">3.2. </w:t>
      </w:r>
      <w:r w:rsidR="000966D0">
        <w:t>Long-term system performance</w:t>
      </w:r>
    </w:p>
    <w:p w14:paraId="27B681F3" w14:textId="5C9493C3" w:rsidR="007B0A4E" w:rsidRDefault="000966D0" w:rsidP="00051070">
      <w:pPr>
        <w:pStyle w:val="SWCText"/>
        <w:widowControl/>
      </w:pPr>
      <w:r>
        <w:t xml:space="preserve">The TRNSYS simulations show that the differences observed at collector level become small after integration into the complete heating system. Both PVT configurations maintain higher source temperatures than the GSHP-only case and consequently reduce the long-term decline in heat-pump performance. As shown in </w:t>
      </w:r>
      <w:r w:rsidR="00FD2716">
        <w:fldChar w:fldCharType="begin"/>
      </w:r>
      <w:r w:rsidR="00FD2716">
        <w:instrText xml:space="preserve"> REF _Ref238766244 \h </w:instrText>
      </w:r>
      <w:r w:rsidR="00FD2716">
        <w:fldChar w:fldCharType="separate"/>
      </w:r>
      <w:r w:rsidR="00FD2716">
        <w:t>Fig.</w:t>
      </w:r>
      <w:r w:rsidR="00CA1B96">
        <w:t> </w:t>
      </w:r>
      <w:r w:rsidR="00FD2716">
        <w:rPr>
          <w:noProof/>
        </w:rPr>
        <w:t>4</w:t>
      </w:r>
      <w:r w:rsidR="00FD2716">
        <w:fldChar w:fldCharType="end"/>
      </w:r>
      <w:r>
        <w:t>, the average SPF</w:t>
      </w:r>
      <w:r w:rsidRPr="007C2E22">
        <w:rPr>
          <w:vertAlign w:val="subscript"/>
        </w:rPr>
        <w:t>4</w:t>
      </w:r>
      <w:r w:rsidR="007C2E22" w:rsidRPr="007C2E22">
        <w:rPr>
          <w:vertAlign w:val="subscript"/>
        </w:rPr>
        <w:t>+</w:t>
      </w:r>
      <w:r>
        <w:t xml:space="preserve"> over the 20-year simulation is approximately 2.98 for both PVT+GSHP systems, compared with 2.84 for the GSHP-only configuration. The two PVT systems also require less backup heating because borehole temperatures remain more stable. Annual specific thermal output from the collectors increases gradually over the modeled period as the working-fluid temperature decreases relative to the ambient air, increasing the opportunity for low-temperature heat recovery.</w:t>
      </w:r>
      <w:r w:rsidR="008036BC">
        <w:t xml:space="preserve">  </w:t>
      </w:r>
    </w:p>
    <w:p w14:paraId="1C23DE7E" w14:textId="56D79686" w:rsidR="008036BC" w:rsidRDefault="008036BC" w:rsidP="008036BC">
      <w:pPr>
        <w:pStyle w:val="SWCText"/>
        <w:keepNext/>
        <w:widowControl/>
        <w:jc w:val="center"/>
      </w:pPr>
      <w:r>
        <w:rPr>
          <w:noProof/>
        </w:rPr>
        <w:drawing>
          <wp:inline distT="0" distB="0" distL="0" distR="0" wp14:anchorId="4DE07261" wp14:editId="76D23B4A">
            <wp:extent cx="3433561" cy="2700000"/>
            <wp:effectExtent l="0" t="0" r="0" b="5715"/>
            <wp:docPr id="1019279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79855" name=""/>
                    <pic:cNvPicPr/>
                  </pic:nvPicPr>
                  <pic:blipFill>
                    <a:blip r:embed="rId13"/>
                    <a:stretch>
                      <a:fillRect/>
                    </a:stretch>
                  </pic:blipFill>
                  <pic:spPr>
                    <a:xfrm>
                      <a:off x="0" y="0"/>
                      <a:ext cx="3433561" cy="2700000"/>
                    </a:xfrm>
                    <a:prstGeom prst="rect">
                      <a:avLst/>
                    </a:prstGeom>
                  </pic:spPr>
                </pic:pic>
              </a:graphicData>
            </a:graphic>
          </wp:inline>
        </w:drawing>
      </w:r>
    </w:p>
    <w:p w14:paraId="271B46F1" w14:textId="645EEFC0" w:rsidR="008036BC" w:rsidRDefault="00FD2716" w:rsidP="00FD2716">
      <w:pPr>
        <w:pStyle w:val="SWCTableFigureCaption"/>
      </w:pPr>
      <w:bookmarkStart w:id="4" w:name="_Ref238766244"/>
      <w:r>
        <w:t xml:space="preserve">Fig. </w:t>
      </w:r>
      <w:r>
        <w:fldChar w:fldCharType="begin"/>
      </w:r>
      <w:r>
        <w:instrText xml:space="preserve"> SEQ Fig. \* ARABIC </w:instrText>
      </w:r>
      <w:r>
        <w:fldChar w:fldCharType="separate"/>
      </w:r>
      <w:r w:rsidR="0007187A">
        <w:rPr>
          <w:noProof/>
        </w:rPr>
        <w:t>4</w:t>
      </w:r>
      <w:r>
        <w:fldChar w:fldCharType="end"/>
      </w:r>
      <w:bookmarkEnd w:id="4"/>
      <w:r w:rsidR="00CA1B96">
        <w:t>:</w:t>
      </w:r>
      <w:r w:rsidR="008036BC">
        <w:t xml:space="preserve"> </w:t>
      </w:r>
      <w:r w:rsidR="001D4B73">
        <w:t>SPF</w:t>
      </w:r>
      <w:r w:rsidR="008036BC">
        <w:t xml:space="preserve"> of </w:t>
      </w:r>
      <w:r w:rsidR="00051070">
        <w:t>the</w:t>
      </w:r>
      <w:r w:rsidR="008036BC">
        <w:t xml:space="preserve"> GSHP-only system compared to PVT+GSHP systems with the Pool PVT and the S&amp;T panel.</w:t>
      </w:r>
    </w:p>
    <w:p w14:paraId="5C7D43BF" w14:textId="0A142477" w:rsidR="00B55EF3" w:rsidRDefault="007C2E22">
      <w:pPr>
        <w:pStyle w:val="SWCHeading11"/>
      </w:pPr>
      <w:r>
        <w:t xml:space="preserve">3.3. </w:t>
      </w:r>
      <w:r w:rsidR="000966D0">
        <w:t>Economic performance and sensitivity</w:t>
      </w:r>
    </w:p>
    <w:p w14:paraId="4C9CD911" w14:textId="06732989" w:rsidR="005D5DC2" w:rsidRDefault="00165206" w:rsidP="005D5DC2">
      <w:pPr>
        <w:pStyle w:val="SWCText"/>
        <w:widowControl/>
      </w:pPr>
      <w:r>
        <w:t xml:space="preserve">The economic results show a larger separation between the alternatives than the technical performance indicators. As shown in </w:t>
      </w:r>
      <w:r w:rsidR="008B4623">
        <w:fldChar w:fldCharType="begin"/>
      </w:r>
      <w:r w:rsidR="008B4623">
        <w:instrText xml:space="preserve"> REF _Ref238766441 \h </w:instrText>
      </w:r>
      <w:r w:rsidR="008B4623">
        <w:fldChar w:fldCharType="separate"/>
      </w:r>
      <w:r w:rsidR="008B4623">
        <w:t xml:space="preserve">Fig. </w:t>
      </w:r>
      <w:r w:rsidR="008B4623">
        <w:rPr>
          <w:noProof/>
        </w:rPr>
        <w:t>5</w:t>
      </w:r>
      <w:r w:rsidR="008B4623">
        <w:fldChar w:fldCharType="end"/>
      </w:r>
      <w:r>
        <w:t xml:space="preserve">, </w:t>
      </w:r>
      <w:r w:rsidR="00A83699" w:rsidRPr="00A83699">
        <w:rPr>
          <w:lang w:val="de-DE"/>
        </w:rPr>
        <w:t xml:space="preserve">the Pool PVT </w:t>
      </w:r>
      <w:proofErr w:type="spellStart"/>
      <w:r w:rsidR="00A83699" w:rsidRPr="00A83699">
        <w:rPr>
          <w:lang w:val="de-DE"/>
        </w:rPr>
        <w:t>system</w:t>
      </w:r>
      <w:proofErr w:type="spellEnd"/>
      <w:r w:rsidR="00A83699" w:rsidRPr="00A83699">
        <w:rPr>
          <w:lang w:val="de-DE"/>
        </w:rPr>
        <w:t xml:space="preserve"> </w:t>
      </w:r>
      <w:proofErr w:type="spellStart"/>
      <w:r w:rsidR="00A83699" w:rsidRPr="00A83699">
        <w:rPr>
          <w:lang w:val="de-DE"/>
        </w:rPr>
        <w:t>has</w:t>
      </w:r>
      <w:proofErr w:type="spellEnd"/>
      <w:r w:rsidR="00A83699" w:rsidRPr="00A83699">
        <w:rPr>
          <w:lang w:val="de-DE"/>
        </w:rPr>
        <w:t xml:space="preserve"> the </w:t>
      </w:r>
      <w:proofErr w:type="spellStart"/>
      <w:r w:rsidR="00A83699" w:rsidRPr="00A83699">
        <w:rPr>
          <w:lang w:val="de-DE"/>
        </w:rPr>
        <w:t>lowest</w:t>
      </w:r>
      <w:proofErr w:type="spellEnd"/>
      <w:r w:rsidR="00A83699" w:rsidRPr="00A83699">
        <w:rPr>
          <w:lang w:val="de-DE"/>
        </w:rPr>
        <w:t xml:space="preserve"> TLCC at </w:t>
      </w:r>
      <w:proofErr w:type="spellStart"/>
      <w:r w:rsidR="00A83699" w:rsidRPr="00A83699">
        <w:rPr>
          <w:lang w:val="de-DE"/>
        </w:rPr>
        <w:t>approximately</w:t>
      </w:r>
      <w:proofErr w:type="spellEnd"/>
      <w:r w:rsidR="00A83699" w:rsidRPr="00A83699">
        <w:rPr>
          <w:lang w:val="de-DE"/>
        </w:rPr>
        <w:t xml:space="preserve"> </w:t>
      </w:r>
      <w:r w:rsidR="00A83699" w:rsidRPr="007D1CA1">
        <w:rPr>
          <w:lang w:val="de-DE"/>
        </w:rPr>
        <w:t>€</w:t>
      </w:r>
      <w:r w:rsidR="00A83699">
        <w:rPr>
          <w:lang w:val="de-DE"/>
        </w:rPr>
        <w:t> </w:t>
      </w:r>
      <w:r w:rsidR="00A83699" w:rsidRPr="007D1CA1">
        <w:rPr>
          <w:lang w:val="de-DE"/>
        </w:rPr>
        <w:t xml:space="preserve">365 </w:t>
      </w:r>
      <w:proofErr w:type="spellStart"/>
      <w:r w:rsidR="00A83699" w:rsidRPr="007D1CA1">
        <w:rPr>
          <w:lang w:val="de-DE"/>
        </w:rPr>
        <w:t>thousand</w:t>
      </w:r>
      <w:proofErr w:type="spellEnd"/>
      <w:r w:rsidR="00A83699" w:rsidRPr="00A83699">
        <w:rPr>
          <w:lang w:val="de-DE"/>
        </w:rPr>
        <w:t xml:space="preserve">, </w:t>
      </w:r>
      <w:proofErr w:type="spellStart"/>
      <w:r w:rsidR="00A83699" w:rsidRPr="00A83699">
        <w:rPr>
          <w:lang w:val="de-DE"/>
        </w:rPr>
        <w:t>compared</w:t>
      </w:r>
      <w:proofErr w:type="spellEnd"/>
      <w:r w:rsidR="00A83699" w:rsidRPr="00A83699">
        <w:rPr>
          <w:lang w:val="de-DE"/>
        </w:rPr>
        <w:t xml:space="preserve"> </w:t>
      </w:r>
      <w:proofErr w:type="spellStart"/>
      <w:r w:rsidR="00A83699" w:rsidRPr="00A83699">
        <w:rPr>
          <w:lang w:val="de-DE"/>
        </w:rPr>
        <w:t>with</w:t>
      </w:r>
      <w:proofErr w:type="spellEnd"/>
      <w:r w:rsidR="00A83699" w:rsidRPr="00A83699">
        <w:rPr>
          <w:lang w:val="de-DE"/>
        </w:rPr>
        <w:t xml:space="preserve"> </w:t>
      </w:r>
      <w:r w:rsidR="00A83699" w:rsidRPr="007D1CA1">
        <w:rPr>
          <w:lang w:val="de-DE"/>
        </w:rPr>
        <w:t>€</w:t>
      </w:r>
      <w:r w:rsidR="00A83699">
        <w:rPr>
          <w:lang w:val="de-DE"/>
        </w:rPr>
        <w:t> </w:t>
      </w:r>
      <w:r w:rsidR="00A83699" w:rsidRPr="007D1CA1">
        <w:rPr>
          <w:lang w:val="de-DE"/>
        </w:rPr>
        <w:t xml:space="preserve">377 </w:t>
      </w:r>
      <w:proofErr w:type="spellStart"/>
      <w:r w:rsidR="00A83699" w:rsidRPr="007D1CA1">
        <w:rPr>
          <w:lang w:val="de-DE"/>
        </w:rPr>
        <w:t>thousand</w:t>
      </w:r>
      <w:proofErr w:type="spellEnd"/>
      <w:r w:rsidR="00A83699" w:rsidRPr="00A83699">
        <w:rPr>
          <w:lang w:val="de-DE"/>
        </w:rPr>
        <w:t xml:space="preserve"> for the GSHP-</w:t>
      </w:r>
      <w:proofErr w:type="spellStart"/>
      <w:r w:rsidR="00A83699" w:rsidRPr="00A83699">
        <w:rPr>
          <w:lang w:val="de-DE"/>
        </w:rPr>
        <w:t>only</w:t>
      </w:r>
      <w:proofErr w:type="spellEnd"/>
      <w:r w:rsidR="00A83699" w:rsidRPr="00A83699">
        <w:rPr>
          <w:lang w:val="de-DE"/>
        </w:rPr>
        <w:t xml:space="preserve"> </w:t>
      </w:r>
      <w:proofErr w:type="spellStart"/>
      <w:r w:rsidR="00A83699" w:rsidRPr="00A83699">
        <w:rPr>
          <w:lang w:val="de-DE"/>
        </w:rPr>
        <w:t>system</w:t>
      </w:r>
      <w:proofErr w:type="spellEnd"/>
      <w:r w:rsidR="00A83699" w:rsidRPr="00A83699">
        <w:rPr>
          <w:lang w:val="de-DE"/>
        </w:rPr>
        <w:t xml:space="preserve"> and </w:t>
      </w:r>
      <w:r w:rsidR="00A83699" w:rsidRPr="007D1CA1">
        <w:rPr>
          <w:lang w:val="de-DE"/>
        </w:rPr>
        <w:t>€</w:t>
      </w:r>
      <w:r w:rsidR="00A83699">
        <w:rPr>
          <w:lang w:val="de-DE"/>
        </w:rPr>
        <w:t> </w:t>
      </w:r>
      <w:r w:rsidR="00A83699" w:rsidRPr="007D1CA1">
        <w:rPr>
          <w:lang w:val="de-DE"/>
        </w:rPr>
        <w:t xml:space="preserve">401 </w:t>
      </w:r>
      <w:proofErr w:type="spellStart"/>
      <w:r w:rsidR="00A83699" w:rsidRPr="007D1CA1">
        <w:rPr>
          <w:lang w:val="de-DE"/>
        </w:rPr>
        <w:t>thousand</w:t>
      </w:r>
      <w:proofErr w:type="spellEnd"/>
      <w:r w:rsidR="00A83699" w:rsidRPr="00A83699">
        <w:rPr>
          <w:lang w:val="de-DE"/>
        </w:rPr>
        <w:t xml:space="preserve"> for the </w:t>
      </w:r>
      <w:proofErr w:type="spellStart"/>
      <w:r w:rsidR="00A83699" w:rsidRPr="00A83699">
        <w:rPr>
          <w:lang w:val="de-DE"/>
        </w:rPr>
        <w:t>reference</w:t>
      </w:r>
      <w:proofErr w:type="spellEnd"/>
      <w:r w:rsidR="00A83699" w:rsidRPr="00A83699">
        <w:rPr>
          <w:lang w:val="de-DE"/>
        </w:rPr>
        <w:t xml:space="preserve"> PVT </w:t>
      </w:r>
      <w:proofErr w:type="spellStart"/>
      <w:r w:rsidR="00A83699" w:rsidRPr="00A83699">
        <w:rPr>
          <w:lang w:val="de-DE"/>
        </w:rPr>
        <w:t>system</w:t>
      </w:r>
      <w:proofErr w:type="spellEnd"/>
      <w:r w:rsidR="00A83699" w:rsidRPr="00A83699">
        <w:rPr>
          <w:lang w:val="de-DE"/>
        </w:rPr>
        <w:t xml:space="preserve">, </w:t>
      </w:r>
      <w:proofErr w:type="spellStart"/>
      <w:r w:rsidR="00A83699" w:rsidRPr="00A83699">
        <w:rPr>
          <w:lang w:val="de-DE"/>
        </w:rPr>
        <w:t>using</w:t>
      </w:r>
      <w:proofErr w:type="spellEnd"/>
      <w:r w:rsidR="00A83699" w:rsidRPr="00A83699">
        <w:rPr>
          <w:lang w:val="de-DE"/>
        </w:rPr>
        <w:t xml:space="preserve"> an </w:t>
      </w:r>
      <w:proofErr w:type="spellStart"/>
      <w:r w:rsidR="00A83699" w:rsidRPr="00A83699">
        <w:rPr>
          <w:lang w:val="de-DE"/>
        </w:rPr>
        <w:t>exchange</w:t>
      </w:r>
      <w:proofErr w:type="spellEnd"/>
      <w:r w:rsidR="00A83699" w:rsidRPr="00A83699">
        <w:rPr>
          <w:lang w:val="de-DE"/>
        </w:rPr>
        <w:t xml:space="preserve"> rate of 1 € = 11 SEK</w:t>
      </w:r>
      <w:r w:rsidRPr="007D1CA1">
        <w:rPr>
          <w:lang w:val="de-DE"/>
        </w:rPr>
        <w:t>. The lower collector investment cost therefore allows the Pool</w:t>
      </w:r>
      <w:r>
        <w:t xml:space="preserve"> PVT configuration to convert the technical benefit of PVT-assisted borehole regeneration into a net life-cycle cost reduction. In contrast, the reference PVT panel provides nearly the same long-term system performance but at an investment level that is not recovered within the assumptions of the 20-year analysis.</w:t>
      </w:r>
    </w:p>
    <w:p w14:paraId="3840437C" w14:textId="0B0D3082" w:rsidR="00BC1A2A" w:rsidRPr="007D1CA1" w:rsidRDefault="00A83699" w:rsidP="00BC1A2A">
      <w:pPr>
        <w:pStyle w:val="SWCText"/>
        <w:keepNext/>
        <w:widowControl/>
        <w:jc w:val="center"/>
        <w:rPr>
          <w:lang w:val="sv-SE"/>
        </w:rPr>
      </w:pPr>
      <w:r>
        <w:rPr>
          <w:noProof/>
        </w:rPr>
        <w:drawing>
          <wp:inline distT="0" distB="0" distL="0" distR="0" wp14:anchorId="3AE1FE84" wp14:editId="244D7ED3">
            <wp:extent cx="3562350" cy="2670745"/>
            <wp:effectExtent l="0" t="0" r="0" b="0"/>
            <wp:docPr id="20754738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1398" cy="2677528"/>
                    </a:xfrm>
                    <a:prstGeom prst="rect">
                      <a:avLst/>
                    </a:prstGeom>
                    <a:noFill/>
                    <a:ln>
                      <a:noFill/>
                    </a:ln>
                  </pic:spPr>
                </pic:pic>
              </a:graphicData>
            </a:graphic>
          </wp:inline>
        </w:drawing>
      </w:r>
    </w:p>
    <w:p w14:paraId="1469AB84" w14:textId="223D10D5" w:rsidR="009C49D9" w:rsidRDefault="008717D2" w:rsidP="008717D2">
      <w:pPr>
        <w:pStyle w:val="SWCTableFigureCaption"/>
      </w:pPr>
      <w:bookmarkStart w:id="5" w:name="_Ref238766441"/>
      <w:r>
        <w:t xml:space="preserve">Fig. </w:t>
      </w:r>
      <w:r>
        <w:fldChar w:fldCharType="begin"/>
      </w:r>
      <w:r>
        <w:instrText xml:space="preserve"> SEQ Fig. \* ARABIC </w:instrText>
      </w:r>
      <w:r>
        <w:fldChar w:fldCharType="separate"/>
      </w:r>
      <w:r w:rsidR="0007187A">
        <w:rPr>
          <w:noProof/>
        </w:rPr>
        <w:t>5</w:t>
      </w:r>
      <w:r>
        <w:fldChar w:fldCharType="end"/>
      </w:r>
      <w:bookmarkEnd w:id="5"/>
      <w:r w:rsidR="00BC1A2A">
        <w:t xml:space="preserve">: TLCC of the different system configurations: GSHP-only, </w:t>
      </w:r>
      <w:r w:rsidR="00B815A3">
        <w:t xml:space="preserve">and </w:t>
      </w:r>
      <w:r w:rsidR="00BC1A2A">
        <w:t>PVT+GSHP with both Pool PVT and S&amp;T</w:t>
      </w:r>
      <w:r w:rsidR="00B815A3">
        <w:t>.</w:t>
      </w:r>
    </w:p>
    <w:p w14:paraId="34E594A9" w14:textId="20CF9FF5" w:rsidR="00B55EF3" w:rsidRDefault="00200F2E">
      <w:pPr>
        <w:pStyle w:val="SWCHeading11"/>
      </w:pPr>
      <w:r>
        <w:lastRenderedPageBreak/>
        <w:t xml:space="preserve">3.4. </w:t>
      </w:r>
      <w:r w:rsidR="000966D0">
        <w:t>Sensitivity to collector cost</w:t>
      </w:r>
    </w:p>
    <w:p w14:paraId="6684E997" w14:textId="486F143A" w:rsidR="00B55EF3" w:rsidRDefault="000966D0">
      <w:pPr>
        <w:pStyle w:val="SWCText"/>
        <w:widowControl/>
      </w:pPr>
      <w:r>
        <w:t xml:space="preserve">Because the prototype was assembled from commercially available components rather than manufactured as a finished product, its eventual retail </w:t>
      </w:r>
      <w:r w:rsidR="00571A18">
        <w:t xml:space="preserve">price </w:t>
      </w:r>
      <w:r>
        <w:t xml:space="preserve">is uncertain. The sensitivity analysis therefore varies the Pool PVT collector </w:t>
      </w:r>
      <w:r w:rsidR="00571A18">
        <w:t xml:space="preserve">price </w:t>
      </w:r>
      <w:r>
        <w:t xml:space="preserve">while keeping the remaining system assumptions unchanged. As shown in </w:t>
      </w:r>
      <w:r w:rsidR="008B4623">
        <w:fldChar w:fldCharType="begin"/>
      </w:r>
      <w:r w:rsidR="008B4623">
        <w:instrText xml:space="preserve"> REF _Ref238766469 \h </w:instrText>
      </w:r>
      <w:r w:rsidR="008B4623">
        <w:fldChar w:fldCharType="separate"/>
      </w:r>
      <w:r w:rsidR="008B4623">
        <w:t xml:space="preserve">Fig. </w:t>
      </w:r>
      <w:r w:rsidR="008B4623">
        <w:rPr>
          <w:noProof/>
        </w:rPr>
        <w:t>6</w:t>
      </w:r>
      <w:r w:rsidR="008B4623">
        <w:fldChar w:fldCharType="end"/>
      </w:r>
      <w:r>
        <w:t xml:space="preserve">, the Pool PVT configuration remains less expensive than the GSHP-only system until the collector </w:t>
      </w:r>
      <w:r w:rsidR="00571A18">
        <w:t xml:space="preserve">price </w:t>
      </w:r>
      <w:r>
        <w:t xml:space="preserve">increases to approximately </w:t>
      </w:r>
      <w:r w:rsidR="004E5653">
        <w:t>€</w:t>
      </w:r>
      <w:r w:rsidR="004E5653">
        <w:t> </w:t>
      </w:r>
      <w:r>
        <w:t>331 per panel, about 37</w:t>
      </w:r>
      <w:r w:rsidR="004E5653">
        <w:t> </w:t>
      </w:r>
      <w:r>
        <w:t xml:space="preserve">% above the </w:t>
      </w:r>
      <w:r w:rsidR="004E5653">
        <w:t>€</w:t>
      </w:r>
      <w:r w:rsidR="004E5653">
        <w:t> </w:t>
      </w:r>
      <w:r>
        <w:t xml:space="preserve">242 base estimate. It also remains below the TLCC of the reference PVT system across a substantially wider </w:t>
      </w:r>
      <w:r w:rsidR="00F279DF">
        <w:t xml:space="preserve">price </w:t>
      </w:r>
      <w:r>
        <w:t>range. This result indicates that the economic advantage is not dependent on achieving the exact prototype cost and leaves room for improvements in materials and manufacturing that may increase the collector price while improving robustness and scalability.</w:t>
      </w:r>
    </w:p>
    <w:p w14:paraId="140229AA" w14:textId="6867CE28" w:rsidR="00B55EF3" w:rsidRDefault="00B815A3">
      <w:pPr>
        <w:pStyle w:val="SWCText"/>
        <w:keepNext/>
        <w:jc w:val="center"/>
      </w:pPr>
      <w:r>
        <w:rPr>
          <w:noProof/>
        </w:rPr>
        <w:drawing>
          <wp:inline distT="0" distB="0" distL="0" distR="0" wp14:anchorId="43EE54DF" wp14:editId="0BEA525A">
            <wp:extent cx="3219450" cy="2682875"/>
            <wp:effectExtent l="0" t="0" r="0" b="3175"/>
            <wp:docPr id="10012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28360" cy="2690300"/>
                    </a:xfrm>
                    <a:prstGeom prst="rect">
                      <a:avLst/>
                    </a:prstGeom>
                    <a:noFill/>
                    <a:ln>
                      <a:noFill/>
                    </a:ln>
                  </pic:spPr>
                </pic:pic>
              </a:graphicData>
            </a:graphic>
          </wp:inline>
        </w:drawing>
      </w:r>
    </w:p>
    <w:p w14:paraId="32051023" w14:textId="0D54D0D1" w:rsidR="00B55EF3" w:rsidRDefault="0007187A" w:rsidP="0007187A">
      <w:pPr>
        <w:pStyle w:val="SWCTableFigureCaption"/>
      </w:pPr>
      <w:bookmarkStart w:id="6" w:name="_Ref238766469"/>
      <w:r>
        <w:t xml:space="preserve">Fig. </w:t>
      </w:r>
      <w:r>
        <w:fldChar w:fldCharType="begin"/>
      </w:r>
      <w:r>
        <w:instrText xml:space="preserve"> SEQ Fig. \* ARABIC </w:instrText>
      </w:r>
      <w:r>
        <w:fldChar w:fldCharType="separate"/>
      </w:r>
      <w:r>
        <w:rPr>
          <w:noProof/>
        </w:rPr>
        <w:t>6</w:t>
      </w:r>
      <w:r>
        <w:fldChar w:fldCharType="end"/>
      </w:r>
      <w:bookmarkEnd w:id="6"/>
      <w:r w:rsidR="000966D0">
        <w:t>: Sensitivity of Pool PVT system TLCC to the assumed prototype collector price.</w:t>
      </w:r>
    </w:p>
    <w:p w14:paraId="0748DD18" w14:textId="77777777" w:rsidR="00B55EF3" w:rsidRDefault="000966D0">
      <w:pPr>
        <w:pStyle w:val="SWCHeading1"/>
      </w:pPr>
      <w:r>
        <w:t>Discussion</w:t>
      </w:r>
    </w:p>
    <w:p w14:paraId="1156950C" w14:textId="29F78C07" w:rsidR="00B55EF3" w:rsidRDefault="000966D0">
      <w:pPr>
        <w:pStyle w:val="SWCText"/>
        <w:widowControl/>
      </w:pPr>
      <w:r>
        <w:t xml:space="preserve">The experimental and simulation results show that the most relevant difference between the two PVT designs is economic rather than technical. At collector level, the aluminum sheet-and-tube absorber provides more uniform rear-side cooling, </w:t>
      </w:r>
      <w:proofErr w:type="gramStart"/>
      <w:r>
        <w:t>which is consistent with</w:t>
      </w:r>
      <w:proofErr w:type="gramEnd"/>
      <w:r>
        <w:t xml:space="preserve"> its higher material conductivity and continuous contact with the PV module. The polymeric absorber, by contrast, transfers heat mainly along the channel paths and is more sensitive to local contact quality. Nevertheless, the Pool PVT prototype achieves comparable thermal coefficients and performs slightly better during high-irradiance periods. This confirms that high material conductivity is not the only factor governing useful heat recovery in low-temperature PVT operation; absorber contact area, channel distribution, flow conditions, and the temperature difference between the fluid and surroundings are also important </w:t>
      </w:r>
      <w:r w:rsidR="00F242F4">
        <w:fldChar w:fldCharType="begin" w:fldLock="1"/>
      </w:r>
      <w:r w:rsidR="00F242F4">
        <w:instrText>ADDIN CSL_CITATION {"citationItems":[{"id":"ITEM-1","itemData":{"DOI":"10.1016/j.solener.2014.01.025","ISSN":"0038092X","abstract":"Over the last 30. years, a large amount of research about air PVT collectors has been carried out, but the most investigated PVT technology in recent time is based on systems using water as the heat transfer fluid, because they achieve higher overall efficiencies than air systems, due to the higher heat capacity of water. In this sense, this article presents an extensive review about water flat plate PV-thermal collectors, which are the most widespread in the current market. The review is subdivided according to the elements that compose PVT collectors, from the cover to the insulation material, identifying the most important design parameters of them. This article gives an up-to-date review of the technology, with a specific focus on technological progress in recent years and on the future development. © 2014 Elsevier Ltd.","author":[{"dropping-particle":"","family":"Aste","given":"Niccolò","non-dropping-particle":"","parse-names":false,"suffix":""},{"dropping-particle":"","family":"Pero","given":"Claudio","non-dropping-particle":"del","parse-names":false,"suffix":""},{"dropping-particle":"","family":"Leonforte","given":"Fabrizio","non-dropping-particle":"","parse-names":false,"suffix":""}],"container-title":"Solar Energy","id":"ITEM-1","issued":{"date-parts":[["2014"]]},"page":"98-115","title":"Water flat plate PV-thermal collectors: A review","type":"article-journal","volume":"102"},"uris":["http://www.mendeley.com/documents/?uuid=6fca2fc5-ed59-48f2-999d-69711aec82a8"]},{"id":"ITEM-2","itemData":{"DOI":"10.1016/j.apenergy.2018.11.024","ISSN":"03062619","abstract":"In this paper, 26 alternative absorber-exchanger designs for hybrid PV-Thermal (PVT) solar collectors are proposed and compared against a reference-case, commercial sheet-and-tube PVT collector. The collectors involve different geometric design features based on the conventional sheet-and-tube configuration, and also on a newer flat-box structure constructed from alternative polymeric materials with the aim of maintaining or even improving heat transfer and overall (thermal and electrical) performance while achieving reductions in the overall weight and cost of the collectors. The main contributions of this research include: (i) the development and validation of a detailed 3-D computational finite-element model of the proposed PVT collector designs involving multi-physics processes (heat transfer, fluid dynamics and solid mechanics); (ii) results from comparative techno-economic analyses of the proposed PVT designs; and, (iii) further insights from thermal stress and structural deformation analyses of the proposed collectors, which are crucial for ensuring long lifetimes and especially important in the case of polymeric collectors. The results show that, in general, the flat-box designs (characterised by a thin absorber plate) are not sensitive to the flow-channel size or construction material, at least within the range of investigation. A PVT collector featuring a polycarbonate (PC) flat-box design with 3 × 2 mm rectangular channels appears to be a particularly promising alternative to commercial PVT collectors, achieving a slightly improved thermal performance compared to the reference case (with a 4% higher optical efficiency and 15% lower linear heat-loss coefficient), while also lowering the weight (by around 9%) and investment cost (by about 21%) of the collector. The structural analysis shows that the maximum von Mises stress experienced in the absorber-exchanger of the PC flat-box collector is considerably lower than that in the copper sheet-and-tube collector (&lt;13% vs. 64% of the material's yield stress), which is attributed to the larger thermal expansion of the PC absorber-exchanger, that leads to lower stresses. Therefore, the proposed PC flat-box design is not expected to suffer higher strains than the commercially-available PVT collector.","author":[{"dropping-particle":"","family":"Herrando","given":"María","non-dropping-particle":"","parse-names":false,"suffix":""},{"dropping-particle":"","family":"Ramos","given":"Alba","non-dropping-particle":"","parse-names":false,"suffix":""},{"dropping-particle":"","family":"Zabalza","given":"Ignacio","non-dropping-particle":"","parse-names":false,"suffix":""},{"dropping-particle":"","family":"Markides","given":"Christos N.","non-dropping-particle":"","parse-names":false,"suffix":""}],"container-title":"Applied Energy","id":"ITEM-2","issue":"November 2018","issued":{"date-parts":[["2019"]]},"page":"1583-1602","publisher":"Elsevier","title":"A comprehensive assessment of alternative absorber-exchanger designs for hybrid PVT-water collectors","type":"article-journal","volume":"235"},"uris":["http://www.mendeley.com/documents/?uuid=7dfa43c7-7651-4c9f-9684-399967146034"]}],"mendeley":{"formattedCitation":"(Aste et al., 2014; Herrando et al., 2019)","plainTextFormattedCitation":"(Aste et al., 2014; Herrando et al., 2019)","previouslyFormattedCitation":"(Aste et al., 2014; Herrando et al., 2019)"},"properties":{"noteIndex":0},"schema":"https://github.com/citation-style-language/schema/raw/master/csl-citation.json"}</w:instrText>
      </w:r>
      <w:r w:rsidR="00F242F4">
        <w:fldChar w:fldCharType="separate"/>
      </w:r>
      <w:r w:rsidR="00F242F4" w:rsidRPr="00F242F4">
        <w:rPr>
          <w:noProof/>
        </w:rPr>
        <w:t>(Aste et al., 2014; Herrando et al., 2019)</w:t>
      </w:r>
      <w:r w:rsidR="00F242F4">
        <w:fldChar w:fldCharType="end"/>
      </w:r>
      <w:r w:rsidR="00F242F4">
        <w:t>.</w:t>
      </w:r>
    </w:p>
    <w:p w14:paraId="41A0B118" w14:textId="29674B9E" w:rsidR="00B55EF3" w:rsidRDefault="000966D0">
      <w:pPr>
        <w:pStyle w:val="SWCText"/>
        <w:widowControl/>
      </w:pPr>
      <w:r>
        <w:t>The similarity becomes even stronger at system level. Both PVT alternatives support borehole regeneration and maintain the heat-pump source temperature, resulting in almost identical average SPF</w:t>
      </w:r>
      <w:r w:rsidRPr="007D1CA1">
        <w:rPr>
          <w:vertAlign w:val="subscript"/>
        </w:rPr>
        <w:t>4+</w:t>
      </w:r>
      <w:r>
        <w:t xml:space="preserve"> over 20 years. This agrees with the role of low-temperature PVT described in previous PVT+GSHP studies, where collector output is valuable not only as direct solar heat but also as a means of limiting long-term ground cooling </w:t>
      </w:r>
      <w:r w:rsidR="00F242F4">
        <w:fldChar w:fldCharType="begin" w:fldLock="1"/>
      </w:r>
      <w:r w:rsidR="00BE48FF">
        <w:instrText>ADDIN CSL_CITATION {"citationItems":[{"id":"ITEM-1","itemData":{"DOI":"10.1016/j.solener.2004.09.019","ISSN":"0038092X","abstract":"A photovoltaic/thermal (PVT) panel is a combination of photovoltaic cells with a solar thermal collector, generating solar electricity and solar heat simultaneously. Hence, PVT panels are an alternative for a combination of separate PV panels and solar thermal collectors. A promising system concept, consisting of 25m2 of PVT panels and a ground coupled heat pump, has been simulated in TRNSYS. It has been found that this system is able to cover 100% of the total heat demand for a typical newly-built Dutch one-family dwelling, while covering nearly all of its own electricity use and keeping the long-term average ground temperature constant. The cost of such a system has been compared to the cost of a reference system, where the PVT panels have been replaced with separate PV panels (26m2) and solar thermal collectors (7m2), but which is otherwise identical. The electrical and thermal yield of this reference system is equal to that of the PVT system. It has been found that both systems require a nearly identical initial investment. Finally, a view on future PVT markets is given. In general, the residential market is by far the most promising market. The system discussed in this paper is expected to be most successful in newly-built low-energy housing concepts. © 2004 Elsevier Ltd. All rights reserved.","author":[{"dropping-particle":"","family":"Bakker","given":"M.","non-dropping-particle":"","parse-names":false,"suffix":""},{"dropping-particle":"","family":"Zondag","given":"H. A.","non-dropping-particle":"","parse-names":false,"suffix":""},{"dropping-particle":"","family":"Elswijk","given":"M. J.","non-dropping-particle":"","parse-names":false,"suffix":""},{"dropping-particle":"","family":"Strootman","given":"K. J.","non-dropping-particle":"","parse-names":false,"suffix":""},{"dropping-particle":"","family":"Jong","given":"M. J.M.","non-dropping-particle":"","parse-names":false,"suffix":""}],"container-title":"Solar Energy","id":"ITEM-1","issue":"2","issued":{"date-parts":[["2005"]]},"page":"331-339","title":"Performance and costs of a roof-sized PV/thermal array combined with a ground coupled heat pump","type":"article-journal","volume":"78"},"uris":["http://www.mendeley.com/documents/?uuid=1493b3e8-f8bf-40f0-9f8b-e375408c824f"]},{"id":"ITEM-2","itemData":{"DOI":"10.1016/j.solener.2019.07.080","ISSN":"0038092X","abstract":"The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author":[{"dropping-particle":"","family":"Sommerfeldt","given":"Nelson","non-dropping-particle":"","parse-names":false,"suffix":""},{"dropping-particle":"","family":"Madani","given":"H.","non-dropping-particle":"","parse-names":false,"suffix":""}],"container-title":"Solar Energy","id":"ITEM-2","issue":"July","issued":{"date-parts":[["2019"]]},"page":"44-62","publisher":"Elsevier","title":"In-depth techno-economic analysis of PV/Thermal plus ground source heat pump systems for multi-family houses in a heating dominated climate","type":"article-journal","volume":"190"},"uris":["http://www.mendeley.com/documents/?uuid=af1a24ff-0bf1-4041-979a-77170975171b"]}],"mendeley":{"formattedCitation":"(Bakker et al., 2005; Sommerfeldt &amp; Madani, 2019)","plainTextFormattedCitation":"(Bakker et al., 2005; Sommerfeldt &amp; Madani, 2019)","previouslyFormattedCitation":"(Bakker et al., 2005; Sommerfeldt &amp; Madani, 2019)"},"properties":{"noteIndex":0},"schema":"https://github.com/citation-style-language/schema/raw/master/csl-citation.json"}</w:instrText>
      </w:r>
      <w:r w:rsidR="00F242F4">
        <w:fldChar w:fldCharType="separate"/>
      </w:r>
      <w:r w:rsidR="00F242F4" w:rsidRPr="00F242F4">
        <w:rPr>
          <w:noProof/>
        </w:rPr>
        <w:t>(Bakker et al., 2005; Sommerfeldt &amp; Madani, 2019)</w:t>
      </w:r>
      <w:r w:rsidR="00F242F4">
        <w:fldChar w:fldCharType="end"/>
      </w:r>
      <w:r>
        <w:t>. The result is particularly relevant for collector design because it suggests that small differences in instantaneous thermal efficiency may have limited value if they do not produce a meaningful change in heat-pump or borehole performance. For this application, reducing the cost of the absorber can therefore be more important than maximizing collector-level performance, provided that sufficient thermal output is retained.</w:t>
      </w:r>
    </w:p>
    <w:p w14:paraId="4CB6C75A" w14:textId="1AD7CA8A" w:rsidR="00B55EF3" w:rsidRDefault="000966D0">
      <w:pPr>
        <w:pStyle w:val="SWCText"/>
        <w:widowControl/>
      </w:pPr>
      <w:r>
        <w:t>The economic analysis supports this interpretation. The reference PVT collector improves the technical performance of the heating system but does not compensate for its higher investment cost under the assumptions used here. The lower-cost Pool PVT design, on the other hand, reaches the lowest TLCC and remains competitive even when its assumed collector price is increased substantially. However, this cost advantage should be interpreted together with the limitations of the prototype. During assembly, the commercial pool absorber showed imperfect fit to the PV module, weak adhesive bonding in some areas, and relatively high weight</w:t>
      </w:r>
      <w:r w:rsidR="001B46A4">
        <w:t xml:space="preserve"> due to the larger water volume</w:t>
      </w:r>
      <w:r>
        <w:t xml:space="preserve">. These issues are not fully represented in the 20-year economic model and would affect installation effort, product lifetime, maintenance requirements, and </w:t>
      </w:r>
      <w:r>
        <w:lastRenderedPageBreak/>
        <w:t>manufacturability in a commercial product.</w:t>
      </w:r>
      <w:r w:rsidR="00D05F9D">
        <w:t xml:space="preserve"> That said,</w:t>
      </w:r>
      <w:r w:rsidR="00FA01F3">
        <w:t xml:space="preserve"> if durability and reliability can be solved,</w:t>
      </w:r>
      <w:r w:rsidR="00D05F9D">
        <w:t xml:space="preserve"> the economies of scale available to a plastic absorber would be advantageous for broader PVT adoption.</w:t>
      </w:r>
    </w:p>
    <w:p w14:paraId="1B0A952C" w14:textId="159D5BA9" w:rsidR="00B55EF3" w:rsidRDefault="000966D0">
      <w:pPr>
        <w:pStyle w:val="SWCText"/>
        <w:widowControl/>
      </w:pPr>
      <w:r>
        <w:t>The performance characterization also has limitations. The usable dataset corresponds to 7.2 days during a spring test campaign, and the regression uses a simplified ISO formulation that does not explicitly represent thermal inertia. This reduces accuracy during rapid irradiance fluctuations</w:t>
      </w:r>
      <w:r w:rsidR="00BE48FF">
        <w:t xml:space="preserve"> </w:t>
      </w:r>
      <w:r w:rsidR="00BE48FF">
        <w:fldChar w:fldCharType="begin" w:fldLock="1"/>
      </w:r>
      <w:r w:rsidR="00BE48FF">
        <w:instrText>ADDIN CSL_CITATION {"citationItems":[{"id":"ITEM-1","itemData":{"DOI":"10.18086/swc.2017.18.11","ISBN":"9783981465976","abstract":"Using the known physical characteristics of a prototype photovoltaic-thermal (PVT) collector components and raw test data from a prematurely terminated ISO 9806 test, the objective of this study is to reverse engineer a thermal resistance value for the heat exchanger assembly for use in the theoretical TRNSYS model Type 560. Modeling is done using both TRNSYS as well as commercial heat transfer software TAITherm. Performance is measured by the mean absolute error and correlation of the outlet temperature and thermal power, as well as the differences in total thermal energy generated. The results show a thermal resistance of 0.005 to 0.010 m2 K W-1 in TAITherm and 0.010 to 0.040 m2 K W-1 in Type 560. TAITherm gives better statistical indicators which is likely due to the inclusion of thermal mass in the model. The results have informed prototype development and can be used in further systems modeling.","author":[{"dropping-particle":"","family":"Sommerfeldt","given":"Nelson","non-dropping-particle":"","parse-names":false,"suffix":""},{"dropping-particle":"","family":"Ollas","given":"Patrik","non-dropping-particle":"","parse-names":false,"suffix":""}],"container-title":"ISES Solar World Congress 2017 - IEA SHC International Conference on Solar Heating and Cooling for Buildings and Industry 2017, Proceedings","id":"ITEM-1","issued":{"date-parts":[["2017"]]},"page":"1121-1132","title":"Reverse engineering prototype solar pv/thermal collector properties from empirical data for use in TRNSYS Type 560","type":"article-journal"},"uris":["http://www.mendeley.com/documents/?uuid=4fe606ce-8246-489e-a741-b67a6f630fa0"]}],"mendeley":{"formattedCitation":"(Sommerfeldt &amp; Ollas, 2017)","plainTextFormattedCitation":"(Sommerfeldt &amp; Ollas, 2017)"},"properties":{"noteIndex":0},"schema":"https://github.com/citation-style-language/schema/raw/master/csl-citation.json"}</w:instrText>
      </w:r>
      <w:r w:rsidR="00BE48FF">
        <w:fldChar w:fldCharType="separate"/>
      </w:r>
      <w:r w:rsidR="00BE48FF" w:rsidRPr="00BE48FF">
        <w:rPr>
          <w:noProof/>
        </w:rPr>
        <w:t>(Sommerfeldt &amp; Ollas, 2017)</w:t>
      </w:r>
      <w:r w:rsidR="00BE48FF">
        <w:fldChar w:fldCharType="end"/>
      </w:r>
      <w:r w:rsidR="00C44946">
        <w:t xml:space="preserve"> </w:t>
      </w:r>
      <w:r w:rsidR="00BE48FF">
        <w:t>h</w:t>
      </w:r>
      <w:r>
        <w:t>owever, the coefficients are supported by direct comparisons during representative sunny and cloudy periods and the fitted R² values are similar for the two collectors. The simulations should therefore be interpreted primarily as a comparison under common assumptions. Long-term polymer durability, pressure and flow-rate limits, and aging of the bonding layer still require dedicated testing before commercial service life can be assessed.</w:t>
      </w:r>
    </w:p>
    <w:p w14:paraId="00098BC9" w14:textId="77777777" w:rsidR="00B55EF3" w:rsidRDefault="000966D0">
      <w:pPr>
        <w:pStyle w:val="SWCHeading1"/>
      </w:pPr>
      <w:r>
        <w:t>Conclusions and future work</w:t>
      </w:r>
    </w:p>
    <w:p w14:paraId="0944467C" w14:textId="77777777" w:rsidR="00B55EF3" w:rsidRDefault="000966D0">
      <w:pPr>
        <w:pStyle w:val="SWCText"/>
        <w:widowControl/>
      </w:pPr>
      <w:r>
        <w:t>This study shows that a low-cost polymeric heat absorber can provide PVT performance comparable to a conventional aluminum sheet-and-tube collector in a GSHP application. The Pool PVT prototype achieved a higher measured zero-loss efficiency (0.389 compared with 0.372), while both PVT+GSHP configurations reached an average SPF</w:t>
      </w:r>
      <w:r w:rsidRPr="007D1CA1">
        <w:rPr>
          <w:vertAlign w:val="subscript"/>
        </w:rPr>
        <w:t>4+</w:t>
      </w:r>
      <w:r>
        <w:t xml:space="preserve"> of approximately 2.98 over 20 years, compared with 2.84 for the GSHP-only case. The results confirm the benefit of PVT-assisted borehole regeneration while showing that the two tested absorber designs have little influence on complete system performance.</w:t>
      </w:r>
    </w:p>
    <w:p w14:paraId="1B50B9D3" w14:textId="1B5E6C56" w:rsidR="00B55EF3" w:rsidRDefault="000966D0">
      <w:pPr>
        <w:pStyle w:val="SWCText"/>
        <w:widowControl/>
      </w:pPr>
      <w:r>
        <w:t xml:space="preserve">The main advantage of the prototype is its potential to reduce </w:t>
      </w:r>
      <w:proofErr w:type="gramStart"/>
      <w:r>
        <w:t>cost</w:t>
      </w:r>
      <w:proofErr w:type="gramEnd"/>
      <w:r>
        <w:t>. At estimated collector costs of</w:t>
      </w:r>
      <w:r w:rsidR="004E5653">
        <w:t xml:space="preserve"> </w:t>
      </w:r>
      <w:r w:rsidR="004E5653">
        <w:t>€</w:t>
      </w:r>
      <w:r w:rsidR="004E5653">
        <w:t> </w:t>
      </w:r>
      <w:r>
        <w:t xml:space="preserve">242 per panel for Pool PVT </w:t>
      </w:r>
      <w:proofErr w:type="gramStart"/>
      <w:r>
        <w:t xml:space="preserve">and </w:t>
      </w:r>
      <w:r w:rsidR="004E5653">
        <w:t xml:space="preserve"> €</w:t>
      </w:r>
      <w:proofErr w:type="gramEnd"/>
      <w:r w:rsidR="004E5653">
        <w:t> </w:t>
      </w:r>
      <w:r>
        <w:t>504</w:t>
      </w:r>
      <w:r w:rsidR="004E5653">
        <w:t xml:space="preserve"> </w:t>
      </w:r>
      <w:r>
        <w:t>for the reference collector, the Pool PVT system reaches the lowest TLCC at</w:t>
      </w:r>
      <w:r w:rsidR="00BE48FF">
        <w:t xml:space="preserve"> </w:t>
      </w:r>
      <w:r w:rsidR="00BE48FF" w:rsidRPr="00097AE8">
        <w:rPr>
          <w:lang w:val="de-DE"/>
        </w:rPr>
        <w:t>€</w:t>
      </w:r>
      <w:r w:rsidR="004E5653">
        <w:rPr>
          <w:lang w:val="de-DE"/>
        </w:rPr>
        <w:t> </w:t>
      </w:r>
      <w:r w:rsidR="00BE48FF" w:rsidRPr="00097AE8">
        <w:rPr>
          <w:lang w:val="de-DE"/>
        </w:rPr>
        <w:t xml:space="preserve">365 </w:t>
      </w:r>
      <w:proofErr w:type="spellStart"/>
      <w:r w:rsidR="00BE48FF" w:rsidRPr="00097AE8">
        <w:rPr>
          <w:lang w:val="de-DE"/>
        </w:rPr>
        <w:t>thousand</w:t>
      </w:r>
      <w:proofErr w:type="spellEnd"/>
      <w:r>
        <w:t xml:space="preserve">. The sensitivity analysis shows that its advantage over the GSHP-only system is retained up to </w:t>
      </w:r>
      <w:r w:rsidR="004E5653">
        <w:t>€</w:t>
      </w:r>
      <w:r w:rsidR="004E5653">
        <w:t> </w:t>
      </w:r>
      <w:r>
        <w:t>33</w:t>
      </w:r>
      <w:r w:rsidR="004E5653">
        <w:t xml:space="preserve">2 </w:t>
      </w:r>
      <w:r>
        <w:t>per panel, supporting simplified absorber concepts where low-temperature system performance is relatively insensitive to small efficiency differences.</w:t>
      </w:r>
    </w:p>
    <w:p w14:paraId="09A0A559" w14:textId="3D29C7B1" w:rsidR="00450489" w:rsidRDefault="000966D0">
      <w:pPr>
        <w:pStyle w:val="SWCText"/>
        <w:widowControl/>
      </w:pPr>
      <w:r>
        <w:t>Future work should convert the proof-of-concept absorber into a design suitable for manufacturing and long-term operation. Priorities include reducing thickness and weight, improving bonding and thermal contact, refining the exchanger geometry around the junction box, and defining pressure and flow-rate limits. Long-duration outdoor testing should assess polymer stability, adhesive aging, leakage risk, and performance degradation, while a broader seasonal test campaign would reduce uncertainty in the quasi-dynamic model and long-term techno-economic assessment.</w:t>
      </w:r>
    </w:p>
    <w:p w14:paraId="2114DDB0" w14:textId="77777777" w:rsidR="008036BC" w:rsidRPr="008036BC" w:rsidRDefault="008036BC" w:rsidP="00CD7008">
      <w:pPr>
        <w:pStyle w:val="SWCHeading1"/>
        <w:spacing w:before="320"/>
      </w:pPr>
      <w:r w:rsidRPr="008036BC">
        <w:t>References</w:t>
      </w:r>
    </w:p>
    <w:p w14:paraId="5F5EC44B" w14:textId="7A364F33" w:rsidR="00BE48FF" w:rsidRPr="00BE48FF" w:rsidRDefault="008036BC" w:rsidP="00BE48FF">
      <w:pPr>
        <w:widowControl w:val="0"/>
        <w:autoSpaceDE w:val="0"/>
        <w:autoSpaceDN w:val="0"/>
        <w:adjustRightInd w:val="0"/>
        <w:spacing w:after="120"/>
        <w:ind w:left="480" w:hanging="480"/>
        <w:rPr>
          <w:noProof/>
          <w:sz w:val="20"/>
        </w:rPr>
      </w:pPr>
      <w:r>
        <w:fldChar w:fldCharType="begin" w:fldLock="1"/>
      </w:r>
      <w:r w:rsidRPr="00302920">
        <w:rPr>
          <w:lang w:val="es-UY"/>
        </w:rPr>
        <w:instrText xml:space="preserve">ADDIN Mendeley Bibliography CSL_BIBLIOGRAPHY </w:instrText>
      </w:r>
      <w:r>
        <w:fldChar w:fldCharType="separate"/>
      </w:r>
      <w:r w:rsidR="00BE48FF" w:rsidRPr="00BE48FF">
        <w:rPr>
          <w:noProof/>
          <w:sz w:val="20"/>
        </w:rPr>
        <w:t xml:space="preserve">Abdul-Ganiyu, S., Quansah, D. A., Ramde, E. W., Seidu, R., &amp; Adaramola, M. S. (2021). Techno-economic analysis of solar photovoltaic (PV) and solar photovoltaic thermal (PVT) systems using exergy analysis. </w:t>
      </w:r>
      <w:r w:rsidR="00BE48FF" w:rsidRPr="00BE48FF">
        <w:rPr>
          <w:i/>
          <w:iCs/>
          <w:noProof/>
          <w:sz w:val="20"/>
        </w:rPr>
        <w:t>Sustainable Energy Technologies and Assessments</w:t>
      </w:r>
      <w:r w:rsidR="00BE48FF" w:rsidRPr="00BE48FF">
        <w:rPr>
          <w:noProof/>
          <w:sz w:val="20"/>
        </w:rPr>
        <w:t xml:space="preserve">, </w:t>
      </w:r>
      <w:r w:rsidR="00BE48FF" w:rsidRPr="00BE48FF">
        <w:rPr>
          <w:i/>
          <w:iCs/>
          <w:noProof/>
          <w:sz w:val="20"/>
        </w:rPr>
        <w:t>47</w:t>
      </w:r>
      <w:r w:rsidR="00BE48FF" w:rsidRPr="00BE48FF">
        <w:rPr>
          <w:noProof/>
          <w:sz w:val="20"/>
        </w:rPr>
        <w:t>(November 2020), 101520. https://doi.org/10.1016/j.seta.2021.101520</w:t>
      </w:r>
    </w:p>
    <w:p w14:paraId="519D4C22"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Aste, N., del Pero, C., &amp; Leonforte, F. (2014). Water flat plate PV-thermal collectors: A review. </w:t>
      </w:r>
      <w:r w:rsidRPr="00BE48FF">
        <w:rPr>
          <w:i/>
          <w:iCs/>
          <w:noProof/>
          <w:sz w:val="20"/>
        </w:rPr>
        <w:t>Solar Energy</w:t>
      </w:r>
      <w:r w:rsidRPr="00BE48FF">
        <w:rPr>
          <w:noProof/>
          <w:sz w:val="20"/>
        </w:rPr>
        <w:t xml:space="preserve">, </w:t>
      </w:r>
      <w:r w:rsidRPr="00BE48FF">
        <w:rPr>
          <w:i/>
          <w:iCs/>
          <w:noProof/>
          <w:sz w:val="20"/>
        </w:rPr>
        <w:t>102</w:t>
      </w:r>
      <w:r w:rsidRPr="00BE48FF">
        <w:rPr>
          <w:noProof/>
          <w:sz w:val="20"/>
        </w:rPr>
        <w:t>, 98–115. https://doi.org/10.1016/j.solener.2014.01.025</w:t>
      </w:r>
    </w:p>
    <w:p w14:paraId="1A7E9ADB"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Bakker, M., Zondag, H. A., Elswijk, M. J., Strootman, K. J., &amp; Jong, M. J. M. (2005). Performance and costs of a roof-sized PV/thermal array combined with a ground coupled heat pump. </w:t>
      </w:r>
      <w:r w:rsidRPr="00BE48FF">
        <w:rPr>
          <w:i/>
          <w:iCs/>
          <w:noProof/>
          <w:sz w:val="20"/>
        </w:rPr>
        <w:t>Solar Energy</w:t>
      </w:r>
      <w:r w:rsidRPr="00BE48FF">
        <w:rPr>
          <w:noProof/>
          <w:sz w:val="20"/>
        </w:rPr>
        <w:t xml:space="preserve">, </w:t>
      </w:r>
      <w:r w:rsidRPr="00BE48FF">
        <w:rPr>
          <w:i/>
          <w:iCs/>
          <w:noProof/>
          <w:sz w:val="20"/>
        </w:rPr>
        <w:t>78</w:t>
      </w:r>
      <w:r w:rsidRPr="00BE48FF">
        <w:rPr>
          <w:noProof/>
          <w:sz w:val="20"/>
        </w:rPr>
        <w:t>(2), 331–339. https://doi.org/10.1016/j.solener.2004.09.019</w:t>
      </w:r>
    </w:p>
    <w:p w14:paraId="0607899F"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Beltrán, F., Sommerfeldt, N., Reichl, C., &amp; Madani, H. (2025). Cold solar: PVT heat exchanger designs for heat pump integration. </w:t>
      </w:r>
      <w:r w:rsidRPr="00BE48FF">
        <w:rPr>
          <w:i/>
          <w:iCs/>
          <w:noProof/>
          <w:sz w:val="20"/>
        </w:rPr>
        <w:t>Applied Thermal Engineering</w:t>
      </w:r>
      <w:r w:rsidRPr="00BE48FF">
        <w:rPr>
          <w:noProof/>
          <w:sz w:val="20"/>
        </w:rPr>
        <w:t xml:space="preserve">, </w:t>
      </w:r>
      <w:r w:rsidRPr="00BE48FF">
        <w:rPr>
          <w:i/>
          <w:iCs/>
          <w:noProof/>
          <w:sz w:val="20"/>
        </w:rPr>
        <w:t>261</w:t>
      </w:r>
      <w:r w:rsidRPr="00BE48FF">
        <w:rPr>
          <w:noProof/>
          <w:sz w:val="20"/>
        </w:rPr>
        <w:t>(November 2024). https://doi.org/10.1016/j.applthermaleng.2024.125020</w:t>
      </w:r>
    </w:p>
    <w:p w14:paraId="6A3745DE"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Bertram, E., Glembin, J., &amp; Rockendorf, G. (2012). Unglazed PVT collectors as additional heat source in heat pump systems with borehole heat exchanger. </w:t>
      </w:r>
      <w:r w:rsidRPr="00BE48FF">
        <w:rPr>
          <w:i/>
          <w:iCs/>
          <w:noProof/>
          <w:sz w:val="20"/>
        </w:rPr>
        <w:t>Energy Procedia</w:t>
      </w:r>
      <w:r w:rsidRPr="00BE48FF">
        <w:rPr>
          <w:noProof/>
          <w:sz w:val="20"/>
        </w:rPr>
        <w:t xml:space="preserve">, </w:t>
      </w:r>
      <w:r w:rsidRPr="00BE48FF">
        <w:rPr>
          <w:i/>
          <w:iCs/>
          <w:noProof/>
          <w:sz w:val="20"/>
        </w:rPr>
        <w:t>30</w:t>
      </w:r>
      <w:r w:rsidRPr="00BE48FF">
        <w:rPr>
          <w:noProof/>
          <w:sz w:val="20"/>
        </w:rPr>
        <w:t>, 414–423. https://doi.org/10.1016/j.egypro.2012.11.049</w:t>
      </w:r>
    </w:p>
    <w:p w14:paraId="65803CD3"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Brötje, S., Kirchner, M., &amp; Giovannetti, F. (2018). Performance and heat transfer analysis of uncovered photovoltaic-thermal collectors with detachable compound. </w:t>
      </w:r>
      <w:r w:rsidRPr="00BE48FF">
        <w:rPr>
          <w:i/>
          <w:iCs/>
          <w:noProof/>
          <w:sz w:val="20"/>
        </w:rPr>
        <w:t>Solar Energy</w:t>
      </w:r>
      <w:r w:rsidRPr="00BE48FF">
        <w:rPr>
          <w:noProof/>
          <w:sz w:val="20"/>
        </w:rPr>
        <w:t xml:space="preserve">, </w:t>
      </w:r>
      <w:r w:rsidRPr="00BE48FF">
        <w:rPr>
          <w:i/>
          <w:iCs/>
          <w:noProof/>
          <w:sz w:val="20"/>
        </w:rPr>
        <w:t>170</w:t>
      </w:r>
      <w:r w:rsidRPr="00BE48FF">
        <w:rPr>
          <w:noProof/>
          <w:sz w:val="20"/>
        </w:rPr>
        <w:t>(October 2017), 406–418. https://doi.org/10.1016/j.solener.2018.05.030</w:t>
      </w:r>
    </w:p>
    <w:p w14:paraId="03AA4911"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Giovannetti, F., Lampe, C., Kirchner, M., Littwin, M., Asenbeck, S., &amp; Fischer, S. (2019). Experimental investigations on photovoltaic-thermal arrays designed for the use as heat pump source. </w:t>
      </w:r>
      <w:r w:rsidRPr="00BE48FF">
        <w:rPr>
          <w:i/>
          <w:iCs/>
          <w:noProof/>
          <w:sz w:val="20"/>
        </w:rPr>
        <w:t>Proceedings of the ISES Solar World Congress 2019 and IEA SHC International Conference on Solar Heating and Cooling for Buildings and Industry 2019</w:t>
      </w:r>
      <w:r w:rsidRPr="00BE48FF">
        <w:rPr>
          <w:noProof/>
          <w:sz w:val="20"/>
        </w:rPr>
        <w:t>, 177–188. https://doi.org/10.18086/swc.2019.05.03</w:t>
      </w:r>
    </w:p>
    <w:p w14:paraId="36C1BF8F"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lastRenderedPageBreak/>
        <w:t xml:space="preserve">Herez, A., El, H., Lemenand, T., &amp; Ramadan, M. (2020). Review on photovoltaic/thermal hybrid solar collectors: Classifications, applications and new systems. </w:t>
      </w:r>
      <w:r w:rsidRPr="00BE48FF">
        <w:rPr>
          <w:i/>
          <w:iCs/>
          <w:noProof/>
          <w:sz w:val="20"/>
        </w:rPr>
        <w:t>Solar Energy</w:t>
      </w:r>
      <w:r w:rsidRPr="00BE48FF">
        <w:rPr>
          <w:noProof/>
          <w:sz w:val="20"/>
        </w:rPr>
        <w:t xml:space="preserve">, </w:t>
      </w:r>
      <w:r w:rsidRPr="00BE48FF">
        <w:rPr>
          <w:i/>
          <w:iCs/>
          <w:noProof/>
          <w:sz w:val="20"/>
        </w:rPr>
        <w:t>207</w:t>
      </w:r>
      <w:r w:rsidRPr="00BE48FF">
        <w:rPr>
          <w:noProof/>
          <w:sz w:val="20"/>
        </w:rPr>
        <w:t>(May), 1321–1347. https://doi.org/10.1016/j.solener.2020.07.062</w:t>
      </w:r>
    </w:p>
    <w:p w14:paraId="41DE9522"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Herrando, M., Ramos, A., Zabalza, I., &amp; Markides, C. N. (2019). A comprehensive assessment of alternative absorber-exchanger designs for hybrid PVT-water collectors. </w:t>
      </w:r>
      <w:r w:rsidRPr="00BE48FF">
        <w:rPr>
          <w:i/>
          <w:iCs/>
          <w:noProof/>
          <w:sz w:val="20"/>
        </w:rPr>
        <w:t>Applied Energy</w:t>
      </w:r>
      <w:r w:rsidRPr="00BE48FF">
        <w:rPr>
          <w:noProof/>
          <w:sz w:val="20"/>
        </w:rPr>
        <w:t xml:space="preserve">, </w:t>
      </w:r>
      <w:r w:rsidRPr="00BE48FF">
        <w:rPr>
          <w:i/>
          <w:iCs/>
          <w:noProof/>
          <w:sz w:val="20"/>
        </w:rPr>
        <w:t>235</w:t>
      </w:r>
      <w:r w:rsidRPr="00BE48FF">
        <w:rPr>
          <w:noProof/>
          <w:sz w:val="20"/>
        </w:rPr>
        <w:t>(November 2018), 1583–1602. https://doi.org/10.1016/j.apenergy.2018.11.024</w:t>
      </w:r>
    </w:p>
    <w:p w14:paraId="130C1E6F"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ISO. (2017). </w:t>
      </w:r>
      <w:r w:rsidRPr="00BE48FF">
        <w:rPr>
          <w:i/>
          <w:iCs/>
          <w:noProof/>
          <w:sz w:val="20"/>
        </w:rPr>
        <w:t>ISO 9806:2017 Solar energy - Solar thermal collectors - Test methods</w:t>
      </w:r>
      <w:r w:rsidRPr="00BE48FF">
        <w:rPr>
          <w:noProof/>
          <w:sz w:val="20"/>
        </w:rPr>
        <w:t>.</w:t>
      </w:r>
    </w:p>
    <w:p w14:paraId="52F83D13"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Sommerfeldt, N., &amp; Madani, H. (2019). In-depth techno-economic analysis of PV/Thermal plus ground source heat pump systems for multi-family houses in a heating dominated climate. </w:t>
      </w:r>
      <w:r w:rsidRPr="00BE48FF">
        <w:rPr>
          <w:i/>
          <w:iCs/>
          <w:noProof/>
          <w:sz w:val="20"/>
        </w:rPr>
        <w:t>Solar Energy</w:t>
      </w:r>
      <w:r w:rsidRPr="00BE48FF">
        <w:rPr>
          <w:noProof/>
          <w:sz w:val="20"/>
        </w:rPr>
        <w:t xml:space="preserve">, </w:t>
      </w:r>
      <w:r w:rsidRPr="00BE48FF">
        <w:rPr>
          <w:i/>
          <w:iCs/>
          <w:noProof/>
          <w:sz w:val="20"/>
        </w:rPr>
        <w:t>190</w:t>
      </w:r>
      <w:r w:rsidRPr="00BE48FF">
        <w:rPr>
          <w:noProof/>
          <w:sz w:val="20"/>
        </w:rPr>
        <w:t>(July), 44–62. https://doi.org/10.1016/j.solener.2019.07.080</w:t>
      </w:r>
    </w:p>
    <w:p w14:paraId="184BD6F3"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Sommerfeldt, N., &amp; Ollas, P. (2017). Reverse engineering prototype solar pv/thermal collector properties from empirical data for use in TRNSYS Type 560. </w:t>
      </w:r>
      <w:r w:rsidRPr="00BE48FF">
        <w:rPr>
          <w:i/>
          <w:iCs/>
          <w:noProof/>
          <w:sz w:val="20"/>
        </w:rPr>
        <w:t>ISES Solar World Congress 2017 - IEA SHC International Conference on Solar Heating and Cooling for Buildings and Industry 2017, Proceedings</w:t>
      </w:r>
      <w:r w:rsidRPr="00BE48FF">
        <w:rPr>
          <w:noProof/>
          <w:sz w:val="20"/>
        </w:rPr>
        <w:t>, 1121–1132. https://doi.org/10.18086/swc.2017.18.11</w:t>
      </w:r>
    </w:p>
    <w:p w14:paraId="3081E1F9" w14:textId="77777777" w:rsidR="00BE48FF" w:rsidRPr="00BE48FF" w:rsidRDefault="00BE48FF" w:rsidP="00BE48FF">
      <w:pPr>
        <w:widowControl w:val="0"/>
        <w:autoSpaceDE w:val="0"/>
        <w:autoSpaceDN w:val="0"/>
        <w:adjustRightInd w:val="0"/>
        <w:spacing w:after="120"/>
        <w:ind w:left="480" w:hanging="480"/>
        <w:rPr>
          <w:noProof/>
          <w:sz w:val="20"/>
        </w:rPr>
      </w:pPr>
      <w:r w:rsidRPr="00BE48FF">
        <w:rPr>
          <w:noProof/>
          <w:sz w:val="20"/>
        </w:rPr>
        <w:t xml:space="preserve">Xu, P., Zhang, X., Shen, J., Wu, Y., Connelly, K., Yang, T., Tang, L., Xiao, M., &amp; Wei, Y. (2017). A review of thermal absorbers and their integration methods for the combined solar photovoltaic/thermal (PV/T) modules. In </w:t>
      </w:r>
      <w:r w:rsidRPr="00BE48FF">
        <w:rPr>
          <w:i/>
          <w:iCs/>
          <w:noProof/>
          <w:sz w:val="20"/>
        </w:rPr>
        <w:t>Renewable and Sustainable Energy Reviews</w:t>
      </w:r>
      <w:r w:rsidRPr="00BE48FF">
        <w:rPr>
          <w:noProof/>
          <w:sz w:val="20"/>
        </w:rPr>
        <w:t xml:space="preserve"> (Vol. 75). https://doi.org/10.1016/j.rser.2016.11.063</w:t>
      </w:r>
    </w:p>
    <w:p w14:paraId="4F682DAE" w14:textId="2D6602A4" w:rsidR="008F54F8" w:rsidRDefault="008036BC" w:rsidP="00EB6F9A">
      <w:pPr>
        <w:pStyle w:val="SWCReferences"/>
        <w:widowControl w:val="0"/>
        <w:autoSpaceDE w:val="0"/>
        <w:autoSpaceDN w:val="0"/>
        <w:adjustRightInd w:val="0"/>
        <w:spacing w:after="120"/>
        <w:ind w:left="480" w:hanging="480"/>
      </w:pPr>
      <w:r>
        <w:fldChar w:fldCharType="end"/>
      </w:r>
    </w:p>
    <w:sectPr w:rsidR="008F54F8" w:rsidSect="00EC4596">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31990" w14:textId="77777777" w:rsidR="00FD650D" w:rsidRDefault="00FD650D">
      <w:r>
        <w:separator/>
      </w:r>
    </w:p>
  </w:endnote>
  <w:endnote w:type="continuationSeparator" w:id="0">
    <w:p w14:paraId="46B85DCF" w14:textId="77777777" w:rsidR="00FD650D" w:rsidRDefault="00FD6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8009D" w14:textId="77777777" w:rsidR="00FD650D" w:rsidRDefault="00FD650D">
      <w:r>
        <w:separator/>
      </w:r>
    </w:p>
  </w:footnote>
  <w:footnote w:type="continuationSeparator" w:id="0">
    <w:p w14:paraId="392D9E52" w14:textId="77777777" w:rsidR="00FD650D" w:rsidRDefault="00FD6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263D7A"/>
    <w:multiLevelType w:val="hybridMultilevel"/>
    <w:tmpl w:val="59FC6B4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multilevel"/>
    <w:tmpl w:val="0E983872"/>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4"/>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3"/>
  </w:num>
  <w:num w:numId="17" w16cid:durableId="569772207">
    <w:abstractNumId w:val="17"/>
  </w:num>
  <w:num w:numId="18" w16cid:durableId="1080835087">
    <w:abstractNumId w:val="21"/>
  </w:num>
  <w:num w:numId="19" w16cid:durableId="1514802717">
    <w:abstractNumId w:val="9"/>
  </w:num>
  <w:num w:numId="20" w16cid:durableId="1328480391">
    <w:abstractNumId w:val="8"/>
  </w:num>
  <w:num w:numId="21" w16cid:durableId="1166094805">
    <w:abstractNumId w:val="12"/>
  </w:num>
  <w:num w:numId="22" w16cid:durableId="679743871">
    <w:abstractNumId w:val="20"/>
  </w:num>
  <w:num w:numId="23" w16cid:durableId="612976666">
    <w:abstractNumId w:val="15"/>
  </w:num>
  <w:num w:numId="24" w16cid:durableId="7829984">
    <w:abstractNumId w:val="22"/>
  </w:num>
  <w:num w:numId="25" w16cid:durableId="1451314742">
    <w:abstractNumId w:val="19"/>
  </w:num>
  <w:num w:numId="26" w16cid:durableId="115378999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804820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019C"/>
    <w:rsid w:val="0004105B"/>
    <w:rsid w:val="0004235D"/>
    <w:rsid w:val="00051070"/>
    <w:rsid w:val="000533E4"/>
    <w:rsid w:val="000534F5"/>
    <w:rsid w:val="00053E02"/>
    <w:rsid w:val="00054E26"/>
    <w:rsid w:val="00055DB9"/>
    <w:rsid w:val="00057B5E"/>
    <w:rsid w:val="0006440F"/>
    <w:rsid w:val="00066B26"/>
    <w:rsid w:val="000678AC"/>
    <w:rsid w:val="000712A1"/>
    <w:rsid w:val="0007187A"/>
    <w:rsid w:val="00074DBF"/>
    <w:rsid w:val="000833A9"/>
    <w:rsid w:val="00092ED5"/>
    <w:rsid w:val="000966D0"/>
    <w:rsid w:val="000A0ADB"/>
    <w:rsid w:val="000A30A5"/>
    <w:rsid w:val="000A36B5"/>
    <w:rsid w:val="000A52A1"/>
    <w:rsid w:val="000B04BE"/>
    <w:rsid w:val="000B1F4D"/>
    <w:rsid w:val="000C2344"/>
    <w:rsid w:val="000D6E1A"/>
    <w:rsid w:val="000E1855"/>
    <w:rsid w:val="000F739B"/>
    <w:rsid w:val="00100542"/>
    <w:rsid w:val="0010501A"/>
    <w:rsid w:val="00113730"/>
    <w:rsid w:val="0013717C"/>
    <w:rsid w:val="0015090D"/>
    <w:rsid w:val="00155FB8"/>
    <w:rsid w:val="00157CE5"/>
    <w:rsid w:val="001635A0"/>
    <w:rsid w:val="001647D2"/>
    <w:rsid w:val="00165206"/>
    <w:rsid w:val="00166C42"/>
    <w:rsid w:val="00176EF6"/>
    <w:rsid w:val="001904A7"/>
    <w:rsid w:val="0019232E"/>
    <w:rsid w:val="00194E9A"/>
    <w:rsid w:val="001968B5"/>
    <w:rsid w:val="001969B9"/>
    <w:rsid w:val="001A117A"/>
    <w:rsid w:val="001A775B"/>
    <w:rsid w:val="001A7F40"/>
    <w:rsid w:val="001B13D6"/>
    <w:rsid w:val="001B46A4"/>
    <w:rsid w:val="001B515F"/>
    <w:rsid w:val="001B6BCF"/>
    <w:rsid w:val="001B7B01"/>
    <w:rsid w:val="001C3A3D"/>
    <w:rsid w:val="001C63A2"/>
    <w:rsid w:val="001D0384"/>
    <w:rsid w:val="001D4912"/>
    <w:rsid w:val="001D4B73"/>
    <w:rsid w:val="001E1564"/>
    <w:rsid w:val="001E2B93"/>
    <w:rsid w:val="001F2881"/>
    <w:rsid w:val="001F698A"/>
    <w:rsid w:val="00200F2E"/>
    <w:rsid w:val="00203AD0"/>
    <w:rsid w:val="00205626"/>
    <w:rsid w:val="00206116"/>
    <w:rsid w:val="00211969"/>
    <w:rsid w:val="00212628"/>
    <w:rsid w:val="0022299B"/>
    <w:rsid w:val="00225724"/>
    <w:rsid w:val="00243214"/>
    <w:rsid w:val="00246DF4"/>
    <w:rsid w:val="00251440"/>
    <w:rsid w:val="002647A0"/>
    <w:rsid w:val="00266E47"/>
    <w:rsid w:val="00270E75"/>
    <w:rsid w:val="0027288C"/>
    <w:rsid w:val="00273341"/>
    <w:rsid w:val="002972D1"/>
    <w:rsid w:val="002A04A9"/>
    <w:rsid w:val="002A39BB"/>
    <w:rsid w:val="002B417A"/>
    <w:rsid w:val="002B4DC8"/>
    <w:rsid w:val="002C089D"/>
    <w:rsid w:val="002C68AD"/>
    <w:rsid w:val="002D322C"/>
    <w:rsid w:val="002D4864"/>
    <w:rsid w:val="002E5D62"/>
    <w:rsid w:val="002E5FA3"/>
    <w:rsid w:val="002F1386"/>
    <w:rsid w:val="002F6B87"/>
    <w:rsid w:val="00302920"/>
    <w:rsid w:val="00303345"/>
    <w:rsid w:val="00317087"/>
    <w:rsid w:val="003234E6"/>
    <w:rsid w:val="003357AC"/>
    <w:rsid w:val="00356001"/>
    <w:rsid w:val="0035638A"/>
    <w:rsid w:val="003605B9"/>
    <w:rsid w:val="00362122"/>
    <w:rsid w:val="00364A52"/>
    <w:rsid w:val="00367381"/>
    <w:rsid w:val="0037075C"/>
    <w:rsid w:val="00373F97"/>
    <w:rsid w:val="00374216"/>
    <w:rsid w:val="0038545D"/>
    <w:rsid w:val="003869E8"/>
    <w:rsid w:val="00391288"/>
    <w:rsid w:val="003919CA"/>
    <w:rsid w:val="00395E5A"/>
    <w:rsid w:val="0039742D"/>
    <w:rsid w:val="003A3A38"/>
    <w:rsid w:val="003A7DB9"/>
    <w:rsid w:val="003B2055"/>
    <w:rsid w:val="003C0806"/>
    <w:rsid w:val="003C18DE"/>
    <w:rsid w:val="003C1B31"/>
    <w:rsid w:val="003C1C68"/>
    <w:rsid w:val="003C2B1A"/>
    <w:rsid w:val="003C39C6"/>
    <w:rsid w:val="003C6C1A"/>
    <w:rsid w:val="003D0C22"/>
    <w:rsid w:val="003E1E1C"/>
    <w:rsid w:val="003E35CE"/>
    <w:rsid w:val="003F0403"/>
    <w:rsid w:val="003F30CB"/>
    <w:rsid w:val="003F5B99"/>
    <w:rsid w:val="004019FD"/>
    <w:rsid w:val="00403E6A"/>
    <w:rsid w:val="004053B5"/>
    <w:rsid w:val="0040615A"/>
    <w:rsid w:val="00411E29"/>
    <w:rsid w:val="0042033E"/>
    <w:rsid w:val="004357AD"/>
    <w:rsid w:val="00450489"/>
    <w:rsid w:val="00453296"/>
    <w:rsid w:val="00463CC1"/>
    <w:rsid w:val="00467DFD"/>
    <w:rsid w:val="00476879"/>
    <w:rsid w:val="00490F10"/>
    <w:rsid w:val="00491D85"/>
    <w:rsid w:val="00493C81"/>
    <w:rsid w:val="00494006"/>
    <w:rsid w:val="004A3506"/>
    <w:rsid w:val="004A612E"/>
    <w:rsid w:val="004C39AD"/>
    <w:rsid w:val="004C4EE9"/>
    <w:rsid w:val="004E238D"/>
    <w:rsid w:val="004E5653"/>
    <w:rsid w:val="004E5D79"/>
    <w:rsid w:val="004F10CE"/>
    <w:rsid w:val="004F27FC"/>
    <w:rsid w:val="004F3373"/>
    <w:rsid w:val="004F4904"/>
    <w:rsid w:val="004F5FF9"/>
    <w:rsid w:val="00500640"/>
    <w:rsid w:val="00500D7D"/>
    <w:rsid w:val="005067AC"/>
    <w:rsid w:val="00514890"/>
    <w:rsid w:val="0051584D"/>
    <w:rsid w:val="00532138"/>
    <w:rsid w:val="00532BD7"/>
    <w:rsid w:val="0053532A"/>
    <w:rsid w:val="005404F1"/>
    <w:rsid w:val="00550776"/>
    <w:rsid w:val="00556004"/>
    <w:rsid w:val="00566460"/>
    <w:rsid w:val="00566ACC"/>
    <w:rsid w:val="0057075C"/>
    <w:rsid w:val="00571A18"/>
    <w:rsid w:val="005721F8"/>
    <w:rsid w:val="00577E09"/>
    <w:rsid w:val="005836C7"/>
    <w:rsid w:val="00587AF6"/>
    <w:rsid w:val="005B3E0D"/>
    <w:rsid w:val="005B3E86"/>
    <w:rsid w:val="005B6F55"/>
    <w:rsid w:val="005C1AB4"/>
    <w:rsid w:val="005D5CF6"/>
    <w:rsid w:val="005D5DC2"/>
    <w:rsid w:val="005E04EA"/>
    <w:rsid w:val="005E0D7D"/>
    <w:rsid w:val="005E7208"/>
    <w:rsid w:val="00607C4E"/>
    <w:rsid w:val="00611E22"/>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92D59"/>
    <w:rsid w:val="00692D7F"/>
    <w:rsid w:val="006A0AE2"/>
    <w:rsid w:val="006A0DD0"/>
    <w:rsid w:val="006A2F10"/>
    <w:rsid w:val="006A77D0"/>
    <w:rsid w:val="006B4C9F"/>
    <w:rsid w:val="006C49A2"/>
    <w:rsid w:val="006C756C"/>
    <w:rsid w:val="006D4A96"/>
    <w:rsid w:val="006E0657"/>
    <w:rsid w:val="006E50ED"/>
    <w:rsid w:val="006E7380"/>
    <w:rsid w:val="006F435C"/>
    <w:rsid w:val="006F5B85"/>
    <w:rsid w:val="00702AE0"/>
    <w:rsid w:val="007145F4"/>
    <w:rsid w:val="007174DA"/>
    <w:rsid w:val="00725ED2"/>
    <w:rsid w:val="007361EC"/>
    <w:rsid w:val="007504D2"/>
    <w:rsid w:val="007535ED"/>
    <w:rsid w:val="0075406E"/>
    <w:rsid w:val="00756702"/>
    <w:rsid w:val="00762211"/>
    <w:rsid w:val="00762EA3"/>
    <w:rsid w:val="007763CB"/>
    <w:rsid w:val="00776BDF"/>
    <w:rsid w:val="007804A7"/>
    <w:rsid w:val="007908ED"/>
    <w:rsid w:val="007908F6"/>
    <w:rsid w:val="00794A5C"/>
    <w:rsid w:val="007954D9"/>
    <w:rsid w:val="007A7952"/>
    <w:rsid w:val="007B0A4E"/>
    <w:rsid w:val="007B0BDB"/>
    <w:rsid w:val="007B33DF"/>
    <w:rsid w:val="007C0AC3"/>
    <w:rsid w:val="007C11B3"/>
    <w:rsid w:val="007C1632"/>
    <w:rsid w:val="007C2E22"/>
    <w:rsid w:val="007C36EF"/>
    <w:rsid w:val="007C6BDE"/>
    <w:rsid w:val="007C7381"/>
    <w:rsid w:val="007D0678"/>
    <w:rsid w:val="007D1C2C"/>
    <w:rsid w:val="007D1CA1"/>
    <w:rsid w:val="007E7634"/>
    <w:rsid w:val="00800E25"/>
    <w:rsid w:val="00801634"/>
    <w:rsid w:val="008036BC"/>
    <w:rsid w:val="00804B3C"/>
    <w:rsid w:val="0080537B"/>
    <w:rsid w:val="008219CF"/>
    <w:rsid w:val="00833EF2"/>
    <w:rsid w:val="00834062"/>
    <w:rsid w:val="00837104"/>
    <w:rsid w:val="00840E8F"/>
    <w:rsid w:val="0084100F"/>
    <w:rsid w:val="00845AE3"/>
    <w:rsid w:val="008717D2"/>
    <w:rsid w:val="00890224"/>
    <w:rsid w:val="00893500"/>
    <w:rsid w:val="008B4623"/>
    <w:rsid w:val="008B618F"/>
    <w:rsid w:val="008D44C5"/>
    <w:rsid w:val="008D7E85"/>
    <w:rsid w:val="008E19FF"/>
    <w:rsid w:val="008E53FF"/>
    <w:rsid w:val="008F249D"/>
    <w:rsid w:val="008F54F8"/>
    <w:rsid w:val="009011AA"/>
    <w:rsid w:val="00906CC3"/>
    <w:rsid w:val="009140DF"/>
    <w:rsid w:val="00917D56"/>
    <w:rsid w:val="00931C9D"/>
    <w:rsid w:val="00933A00"/>
    <w:rsid w:val="00933BFD"/>
    <w:rsid w:val="00934D2D"/>
    <w:rsid w:val="00937811"/>
    <w:rsid w:val="00941691"/>
    <w:rsid w:val="0094267A"/>
    <w:rsid w:val="00942AED"/>
    <w:rsid w:val="00944E25"/>
    <w:rsid w:val="00953F15"/>
    <w:rsid w:val="00961F52"/>
    <w:rsid w:val="009642AB"/>
    <w:rsid w:val="00965D4E"/>
    <w:rsid w:val="0097016C"/>
    <w:rsid w:val="00982BCB"/>
    <w:rsid w:val="00993F03"/>
    <w:rsid w:val="0099435F"/>
    <w:rsid w:val="00996BC5"/>
    <w:rsid w:val="009A6D34"/>
    <w:rsid w:val="009B34BB"/>
    <w:rsid w:val="009B402D"/>
    <w:rsid w:val="009B4816"/>
    <w:rsid w:val="009C1BA8"/>
    <w:rsid w:val="009C2D0D"/>
    <w:rsid w:val="009C3492"/>
    <w:rsid w:val="009C49C6"/>
    <w:rsid w:val="009C49D9"/>
    <w:rsid w:val="009C5AA4"/>
    <w:rsid w:val="009D02D4"/>
    <w:rsid w:val="009D60E3"/>
    <w:rsid w:val="009E0D67"/>
    <w:rsid w:val="009E4985"/>
    <w:rsid w:val="009F1493"/>
    <w:rsid w:val="009F16C5"/>
    <w:rsid w:val="009F18CB"/>
    <w:rsid w:val="009F3E11"/>
    <w:rsid w:val="009F6AF8"/>
    <w:rsid w:val="009F6E78"/>
    <w:rsid w:val="009F7C7E"/>
    <w:rsid w:val="00A01148"/>
    <w:rsid w:val="00A16EEC"/>
    <w:rsid w:val="00A31DC5"/>
    <w:rsid w:val="00A40C81"/>
    <w:rsid w:val="00A436CD"/>
    <w:rsid w:val="00A44612"/>
    <w:rsid w:val="00A5180B"/>
    <w:rsid w:val="00A55E36"/>
    <w:rsid w:val="00A6457C"/>
    <w:rsid w:val="00A74442"/>
    <w:rsid w:val="00A7641D"/>
    <w:rsid w:val="00A83699"/>
    <w:rsid w:val="00A8757B"/>
    <w:rsid w:val="00A92044"/>
    <w:rsid w:val="00A9727D"/>
    <w:rsid w:val="00AA16B9"/>
    <w:rsid w:val="00AA47DC"/>
    <w:rsid w:val="00AB624E"/>
    <w:rsid w:val="00AC2C09"/>
    <w:rsid w:val="00AC6B6F"/>
    <w:rsid w:val="00AE11FC"/>
    <w:rsid w:val="00AE40B4"/>
    <w:rsid w:val="00AE6354"/>
    <w:rsid w:val="00AF15AF"/>
    <w:rsid w:val="00AF6EB4"/>
    <w:rsid w:val="00B01141"/>
    <w:rsid w:val="00B02E33"/>
    <w:rsid w:val="00B04CF2"/>
    <w:rsid w:val="00B0653D"/>
    <w:rsid w:val="00B214A1"/>
    <w:rsid w:val="00B21FBA"/>
    <w:rsid w:val="00B22D5C"/>
    <w:rsid w:val="00B263F0"/>
    <w:rsid w:val="00B2716E"/>
    <w:rsid w:val="00B32703"/>
    <w:rsid w:val="00B46C94"/>
    <w:rsid w:val="00B471BC"/>
    <w:rsid w:val="00B54313"/>
    <w:rsid w:val="00B54647"/>
    <w:rsid w:val="00B55EF3"/>
    <w:rsid w:val="00B60B5F"/>
    <w:rsid w:val="00B6496F"/>
    <w:rsid w:val="00B738E7"/>
    <w:rsid w:val="00B8064D"/>
    <w:rsid w:val="00B80F06"/>
    <w:rsid w:val="00B815A3"/>
    <w:rsid w:val="00B827C6"/>
    <w:rsid w:val="00B84CEB"/>
    <w:rsid w:val="00B93F09"/>
    <w:rsid w:val="00B977B3"/>
    <w:rsid w:val="00BB0D81"/>
    <w:rsid w:val="00BB1390"/>
    <w:rsid w:val="00BB304C"/>
    <w:rsid w:val="00BC1A2A"/>
    <w:rsid w:val="00BC738E"/>
    <w:rsid w:val="00BD0576"/>
    <w:rsid w:val="00BD0EE3"/>
    <w:rsid w:val="00BD3AB9"/>
    <w:rsid w:val="00BE48FF"/>
    <w:rsid w:val="00BE50D0"/>
    <w:rsid w:val="00BE630A"/>
    <w:rsid w:val="00BE6EB9"/>
    <w:rsid w:val="00BF16FE"/>
    <w:rsid w:val="00C012F5"/>
    <w:rsid w:val="00C065D2"/>
    <w:rsid w:val="00C068BC"/>
    <w:rsid w:val="00C17081"/>
    <w:rsid w:val="00C20A85"/>
    <w:rsid w:val="00C27FD4"/>
    <w:rsid w:val="00C365E2"/>
    <w:rsid w:val="00C44946"/>
    <w:rsid w:val="00C44EFB"/>
    <w:rsid w:val="00C52D9D"/>
    <w:rsid w:val="00C54616"/>
    <w:rsid w:val="00C55264"/>
    <w:rsid w:val="00C66630"/>
    <w:rsid w:val="00C6695C"/>
    <w:rsid w:val="00C812FB"/>
    <w:rsid w:val="00C97946"/>
    <w:rsid w:val="00CA1B96"/>
    <w:rsid w:val="00CA4F91"/>
    <w:rsid w:val="00CA7ABB"/>
    <w:rsid w:val="00CB57E5"/>
    <w:rsid w:val="00CB7EE8"/>
    <w:rsid w:val="00CC0BDA"/>
    <w:rsid w:val="00CC1CD0"/>
    <w:rsid w:val="00CC3B0C"/>
    <w:rsid w:val="00CD4EFC"/>
    <w:rsid w:val="00CD7008"/>
    <w:rsid w:val="00CE432C"/>
    <w:rsid w:val="00CE6DBB"/>
    <w:rsid w:val="00CF0ED4"/>
    <w:rsid w:val="00D0520C"/>
    <w:rsid w:val="00D05F9D"/>
    <w:rsid w:val="00D14555"/>
    <w:rsid w:val="00D17DCC"/>
    <w:rsid w:val="00D31359"/>
    <w:rsid w:val="00D32EF0"/>
    <w:rsid w:val="00D34665"/>
    <w:rsid w:val="00D35E52"/>
    <w:rsid w:val="00D36FA6"/>
    <w:rsid w:val="00D41E9A"/>
    <w:rsid w:val="00D53F31"/>
    <w:rsid w:val="00D5584D"/>
    <w:rsid w:val="00D62269"/>
    <w:rsid w:val="00D62EDC"/>
    <w:rsid w:val="00D63D44"/>
    <w:rsid w:val="00D70DB1"/>
    <w:rsid w:val="00D87C7F"/>
    <w:rsid w:val="00D87CBA"/>
    <w:rsid w:val="00D93EE6"/>
    <w:rsid w:val="00D976DC"/>
    <w:rsid w:val="00DA1B48"/>
    <w:rsid w:val="00DA244B"/>
    <w:rsid w:val="00DA61E7"/>
    <w:rsid w:val="00DA7F88"/>
    <w:rsid w:val="00DB191E"/>
    <w:rsid w:val="00DB52E7"/>
    <w:rsid w:val="00DC0318"/>
    <w:rsid w:val="00DD1D5F"/>
    <w:rsid w:val="00DE0269"/>
    <w:rsid w:val="00E012C5"/>
    <w:rsid w:val="00E023A9"/>
    <w:rsid w:val="00E07D1B"/>
    <w:rsid w:val="00E109A1"/>
    <w:rsid w:val="00E218E2"/>
    <w:rsid w:val="00E23FEE"/>
    <w:rsid w:val="00E37EE5"/>
    <w:rsid w:val="00E4525F"/>
    <w:rsid w:val="00E45750"/>
    <w:rsid w:val="00E548A7"/>
    <w:rsid w:val="00E57E49"/>
    <w:rsid w:val="00E61C50"/>
    <w:rsid w:val="00E65D4A"/>
    <w:rsid w:val="00E7237D"/>
    <w:rsid w:val="00E9249A"/>
    <w:rsid w:val="00EA46EC"/>
    <w:rsid w:val="00EA50D7"/>
    <w:rsid w:val="00EA56BF"/>
    <w:rsid w:val="00EB6F9A"/>
    <w:rsid w:val="00EC224D"/>
    <w:rsid w:val="00EC3533"/>
    <w:rsid w:val="00EC4596"/>
    <w:rsid w:val="00EF2F33"/>
    <w:rsid w:val="00EF596C"/>
    <w:rsid w:val="00F07750"/>
    <w:rsid w:val="00F16425"/>
    <w:rsid w:val="00F242F4"/>
    <w:rsid w:val="00F279DF"/>
    <w:rsid w:val="00F30A77"/>
    <w:rsid w:val="00F4393F"/>
    <w:rsid w:val="00F46A3A"/>
    <w:rsid w:val="00F5375D"/>
    <w:rsid w:val="00F5454E"/>
    <w:rsid w:val="00F70BF1"/>
    <w:rsid w:val="00F715C3"/>
    <w:rsid w:val="00F718BD"/>
    <w:rsid w:val="00F80507"/>
    <w:rsid w:val="00F83CD3"/>
    <w:rsid w:val="00F85F61"/>
    <w:rsid w:val="00F95487"/>
    <w:rsid w:val="00F95DEF"/>
    <w:rsid w:val="00FA01F3"/>
    <w:rsid w:val="00FA1553"/>
    <w:rsid w:val="00FA4DF8"/>
    <w:rsid w:val="00FB45FB"/>
    <w:rsid w:val="00FC09A1"/>
    <w:rsid w:val="00FC1781"/>
    <w:rsid w:val="00FC244F"/>
    <w:rsid w:val="00FC36E9"/>
    <w:rsid w:val="00FD2716"/>
    <w:rsid w:val="00FD650D"/>
    <w:rsid w:val="00FD79DA"/>
    <w:rsid w:val="00FE2ADC"/>
    <w:rsid w:val="00FE464D"/>
    <w:rsid w:val="00FE5997"/>
    <w:rsid w:val="00FE5BCB"/>
    <w:rsid w:val="00FE6390"/>
    <w:rsid w:val="00FF0950"/>
    <w:rsid w:val="00FF3D4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33981C"/>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52"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20" w:after="40" w:line="240" w:lineRule="exact"/>
      <w:jc w:val="left"/>
    </w:pPr>
    <w:rPr>
      <w:b w:val="0"/>
      <w:i/>
      <w:szCs w:val="22"/>
      <w:lang w:val="en-GB"/>
    </w:rPr>
  </w:style>
  <w:style w:type="paragraph" w:customStyle="1" w:styleId="SWCReferences">
    <w:name w:val="SWC_References"/>
    <w:rsid w:val="00225724"/>
    <w:pPr>
      <w:tabs>
        <w:tab w:val="left" w:pos="480"/>
      </w:tabs>
      <w:spacing w:line="228" w:lineRule="auto"/>
    </w:pPr>
    <w:rPr>
      <w:color w:val="000000"/>
      <w:sz w:val="17"/>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keepNext/>
      <w:numPr>
        <w:numId w:val="11"/>
      </w:numPr>
      <w:spacing w:before="280" w:after="8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ListParagraph">
    <w:name w:val="List Paragraph"/>
    <w:basedOn w:val="Normal"/>
    <w:uiPriority w:val="34"/>
    <w:rsid w:val="00890224"/>
    <w:pPr>
      <w:ind w:left="720"/>
      <w:contextualSpacing/>
    </w:pPr>
  </w:style>
  <w:style w:type="paragraph" w:styleId="Caption">
    <w:name w:val="caption"/>
    <w:basedOn w:val="Normal"/>
    <w:next w:val="Normal"/>
    <w:uiPriority w:val="35"/>
    <w:unhideWhenUsed/>
    <w:qFormat/>
    <w:rsid w:val="00FE6390"/>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CF0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beltran@kth.se"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8</Pages>
  <Words>13012</Words>
  <Characters>68964</Characters>
  <Application>Microsoft Office Word</Application>
  <DocSecurity>0</DocSecurity>
  <Lines>574</Lines>
  <Paragraphs>163</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81813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Francisco Beltran</cp:lastModifiedBy>
  <cp:revision>7</cp:revision>
  <cp:lastPrinted>2026-09-10T21:31:00Z</cp:lastPrinted>
  <dcterms:created xsi:type="dcterms:W3CDTF">2026-09-10T20:02:00Z</dcterms:created>
  <dcterms:modified xsi:type="dcterms:W3CDTF">2026-09-10T21:35:00Z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7th edition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 6th edition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12th edition - Harvard</vt:lpwstr>
  </property>
  <property fmtid="{D5CDD505-2E9C-101B-9397-08002B2CF9AE}" pid="11" name="Mendeley Recent Style Id 4_1">
    <vt:lpwstr>http://www.zotero.org/styles/ieee</vt:lpwstr>
  </property>
  <property fmtid="{D5CDD505-2E9C-101B-9397-08002B2CF9AE}" pid="12" name="Mendeley Recent Style Name 4_1">
    <vt:lpwstr>IEEE</vt:lpwstr>
  </property>
  <property fmtid="{D5CDD505-2E9C-101B-9397-08002B2CF9AE}" pid="13" name="Mendeley Recent Style Id 5_1">
    <vt:lpwstr>http://www.zotero.org/styles/modern-humanities-research-association</vt:lpwstr>
  </property>
  <property fmtid="{D5CDD505-2E9C-101B-9397-08002B2CF9AE}" pid="14" name="Mendeley Recent Style Name 5_1">
    <vt:lpwstr>Modern Humanities Research Association 3rd edition (note with bibliography)</vt:lpwstr>
  </property>
  <property fmtid="{D5CDD505-2E9C-101B-9397-08002B2CF9AE}" pid="15" name="Mendeley Recent Style Id 6_1">
    <vt:lpwstr>http://www.zotero.org/styles/modern-language-association</vt:lpwstr>
  </property>
  <property fmtid="{D5CDD505-2E9C-101B-9397-08002B2CF9AE}" pid="16" name="Mendeley Recent Style Name 6_1">
    <vt:lpwstr>Modern Language Association 9th edition</vt:lpwstr>
  </property>
  <property fmtid="{D5CDD505-2E9C-101B-9397-08002B2CF9AE}" pid="17" name="Mendeley Recent Style Id 7_1">
    <vt:lpwstr>http://www.zotero.org/styles/nature</vt:lpwstr>
  </property>
  <property fmtid="{D5CDD505-2E9C-101B-9397-08002B2CF9AE}" pid="18" name="Mendeley Recent Style Name 7_1">
    <vt:lpwstr>Nature</vt:lpwstr>
  </property>
  <property fmtid="{D5CDD505-2E9C-101B-9397-08002B2CF9AE}" pid="19" name="Mendeley Recent Style Id 8_1">
    <vt:lpwstr>http://www.zotero.org/styles/solar-energy</vt:lpwstr>
  </property>
  <property fmtid="{D5CDD505-2E9C-101B-9397-08002B2CF9AE}" pid="20" name="Mendeley Recent Style Name 8_1">
    <vt:lpwstr>Solar Energy</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fdddd4a9-936f-3277-a71c-231d6f075450</vt:lpwstr>
  </property>
  <property fmtid="{D5CDD505-2E9C-101B-9397-08002B2CF9AE}" pid="25" name="Mendeley Citation Style_1">
    <vt:lpwstr>http://www.zotero.org/styles/apa</vt:lpwstr>
  </property>
</Properties>
</file>