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7FF2264B">
        <w:rPr>
          <w:sz w:val="28"/>
          <w:szCs w:val="28"/>
        </w:rPr>
        <w:t>EuroSun</w:t>
      </w:r>
      <w:r w:rsidR="00FC1781" w:rsidRPr="7FF2264B">
        <w:rPr>
          <w:sz w:val="28"/>
          <w:szCs w:val="28"/>
        </w:rPr>
        <w:t>202</w:t>
      </w:r>
      <w:r w:rsidR="00FA4DF8" w:rsidRPr="7FF2264B">
        <w:rPr>
          <w:sz w:val="28"/>
          <w:szCs w:val="28"/>
        </w:rPr>
        <w:t>6</w:t>
      </w:r>
    </w:p>
    <w:p w14:paraId="72D0A643" w14:textId="15C01CC9" w:rsidR="2343284A" w:rsidRDefault="2343284A" w:rsidP="7FF2264B">
      <w:pPr>
        <w:pStyle w:val="SWCTitle"/>
      </w:pPr>
      <w:r w:rsidRPr="7FF2264B">
        <w:rPr>
          <w:rFonts w:eastAsia="Arial" w:cs="Arial"/>
          <w:bCs/>
          <w:color w:val="000000" w:themeColor="text1"/>
          <w:sz w:val="28"/>
          <w:szCs w:val="28"/>
          <w:lang w:val="de-DE"/>
        </w:rPr>
        <w:t>INFLUENCE OF MOUNTING CONFIGURATION ON THE THERMAL PERFORMANCE OF UNCOVERED PVT COLLECTORS AND ROOF SURFACE TEMPERATURES</w:t>
      </w:r>
    </w:p>
    <w:p w14:paraId="62AFD48F" w14:textId="77777777" w:rsidR="0093039D" w:rsidRPr="0093039D" w:rsidRDefault="00865D05" w:rsidP="00A7530A">
      <w:pPr>
        <w:pStyle w:val="SWCTitle"/>
        <w:spacing w:before="0" w:after="0"/>
        <w:rPr>
          <w:rFonts w:ascii="Times New Roman" w:hAnsi="Times New Roman"/>
          <w:b w:val="0"/>
          <w:sz w:val="20"/>
          <w:szCs w:val="20"/>
          <w:lang w:val="da-DK"/>
        </w:rPr>
      </w:pPr>
      <w:r w:rsidRPr="0093039D">
        <w:rPr>
          <w:rFonts w:ascii="Times New Roman" w:hAnsi="Times New Roman"/>
          <w:b w:val="0"/>
          <w:sz w:val="20"/>
          <w:szCs w:val="20"/>
          <w:lang w:val="da-DK"/>
        </w:rPr>
        <w:t>Mark Dannemand, Elsabet Nielsen, Simon</w:t>
      </w:r>
      <w:r w:rsidR="0093039D" w:rsidRPr="0093039D">
        <w:rPr>
          <w:rFonts w:ascii="Times New Roman" w:hAnsi="Times New Roman"/>
          <w:b w:val="0"/>
          <w:sz w:val="20"/>
          <w:szCs w:val="20"/>
          <w:lang w:val="da-DK"/>
        </w:rPr>
        <w:t xml:space="preserve"> Furbo</w:t>
      </w:r>
    </w:p>
    <w:p w14:paraId="0D1D824F" w14:textId="227C160F" w:rsidR="0008773D" w:rsidRPr="00745B32" w:rsidRDefault="0093039D" w:rsidP="00A7530A">
      <w:pPr>
        <w:pStyle w:val="SWCTitle"/>
        <w:spacing w:before="0" w:after="0"/>
        <w:rPr>
          <w:rFonts w:ascii="Times New Roman" w:hAnsi="Times New Roman"/>
          <w:b w:val="0"/>
          <w:sz w:val="20"/>
          <w:szCs w:val="22"/>
          <w:lang w:val="da-DK"/>
        </w:rPr>
      </w:pPr>
      <w:r>
        <w:rPr>
          <w:rFonts w:ascii="Times New Roman" w:hAnsi="Times New Roman"/>
          <w:b w:val="0"/>
          <w:sz w:val="20"/>
          <w:szCs w:val="22"/>
        </w:rPr>
        <w:t>Technical University of Denmark</w:t>
      </w:r>
      <w:r w:rsidR="00706F4C">
        <w:rPr>
          <w:rFonts w:ascii="Times New Roman" w:hAnsi="Times New Roman"/>
          <w:b w:val="0"/>
          <w:sz w:val="20"/>
          <w:szCs w:val="22"/>
        </w:rPr>
        <w:t xml:space="preserve"> </w:t>
      </w:r>
      <w:r w:rsidR="00706F4C" w:rsidRPr="00706F4C">
        <w:rPr>
          <w:rFonts w:ascii="Times New Roman" w:hAnsi="Times New Roman"/>
          <w:b w:val="0"/>
          <w:sz w:val="20"/>
          <w:szCs w:val="22"/>
        </w:rPr>
        <w:t xml:space="preserve">(DTU), </w:t>
      </w:r>
      <w:r>
        <w:rPr>
          <w:rFonts w:ascii="Times New Roman" w:hAnsi="Times New Roman"/>
          <w:b w:val="0"/>
          <w:sz w:val="20"/>
          <w:szCs w:val="22"/>
        </w:rPr>
        <w:t>Department of Civil and Mechanical Engineering</w:t>
      </w:r>
      <w:r w:rsidR="004A5668">
        <w:rPr>
          <w:rFonts w:ascii="Times New Roman" w:hAnsi="Times New Roman"/>
          <w:b w:val="0"/>
          <w:sz w:val="20"/>
          <w:szCs w:val="22"/>
        </w:rPr>
        <w:t xml:space="preserve">, </w:t>
      </w:r>
      <w:r w:rsidR="00706F4C" w:rsidRPr="00706F4C">
        <w:rPr>
          <w:rFonts w:ascii="Times New Roman" w:hAnsi="Times New Roman"/>
          <w:b w:val="0"/>
          <w:sz w:val="20"/>
          <w:szCs w:val="22"/>
        </w:rPr>
        <w:t xml:space="preserve">Kgs. </w:t>
      </w:r>
      <w:r w:rsidR="00706F4C" w:rsidRPr="00745B32">
        <w:rPr>
          <w:rFonts w:ascii="Times New Roman" w:hAnsi="Times New Roman"/>
          <w:b w:val="0"/>
          <w:sz w:val="20"/>
          <w:szCs w:val="22"/>
          <w:lang w:val="da-DK"/>
        </w:rPr>
        <w:t>Lyngby, Denmark</w:t>
      </w:r>
    </w:p>
    <w:p w14:paraId="401CB650" w14:textId="190F4931" w:rsidR="0008773D" w:rsidRPr="00F35F82" w:rsidRDefault="004A5668" w:rsidP="00A7530A">
      <w:pPr>
        <w:pStyle w:val="SWCTitle"/>
        <w:spacing w:before="0" w:after="0"/>
        <w:rPr>
          <w:rFonts w:ascii="Times New Roman" w:hAnsi="Times New Roman"/>
          <w:b w:val="0"/>
          <w:bCs/>
          <w:sz w:val="20"/>
          <w:szCs w:val="20"/>
          <w:lang w:val="da-DK"/>
        </w:rPr>
      </w:pPr>
      <w:hyperlink r:id="rId8" w:history="1">
        <w:r w:rsidRPr="00F35F82">
          <w:rPr>
            <w:rStyle w:val="Hyperlink"/>
            <w:rFonts w:ascii="Times New Roman" w:hAnsi="Times New Roman"/>
            <w:b w:val="0"/>
            <w:bCs/>
            <w:sz w:val="20"/>
            <w:szCs w:val="20"/>
            <w:lang w:val="da-DK"/>
          </w:rPr>
          <w:t>markd@dtu.dk</w:t>
        </w:r>
      </w:hyperlink>
      <w:r w:rsidRPr="00F35F82">
        <w:rPr>
          <w:rFonts w:ascii="Times New Roman" w:hAnsi="Times New Roman"/>
          <w:b w:val="0"/>
          <w:bCs/>
          <w:sz w:val="20"/>
          <w:szCs w:val="20"/>
          <w:lang w:val="da-DK"/>
        </w:rPr>
        <w:t xml:space="preserve">, </w:t>
      </w:r>
      <w:hyperlink r:id="rId9" w:history="1">
        <w:r w:rsidRPr="00F35F82">
          <w:rPr>
            <w:rStyle w:val="Hyperlink"/>
            <w:rFonts w:ascii="Times New Roman" w:hAnsi="Times New Roman"/>
            <w:b w:val="0"/>
            <w:bCs/>
            <w:sz w:val="20"/>
            <w:szCs w:val="20"/>
            <w:lang w:val="da-DK"/>
          </w:rPr>
          <w:t>elsa@dtu.dk</w:t>
        </w:r>
      </w:hyperlink>
      <w:r w:rsidRPr="00F35F82">
        <w:rPr>
          <w:rFonts w:ascii="Times New Roman" w:hAnsi="Times New Roman"/>
          <w:b w:val="0"/>
          <w:bCs/>
          <w:sz w:val="20"/>
          <w:szCs w:val="20"/>
          <w:lang w:val="da-DK"/>
        </w:rPr>
        <w:t xml:space="preserve">, </w:t>
      </w:r>
      <w:hyperlink r:id="rId10" w:history="1">
        <w:r w:rsidR="00F35F82" w:rsidRPr="00F35F82">
          <w:rPr>
            <w:rStyle w:val="Hyperlink"/>
            <w:rFonts w:ascii="Times New Roman" w:hAnsi="Times New Roman"/>
            <w:b w:val="0"/>
            <w:bCs/>
            <w:sz w:val="20"/>
            <w:szCs w:val="20"/>
            <w:lang w:val="da-DK"/>
          </w:rPr>
          <w:t>sifu@dtu.dk</w:t>
        </w:r>
      </w:hyperlink>
      <w:r w:rsidR="00F35F82" w:rsidRPr="00F35F82">
        <w:rPr>
          <w:rFonts w:ascii="Times New Roman" w:hAnsi="Times New Roman"/>
          <w:b w:val="0"/>
          <w:bCs/>
          <w:sz w:val="20"/>
          <w:szCs w:val="20"/>
          <w:lang w:val="da-DK"/>
        </w:rPr>
        <w:t xml:space="preserve"> </w:t>
      </w:r>
    </w:p>
    <w:p w14:paraId="3A7DF4B5" w14:textId="356ACEF9" w:rsidR="001A775B" w:rsidRPr="00F35F82" w:rsidRDefault="001A775B" w:rsidP="001A775B">
      <w:pPr>
        <w:pStyle w:val="SWCSummary"/>
        <w:rPr>
          <w:b w:val="0"/>
          <w:bCs/>
        </w:rPr>
      </w:pPr>
      <w:r w:rsidRPr="00F35F82">
        <w:rPr>
          <w:b w:val="0"/>
          <w:bCs/>
        </w:rPr>
        <w:t>Summary</w:t>
      </w:r>
    </w:p>
    <w:p w14:paraId="6E1E5409" w14:textId="7822D466" w:rsidR="506F9E64" w:rsidRDefault="00231ED9" w:rsidP="7FF2264B">
      <w:pPr>
        <w:pStyle w:val="SWCText"/>
        <w:pBdr>
          <w:bottom w:val="single" w:sz="6" w:space="1" w:color="auto"/>
        </w:pBdr>
        <w:rPr>
          <w:color w:val="000000" w:themeColor="text1"/>
          <w:szCs w:val="20"/>
        </w:rPr>
      </w:pPr>
      <w:r w:rsidRPr="00231ED9">
        <w:rPr>
          <w:color w:val="000000" w:themeColor="text1"/>
          <w:szCs w:val="20"/>
        </w:rPr>
        <w:t>Two uncovered PVT collectors, one with backside insulation and one without, were experimentally investigated under operating conditions representative of their use as low-temperature heat sources for heat pump</w:t>
      </w:r>
      <w:r w:rsidR="00467D8A">
        <w:rPr>
          <w:color w:val="000000" w:themeColor="text1"/>
          <w:szCs w:val="20"/>
        </w:rPr>
        <w:t>s</w:t>
      </w:r>
      <w:r w:rsidRPr="00231ED9">
        <w:rPr>
          <w:color w:val="000000" w:themeColor="text1"/>
          <w:szCs w:val="20"/>
        </w:rPr>
        <w:t xml:space="preserve"> in Nordic climates.</w:t>
      </w:r>
      <w:r w:rsidR="506F9E64" w:rsidRPr="7FF2264B">
        <w:rPr>
          <w:color w:val="000000" w:themeColor="text1"/>
          <w:szCs w:val="20"/>
        </w:rPr>
        <w:t xml:space="preserve"> The study investigates the effect of mounting configuration by comparing performance with and without barriers around the collectors. The barriers were installed to replicate a typical installation where multiple collectors are mounted side by side, limiting airflow </w:t>
      </w:r>
      <w:r w:rsidR="00EC0E20">
        <w:rPr>
          <w:color w:val="000000" w:themeColor="text1"/>
          <w:szCs w:val="20"/>
        </w:rPr>
        <w:t>beneath</w:t>
      </w:r>
      <w:r w:rsidR="506F9E64" w:rsidRPr="7FF2264B">
        <w:rPr>
          <w:color w:val="000000" w:themeColor="text1"/>
          <w:szCs w:val="20"/>
        </w:rPr>
        <w:t xml:space="preserve"> the panels. This configuration was compared to freely ventilated conditions without barriers. Results show that the barriers affected the thermal performance. The wind dependent heat loss coefficient </w:t>
      </w:r>
      <w:r w:rsidR="00C318A7">
        <w:rPr>
          <w:color w:val="000000" w:themeColor="text1"/>
          <w:szCs w:val="20"/>
        </w:rPr>
        <w:t>was</w:t>
      </w:r>
      <w:r w:rsidR="506F9E64" w:rsidRPr="7FF2264B">
        <w:rPr>
          <w:color w:val="000000" w:themeColor="text1"/>
          <w:szCs w:val="20"/>
        </w:rPr>
        <w:t xml:space="preserve"> affected</w:t>
      </w:r>
      <w:r w:rsidR="00C318A7">
        <w:rPr>
          <w:color w:val="000000" w:themeColor="text1"/>
          <w:szCs w:val="20"/>
        </w:rPr>
        <w:t xml:space="preserve"> the most</w:t>
      </w:r>
      <w:r w:rsidR="506F9E64" w:rsidRPr="7FF2264B">
        <w:rPr>
          <w:color w:val="000000" w:themeColor="text1"/>
          <w:szCs w:val="20"/>
        </w:rPr>
        <w:t>, especially on the non-insulated panel. Mounting configuration also affected the temperatures measured at the roof surface below the panels. Without barriers,</w:t>
      </w:r>
      <w:r w:rsidR="00851790">
        <w:rPr>
          <w:color w:val="000000" w:themeColor="text1"/>
          <w:szCs w:val="20"/>
        </w:rPr>
        <w:t xml:space="preserve"> the</w:t>
      </w:r>
      <w:r w:rsidR="506F9E64" w:rsidRPr="7FF2264B">
        <w:rPr>
          <w:color w:val="000000" w:themeColor="text1"/>
          <w:szCs w:val="20"/>
        </w:rPr>
        <w:t xml:space="preserve"> roof </w:t>
      </w:r>
      <w:r w:rsidR="00851790">
        <w:rPr>
          <w:color w:val="000000" w:themeColor="text1"/>
          <w:szCs w:val="20"/>
        </w:rPr>
        <w:t xml:space="preserve">surface </w:t>
      </w:r>
      <w:r w:rsidR="506F9E64" w:rsidRPr="7FF2264B">
        <w:rPr>
          <w:color w:val="000000" w:themeColor="text1"/>
          <w:szCs w:val="20"/>
        </w:rPr>
        <w:t>temperatures were close to</w:t>
      </w:r>
      <w:r w:rsidR="00851790">
        <w:rPr>
          <w:color w:val="000000" w:themeColor="text1"/>
          <w:szCs w:val="20"/>
        </w:rPr>
        <w:t xml:space="preserve"> the</w:t>
      </w:r>
      <w:r w:rsidR="506F9E64" w:rsidRPr="7FF2264B">
        <w:rPr>
          <w:color w:val="000000" w:themeColor="text1"/>
          <w:szCs w:val="20"/>
        </w:rPr>
        <w:t xml:space="preserve"> ambient</w:t>
      </w:r>
      <w:r w:rsidR="00851790">
        <w:rPr>
          <w:color w:val="000000" w:themeColor="text1"/>
          <w:szCs w:val="20"/>
        </w:rPr>
        <w:t xml:space="preserve"> air temperature</w:t>
      </w:r>
      <w:r w:rsidR="506F9E64" w:rsidRPr="7FF2264B">
        <w:rPr>
          <w:color w:val="000000" w:themeColor="text1"/>
          <w:szCs w:val="20"/>
        </w:rPr>
        <w:t>, while barriers reduced the roof surface temperatures by up to 8 K</w:t>
      </w:r>
      <w:r w:rsidR="00366F27">
        <w:rPr>
          <w:color w:val="000000" w:themeColor="text1"/>
          <w:szCs w:val="20"/>
        </w:rPr>
        <w:t xml:space="preserve"> under the test conditions</w:t>
      </w:r>
      <w:r w:rsidR="506F9E64" w:rsidRPr="7FF2264B">
        <w:rPr>
          <w:color w:val="000000" w:themeColor="text1"/>
          <w:szCs w:val="20"/>
        </w:rPr>
        <w:t>.</w:t>
      </w:r>
    </w:p>
    <w:p w14:paraId="532BC5A7" w14:textId="60D15B0A" w:rsidR="0053048D" w:rsidRDefault="003767A2" w:rsidP="001A775B">
      <w:pPr>
        <w:pStyle w:val="SWCText"/>
        <w:pBdr>
          <w:bottom w:val="single" w:sz="6" w:space="1" w:color="auto"/>
        </w:pBdr>
        <w:rPr>
          <w:i/>
          <w:iCs/>
        </w:rPr>
      </w:pPr>
      <w:r>
        <w:rPr>
          <w:i/>
          <w:iCs/>
        </w:rPr>
        <w:t xml:space="preserve">Keywords: </w:t>
      </w:r>
      <w:r w:rsidR="506F9E64" w:rsidRPr="7FF2264B">
        <w:rPr>
          <w:i/>
          <w:iCs/>
        </w:rPr>
        <w:t>PVT, Heat pump source, operation below ambient temperature, roof mounting</w:t>
      </w:r>
      <w:r w:rsidR="5E68E930" w:rsidRPr="7FF2264B">
        <w:rPr>
          <w:i/>
          <w:iCs/>
        </w:rPr>
        <w:t>, thermal performance, airflow.</w:t>
      </w:r>
    </w:p>
    <w:p w14:paraId="33EADF41" w14:textId="521DB939" w:rsidR="003767A2" w:rsidRDefault="003767A2" w:rsidP="003767A2">
      <w:pPr>
        <w:pStyle w:val="SWCText"/>
        <w:pBdr>
          <w:bottom w:val="single" w:sz="6" w:space="1" w:color="auto"/>
        </w:pBdr>
        <w:rPr>
          <w:i/>
          <w:iCs/>
        </w:rPr>
      </w:pPr>
      <w:r>
        <w:rPr>
          <w:i/>
          <w:iCs/>
        </w:rPr>
        <w:t xml:space="preserve">Field of application for the findings: </w:t>
      </w:r>
      <w:r w:rsidR="00085DCF">
        <w:rPr>
          <w:i/>
          <w:iCs/>
        </w:rPr>
        <w:t>PVT researchers and industry.</w:t>
      </w:r>
    </w:p>
    <w:p w14:paraId="36249167" w14:textId="0F97C586" w:rsidR="003767A2" w:rsidRPr="00BF1834" w:rsidRDefault="003767A2" w:rsidP="003767A2">
      <w:pPr>
        <w:pStyle w:val="SWCText"/>
        <w:pBdr>
          <w:bottom w:val="single" w:sz="6" w:space="1" w:color="auto"/>
        </w:pBdr>
        <w:rPr>
          <w:i/>
          <w:iCs/>
        </w:rPr>
      </w:pPr>
      <w:r>
        <w:rPr>
          <w:i/>
          <w:iCs/>
        </w:rPr>
        <w:t xml:space="preserve">Addressed audience: Researchers, consultants, </w:t>
      </w:r>
      <w:r w:rsidR="00085DCF">
        <w:rPr>
          <w:i/>
          <w:iCs/>
        </w:rPr>
        <w:t>PVT industry</w:t>
      </w:r>
    </w:p>
    <w:p w14:paraId="51CD8377" w14:textId="29D13F6E" w:rsidR="00D32EF0" w:rsidRDefault="00D32EF0" w:rsidP="004C4EE9">
      <w:pPr>
        <w:pStyle w:val="SWCHeading1"/>
      </w:pPr>
      <w:r>
        <w:t>Introduction</w:t>
      </w:r>
    </w:p>
    <w:p w14:paraId="41AA2141" w14:textId="004BA31B" w:rsidR="001968EC" w:rsidRPr="001E31EB" w:rsidRDefault="001968EC" w:rsidP="001968EC">
      <w:pPr>
        <w:spacing w:line="276" w:lineRule="auto"/>
        <w:jc w:val="both"/>
        <w:rPr>
          <w:sz w:val="20"/>
          <w:szCs w:val="20"/>
          <w:lang w:val="en-US"/>
        </w:rPr>
      </w:pPr>
      <w:r w:rsidRPr="001968EC">
        <w:rPr>
          <w:sz w:val="20"/>
          <w:szCs w:val="20"/>
          <w:lang w:val="en-US"/>
        </w:rPr>
        <w:t xml:space="preserve">Photovoltaic-thermal (PVT) collectors are increasingly </w:t>
      </w:r>
      <w:r w:rsidR="00745B32">
        <w:rPr>
          <w:sz w:val="20"/>
          <w:szCs w:val="20"/>
          <w:lang w:val="en-US"/>
        </w:rPr>
        <w:t>used</w:t>
      </w:r>
      <w:r w:rsidRPr="001968EC">
        <w:rPr>
          <w:sz w:val="20"/>
          <w:szCs w:val="20"/>
          <w:lang w:val="en-US"/>
        </w:rPr>
        <w:t xml:space="preserve"> as heat sources for heat pump systems, particularly in Nordic and other cold climates. In these systems, the collectors </w:t>
      </w:r>
      <w:r w:rsidR="00B91AF9">
        <w:rPr>
          <w:sz w:val="20"/>
          <w:szCs w:val="20"/>
          <w:lang w:val="en-US"/>
        </w:rPr>
        <w:t>often</w:t>
      </w:r>
      <w:r w:rsidRPr="001968EC">
        <w:rPr>
          <w:sz w:val="20"/>
          <w:szCs w:val="20"/>
          <w:lang w:val="en-US"/>
        </w:rPr>
        <w:t xml:space="preserve"> operate with heat transfer fluid temperatures below the ambient air temperature and during periods with little or no solar irradiance. Under such conditions, heat extraction from the ambient air becomes important, and convective heat exchange contribute</w:t>
      </w:r>
      <w:r w:rsidR="00700439">
        <w:rPr>
          <w:sz w:val="20"/>
          <w:szCs w:val="20"/>
          <w:lang w:val="en-US"/>
        </w:rPr>
        <w:t>s</w:t>
      </w:r>
      <w:r w:rsidRPr="001968EC">
        <w:rPr>
          <w:sz w:val="20"/>
          <w:szCs w:val="20"/>
          <w:lang w:val="en-US"/>
        </w:rPr>
        <w:t xml:space="preserve"> </w:t>
      </w:r>
      <w:r w:rsidR="0000679A">
        <w:rPr>
          <w:sz w:val="20"/>
          <w:szCs w:val="20"/>
          <w:lang w:val="en-US"/>
        </w:rPr>
        <w:t>significantly</w:t>
      </w:r>
      <w:r w:rsidRPr="001968EC">
        <w:rPr>
          <w:sz w:val="20"/>
          <w:szCs w:val="20"/>
          <w:lang w:val="en-US"/>
        </w:rPr>
        <w:t xml:space="preserve"> to the thermal output of the collector. </w:t>
      </w:r>
      <w:r w:rsidR="00870FF5">
        <w:rPr>
          <w:sz w:val="20"/>
          <w:szCs w:val="20"/>
          <w:lang w:val="en-US"/>
        </w:rPr>
        <w:t>E</w:t>
      </w:r>
      <w:r w:rsidRPr="001968EC">
        <w:rPr>
          <w:sz w:val="20"/>
          <w:szCs w:val="20"/>
          <w:lang w:val="en-US"/>
        </w:rPr>
        <w:t xml:space="preserve">xperimental </w:t>
      </w:r>
      <w:r w:rsidR="0038204D">
        <w:rPr>
          <w:sz w:val="20"/>
          <w:szCs w:val="20"/>
          <w:lang w:val="en-US"/>
        </w:rPr>
        <w:t xml:space="preserve">tests </w:t>
      </w:r>
      <w:r w:rsidR="00E6292F">
        <w:rPr>
          <w:sz w:val="20"/>
          <w:szCs w:val="20"/>
          <w:lang w:val="en-US"/>
        </w:rPr>
        <w:t xml:space="preserve">with PVT panels </w:t>
      </w:r>
      <w:r w:rsidRPr="001968EC">
        <w:rPr>
          <w:sz w:val="20"/>
          <w:szCs w:val="20"/>
          <w:lang w:val="en-US"/>
        </w:rPr>
        <w:t xml:space="preserve">and system-level studies have </w:t>
      </w:r>
      <w:r w:rsidR="008F54D1">
        <w:rPr>
          <w:sz w:val="20"/>
          <w:szCs w:val="20"/>
          <w:lang w:val="en-US"/>
        </w:rPr>
        <w:t xml:space="preserve">elucidated </w:t>
      </w:r>
      <w:r w:rsidRPr="001968EC">
        <w:rPr>
          <w:sz w:val="20"/>
          <w:szCs w:val="20"/>
          <w:lang w:val="en-US"/>
        </w:rPr>
        <w:t xml:space="preserve">the potential of uncovered PVT collectors </w:t>
      </w:r>
      <w:r w:rsidR="008F54D1">
        <w:rPr>
          <w:sz w:val="20"/>
          <w:szCs w:val="20"/>
          <w:lang w:val="en-US"/>
        </w:rPr>
        <w:t>as</w:t>
      </w:r>
      <w:r w:rsidR="007C7E48">
        <w:rPr>
          <w:sz w:val="20"/>
          <w:szCs w:val="20"/>
          <w:lang w:val="en-US"/>
        </w:rPr>
        <w:t xml:space="preserve"> a source for</w:t>
      </w:r>
      <w:r w:rsidRPr="001968EC">
        <w:rPr>
          <w:sz w:val="20"/>
          <w:szCs w:val="20"/>
          <w:lang w:val="en-US"/>
        </w:rPr>
        <w:t xml:space="preserve"> heat pump</w:t>
      </w:r>
      <w:r w:rsidR="007C7E48">
        <w:rPr>
          <w:sz w:val="20"/>
          <w:szCs w:val="20"/>
          <w:lang w:val="en-US"/>
        </w:rPr>
        <w:t xml:space="preserve">s </w:t>
      </w:r>
      <w:r w:rsidRPr="001968EC">
        <w:rPr>
          <w:sz w:val="20"/>
          <w:szCs w:val="20"/>
          <w:lang w:val="en-US"/>
        </w:rPr>
        <w:t>and have examined their performance under different climatic and operating conditions (</w:t>
      </w:r>
      <w:r w:rsidR="001E31EB">
        <w:rPr>
          <w:sz w:val="20"/>
          <w:szCs w:val="20"/>
          <w:lang w:val="en-US"/>
        </w:rPr>
        <w:t>Dannemand et al. 2019</w:t>
      </w:r>
      <w:r w:rsidR="001F11D4">
        <w:rPr>
          <w:sz w:val="20"/>
          <w:szCs w:val="20"/>
          <w:lang w:val="en-US"/>
        </w:rPr>
        <w:t xml:space="preserve">; </w:t>
      </w:r>
      <w:r w:rsidRPr="001E31EB">
        <w:rPr>
          <w:sz w:val="20"/>
          <w:szCs w:val="20"/>
          <w:lang w:val="en-US"/>
        </w:rPr>
        <w:t>Dannemand et al., 2020</w:t>
      </w:r>
      <w:r w:rsidR="007C7E48">
        <w:rPr>
          <w:sz w:val="20"/>
          <w:szCs w:val="20"/>
          <w:lang w:val="en-US"/>
        </w:rPr>
        <w:t>a</w:t>
      </w:r>
      <w:r w:rsidRPr="001E31EB">
        <w:rPr>
          <w:sz w:val="20"/>
          <w:szCs w:val="20"/>
          <w:lang w:val="en-US"/>
        </w:rPr>
        <w:t xml:space="preserve">; </w:t>
      </w:r>
      <w:r w:rsidR="007C7E48" w:rsidRPr="001E31EB">
        <w:rPr>
          <w:sz w:val="20"/>
          <w:szCs w:val="20"/>
          <w:lang w:val="en-US"/>
        </w:rPr>
        <w:t>Dannemand et al., 2020</w:t>
      </w:r>
      <w:r w:rsidR="007C7E48">
        <w:rPr>
          <w:sz w:val="20"/>
          <w:szCs w:val="20"/>
          <w:lang w:val="en-US"/>
        </w:rPr>
        <w:t>b</w:t>
      </w:r>
      <w:r w:rsidR="007C7E48" w:rsidRPr="001E31EB">
        <w:rPr>
          <w:sz w:val="20"/>
          <w:szCs w:val="20"/>
          <w:lang w:val="en-US"/>
        </w:rPr>
        <w:t xml:space="preserve">; </w:t>
      </w:r>
      <w:r w:rsidR="00A9719F" w:rsidRPr="00A9719F">
        <w:rPr>
          <w:sz w:val="20"/>
          <w:szCs w:val="20"/>
          <w:lang w:val="en-US"/>
        </w:rPr>
        <w:t>Sifnaios</w:t>
      </w:r>
      <w:r w:rsidRPr="001E31EB">
        <w:rPr>
          <w:sz w:val="20"/>
          <w:szCs w:val="20"/>
          <w:lang w:val="en-US"/>
        </w:rPr>
        <w:t xml:space="preserve"> et al., 2021; Beltrán et al., 2024; </w:t>
      </w:r>
      <w:r w:rsidR="006867E8" w:rsidRPr="001E31EB">
        <w:rPr>
          <w:sz w:val="20"/>
          <w:szCs w:val="20"/>
          <w:lang w:val="en-US"/>
        </w:rPr>
        <w:t>Beltrán et al., 202</w:t>
      </w:r>
      <w:r w:rsidR="006867E8">
        <w:rPr>
          <w:sz w:val="20"/>
          <w:szCs w:val="20"/>
          <w:lang w:val="en-US"/>
        </w:rPr>
        <w:t>5</w:t>
      </w:r>
      <w:r w:rsidR="006867E8" w:rsidRPr="001E31EB">
        <w:rPr>
          <w:sz w:val="20"/>
          <w:szCs w:val="20"/>
          <w:lang w:val="en-US"/>
        </w:rPr>
        <w:t xml:space="preserve">; </w:t>
      </w:r>
      <w:r w:rsidRPr="001E31EB">
        <w:rPr>
          <w:sz w:val="20"/>
          <w:szCs w:val="20"/>
          <w:lang w:val="en-US"/>
        </w:rPr>
        <w:t>Beltrán and Sommerfeldt, 2026).</w:t>
      </w:r>
    </w:p>
    <w:p w14:paraId="1593ED78" w14:textId="5A552E13" w:rsidR="001968EC" w:rsidRDefault="001968EC" w:rsidP="001968EC">
      <w:pPr>
        <w:spacing w:line="276" w:lineRule="auto"/>
        <w:jc w:val="both"/>
        <w:rPr>
          <w:sz w:val="20"/>
          <w:szCs w:val="20"/>
          <w:lang w:val="en-US"/>
        </w:rPr>
      </w:pPr>
      <w:r w:rsidRPr="001968EC">
        <w:rPr>
          <w:sz w:val="20"/>
          <w:szCs w:val="20"/>
          <w:lang w:val="en-US"/>
        </w:rPr>
        <w:t>The thermal performance of PVT collectors is commonly characterized under test conditions with relatively unrestricted ventilation around the collector</w:t>
      </w:r>
      <w:r w:rsidR="001210EC">
        <w:rPr>
          <w:sz w:val="20"/>
          <w:szCs w:val="20"/>
          <w:lang w:val="en-US"/>
        </w:rPr>
        <w:t>.</w:t>
      </w:r>
      <w:r w:rsidRPr="001968EC">
        <w:rPr>
          <w:sz w:val="20"/>
          <w:szCs w:val="20"/>
          <w:lang w:val="en-US"/>
        </w:rPr>
        <w:t xml:space="preserve"> However, actual installations </w:t>
      </w:r>
      <w:r w:rsidR="00F6527E">
        <w:rPr>
          <w:sz w:val="20"/>
          <w:szCs w:val="20"/>
          <w:lang w:val="en-US"/>
        </w:rPr>
        <w:t>often</w:t>
      </w:r>
      <w:r w:rsidRPr="001968EC">
        <w:rPr>
          <w:sz w:val="20"/>
          <w:szCs w:val="20"/>
          <w:lang w:val="en-US"/>
        </w:rPr>
        <w:t xml:space="preserve"> consist of several collectors mounted side by side in arrays</w:t>
      </w:r>
      <w:r w:rsidR="00C2508E">
        <w:rPr>
          <w:sz w:val="20"/>
          <w:szCs w:val="20"/>
          <w:lang w:val="en-US"/>
        </w:rPr>
        <w:t xml:space="preserve"> on </w:t>
      </w:r>
      <w:r w:rsidR="00680791">
        <w:rPr>
          <w:sz w:val="20"/>
          <w:szCs w:val="20"/>
          <w:lang w:val="en-US"/>
        </w:rPr>
        <w:t>top of a roof</w:t>
      </w:r>
      <w:r w:rsidRPr="001968EC">
        <w:rPr>
          <w:sz w:val="20"/>
          <w:szCs w:val="20"/>
          <w:lang w:val="en-US"/>
        </w:rPr>
        <w:t xml:space="preserve">. Such configurations can restrict airflow </w:t>
      </w:r>
      <w:r w:rsidR="00EC0E20">
        <w:rPr>
          <w:sz w:val="20"/>
          <w:szCs w:val="20"/>
          <w:lang w:val="en-US"/>
        </w:rPr>
        <w:t>beneath</w:t>
      </w:r>
      <w:r w:rsidRPr="001968EC">
        <w:rPr>
          <w:sz w:val="20"/>
          <w:szCs w:val="20"/>
          <w:lang w:val="en-US"/>
        </w:rPr>
        <w:t xml:space="preserve"> and between the collectors, thereby </w:t>
      </w:r>
      <w:r w:rsidR="009C4BD1">
        <w:rPr>
          <w:sz w:val="20"/>
          <w:szCs w:val="20"/>
          <w:lang w:val="en-US"/>
        </w:rPr>
        <w:t>altering</w:t>
      </w:r>
      <w:r w:rsidRPr="001968EC">
        <w:rPr>
          <w:sz w:val="20"/>
          <w:szCs w:val="20"/>
          <w:lang w:val="en-US"/>
        </w:rPr>
        <w:t xml:space="preserve"> the convective heat transfer compared with freely ventilated test conditions.</w:t>
      </w:r>
      <w:r w:rsidR="00C9604F">
        <w:rPr>
          <w:sz w:val="20"/>
          <w:szCs w:val="20"/>
          <w:lang w:val="en-US"/>
        </w:rPr>
        <w:t xml:space="preserve"> This is </w:t>
      </w:r>
      <w:r w:rsidR="00B35368">
        <w:rPr>
          <w:sz w:val="20"/>
          <w:szCs w:val="20"/>
          <w:lang w:val="en-US"/>
        </w:rPr>
        <w:t>particularly interesting for u</w:t>
      </w:r>
      <w:r w:rsidR="002819AD">
        <w:rPr>
          <w:sz w:val="20"/>
          <w:szCs w:val="20"/>
          <w:lang w:val="en-US"/>
        </w:rPr>
        <w:t>ninsulated collectors</w:t>
      </w:r>
      <w:r w:rsidR="00D02A19">
        <w:rPr>
          <w:sz w:val="20"/>
          <w:szCs w:val="20"/>
          <w:lang w:val="en-US"/>
        </w:rPr>
        <w:t>,</w:t>
      </w:r>
      <w:r w:rsidR="002819AD">
        <w:rPr>
          <w:sz w:val="20"/>
          <w:szCs w:val="20"/>
          <w:lang w:val="en-US"/>
        </w:rPr>
        <w:t xml:space="preserve"> </w:t>
      </w:r>
      <w:r w:rsidR="00D02A19">
        <w:rPr>
          <w:sz w:val="20"/>
          <w:szCs w:val="20"/>
          <w:lang w:val="en-US"/>
        </w:rPr>
        <w:t>where</w:t>
      </w:r>
      <w:r w:rsidR="002819AD">
        <w:rPr>
          <w:sz w:val="20"/>
          <w:szCs w:val="20"/>
          <w:lang w:val="en-US"/>
        </w:rPr>
        <w:t xml:space="preserve"> part of the heat transfer is </w:t>
      </w:r>
      <w:r w:rsidR="008D7BC6">
        <w:rPr>
          <w:sz w:val="20"/>
          <w:szCs w:val="20"/>
          <w:lang w:val="en-US"/>
        </w:rPr>
        <w:t>occurring in the rear side of the collector.</w:t>
      </w:r>
      <w:r w:rsidR="00D02A19">
        <w:rPr>
          <w:sz w:val="20"/>
          <w:szCs w:val="20"/>
          <w:lang w:val="en-US"/>
        </w:rPr>
        <w:t xml:space="preserve"> </w:t>
      </w:r>
      <w:proofErr w:type="gramStart"/>
      <w:r w:rsidR="00D02A19">
        <w:rPr>
          <w:sz w:val="20"/>
          <w:szCs w:val="20"/>
          <w:lang w:val="en-US"/>
        </w:rPr>
        <w:t>Therefore</w:t>
      </w:r>
      <w:proofErr w:type="gramEnd"/>
      <w:r w:rsidR="00D02A19">
        <w:rPr>
          <w:sz w:val="20"/>
          <w:szCs w:val="20"/>
          <w:lang w:val="en-US"/>
        </w:rPr>
        <w:t xml:space="preserve"> the temperature of </w:t>
      </w:r>
      <w:r w:rsidR="00BA1BBB">
        <w:rPr>
          <w:sz w:val="20"/>
          <w:szCs w:val="20"/>
          <w:lang w:val="en-US"/>
        </w:rPr>
        <w:t xml:space="preserve">the cavity between the collector and the roof becomes </w:t>
      </w:r>
      <w:r w:rsidR="00700C53">
        <w:rPr>
          <w:sz w:val="20"/>
          <w:szCs w:val="20"/>
          <w:lang w:val="en-US"/>
        </w:rPr>
        <w:t>relevant to consider.</w:t>
      </w:r>
    </w:p>
    <w:p w14:paraId="7F91D215" w14:textId="1A496EB7" w:rsidR="001968EC" w:rsidRPr="001968EC" w:rsidRDefault="001968EC" w:rsidP="001968EC">
      <w:pPr>
        <w:spacing w:line="276" w:lineRule="auto"/>
        <w:jc w:val="both"/>
        <w:rPr>
          <w:sz w:val="20"/>
          <w:szCs w:val="20"/>
          <w:lang w:val="en-US"/>
        </w:rPr>
      </w:pPr>
      <w:r w:rsidRPr="001968EC">
        <w:rPr>
          <w:sz w:val="20"/>
          <w:szCs w:val="20"/>
          <w:lang w:val="en-US"/>
        </w:rPr>
        <w:t xml:space="preserve">The influence of mounting configuration and restricted underside airflow is not sufficiently represented in standard collector characterization procedures. In particular, the effect of </w:t>
      </w:r>
      <w:r w:rsidR="00944407">
        <w:rPr>
          <w:sz w:val="20"/>
          <w:szCs w:val="20"/>
          <w:lang w:val="en-US"/>
        </w:rPr>
        <w:t>multiple</w:t>
      </w:r>
      <w:r w:rsidRPr="001968EC">
        <w:rPr>
          <w:sz w:val="20"/>
          <w:szCs w:val="20"/>
          <w:lang w:val="en-US"/>
        </w:rPr>
        <w:t xml:space="preserve"> collectors that reproduce array-like installation conditions</w:t>
      </w:r>
      <w:r w:rsidR="00E8514E">
        <w:rPr>
          <w:sz w:val="20"/>
          <w:szCs w:val="20"/>
          <w:lang w:val="en-US"/>
        </w:rPr>
        <w:t xml:space="preserve"> on top of a structure</w:t>
      </w:r>
      <w:r w:rsidRPr="001968EC">
        <w:rPr>
          <w:sz w:val="20"/>
          <w:szCs w:val="20"/>
          <w:lang w:val="en-US"/>
        </w:rPr>
        <w:t xml:space="preserve"> remains poorly quantified.</w:t>
      </w:r>
    </w:p>
    <w:p w14:paraId="16460E4D" w14:textId="66AA0C7C" w:rsidR="00947988" w:rsidRDefault="001968EC" w:rsidP="001968EC">
      <w:pPr>
        <w:spacing w:line="276" w:lineRule="auto"/>
        <w:jc w:val="both"/>
        <w:rPr>
          <w:sz w:val="20"/>
          <w:szCs w:val="20"/>
          <w:lang w:val="en-US"/>
        </w:rPr>
      </w:pPr>
      <w:r w:rsidRPr="001968EC">
        <w:rPr>
          <w:sz w:val="20"/>
          <w:szCs w:val="20"/>
          <w:lang w:val="en-US"/>
        </w:rPr>
        <w:t xml:space="preserve">In building-integrated and roof-mounted installations, the mounting configuration affects not only the airflow around the collectors but also the thermal interaction between the PVT array and the building envelope. The roof surface temperature beneath the collectors is influenced by the installation geometry, solar exposure, ventilation </w:t>
      </w:r>
      <w:r w:rsidRPr="001968EC">
        <w:rPr>
          <w:sz w:val="20"/>
          <w:szCs w:val="20"/>
          <w:lang w:val="en-US"/>
        </w:rPr>
        <w:lastRenderedPageBreak/>
        <w:t xml:space="preserve">conditions and collector operating temperature. At the same time, the roof surface can affect the thermal environment </w:t>
      </w:r>
      <w:r w:rsidR="00EC0E20">
        <w:rPr>
          <w:sz w:val="20"/>
          <w:szCs w:val="20"/>
          <w:lang w:val="en-US"/>
        </w:rPr>
        <w:t>beneath</w:t>
      </w:r>
      <w:r w:rsidRPr="001968EC">
        <w:rPr>
          <w:sz w:val="20"/>
          <w:szCs w:val="20"/>
          <w:lang w:val="en-US"/>
        </w:rPr>
        <w:t xml:space="preserve"> the collector. This creates coupled </w:t>
      </w:r>
      <w:r w:rsidR="003E1073" w:rsidRPr="001968EC">
        <w:rPr>
          <w:sz w:val="20"/>
          <w:szCs w:val="20"/>
          <w:lang w:val="en-US"/>
        </w:rPr>
        <w:t>behavior</w:t>
      </w:r>
      <w:r w:rsidRPr="001968EC">
        <w:rPr>
          <w:sz w:val="20"/>
          <w:szCs w:val="20"/>
          <w:lang w:val="en-US"/>
        </w:rPr>
        <w:t xml:space="preserve"> in which the collector, the air cavity and the roof exchange heat and influence each other’s temperatures. Depending on the operating conditions</w:t>
      </w:r>
      <w:r w:rsidR="007862D8">
        <w:rPr>
          <w:sz w:val="20"/>
          <w:szCs w:val="20"/>
          <w:lang w:val="en-US"/>
        </w:rPr>
        <w:t xml:space="preserve"> and roof </w:t>
      </w:r>
      <w:r w:rsidR="00067BBC">
        <w:rPr>
          <w:sz w:val="20"/>
          <w:szCs w:val="20"/>
          <w:lang w:val="en-US"/>
        </w:rPr>
        <w:t>construction design</w:t>
      </w:r>
      <w:r w:rsidRPr="001968EC">
        <w:rPr>
          <w:sz w:val="20"/>
          <w:szCs w:val="20"/>
          <w:lang w:val="en-US"/>
        </w:rPr>
        <w:t xml:space="preserve">, this interaction may increase heat losses from the building </w:t>
      </w:r>
      <w:r w:rsidR="00F50A05">
        <w:rPr>
          <w:sz w:val="20"/>
          <w:szCs w:val="20"/>
          <w:lang w:val="en-US"/>
        </w:rPr>
        <w:t>and</w:t>
      </w:r>
      <w:r w:rsidRPr="001968EC">
        <w:rPr>
          <w:sz w:val="20"/>
          <w:szCs w:val="20"/>
          <w:lang w:val="en-US"/>
        </w:rPr>
        <w:t xml:space="preserve"> allow the PVT system to extract heat from the roof structure.</w:t>
      </w:r>
      <w:r w:rsidR="00947988">
        <w:rPr>
          <w:sz w:val="20"/>
          <w:szCs w:val="20"/>
          <w:lang w:val="en-US"/>
        </w:rPr>
        <w:t xml:space="preserve"> </w:t>
      </w:r>
      <w:r w:rsidRPr="001968EC">
        <w:rPr>
          <w:sz w:val="20"/>
          <w:szCs w:val="20"/>
          <w:lang w:val="en-US"/>
        </w:rPr>
        <w:t>A better understanding of these effects is relevant for the design and assessment of PVT heating systems</w:t>
      </w:r>
      <w:r w:rsidR="00EE7E2A">
        <w:rPr>
          <w:sz w:val="20"/>
          <w:szCs w:val="20"/>
          <w:lang w:val="en-US"/>
        </w:rPr>
        <w:t xml:space="preserve"> and how the panels are best mounted on the roof.</w:t>
      </w:r>
    </w:p>
    <w:p w14:paraId="360BB506" w14:textId="18813E15" w:rsidR="00947988" w:rsidRDefault="00051799" w:rsidP="001968EC">
      <w:pPr>
        <w:spacing w:line="276" w:lineRule="auto"/>
        <w:jc w:val="both"/>
        <w:rPr>
          <w:sz w:val="20"/>
          <w:szCs w:val="20"/>
          <w:lang w:val="en-US"/>
        </w:rPr>
      </w:pPr>
      <w:r w:rsidRPr="001968EC">
        <w:rPr>
          <w:sz w:val="20"/>
          <w:szCs w:val="20"/>
          <w:lang w:val="en-US"/>
        </w:rPr>
        <w:t xml:space="preserve">It is also necessary to determine whether </w:t>
      </w:r>
      <w:r w:rsidR="00F47549">
        <w:rPr>
          <w:sz w:val="20"/>
          <w:szCs w:val="20"/>
          <w:lang w:val="en-US"/>
        </w:rPr>
        <w:t>collector efficiency expression</w:t>
      </w:r>
      <w:r w:rsidRPr="001968EC">
        <w:rPr>
          <w:sz w:val="20"/>
          <w:szCs w:val="20"/>
          <w:lang w:val="en-US"/>
        </w:rPr>
        <w:t xml:space="preserve"> coefficients obtained under freely ventilated test conditions remain representative </w:t>
      </w:r>
      <w:r w:rsidR="00F50A05">
        <w:rPr>
          <w:sz w:val="20"/>
          <w:szCs w:val="20"/>
          <w:lang w:val="en-US"/>
        </w:rPr>
        <w:t>for</w:t>
      </w:r>
      <w:r w:rsidRPr="001968EC">
        <w:rPr>
          <w:sz w:val="20"/>
          <w:szCs w:val="20"/>
          <w:lang w:val="en-US"/>
        </w:rPr>
        <w:t xml:space="preserve"> collectors installed in larger roof-mounted arrays.</w:t>
      </w:r>
    </w:p>
    <w:p w14:paraId="70D1CC38" w14:textId="1C5281E5" w:rsidR="007775DF" w:rsidRDefault="001968EC" w:rsidP="007775DF">
      <w:pPr>
        <w:spacing w:line="276" w:lineRule="auto"/>
        <w:jc w:val="both"/>
        <w:rPr>
          <w:sz w:val="20"/>
          <w:szCs w:val="20"/>
          <w:lang w:val="en-US"/>
        </w:rPr>
      </w:pPr>
      <w:r w:rsidRPr="001968EC">
        <w:rPr>
          <w:sz w:val="20"/>
          <w:szCs w:val="20"/>
          <w:lang w:val="en-US"/>
        </w:rPr>
        <w:t>This study addresses these knowledge gaps by experimentally investigating uncovered PVT collectors under different mounting configurations representing freely ventilated and array-like conditions. Two collectors, one with backside insulation and one without, were tested under outdoor conditions</w:t>
      </w:r>
      <w:r w:rsidR="008C62CD">
        <w:rPr>
          <w:sz w:val="20"/>
          <w:szCs w:val="20"/>
          <w:lang w:val="en-US"/>
        </w:rPr>
        <w:t xml:space="preserve"> with temperatures that </w:t>
      </w:r>
      <w:r w:rsidR="006B3B38">
        <w:rPr>
          <w:sz w:val="20"/>
          <w:szCs w:val="20"/>
          <w:lang w:val="en-US"/>
        </w:rPr>
        <w:t xml:space="preserve">represent </w:t>
      </w:r>
      <w:r w:rsidRPr="001968EC">
        <w:rPr>
          <w:sz w:val="20"/>
          <w:szCs w:val="20"/>
          <w:lang w:val="en-US"/>
        </w:rPr>
        <w:t>operation as heat pump sources. The study evaluates the influence of underside airflow restriction on the thermal performance and derived collector efficiency coefficients</w:t>
      </w:r>
      <w:r w:rsidR="00B07822">
        <w:rPr>
          <w:sz w:val="20"/>
          <w:szCs w:val="20"/>
          <w:lang w:val="en-US"/>
        </w:rPr>
        <w:t xml:space="preserve"> as well as the temperatures </w:t>
      </w:r>
      <w:r w:rsidR="00EB79AB">
        <w:rPr>
          <w:sz w:val="20"/>
          <w:szCs w:val="20"/>
          <w:lang w:val="en-US"/>
        </w:rPr>
        <w:t>measured on the surface of the roof below the panels.</w:t>
      </w:r>
    </w:p>
    <w:p w14:paraId="5B6E6C93" w14:textId="1658D096" w:rsidR="5586A802" w:rsidRDefault="5586A802" w:rsidP="7FF2264B">
      <w:pPr>
        <w:pStyle w:val="SWCHeading1"/>
      </w:pPr>
      <w:r>
        <w:t>M</w:t>
      </w:r>
      <w:r w:rsidR="2775487B">
        <w:t>ethodology</w:t>
      </w:r>
    </w:p>
    <w:p w14:paraId="4A53C944" w14:textId="583E9B2E" w:rsidR="0E67CA9B" w:rsidRDefault="0E67CA9B" w:rsidP="7FF2264B">
      <w:pPr>
        <w:pStyle w:val="SWCHeading11"/>
      </w:pPr>
      <w:r>
        <w:t>2</w:t>
      </w:r>
      <w:r w:rsidR="2775487B">
        <w:t>.1. Experimental setup</w:t>
      </w:r>
    </w:p>
    <w:p w14:paraId="626E3E43" w14:textId="1ABC82B6" w:rsidR="2B38A83C" w:rsidRDefault="2B38A83C" w:rsidP="7FF2264B">
      <w:pPr>
        <w:pStyle w:val="SWCText"/>
      </w:pPr>
      <w:r>
        <w:t xml:space="preserve">Two </w:t>
      </w:r>
      <w:r w:rsidR="008A0EE9">
        <w:t>2</w:t>
      </w:r>
      <w:r w:rsidR="00D52111">
        <w:t>.08</w:t>
      </w:r>
      <w:r w:rsidR="001168E8">
        <w:t xml:space="preserve"> m²</w:t>
      </w:r>
      <w:r w:rsidR="000B01AF">
        <w:t xml:space="preserve"> </w:t>
      </w:r>
      <w:r>
        <w:t xml:space="preserve">uncovered photovoltaic-thermal (PVT) collectors were </w:t>
      </w:r>
      <w:r w:rsidR="00835FE1">
        <w:t>tested side by side</w:t>
      </w:r>
      <w:r>
        <w:t xml:space="preserve"> in an outdoor experimental test facility. The collectors were constructed using commercially available photovoltaic modules combined with roll-bond absorbers. One collector had exposed </w:t>
      </w:r>
      <w:r w:rsidR="648C2E64">
        <w:t xml:space="preserve">rear </w:t>
      </w:r>
      <w:r>
        <w:t xml:space="preserve">side without insulation, while the second collector had </w:t>
      </w:r>
      <w:r w:rsidR="2FA004BE">
        <w:t>10 mm</w:t>
      </w:r>
      <w:r>
        <w:t xml:space="preserve"> insulation</w:t>
      </w:r>
      <w:r w:rsidR="7E839119">
        <w:t xml:space="preserve"> on the backside</w:t>
      </w:r>
      <w:r>
        <w:t>.</w:t>
      </w:r>
    </w:p>
    <w:p w14:paraId="21B7EFDE" w14:textId="2A5CAC2D" w:rsidR="738B40F8" w:rsidRDefault="738B40F8" w:rsidP="7FF2264B">
      <w:pPr>
        <w:pStyle w:val="SWCText"/>
      </w:pPr>
      <w:r w:rsidRPr="7FF2264B">
        <w:t xml:space="preserve">The collectors were installed on a free-standing structure consisting of a wooden roof structure covered with asphalt roofing felt. The </w:t>
      </w:r>
      <w:r w:rsidR="00D63801">
        <w:t xml:space="preserve">south-facing </w:t>
      </w:r>
      <w:r w:rsidRPr="7FF2264B">
        <w:t xml:space="preserve">roof surface was inclined at 45°, and the collectors were mounted with </w:t>
      </w:r>
      <w:proofErr w:type="gramStart"/>
      <w:r w:rsidRPr="7FF2264B">
        <w:t xml:space="preserve">a distance of </w:t>
      </w:r>
      <w:r w:rsidR="00C33E93">
        <w:t>5</w:t>
      </w:r>
      <w:r w:rsidRPr="7FF2264B">
        <w:t>0</w:t>
      </w:r>
      <w:proofErr w:type="gramEnd"/>
      <w:r w:rsidRPr="7FF2264B">
        <w:t xml:space="preserve"> mm between the rear side of the panel and the roof </w:t>
      </w:r>
      <w:r w:rsidR="0024665D">
        <w:t xml:space="preserve">upper </w:t>
      </w:r>
      <w:r w:rsidRPr="7FF2264B">
        <w:t>surface.</w:t>
      </w:r>
      <w:r>
        <w:t xml:space="preserve"> </w:t>
      </w:r>
    </w:p>
    <w:p w14:paraId="6F1E5A25" w14:textId="3F4F3E85" w:rsidR="006855A0" w:rsidRDefault="006855A0" w:rsidP="00625C6A">
      <w:pPr>
        <w:pStyle w:val="SWCText"/>
        <w:jc w:val="center"/>
      </w:pPr>
      <w:r>
        <w:rPr>
          <w:noProof/>
        </w:rPr>
        <w:drawing>
          <wp:inline distT="0" distB="0" distL="0" distR="0" wp14:anchorId="5E1E39C6" wp14:editId="2213870B">
            <wp:extent cx="3105732" cy="1625097"/>
            <wp:effectExtent l="0" t="0" r="0" b="0"/>
            <wp:docPr id="1575489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434" t="2079" r="-7485" b="-786"/>
                    <a:stretch>
                      <a:fillRect/>
                    </a:stretch>
                  </pic:blipFill>
                  <pic:spPr bwMode="auto">
                    <a:xfrm>
                      <a:off x="0" y="0"/>
                      <a:ext cx="3225900" cy="1687976"/>
                    </a:xfrm>
                    <a:prstGeom prst="rect">
                      <a:avLst/>
                    </a:prstGeom>
                    <a:noFill/>
                    <a:ln>
                      <a:noFill/>
                    </a:ln>
                    <a:extLst>
                      <a:ext uri="{53640926-AAD7-44D8-BBD7-CCE9431645EC}">
                        <a14:shadowObscured xmlns:a14="http://schemas.microsoft.com/office/drawing/2010/main"/>
                      </a:ext>
                    </a:extLst>
                  </pic:spPr>
                </pic:pic>
              </a:graphicData>
            </a:graphic>
          </wp:inline>
        </w:drawing>
      </w:r>
    </w:p>
    <w:p w14:paraId="3AFC1BD0" w14:textId="7C721D66" w:rsidR="00686110" w:rsidRDefault="00686110" w:rsidP="00625C6A">
      <w:pPr>
        <w:pStyle w:val="SWCText"/>
        <w:jc w:val="center"/>
      </w:pPr>
      <w:r w:rsidRPr="000A7957">
        <w:rPr>
          <w:b/>
          <w:bCs/>
          <w:sz w:val="16"/>
          <w:szCs w:val="16"/>
        </w:rPr>
        <w:t xml:space="preserve">Fig. 1: </w:t>
      </w:r>
      <w:r w:rsidR="009106CE">
        <w:rPr>
          <w:b/>
          <w:bCs/>
          <w:sz w:val="16"/>
          <w:szCs w:val="16"/>
        </w:rPr>
        <w:t>PVT panels on roof surface.</w:t>
      </w:r>
    </w:p>
    <w:p w14:paraId="09323910" w14:textId="0E3C12A8" w:rsidR="00AA0CD0" w:rsidRDefault="2B38A83C" w:rsidP="003D48F6">
      <w:pPr>
        <w:pStyle w:val="SWCText"/>
      </w:pPr>
      <w:r>
        <w:t xml:space="preserve">The </w:t>
      </w:r>
      <w:r w:rsidR="12817B27">
        <w:t>panels</w:t>
      </w:r>
      <w:r>
        <w:t xml:space="preserve"> </w:t>
      </w:r>
      <w:r w:rsidR="03B23416">
        <w:t xml:space="preserve">were connected to a test rig </w:t>
      </w:r>
      <w:r w:rsidR="01A975FD">
        <w:t xml:space="preserve">with a </w:t>
      </w:r>
      <w:r w:rsidR="2E76FB6F">
        <w:t>closed</w:t>
      </w:r>
      <w:r w:rsidR="01A975FD">
        <w:t xml:space="preserve"> loop </w:t>
      </w:r>
      <w:r w:rsidR="03B23416">
        <w:t>that allowed fixed flowrates and inlet temperatures down to –10</w:t>
      </w:r>
      <w:r w:rsidR="000B01AF">
        <w:t>°</w:t>
      </w:r>
      <w:r w:rsidR="03B23416">
        <w:t xml:space="preserve">C. </w:t>
      </w:r>
      <w:r w:rsidR="003D48F6">
        <w:t>T</w:t>
      </w:r>
      <w:r w:rsidR="1C0BBB64">
        <w:t xml:space="preserve">he heat transfer fluid was </w:t>
      </w:r>
      <w:r w:rsidR="004A3430">
        <w:t xml:space="preserve">30 % </w:t>
      </w:r>
      <w:r w:rsidR="1F9D75B7">
        <w:t xml:space="preserve">Clariant </w:t>
      </w:r>
      <w:proofErr w:type="spellStart"/>
      <w:r w:rsidR="1F9D75B7">
        <w:t>Antifrogen</w:t>
      </w:r>
      <w:proofErr w:type="spellEnd"/>
      <w:r w:rsidR="1F9D75B7">
        <w:t xml:space="preserve"> N (ethylene glycol)</w:t>
      </w:r>
      <w:r w:rsidR="004A3430">
        <w:t xml:space="preserve"> </w:t>
      </w:r>
      <w:r w:rsidR="0024665D">
        <w:t xml:space="preserve">and </w:t>
      </w:r>
      <w:r w:rsidR="004A3430">
        <w:t>70 % water with a f</w:t>
      </w:r>
      <w:r w:rsidR="1F9D75B7">
        <w:t>reeze protection down to approximately</w:t>
      </w:r>
      <w:r w:rsidR="004A3430">
        <w:t xml:space="preserve"> </w:t>
      </w:r>
      <w:r w:rsidR="1F9D75B7">
        <w:t>−17 °C</w:t>
      </w:r>
      <w:r w:rsidR="004A3430">
        <w:t>.</w:t>
      </w:r>
      <w:r w:rsidR="00A94E27">
        <w:t xml:space="preserve"> </w:t>
      </w:r>
      <w:r>
        <w:t xml:space="preserve">The </w:t>
      </w:r>
      <w:r w:rsidR="004A3430">
        <w:t xml:space="preserve">flow rate </w:t>
      </w:r>
      <w:r w:rsidR="00A94E27">
        <w:t xml:space="preserve">through </w:t>
      </w:r>
      <w:r w:rsidR="003C0ABE">
        <w:t xml:space="preserve">each </w:t>
      </w:r>
      <w:r>
        <w:t xml:space="preserve">absorber </w:t>
      </w:r>
      <w:r w:rsidR="003C0ABE">
        <w:t>was</w:t>
      </w:r>
      <w:r>
        <w:t xml:space="preserve"> approximately 1 L/min. </w:t>
      </w:r>
    </w:p>
    <w:p w14:paraId="48E3FDCB" w14:textId="3EF002D4" w:rsidR="003D48F6" w:rsidRPr="002447D9" w:rsidRDefault="003D48F6" w:rsidP="003D48F6">
      <w:pPr>
        <w:pStyle w:val="SWCText"/>
      </w:pPr>
      <w:r>
        <w:t xml:space="preserve">The </w:t>
      </w:r>
      <w:r w:rsidR="0037425E">
        <w:t>electricity</w:t>
      </w:r>
      <w:r w:rsidR="003C0ABE">
        <w:t xml:space="preserve"> produced on the panel</w:t>
      </w:r>
      <w:r w:rsidR="0037425E">
        <w:t xml:space="preserve"> was </w:t>
      </w:r>
      <w:r w:rsidR="002C6311">
        <w:t>exported</w:t>
      </w:r>
      <w:r w:rsidR="0037425E">
        <w:t xml:space="preserve"> to the grid via </w:t>
      </w:r>
      <w:proofErr w:type="spellStart"/>
      <w:r w:rsidR="0037425E">
        <w:t>Emphase</w:t>
      </w:r>
      <w:proofErr w:type="spellEnd"/>
      <w:r w:rsidR="0037425E">
        <w:t xml:space="preserve"> </w:t>
      </w:r>
      <w:r w:rsidR="00457F85">
        <w:t>IQ7+ microinverters.</w:t>
      </w:r>
    </w:p>
    <w:p w14:paraId="6DF8825D" w14:textId="11219357" w:rsidR="368154F0" w:rsidRDefault="002447D9" w:rsidP="7FF2264B">
      <w:pPr>
        <w:pStyle w:val="SWCHeading11"/>
      </w:pPr>
      <w:r>
        <w:t>2</w:t>
      </w:r>
      <w:r w:rsidR="368154F0">
        <w:t>.</w:t>
      </w:r>
      <w:r w:rsidR="00DC3BFD">
        <w:t>2</w:t>
      </w:r>
      <w:r w:rsidR="368154F0">
        <w:t xml:space="preserve"> </w:t>
      </w:r>
      <w:r w:rsidR="00AA0CD0">
        <w:t>Mounting configurations</w:t>
      </w:r>
    </w:p>
    <w:p w14:paraId="628410A3" w14:textId="76B4D34C" w:rsidR="002868BC" w:rsidRDefault="002868BC" w:rsidP="002868BC">
      <w:pPr>
        <w:pStyle w:val="SWCText"/>
      </w:pPr>
      <w:r>
        <w:t xml:space="preserve">To investigate the influence of airflow </w:t>
      </w:r>
      <w:r w:rsidR="00EC0E20">
        <w:t>beneath</w:t>
      </w:r>
      <w:r>
        <w:t xml:space="preserve"> the collectors and the temperatures </w:t>
      </w:r>
      <w:r w:rsidR="003D15A7">
        <w:t xml:space="preserve">at the roof surfaces </w:t>
      </w:r>
      <w:r w:rsidR="00EC0E20">
        <w:t>beneath</w:t>
      </w:r>
      <w:r w:rsidR="003D15A7">
        <w:t xml:space="preserve"> the collectors</w:t>
      </w:r>
      <w:r>
        <w:t>, three mounting configurations were tested:</w:t>
      </w:r>
    </w:p>
    <w:p w14:paraId="0EDD3557" w14:textId="3263A058" w:rsidR="00D24B88" w:rsidRDefault="002868BC" w:rsidP="00D24B88">
      <w:pPr>
        <w:pStyle w:val="SWCText"/>
        <w:numPr>
          <w:ilvl w:val="0"/>
          <w:numId w:val="27"/>
        </w:numPr>
        <w:jc w:val="left"/>
      </w:pPr>
      <w:r w:rsidRPr="007D3563">
        <w:rPr>
          <w:b/>
          <w:bCs/>
        </w:rPr>
        <w:t>Freely ventilated</w:t>
      </w:r>
      <w:r>
        <w:t xml:space="preserve">: </w:t>
      </w:r>
      <w:r w:rsidR="00304339">
        <w:t>N</w:t>
      </w:r>
      <w:r>
        <w:t xml:space="preserve">o barriers, allowing </w:t>
      </w:r>
      <w:r w:rsidR="00457F85">
        <w:t>relatively</w:t>
      </w:r>
      <w:r w:rsidR="00D24B88">
        <w:t xml:space="preserve"> </w:t>
      </w:r>
      <w:r>
        <w:t>unrestricted airflo</w:t>
      </w:r>
      <w:r w:rsidR="003D15A7">
        <w:t>w</w:t>
      </w:r>
      <w:r w:rsidR="00C025ED">
        <w:t xml:space="preserve"> </w:t>
      </w:r>
      <w:r w:rsidR="00D6297F">
        <w:t xml:space="preserve">from wind and convection </w:t>
      </w:r>
      <w:r w:rsidR="00EC0E20">
        <w:t>beneath</w:t>
      </w:r>
      <w:r w:rsidR="00C025ED">
        <w:t xml:space="preserve"> the panel</w:t>
      </w:r>
      <w:r w:rsidR="007D3563">
        <w:t xml:space="preserve">. Figure </w:t>
      </w:r>
      <w:r w:rsidR="00304339">
        <w:t>2a</w:t>
      </w:r>
      <w:r w:rsidR="007D3563">
        <w:t>.</w:t>
      </w:r>
    </w:p>
    <w:p w14:paraId="453418D8" w14:textId="2E2A006A" w:rsidR="002868BC" w:rsidRDefault="002868BC" w:rsidP="00D22810">
      <w:pPr>
        <w:pStyle w:val="SWCText"/>
        <w:numPr>
          <w:ilvl w:val="0"/>
          <w:numId w:val="27"/>
        </w:numPr>
      </w:pPr>
      <w:r w:rsidRPr="007D3563">
        <w:rPr>
          <w:b/>
          <w:bCs/>
        </w:rPr>
        <w:t>Partially restricted</w:t>
      </w:r>
      <w:r w:rsidR="009F2FF7">
        <w:rPr>
          <w:b/>
          <w:bCs/>
        </w:rPr>
        <w:t xml:space="preserve"> airflow</w:t>
      </w:r>
      <w:r>
        <w:t xml:space="preserve">: </w:t>
      </w:r>
      <w:r w:rsidR="00D22810">
        <w:t xml:space="preserve">Barriers were installed around the collectors with an approximately 2 cm gap between the panel edges and the surrounding structures. The barriers consisted of elements extending from the plane of the PVT panel down to the roof surface, forming an enclosure around the collectors. This </w:t>
      </w:r>
      <w:r w:rsidR="00395E40">
        <w:t xml:space="preserve">restricted </w:t>
      </w:r>
      <w:r w:rsidR="00D22810">
        <w:t xml:space="preserve">direct wind-driven airflow </w:t>
      </w:r>
      <w:r w:rsidR="00EC0E20">
        <w:t>beneath</w:t>
      </w:r>
      <w:r w:rsidR="00D22810">
        <w:t xml:space="preserve"> the panels from the surroundings</w:t>
      </w:r>
      <w:r w:rsidR="00B158B4">
        <w:t xml:space="preserve">. </w:t>
      </w:r>
      <w:r w:rsidR="00D22810">
        <w:t xml:space="preserve">In addition, a horizontal extension approximately 15 cm wide was mounted along the edges in the same plane as the </w:t>
      </w:r>
      <w:r w:rsidR="00D22810">
        <w:lastRenderedPageBreak/>
        <w:t xml:space="preserve">PVT panel. This extension acted as a flange, reducing edge effects and </w:t>
      </w:r>
      <w:r w:rsidR="00D52960">
        <w:t>reducing</w:t>
      </w:r>
      <w:r w:rsidR="00D22810">
        <w:t xml:space="preserve"> turbulent inflow at the gap. </w:t>
      </w:r>
      <w:r w:rsidR="007D3563">
        <w:t xml:space="preserve">This should </w:t>
      </w:r>
      <w:r w:rsidR="00D52960">
        <w:t>represent</w:t>
      </w:r>
      <w:r w:rsidR="007D3563">
        <w:t xml:space="preserve"> conditions where multiple panels are mounted side by side. </w:t>
      </w:r>
      <w:r w:rsidR="00D22810">
        <w:t xml:space="preserve">As a result, the airflow entering the cavity </w:t>
      </w:r>
      <w:r w:rsidR="00EC0E20">
        <w:t>beneath</w:t>
      </w:r>
      <w:r w:rsidR="00D22810">
        <w:t xml:space="preserve"> the panels was limited, better representing array-like installation conditions</w:t>
      </w:r>
      <w:r w:rsidR="00C752D1">
        <w:t>. Figure 2b.</w:t>
      </w:r>
    </w:p>
    <w:p w14:paraId="7702FEA0" w14:textId="60E167E1" w:rsidR="003D15A7" w:rsidRDefault="002868BC" w:rsidP="003D15A7">
      <w:pPr>
        <w:pStyle w:val="SWCText"/>
        <w:numPr>
          <w:ilvl w:val="0"/>
          <w:numId w:val="27"/>
        </w:numPr>
        <w:jc w:val="left"/>
      </w:pPr>
      <w:r w:rsidRPr="007D3563">
        <w:rPr>
          <w:b/>
          <w:bCs/>
        </w:rPr>
        <w:t>Fully restricted</w:t>
      </w:r>
      <w:r w:rsidR="009F2FF7">
        <w:rPr>
          <w:b/>
          <w:bCs/>
        </w:rPr>
        <w:t xml:space="preserve"> </w:t>
      </w:r>
      <w:r w:rsidR="00087945">
        <w:rPr>
          <w:b/>
          <w:bCs/>
        </w:rPr>
        <w:t>airflow</w:t>
      </w:r>
      <w:r>
        <w:t xml:space="preserve">: </w:t>
      </w:r>
      <w:r w:rsidR="007D3563">
        <w:t xml:space="preserve">in the </w:t>
      </w:r>
      <w:r w:rsidR="00223753">
        <w:t>c</w:t>
      </w:r>
      <w:r>
        <w:t>onfiguration</w:t>
      </w:r>
      <w:r w:rsidR="00223753">
        <w:t xml:space="preserve"> the gap between the barrier and the </w:t>
      </w:r>
      <w:r w:rsidR="003976EF">
        <w:t xml:space="preserve">PVT panel was closed by mounting a </w:t>
      </w:r>
      <w:r w:rsidR="00E82906">
        <w:t xml:space="preserve">board </w:t>
      </w:r>
      <w:r w:rsidR="006B2F57">
        <w:t>covering the gap. This should</w:t>
      </w:r>
      <w:r>
        <w:t xml:space="preserve"> prevent</w:t>
      </w:r>
      <w:r w:rsidR="009C4D54">
        <w:t xml:space="preserve"> </w:t>
      </w:r>
      <w:r>
        <w:t xml:space="preserve">airflow </w:t>
      </w:r>
      <w:r w:rsidR="00C82141">
        <w:t xml:space="preserve">from the wind </w:t>
      </w:r>
      <w:r w:rsidR="002C6311">
        <w:t>from going</w:t>
      </w:r>
      <w:r w:rsidR="00C82141">
        <w:t xml:space="preserve"> </w:t>
      </w:r>
      <w:r w:rsidR="00EC0E20">
        <w:t>beneath</w:t>
      </w:r>
      <w:r>
        <w:t xml:space="preserve"> the collectors</w:t>
      </w:r>
      <w:r w:rsidR="009C4D54">
        <w:t>.</w:t>
      </w:r>
      <w:r w:rsidR="002C6311">
        <w:t xml:space="preserve"> </w:t>
      </w:r>
      <w:r w:rsidR="00D22352">
        <w:t>This</w:t>
      </w:r>
      <w:r w:rsidR="00C82141">
        <w:t xml:space="preserve"> </w:t>
      </w:r>
      <w:r w:rsidR="00D22352">
        <w:t>configuration</w:t>
      </w:r>
      <w:r w:rsidR="009C4D54">
        <w:t xml:space="preserve"> represent</w:t>
      </w:r>
      <w:r w:rsidR="00D22352">
        <w:t>s</w:t>
      </w:r>
      <w:r w:rsidR="009C4D54">
        <w:t xml:space="preserve"> </w:t>
      </w:r>
      <w:r w:rsidR="00E0336B">
        <w:t xml:space="preserve">panels mounted side by side without any </w:t>
      </w:r>
      <w:r w:rsidR="002447D9">
        <w:t>space between them.</w:t>
      </w:r>
      <w:r w:rsidR="00C752D1">
        <w:t xml:space="preserve"> Figure 2c.</w:t>
      </w:r>
    </w:p>
    <w:p w14:paraId="61DDECC2" w14:textId="7DEBDA80" w:rsidR="00F0301A" w:rsidRDefault="00C32CD2" w:rsidP="00A43134">
      <w:pPr>
        <w:pStyle w:val="SWCText"/>
      </w:pPr>
      <w:r>
        <w:t>F</w:t>
      </w:r>
      <w:r w:rsidR="00A805AC">
        <w:t xml:space="preserve">igure </w:t>
      </w:r>
      <w:r w:rsidR="00D728FE">
        <w:t>2</w:t>
      </w:r>
      <w:r w:rsidR="00AF4359">
        <w:t>a, 2b and 2c</w:t>
      </w:r>
      <w:r w:rsidR="00A805AC">
        <w:t xml:space="preserve"> shows </w:t>
      </w:r>
      <w:r>
        <w:t>schematics of</w:t>
      </w:r>
      <w:r w:rsidR="0026075E">
        <w:t xml:space="preserve"> cross sections of</w:t>
      </w:r>
      <w:r>
        <w:t xml:space="preserve"> the three mounting configurations</w:t>
      </w:r>
      <w:r w:rsidR="0026075E">
        <w:t xml:space="preserve"> with arrows representing wind and convection below and above the panels</w:t>
      </w:r>
      <w:r>
        <w:t>.</w:t>
      </w:r>
    </w:p>
    <w:p w14:paraId="76CD0676" w14:textId="06057C4C" w:rsidR="00F0301A" w:rsidRDefault="00C82A63" w:rsidP="00F0301A">
      <w:pPr>
        <w:pStyle w:val="SWCText"/>
        <w:jc w:val="center"/>
      </w:pPr>
      <w:r>
        <w:rPr>
          <w:noProof/>
        </w:rPr>
        <w:drawing>
          <wp:inline distT="0" distB="0" distL="0" distR="0" wp14:anchorId="55DE138A" wp14:editId="6C1A920F">
            <wp:extent cx="3766241" cy="533400"/>
            <wp:effectExtent l="0" t="0" r="5715" b="0"/>
            <wp:docPr id="2110950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7355"/>
                    <a:stretch>
                      <a:fillRect/>
                    </a:stretch>
                  </pic:blipFill>
                  <pic:spPr bwMode="auto">
                    <a:xfrm>
                      <a:off x="0" y="0"/>
                      <a:ext cx="3766241" cy="533400"/>
                    </a:xfrm>
                    <a:prstGeom prst="rect">
                      <a:avLst/>
                    </a:prstGeom>
                    <a:noFill/>
                    <a:ln>
                      <a:noFill/>
                    </a:ln>
                    <a:extLst>
                      <a:ext uri="{53640926-AAD7-44D8-BBD7-CCE9431645EC}">
                        <a14:shadowObscured xmlns:a14="http://schemas.microsoft.com/office/drawing/2010/main"/>
                      </a:ext>
                    </a:extLst>
                  </pic:spPr>
                </pic:pic>
              </a:graphicData>
            </a:graphic>
          </wp:inline>
        </w:drawing>
      </w:r>
    </w:p>
    <w:p w14:paraId="12AF27B9" w14:textId="40110A2F" w:rsidR="00F0301A" w:rsidRDefault="00F0301A" w:rsidP="00F0301A">
      <w:pPr>
        <w:pStyle w:val="SWCText"/>
        <w:jc w:val="center"/>
        <w:rPr>
          <w:b/>
          <w:bCs/>
          <w:sz w:val="16"/>
          <w:szCs w:val="16"/>
        </w:rPr>
      </w:pPr>
      <w:r w:rsidRPr="000A7957">
        <w:rPr>
          <w:b/>
          <w:bCs/>
          <w:sz w:val="16"/>
          <w:szCs w:val="16"/>
        </w:rPr>
        <w:t xml:space="preserve">Fig. </w:t>
      </w:r>
      <w:r w:rsidR="00D728FE">
        <w:rPr>
          <w:b/>
          <w:bCs/>
          <w:sz w:val="16"/>
          <w:szCs w:val="16"/>
        </w:rPr>
        <w:t>2</w:t>
      </w:r>
      <w:r w:rsidR="001F10EC">
        <w:rPr>
          <w:b/>
          <w:bCs/>
          <w:sz w:val="16"/>
          <w:szCs w:val="16"/>
        </w:rPr>
        <w:t>a</w:t>
      </w:r>
      <w:r w:rsidRPr="000A7957">
        <w:rPr>
          <w:b/>
          <w:bCs/>
          <w:sz w:val="16"/>
          <w:szCs w:val="16"/>
        </w:rPr>
        <w:t xml:space="preserve">: </w:t>
      </w:r>
      <w:r w:rsidR="001F10EC">
        <w:rPr>
          <w:b/>
          <w:bCs/>
          <w:sz w:val="16"/>
          <w:szCs w:val="16"/>
        </w:rPr>
        <w:t>C</w:t>
      </w:r>
      <w:r w:rsidR="0026075E">
        <w:rPr>
          <w:b/>
          <w:bCs/>
          <w:sz w:val="16"/>
          <w:szCs w:val="16"/>
        </w:rPr>
        <w:t>ross section</w:t>
      </w:r>
      <w:r w:rsidR="001F10EC">
        <w:rPr>
          <w:b/>
          <w:bCs/>
          <w:sz w:val="16"/>
          <w:szCs w:val="16"/>
        </w:rPr>
        <w:t xml:space="preserve"> diagram</w:t>
      </w:r>
      <w:r w:rsidR="0026075E">
        <w:rPr>
          <w:b/>
          <w:bCs/>
          <w:sz w:val="16"/>
          <w:szCs w:val="16"/>
        </w:rPr>
        <w:t xml:space="preserve"> of </w:t>
      </w:r>
      <w:r>
        <w:rPr>
          <w:b/>
          <w:bCs/>
          <w:sz w:val="16"/>
          <w:szCs w:val="16"/>
        </w:rPr>
        <w:t>the</w:t>
      </w:r>
      <w:r w:rsidR="0026075E">
        <w:rPr>
          <w:b/>
          <w:bCs/>
          <w:sz w:val="16"/>
          <w:szCs w:val="16"/>
        </w:rPr>
        <w:t xml:space="preserve"> </w:t>
      </w:r>
      <w:r w:rsidR="007B5CCE">
        <w:rPr>
          <w:b/>
          <w:bCs/>
          <w:sz w:val="16"/>
          <w:szCs w:val="16"/>
        </w:rPr>
        <w:t>freely ventilated PVT panel</w:t>
      </w:r>
      <w:r w:rsidR="001F10EC">
        <w:rPr>
          <w:b/>
          <w:bCs/>
          <w:sz w:val="16"/>
          <w:szCs w:val="16"/>
        </w:rPr>
        <w:t xml:space="preserve"> and roof configuration</w:t>
      </w:r>
      <w:r w:rsidR="007B5CCE">
        <w:rPr>
          <w:b/>
          <w:bCs/>
          <w:sz w:val="16"/>
          <w:szCs w:val="16"/>
        </w:rPr>
        <w:t>.</w:t>
      </w:r>
    </w:p>
    <w:p w14:paraId="7CCED78A" w14:textId="0CD96708" w:rsidR="001F10EC" w:rsidRDefault="00C82A63" w:rsidP="00F0301A">
      <w:pPr>
        <w:pStyle w:val="SWCText"/>
        <w:jc w:val="center"/>
        <w:rPr>
          <w:b/>
          <w:bCs/>
          <w:sz w:val="16"/>
          <w:szCs w:val="16"/>
        </w:rPr>
      </w:pPr>
      <w:r>
        <w:rPr>
          <w:noProof/>
        </w:rPr>
        <w:drawing>
          <wp:inline distT="0" distB="0" distL="0" distR="0" wp14:anchorId="0B525FEC" wp14:editId="26AA5564">
            <wp:extent cx="3764898" cy="624236"/>
            <wp:effectExtent l="0" t="0" r="7620" b="4445"/>
            <wp:docPr id="1741877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9797" b="43692"/>
                    <a:stretch>
                      <a:fillRect/>
                    </a:stretch>
                  </pic:blipFill>
                  <pic:spPr bwMode="auto">
                    <a:xfrm>
                      <a:off x="0" y="0"/>
                      <a:ext cx="3833394" cy="635593"/>
                    </a:xfrm>
                    <a:prstGeom prst="rect">
                      <a:avLst/>
                    </a:prstGeom>
                    <a:noFill/>
                    <a:ln>
                      <a:noFill/>
                    </a:ln>
                    <a:extLst>
                      <a:ext uri="{53640926-AAD7-44D8-BBD7-CCE9431645EC}">
                        <a14:shadowObscured xmlns:a14="http://schemas.microsoft.com/office/drawing/2010/main"/>
                      </a:ext>
                    </a:extLst>
                  </pic:spPr>
                </pic:pic>
              </a:graphicData>
            </a:graphic>
          </wp:inline>
        </w:drawing>
      </w:r>
    </w:p>
    <w:p w14:paraId="4A7481C4" w14:textId="248E90F5" w:rsidR="001F10EC" w:rsidRDefault="001F10EC" w:rsidP="001F10EC">
      <w:pPr>
        <w:pStyle w:val="SWCText"/>
        <w:jc w:val="center"/>
        <w:rPr>
          <w:b/>
          <w:bCs/>
          <w:sz w:val="16"/>
          <w:szCs w:val="16"/>
        </w:rPr>
      </w:pPr>
      <w:r w:rsidRPr="000A7957">
        <w:rPr>
          <w:b/>
          <w:bCs/>
          <w:sz w:val="16"/>
          <w:szCs w:val="16"/>
        </w:rPr>
        <w:t xml:space="preserve">Fig. </w:t>
      </w:r>
      <w:r w:rsidR="00D728FE">
        <w:rPr>
          <w:b/>
          <w:bCs/>
          <w:sz w:val="16"/>
          <w:szCs w:val="16"/>
        </w:rPr>
        <w:t>2</w:t>
      </w:r>
      <w:r>
        <w:rPr>
          <w:b/>
          <w:bCs/>
          <w:sz w:val="16"/>
          <w:szCs w:val="16"/>
        </w:rPr>
        <w:t>b</w:t>
      </w:r>
      <w:r w:rsidRPr="000A7957">
        <w:rPr>
          <w:b/>
          <w:bCs/>
          <w:sz w:val="16"/>
          <w:szCs w:val="16"/>
        </w:rPr>
        <w:t xml:space="preserve">: </w:t>
      </w:r>
      <w:r>
        <w:rPr>
          <w:b/>
          <w:bCs/>
          <w:sz w:val="16"/>
          <w:szCs w:val="16"/>
        </w:rPr>
        <w:t xml:space="preserve">Cross section diagram of the partly restricted airflow </w:t>
      </w:r>
      <w:r w:rsidR="00087945">
        <w:rPr>
          <w:b/>
          <w:bCs/>
          <w:sz w:val="16"/>
          <w:szCs w:val="16"/>
        </w:rPr>
        <w:t>configuration</w:t>
      </w:r>
      <w:r>
        <w:rPr>
          <w:b/>
          <w:bCs/>
          <w:sz w:val="16"/>
          <w:szCs w:val="16"/>
        </w:rPr>
        <w:t xml:space="preserve"> </w:t>
      </w:r>
      <w:r w:rsidR="00AF2737">
        <w:rPr>
          <w:b/>
          <w:bCs/>
          <w:sz w:val="16"/>
          <w:szCs w:val="16"/>
        </w:rPr>
        <w:t>with barriers</w:t>
      </w:r>
      <w:r>
        <w:rPr>
          <w:b/>
          <w:bCs/>
          <w:sz w:val="16"/>
          <w:szCs w:val="16"/>
        </w:rPr>
        <w:t>.</w:t>
      </w:r>
    </w:p>
    <w:p w14:paraId="23714369" w14:textId="4DFA83D2" w:rsidR="001F10EC" w:rsidRDefault="00C82A63" w:rsidP="00F0301A">
      <w:pPr>
        <w:pStyle w:val="SWCText"/>
        <w:jc w:val="center"/>
        <w:rPr>
          <w:b/>
          <w:bCs/>
          <w:sz w:val="16"/>
          <w:szCs w:val="16"/>
        </w:rPr>
      </w:pPr>
      <w:r>
        <w:rPr>
          <w:noProof/>
        </w:rPr>
        <w:drawing>
          <wp:inline distT="0" distB="0" distL="0" distR="0" wp14:anchorId="1E9FDF8A" wp14:editId="7AD3B3EC">
            <wp:extent cx="3764371" cy="755455"/>
            <wp:effectExtent l="0" t="0" r="0" b="6985"/>
            <wp:docPr id="152456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8825" b="-913"/>
                    <a:stretch>
                      <a:fillRect/>
                    </a:stretch>
                  </pic:blipFill>
                  <pic:spPr bwMode="auto">
                    <a:xfrm>
                      <a:off x="0" y="0"/>
                      <a:ext cx="3833394" cy="769307"/>
                    </a:xfrm>
                    <a:prstGeom prst="rect">
                      <a:avLst/>
                    </a:prstGeom>
                    <a:noFill/>
                    <a:ln>
                      <a:noFill/>
                    </a:ln>
                    <a:extLst>
                      <a:ext uri="{53640926-AAD7-44D8-BBD7-CCE9431645EC}">
                        <a14:shadowObscured xmlns:a14="http://schemas.microsoft.com/office/drawing/2010/main"/>
                      </a:ext>
                    </a:extLst>
                  </pic:spPr>
                </pic:pic>
              </a:graphicData>
            </a:graphic>
          </wp:inline>
        </w:drawing>
      </w:r>
    </w:p>
    <w:p w14:paraId="1E4E9CCE" w14:textId="52502C37" w:rsidR="001F10EC" w:rsidRPr="00144924" w:rsidRDefault="00087945" w:rsidP="00144924">
      <w:pPr>
        <w:pStyle w:val="SWCText"/>
        <w:jc w:val="center"/>
        <w:rPr>
          <w:b/>
          <w:bCs/>
          <w:sz w:val="16"/>
          <w:szCs w:val="16"/>
        </w:rPr>
      </w:pPr>
      <w:r w:rsidRPr="000A7957">
        <w:rPr>
          <w:b/>
          <w:bCs/>
          <w:sz w:val="16"/>
          <w:szCs w:val="16"/>
        </w:rPr>
        <w:t xml:space="preserve">Fig. </w:t>
      </w:r>
      <w:r w:rsidR="00D728FE">
        <w:rPr>
          <w:b/>
          <w:bCs/>
          <w:sz w:val="16"/>
          <w:szCs w:val="16"/>
        </w:rPr>
        <w:t>2</w:t>
      </w:r>
      <w:r>
        <w:rPr>
          <w:b/>
          <w:bCs/>
          <w:sz w:val="16"/>
          <w:szCs w:val="16"/>
        </w:rPr>
        <w:t>c</w:t>
      </w:r>
      <w:r w:rsidRPr="000A7957">
        <w:rPr>
          <w:b/>
          <w:bCs/>
          <w:sz w:val="16"/>
          <w:szCs w:val="16"/>
        </w:rPr>
        <w:t xml:space="preserve">: </w:t>
      </w:r>
      <w:r>
        <w:rPr>
          <w:b/>
          <w:bCs/>
          <w:sz w:val="16"/>
          <w:szCs w:val="16"/>
        </w:rPr>
        <w:t>Cross section diagram of the fully restricted airflow configuration with barriers.</w:t>
      </w:r>
    </w:p>
    <w:p w14:paraId="2D0D7655" w14:textId="2E1D7ACE" w:rsidR="00DA431D" w:rsidRDefault="00FA3122" w:rsidP="00A43134">
      <w:pPr>
        <w:pStyle w:val="SWCText"/>
      </w:pPr>
      <w:r>
        <w:t>The me</w:t>
      </w:r>
      <w:r w:rsidRPr="00FA3122">
        <w:t xml:space="preserve">asurements were </w:t>
      </w:r>
      <w:r w:rsidR="00714C58">
        <w:t>carried out</w:t>
      </w:r>
      <w:r w:rsidRPr="00FA3122">
        <w:t xml:space="preserve"> in separate</w:t>
      </w:r>
      <w:r>
        <w:t xml:space="preserve"> </w:t>
      </w:r>
      <w:r w:rsidR="00714C58">
        <w:t>periods</w:t>
      </w:r>
      <w:r w:rsidRPr="00FA3122">
        <w:t xml:space="preserve"> for different mounting configurations</w:t>
      </w:r>
      <w:r w:rsidR="00714C58">
        <w:t xml:space="preserve"> during </w:t>
      </w:r>
      <w:r w:rsidR="00F446F1">
        <w:t xml:space="preserve">2024. The data includes </w:t>
      </w:r>
      <w:r w:rsidR="00CB0091">
        <w:t xml:space="preserve">measurements from </w:t>
      </w:r>
      <w:r w:rsidR="00F446F1">
        <w:t xml:space="preserve">day and </w:t>
      </w:r>
      <w:r w:rsidR="007C6CA1">
        <w:t>nighttime</w:t>
      </w:r>
      <w:r w:rsidR="00F446F1">
        <w:t xml:space="preserve"> </w:t>
      </w:r>
      <w:r w:rsidR="00F605E7">
        <w:t>under varying weather conditions</w:t>
      </w:r>
      <w:r w:rsidR="00E618FC">
        <w:t xml:space="preserve"> excluding periods with rain. Figures </w:t>
      </w:r>
      <w:r w:rsidR="00050C42">
        <w:t>3</w:t>
      </w:r>
      <w:r w:rsidR="0071624C">
        <w:t xml:space="preserve">a, </w:t>
      </w:r>
      <w:r w:rsidR="00050C42">
        <w:t>3</w:t>
      </w:r>
      <w:r w:rsidR="0071624C">
        <w:t xml:space="preserve">b and </w:t>
      </w:r>
      <w:r w:rsidR="00050C42">
        <w:t>3</w:t>
      </w:r>
      <w:r w:rsidR="0071624C">
        <w:t>c</w:t>
      </w:r>
      <w:r w:rsidR="00E618FC">
        <w:t xml:space="preserve"> shows the PVT panels mounted on the </w:t>
      </w:r>
      <w:r w:rsidR="00B3695A">
        <w:t xml:space="preserve">test roof in the different configurations </w:t>
      </w:r>
      <w:r w:rsidR="00460D72">
        <w:t>with and without barriers.</w:t>
      </w:r>
      <w:r w:rsidR="00B3695A">
        <w:t xml:space="preserve"> </w:t>
      </w:r>
    </w:p>
    <w:p w14:paraId="3BFCFFBC" w14:textId="77777777" w:rsidR="00DA431D" w:rsidRDefault="00DA431D">
      <w:pPr>
        <w:rPr>
          <w:color w:val="000000"/>
          <w:sz w:val="20"/>
          <w:szCs w:val="22"/>
          <w:lang w:val="en-US"/>
        </w:rPr>
      </w:pPr>
      <w:r>
        <w:br w:type="page"/>
      </w:r>
    </w:p>
    <w:p w14:paraId="6FBC83E9" w14:textId="77777777" w:rsidR="00A43134" w:rsidRDefault="00A43134" w:rsidP="00A43134">
      <w:pPr>
        <w:pStyle w:val="SWCTex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3"/>
      </w:tblGrid>
      <w:tr w:rsidR="0053427F" w14:paraId="133FC60C" w14:textId="77777777" w:rsidTr="00DA431D">
        <w:trPr>
          <w:jc w:val="center"/>
        </w:trPr>
        <w:tc>
          <w:tcPr>
            <w:tcW w:w="3169" w:type="dxa"/>
          </w:tcPr>
          <w:p w14:paraId="16EA7900" w14:textId="645C61F8" w:rsidR="0053427F" w:rsidRDefault="0053427F" w:rsidP="00A43134">
            <w:pPr>
              <w:pStyle w:val="SWCText"/>
            </w:pPr>
            <w:r>
              <w:rPr>
                <w:noProof/>
              </w:rPr>
              <w:drawing>
                <wp:inline distT="0" distB="0" distL="0" distR="0" wp14:anchorId="355C9305" wp14:editId="388FF27B">
                  <wp:extent cx="3660321" cy="1686296"/>
                  <wp:effectExtent l="0" t="0" r="0" b="9525"/>
                  <wp:docPr id="1538521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434" t="13053" b="6477"/>
                          <a:stretch>
                            <a:fillRect/>
                          </a:stretch>
                        </pic:blipFill>
                        <pic:spPr bwMode="auto">
                          <a:xfrm>
                            <a:off x="0" y="0"/>
                            <a:ext cx="3819005" cy="175940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27F" w14:paraId="692AB3A3" w14:textId="77777777" w:rsidTr="00DA431D">
        <w:trPr>
          <w:jc w:val="center"/>
        </w:trPr>
        <w:tc>
          <w:tcPr>
            <w:tcW w:w="3169" w:type="dxa"/>
          </w:tcPr>
          <w:p w14:paraId="109D74CF" w14:textId="50303F18" w:rsidR="0053427F" w:rsidRDefault="0053427F" w:rsidP="00DA431D">
            <w:pPr>
              <w:pStyle w:val="SWCText"/>
              <w:jc w:val="center"/>
            </w:pPr>
            <w:r w:rsidRPr="000A7957">
              <w:rPr>
                <w:b/>
                <w:bCs/>
                <w:sz w:val="16"/>
                <w:szCs w:val="16"/>
              </w:rPr>
              <w:t xml:space="preserve">Fig. </w:t>
            </w:r>
            <w:r>
              <w:rPr>
                <w:b/>
                <w:bCs/>
                <w:sz w:val="16"/>
                <w:szCs w:val="16"/>
              </w:rPr>
              <w:t>3a</w:t>
            </w:r>
            <w:r w:rsidRPr="000A7957">
              <w:rPr>
                <w:b/>
                <w:bCs/>
                <w:sz w:val="16"/>
                <w:szCs w:val="16"/>
              </w:rPr>
              <w:t xml:space="preserve">: </w:t>
            </w:r>
            <w:r>
              <w:rPr>
                <w:b/>
                <w:bCs/>
                <w:sz w:val="16"/>
                <w:szCs w:val="16"/>
              </w:rPr>
              <w:t>PVT panel</w:t>
            </w:r>
            <w:r w:rsidR="00E53327">
              <w:rPr>
                <w:b/>
                <w:bCs/>
                <w:sz w:val="16"/>
                <w:szCs w:val="16"/>
              </w:rPr>
              <w:t>s</w:t>
            </w:r>
            <w:r>
              <w:rPr>
                <w:b/>
                <w:bCs/>
                <w:sz w:val="16"/>
                <w:szCs w:val="16"/>
              </w:rPr>
              <w:t xml:space="preserve"> without barrier</w:t>
            </w:r>
          </w:p>
        </w:tc>
      </w:tr>
      <w:tr w:rsidR="0053427F" w14:paraId="4D31CC72" w14:textId="77777777" w:rsidTr="00DA431D">
        <w:trPr>
          <w:jc w:val="center"/>
        </w:trPr>
        <w:tc>
          <w:tcPr>
            <w:tcW w:w="3169" w:type="dxa"/>
          </w:tcPr>
          <w:p w14:paraId="02DD82D9" w14:textId="1CC0E086" w:rsidR="0053427F" w:rsidRPr="000A7957" w:rsidRDefault="0053427F" w:rsidP="00E618FC">
            <w:pPr>
              <w:pStyle w:val="SWCText"/>
              <w:rPr>
                <w:b/>
                <w:bCs/>
                <w:sz w:val="16"/>
                <w:szCs w:val="16"/>
              </w:rPr>
            </w:pPr>
            <w:r w:rsidRPr="007879E0">
              <w:rPr>
                <w:noProof/>
              </w:rPr>
              <w:drawing>
                <wp:inline distT="0" distB="0" distL="0" distR="0" wp14:anchorId="2E7240A9" wp14:editId="628C9320">
                  <wp:extent cx="3660140" cy="1851397"/>
                  <wp:effectExtent l="0" t="0" r="0" b="0"/>
                  <wp:docPr id="690659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59271" name=""/>
                          <pic:cNvPicPr/>
                        </pic:nvPicPr>
                        <pic:blipFill rotWithShape="1">
                          <a:blip r:embed="rId14"/>
                          <a:srcRect l="7110" t="12037" b="9819"/>
                          <a:stretch>
                            <a:fillRect/>
                          </a:stretch>
                        </pic:blipFill>
                        <pic:spPr bwMode="auto">
                          <a:xfrm>
                            <a:off x="0" y="0"/>
                            <a:ext cx="3752653" cy="1898192"/>
                          </a:xfrm>
                          <a:prstGeom prst="rect">
                            <a:avLst/>
                          </a:prstGeom>
                          <a:ln>
                            <a:noFill/>
                          </a:ln>
                          <a:extLst>
                            <a:ext uri="{53640926-AAD7-44D8-BBD7-CCE9431645EC}">
                              <a14:shadowObscured xmlns:a14="http://schemas.microsoft.com/office/drawing/2010/main"/>
                            </a:ext>
                          </a:extLst>
                        </pic:spPr>
                      </pic:pic>
                    </a:graphicData>
                  </a:graphic>
                </wp:inline>
              </w:drawing>
            </w:r>
          </w:p>
        </w:tc>
      </w:tr>
      <w:tr w:rsidR="0053427F" w14:paraId="4245CB5F" w14:textId="77777777" w:rsidTr="00DA431D">
        <w:trPr>
          <w:jc w:val="center"/>
        </w:trPr>
        <w:tc>
          <w:tcPr>
            <w:tcW w:w="3169" w:type="dxa"/>
          </w:tcPr>
          <w:p w14:paraId="5A77A884" w14:textId="77BEB048" w:rsidR="0053427F" w:rsidRPr="000A7957" w:rsidRDefault="0053427F" w:rsidP="00DA431D">
            <w:pPr>
              <w:pStyle w:val="SWCText"/>
              <w:jc w:val="center"/>
              <w:rPr>
                <w:b/>
                <w:bCs/>
                <w:sz w:val="16"/>
                <w:szCs w:val="16"/>
              </w:rPr>
            </w:pPr>
            <w:r w:rsidRPr="000A7957">
              <w:rPr>
                <w:b/>
                <w:bCs/>
                <w:sz w:val="16"/>
                <w:szCs w:val="16"/>
              </w:rPr>
              <w:t xml:space="preserve">Fig. </w:t>
            </w:r>
            <w:r>
              <w:rPr>
                <w:b/>
                <w:bCs/>
                <w:sz w:val="16"/>
                <w:szCs w:val="16"/>
              </w:rPr>
              <w:t>3b</w:t>
            </w:r>
            <w:r w:rsidRPr="000A7957">
              <w:rPr>
                <w:b/>
                <w:bCs/>
                <w:sz w:val="16"/>
                <w:szCs w:val="16"/>
              </w:rPr>
              <w:t xml:space="preserve">: </w:t>
            </w:r>
            <w:r>
              <w:rPr>
                <w:b/>
                <w:bCs/>
                <w:sz w:val="16"/>
                <w:szCs w:val="16"/>
              </w:rPr>
              <w:t>PVT panel</w:t>
            </w:r>
            <w:r w:rsidR="00E53327">
              <w:rPr>
                <w:b/>
                <w:bCs/>
                <w:sz w:val="16"/>
                <w:szCs w:val="16"/>
              </w:rPr>
              <w:t>s</w:t>
            </w:r>
            <w:r>
              <w:rPr>
                <w:b/>
                <w:bCs/>
                <w:sz w:val="16"/>
                <w:szCs w:val="16"/>
              </w:rPr>
              <w:t xml:space="preserve"> with partly restricting barrier</w:t>
            </w:r>
          </w:p>
        </w:tc>
      </w:tr>
      <w:tr w:rsidR="0053427F" w14:paraId="7D207194" w14:textId="77777777" w:rsidTr="00DA431D">
        <w:trPr>
          <w:jc w:val="center"/>
        </w:trPr>
        <w:tc>
          <w:tcPr>
            <w:tcW w:w="3169" w:type="dxa"/>
          </w:tcPr>
          <w:p w14:paraId="4E7D5CD3" w14:textId="58BDBF81" w:rsidR="0053427F" w:rsidRPr="000A7957" w:rsidRDefault="0053427F" w:rsidP="0053427F">
            <w:pPr>
              <w:pStyle w:val="SWCText"/>
              <w:rPr>
                <w:b/>
                <w:bCs/>
                <w:sz w:val="16"/>
                <w:szCs w:val="16"/>
              </w:rPr>
            </w:pPr>
            <w:r>
              <w:rPr>
                <w:noProof/>
              </w:rPr>
              <w:drawing>
                <wp:inline distT="0" distB="0" distL="0" distR="0" wp14:anchorId="02689BBF" wp14:editId="67DC4DE9">
                  <wp:extent cx="3662173" cy="1597231"/>
                  <wp:effectExtent l="0" t="0" r="0" b="3175"/>
                  <wp:docPr id="336532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0852" b="4905"/>
                          <a:stretch>
                            <a:fillRect/>
                          </a:stretch>
                        </pic:blipFill>
                        <pic:spPr bwMode="auto">
                          <a:xfrm>
                            <a:off x="0" y="0"/>
                            <a:ext cx="3872062" cy="168877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53427F" w14:paraId="4DD03F40" w14:textId="77777777" w:rsidTr="00DA431D">
        <w:trPr>
          <w:jc w:val="center"/>
        </w:trPr>
        <w:tc>
          <w:tcPr>
            <w:tcW w:w="3169" w:type="dxa"/>
          </w:tcPr>
          <w:p w14:paraId="3C9619F3" w14:textId="7519445C" w:rsidR="0053427F" w:rsidRDefault="0053427F" w:rsidP="00DA431D">
            <w:pPr>
              <w:pStyle w:val="SWCText"/>
              <w:jc w:val="center"/>
              <w:rPr>
                <w:noProof/>
              </w:rPr>
            </w:pPr>
            <w:r w:rsidRPr="000A7957">
              <w:rPr>
                <w:b/>
                <w:bCs/>
                <w:sz w:val="16"/>
                <w:szCs w:val="16"/>
              </w:rPr>
              <w:t xml:space="preserve">Fig. </w:t>
            </w:r>
            <w:r>
              <w:rPr>
                <w:b/>
                <w:bCs/>
                <w:sz w:val="16"/>
                <w:szCs w:val="16"/>
              </w:rPr>
              <w:t>3c</w:t>
            </w:r>
            <w:r w:rsidRPr="000A7957">
              <w:rPr>
                <w:b/>
                <w:bCs/>
                <w:sz w:val="16"/>
                <w:szCs w:val="16"/>
              </w:rPr>
              <w:t xml:space="preserve">: </w:t>
            </w:r>
            <w:r>
              <w:rPr>
                <w:b/>
                <w:bCs/>
                <w:sz w:val="16"/>
                <w:szCs w:val="16"/>
              </w:rPr>
              <w:t>PVT panel</w:t>
            </w:r>
            <w:r w:rsidR="00E53327">
              <w:rPr>
                <w:b/>
                <w:bCs/>
                <w:sz w:val="16"/>
                <w:szCs w:val="16"/>
              </w:rPr>
              <w:t>s</w:t>
            </w:r>
            <w:r>
              <w:rPr>
                <w:b/>
                <w:bCs/>
                <w:sz w:val="16"/>
                <w:szCs w:val="16"/>
              </w:rPr>
              <w:t xml:space="preserve"> with fully restricting barrier</w:t>
            </w:r>
          </w:p>
        </w:tc>
      </w:tr>
    </w:tbl>
    <w:p w14:paraId="7893A6E8" w14:textId="77777777" w:rsidR="003701B7" w:rsidRDefault="003701B7" w:rsidP="00A43134">
      <w:pPr>
        <w:pStyle w:val="SWCText"/>
      </w:pPr>
    </w:p>
    <w:p w14:paraId="1D467668" w14:textId="4023B0C0" w:rsidR="000F48B3" w:rsidRPr="000F48B3" w:rsidRDefault="000F48B3" w:rsidP="000F48B3">
      <w:pPr>
        <w:pStyle w:val="SWCHeading11"/>
        <w:rPr>
          <w:rFonts w:ascii="Times New Roman" w:hAnsi="Times New Roman"/>
          <w:i w:val="0"/>
          <w:iCs/>
        </w:rPr>
      </w:pPr>
      <w:r w:rsidRPr="000F48B3">
        <w:rPr>
          <w:rFonts w:ascii="Times New Roman" w:hAnsi="Times New Roman"/>
          <w:i w:val="0"/>
          <w:iCs/>
        </w:rPr>
        <w:t>2.</w:t>
      </w:r>
      <w:r w:rsidR="001F6E4F">
        <w:rPr>
          <w:rFonts w:ascii="Times New Roman" w:hAnsi="Times New Roman"/>
          <w:i w:val="0"/>
          <w:iCs/>
        </w:rPr>
        <w:t>3</w:t>
      </w:r>
      <w:r w:rsidRPr="000F48B3">
        <w:rPr>
          <w:rFonts w:ascii="Times New Roman" w:hAnsi="Times New Roman"/>
          <w:i w:val="0"/>
          <w:iCs/>
        </w:rPr>
        <w:t>. Measurements</w:t>
      </w:r>
    </w:p>
    <w:p w14:paraId="333929F5" w14:textId="77777777" w:rsidR="000F48B3" w:rsidRPr="002447D9" w:rsidRDefault="000F48B3" w:rsidP="000F48B3">
      <w:pPr>
        <w:rPr>
          <w:sz w:val="20"/>
          <w:szCs w:val="20"/>
          <w:lang w:val="en-US"/>
        </w:rPr>
      </w:pPr>
      <w:r w:rsidRPr="002447D9">
        <w:rPr>
          <w:sz w:val="20"/>
          <w:szCs w:val="20"/>
          <w:lang w:val="en-US"/>
        </w:rPr>
        <w:t>The experimental setup included continuous monitoring of thermal and environmental parameters including:</w:t>
      </w:r>
    </w:p>
    <w:p w14:paraId="330B5BFE" w14:textId="4076B0F5" w:rsidR="000F48B3" w:rsidRPr="002447D9" w:rsidRDefault="000F48B3" w:rsidP="000F48B3">
      <w:pPr>
        <w:pStyle w:val="ListParagraph"/>
        <w:numPr>
          <w:ilvl w:val="0"/>
          <w:numId w:val="25"/>
        </w:numPr>
        <w:rPr>
          <w:sz w:val="20"/>
          <w:szCs w:val="20"/>
          <w:lang w:val="en-US"/>
        </w:rPr>
      </w:pPr>
      <w:r w:rsidRPr="002447D9">
        <w:rPr>
          <w:sz w:val="20"/>
          <w:szCs w:val="20"/>
          <w:lang w:val="en-US"/>
        </w:rPr>
        <w:t>Inlet and outlet temperatures measured using</w:t>
      </w:r>
      <w:r w:rsidR="00FA6C9F">
        <w:rPr>
          <w:sz w:val="20"/>
          <w:szCs w:val="20"/>
          <w:lang w:val="en-US"/>
        </w:rPr>
        <w:t xml:space="preserve"> calibrated</w:t>
      </w:r>
      <w:r w:rsidRPr="002447D9">
        <w:rPr>
          <w:sz w:val="20"/>
          <w:szCs w:val="20"/>
          <w:lang w:val="en-US"/>
        </w:rPr>
        <w:t xml:space="preserve"> PT100 sensors</w:t>
      </w:r>
      <w:r w:rsidR="00FA6C9F" w:rsidRPr="00FA6C9F">
        <w:t xml:space="preserve"> </w:t>
      </w:r>
      <w:r w:rsidR="00FA6C9F" w:rsidRPr="00FA6C9F">
        <w:rPr>
          <w:sz w:val="20"/>
          <w:szCs w:val="20"/>
          <w:lang w:val="en-US"/>
        </w:rPr>
        <w:t>(accuracy ±0.1 K)</w:t>
      </w:r>
    </w:p>
    <w:p w14:paraId="55D4FDC2" w14:textId="4F794613" w:rsidR="000F48B3" w:rsidRPr="002423D3" w:rsidRDefault="000F48B3" w:rsidP="002423D3">
      <w:pPr>
        <w:pStyle w:val="ListParagraph"/>
        <w:numPr>
          <w:ilvl w:val="0"/>
          <w:numId w:val="25"/>
        </w:numPr>
        <w:rPr>
          <w:sz w:val="20"/>
          <w:szCs w:val="20"/>
          <w:lang w:val="en-US"/>
        </w:rPr>
      </w:pPr>
      <w:r w:rsidRPr="002447D9">
        <w:rPr>
          <w:sz w:val="20"/>
          <w:szCs w:val="20"/>
          <w:lang w:val="en-US"/>
        </w:rPr>
        <w:t xml:space="preserve">Flow rate measured using </w:t>
      </w:r>
      <w:r w:rsidR="002423D3">
        <w:rPr>
          <w:sz w:val="20"/>
          <w:szCs w:val="20"/>
          <w:lang w:val="en-US"/>
        </w:rPr>
        <w:t xml:space="preserve">calibrated </w:t>
      </w:r>
      <w:proofErr w:type="spellStart"/>
      <w:r w:rsidRPr="002447D9">
        <w:rPr>
          <w:sz w:val="20"/>
          <w:szCs w:val="20"/>
          <w:lang w:val="en-US"/>
        </w:rPr>
        <w:t>Brunata</w:t>
      </w:r>
      <w:proofErr w:type="spellEnd"/>
      <w:r w:rsidRPr="002447D9">
        <w:rPr>
          <w:sz w:val="20"/>
          <w:szCs w:val="20"/>
          <w:lang w:val="en-US"/>
        </w:rPr>
        <w:t xml:space="preserve"> HGQ1-R0 electromagnetic flowmeters</w:t>
      </w:r>
      <w:r w:rsidR="002423D3">
        <w:rPr>
          <w:sz w:val="20"/>
          <w:szCs w:val="20"/>
          <w:lang w:val="en-US"/>
        </w:rPr>
        <w:t xml:space="preserve"> </w:t>
      </w:r>
      <w:r w:rsidR="002423D3" w:rsidRPr="002423D3">
        <w:rPr>
          <w:sz w:val="20"/>
          <w:szCs w:val="20"/>
          <w:lang w:val="en-US"/>
        </w:rPr>
        <w:t>(accuracy ±2%)</w:t>
      </w:r>
    </w:p>
    <w:p w14:paraId="6717D730" w14:textId="0A1252BE" w:rsidR="000F48B3" w:rsidRPr="00AB6927" w:rsidRDefault="000F48B3" w:rsidP="00AC5F3E">
      <w:pPr>
        <w:pStyle w:val="ListParagraph"/>
        <w:numPr>
          <w:ilvl w:val="0"/>
          <w:numId w:val="25"/>
        </w:numPr>
        <w:rPr>
          <w:sz w:val="20"/>
          <w:szCs w:val="20"/>
          <w:lang w:val="en-US"/>
        </w:rPr>
      </w:pPr>
      <w:r w:rsidRPr="002447D9">
        <w:rPr>
          <w:sz w:val="20"/>
          <w:szCs w:val="20"/>
          <w:lang w:val="en-US"/>
        </w:rPr>
        <w:t>Solar irradiance measured using a</w:t>
      </w:r>
      <w:r w:rsidR="00AC5F3E">
        <w:rPr>
          <w:sz w:val="20"/>
          <w:szCs w:val="20"/>
          <w:lang w:val="en-US"/>
        </w:rPr>
        <w:t xml:space="preserve"> </w:t>
      </w:r>
      <w:r w:rsidR="00AC5F3E" w:rsidRPr="00AC5F3E">
        <w:rPr>
          <w:sz w:val="20"/>
          <w:szCs w:val="20"/>
          <w:lang w:val="en-US"/>
        </w:rPr>
        <w:t>Class A</w:t>
      </w:r>
      <w:r w:rsidR="00BE7F93">
        <w:rPr>
          <w:sz w:val="20"/>
          <w:szCs w:val="20"/>
          <w:lang w:val="en-US"/>
        </w:rPr>
        <w:t xml:space="preserve"> </w:t>
      </w:r>
      <w:r w:rsidR="00BE7F93" w:rsidRPr="00BE7F93">
        <w:rPr>
          <w:sz w:val="20"/>
          <w:szCs w:val="20"/>
          <w:lang w:val="en-US"/>
        </w:rPr>
        <w:t xml:space="preserve">Kipp &amp; </w:t>
      </w:r>
      <w:proofErr w:type="spellStart"/>
      <w:r w:rsidR="00BE7F93" w:rsidRPr="00BE7F93">
        <w:rPr>
          <w:sz w:val="20"/>
          <w:szCs w:val="20"/>
          <w:lang w:val="en-US"/>
        </w:rPr>
        <w:t>Zonen</w:t>
      </w:r>
      <w:proofErr w:type="spellEnd"/>
      <w:r w:rsidR="00BE7F93" w:rsidRPr="00BE7F93">
        <w:rPr>
          <w:sz w:val="20"/>
          <w:szCs w:val="20"/>
          <w:lang w:val="en-US"/>
        </w:rPr>
        <w:t xml:space="preserve"> CMP11</w:t>
      </w:r>
      <w:r w:rsidR="00AC5F3E" w:rsidRPr="00AC5F3E">
        <w:rPr>
          <w:sz w:val="20"/>
          <w:szCs w:val="20"/>
          <w:lang w:val="en-US"/>
        </w:rPr>
        <w:t xml:space="preserve"> pyranometer</w:t>
      </w:r>
      <w:r w:rsidR="001C5438">
        <w:rPr>
          <w:sz w:val="20"/>
          <w:szCs w:val="20"/>
          <w:lang w:val="en-US"/>
        </w:rPr>
        <w:t xml:space="preserve"> </w:t>
      </w:r>
      <w:r w:rsidR="001C5438" w:rsidRPr="002423D3">
        <w:rPr>
          <w:sz w:val="20"/>
          <w:szCs w:val="20"/>
          <w:lang w:val="en-US"/>
        </w:rPr>
        <w:t>(accuracy ±</w:t>
      </w:r>
      <w:r w:rsidR="001C5438">
        <w:rPr>
          <w:sz w:val="20"/>
          <w:szCs w:val="20"/>
          <w:lang w:val="en-US"/>
        </w:rPr>
        <w:t>3</w:t>
      </w:r>
      <w:r w:rsidR="001C5438" w:rsidRPr="002423D3">
        <w:rPr>
          <w:sz w:val="20"/>
          <w:szCs w:val="20"/>
          <w:lang w:val="en-US"/>
        </w:rPr>
        <w:t>%)</w:t>
      </w:r>
    </w:p>
    <w:p w14:paraId="18A732DE" w14:textId="47622C1C" w:rsidR="000F48B3" w:rsidRPr="002447D9" w:rsidRDefault="000F48B3" w:rsidP="000F48B3">
      <w:pPr>
        <w:pStyle w:val="ListParagraph"/>
        <w:numPr>
          <w:ilvl w:val="0"/>
          <w:numId w:val="25"/>
        </w:numPr>
        <w:rPr>
          <w:sz w:val="20"/>
          <w:szCs w:val="20"/>
          <w:lang w:val="en-US"/>
        </w:rPr>
      </w:pPr>
      <w:r w:rsidRPr="002447D9">
        <w:rPr>
          <w:sz w:val="20"/>
          <w:szCs w:val="20"/>
          <w:lang w:val="en-US"/>
        </w:rPr>
        <w:t xml:space="preserve">Long-wave radiation measured using a </w:t>
      </w:r>
      <w:r w:rsidR="001E4F28" w:rsidRPr="00BE7F93">
        <w:rPr>
          <w:sz w:val="20"/>
          <w:szCs w:val="20"/>
          <w:lang w:val="en-US"/>
        </w:rPr>
        <w:t xml:space="preserve">Kipp &amp; </w:t>
      </w:r>
      <w:proofErr w:type="spellStart"/>
      <w:r w:rsidR="001E4F28" w:rsidRPr="00BE7F93">
        <w:rPr>
          <w:sz w:val="20"/>
          <w:szCs w:val="20"/>
          <w:lang w:val="en-US"/>
        </w:rPr>
        <w:t>Zonen</w:t>
      </w:r>
      <w:proofErr w:type="spellEnd"/>
      <w:r w:rsidR="001E4F28" w:rsidRPr="002447D9">
        <w:rPr>
          <w:sz w:val="20"/>
          <w:szCs w:val="20"/>
          <w:lang w:val="en-US"/>
        </w:rPr>
        <w:t xml:space="preserve"> </w:t>
      </w:r>
      <w:r w:rsidR="001E4F28">
        <w:rPr>
          <w:sz w:val="20"/>
          <w:szCs w:val="20"/>
          <w:lang w:val="en-US"/>
        </w:rPr>
        <w:t xml:space="preserve">CG1 </w:t>
      </w:r>
      <w:r w:rsidRPr="002447D9">
        <w:rPr>
          <w:sz w:val="20"/>
          <w:szCs w:val="20"/>
          <w:lang w:val="en-US"/>
        </w:rPr>
        <w:t>pyrgeometer</w:t>
      </w:r>
      <w:r w:rsidR="001C5438">
        <w:rPr>
          <w:sz w:val="20"/>
          <w:szCs w:val="20"/>
          <w:lang w:val="en-US"/>
        </w:rPr>
        <w:t xml:space="preserve"> </w:t>
      </w:r>
      <w:r w:rsidR="001C5438" w:rsidRPr="002423D3">
        <w:rPr>
          <w:sz w:val="20"/>
          <w:szCs w:val="20"/>
          <w:lang w:val="en-US"/>
        </w:rPr>
        <w:t>(accuracy ±</w:t>
      </w:r>
      <w:r w:rsidR="001C5438">
        <w:rPr>
          <w:sz w:val="20"/>
          <w:szCs w:val="20"/>
          <w:lang w:val="en-US"/>
        </w:rPr>
        <w:t>5</w:t>
      </w:r>
      <w:r w:rsidR="001C5438" w:rsidRPr="002423D3">
        <w:rPr>
          <w:sz w:val="20"/>
          <w:szCs w:val="20"/>
          <w:lang w:val="en-US"/>
        </w:rPr>
        <w:t>%)</w:t>
      </w:r>
    </w:p>
    <w:p w14:paraId="61572DBD" w14:textId="7AF4A6C3" w:rsidR="000F48B3" w:rsidRPr="002447D9" w:rsidRDefault="000F48B3" w:rsidP="000F48B3">
      <w:pPr>
        <w:pStyle w:val="ListParagraph"/>
        <w:numPr>
          <w:ilvl w:val="0"/>
          <w:numId w:val="25"/>
        </w:numPr>
        <w:rPr>
          <w:sz w:val="20"/>
          <w:szCs w:val="20"/>
          <w:lang w:val="en-US"/>
        </w:rPr>
      </w:pPr>
      <w:r w:rsidRPr="002447D9">
        <w:rPr>
          <w:sz w:val="20"/>
          <w:szCs w:val="20"/>
          <w:lang w:val="en-US"/>
        </w:rPr>
        <w:t>Wind speed and direction measured using a</w:t>
      </w:r>
      <w:r w:rsidR="004D6D80">
        <w:rPr>
          <w:sz w:val="20"/>
          <w:szCs w:val="20"/>
          <w:lang w:val="en-US"/>
        </w:rPr>
        <w:t xml:space="preserve"> </w:t>
      </w:r>
      <w:proofErr w:type="spellStart"/>
      <w:r w:rsidR="004D6D80">
        <w:rPr>
          <w:sz w:val="20"/>
          <w:szCs w:val="20"/>
          <w:lang w:val="en-US"/>
        </w:rPr>
        <w:t>Wind</w:t>
      </w:r>
      <w:r w:rsidR="00752AE4">
        <w:rPr>
          <w:sz w:val="20"/>
          <w:szCs w:val="20"/>
          <w:lang w:val="en-US"/>
        </w:rPr>
        <w:t>Sonic</w:t>
      </w:r>
      <w:proofErr w:type="spellEnd"/>
      <w:r w:rsidR="00752AE4">
        <w:rPr>
          <w:sz w:val="20"/>
          <w:szCs w:val="20"/>
          <w:lang w:val="en-US"/>
        </w:rPr>
        <w:t xml:space="preserve"> </w:t>
      </w:r>
      <w:r w:rsidRPr="002447D9">
        <w:rPr>
          <w:sz w:val="20"/>
          <w:szCs w:val="20"/>
          <w:lang w:val="en-US"/>
        </w:rPr>
        <w:t xml:space="preserve">ultrasonic wind sensor </w:t>
      </w:r>
      <w:r w:rsidR="00752AE4">
        <w:rPr>
          <w:sz w:val="20"/>
          <w:szCs w:val="20"/>
          <w:lang w:val="en-US"/>
        </w:rPr>
        <w:t>from Gill instruments.</w:t>
      </w:r>
      <w:r w:rsidR="00287E23">
        <w:rPr>
          <w:sz w:val="20"/>
          <w:szCs w:val="20"/>
          <w:lang w:val="en-US"/>
        </w:rPr>
        <w:t xml:space="preserve"> </w:t>
      </w:r>
      <w:r w:rsidR="00287E23" w:rsidRPr="002423D3">
        <w:rPr>
          <w:sz w:val="20"/>
          <w:szCs w:val="20"/>
          <w:lang w:val="en-US"/>
        </w:rPr>
        <w:t>(accuracy 2%</w:t>
      </w:r>
      <w:r w:rsidR="00287E23">
        <w:rPr>
          <w:sz w:val="20"/>
          <w:szCs w:val="20"/>
          <w:lang w:val="en-US"/>
        </w:rPr>
        <w:t xml:space="preserve"> RMSE at 12 m/s</w:t>
      </w:r>
      <w:r w:rsidR="00287E23" w:rsidRPr="002423D3">
        <w:rPr>
          <w:sz w:val="20"/>
          <w:szCs w:val="20"/>
          <w:lang w:val="en-US"/>
        </w:rPr>
        <w:t>)</w:t>
      </w:r>
    </w:p>
    <w:p w14:paraId="68828340" w14:textId="2A2B228D" w:rsidR="000F48B3" w:rsidRPr="000464A6" w:rsidRDefault="000F48B3" w:rsidP="000464A6">
      <w:pPr>
        <w:pStyle w:val="ListParagraph"/>
        <w:numPr>
          <w:ilvl w:val="0"/>
          <w:numId w:val="25"/>
        </w:numPr>
        <w:rPr>
          <w:sz w:val="20"/>
          <w:szCs w:val="20"/>
          <w:lang w:val="en-US"/>
        </w:rPr>
      </w:pPr>
      <w:r w:rsidRPr="0086458C">
        <w:rPr>
          <w:sz w:val="20"/>
          <w:szCs w:val="20"/>
          <w:lang w:val="en-US"/>
        </w:rPr>
        <w:t>Roof surface temperatures were measured using Type TT thermocouples mounted on the roof surface with clips</w:t>
      </w:r>
      <w:r w:rsidR="000464A6">
        <w:rPr>
          <w:sz w:val="20"/>
          <w:szCs w:val="20"/>
          <w:lang w:val="en-US"/>
        </w:rPr>
        <w:t xml:space="preserve"> </w:t>
      </w:r>
      <w:r w:rsidR="000464A6" w:rsidRPr="000464A6">
        <w:rPr>
          <w:sz w:val="20"/>
          <w:szCs w:val="20"/>
          <w:lang w:val="en-US"/>
        </w:rPr>
        <w:t>(accuracy ±0.5 K)</w:t>
      </w:r>
      <w:r w:rsidRPr="000464A6">
        <w:rPr>
          <w:sz w:val="20"/>
          <w:szCs w:val="20"/>
          <w:lang w:val="en-US"/>
        </w:rPr>
        <w:t>.</w:t>
      </w:r>
    </w:p>
    <w:p w14:paraId="129C9D2D" w14:textId="77777777" w:rsidR="000F48B3" w:rsidRDefault="000F48B3" w:rsidP="000F48B3">
      <w:pPr>
        <w:pStyle w:val="SWCText"/>
      </w:pPr>
    </w:p>
    <w:p w14:paraId="6A751DFE" w14:textId="3DCA2DAC" w:rsidR="00C43AFE" w:rsidRDefault="00C43AFE" w:rsidP="00CD1E91">
      <w:pPr>
        <w:pStyle w:val="SWCText"/>
      </w:pPr>
      <w:r>
        <w:t>2.</w:t>
      </w:r>
      <w:r w:rsidR="001F6E4F">
        <w:t>4</w:t>
      </w:r>
      <w:r>
        <w:t xml:space="preserve"> Performance evaluation</w:t>
      </w:r>
    </w:p>
    <w:p w14:paraId="34353FDA" w14:textId="0DB78EEC" w:rsidR="00EC6A88" w:rsidRDefault="00CD1E91" w:rsidP="006468BD">
      <w:pPr>
        <w:pStyle w:val="SWCText"/>
      </w:pPr>
      <w:r>
        <w:t>The thermal performance of the collectors was evaluated using the quasi-dynamic test (QDT) method according to ISO 9806:20</w:t>
      </w:r>
      <w:r w:rsidR="002E5297">
        <w:t>25</w:t>
      </w:r>
      <w:r>
        <w:t xml:space="preserve">. Collector efficiency coefficients were determined through regression analysis based on the </w:t>
      </w:r>
      <w:r>
        <w:lastRenderedPageBreak/>
        <w:t>measured data.</w:t>
      </w:r>
      <w:r w:rsidR="00B53B9D">
        <w:t xml:space="preserve"> The </w:t>
      </w:r>
      <w:r w:rsidR="006468BD">
        <w:t xml:space="preserve">thermal performance coefficients, including the </w:t>
      </w:r>
      <w:r w:rsidR="006244BA">
        <w:t>peak collector</w:t>
      </w:r>
      <w:r w:rsidR="006468BD">
        <w:t xml:space="preserve"> efficiency and heat loss coefficients, were derived for each configuration. Only statistically significant coefficients were retained based on standard </w:t>
      </w:r>
      <w:r w:rsidR="006468BD" w:rsidRPr="00F24C83">
        <w:t>significance criteria.</w:t>
      </w:r>
      <w:r w:rsidR="007471EA" w:rsidRPr="00F24C83">
        <w:t xml:space="preserve"> </w:t>
      </w:r>
      <w:r w:rsidR="00F71E52">
        <w:t xml:space="preserve">Equation 1 shows the </w:t>
      </w:r>
      <w:r w:rsidR="00CA2FBA">
        <w:t xml:space="preserve">applied formula. </w:t>
      </w:r>
    </w:p>
    <w:p w14:paraId="605C2875" w14:textId="4C739087" w:rsidR="00BF1D3E" w:rsidRPr="00F24C83" w:rsidRDefault="001463DF" w:rsidP="00456FF6">
      <w:pPr>
        <w:pStyle w:val="SWCText"/>
        <w:jc w:val="center"/>
      </w:pPr>
      <m:oMath>
        <m:acc>
          <m:accPr>
            <m:chr m:val="̇"/>
            <m:ctrlPr>
              <w:rPr>
                <w:rFonts w:ascii="Cambria Math" w:hAnsi="Cambria Math"/>
                <w:i/>
                <w:iCs/>
                <w:lang w:val="en-GB"/>
              </w:rPr>
            </m:ctrlPr>
          </m:accPr>
          <m:e>
            <m:r>
              <w:rPr>
                <w:rFonts w:ascii="Cambria Math" w:hAnsi="Cambria Math"/>
                <w:lang w:val="en-GB"/>
              </w:rPr>
              <m:t>Q</m:t>
            </m:r>
          </m:e>
        </m:acc>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G</m:t>
            </m:r>
          </m:sub>
        </m:sSub>
        <m:d>
          <m:dPr>
            <m:begChr m:val="["/>
            <m:endChr m:val="]"/>
            <m:ctrlPr>
              <w:rPr>
                <w:rFonts w:ascii="Cambria Math" w:hAnsi="Cambria Math"/>
                <w:i/>
                <w:iCs/>
                <w:lang w:val="en-GB"/>
              </w:rPr>
            </m:ctrlPr>
          </m:dPr>
          <m:e>
            <m:eqArr>
              <m:eqArrPr>
                <m:ctrlPr>
                  <w:rPr>
                    <w:rFonts w:ascii="Cambria Math" w:hAnsi="Cambria Math"/>
                    <w:i/>
                    <w:iCs/>
                    <w:lang w:val="en-GB"/>
                  </w:rPr>
                </m:ctrlPr>
              </m:eqArrPr>
              <m:e>
                <m:sSub>
                  <m:sSubPr>
                    <m:ctrlPr>
                      <w:rPr>
                        <w:rFonts w:ascii="Cambria Math" w:hAnsi="Cambria Math"/>
                        <w:i/>
                        <w:iCs/>
                        <w:lang w:val="en-GB"/>
                      </w:rPr>
                    </m:ctrlPr>
                  </m:sSubPr>
                  <m:e>
                    <m:r>
                      <w:rPr>
                        <w:rFonts w:ascii="Cambria Math" w:hAnsi="Cambria Math"/>
                        <w:lang w:val="en-GB"/>
                      </w:rPr>
                      <m:t>η</m:t>
                    </m:r>
                  </m:e>
                  <m:sub>
                    <m:r>
                      <w:rPr>
                        <w:rFonts w:ascii="Cambria Math" w:hAnsi="Cambria Math"/>
                      </w:rPr>
                      <m:t>0,</m:t>
                    </m:r>
                    <m:r>
                      <w:rPr>
                        <w:rFonts w:ascii="Cambria Math" w:hAnsi="Cambria Math"/>
                        <w:lang w:val="en-GB"/>
                      </w:rPr>
                      <m:t>b</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K</m:t>
                    </m:r>
                  </m:e>
                  <m:sub>
                    <m:r>
                      <w:rPr>
                        <w:rFonts w:ascii="Cambria Math" w:hAnsi="Cambria Math"/>
                        <w:lang w:val="en-GB"/>
                      </w:rPr>
                      <m:t>b</m:t>
                    </m:r>
                  </m:sub>
                </m:sSub>
                <m:d>
                  <m:dPr>
                    <m:ctrlPr>
                      <w:rPr>
                        <w:rFonts w:ascii="Cambria Math" w:hAnsi="Cambria Math"/>
                        <w:i/>
                        <w:lang w:val="en-GB"/>
                      </w:rPr>
                    </m:ctrlPr>
                  </m:dPr>
                  <m:e>
                    <m:r>
                      <w:rPr>
                        <w:rFonts w:ascii="Cambria Math" w:hAnsi="Cambria Math"/>
                        <w:lang w:val="en-GB"/>
                      </w:rPr>
                      <m:t>θ</m:t>
                    </m:r>
                  </m:e>
                </m:d>
                <m:r>
                  <w:rPr>
                    <w:rFonts w:ascii="Cambria Math" w:hAnsi="Cambria Math"/>
                  </w:rPr>
                  <m:t>⋅</m:t>
                </m:r>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b</m:t>
                    </m:r>
                  </m:sub>
                </m:sSub>
                <m:r>
                  <w:rPr>
                    <w:rFonts w:ascii="Cambria Math" w:hAnsi="Cambria Math"/>
                  </w:rPr>
                  <m:t>+</m:t>
                </m:r>
                <m:sSub>
                  <m:sSubPr>
                    <m:ctrlPr>
                      <w:rPr>
                        <w:rFonts w:ascii="Cambria Math" w:hAnsi="Cambria Math"/>
                        <w:i/>
                        <w:lang w:val="en-GB"/>
                      </w:rPr>
                    </m:ctrlPr>
                  </m:sSubPr>
                  <m:e>
                    <m:r>
                      <w:rPr>
                        <w:rFonts w:ascii="Cambria Math" w:hAnsi="Cambria Math"/>
                        <w:lang w:val="en-GB"/>
                      </w:rPr>
                      <m:t>η</m:t>
                    </m:r>
                  </m:e>
                  <m:sub>
                    <m:r>
                      <w:rPr>
                        <w:rFonts w:ascii="Cambria Math" w:hAnsi="Cambria Math"/>
                      </w:rPr>
                      <m:t>0,</m:t>
                    </m:r>
                    <m:r>
                      <w:rPr>
                        <w:rFonts w:ascii="Cambria Math" w:hAnsi="Cambria Math"/>
                        <w:lang w:val="en-GB"/>
                      </w:rPr>
                      <m:t>b</m:t>
                    </m:r>
                  </m:sub>
                </m:sSub>
                <m:r>
                  <w:rPr>
                    <w:rFonts w:ascii="Cambria Math" w:hAnsi="Cambria Math"/>
                  </w:rPr>
                  <m:t>⋅</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d</m:t>
                    </m:r>
                  </m:sub>
                </m:sSub>
                <m:r>
                  <w:rPr>
                    <w:rFonts w:ascii="Cambria Math" w:hAnsi="Cambria Math"/>
                  </w:rPr>
                  <m:t>⋅</m:t>
                </m:r>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d</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rPr>
                      <m:t>1</m:t>
                    </m:r>
                  </m:sub>
                </m:sSub>
                <m:r>
                  <w:rPr>
                    <w:rFonts w:ascii="Cambria Math" w:hAnsi="Cambria Math"/>
                  </w:rPr>
                  <m:t>⋅</m:t>
                </m:r>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rPr>
                  <m:t>-</m:t>
                </m:r>
                <w:bookmarkStart w:id="0" w:name="_Hlk194589318"/>
                <m:sSub>
                  <m:sSubPr>
                    <m:ctrlPr>
                      <w:rPr>
                        <w:rFonts w:ascii="Cambria Math" w:hAnsi="Cambria Math"/>
                        <w:i/>
                        <w:iCs/>
                        <w:lang w:val="en-GB"/>
                      </w:rPr>
                    </m:ctrlPr>
                  </m:sSubPr>
                  <m:e>
                    <m:r>
                      <w:rPr>
                        <w:rFonts w:ascii="Cambria Math" w:hAnsi="Cambria Math"/>
                        <w:lang w:val="en-GB"/>
                      </w:rPr>
                      <m:t>a</m:t>
                    </m:r>
                  </m:e>
                  <m:sub>
                    <m:r>
                      <w:rPr>
                        <w:rFonts w:ascii="Cambria Math" w:hAnsi="Cambria Math"/>
                      </w:rPr>
                      <m:t>2</m:t>
                    </m:r>
                  </m:sub>
                </m:sSub>
                <m:r>
                  <w:rPr>
                    <w:rFonts w:ascii="Cambria Math" w:hAnsi="Cambria Math"/>
                  </w:rPr>
                  <m:t>⋅</m:t>
                </m:r>
                <w:bookmarkEnd w:id="0"/>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i/>
                    <w:iCs/>
                    <w:lang w:val="en-GB"/>
                  </w:rPr>
                  <w:sym w:font="Symbol" w:char="F0D7"/>
                </m:r>
                <m:r>
                  <w:rPr>
                    <w:rFonts w:ascii="Cambria Math" w:hAnsi="Cambria Math"/>
                    <w:lang w:val="en-GB"/>
                  </w:rPr>
                  <m:t xml:space="preserve"> abs</m:t>
                </m:r>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en-GB"/>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ctrlPr>
                  <w:rPr>
                    <w:rFonts w:ascii="Cambria Math" w:hAnsi="Cambria Math"/>
                    <w:i/>
                    <w:lang w:val="en-GB"/>
                  </w:rPr>
                </m:ctrlPr>
              </m:e>
              <m:e>
                <m:r>
                  <w:rPr>
                    <w:rFonts w:ascii="Cambria Math" w:hAnsi="Cambria Math"/>
                  </w:rPr>
                  <m:t>-</m:t>
                </m:r>
                <m:sSub>
                  <m:sSubPr>
                    <m:ctrlPr>
                      <w:rPr>
                        <w:rFonts w:ascii="Cambria Math" w:hAnsi="Cambria Math"/>
                        <w:i/>
                        <w:lang w:val="en-GB"/>
                      </w:rPr>
                    </m:ctrlPr>
                  </m:sSubPr>
                  <m:e>
                    <m:r>
                      <w:rPr>
                        <w:rFonts w:ascii="Cambria Math" w:hAnsi="Cambria Math"/>
                        <w:lang w:val="en-GB"/>
                      </w:rPr>
                      <m:t>a</m:t>
                    </m:r>
                  </m:e>
                  <m:sub>
                    <m:r>
                      <w:rPr>
                        <w:rFonts w:ascii="Cambria Math" w:hAnsi="Cambria Math"/>
                      </w:rPr>
                      <m:t>3</m:t>
                    </m:r>
                  </m:sub>
                </m:sSub>
                <m:r>
                  <w:rPr>
                    <w:rFonts w:ascii="Cambria Math" w:hAnsi="Cambria Math"/>
                  </w:rPr>
                  <m:t>⋅</m:t>
                </m:r>
                <m:r>
                  <w:rPr>
                    <w:rFonts w:ascii="Cambria Math" w:hAnsi="Cambria Math"/>
                    <w:lang w:val="en-GB"/>
                  </w:rPr>
                  <m:t>u</m:t>
                </m:r>
                <m:r>
                  <w:rPr>
                    <w:rFonts w:ascii="Cambria Math" w:hAnsi="Cambria Math"/>
                  </w:rPr>
                  <m:t>⋅</m:t>
                </m:r>
                <m:d>
                  <m:dPr>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rPr>
                      <m:t>-</m:t>
                    </m:r>
                    <m:sSub>
                      <m:sSubPr>
                        <m:ctrlPr>
                          <w:rPr>
                            <w:rFonts w:ascii="Cambria Math" w:hAnsi="Cambria Math"/>
                            <w:i/>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lang w:val="en-GB"/>
                  </w:rPr>
                  <m:t xml:space="preserve"> </m:t>
                </m:r>
                <m:sSub>
                  <m:sSubPr>
                    <m:ctrlPr>
                      <w:rPr>
                        <w:rFonts w:ascii="Cambria Math" w:hAnsi="Cambria Math"/>
                        <w:i/>
                      </w:rPr>
                    </m:ctrlPr>
                  </m:sSubPr>
                  <m:e>
                    <m:r>
                      <w:rPr>
                        <w:rFonts w:ascii="Cambria Math" w:hAnsi="Cambria Math"/>
                      </w:rPr>
                      <m:t>+ a</m:t>
                    </m:r>
                  </m:e>
                  <m:sub>
                    <m:r>
                      <w:rPr>
                        <w:rFonts w:ascii="Cambria Math" w:hAnsi="Cambria Math"/>
                      </w:rPr>
                      <m:t>4</m:t>
                    </m:r>
                  </m:sub>
                </m:sSub>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L</m:t>
                        </m:r>
                      </m:sub>
                    </m:sSub>
                    <m:r>
                      <w:rPr>
                        <w:rFonts w:ascii="Cambria Math" w:hAnsi="Cambria Math"/>
                      </w:rPr>
                      <m:t>-σ</m:t>
                    </m:r>
                    <m:sSubSup>
                      <m:sSubSupPr>
                        <m:ctrlPr>
                          <w:rPr>
                            <w:rFonts w:ascii="Cambria Math" w:hAnsi="Cambria Math"/>
                            <w:i/>
                          </w:rPr>
                        </m:ctrlPr>
                      </m:sSubSupPr>
                      <m:e>
                        <m:r>
                          <w:rPr>
                            <w:rFonts w:ascii="Cambria Math" w:hAnsi="Cambria Math"/>
                          </w:rPr>
                          <m:t>T</m:t>
                        </m:r>
                      </m:e>
                      <m:sub>
                        <m:r>
                          <w:rPr>
                            <w:rFonts w:ascii="Cambria Math" w:hAnsi="Cambria Math"/>
                          </w:rPr>
                          <m:t>m</m:t>
                        </m:r>
                      </m:sub>
                      <m:sup>
                        <m:r>
                          <w:rPr>
                            <w:rFonts w:ascii="Cambria Math" w:hAnsi="Cambria Math"/>
                          </w:rPr>
                          <m:t>4</m:t>
                        </m:r>
                      </m:sup>
                    </m:sSubSup>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d>
                  <m:dPr>
                    <m:ctrlPr>
                      <w:rPr>
                        <w:rFonts w:ascii="Cambria Math" w:hAnsi="Cambria Math"/>
                        <w:i/>
                      </w:rPr>
                    </m:ctrlPr>
                  </m:dPr>
                  <m:e>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/dt</m:t>
                    </m:r>
                  </m:e>
                </m:d>
                <m:r>
                  <w:rPr>
                    <w:rFonts w:ascii="Cambria Math" w:hAnsi="Cambria Math"/>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rPr>
                      <m:t>6</m:t>
                    </m:r>
                  </m:sub>
                </m:sSub>
                <m:r>
                  <w:rPr>
                    <w:rFonts w:ascii="Cambria Math" w:hAnsi="Cambria Math"/>
                  </w:rPr>
                  <m:t>⋅</m:t>
                </m:r>
                <m:r>
                  <w:rPr>
                    <w:rFonts w:ascii="Cambria Math" w:hAnsi="Cambria Math"/>
                    <w:lang w:val="en-GB"/>
                  </w:rPr>
                  <m:t>u</m:t>
                </m:r>
                <m:r>
                  <w:rPr>
                    <w:rFonts w:ascii="Cambria Math" w:hAnsi="Cambria Math"/>
                  </w:rPr>
                  <m:t>⋅</m:t>
                </m:r>
                <m:d>
                  <m:dPr>
                    <m:ctrlPr>
                      <w:rPr>
                        <w:rFonts w:ascii="Cambria Math" w:hAnsi="Cambria Math"/>
                        <w:i/>
                        <w:lang w:val="en-GB"/>
                      </w:rPr>
                    </m:ctrlPr>
                  </m:dPr>
                  <m:e>
                    <m:sSub>
                      <m:sSubPr>
                        <m:ctrlPr>
                          <w:rPr>
                            <w:rFonts w:ascii="Cambria Math" w:hAnsi="Cambria Math"/>
                            <w:i/>
                            <w:iCs/>
                            <w:lang w:val="en-GB"/>
                          </w:rPr>
                        </m:ctrlPr>
                      </m:sSubPr>
                      <m:e>
                        <m:r>
                          <w:rPr>
                            <w:rFonts w:ascii="Cambria Math" w:hAnsi="Cambria Math"/>
                            <w:lang w:val="en-GB"/>
                          </w:rPr>
                          <m:t>G</m:t>
                        </m:r>
                      </m:e>
                      <m:sub>
                        <m:r>
                          <w:rPr>
                            <w:rFonts w:ascii="Cambria Math" w:hAnsi="Cambria Math"/>
                            <w:lang w:val="en-GB"/>
                          </w:rPr>
                          <m:t>b</m:t>
                        </m:r>
                      </m:sub>
                    </m:sSub>
                    <m:r>
                      <w:rPr>
                        <w:rFonts w:ascii="Cambria Math" w:hAnsi="Cambria Math"/>
                      </w:rPr>
                      <m:t>+</m:t>
                    </m:r>
                    <m:sSub>
                      <m:sSubPr>
                        <m:ctrlPr>
                          <w:rPr>
                            <w:rFonts w:ascii="Cambria Math" w:hAnsi="Cambria Math"/>
                            <w:i/>
                            <w:iCs/>
                            <w:lang w:val="en-GB"/>
                          </w:rPr>
                        </m:ctrlPr>
                      </m:sSubPr>
                      <m:e>
                        <m:r>
                          <w:rPr>
                            <w:rFonts w:ascii="Cambria Math" w:hAnsi="Cambria Math"/>
                            <w:lang w:val="en-GB"/>
                          </w:rPr>
                          <m:t>G</m:t>
                        </m:r>
                      </m:e>
                      <m:sub>
                        <m:r>
                          <w:rPr>
                            <w:rFonts w:ascii="Cambria Math" w:hAnsi="Cambria Math"/>
                            <w:lang w:val="en-GB"/>
                          </w:rPr>
                          <m:t>d</m:t>
                        </m:r>
                      </m:sub>
                    </m:sSub>
                  </m:e>
                </m:d>
              </m:e>
            </m:eqArr>
          </m:e>
        </m:d>
      </m:oMath>
      <w:r w:rsidR="00F71E52">
        <w:rPr>
          <w:iCs/>
          <w:lang w:val="en-GB"/>
        </w:rPr>
        <w:t xml:space="preserve">     </w:t>
      </w:r>
      <w:r w:rsidR="00814A2C">
        <w:rPr>
          <w:iCs/>
          <w:lang w:val="en-GB"/>
        </w:rPr>
        <w:t>(</w:t>
      </w:r>
      <w:r w:rsidR="00421228">
        <w:rPr>
          <w:iCs/>
          <w:lang w:val="en-GB"/>
        </w:rPr>
        <w:t>eq. 1</w:t>
      </w:r>
      <w:r w:rsidR="00814A2C">
        <w:rPr>
          <w:iCs/>
          <w:lang w:val="en-GB"/>
        </w:rPr>
        <w:t>)</w:t>
      </w:r>
    </w:p>
    <w:p w14:paraId="5C89FF85" w14:textId="735F2FC6" w:rsidR="00144430" w:rsidRDefault="00144430" w:rsidP="00CD1E91">
      <w:pPr>
        <w:pStyle w:val="SWCText"/>
        <w:rPr>
          <w:lang w:val="de-DE"/>
        </w:rPr>
      </w:pPr>
      <w:r w:rsidRPr="00456FF6">
        <w:t xml:space="preserve">In addition to the full QDT regression, a </w:t>
      </w:r>
      <w:r w:rsidR="00ED69C3">
        <w:t>simplified</w:t>
      </w:r>
      <w:r w:rsidRPr="00456FF6">
        <w:t xml:space="preserve"> model containing only </w:t>
      </w:r>
      <w:r w:rsidR="003D7AFF">
        <w:t>an effective</w:t>
      </w:r>
      <w:r w:rsidRPr="00456FF6">
        <w:t xml:space="preserve"> peak collector efficiency, </w:t>
      </w:r>
      <m:oMath>
        <m:sSub>
          <m:sSubPr>
            <m:ctrlPr>
              <w:rPr>
                <w:rFonts w:ascii="Cambria Math" w:hAnsi="Cambria Math"/>
              </w:rPr>
            </m:ctrlPr>
          </m:sSubPr>
          <m:e>
            <m:r>
              <w:rPr>
                <w:rFonts w:ascii="Cambria Math" w:hAnsi="Cambria Math"/>
              </w:rPr>
              <m:t>η</m:t>
            </m:r>
          </m:e>
          <m:sub>
            <m:r>
              <w:rPr>
                <w:rFonts w:ascii="Cambria Math" w:hAnsi="Cambria Math"/>
              </w:rPr>
              <m:t>0,b</m:t>
            </m:r>
          </m:sub>
        </m:sSub>
      </m:oMath>
      <w:r w:rsidRPr="00456FF6">
        <w:t xml:space="preserve">, and </w:t>
      </w:r>
      <w:r w:rsidR="00B10574">
        <w:t>an effective</w:t>
      </w:r>
      <w:r w:rsidRPr="00456FF6">
        <w:t xml:space="preserve"> first-order heat-loss coefficient, </w:t>
      </w:r>
      <m:oMath>
        <m:sSub>
          <m:sSubPr>
            <m:ctrlPr>
              <w:rPr>
                <w:rFonts w:ascii="Cambria Math" w:hAnsi="Cambria Math"/>
              </w:rPr>
            </m:ctrlPr>
          </m:sSubPr>
          <m:e>
            <m:r>
              <w:rPr>
                <w:rFonts w:ascii="Cambria Math" w:hAnsi="Cambria Math"/>
              </w:rPr>
              <m:t>a</m:t>
            </m:r>
          </m:e>
          <m:sub>
            <m:r>
              <w:rPr>
                <w:rFonts w:ascii="Cambria Math" w:hAnsi="Cambria Math"/>
              </w:rPr>
              <m:t>1</m:t>
            </m:r>
          </m:sub>
        </m:sSub>
      </m:oMath>
      <w:r w:rsidRPr="00456FF6">
        <w:t>,</w:t>
      </w:r>
      <w:r w:rsidR="007A43FE">
        <w:t xml:space="preserve"> as well as the effective thermal capacity, a</w:t>
      </w:r>
      <w:r w:rsidR="007A43FE" w:rsidRPr="007A43FE">
        <w:rPr>
          <w:vertAlign w:val="subscript"/>
        </w:rPr>
        <w:t>5</w:t>
      </w:r>
      <w:r w:rsidR="007A43FE">
        <w:t xml:space="preserve">, </w:t>
      </w:r>
      <w:r w:rsidRPr="00456FF6">
        <w:t xml:space="preserve">was fitted to the measurement data. Since the barriers were installed around the collectors and were not expected to affect their optical properties, </w:t>
      </w:r>
      <m:oMath>
        <m:sSub>
          <m:sSubPr>
            <m:ctrlPr>
              <w:rPr>
                <w:rFonts w:ascii="Cambria Math" w:hAnsi="Cambria Math"/>
              </w:rPr>
            </m:ctrlPr>
          </m:sSubPr>
          <m:e>
            <m:r>
              <w:rPr>
                <w:rFonts w:ascii="Cambria Math" w:hAnsi="Cambria Math"/>
              </w:rPr>
              <m:t>η</m:t>
            </m:r>
          </m:e>
          <m:sub>
            <m:r>
              <w:rPr>
                <w:rFonts w:ascii="Cambria Math" w:hAnsi="Cambria Math"/>
              </w:rPr>
              <m:t>0,b</m:t>
            </m:r>
          </m:sub>
        </m:sSub>
      </m:oMath>
      <w:r w:rsidRPr="00456FF6">
        <w:t>was constrained to a common value for the freely ventilated and partly restricted configurations.</w:t>
      </w:r>
      <w:r w:rsidR="006F15AA">
        <w:t xml:space="preserve"> This allows for a more direct </w:t>
      </w:r>
      <w:r w:rsidR="00D4125B">
        <w:t>comparison</w:t>
      </w:r>
      <w:r w:rsidR="006F15AA">
        <w:t xml:space="preserve"> of the heat loss characteristics </w:t>
      </w:r>
      <w:r w:rsidR="00D4125B">
        <w:t xml:space="preserve">with and without barriers </w:t>
      </w:r>
      <w:r w:rsidR="006F15AA">
        <w:t xml:space="preserve">when only </w:t>
      </w:r>
      <w:r w:rsidR="00D4125B">
        <w:t xml:space="preserve">one </w:t>
      </w:r>
      <w:r w:rsidR="00F16099">
        <w:t xml:space="preserve">heat loss coefficient is changing. </w:t>
      </w:r>
      <w:r w:rsidRPr="00456FF6">
        <w:t xml:space="preserve">Separate values of </w:t>
      </w:r>
      <m:oMath>
        <m:sSub>
          <m:sSubPr>
            <m:ctrlPr>
              <w:rPr>
                <w:rFonts w:ascii="Cambria Math" w:hAnsi="Cambria Math"/>
              </w:rPr>
            </m:ctrlPr>
          </m:sSubPr>
          <m:e>
            <m:r>
              <w:rPr>
                <w:rFonts w:ascii="Cambria Math" w:hAnsi="Cambria Math"/>
              </w:rPr>
              <m:t>a</m:t>
            </m:r>
          </m:e>
          <m:sub>
            <m:r>
              <w:rPr>
                <w:rFonts w:ascii="Cambria Math" w:hAnsi="Cambria Math"/>
              </w:rPr>
              <m:t>1</m:t>
            </m:r>
          </m:sub>
        </m:sSub>
      </m:oMath>
      <w:r w:rsidRPr="00456FF6">
        <w:t xml:space="preserve">were then determined for the two configurations. This analysis provides a simplified comparison of their overall thermal performance. However, because wind-dependent and long-wave radiation terms were omitted, the resulting </w:t>
      </w:r>
      <m:oMath>
        <m:sSub>
          <m:sSubPr>
            <m:ctrlPr>
              <w:rPr>
                <w:rFonts w:ascii="Cambria Math" w:hAnsi="Cambria Math"/>
              </w:rPr>
            </m:ctrlPr>
          </m:sSubPr>
          <m:e>
            <m:r>
              <w:rPr>
                <w:rFonts w:ascii="Cambria Math" w:hAnsi="Cambria Math"/>
              </w:rPr>
              <m:t>a</m:t>
            </m:r>
          </m:e>
          <m:sub>
            <m:r>
              <w:rPr>
                <w:rFonts w:ascii="Cambria Math" w:hAnsi="Cambria Math"/>
              </w:rPr>
              <m:t>1</m:t>
            </m:r>
          </m:sub>
        </m:sSub>
      </m:oMath>
      <w:r w:rsidRPr="00456FF6">
        <w:t>values should be interpreted as effective heat-transfer coefficients representative of</w:t>
      </w:r>
      <w:r w:rsidRPr="00144430">
        <w:rPr>
          <w:lang w:val="de-DE"/>
        </w:rPr>
        <w:t xml:space="preserve"> the </w:t>
      </w:r>
      <w:proofErr w:type="spellStart"/>
      <w:r w:rsidRPr="00144430">
        <w:rPr>
          <w:lang w:val="de-DE"/>
        </w:rPr>
        <w:t>measured</w:t>
      </w:r>
      <w:proofErr w:type="spellEnd"/>
      <w:r w:rsidRPr="00144430">
        <w:rPr>
          <w:lang w:val="de-DE"/>
        </w:rPr>
        <w:t xml:space="preserve"> </w:t>
      </w:r>
      <w:proofErr w:type="spellStart"/>
      <w:r w:rsidRPr="00144430">
        <w:rPr>
          <w:lang w:val="de-DE"/>
        </w:rPr>
        <w:t>conditions</w:t>
      </w:r>
      <w:proofErr w:type="spellEnd"/>
      <w:r w:rsidRPr="00144430">
        <w:rPr>
          <w:lang w:val="de-DE"/>
        </w:rPr>
        <w:t xml:space="preserve"> </w:t>
      </w:r>
      <w:proofErr w:type="spellStart"/>
      <w:r w:rsidRPr="00144430">
        <w:rPr>
          <w:lang w:val="de-DE"/>
        </w:rPr>
        <w:t>rather</w:t>
      </w:r>
      <w:proofErr w:type="spellEnd"/>
      <w:r w:rsidRPr="00144430">
        <w:rPr>
          <w:lang w:val="de-DE"/>
        </w:rPr>
        <w:t xml:space="preserve"> </w:t>
      </w:r>
      <w:proofErr w:type="spellStart"/>
      <w:r w:rsidRPr="00144430">
        <w:rPr>
          <w:lang w:val="de-DE"/>
        </w:rPr>
        <w:t>than</w:t>
      </w:r>
      <w:proofErr w:type="spellEnd"/>
      <w:r w:rsidRPr="00144430">
        <w:rPr>
          <w:lang w:val="de-DE"/>
        </w:rPr>
        <w:t xml:space="preserve"> as </w:t>
      </w:r>
      <w:proofErr w:type="spellStart"/>
      <w:r w:rsidRPr="00144430">
        <w:rPr>
          <w:lang w:val="de-DE"/>
        </w:rPr>
        <w:t>coefficients</w:t>
      </w:r>
      <w:proofErr w:type="spellEnd"/>
      <w:r w:rsidRPr="00144430">
        <w:rPr>
          <w:lang w:val="de-DE"/>
        </w:rPr>
        <w:t xml:space="preserve"> </w:t>
      </w:r>
      <w:proofErr w:type="spellStart"/>
      <w:r w:rsidRPr="00144430">
        <w:rPr>
          <w:lang w:val="de-DE"/>
        </w:rPr>
        <w:t>directly</w:t>
      </w:r>
      <w:proofErr w:type="spellEnd"/>
      <w:r w:rsidRPr="00144430">
        <w:rPr>
          <w:lang w:val="de-DE"/>
        </w:rPr>
        <w:t xml:space="preserve"> </w:t>
      </w:r>
      <w:proofErr w:type="spellStart"/>
      <w:r w:rsidRPr="00144430">
        <w:rPr>
          <w:lang w:val="de-DE"/>
        </w:rPr>
        <w:t>equivalent</w:t>
      </w:r>
      <w:proofErr w:type="spellEnd"/>
      <w:r w:rsidRPr="00144430">
        <w:rPr>
          <w:lang w:val="de-DE"/>
        </w:rPr>
        <w:t xml:space="preserve"> to </w:t>
      </w:r>
      <w:proofErr w:type="spellStart"/>
      <w:r w:rsidRPr="00144430">
        <w:rPr>
          <w:lang w:val="de-DE"/>
        </w:rPr>
        <w:t>those</w:t>
      </w:r>
      <w:proofErr w:type="spellEnd"/>
      <w:r w:rsidRPr="00144430">
        <w:rPr>
          <w:lang w:val="de-DE"/>
        </w:rPr>
        <w:t xml:space="preserve"> </w:t>
      </w:r>
      <w:proofErr w:type="spellStart"/>
      <w:r w:rsidRPr="00144430">
        <w:rPr>
          <w:lang w:val="de-DE"/>
        </w:rPr>
        <w:t>obtained</w:t>
      </w:r>
      <w:proofErr w:type="spellEnd"/>
      <w:r w:rsidRPr="00144430">
        <w:rPr>
          <w:lang w:val="de-DE"/>
        </w:rPr>
        <w:t xml:space="preserve"> </w:t>
      </w:r>
      <w:proofErr w:type="spellStart"/>
      <w:r w:rsidRPr="00144430">
        <w:rPr>
          <w:lang w:val="de-DE"/>
        </w:rPr>
        <w:t>from</w:t>
      </w:r>
      <w:proofErr w:type="spellEnd"/>
      <w:r w:rsidRPr="00144430">
        <w:rPr>
          <w:lang w:val="de-DE"/>
        </w:rPr>
        <w:t xml:space="preserve"> the </w:t>
      </w:r>
      <w:proofErr w:type="spellStart"/>
      <w:r w:rsidRPr="00144430">
        <w:rPr>
          <w:lang w:val="de-DE"/>
        </w:rPr>
        <w:t>full</w:t>
      </w:r>
      <w:proofErr w:type="spellEnd"/>
      <w:r w:rsidRPr="00144430">
        <w:rPr>
          <w:lang w:val="de-DE"/>
        </w:rPr>
        <w:t xml:space="preserve"> QDT </w:t>
      </w:r>
      <w:proofErr w:type="spellStart"/>
      <w:r w:rsidRPr="00144430">
        <w:rPr>
          <w:lang w:val="de-DE"/>
        </w:rPr>
        <w:t>model</w:t>
      </w:r>
      <w:proofErr w:type="spellEnd"/>
      <w:r w:rsidR="009B363E">
        <w:rPr>
          <w:lang w:val="de-DE"/>
        </w:rPr>
        <w:t xml:space="preserve">. </w:t>
      </w:r>
      <w:r w:rsidR="009B363E">
        <w:t xml:space="preserve">Equation 2 shows the applied formula for </w:t>
      </w:r>
      <w:proofErr w:type="gramStart"/>
      <w:r w:rsidR="009B363E">
        <w:t xml:space="preserve">the </w:t>
      </w:r>
      <w:r w:rsidR="00ED69C3">
        <w:t>simplified</w:t>
      </w:r>
      <w:proofErr w:type="gramEnd"/>
      <w:r w:rsidR="00ED69C3">
        <w:t xml:space="preserve"> analysis</w:t>
      </w:r>
      <w:r w:rsidR="009B363E">
        <w:t>.</w:t>
      </w:r>
    </w:p>
    <w:p w14:paraId="74DA8BDB" w14:textId="01CA42C6" w:rsidR="00952052" w:rsidRPr="00456FF6" w:rsidRDefault="001463DF" w:rsidP="00456FF6">
      <w:pPr>
        <w:pStyle w:val="SWCText"/>
        <w:tabs>
          <w:tab w:val="left" w:pos="7250"/>
        </w:tabs>
        <w:jc w:val="center"/>
        <w:rPr>
          <w:lang w:val="de-DE"/>
        </w:rPr>
      </w:pPr>
      <m:oMath>
        <m:acc>
          <m:accPr>
            <m:chr m:val="̇"/>
            <m:ctrlPr>
              <w:rPr>
                <w:rFonts w:ascii="Cambria Math" w:hAnsi="Cambria Math"/>
                <w:i/>
                <w:iCs/>
                <w:lang w:val="en-GB"/>
              </w:rPr>
            </m:ctrlPr>
          </m:accPr>
          <m:e>
            <m:r>
              <w:rPr>
                <w:rFonts w:ascii="Cambria Math" w:hAnsi="Cambria Math"/>
                <w:lang w:val="en-GB"/>
              </w:rPr>
              <m:t>Q</m:t>
            </m:r>
          </m:e>
        </m:acc>
        <m:r>
          <w:rPr>
            <w:rFonts w:ascii="Cambria Math" w:hAnsi="Cambria Math"/>
            <w:lang w:val="de-DE"/>
          </w:rPr>
          <m:t>=</m:t>
        </m:r>
        <m:sSub>
          <m:sSubPr>
            <m:ctrlPr>
              <w:rPr>
                <w:rFonts w:ascii="Cambria Math" w:hAnsi="Cambria Math"/>
                <w:i/>
                <w:lang w:val="de-DE"/>
              </w:rPr>
            </m:ctrlPr>
          </m:sSubPr>
          <m:e>
            <m:r>
              <w:rPr>
                <w:rFonts w:ascii="Cambria Math" w:hAnsi="Cambria Math"/>
                <w:lang w:val="de-DE"/>
              </w:rPr>
              <m:t>A</m:t>
            </m:r>
          </m:e>
          <m:sub>
            <m:r>
              <w:rPr>
                <w:rFonts w:ascii="Cambria Math" w:hAnsi="Cambria Math"/>
                <w:lang w:val="de-DE"/>
              </w:rPr>
              <m:t>G</m:t>
            </m:r>
          </m:sub>
        </m:sSub>
        <m:d>
          <m:dPr>
            <m:begChr m:val="["/>
            <m:endChr m:val="]"/>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η</m:t>
                </m:r>
              </m:e>
              <m:sub>
                <m:r>
                  <w:rPr>
                    <w:rFonts w:ascii="Cambria Math" w:hAnsi="Cambria Math"/>
                    <w:lang w:val="de-DE"/>
                  </w:rPr>
                  <m:t>0,</m:t>
                </m:r>
                <m:r>
                  <w:rPr>
                    <w:rFonts w:ascii="Cambria Math" w:hAnsi="Cambria Math"/>
                    <w:lang w:val="en-GB"/>
                  </w:rPr>
                  <m:t>b</m:t>
                </m:r>
              </m:sub>
            </m:sSub>
            <m:r>
              <w:rPr>
                <w:rFonts w:ascii="Cambria Math" w:hAnsi="Cambria Math"/>
                <w:lang w:val="de-DE"/>
              </w:rPr>
              <m:t>⋅</m:t>
            </m:r>
            <m:sSub>
              <m:sSubPr>
                <m:ctrlPr>
                  <w:rPr>
                    <w:rFonts w:ascii="Cambria Math" w:hAnsi="Cambria Math"/>
                    <w:i/>
                    <w:iCs/>
                    <w:lang w:val="en-GB"/>
                  </w:rPr>
                </m:ctrlPr>
              </m:sSubPr>
              <m:e>
                <m:r>
                  <w:rPr>
                    <w:rFonts w:ascii="Cambria Math" w:hAnsi="Cambria Math"/>
                    <w:lang w:val="en-GB"/>
                  </w:rPr>
                  <m:t>K</m:t>
                </m:r>
              </m:e>
              <m:sub>
                <m:r>
                  <w:rPr>
                    <w:rFonts w:ascii="Cambria Math" w:hAnsi="Cambria Math"/>
                    <w:lang w:val="en-GB"/>
                  </w:rPr>
                  <m:t>b</m:t>
                </m:r>
              </m:sub>
            </m:sSub>
            <m:d>
              <m:dPr>
                <m:ctrlPr>
                  <w:rPr>
                    <w:rFonts w:ascii="Cambria Math" w:hAnsi="Cambria Math"/>
                    <w:i/>
                    <w:lang w:val="en-GB"/>
                  </w:rPr>
                </m:ctrlPr>
              </m:dPr>
              <m:e>
                <m:r>
                  <w:rPr>
                    <w:rFonts w:ascii="Cambria Math" w:hAnsi="Cambria Math"/>
                    <w:lang w:val="en-GB"/>
                  </w:rPr>
                  <m:t>θ</m:t>
                </m:r>
              </m:e>
            </m:d>
            <m:r>
              <w:rPr>
                <w:rFonts w:ascii="Cambria Math" w:hAnsi="Cambria Math"/>
                <w:lang w:val="de-DE"/>
              </w:rPr>
              <m:t>⋅</m:t>
            </m:r>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b</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η</m:t>
                </m:r>
              </m:e>
              <m:sub>
                <m:r>
                  <w:rPr>
                    <w:rFonts w:ascii="Cambria Math" w:hAnsi="Cambria Math"/>
                    <w:lang w:val="de-DE"/>
                  </w:rPr>
                  <m:t>0,</m:t>
                </m:r>
                <m:r>
                  <w:rPr>
                    <w:rFonts w:ascii="Cambria Math" w:hAnsi="Cambria Math"/>
                    <w:lang w:val="en-GB"/>
                  </w:rPr>
                  <m:t>b</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d</m:t>
                </m:r>
              </m:sub>
            </m:sSub>
            <m:r>
              <w:rPr>
                <w:rFonts w:ascii="Cambria Math" w:hAnsi="Cambria Math"/>
                <w:lang w:val="de-DE"/>
              </w:rPr>
              <m:t>⋅</m:t>
            </m:r>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d</m:t>
                </m:r>
              </m:sub>
            </m:sSub>
            <m:r>
              <w:rPr>
                <w:rFonts w:ascii="Cambria Math" w:hAnsi="Cambria Math"/>
                <w:lang w:val="de-DE"/>
              </w:rPr>
              <m:t>-</m:t>
            </m:r>
            <m:sSub>
              <m:sSubPr>
                <m:ctrlPr>
                  <w:rPr>
                    <w:rFonts w:ascii="Cambria Math" w:hAnsi="Cambria Math"/>
                    <w:i/>
                    <w:iCs/>
                    <w:lang w:val="en-GB"/>
                  </w:rPr>
                </m:ctrlPr>
              </m:sSubPr>
              <m:e>
                <m:r>
                  <w:rPr>
                    <w:rFonts w:ascii="Cambria Math" w:hAnsi="Cambria Math"/>
                    <w:lang w:val="en-GB"/>
                  </w:rPr>
                  <m:t>a</m:t>
                </m:r>
              </m:e>
              <m:sub>
                <m:r>
                  <w:rPr>
                    <w:rFonts w:ascii="Cambria Math" w:hAnsi="Cambria Math"/>
                    <w:lang w:val="de-DE"/>
                  </w:rPr>
                  <m:t>1</m:t>
                </m:r>
              </m:sub>
            </m:sSub>
            <m:r>
              <w:rPr>
                <w:rFonts w:ascii="Cambria Math" w:hAnsi="Cambria Math"/>
                <w:lang w:val="de-DE"/>
              </w:rPr>
              <m:t>⋅</m:t>
            </m:r>
            <m:d>
              <m:dPr>
                <m:ctrlPr>
                  <w:rPr>
                    <w:rFonts w:ascii="Cambria Math" w:hAnsi="Cambria Math"/>
                    <w:i/>
                    <w:iCs/>
                    <w:lang w:val="en-GB"/>
                  </w:rPr>
                </m:ctrlPr>
              </m:dPr>
              <m:e>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m</m:t>
                    </m:r>
                  </m:sub>
                </m:sSub>
                <m:r>
                  <w:rPr>
                    <w:rFonts w:ascii="Cambria Math" w:hAnsi="Cambria Math"/>
                    <w:lang w:val="de-DE"/>
                  </w:rPr>
                  <m:t>-</m:t>
                </m:r>
                <m:sSub>
                  <m:sSubPr>
                    <m:ctrlPr>
                      <w:rPr>
                        <w:rFonts w:ascii="Cambria Math" w:hAnsi="Cambria Math"/>
                        <w:i/>
                        <w:iCs/>
                        <w:lang w:val="en-GB"/>
                      </w:rPr>
                    </m:ctrlPr>
                  </m:sSubPr>
                  <m:e>
                    <m:r>
                      <w:rPr>
                        <w:rFonts w:ascii="Cambria Math" w:hAnsi="Cambria Math"/>
                        <w:lang w:val="en-GB"/>
                      </w:rPr>
                      <m:t>T</m:t>
                    </m:r>
                  </m:e>
                  <m:sub>
                    <m:r>
                      <w:rPr>
                        <w:rFonts w:ascii="Cambria Math" w:hAnsi="Cambria Math"/>
                        <w:lang w:val="en-GB"/>
                      </w:rPr>
                      <m:t>a</m:t>
                    </m:r>
                  </m:sub>
                </m:sSub>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d>
              <m:dPr>
                <m:ctrlPr>
                  <w:rPr>
                    <w:rFonts w:ascii="Cambria Math" w:hAnsi="Cambria Math"/>
                    <w:i/>
                  </w:rPr>
                </m:ctrlPr>
              </m:dPr>
              <m:e>
                <m:r>
                  <w:rPr>
                    <w:rFonts w:ascii="Cambria Math" w:hAnsi="Cambria Math"/>
                  </w:rPr>
                  <m:t>d</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/dt</m:t>
                </m:r>
              </m:e>
            </m:d>
          </m:e>
        </m:d>
      </m:oMath>
      <w:r w:rsidR="00421228" w:rsidRPr="00456FF6">
        <w:rPr>
          <w:iCs/>
          <w:lang w:val="de-DE"/>
        </w:rPr>
        <w:t xml:space="preserve"> </w:t>
      </w:r>
      <w:r w:rsidR="00421228">
        <w:rPr>
          <w:iCs/>
          <w:lang w:val="de-DE"/>
        </w:rPr>
        <w:t xml:space="preserve">      </w:t>
      </w:r>
      <w:r w:rsidR="00421228">
        <w:rPr>
          <w:iCs/>
          <w:lang w:val="en-GB"/>
        </w:rPr>
        <w:t>(eq. 2)</w:t>
      </w:r>
    </w:p>
    <w:p w14:paraId="24F8EEFB" w14:textId="177D994F" w:rsidR="006468BD" w:rsidRDefault="00CD1E91" w:rsidP="00CD1E91">
      <w:pPr>
        <w:pStyle w:val="SWCText"/>
      </w:pPr>
      <w:r w:rsidRPr="00F24C83">
        <w:t xml:space="preserve">Separate datasets were </w:t>
      </w:r>
      <w:r w:rsidR="009B31CB" w:rsidRPr="00F24C83">
        <w:t>collected</w:t>
      </w:r>
      <w:r w:rsidRPr="00F24C83">
        <w:t xml:space="preserve"> for</w:t>
      </w:r>
      <w:r>
        <w:t xml:space="preserve"> each mounting configuration</w:t>
      </w:r>
      <w:r w:rsidR="003F1F7C">
        <w:t xml:space="preserve">. The data set used was </w:t>
      </w:r>
      <w:r w:rsidR="007A1C53">
        <w:t xml:space="preserve">20 days without rain with </w:t>
      </w:r>
      <w:r w:rsidR="00EC6A88">
        <w:t>varying weather conditions and different fixed</w:t>
      </w:r>
      <w:r w:rsidR="000F6090">
        <w:t xml:space="preserve"> </w:t>
      </w:r>
      <w:r w:rsidR="00EC6A88">
        <w:t>inlet temperatures as required in the ISO 9806 standard</w:t>
      </w:r>
      <w:r w:rsidR="00A92BAE">
        <w:t>.</w:t>
      </w:r>
      <w:r w:rsidR="006468BD">
        <w:t xml:space="preserve"> </w:t>
      </w:r>
      <w:r w:rsidR="00A92BAE">
        <w:t xml:space="preserve"> </w:t>
      </w:r>
    </w:p>
    <w:p w14:paraId="0424D37E" w14:textId="776EA1CC" w:rsidR="00C43AFE" w:rsidRDefault="00C43AFE" w:rsidP="00C43AFE">
      <w:pPr>
        <w:pStyle w:val="SWCText"/>
      </w:pPr>
      <w:r>
        <w:t>The influence of mounting configuration was evaluated by comparing the derived coefficie</w:t>
      </w:r>
      <w:r w:rsidRPr="00BE40E3">
        <w:t>nts across the different setups.</w:t>
      </w:r>
      <w:r>
        <w:t xml:space="preserve"> </w:t>
      </w:r>
    </w:p>
    <w:p w14:paraId="4A845D60" w14:textId="0BB58F66" w:rsidR="00EC2386" w:rsidRPr="00E86A0D" w:rsidRDefault="00EC2386" w:rsidP="00EC2386">
      <w:pPr>
        <w:pStyle w:val="SWCText"/>
      </w:pPr>
      <w:r>
        <w:t>2.</w:t>
      </w:r>
      <w:r w:rsidR="001F6E4F">
        <w:t>5</w:t>
      </w:r>
      <w:r>
        <w:t>.</w:t>
      </w:r>
      <w:r w:rsidRPr="00E86A0D">
        <w:rPr>
          <w:rFonts w:ascii="Segoe UI" w:hAnsi="Segoe UI" w:cs="Segoe UI"/>
          <w:sz w:val="21"/>
          <w:szCs w:val="21"/>
          <w:lang w:eastAsia="en-US"/>
        </w:rPr>
        <w:t xml:space="preserve"> </w:t>
      </w:r>
      <w:r w:rsidRPr="00E86A0D">
        <w:t>Roof temperature measurements and conditions</w:t>
      </w:r>
    </w:p>
    <w:p w14:paraId="6BE85150" w14:textId="776A4DE2" w:rsidR="00EC2386" w:rsidRDefault="00A33CA6" w:rsidP="00CD1E91">
      <w:pPr>
        <w:pStyle w:val="SWCText"/>
      </w:pPr>
      <w:r w:rsidRPr="00A33CA6">
        <w:t xml:space="preserve">To investigate the influence of mounting configuration on roof surface temperatures, measurements were </w:t>
      </w:r>
      <w:r w:rsidR="00851DE2" w:rsidRPr="00A33CA6">
        <w:t>analyzed</w:t>
      </w:r>
      <w:r w:rsidRPr="00A33CA6">
        <w:t xml:space="preserve"> during selected periods with overcast conditions and low solar irradiance. These periods were chosen to </w:t>
      </w:r>
      <w:r w:rsidR="00851DE2" w:rsidRPr="00A33CA6">
        <w:t>minimize</w:t>
      </w:r>
      <w:r w:rsidRPr="00A33CA6">
        <w:t xml:space="preserve"> the influence of solar gains and thereby isolate the effect of airflow restriction on the thermal interaction between the collectors and the building structure. The selected conditions were </w:t>
      </w:r>
      <w:r w:rsidR="00851DE2" w:rsidRPr="00A33CA6">
        <w:t>characterized</w:t>
      </w:r>
      <w:r w:rsidRPr="00A33CA6">
        <w:t xml:space="preserve"> by ambient air temperatures between 6 and 10 °C, wind speeds between 1.4 and 2.4 m/s, and collector inlet temperatures of approximately −3 °C. Under these conditions, the collectors operated below ambient temperature, representing typical operation as heat sources for PVT-assisted heat pump systems. Roof surface temperatures beneath the collectors were compared with a reference measurement obtained from an exposed section of the roof.</w:t>
      </w:r>
      <w:r w:rsidR="00851DE2">
        <w:t xml:space="preserve"> </w:t>
      </w:r>
      <w:r w:rsidR="00851DE2" w:rsidRPr="00851DE2">
        <w:t>The roof surface temperature beneath each collector was measured using two Type TT thermocouples located at representative central positions below the panels. The sensors were mechanically fixed to the roof surface using clips to ensure good thermal contact and accurate measurement of the roof surface temperature.</w:t>
      </w:r>
    </w:p>
    <w:p w14:paraId="4AAC8390" w14:textId="77CAF3CD" w:rsidR="00D90226" w:rsidRDefault="00D90226" w:rsidP="00D90226">
      <w:pPr>
        <w:pStyle w:val="SWCHeading1"/>
      </w:pPr>
      <w:r>
        <w:t>Results</w:t>
      </w:r>
    </w:p>
    <w:p w14:paraId="2C22C9EB" w14:textId="3845AC3D" w:rsidR="00D90226" w:rsidRDefault="00A2104B" w:rsidP="00D90226">
      <w:pPr>
        <w:pStyle w:val="SWCHeading1"/>
        <w:numPr>
          <w:ilvl w:val="0"/>
          <w:numId w:val="0"/>
        </w:numPr>
        <w:jc w:val="left"/>
        <w:rPr>
          <w:b w:val="0"/>
          <w:bCs/>
          <w:i/>
          <w:iCs/>
        </w:rPr>
      </w:pPr>
      <w:r>
        <w:rPr>
          <w:b w:val="0"/>
          <w:bCs/>
          <w:i/>
          <w:iCs/>
        </w:rPr>
        <w:t>3</w:t>
      </w:r>
      <w:r w:rsidR="00D90226" w:rsidRPr="00D90226">
        <w:rPr>
          <w:b w:val="0"/>
          <w:bCs/>
          <w:i/>
          <w:iCs/>
        </w:rPr>
        <w:t xml:space="preserve">.1. </w:t>
      </w:r>
      <w:r>
        <w:rPr>
          <w:b w:val="0"/>
          <w:bCs/>
          <w:i/>
          <w:iCs/>
        </w:rPr>
        <w:t>Thermal performance coefficients</w:t>
      </w:r>
    </w:p>
    <w:p w14:paraId="1D5BF45D" w14:textId="6725FBBC" w:rsidR="00126433" w:rsidRPr="00126433" w:rsidRDefault="00126433" w:rsidP="00126433">
      <w:pPr>
        <w:spacing w:line="276" w:lineRule="auto"/>
        <w:rPr>
          <w:sz w:val="20"/>
          <w:szCs w:val="20"/>
          <w:lang w:val="en-US"/>
        </w:rPr>
      </w:pPr>
      <w:r w:rsidRPr="00126433">
        <w:rPr>
          <w:lang w:val="en-US" w:eastAsia="en-US"/>
        </w:rPr>
        <w:t xml:space="preserve"> </w:t>
      </w:r>
      <w:r w:rsidRPr="00126433">
        <w:rPr>
          <w:sz w:val="20"/>
          <w:szCs w:val="20"/>
          <w:lang w:val="en-US"/>
        </w:rPr>
        <w:t xml:space="preserve">The thermal performance coefficients derived from the regression analyses are presented in Table 1. For collectors, the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2</m:t>
            </m:r>
          </m:sub>
        </m:sSub>
      </m:oMath>
      <w:r w:rsidRPr="00126433">
        <w:rPr>
          <w:sz w:val="20"/>
          <w:szCs w:val="20"/>
          <w:lang w:val="en-US"/>
        </w:rPr>
        <w:t xml:space="preserve">coefficient did not meet the applied significance criterion for the partly restricted airflow configuration. The coefficient was therefore omitted, and the models were refitted. For the freely ventilated configuration, Table 1 presents the coefficients obtained both with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2</m:t>
            </m:r>
          </m:sub>
        </m:sSub>
      </m:oMath>
      <w:r w:rsidRPr="00126433">
        <w:rPr>
          <w:sz w:val="20"/>
          <w:szCs w:val="20"/>
          <w:lang w:val="en-US"/>
        </w:rPr>
        <w:t xml:space="preserve">included and, in parentheses, with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2</m:t>
            </m:r>
          </m:sub>
        </m:sSub>
      </m:oMath>
      <w:r w:rsidRPr="00126433">
        <w:rPr>
          <w:sz w:val="20"/>
          <w:szCs w:val="20"/>
          <w:lang w:val="en-US"/>
        </w:rPr>
        <w:t xml:space="preserve">omitted. The latter values allow a more direct comparison between the two mounting configurations </w:t>
      </w:r>
      <w:r w:rsidR="0076607E">
        <w:rPr>
          <w:sz w:val="20"/>
          <w:szCs w:val="20"/>
          <w:lang w:val="en-US"/>
        </w:rPr>
        <w:t>including</w:t>
      </w:r>
      <w:r w:rsidRPr="00126433">
        <w:rPr>
          <w:sz w:val="20"/>
          <w:szCs w:val="20"/>
          <w:lang w:val="en-US"/>
        </w:rPr>
        <w:t xml:space="preserve"> the same</w:t>
      </w:r>
      <w:r w:rsidR="0076607E">
        <w:rPr>
          <w:sz w:val="20"/>
          <w:szCs w:val="20"/>
          <w:lang w:val="en-US"/>
        </w:rPr>
        <w:t xml:space="preserve"> coefficients in the</w:t>
      </w:r>
      <w:r w:rsidRPr="00126433">
        <w:rPr>
          <w:sz w:val="20"/>
          <w:szCs w:val="20"/>
          <w:lang w:val="en-US"/>
        </w:rPr>
        <w:t xml:space="preserve"> regression.</w:t>
      </w:r>
    </w:p>
    <w:p w14:paraId="6BBA5F89" w14:textId="77777777" w:rsidR="00126433" w:rsidRPr="00126433" w:rsidRDefault="00126433" w:rsidP="00126433">
      <w:pPr>
        <w:spacing w:line="276" w:lineRule="auto"/>
        <w:rPr>
          <w:sz w:val="20"/>
          <w:szCs w:val="20"/>
          <w:lang w:val="en-US"/>
        </w:rPr>
      </w:pPr>
      <w:r w:rsidRPr="00126433">
        <w:rPr>
          <w:sz w:val="20"/>
          <w:szCs w:val="20"/>
          <w:lang w:val="en-US"/>
        </w:rPr>
        <w:t>The fitted coefficients show a clear dependence on mounting configuration. The installation of barriers that restricted airflow beneath the collectors affected both the fitted peak collector efficiency and the heat-transfer characteristics.</w:t>
      </w:r>
    </w:p>
    <w:p w14:paraId="67EFFD1C" w14:textId="341F8B8B" w:rsidR="00126433" w:rsidRPr="00126433" w:rsidRDefault="00126433" w:rsidP="00126433">
      <w:pPr>
        <w:spacing w:line="276" w:lineRule="auto"/>
        <w:rPr>
          <w:sz w:val="20"/>
          <w:szCs w:val="20"/>
          <w:lang w:val="en-US"/>
        </w:rPr>
      </w:pPr>
      <w:r w:rsidRPr="00126433">
        <w:rPr>
          <w:sz w:val="20"/>
          <w:szCs w:val="20"/>
          <w:lang w:val="en-US"/>
        </w:rPr>
        <w:t xml:space="preserve">The most pronounced change for the non-insulated PVT collector was observed in the wind-dependent heat-loss coefficient,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3</m:t>
            </m:r>
          </m:sub>
        </m:sSub>
      </m:oMath>
      <w:r w:rsidRPr="00126433">
        <w:rPr>
          <w:sz w:val="20"/>
          <w:szCs w:val="20"/>
          <w:lang w:val="en-US"/>
        </w:rPr>
        <w:t xml:space="preserve">. When comparing the models without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2</m:t>
            </m:r>
          </m:sub>
        </m:sSub>
      </m:oMath>
      <w:r w:rsidRPr="00126433">
        <w:rPr>
          <w:sz w:val="20"/>
          <w:szCs w:val="20"/>
          <w:lang w:val="en-US"/>
        </w:rPr>
        <w:t xml:space="preserve">,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3</m:t>
            </m:r>
          </m:sub>
        </m:sSub>
      </m:oMath>
      <w:r w:rsidRPr="00126433">
        <w:rPr>
          <w:sz w:val="20"/>
          <w:szCs w:val="20"/>
          <w:lang w:val="en-US"/>
        </w:rPr>
        <w:t xml:space="preserve">decreased from </w:t>
      </w:r>
      <w:r w:rsidR="003E632C">
        <w:rPr>
          <w:sz w:val="20"/>
          <w:szCs w:val="20"/>
          <w:lang w:val="en-US"/>
        </w:rPr>
        <w:t>5.5</w:t>
      </w:r>
      <w:r w:rsidRPr="00126433">
        <w:rPr>
          <w:sz w:val="20"/>
          <w:szCs w:val="20"/>
          <w:lang w:val="en-US"/>
        </w:rPr>
        <w:t xml:space="preserve"> J m</w:t>
      </w:r>
      <w:r w:rsidR="00AF0812" w:rsidRPr="00456FF6">
        <w:rPr>
          <w:sz w:val="20"/>
          <w:szCs w:val="20"/>
          <w:vertAlign w:val="superscript"/>
          <w:lang w:val="en-US"/>
        </w:rPr>
        <w:t>-3</w:t>
      </w:r>
      <w:r w:rsidRPr="00126433">
        <w:rPr>
          <w:sz w:val="20"/>
          <w:szCs w:val="20"/>
          <w:lang w:val="en-US"/>
        </w:rPr>
        <w:t xml:space="preserve"> K</w:t>
      </w:r>
      <w:r w:rsidR="00AF0812" w:rsidRPr="00456FF6">
        <w:rPr>
          <w:sz w:val="20"/>
          <w:szCs w:val="20"/>
          <w:vertAlign w:val="superscript"/>
          <w:lang w:val="en-US"/>
        </w:rPr>
        <w:t>-1</w:t>
      </w:r>
      <w:r w:rsidRPr="00126433">
        <w:rPr>
          <w:sz w:val="20"/>
          <w:szCs w:val="20"/>
          <w:lang w:val="en-US"/>
        </w:rPr>
        <w:t xml:space="preserve"> under freely ventilated conditions to 2.</w:t>
      </w:r>
      <w:r w:rsidR="003E632C">
        <w:rPr>
          <w:sz w:val="20"/>
          <w:szCs w:val="20"/>
          <w:lang w:val="en-US"/>
        </w:rPr>
        <w:t>5</w:t>
      </w:r>
      <w:r w:rsidRPr="00126433">
        <w:rPr>
          <w:sz w:val="20"/>
          <w:szCs w:val="20"/>
          <w:lang w:val="en-US"/>
        </w:rPr>
        <w:t xml:space="preserve"> J m</w:t>
      </w:r>
      <w:r w:rsidR="00AF0812" w:rsidRPr="00456FF6">
        <w:rPr>
          <w:sz w:val="20"/>
          <w:szCs w:val="20"/>
          <w:vertAlign w:val="superscript"/>
          <w:lang w:val="en-US"/>
        </w:rPr>
        <w:t>-3</w:t>
      </w:r>
      <w:r w:rsidRPr="00126433">
        <w:rPr>
          <w:sz w:val="20"/>
          <w:szCs w:val="20"/>
          <w:lang w:val="en-US"/>
        </w:rPr>
        <w:t xml:space="preserve"> K</w:t>
      </w:r>
      <w:r w:rsidR="00AF0812" w:rsidRPr="00456FF6">
        <w:rPr>
          <w:sz w:val="20"/>
          <w:szCs w:val="20"/>
          <w:vertAlign w:val="superscript"/>
          <w:lang w:val="en-US"/>
        </w:rPr>
        <w:t>-1</w:t>
      </w:r>
      <w:r w:rsidRPr="00126433">
        <w:rPr>
          <w:sz w:val="20"/>
          <w:szCs w:val="20"/>
          <w:lang w:val="en-US"/>
        </w:rPr>
        <w:t xml:space="preserve"> with barriers, corresponding to a reduction of approximately </w:t>
      </w:r>
      <w:r w:rsidR="000D4F39">
        <w:rPr>
          <w:sz w:val="20"/>
          <w:szCs w:val="20"/>
          <w:lang w:val="en-US"/>
        </w:rPr>
        <w:t>55</w:t>
      </w:r>
      <w:r w:rsidRPr="00126433">
        <w:rPr>
          <w:sz w:val="20"/>
          <w:szCs w:val="20"/>
          <w:lang w:val="en-US"/>
        </w:rPr>
        <w:t xml:space="preserve">%. In contrast, the </w:t>
      </w:r>
      <w:r w:rsidRPr="00126433">
        <w:rPr>
          <w:sz w:val="20"/>
          <w:szCs w:val="20"/>
          <w:lang w:val="en-US"/>
        </w:rPr>
        <w:lastRenderedPageBreak/>
        <w:t xml:space="preserve">linear heat-loss coefficient,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1</m:t>
            </m:r>
          </m:sub>
        </m:sSub>
      </m:oMath>
      <w:r w:rsidRPr="00126433">
        <w:rPr>
          <w:sz w:val="20"/>
          <w:szCs w:val="20"/>
          <w:lang w:val="en-US"/>
        </w:rPr>
        <w:t xml:space="preserve">, changed only slightly, from </w:t>
      </w:r>
      <w:r w:rsidR="00EC2DCE">
        <w:rPr>
          <w:sz w:val="20"/>
          <w:szCs w:val="20"/>
          <w:lang w:val="en-US"/>
        </w:rPr>
        <w:t>10.</w:t>
      </w:r>
      <w:r w:rsidR="00AF57DE">
        <w:rPr>
          <w:sz w:val="20"/>
          <w:szCs w:val="20"/>
          <w:lang w:val="en-US"/>
        </w:rPr>
        <w:t>3</w:t>
      </w:r>
      <w:r w:rsidRPr="00126433">
        <w:rPr>
          <w:sz w:val="20"/>
          <w:szCs w:val="20"/>
          <w:lang w:val="en-US"/>
        </w:rPr>
        <w:t xml:space="preserve"> to</w:t>
      </w:r>
      <w:r w:rsidR="00AF57DE">
        <w:rPr>
          <w:sz w:val="20"/>
          <w:szCs w:val="20"/>
          <w:lang w:val="en-US"/>
        </w:rPr>
        <w:t xml:space="preserve"> 10.2</w:t>
      </w:r>
      <w:r w:rsidRPr="00126433">
        <w:rPr>
          <w:sz w:val="20"/>
          <w:szCs w:val="20"/>
          <w:lang w:val="en-US"/>
        </w:rPr>
        <w:t xml:space="preserve"> W m</w:t>
      </w:r>
      <w:r w:rsidR="00AF0812" w:rsidRPr="00456FF6">
        <w:rPr>
          <w:sz w:val="20"/>
          <w:szCs w:val="20"/>
          <w:vertAlign w:val="superscript"/>
          <w:lang w:val="en-US"/>
        </w:rPr>
        <w:t>-2</w:t>
      </w:r>
      <w:r w:rsidRPr="00126433">
        <w:rPr>
          <w:sz w:val="20"/>
          <w:szCs w:val="20"/>
          <w:lang w:val="en-US"/>
        </w:rPr>
        <w:t xml:space="preserve"> K</w:t>
      </w:r>
      <w:r w:rsidR="00AF0812" w:rsidRPr="00456FF6">
        <w:rPr>
          <w:sz w:val="20"/>
          <w:szCs w:val="20"/>
          <w:vertAlign w:val="superscript"/>
          <w:lang w:val="en-US"/>
        </w:rPr>
        <w:t>-1</w:t>
      </w:r>
      <w:r w:rsidRPr="00126433">
        <w:rPr>
          <w:sz w:val="20"/>
          <w:szCs w:val="20"/>
          <w:lang w:val="en-US"/>
        </w:rPr>
        <w:t xml:space="preserve">. </w:t>
      </w:r>
      <w:r w:rsidR="00164385">
        <w:rPr>
          <w:sz w:val="20"/>
          <w:szCs w:val="20"/>
          <w:lang w:val="en-US"/>
        </w:rPr>
        <w:t>T</w:t>
      </w:r>
      <w:r w:rsidR="00164385" w:rsidRPr="00126433">
        <w:rPr>
          <w:sz w:val="20"/>
          <w:szCs w:val="20"/>
          <w:lang w:val="en-US"/>
        </w:rPr>
        <w:t>he fitted peak collector efficiency decreased from 0.5</w:t>
      </w:r>
      <w:r w:rsidR="003E632C">
        <w:rPr>
          <w:sz w:val="20"/>
          <w:szCs w:val="20"/>
          <w:lang w:val="en-US"/>
        </w:rPr>
        <w:t>6</w:t>
      </w:r>
      <w:r w:rsidR="00164385" w:rsidRPr="00126433">
        <w:rPr>
          <w:sz w:val="20"/>
          <w:szCs w:val="20"/>
          <w:lang w:val="en-US"/>
        </w:rPr>
        <w:t xml:space="preserve"> to 0.5</w:t>
      </w:r>
      <w:r w:rsidR="00164385">
        <w:rPr>
          <w:sz w:val="20"/>
          <w:szCs w:val="20"/>
          <w:lang w:val="en-US"/>
        </w:rPr>
        <w:t>2</w:t>
      </w:r>
      <w:r w:rsidR="00164385" w:rsidRPr="00126433">
        <w:rPr>
          <w:sz w:val="20"/>
          <w:szCs w:val="20"/>
          <w:lang w:val="en-US"/>
        </w:rPr>
        <w:t>.</w:t>
      </w:r>
    </w:p>
    <w:p w14:paraId="7CCDFC33" w14:textId="77777777" w:rsidR="00126433" w:rsidRPr="00126433" w:rsidRDefault="00126433" w:rsidP="00126433">
      <w:pPr>
        <w:spacing w:line="276" w:lineRule="auto"/>
        <w:rPr>
          <w:sz w:val="20"/>
          <w:szCs w:val="20"/>
          <w:lang w:val="en-US"/>
        </w:rPr>
      </w:pPr>
      <w:r w:rsidRPr="00126433">
        <w:rPr>
          <w:sz w:val="20"/>
          <w:szCs w:val="20"/>
          <w:lang w:val="en-US"/>
        </w:rPr>
        <w:t>These results indicate that the barriers primarily reduced the wind dependence of the heat transfer rather than substantially changing the linear heat-loss coefficient of the non-insulated collector. This is consistent with a reduced contribution from wind-driven convective heat transfer when airflow beneath the collector is restricted.</w:t>
      </w:r>
    </w:p>
    <w:p w14:paraId="7BBC8376" w14:textId="77777777" w:rsidR="002E4AAB" w:rsidRDefault="00126433" w:rsidP="00126433">
      <w:pPr>
        <w:spacing w:line="276" w:lineRule="auto"/>
        <w:rPr>
          <w:sz w:val="20"/>
          <w:szCs w:val="20"/>
          <w:lang w:val="en-US"/>
        </w:rPr>
      </w:pPr>
      <w:r w:rsidRPr="00126433">
        <w:rPr>
          <w:sz w:val="20"/>
          <w:szCs w:val="20"/>
          <w:lang w:val="en-US"/>
        </w:rPr>
        <w:t xml:space="preserve">For the insulated PVT collector,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3</m:t>
            </m:r>
          </m:sub>
        </m:sSub>
      </m:oMath>
      <w:r w:rsidRPr="00126433">
        <w:rPr>
          <w:sz w:val="20"/>
          <w:szCs w:val="20"/>
          <w:lang w:val="en-US"/>
        </w:rPr>
        <w:t xml:space="preserve">decreased from </w:t>
      </w:r>
      <w:r w:rsidR="00BC052F">
        <w:rPr>
          <w:sz w:val="20"/>
          <w:szCs w:val="20"/>
          <w:lang w:val="en-US"/>
        </w:rPr>
        <w:t xml:space="preserve">3.1 </w:t>
      </w:r>
      <w:r w:rsidRPr="00126433">
        <w:rPr>
          <w:sz w:val="20"/>
          <w:szCs w:val="20"/>
          <w:lang w:val="en-US"/>
        </w:rPr>
        <w:t>to 2.</w:t>
      </w:r>
      <w:r w:rsidR="00BC052F">
        <w:rPr>
          <w:sz w:val="20"/>
          <w:szCs w:val="20"/>
          <w:lang w:val="en-US"/>
        </w:rPr>
        <w:t>2</w:t>
      </w:r>
      <w:r w:rsidRPr="00126433">
        <w:rPr>
          <w:sz w:val="20"/>
          <w:szCs w:val="20"/>
          <w:lang w:val="en-US"/>
        </w:rPr>
        <w:t xml:space="preserve"> J m</w:t>
      </w:r>
      <w:r w:rsidR="00164385" w:rsidRPr="00456FF6">
        <w:rPr>
          <w:sz w:val="20"/>
          <w:szCs w:val="20"/>
          <w:vertAlign w:val="superscript"/>
          <w:lang w:val="en-US"/>
        </w:rPr>
        <w:t>-3</w:t>
      </w:r>
      <w:r w:rsidRPr="00126433">
        <w:rPr>
          <w:sz w:val="20"/>
          <w:szCs w:val="20"/>
          <w:lang w:val="en-US"/>
        </w:rPr>
        <w:t xml:space="preserve"> K</w:t>
      </w:r>
      <w:r w:rsidR="00164385" w:rsidRPr="00456FF6">
        <w:rPr>
          <w:sz w:val="20"/>
          <w:szCs w:val="20"/>
          <w:vertAlign w:val="superscript"/>
          <w:lang w:val="en-US"/>
        </w:rPr>
        <w:t>-1</w:t>
      </w:r>
      <w:r w:rsidRPr="00126433">
        <w:rPr>
          <w:sz w:val="20"/>
          <w:szCs w:val="20"/>
          <w:lang w:val="en-US"/>
        </w:rPr>
        <w:t xml:space="preserve">. </w:t>
      </w:r>
    </w:p>
    <w:p w14:paraId="0551395A" w14:textId="5441CF5A" w:rsidR="00126433" w:rsidRPr="00126433" w:rsidRDefault="00126433" w:rsidP="00126433">
      <w:pPr>
        <w:spacing w:line="276" w:lineRule="auto"/>
        <w:rPr>
          <w:sz w:val="20"/>
          <w:szCs w:val="20"/>
          <w:lang w:val="en-US"/>
        </w:rPr>
      </w:pPr>
      <w:r w:rsidRPr="00126433">
        <w:rPr>
          <w:sz w:val="20"/>
          <w:szCs w:val="20"/>
          <w:lang w:val="en-US"/>
        </w:rPr>
        <w:t xml:space="preserve">The linear heat-loss coefficient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1</m:t>
            </m:r>
          </m:sub>
        </m:sSub>
      </m:oMath>
      <w:r w:rsidR="00BC052F">
        <w:rPr>
          <w:sz w:val="20"/>
          <w:szCs w:val="20"/>
          <w:lang w:val="en-US"/>
        </w:rPr>
        <w:t xml:space="preserve"> </w:t>
      </w:r>
      <w:r w:rsidRPr="00126433">
        <w:rPr>
          <w:sz w:val="20"/>
          <w:szCs w:val="20"/>
          <w:lang w:val="en-US"/>
        </w:rPr>
        <w:t>increased from 4.</w:t>
      </w:r>
      <w:r w:rsidR="00BC052F">
        <w:rPr>
          <w:sz w:val="20"/>
          <w:szCs w:val="20"/>
          <w:lang w:val="en-US"/>
        </w:rPr>
        <w:t>9</w:t>
      </w:r>
      <w:r w:rsidRPr="00126433">
        <w:rPr>
          <w:sz w:val="20"/>
          <w:szCs w:val="20"/>
          <w:lang w:val="en-US"/>
        </w:rPr>
        <w:t xml:space="preserve"> to 5.</w:t>
      </w:r>
      <w:r w:rsidR="00BC052F">
        <w:rPr>
          <w:sz w:val="20"/>
          <w:szCs w:val="20"/>
          <w:lang w:val="en-US"/>
        </w:rPr>
        <w:t>6</w:t>
      </w:r>
      <w:r w:rsidRPr="00126433">
        <w:rPr>
          <w:sz w:val="20"/>
          <w:szCs w:val="20"/>
          <w:lang w:val="en-US"/>
        </w:rPr>
        <w:t xml:space="preserve"> W m</w:t>
      </w:r>
      <w:r w:rsidR="00164385" w:rsidRPr="00456FF6">
        <w:rPr>
          <w:sz w:val="20"/>
          <w:szCs w:val="20"/>
          <w:vertAlign w:val="superscript"/>
          <w:lang w:val="en-US"/>
        </w:rPr>
        <w:t>-2</w:t>
      </w:r>
      <w:r w:rsidRPr="00126433">
        <w:rPr>
          <w:sz w:val="20"/>
          <w:szCs w:val="20"/>
          <w:lang w:val="en-US"/>
        </w:rPr>
        <w:t xml:space="preserve"> K</w:t>
      </w:r>
      <w:r w:rsidR="00164385" w:rsidRPr="00456FF6">
        <w:rPr>
          <w:sz w:val="20"/>
          <w:szCs w:val="20"/>
          <w:vertAlign w:val="superscript"/>
          <w:lang w:val="en-US"/>
        </w:rPr>
        <w:t>-1</w:t>
      </w:r>
      <w:r w:rsidRPr="00126433">
        <w:rPr>
          <w:sz w:val="20"/>
          <w:szCs w:val="20"/>
          <w:lang w:val="en-US"/>
        </w:rPr>
        <w:t>, while the fitted peak collector efficiency decreased from 0.5</w:t>
      </w:r>
      <w:r w:rsidR="005F391F">
        <w:rPr>
          <w:sz w:val="20"/>
          <w:szCs w:val="20"/>
          <w:lang w:val="en-US"/>
        </w:rPr>
        <w:t>3</w:t>
      </w:r>
      <w:r w:rsidRPr="00126433">
        <w:rPr>
          <w:sz w:val="20"/>
          <w:szCs w:val="20"/>
          <w:lang w:val="en-US"/>
        </w:rPr>
        <w:t xml:space="preserve"> to 0.50. Thus, restricting the airflow also affected the coefficients of the insulated collector, although the reduction in wind dependence was less pronounced than for the non-insulated collector.</w:t>
      </w:r>
    </w:p>
    <w:p w14:paraId="1811D8E3" w14:textId="77777777" w:rsidR="00126433" w:rsidRPr="00126433" w:rsidRDefault="00126433" w:rsidP="00126433">
      <w:pPr>
        <w:spacing w:line="276" w:lineRule="auto"/>
        <w:rPr>
          <w:sz w:val="20"/>
          <w:szCs w:val="20"/>
          <w:lang w:val="en-US"/>
        </w:rPr>
      </w:pPr>
      <w:r w:rsidRPr="00126433">
        <w:rPr>
          <w:sz w:val="20"/>
          <w:szCs w:val="20"/>
          <w:lang w:val="en-US"/>
        </w:rPr>
        <w:t>Overall, the results demonstrate that mounting configuration influenced the derived thermal performance coefficients. The clearest and most consistent effect was a reduction in the wind-dependent heat-loss coefficient when barriers were installed. This effect was particularly pronounced for the non-insulated collector, confirming the importance of unrestricted backside airflow for its convective heat transfer.</w:t>
      </w:r>
    </w:p>
    <w:p w14:paraId="3D463566" w14:textId="3737555B" w:rsidR="00AA7592" w:rsidRDefault="00AA7592" w:rsidP="00410476">
      <w:pPr>
        <w:spacing w:line="276" w:lineRule="auto"/>
        <w:rPr>
          <w:sz w:val="20"/>
          <w:szCs w:val="20"/>
          <w:lang w:val="en-US"/>
        </w:rPr>
      </w:pPr>
    </w:p>
    <w:p w14:paraId="628A6394" w14:textId="60D259C6" w:rsidR="00B96ADC" w:rsidRDefault="00B96ADC" w:rsidP="00410476">
      <w:pPr>
        <w:spacing w:line="276" w:lineRule="auto"/>
        <w:rPr>
          <w:b/>
          <w:color w:val="000000"/>
          <w:sz w:val="16"/>
          <w:szCs w:val="20"/>
          <w:lang w:val="en-US"/>
        </w:rPr>
      </w:pPr>
    </w:p>
    <w:p w14:paraId="2C3A5E5A" w14:textId="73E57E04" w:rsidR="004078FF" w:rsidRPr="006309AA" w:rsidRDefault="004078FF" w:rsidP="004078FF">
      <w:pPr>
        <w:pStyle w:val="SWCTableFigureCaption"/>
      </w:pPr>
      <w:r>
        <w:t xml:space="preserve">Tab. </w:t>
      </w:r>
      <w:r w:rsidR="000236F8">
        <w:t>1</w:t>
      </w:r>
      <w:r>
        <w:t>:</w:t>
      </w:r>
      <w:r w:rsidRPr="006309AA">
        <w:t xml:space="preserve"> </w:t>
      </w:r>
      <w:r w:rsidR="000A30D2">
        <w:t>Derived c</w:t>
      </w:r>
      <w:r w:rsidR="008322B9">
        <w:t>ollector</w:t>
      </w:r>
      <w:r w:rsidR="004928E1">
        <w:t xml:space="preserve"> efficiency</w:t>
      </w:r>
      <w:r w:rsidR="008322B9">
        <w:t xml:space="preserve"> </w:t>
      </w:r>
      <w:r w:rsidR="004928E1">
        <w:t xml:space="preserve">coefficient </w:t>
      </w:r>
      <w:r w:rsidR="000A30D2">
        <w:t>for PVT</w:t>
      </w:r>
      <w:r w:rsidR="004928E1">
        <w:t xml:space="preserve"> panels </w:t>
      </w:r>
      <w:r w:rsidR="007B72F5">
        <w:t>under</w:t>
      </w:r>
      <w:r w:rsidR="004928E1">
        <w:t xml:space="preserve"> free</w:t>
      </w:r>
      <w:r w:rsidR="00ED2152">
        <w:t>ly</w:t>
      </w:r>
      <w:r w:rsidR="004928E1">
        <w:t xml:space="preserve"> </w:t>
      </w:r>
      <w:r w:rsidR="00ED2152">
        <w:t>ventilated</w:t>
      </w:r>
      <w:r w:rsidR="004928E1">
        <w:t xml:space="preserve"> and</w:t>
      </w:r>
      <w:r w:rsidR="00AA6B2D">
        <w:t xml:space="preserve"> partly</w:t>
      </w:r>
      <w:r w:rsidR="004928E1">
        <w:t xml:space="preserve"> </w:t>
      </w:r>
      <w:r w:rsidR="00AA6B2D">
        <w:t>restricted airflow</w:t>
      </w:r>
      <w:r w:rsidR="008810CC">
        <w:t xml:space="preserve"> conditions</w:t>
      </w:r>
      <w:r w:rsidR="00AA6B2D">
        <w:t xml:space="preserve">. </w:t>
      </w:r>
    </w:p>
    <w:tbl>
      <w:tblPr>
        <w:tblStyle w:val="TableGrid"/>
        <w:tblW w:w="9557" w:type="dxa"/>
        <w:jc w:val="center"/>
        <w:tblLook w:val="01E0" w:firstRow="1" w:lastRow="1" w:firstColumn="1" w:lastColumn="1" w:noHBand="0" w:noVBand="0"/>
      </w:tblPr>
      <w:tblGrid>
        <w:gridCol w:w="1216"/>
        <w:gridCol w:w="1006"/>
        <w:gridCol w:w="1034"/>
        <w:gridCol w:w="856"/>
        <w:gridCol w:w="1847"/>
        <w:gridCol w:w="870"/>
        <w:gridCol w:w="1020"/>
        <w:gridCol w:w="1698"/>
        <w:gridCol w:w="10"/>
      </w:tblGrid>
      <w:tr w:rsidR="00E75F6E" w:rsidRPr="006309AA" w14:paraId="487AAC12" w14:textId="77777777" w:rsidTr="007553D7">
        <w:trPr>
          <w:jc w:val="center"/>
        </w:trPr>
        <w:tc>
          <w:tcPr>
            <w:tcW w:w="1216" w:type="dxa"/>
          </w:tcPr>
          <w:p w14:paraId="72C4A018" w14:textId="77777777" w:rsidR="00E75F6E" w:rsidRPr="006309AA" w:rsidRDefault="00E75F6E" w:rsidP="003C6F27">
            <w:pPr>
              <w:pStyle w:val="SWCTableHeader"/>
            </w:pPr>
          </w:p>
        </w:tc>
        <w:tc>
          <w:tcPr>
            <w:tcW w:w="1006" w:type="dxa"/>
          </w:tcPr>
          <w:p w14:paraId="7C3EB0D3" w14:textId="77777777" w:rsidR="00E75F6E" w:rsidRDefault="00E75F6E" w:rsidP="003C6F27">
            <w:pPr>
              <w:pStyle w:val="SWCTableHeader"/>
            </w:pPr>
          </w:p>
        </w:tc>
        <w:tc>
          <w:tcPr>
            <w:tcW w:w="3737" w:type="dxa"/>
            <w:gridSpan w:val="3"/>
          </w:tcPr>
          <w:p w14:paraId="0C129574" w14:textId="62DCF15D" w:rsidR="00E75F6E" w:rsidRPr="006309AA" w:rsidRDefault="00E75F6E" w:rsidP="003C6F27">
            <w:pPr>
              <w:pStyle w:val="SWCTableHeader"/>
            </w:pPr>
            <w:r>
              <w:t>I</w:t>
            </w:r>
            <w:r w:rsidR="00C31DD8">
              <w:t>nsulated</w:t>
            </w:r>
            <w:r w:rsidR="002A6C68">
              <w:t xml:space="preserve"> PVT</w:t>
            </w:r>
          </w:p>
        </w:tc>
        <w:tc>
          <w:tcPr>
            <w:tcW w:w="3598" w:type="dxa"/>
            <w:gridSpan w:val="4"/>
          </w:tcPr>
          <w:p w14:paraId="3FFC2DED" w14:textId="3AA404A3" w:rsidR="00E75F6E" w:rsidRPr="006309AA" w:rsidRDefault="00E75F6E" w:rsidP="003C6F27">
            <w:pPr>
              <w:pStyle w:val="SWCTableHeader"/>
            </w:pPr>
            <w:r>
              <w:t>No</w:t>
            </w:r>
            <w:r w:rsidR="002A6C68">
              <w:t>n</w:t>
            </w:r>
            <w:r>
              <w:t xml:space="preserve"> insulat</w:t>
            </w:r>
            <w:r w:rsidR="002A6C68">
              <w:t>ed PVT</w:t>
            </w:r>
          </w:p>
        </w:tc>
      </w:tr>
      <w:tr w:rsidR="00E75F6E" w:rsidRPr="006309AA" w14:paraId="0E944D3F" w14:textId="77777777" w:rsidTr="00E51534">
        <w:trPr>
          <w:gridAfter w:val="1"/>
          <w:wAfter w:w="10" w:type="dxa"/>
          <w:trHeight w:val="590"/>
          <w:jc w:val="center"/>
        </w:trPr>
        <w:tc>
          <w:tcPr>
            <w:tcW w:w="1216" w:type="dxa"/>
          </w:tcPr>
          <w:p w14:paraId="2528199D" w14:textId="77777777" w:rsidR="00E75F6E" w:rsidRPr="006309AA" w:rsidRDefault="00E75F6E" w:rsidP="003C6F27">
            <w:pPr>
              <w:pStyle w:val="SWCTableHeader"/>
            </w:pPr>
            <w:r>
              <w:t>parameter</w:t>
            </w:r>
          </w:p>
        </w:tc>
        <w:tc>
          <w:tcPr>
            <w:tcW w:w="1006" w:type="dxa"/>
          </w:tcPr>
          <w:p w14:paraId="0E6B652B" w14:textId="77777777" w:rsidR="00E75F6E" w:rsidRDefault="00E75F6E" w:rsidP="003C6F27">
            <w:pPr>
              <w:pStyle w:val="SWCTableHeader"/>
            </w:pPr>
            <w:r>
              <w:t>unit</w:t>
            </w:r>
          </w:p>
        </w:tc>
        <w:tc>
          <w:tcPr>
            <w:tcW w:w="1890" w:type="dxa"/>
            <w:gridSpan w:val="2"/>
            <w:tcBorders>
              <w:bottom w:val="single" w:sz="4" w:space="0" w:color="auto"/>
            </w:tcBorders>
          </w:tcPr>
          <w:p w14:paraId="4914E0E3" w14:textId="726F1071" w:rsidR="00E75F6E" w:rsidRPr="006309AA" w:rsidRDefault="005025CD" w:rsidP="003C6F27">
            <w:pPr>
              <w:pStyle w:val="SWCTableHeader"/>
            </w:pPr>
            <w:r>
              <w:t>Free</w:t>
            </w:r>
            <w:r w:rsidR="00953382">
              <w:t>ly</w:t>
            </w:r>
            <w:r w:rsidR="000F58B7">
              <w:t xml:space="preserve"> ventilat</w:t>
            </w:r>
            <w:r w:rsidR="00953382">
              <w:t>ed</w:t>
            </w:r>
            <w:r w:rsidR="000F58B7">
              <w:t>/</w:t>
            </w:r>
            <w:r>
              <w:br/>
            </w:r>
            <w:r w:rsidR="00E75F6E">
              <w:t>N</w:t>
            </w:r>
            <w:r>
              <w:t>o</w:t>
            </w:r>
            <w:r w:rsidR="00E75F6E">
              <w:t xml:space="preserve"> </w:t>
            </w:r>
            <w:r>
              <w:t>barrier</w:t>
            </w:r>
          </w:p>
        </w:tc>
        <w:tc>
          <w:tcPr>
            <w:tcW w:w="1847" w:type="dxa"/>
          </w:tcPr>
          <w:p w14:paraId="59E79F5E" w14:textId="77777777" w:rsidR="005025CD" w:rsidRDefault="005025CD" w:rsidP="005025CD">
            <w:pPr>
              <w:pStyle w:val="SWCTableHeader"/>
            </w:pPr>
            <w:r>
              <w:t xml:space="preserve">Partly restricted/ </w:t>
            </w:r>
          </w:p>
          <w:p w14:paraId="41043C22" w14:textId="25D9CAAB" w:rsidR="00E75F6E" w:rsidRDefault="005025CD" w:rsidP="005025CD">
            <w:pPr>
              <w:pStyle w:val="SWCTableHeader"/>
            </w:pPr>
            <w:r>
              <w:t>Barrier w. gap</w:t>
            </w:r>
          </w:p>
        </w:tc>
        <w:tc>
          <w:tcPr>
            <w:tcW w:w="1890" w:type="dxa"/>
            <w:gridSpan w:val="2"/>
            <w:tcBorders>
              <w:bottom w:val="single" w:sz="4" w:space="0" w:color="auto"/>
            </w:tcBorders>
          </w:tcPr>
          <w:p w14:paraId="5A83ABC2" w14:textId="6C8BF76E" w:rsidR="00E75F6E" w:rsidRPr="006309AA" w:rsidRDefault="00953382" w:rsidP="003C6F27">
            <w:pPr>
              <w:pStyle w:val="SWCTableHeader"/>
            </w:pPr>
            <w:r>
              <w:t>Freely ventilated/</w:t>
            </w:r>
            <w:r w:rsidR="007553D7">
              <w:br/>
              <w:t>No barrier</w:t>
            </w:r>
          </w:p>
        </w:tc>
        <w:tc>
          <w:tcPr>
            <w:tcW w:w="1698" w:type="dxa"/>
          </w:tcPr>
          <w:p w14:paraId="2675731B" w14:textId="452BFD9D" w:rsidR="005025CD" w:rsidRDefault="005025CD" w:rsidP="003C6F27">
            <w:pPr>
              <w:pStyle w:val="SWCTableHeader"/>
            </w:pPr>
            <w:r>
              <w:t xml:space="preserve">Partly restricted/ </w:t>
            </w:r>
          </w:p>
          <w:p w14:paraId="08610F4A" w14:textId="57E92676" w:rsidR="00E75F6E" w:rsidRPr="006309AA" w:rsidRDefault="005025CD" w:rsidP="003C6F27">
            <w:pPr>
              <w:pStyle w:val="SWCTableHeader"/>
            </w:pPr>
            <w:r>
              <w:t>Barrier w. gap</w:t>
            </w:r>
          </w:p>
        </w:tc>
      </w:tr>
      <w:tr w:rsidR="00E51534" w:rsidRPr="006309AA" w14:paraId="4BA5DFB3" w14:textId="77777777" w:rsidTr="00E51534">
        <w:trPr>
          <w:gridAfter w:val="1"/>
          <w:wAfter w:w="10" w:type="dxa"/>
          <w:trHeight w:val="119"/>
          <w:jc w:val="center"/>
        </w:trPr>
        <w:tc>
          <w:tcPr>
            <w:tcW w:w="1216" w:type="dxa"/>
          </w:tcPr>
          <w:p w14:paraId="2822E6FA" w14:textId="1B1CE084" w:rsidR="00E51534" w:rsidRPr="006309AA" w:rsidRDefault="00E51534" w:rsidP="007D2595">
            <w:pPr>
              <w:pStyle w:val="SWCTableText"/>
            </w:pPr>
            <w:r w:rsidRPr="004046DA">
              <w:rPr>
                <w:sz w:val="18"/>
                <w:lang w:val="da-DK"/>
              </w:rPr>
              <w:t>η</w:t>
            </w:r>
            <w:proofErr w:type="gramStart"/>
            <w:r w:rsidRPr="004046DA">
              <w:rPr>
                <w:sz w:val="18"/>
                <w:vertAlign w:val="subscript"/>
              </w:rPr>
              <w:t>0,b</w:t>
            </w:r>
            <w:proofErr w:type="gramEnd"/>
          </w:p>
        </w:tc>
        <w:tc>
          <w:tcPr>
            <w:tcW w:w="1006" w:type="dxa"/>
            <w:tcBorders>
              <w:right w:val="single" w:sz="4" w:space="0" w:color="auto"/>
            </w:tcBorders>
          </w:tcPr>
          <w:p w14:paraId="5E03CDA6" w14:textId="64D0FA72" w:rsidR="00E51534" w:rsidRDefault="00E51534" w:rsidP="007D2595">
            <w:pPr>
              <w:pStyle w:val="SWCTableText"/>
              <w:rPr>
                <w:sz w:val="18"/>
              </w:rPr>
            </w:pPr>
            <w:r>
              <w:rPr>
                <w:sz w:val="18"/>
              </w:rPr>
              <w:t>-</w:t>
            </w:r>
          </w:p>
        </w:tc>
        <w:tc>
          <w:tcPr>
            <w:tcW w:w="1034" w:type="dxa"/>
            <w:tcBorders>
              <w:top w:val="single" w:sz="4" w:space="0" w:color="auto"/>
              <w:left w:val="single" w:sz="4" w:space="0" w:color="auto"/>
              <w:bottom w:val="single" w:sz="4" w:space="0" w:color="auto"/>
              <w:right w:val="nil"/>
            </w:tcBorders>
          </w:tcPr>
          <w:p w14:paraId="52F5486C" w14:textId="64AC9E2F" w:rsidR="00E51534" w:rsidRDefault="00E51534" w:rsidP="00E51534">
            <w:pPr>
              <w:pStyle w:val="SWCTableText"/>
              <w:rPr>
                <w:sz w:val="18"/>
              </w:rPr>
            </w:pPr>
            <w:r>
              <w:rPr>
                <w:sz w:val="18"/>
              </w:rPr>
              <w:t>0.53</w:t>
            </w:r>
          </w:p>
        </w:tc>
        <w:tc>
          <w:tcPr>
            <w:tcW w:w="856" w:type="dxa"/>
            <w:tcBorders>
              <w:top w:val="single" w:sz="4" w:space="0" w:color="auto"/>
              <w:left w:val="nil"/>
              <w:bottom w:val="single" w:sz="4" w:space="0" w:color="auto"/>
              <w:right w:val="single" w:sz="4" w:space="0" w:color="auto"/>
            </w:tcBorders>
          </w:tcPr>
          <w:p w14:paraId="75B33C60" w14:textId="4D3D5EB2" w:rsidR="00E51534" w:rsidRDefault="00E51534" w:rsidP="00E51534">
            <w:pPr>
              <w:pStyle w:val="SWCTableText"/>
              <w:rPr>
                <w:sz w:val="18"/>
              </w:rPr>
            </w:pPr>
            <w:r>
              <w:rPr>
                <w:sz w:val="18"/>
              </w:rPr>
              <w:t>(0.53)</w:t>
            </w:r>
          </w:p>
        </w:tc>
        <w:tc>
          <w:tcPr>
            <w:tcW w:w="1847" w:type="dxa"/>
            <w:tcBorders>
              <w:left w:val="single" w:sz="4" w:space="0" w:color="auto"/>
              <w:right w:val="single" w:sz="4" w:space="0" w:color="auto"/>
            </w:tcBorders>
          </w:tcPr>
          <w:p w14:paraId="26E83F63" w14:textId="2E0AF705" w:rsidR="00E51534" w:rsidRDefault="00E51534" w:rsidP="007D2595">
            <w:pPr>
              <w:pStyle w:val="SWCTableText"/>
              <w:rPr>
                <w:sz w:val="18"/>
              </w:rPr>
            </w:pPr>
            <w:r>
              <w:rPr>
                <w:sz w:val="18"/>
              </w:rPr>
              <w:t>0.5</w:t>
            </w:r>
          </w:p>
        </w:tc>
        <w:tc>
          <w:tcPr>
            <w:tcW w:w="870" w:type="dxa"/>
            <w:tcBorders>
              <w:top w:val="single" w:sz="4" w:space="0" w:color="auto"/>
              <w:left w:val="single" w:sz="4" w:space="0" w:color="auto"/>
              <w:bottom w:val="single" w:sz="4" w:space="0" w:color="auto"/>
              <w:right w:val="nil"/>
            </w:tcBorders>
          </w:tcPr>
          <w:p w14:paraId="36D47EE0" w14:textId="3E7EB6C2" w:rsidR="00E51534" w:rsidRPr="00FC09A1" w:rsidRDefault="00E51534" w:rsidP="00E51534">
            <w:pPr>
              <w:pStyle w:val="SWCTableText"/>
            </w:pPr>
            <w:r>
              <w:t>0.56</w:t>
            </w:r>
          </w:p>
        </w:tc>
        <w:tc>
          <w:tcPr>
            <w:tcW w:w="1020" w:type="dxa"/>
            <w:tcBorders>
              <w:top w:val="single" w:sz="4" w:space="0" w:color="auto"/>
              <w:left w:val="nil"/>
              <w:bottom w:val="single" w:sz="4" w:space="0" w:color="auto"/>
              <w:right w:val="single" w:sz="4" w:space="0" w:color="auto"/>
            </w:tcBorders>
          </w:tcPr>
          <w:p w14:paraId="193C9E0A" w14:textId="25337C3A" w:rsidR="00E51534" w:rsidRPr="00FC09A1" w:rsidRDefault="00E51534" w:rsidP="00E51534">
            <w:pPr>
              <w:pStyle w:val="SWCTableText"/>
            </w:pPr>
            <w:r>
              <w:t>(0.56)</w:t>
            </w:r>
          </w:p>
        </w:tc>
        <w:tc>
          <w:tcPr>
            <w:tcW w:w="1698" w:type="dxa"/>
            <w:tcBorders>
              <w:left w:val="single" w:sz="4" w:space="0" w:color="auto"/>
            </w:tcBorders>
          </w:tcPr>
          <w:p w14:paraId="11141CE9" w14:textId="4B8A71CD" w:rsidR="00E51534" w:rsidRPr="006309AA" w:rsidRDefault="00E51534" w:rsidP="007D2595">
            <w:pPr>
              <w:pStyle w:val="SWCTableText"/>
            </w:pPr>
            <w:r>
              <w:t>0.52</w:t>
            </w:r>
          </w:p>
        </w:tc>
      </w:tr>
      <w:tr w:rsidR="00E51534" w:rsidRPr="006309AA" w14:paraId="2D3E188B" w14:textId="77777777" w:rsidTr="00E51534">
        <w:trPr>
          <w:gridAfter w:val="1"/>
          <w:wAfter w:w="10" w:type="dxa"/>
          <w:jc w:val="center"/>
        </w:trPr>
        <w:tc>
          <w:tcPr>
            <w:tcW w:w="1216" w:type="dxa"/>
          </w:tcPr>
          <w:p w14:paraId="04C5C2A9" w14:textId="4548572D" w:rsidR="00E51534" w:rsidRDefault="00E51534" w:rsidP="007D2595">
            <w:pPr>
              <w:pStyle w:val="SWCTableText"/>
            </w:pPr>
            <w:r>
              <w:t>a</w:t>
            </w:r>
            <w:r w:rsidRPr="009032F3">
              <w:rPr>
                <w:vertAlign w:val="subscript"/>
              </w:rPr>
              <w:t>1</w:t>
            </w:r>
          </w:p>
        </w:tc>
        <w:tc>
          <w:tcPr>
            <w:tcW w:w="1006" w:type="dxa"/>
            <w:tcBorders>
              <w:right w:val="single" w:sz="4" w:space="0" w:color="auto"/>
            </w:tcBorders>
          </w:tcPr>
          <w:p w14:paraId="31C98B36" w14:textId="1ECC7AF0" w:rsidR="00E51534" w:rsidRDefault="00E51534" w:rsidP="007D2595">
            <w:pPr>
              <w:pStyle w:val="SWCTableText"/>
              <w:rPr>
                <w:sz w:val="18"/>
              </w:rPr>
            </w:pPr>
            <w:r>
              <w:rPr>
                <w:sz w:val="18"/>
              </w:rPr>
              <w:t>W m</w:t>
            </w:r>
            <w:r>
              <w:rPr>
                <w:sz w:val="18"/>
                <w:vertAlign w:val="superscript"/>
              </w:rPr>
              <w:t xml:space="preserve">-2 </w:t>
            </w:r>
            <w:r>
              <w:rPr>
                <w:sz w:val="18"/>
              </w:rPr>
              <w:t>K</w:t>
            </w:r>
            <w:r>
              <w:rPr>
                <w:sz w:val="18"/>
                <w:vertAlign w:val="superscript"/>
              </w:rPr>
              <w:t>-1</w:t>
            </w:r>
          </w:p>
        </w:tc>
        <w:tc>
          <w:tcPr>
            <w:tcW w:w="1034" w:type="dxa"/>
            <w:tcBorders>
              <w:top w:val="single" w:sz="4" w:space="0" w:color="auto"/>
              <w:left w:val="single" w:sz="4" w:space="0" w:color="auto"/>
              <w:bottom w:val="single" w:sz="4" w:space="0" w:color="auto"/>
              <w:right w:val="nil"/>
            </w:tcBorders>
          </w:tcPr>
          <w:p w14:paraId="1BEE6AD7" w14:textId="3422B151" w:rsidR="00E51534" w:rsidRDefault="00E51534" w:rsidP="00E51534">
            <w:pPr>
              <w:pStyle w:val="SWCTableText"/>
              <w:rPr>
                <w:sz w:val="18"/>
              </w:rPr>
            </w:pPr>
            <w:r>
              <w:rPr>
                <w:sz w:val="18"/>
              </w:rPr>
              <w:t>3.7</w:t>
            </w:r>
          </w:p>
        </w:tc>
        <w:tc>
          <w:tcPr>
            <w:tcW w:w="856" w:type="dxa"/>
            <w:tcBorders>
              <w:top w:val="single" w:sz="4" w:space="0" w:color="auto"/>
              <w:left w:val="nil"/>
              <w:bottom w:val="single" w:sz="4" w:space="0" w:color="auto"/>
              <w:right w:val="single" w:sz="4" w:space="0" w:color="auto"/>
            </w:tcBorders>
          </w:tcPr>
          <w:p w14:paraId="27A5C468" w14:textId="0C0F504C" w:rsidR="00E51534" w:rsidRDefault="00E51534" w:rsidP="00E51534">
            <w:pPr>
              <w:pStyle w:val="SWCTableText"/>
              <w:rPr>
                <w:sz w:val="18"/>
              </w:rPr>
            </w:pPr>
            <w:r>
              <w:rPr>
                <w:sz w:val="18"/>
              </w:rPr>
              <w:t>(4.9)</w:t>
            </w:r>
          </w:p>
        </w:tc>
        <w:tc>
          <w:tcPr>
            <w:tcW w:w="1847" w:type="dxa"/>
            <w:tcBorders>
              <w:top w:val="single" w:sz="4" w:space="0" w:color="auto"/>
              <w:left w:val="single" w:sz="4" w:space="0" w:color="auto"/>
              <w:right w:val="single" w:sz="4" w:space="0" w:color="auto"/>
            </w:tcBorders>
          </w:tcPr>
          <w:p w14:paraId="248573E1" w14:textId="082251B8" w:rsidR="00E51534" w:rsidRDefault="00E51534" w:rsidP="007D2595">
            <w:pPr>
              <w:pStyle w:val="SWCTableText"/>
              <w:rPr>
                <w:sz w:val="18"/>
              </w:rPr>
            </w:pPr>
            <w:r>
              <w:rPr>
                <w:sz w:val="18"/>
              </w:rPr>
              <w:t>5.6</w:t>
            </w:r>
          </w:p>
        </w:tc>
        <w:tc>
          <w:tcPr>
            <w:tcW w:w="870" w:type="dxa"/>
            <w:tcBorders>
              <w:top w:val="single" w:sz="4" w:space="0" w:color="auto"/>
              <w:left w:val="single" w:sz="4" w:space="0" w:color="auto"/>
              <w:bottom w:val="single" w:sz="4" w:space="0" w:color="auto"/>
              <w:right w:val="nil"/>
            </w:tcBorders>
          </w:tcPr>
          <w:p w14:paraId="2EBB33F0" w14:textId="16EC5CFE" w:rsidR="00E51534" w:rsidRPr="002C116C" w:rsidRDefault="00E51534" w:rsidP="00E51534">
            <w:pPr>
              <w:pStyle w:val="SWCTableText"/>
            </w:pPr>
            <w:r w:rsidRPr="002C116C">
              <w:t>6.</w:t>
            </w:r>
            <w:r>
              <w:t>9</w:t>
            </w:r>
          </w:p>
        </w:tc>
        <w:tc>
          <w:tcPr>
            <w:tcW w:w="1020" w:type="dxa"/>
            <w:tcBorders>
              <w:top w:val="single" w:sz="4" w:space="0" w:color="auto"/>
              <w:left w:val="nil"/>
              <w:bottom w:val="single" w:sz="4" w:space="0" w:color="auto"/>
              <w:right w:val="single" w:sz="4" w:space="0" w:color="auto"/>
            </w:tcBorders>
          </w:tcPr>
          <w:p w14:paraId="2BA956E2" w14:textId="35661B39" w:rsidR="00E51534" w:rsidRPr="002C116C" w:rsidRDefault="00E51534" w:rsidP="00E51534">
            <w:pPr>
              <w:pStyle w:val="SWCTableText"/>
            </w:pPr>
            <w:r w:rsidRPr="002C116C">
              <w:t>(</w:t>
            </w:r>
            <w:r>
              <w:t>10.3</w:t>
            </w:r>
            <w:r w:rsidRPr="002C116C">
              <w:t>)</w:t>
            </w:r>
          </w:p>
        </w:tc>
        <w:tc>
          <w:tcPr>
            <w:tcW w:w="1698" w:type="dxa"/>
            <w:tcBorders>
              <w:left w:val="single" w:sz="4" w:space="0" w:color="auto"/>
            </w:tcBorders>
          </w:tcPr>
          <w:p w14:paraId="5EC456AD" w14:textId="2989EF2D" w:rsidR="00E51534" w:rsidRPr="002C116C" w:rsidRDefault="00E51534" w:rsidP="007D2595">
            <w:pPr>
              <w:pStyle w:val="SWCTableText"/>
            </w:pPr>
            <w:r>
              <w:t>10.2</w:t>
            </w:r>
          </w:p>
        </w:tc>
      </w:tr>
      <w:tr w:rsidR="00E51534" w:rsidRPr="006309AA" w14:paraId="372F1FA3" w14:textId="77777777" w:rsidTr="00E51534">
        <w:trPr>
          <w:gridAfter w:val="1"/>
          <w:wAfter w:w="10" w:type="dxa"/>
          <w:jc w:val="center"/>
        </w:trPr>
        <w:tc>
          <w:tcPr>
            <w:tcW w:w="1216" w:type="dxa"/>
          </w:tcPr>
          <w:p w14:paraId="35598D17" w14:textId="48EC5B21" w:rsidR="00E51534" w:rsidRDefault="00E51534" w:rsidP="007D2595">
            <w:pPr>
              <w:pStyle w:val="SWCTableText"/>
            </w:pPr>
            <w:r>
              <w:t>a</w:t>
            </w:r>
            <w:r w:rsidRPr="009032F3">
              <w:rPr>
                <w:vertAlign w:val="subscript"/>
              </w:rPr>
              <w:t>2</w:t>
            </w:r>
          </w:p>
        </w:tc>
        <w:tc>
          <w:tcPr>
            <w:tcW w:w="1006" w:type="dxa"/>
            <w:tcBorders>
              <w:right w:val="single" w:sz="4" w:space="0" w:color="auto"/>
            </w:tcBorders>
          </w:tcPr>
          <w:p w14:paraId="478678E8" w14:textId="1E7B2962" w:rsidR="00E51534" w:rsidRDefault="00E51534" w:rsidP="007D2595">
            <w:pPr>
              <w:pStyle w:val="SWCTableText"/>
              <w:rPr>
                <w:sz w:val="18"/>
              </w:rPr>
            </w:pPr>
            <w:r>
              <w:rPr>
                <w:sz w:val="18"/>
              </w:rPr>
              <w:t>W m</w:t>
            </w:r>
            <w:r>
              <w:rPr>
                <w:sz w:val="18"/>
                <w:vertAlign w:val="superscript"/>
              </w:rPr>
              <w:t xml:space="preserve">-2 </w:t>
            </w:r>
            <w:r>
              <w:rPr>
                <w:sz w:val="18"/>
              </w:rPr>
              <w:t>K</w:t>
            </w:r>
            <w:r>
              <w:rPr>
                <w:sz w:val="18"/>
                <w:vertAlign w:val="superscript"/>
              </w:rPr>
              <w:t>-2</w:t>
            </w:r>
          </w:p>
        </w:tc>
        <w:tc>
          <w:tcPr>
            <w:tcW w:w="1034" w:type="dxa"/>
            <w:tcBorders>
              <w:top w:val="single" w:sz="4" w:space="0" w:color="auto"/>
              <w:left w:val="single" w:sz="4" w:space="0" w:color="auto"/>
              <w:bottom w:val="single" w:sz="4" w:space="0" w:color="auto"/>
              <w:right w:val="nil"/>
            </w:tcBorders>
          </w:tcPr>
          <w:p w14:paraId="0CD9360C" w14:textId="7B5EF360" w:rsidR="00E51534" w:rsidRDefault="00E51534" w:rsidP="00E51534">
            <w:pPr>
              <w:pStyle w:val="SWCTableText"/>
              <w:rPr>
                <w:sz w:val="18"/>
              </w:rPr>
            </w:pPr>
            <w:r>
              <w:rPr>
                <w:sz w:val="18"/>
              </w:rPr>
              <w:t>0.07</w:t>
            </w:r>
          </w:p>
        </w:tc>
        <w:tc>
          <w:tcPr>
            <w:tcW w:w="856" w:type="dxa"/>
            <w:tcBorders>
              <w:top w:val="single" w:sz="4" w:space="0" w:color="auto"/>
              <w:left w:val="nil"/>
              <w:bottom w:val="single" w:sz="4" w:space="0" w:color="auto"/>
              <w:right w:val="single" w:sz="4" w:space="0" w:color="auto"/>
            </w:tcBorders>
          </w:tcPr>
          <w:p w14:paraId="6F217851" w14:textId="6FEE01C2" w:rsidR="00E51534" w:rsidRDefault="00E51534" w:rsidP="00E51534">
            <w:pPr>
              <w:pStyle w:val="SWCTableText"/>
              <w:rPr>
                <w:sz w:val="18"/>
              </w:rPr>
            </w:pPr>
            <w:r>
              <w:rPr>
                <w:sz w:val="18"/>
              </w:rPr>
              <w:t>( - )</w:t>
            </w:r>
          </w:p>
        </w:tc>
        <w:tc>
          <w:tcPr>
            <w:tcW w:w="1847" w:type="dxa"/>
            <w:tcBorders>
              <w:left w:val="single" w:sz="4" w:space="0" w:color="auto"/>
              <w:right w:val="single" w:sz="4" w:space="0" w:color="auto"/>
            </w:tcBorders>
          </w:tcPr>
          <w:p w14:paraId="03FB3511" w14:textId="2541FA06" w:rsidR="00E51534" w:rsidRDefault="00E51534" w:rsidP="007D2595">
            <w:pPr>
              <w:pStyle w:val="SWCTableText"/>
              <w:rPr>
                <w:sz w:val="18"/>
              </w:rPr>
            </w:pPr>
            <w:r>
              <w:rPr>
                <w:sz w:val="18"/>
              </w:rPr>
              <w:t>N.S.</w:t>
            </w:r>
          </w:p>
        </w:tc>
        <w:tc>
          <w:tcPr>
            <w:tcW w:w="870" w:type="dxa"/>
            <w:tcBorders>
              <w:top w:val="single" w:sz="4" w:space="0" w:color="auto"/>
              <w:left w:val="single" w:sz="4" w:space="0" w:color="auto"/>
              <w:bottom w:val="single" w:sz="4" w:space="0" w:color="auto"/>
              <w:right w:val="nil"/>
            </w:tcBorders>
          </w:tcPr>
          <w:p w14:paraId="572F8452" w14:textId="2053E216" w:rsidR="00E51534" w:rsidRPr="002C116C" w:rsidRDefault="00E51534" w:rsidP="00E51534">
            <w:pPr>
              <w:pStyle w:val="SWCTableText"/>
            </w:pPr>
            <w:r w:rsidRPr="002C116C">
              <w:t>0.2</w:t>
            </w:r>
            <w:r>
              <w:t>2</w:t>
            </w:r>
          </w:p>
        </w:tc>
        <w:tc>
          <w:tcPr>
            <w:tcW w:w="1020" w:type="dxa"/>
            <w:tcBorders>
              <w:top w:val="single" w:sz="4" w:space="0" w:color="auto"/>
              <w:left w:val="nil"/>
              <w:bottom w:val="single" w:sz="4" w:space="0" w:color="auto"/>
              <w:right w:val="single" w:sz="4" w:space="0" w:color="auto"/>
            </w:tcBorders>
          </w:tcPr>
          <w:p w14:paraId="45117F3E" w14:textId="4D152023" w:rsidR="00E51534" w:rsidRPr="002C116C" w:rsidRDefault="00E51534" w:rsidP="00E51534">
            <w:pPr>
              <w:pStyle w:val="SWCTableText"/>
            </w:pPr>
            <w:r w:rsidRPr="002C116C">
              <w:t>(</w:t>
            </w:r>
            <w:r>
              <w:t xml:space="preserve"> </w:t>
            </w:r>
            <w:r w:rsidRPr="002C116C">
              <w:t>-</w:t>
            </w:r>
            <w:r>
              <w:t xml:space="preserve"> </w:t>
            </w:r>
            <w:r w:rsidRPr="002C116C">
              <w:t>)</w:t>
            </w:r>
          </w:p>
        </w:tc>
        <w:tc>
          <w:tcPr>
            <w:tcW w:w="1698" w:type="dxa"/>
            <w:tcBorders>
              <w:left w:val="single" w:sz="4" w:space="0" w:color="auto"/>
            </w:tcBorders>
          </w:tcPr>
          <w:p w14:paraId="54F43200" w14:textId="29553651" w:rsidR="00E51534" w:rsidRPr="002C116C" w:rsidRDefault="00E51534" w:rsidP="007D2595">
            <w:pPr>
              <w:pStyle w:val="SWCTableText"/>
            </w:pPr>
            <w:r w:rsidRPr="002C116C">
              <w:t>N.S.</w:t>
            </w:r>
          </w:p>
        </w:tc>
      </w:tr>
      <w:tr w:rsidR="00E51534" w:rsidRPr="006309AA" w14:paraId="6DA02DEE" w14:textId="77777777" w:rsidTr="00E51534">
        <w:trPr>
          <w:gridAfter w:val="1"/>
          <w:wAfter w:w="10" w:type="dxa"/>
          <w:jc w:val="center"/>
        </w:trPr>
        <w:tc>
          <w:tcPr>
            <w:tcW w:w="1216" w:type="dxa"/>
          </w:tcPr>
          <w:p w14:paraId="00B7A9AE" w14:textId="7CBD7C36" w:rsidR="00E51534" w:rsidRDefault="00E51534" w:rsidP="007D2595">
            <w:pPr>
              <w:pStyle w:val="SWCTableText"/>
            </w:pPr>
            <w:r>
              <w:t>a</w:t>
            </w:r>
            <w:r w:rsidRPr="009032F3">
              <w:rPr>
                <w:vertAlign w:val="subscript"/>
              </w:rPr>
              <w:t>3</w:t>
            </w:r>
          </w:p>
        </w:tc>
        <w:tc>
          <w:tcPr>
            <w:tcW w:w="1006" w:type="dxa"/>
            <w:tcBorders>
              <w:right w:val="single" w:sz="4" w:space="0" w:color="auto"/>
            </w:tcBorders>
          </w:tcPr>
          <w:p w14:paraId="20F537AD" w14:textId="598659A6" w:rsidR="00E51534" w:rsidRDefault="00E51534" w:rsidP="007D2595">
            <w:pPr>
              <w:pStyle w:val="SWCTableText"/>
              <w:rPr>
                <w:sz w:val="18"/>
              </w:rPr>
            </w:pPr>
            <w:r>
              <w:rPr>
                <w:sz w:val="18"/>
              </w:rPr>
              <w:t>J m</w:t>
            </w:r>
            <w:r>
              <w:rPr>
                <w:sz w:val="18"/>
                <w:vertAlign w:val="superscript"/>
              </w:rPr>
              <w:t xml:space="preserve">-3 </w:t>
            </w:r>
            <w:r>
              <w:rPr>
                <w:sz w:val="18"/>
              </w:rPr>
              <w:t>K</w:t>
            </w:r>
            <w:r>
              <w:rPr>
                <w:sz w:val="18"/>
                <w:vertAlign w:val="superscript"/>
              </w:rPr>
              <w:t>-1</w:t>
            </w:r>
          </w:p>
        </w:tc>
        <w:tc>
          <w:tcPr>
            <w:tcW w:w="1034" w:type="dxa"/>
            <w:tcBorders>
              <w:top w:val="single" w:sz="4" w:space="0" w:color="auto"/>
              <w:left w:val="single" w:sz="4" w:space="0" w:color="auto"/>
              <w:bottom w:val="single" w:sz="4" w:space="0" w:color="auto"/>
              <w:right w:val="nil"/>
            </w:tcBorders>
          </w:tcPr>
          <w:p w14:paraId="7A65BBEA" w14:textId="3525E15C" w:rsidR="00E51534" w:rsidRDefault="00E51534" w:rsidP="00E51534">
            <w:pPr>
              <w:pStyle w:val="SWCTableText"/>
              <w:rPr>
                <w:sz w:val="18"/>
              </w:rPr>
            </w:pPr>
            <w:r>
              <w:rPr>
                <w:sz w:val="18"/>
              </w:rPr>
              <w:t>3.0</w:t>
            </w:r>
          </w:p>
        </w:tc>
        <w:tc>
          <w:tcPr>
            <w:tcW w:w="856" w:type="dxa"/>
            <w:tcBorders>
              <w:top w:val="single" w:sz="4" w:space="0" w:color="auto"/>
              <w:left w:val="nil"/>
              <w:bottom w:val="single" w:sz="4" w:space="0" w:color="auto"/>
              <w:right w:val="single" w:sz="4" w:space="0" w:color="auto"/>
            </w:tcBorders>
          </w:tcPr>
          <w:p w14:paraId="778AB6D0" w14:textId="42882DFB" w:rsidR="00E51534" w:rsidRDefault="00E51534" w:rsidP="00E51534">
            <w:pPr>
              <w:pStyle w:val="SWCTableText"/>
              <w:rPr>
                <w:sz w:val="18"/>
              </w:rPr>
            </w:pPr>
            <w:r>
              <w:rPr>
                <w:sz w:val="18"/>
              </w:rPr>
              <w:t>(3.1)</w:t>
            </w:r>
          </w:p>
        </w:tc>
        <w:tc>
          <w:tcPr>
            <w:tcW w:w="1847" w:type="dxa"/>
            <w:tcBorders>
              <w:left w:val="single" w:sz="4" w:space="0" w:color="auto"/>
              <w:right w:val="single" w:sz="4" w:space="0" w:color="auto"/>
            </w:tcBorders>
          </w:tcPr>
          <w:p w14:paraId="2BE70412" w14:textId="7D3F1161" w:rsidR="00E51534" w:rsidRDefault="00E51534" w:rsidP="007D2595">
            <w:pPr>
              <w:pStyle w:val="SWCTableText"/>
              <w:rPr>
                <w:sz w:val="18"/>
              </w:rPr>
            </w:pPr>
            <w:r>
              <w:rPr>
                <w:sz w:val="18"/>
              </w:rPr>
              <w:t>2.2</w:t>
            </w:r>
          </w:p>
        </w:tc>
        <w:tc>
          <w:tcPr>
            <w:tcW w:w="870" w:type="dxa"/>
            <w:tcBorders>
              <w:top w:val="single" w:sz="4" w:space="0" w:color="auto"/>
              <w:left w:val="single" w:sz="4" w:space="0" w:color="auto"/>
              <w:bottom w:val="single" w:sz="4" w:space="0" w:color="auto"/>
              <w:right w:val="nil"/>
            </w:tcBorders>
          </w:tcPr>
          <w:p w14:paraId="5893F2BD" w14:textId="4F5E5452" w:rsidR="00E51534" w:rsidRPr="002C116C" w:rsidRDefault="00E51534" w:rsidP="00E51534">
            <w:pPr>
              <w:pStyle w:val="SWCTableText"/>
            </w:pPr>
            <w:r>
              <w:t>5.3</w:t>
            </w:r>
          </w:p>
        </w:tc>
        <w:tc>
          <w:tcPr>
            <w:tcW w:w="1020" w:type="dxa"/>
            <w:tcBorders>
              <w:top w:val="single" w:sz="4" w:space="0" w:color="auto"/>
              <w:left w:val="nil"/>
              <w:bottom w:val="single" w:sz="4" w:space="0" w:color="auto"/>
              <w:right w:val="single" w:sz="4" w:space="0" w:color="auto"/>
            </w:tcBorders>
          </w:tcPr>
          <w:p w14:paraId="32D64AA2" w14:textId="77777777" w:rsidR="00E51534" w:rsidRPr="002C116C" w:rsidRDefault="00E51534" w:rsidP="00E51534">
            <w:pPr>
              <w:pStyle w:val="SWCTableText"/>
            </w:pPr>
            <w:r>
              <w:t>(5.5)</w:t>
            </w:r>
          </w:p>
        </w:tc>
        <w:tc>
          <w:tcPr>
            <w:tcW w:w="1698" w:type="dxa"/>
            <w:tcBorders>
              <w:left w:val="single" w:sz="4" w:space="0" w:color="auto"/>
            </w:tcBorders>
          </w:tcPr>
          <w:p w14:paraId="3ED43273" w14:textId="22FF2FB7" w:rsidR="00E51534" w:rsidRPr="002C116C" w:rsidRDefault="00E51534" w:rsidP="007D2595">
            <w:pPr>
              <w:pStyle w:val="SWCTableText"/>
            </w:pPr>
            <w:r w:rsidRPr="002C116C">
              <w:t>2.</w:t>
            </w:r>
            <w:r>
              <w:t>5</w:t>
            </w:r>
          </w:p>
        </w:tc>
      </w:tr>
      <w:tr w:rsidR="00E51534" w:rsidRPr="006309AA" w14:paraId="6C3A2273" w14:textId="77777777" w:rsidTr="00E51534">
        <w:trPr>
          <w:gridAfter w:val="1"/>
          <w:wAfter w:w="10" w:type="dxa"/>
          <w:jc w:val="center"/>
        </w:trPr>
        <w:tc>
          <w:tcPr>
            <w:tcW w:w="1216" w:type="dxa"/>
          </w:tcPr>
          <w:p w14:paraId="30F97362" w14:textId="6AC08D19" w:rsidR="00E51534" w:rsidRDefault="00E51534" w:rsidP="007D2595">
            <w:pPr>
              <w:pStyle w:val="SWCTableText"/>
            </w:pPr>
            <w:r>
              <w:t>a</w:t>
            </w:r>
            <w:r w:rsidRPr="009032F3">
              <w:rPr>
                <w:vertAlign w:val="subscript"/>
              </w:rPr>
              <w:t>4</w:t>
            </w:r>
          </w:p>
        </w:tc>
        <w:tc>
          <w:tcPr>
            <w:tcW w:w="1006" w:type="dxa"/>
            <w:tcBorders>
              <w:right w:val="single" w:sz="4" w:space="0" w:color="auto"/>
            </w:tcBorders>
          </w:tcPr>
          <w:p w14:paraId="6CCC54EF" w14:textId="2E5AB658" w:rsidR="00E51534" w:rsidRDefault="00E51534" w:rsidP="007D2595">
            <w:pPr>
              <w:pStyle w:val="SWCTableText"/>
              <w:rPr>
                <w:sz w:val="18"/>
              </w:rPr>
            </w:pPr>
            <w:r>
              <w:rPr>
                <w:sz w:val="18"/>
              </w:rPr>
              <w:t>-</w:t>
            </w:r>
          </w:p>
        </w:tc>
        <w:tc>
          <w:tcPr>
            <w:tcW w:w="1034" w:type="dxa"/>
            <w:tcBorders>
              <w:top w:val="single" w:sz="4" w:space="0" w:color="auto"/>
              <w:left w:val="single" w:sz="4" w:space="0" w:color="auto"/>
              <w:bottom w:val="single" w:sz="4" w:space="0" w:color="auto"/>
              <w:right w:val="nil"/>
            </w:tcBorders>
          </w:tcPr>
          <w:p w14:paraId="75E348F6" w14:textId="777BA8E1" w:rsidR="00E51534" w:rsidRDefault="00E51534" w:rsidP="00E51534">
            <w:pPr>
              <w:pStyle w:val="SWCTableText"/>
              <w:rPr>
                <w:sz w:val="18"/>
              </w:rPr>
            </w:pPr>
            <w:r>
              <w:rPr>
                <w:sz w:val="18"/>
              </w:rPr>
              <w:t>0.56</w:t>
            </w:r>
          </w:p>
        </w:tc>
        <w:tc>
          <w:tcPr>
            <w:tcW w:w="856" w:type="dxa"/>
            <w:tcBorders>
              <w:top w:val="single" w:sz="4" w:space="0" w:color="auto"/>
              <w:left w:val="nil"/>
              <w:bottom w:val="single" w:sz="4" w:space="0" w:color="auto"/>
              <w:right w:val="single" w:sz="4" w:space="0" w:color="auto"/>
            </w:tcBorders>
          </w:tcPr>
          <w:p w14:paraId="719D64A2" w14:textId="7D58BCC3" w:rsidR="00E51534" w:rsidRDefault="00E51534" w:rsidP="00E51534">
            <w:pPr>
              <w:pStyle w:val="SWCTableText"/>
              <w:rPr>
                <w:sz w:val="18"/>
              </w:rPr>
            </w:pPr>
            <w:r>
              <w:rPr>
                <w:sz w:val="18"/>
              </w:rPr>
              <w:t>(0.53)</w:t>
            </w:r>
          </w:p>
        </w:tc>
        <w:tc>
          <w:tcPr>
            <w:tcW w:w="1847" w:type="dxa"/>
            <w:tcBorders>
              <w:left w:val="single" w:sz="4" w:space="0" w:color="auto"/>
              <w:right w:val="single" w:sz="4" w:space="0" w:color="auto"/>
            </w:tcBorders>
          </w:tcPr>
          <w:p w14:paraId="2B72F430" w14:textId="01FD6878" w:rsidR="00E51534" w:rsidRDefault="00E51534" w:rsidP="007D2595">
            <w:pPr>
              <w:pStyle w:val="SWCTableText"/>
              <w:rPr>
                <w:sz w:val="18"/>
              </w:rPr>
            </w:pPr>
            <w:r>
              <w:rPr>
                <w:sz w:val="18"/>
              </w:rPr>
              <w:t>0.59</w:t>
            </w:r>
          </w:p>
        </w:tc>
        <w:tc>
          <w:tcPr>
            <w:tcW w:w="870" w:type="dxa"/>
            <w:tcBorders>
              <w:top w:val="single" w:sz="4" w:space="0" w:color="auto"/>
              <w:left w:val="single" w:sz="4" w:space="0" w:color="auto"/>
              <w:bottom w:val="single" w:sz="4" w:space="0" w:color="auto"/>
              <w:right w:val="nil"/>
            </w:tcBorders>
          </w:tcPr>
          <w:p w14:paraId="740EA1C9" w14:textId="6B21BEA2" w:rsidR="00E51534" w:rsidRPr="00FC09A1" w:rsidRDefault="00E51534" w:rsidP="00E51534">
            <w:pPr>
              <w:pStyle w:val="SWCTableText"/>
            </w:pPr>
            <w:r>
              <w:t>0.25</w:t>
            </w:r>
          </w:p>
        </w:tc>
        <w:tc>
          <w:tcPr>
            <w:tcW w:w="1020" w:type="dxa"/>
            <w:tcBorders>
              <w:top w:val="single" w:sz="4" w:space="0" w:color="auto"/>
              <w:left w:val="nil"/>
              <w:bottom w:val="single" w:sz="4" w:space="0" w:color="auto"/>
              <w:right w:val="single" w:sz="4" w:space="0" w:color="auto"/>
            </w:tcBorders>
          </w:tcPr>
          <w:p w14:paraId="7E416426" w14:textId="77777777" w:rsidR="00E51534" w:rsidRPr="00FC09A1" w:rsidRDefault="00E51534" w:rsidP="00E51534">
            <w:pPr>
              <w:pStyle w:val="SWCTableText"/>
            </w:pPr>
            <w:r>
              <w:t>(0.20)</w:t>
            </w:r>
          </w:p>
        </w:tc>
        <w:tc>
          <w:tcPr>
            <w:tcW w:w="1698" w:type="dxa"/>
            <w:tcBorders>
              <w:left w:val="single" w:sz="4" w:space="0" w:color="auto"/>
            </w:tcBorders>
          </w:tcPr>
          <w:p w14:paraId="70619FBE" w14:textId="4D2E24AA" w:rsidR="00E51534" w:rsidRPr="006309AA" w:rsidRDefault="00E51534" w:rsidP="007D2595">
            <w:pPr>
              <w:pStyle w:val="SWCTableText"/>
            </w:pPr>
            <w:r>
              <w:t>0.53</w:t>
            </w:r>
          </w:p>
        </w:tc>
      </w:tr>
      <w:tr w:rsidR="00E51534" w:rsidRPr="006309AA" w14:paraId="30A964EF" w14:textId="77777777" w:rsidTr="00E51534">
        <w:trPr>
          <w:gridAfter w:val="1"/>
          <w:wAfter w:w="10" w:type="dxa"/>
          <w:jc w:val="center"/>
        </w:trPr>
        <w:tc>
          <w:tcPr>
            <w:tcW w:w="1216" w:type="dxa"/>
          </w:tcPr>
          <w:p w14:paraId="3E06A412" w14:textId="5C13DDFF" w:rsidR="00E51534" w:rsidRDefault="00E51534" w:rsidP="007D2595">
            <w:pPr>
              <w:pStyle w:val="SWCTableText"/>
            </w:pPr>
            <w:r>
              <w:t>a</w:t>
            </w:r>
            <w:r w:rsidRPr="009032F3">
              <w:rPr>
                <w:vertAlign w:val="subscript"/>
              </w:rPr>
              <w:t>6</w:t>
            </w:r>
          </w:p>
        </w:tc>
        <w:tc>
          <w:tcPr>
            <w:tcW w:w="1006" w:type="dxa"/>
            <w:tcBorders>
              <w:right w:val="single" w:sz="4" w:space="0" w:color="auto"/>
            </w:tcBorders>
          </w:tcPr>
          <w:p w14:paraId="1FD121E1" w14:textId="19183828" w:rsidR="00E51534" w:rsidRDefault="00E51534" w:rsidP="007D2595">
            <w:pPr>
              <w:pStyle w:val="SWCTableText"/>
              <w:rPr>
                <w:sz w:val="18"/>
              </w:rPr>
            </w:pPr>
            <w:r>
              <w:rPr>
                <w:sz w:val="18"/>
              </w:rPr>
              <w:t>m</w:t>
            </w:r>
            <w:r>
              <w:rPr>
                <w:sz w:val="18"/>
                <w:vertAlign w:val="superscript"/>
              </w:rPr>
              <w:t xml:space="preserve">-1 </w:t>
            </w:r>
            <w:r>
              <w:rPr>
                <w:sz w:val="18"/>
              </w:rPr>
              <w:t>s</w:t>
            </w:r>
          </w:p>
        </w:tc>
        <w:tc>
          <w:tcPr>
            <w:tcW w:w="1034" w:type="dxa"/>
            <w:tcBorders>
              <w:top w:val="single" w:sz="4" w:space="0" w:color="auto"/>
              <w:left w:val="single" w:sz="4" w:space="0" w:color="auto"/>
              <w:bottom w:val="single" w:sz="4" w:space="0" w:color="auto"/>
              <w:right w:val="nil"/>
            </w:tcBorders>
          </w:tcPr>
          <w:p w14:paraId="350D7853" w14:textId="7805A1D6" w:rsidR="00E51534" w:rsidRDefault="00E51534" w:rsidP="00E51534">
            <w:pPr>
              <w:pStyle w:val="SWCTableText"/>
              <w:rPr>
                <w:sz w:val="18"/>
              </w:rPr>
            </w:pPr>
            <w:r>
              <w:rPr>
                <w:sz w:val="18"/>
              </w:rPr>
              <w:t>0.07</w:t>
            </w:r>
          </w:p>
        </w:tc>
        <w:tc>
          <w:tcPr>
            <w:tcW w:w="856" w:type="dxa"/>
            <w:tcBorders>
              <w:top w:val="single" w:sz="4" w:space="0" w:color="auto"/>
              <w:left w:val="nil"/>
              <w:bottom w:val="single" w:sz="4" w:space="0" w:color="auto"/>
              <w:right w:val="single" w:sz="4" w:space="0" w:color="auto"/>
            </w:tcBorders>
          </w:tcPr>
          <w:p w14:paraId="79753206" w14:textId="504E8916" w:rsidR="00E51534" w:rsidRDefault="00E51534" w:rsidP="00E51534">
            <w:pPr>
              <w:pStyle w:val="SWCTableText"/>
              <w:rPr>
                <w:sz w:val="18"/>
              </w:rPr>
            </w:pPr>
            <w:r>
              <w:rPr>
                <w:sz w:val="18"/>
              </w:rPr>
              <w:t>(0.07)</w:t>
            </w:r>
          </w:p>
        </w:tc>
        <w:tc>
          <w:tcPr>
            <w:tcW w:w="1847" w:type="dxa"/>
            <w:tcBorders>
              <w:left w:val="single" w:sz="4" w:space="0" w:color="auto"/>
              <w:right w:val="single" w:sz="4" w:space="0" w:color="auto"/>
            </w:tcBorders>
          </w:tcPr>
          <w:p w14:paraId="60CDDBD8" w14:textId="24CA2188" w:rsidR="00E51534" w:rsidRDefault="00E51534" w:rsidP="007D2595">
            <w:pPr>
              <w:pStyle w:val="SWCTableText"/>
              <w:rPr>
                <w:sz w:val="18"/>
              </w:rPr>
            </w:pPr>
            <w:r>
              <w:rPr>
                <w:sz w:val="18"/>
              </w:rPr>
              <w:t>0.04</w:t>
            </w:r>
          </w:p>
        </w:tc>
        <w:tc>
          <w:tcPr>
            <w:tcW w:w="870" w:type="dxa"/>
            <w:tcBorders>
              <w:top w:val="single" w:sz="4" w:space="0" w:color="auto"/>
              <w:left w:val="single" w:sz="4" w:space="0" w:color="auto"/>
              <w:bottom w:val="single" w:sz="4" w:space="0" w:color="auto"/>
              <w:right w:val="nil"/>
            </w:tcBorders>
          </w:tcPr>
          <w:p w14:paraId="5477E98D" w14:textId="1D4C2B1C" w:rsidR="00E51534" w:rsidRPr="00FC09A1" w:rsidRDefault="00E51534" w:rsidP="00E51534">
            <w:pPr>
              <w:pStyle w:val="SWCTableText"/>
            </w:pPr>
            <w:r>
              <w:t>0.09</w:t>
            </w:r>
          </w:p>
        </w:tc>
        <w:tc>
          <w:tcPr>
            <w:tcW w:w="1020" w:type="dxa"/>
            <w:tcBorders>
              <w:top w:val="single" w:sz="4" w:space="0" w:color="auto"/>
              <w:left w:val="nil"/>
              <w:bottom w:val="single" w:sz="4" w:space="0" w:color="auto"/>
              <w:right w:val="single" w:sz="4" w:space="0" w:color="auto"/>
            </w:tcBorders>
          </w:tcPr>
          <w:p w14:paraId="06CD8DE1" w14:textId="77777777" w:rsidR="00E51534" w:rsidRPr="00FC09A1" w:rsidRDefault="00E51534" w:rsidP="00E51534">
            <w:pPr>
              <w:pStyle w:val="SWCTableText"/>
            </w:pPr>
            <w:r>
              <w:t>(0.09)</w:t>
            </w:r>
          </w:p>
        </w:tc>
        <w:tc>
          <w:tcPr>
            <w:tcW w:w="1698" w:type="dxa"/>
            <w:tcBorders>
              <w:left w:val="single" w:sz="4" w:space="0" w:color="auto"/>
            </w:tcBorders>
          </w:tcPr>
          <w:p w14:paraId="17479846" w14:textId="4093F291" w:rsidR="00E51534" w:rsidRPr="006309AA" w:rsidRDefault="00E51534" w:rsidP="007D2595">
            <w:pPr>
              <w:pStyle w:val="SWCTableText"/>
            </w:pPr>
            <w:r>
              <w:t>0.04</w:t>
            </w:r>
          </w:p>
        </w:tc>
      </w:tr>
    </w:tbl>
    <w:p w14:paraId="6233A819" w14:textId="77777777" w:rsidR="00E75F6E" w:rsidRDefault="00E75F6E" w:rsidP="00E676D0">
      <w:pPr>
        <w:pStyle w:val="SWCText"/>
      </w:pPr>
    </w:p>
    <w:p w14:paraId="6B4093F2" w14:textId="7E4AC792" w:rsidR="00FC01C5" w:rsidRDefault="005F08EF" w:rsidP="00436609">
      <w:pPr>
        <w:spacing w:line="276" w:lineRule="auto"/>
        <w:jc w:val="both"/>
        <w:rPr>
          <w:sz w:val="20"/>
          <w:szCs w:val="20"/>
          <w:lang w:val="en-GB"/>
        </w:rPr>
      </w:pPr>
      <w:r>
        <w:rPr>
          <w:sz w:val="20"/>
          <w:szCs w:val="20"/>
          <w:lang w:val="en-GB"/>
        </w:rPr>
        <w:t>F</w:t>
      </w:r>
      <w:r w:rsidR="006D36F2">
        <w:rPr>
          <w:sz w:val="20"/>
          <w:szCs w:val="20"/>
          <w:lang w:val="en-GB"/>
        </w:rPr>
        <w:t>i</w:t>
      </w:r>
      <w:r>
        <w:rPr>
          <w:sz w:val="20"/>
          <w:szCs w:val="20"/>
          <w:lang w:val="en-GB"/>
        </w:rPr>
        <w:t>gu</w:t>
      </w:r>
      <w:r w:rsidR="00903AE9">
        <w:rPr>
          <w:sz w:val="20"/>
          <w:szCs w:val="20"/>
          <w:lang w:val="en-GB"/>
        </w:rPr>
        <w:t>r</w:t>
      </w:r>
      <w:r>
        <w:rPr>
          <w:sz w:val="20"/>
          <w:szCs w:val="20"/>
          <w:lang w:val="en-GB"/>
        </w:rPr>
        <w:t xml:space="preserve">es 4 and 5 shows the </w:t>
      </w:r>
      <w:r w:rsidR="006764E8">
        <w:rPr>
          <w:sz w:val="20"/>
          <w:szCs w:val="20"/>
          <w:lang w:val="en-GB"/>
        </w:rPr>
        <w:t xml:space="preserve">calculated thermal </w:t>
      </w:r>
      <w:r w:rsidR="0067290B">
        <w:rPr>
          <w:sz w:val="20"/>
          <w:szCs w:val="20"/>
          <w:lang w:val="en-GB"/>
        </w:rPr>
        <w:t xml:space="preserve">for </w:t>
      </w:r>
      <w:r w:rsidR="004931AB">
        <w:rPr>
          <w:sz w:val="20"/>
          <w:szCs w:val="20"/>
          <w:lang w:val="en-GB"/>
        </w:rPr>
        <w:t xml:space="preserve">both PVT collectors with and without the partly restricting </w:t>
      </w:r>
      <w:r w:rsidR="00EE6469">
        <w:rPr>
          <w:sz w:val="20"/>
          <w:szCs w:val="20"/>
          <w:lang w:val="en-GB"/>
        </w:rPr>
        <w:t xml:space="preserve">airflow </w:t>
      </w:r>
      <w:r w:rsidR="004931AB">
        <w:rPr>
          <w:sz w:val="20"/>
          <w:szCs w:val="20"/>
          <w:lang w:val="en-GB"/>
        </w:rPr>
        <w:t>barriers in</w:t>
      </w:r>
      <w:r w:rsidR="00EE6469">
        <w:rPr>
          <w:sz w:val="20"/>
          <w:szCs w:val="20"/>
          <w:lang w:val="en-GB"/>
        </w:rPr>
        <w:t xml:space="preserve"> place</w:t>
      </w:r>
      <w:r w:rsidR="00903AE9">
        <w:rPr>
          <w:sz w:val="20"/>
          <w:szCs w:val="20"/>
          <w:lang w:val="en-GB"/>
        </w:rPr>
        <w:t>,</w:t>
      </w:r>
      <w:r w:rsidR="00EE6469">
        <w:rPr>
          <w:sz w:val="20"/>
          <w:szCs w:val="20"/>
          <w:lang w:val="en-GB"/>
        </w:rPr>
        <w:t xml:space="preserve"> as a fun</w:t>
      </w:r>
      <w:r w:rsidR="00D468EE">
        <w:rPr>
          <w:sz w:val="20"/>
          <w:szCs w:val="20"/>
          <w:lang w:val="en-GB"/>
        </w:rPr>
        <w:t>ction of the windspeed</w:t>
      </w:r>
      <w:r w:rsidR="00903AE9">
        <w:rPr>
          <w:sz w:val="20"/>
          <w:szCs w:val="20"/>
          <w:lang w:val="en-GB"/>
        </w:rPr>
        <w:t>,</w:t>
      </w:r>
      <w:r w:rsidR="00D468EE">
        <w:rPr>
          <w:sz w:val="20"/>
          <w:szCs w:val="20"/>
          <w:lang w:val="en-GB"/>
        </w:rPr>
        <w:t xml:space="preserve"> </w:t>
      </w:r>
      <w:r w:rsidR="00EE6469">
        <w:rPr>
          <w:sz w:val="20"/>
          <w:szCs w:val="20"/>
          <w:lang w:val="en-GB"/>
        </w:rPr>
        <w:t xml:space="preserve">for conditions </w:t>
      </w:r>
      <w:r w:rsidR="00D468EE">
        <w:rPr>
          <w:sz w:val="20"/>
          <w:szCs w:val="20"/>
          <w:lang w:val="en-GB"/>
        </w:rPr>
        <w:t xml:space="preserve">that represents operation </w:t>
      </w:r>
      <w:r w:rsidR="00623B2C">
        <w:rPr>
          <w:sz w:val="20"/>
          <w:szCs w:val="20"/>
          <w:lang w:val="en-GB"/>
        </w:rPr>
        <w:t xml:space="preserve">in </w:t>
      </w:r>
      <w:r w:rsidR="00AE1DB8">
        <w:rPr>
          <w:sz w:val="20"/>
          <w:szCs w:val="20"/>
          <w:lang w:val="en-GB"/>
        </w:rPr>
        <w:t>winter</w:t>
      </w:r>
      <w:r w:rsidR="00623B2C">
        <w:rPr>
          <w:sz w:val="20"/>
          <w:szCs w:val="20"/>
          <w:lang w:val="en-GB"/>
        </w:rPr>
        <w:t xml:space="preserve"> during</w:t>
      </w:r>
      <w:r w:rsidR="00AE1DB8">
        <w:rPr>
          <w:sz w:val="20"/>
          <w:szCs w:val="20"/>
          <w:lang w:val="en-GB"/>
        </w:rPr>
        <w:t xml:space="preserve"> nighttime </w:t>
      </w:r>
      <w:r w:rsidR="00D468EE">
        <w:rPr>
          <w:sz w:val="20"/>
          <w:szCs w:val="20"/>
          <w:lang w:val="en-GB"/>
        </w:rPr>
        <w:t>an</w:t>
      </w:r>
      <w:r w:rsidR="0071179A">
        <w:rPr>
          <w:sz w:val="20"/>
          <w:szCs w:val="20"/>
          <w:lang w:val="en-GB"/>
        </w:rPr>
        <w:t xml:space="preserve">d </w:t>
      </w:r>
      <w:r w:rsidR="00EC2BD1">
        <w:rPr>
          <w:sz w:val="20"/>
          <w:szCs w:val="20"/>
          <w:lang w:val="en-GB"/>
        </w:rPr>
        <w:t>during sunny condition</w:t>
      </w:r>
      <w:r w:rsidR="00EE6469">
        <w:rPr>
          <w:sz w:val="20"/>
          <w:szCs w:val="20"/>
          <w:lang w:val="en-GB"/>
        </w:rPr>
        <w:t>.</w:t>
      </w:r>
      <w:r w:rsidR="00EC2BD1">
        <w:rPr>
          <w:sz w:val="20"/>
          <w:szCs w:val="20"/>
          <w:lang w:val="en-GB"/>
        </w:rPr>
        <w:t xml:space="preserve"> In both cases the </w:t>
      </w:r>
      <w:r w:rsidR="00C66F58">
        <w:rPr>
          <w:sz w:val="20"/>
          <w:szCs w:val="20"/>
          <w:lang w:val="en-GB"/>
        </w:rPr>
        <w:t xml:space="preserve">calculations are based on </w:t>
      </w:r>
      <w:r w:rsidR="006D36F2">
        <w:rPr>
          <w:sz w:val="20"/>
          <w:szCs w:val="20"/>
          <w:lang w:val="en-GB"/>
        </w:rPr>
        <w:t>mean collector</w:t>
      </w:r>
      <w:r w:rsidR="00C66F58">
        <w:rPr>
          <w:sz w:val="20"/>
          <w:szCs w:val="20"/>
          <w:lang w:val="en-GB"/>
        </w:rPr>
        <w:t xml:space="preserve"> temperatures </w:t>
      </w:r>
      <w:r w:rsidR="006D36F2">
        <w:rPr>
          <w:sz w:val="20"/>
          <w:szCs w:val="20"/>
          <w:lang w:val="en-GB"/>
        </w:rPr>
        <w:t>which are below ambient air temperature.</w:t>
      </w:r>
    </w:p>
    <w:p w14:paraId="30C80D6B" w14:textId="2AECBFB2" w:rsidR="00EE6469" w:rsidRDefault="00FC01C5" w:rsidP="00456FF6">
      <w:pPr>
        <w:spacing w:line="276" w:lineRule="auto"/>
        <w:jc w:val="center"/>
        <w:rPr>
          <w:sz w:val="20"/>
          <w:szCs w:val="20"/>
          <w:lang w:val="en-GB"/>
        </w:rPr>
      </w:pPr>
      <w:r>
        <w:rPr>
          <w:noProof/>
        </w:rPr>
        <w:drawing>
          <wp:inline distT="0" distB="0" distL="0" distR="0" wp14:anchorId="3247F58C" wp14:editId="0DA3D268">
            <wp:extent cx="5200650" cy="3092649"/>
            <wp:effectExtent l="0" t="0" r="0" b="0"/>
            <wp:docPr id="1230146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1843" cy="3105252"/>
                    </a:xfrm>
                    <a:prstGeom prst="rect">
                      <a:avLst/>
                    </a:prstGeom>
                    <a:noFill/>
                    <a:ln>
                      <a:noFill/>
                    </a:ln>
                  </pic:spPr>
                </pic:pic>
              </a:graphicData>
            </a:graphic>
          </wp:inline>
        </w:drawing>
      </w:r>
    </w:p>
    <w:p w14:paraId="11189843" w14:textId="5EF13EE6" w:rsidR="00FC01C5" w:rsidRDefault="00FC01C5" w:rsidP="00456FF6">
      <w:pPr>
        <w:pStyle w:val="SWCText"/>
        <w:jc w:val="center"/>
        <w:rPr>
          <w:noProof/>
        </w:rPr>
      </w:pPr>
      <w:r w:rsidRPr="000A7957">
        <w:rPr>
          <w:b/>
          <w:bCs/>
          <w:sz w:val="16"/>
          <w:szCs w:val="16"/>
        </w:rPr>
        <w:t xml:space="preserve">Fig. </w:t>
      </w:r>
      <w:r>
        <w:rPr>
          <w:b/>
          <w:bCs/>
          <w:sz w:val="16"/>
          <w:szCs w:val="16"/>
        </w:rPr>
        <w:t>4</w:t>
      </w:r>
      <w:r w:rsidRPr="000A7957">
        <w:rPr>
          <w:b/>
          <w:bCs/>
          <w:sz w:val="16"/>
          <w:szCs w:val="16"/>
        </w:rPr>
        <w:t xml:space="preserve">: </w:t>
      </w:r>
      <w:r w:rsidR="00B60801">
        <w:rPr>
          <w:b/>
          <w:bCs/>
          <w:sz w:val="16"/>
          <w:szCs w:val="16"/>
        </w:rPr>
        <w:t>C</w:t>
      </w:r>
      <w:r w:rsidR="00682155">
        <w:rPr>
          <w:b/>
          <w:bCs/>
          <w:sz w:val="16"/>
          <w:szCs w:val="16"/>
        </w:rPr>
        <w:t>alculated t</w:t>
      </w:r>
      <w:r>
        <w:rPr>
          <w:b/>
          <w:bCs/>
          <w:sz w:val="16"/>
          <w:szCs w:val="16"/>
        </w:rPr>
        <w:t xml:space="preserve">hermal power </w:t>
      </w:r>
      <w:r w:rsidR="00682155">
        <w:rPr>
          <w:b/>
          <w:bCs/>
          <w:sz w:val="16"/>
          <w:szCs w:val="16"/>
        </w:rPr>
        <w:t xml:space="preserve">output as function of wind speed during </w:t>
      </w:r>
      <w:r w:rsidR="00B60801">
        <w:rPr>
          <w:b/>
          <w:bCs/>
          <w:sz w:val="16"/>
          <w:szCs w:val="16"/>
        </w:rPr>
        <w:t>operation at nighttime in winter.</w:t>
      </w:r>
    </w:p>
    <w:p w14:paraId="3149DB4B" w14:textId="77777777" w:rsidR="00FC01C5" w:rsidRDefault="00FC01C5" w:rsidP="00436609">
      <w:pPr>
        <w:spacing w:line="276" w:lineRule="auto"/>
        <w:jc w:val="both"/>
        <w:rPr>
          <w:sz w:val="20"/>
          <w:szCs w:val="20"/>
          <w:lang w:val="en-GB"/>
        </w:rPr>
      </w:pPr>
    </w:p>
    <w:p w14:paraId="44BC7FCC" w14:textId="0212D833" w:rsidR="00FC01C5" w:rsidRDefault="00FC01C5" w:rsidP="00456FF6">
      <w:pPr>
        <w:spacing w:line="276" w:lineRule="auto"/>
        <w:jc w:val="center"/>
        <w:rPr>
          <w:sz w:val="20"/>
          <w:szCs w:val="20"/>
          <w:lang w:val="en-GB"/>
        </w:rPr>
      </w:pPr>
      <w:r>
        <w:rPr>
          <w:noProof/>
        </w:rPr>
        <w:lastRenderedPageBreak/>
        <w:drawing>
          <wp:inline distT="0" distB="0" distL="0" distR="0" wp14:anchorId="3BDD9D63" wp14:editId="3523893D">
            <wp:extent cx="5143500" cy="3063200"/>
            <wp:effectExtent l="0" t="0" r="0" b="4445"/>
            <wp:docPr id="232720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9375" cy="3066699"/>
                    </a:xfrm>
                    <a:prstGeom prst="rect">
                      <a:avLst/>
                    </a:prstGeom>
                    <a:noFill/>
                    <a:ln>
                      <a:noFill/>
                    </a:ln>
                  </pic:spPr>
                </pic:pic>
              </a:graphicData>
            </a:graphic>
          </wp:inline>
        </w:drawing>
      </w:r>
    </w:p>
    <w:p w14:paraId="1A612E29" w14:textId="74E6DF32" w:rsidR="00B60801" w:rsidRDefault="00B60801" w:rsidP="00B60801">
      <w:pPr>
        <w:pStyle w:val="SWCText"/>
        <w:jc w:val="center"/>
        <w:rPr>
          <w:noProof/>
        </w:rPr>
      </w:pPr>
      <w:r w:rsidRPr="000A7957">
        <w:rPr>
          <w:b/>
          <w:bCs/>
          <w:sz w:val="16"/>
          <w:szCs w:val="16"/>
        </w:rPr>
        <w:t xml:space="preserve">Fig. </w:t>
      </w:r>
      <w:r>
        <w:rPr>
          <w:b/>
          <w:bCs/>
          <w:sz w:val="16"/>
          <w:szCs w:val="16"/>
        </w:rPr>
        <w:t>5</w:t>
      </w:r>
      <w:r w:rsidRPr="000A7957">
        <w:rPr>
          <w:b/>
          <w:bCs/>
          <w:sz w:val="16"/>
          <w:szCs w:val="16"/>
        </w:rPr>
        <w:t xml:space="preserve">: </w:t>
      </w:r>
      <w:r>
        <w:rPr>
          <w:b/>
          <w:bCs/>
          <w:sz w:val="16"/>
          <w:szCs w:val="16"/>
        </w:rPr>
        <w:t xml:space="preserve">Calculated thermal power output as function of wind speed during operation </w:t>
      </w:r>
      <w:r w:rsidR="007735EC">
        <w:rPr>
          <w:b/>
          <w:bCs/>
          <w:sz w:val="16"/>
          <w:szCs w:val="16"/>
        </w:rPr>
        <w:t>in</w:t>
      </w:r>
      <w:r>
        <w:rPr>
          <w:b/>
          <w:bCs/>
          <w:sz w:val="16"/>
          <w:szCs w:val="16"/>
        </w:rPr>
        <w:t xml:space="preserve"> sunny</w:t>
      </w:r>
      <w:r w:rsidR="007735EC">
        <w:rPr>
          <w:b/>
          <w:bCs/>
          <w:sz w:val="16"/>
          <w:szCs w:val="16"/>
        </w:rPr>
        <w:t xml:space="preserve"> </w:t>
      </w:r>
      <w:r>
        <w:rPr>
          <w:b/>
          <w:bCs/>
          <w:sz w:val="16"/>
          <w:szCs w:val="16"/>
        </w:rPr>
        <w:t>conditions in winter.</w:t>
      </w:r>
    </w:p>
    <w:p w14:paraId="2565F763" w14:textId="77777777" w:rsidR="00C45C2B" w:rsidRPr="00456FF6" w:rsidRDefault="00C45C2B" w:rsidP="00436609">
      <w:pPr>
        <w:spacing w:line="276" w:lineRule="auto"/>
        <w:jc w:val="both"/>
        <w:rPr>
          <w:sz w:val="20"/>
          <w:szCs w:val="20"/>
          <w:lang w:val="en-US"/>
        </w:rPr>
      </w:pPr>
    </w:p>
    <w:p w14:paraId="51DAD50C" w14:textId="2AF3AFF8" w:rsidR="00C92054" w:rsidRPr="004B28F5" w:rsidRDefault="00C92054" w:rsidP="004B28F5">
      <w:pPr>
        <w:spacing w:line="276" w:lineRule="auto"/>
        <w:jc w:val="both"/>
        <w:rPr>
          <w:sz w:val="20"/>
          <w:szCs w:val="20"/>
          <w:lang w:val="en-GB"/>
        </w:rPr>
      </w:pPr>
      <w:r w:rsidRPr="004B28F5">
        <w:rPr>
          <w:sz w:val="20"/>
          <w:szCs w:val="20"/>
          <w:lang w:val="en-GB"/>
        </w:rPr>
        <w:t>The diagrams indicate that e</w:t>
      </w:r>
      <w:r w:rsidR="00642B5B" w:rsidRPr="004B28F5">
        <w:rPr>
          <w:sz w:val="20"/>
          <w:szCs w:val="20"/>
          <w:lang w:val="en-GB"/>
        </w:rPr>
        <w:t>specially</w:t>
      </w:r>
      <w:r w:rsidRPr="004B28F5">
        <w:rPr>
          <w:sz w:val="20"/>
          <w:szCs w:val="20"/>
          <w:lang w:val="en-GB"/>
        </w:rPr>
        <w:t xml:space="preserve"> during operation with </w:t>
      </w:r>
      <w:r w:rsidR="00002849" w:rsidRPr="004B28F5">
        <w:rPr>
          <w:sz w:val="20"/>
          <w:szCs w:val="20"/>
          <w:lang w:val="en-GB"/>
        </w:rPr>
        <w:t xml:space="preserve">no or little solar irradiance, </w:t>
      </w:r>
      <w:r w:rsidR="00C208B8" w:rsidRPr="004B28F5">
        <w:rPr>
          <w:sz w:val="20"/>
          <w:szCs w:val="20"/>
          <w:lang w:val="en-GB"/>
        </w:rPr>
        <w:t xml:space="preserve">during high </w:t>
      </w:r>
      <w:r w:rsidR="00002849" w:rsidRPr="004B28F5">
        <w:rPr>
          <w:sz w:val="20"/>
          <w:szCs w:val="20"/>
          <w:lang w:val="en-GB"/>
        </w:rPr>
        <w:t>wind speed</w:t>
      </w:r>
      <w:r w:rsidR="00C208B8" w:rsidRPr="004B28F5">
        <w:rPr>
          <w:sz w:val="20"/>
          <w:szCs w:val="20"/>
          <w:lang w:val="en-GB"/>
        </w:rPr>
        <w:t xml:space="preserve">s the </w:t>
      </w:r>
      <w:r w:rsidR="003F4547" w:rsidRPr="004B28F5">
        <w:rPr>
          <w:sz w:val="20"/>
          <w:szCs w:val="20"/>
          <w:lang w:val="en-GB"/>
        </w:rPr>
        <w:t xml:space="preserve">difference in thermal power output is </w:t>
      </w:r>
      <w:r w:rsidR="00002849" w:rsidRPr="004B28F5">
        <w:rPr>
          <w:sz w:val="20"/>
          <w:szCs w:val="20"/>
          <w:lang w:val="en-GB"/>
        </w:rPr>
        <w:t>lar</w:t>
      </w:r>
      <w:r w:rsidR="00C208B8" w:rsidRPr="004B28F5">
        <w:rPr>
          <w:sz w:val="20"/>
          <w:szCs w:val="20"/>
          <w:lang w:val="en-GB"/>
        </w:rPr>
        <w:t xml:space="preserve">ge </w:t>
      </w:r>
      <w:r w:rsidR="003F4547" w:rsidRPr="004B28F5">
        <w:rPr>
          <w:sz w:val="20"/>
          <w:szCs w:val="20"/>
          <w:lang w:val="en-GB"/>
        </w:rPr>
        <w:t xml:space="preserve">between the </w:t>
      </w:r>
      <w:r w:rsidR="004B28F5" w:rsidRPr="004B28F5">
        <w:rPr>
          <w:sz w:val="20"/>
          <w:szCs w:val="20"/>
          <w:lang w:val="en-GB"/>
        </w:rPr>
        <w:t xml:space="preserve">freely ventilated and the partly restricted air flow mounting configurations. </w:t>
      </w:r>
      <w:r w:rsidR="00C208B8" w:rsidRPr="004B28F5">
        <w:rPr>
          <w:sz w:val="20"/>
          <w:szCs w:val="20"/>
          <w:lang w:val="en-GB"/>
        </w:rPr>
        <w:t xml:space="preserve"> </w:t>
      </w:r>
    </w:p>
    <w:p w14:paraId="440910FD" w14:textId="04C734EB" w:rsidR="005864BD" w:rsidRDefault="006C35FC" w:rsidP="004B28F5">
      <w:pPr>
        <w:spacing w:line="276" w:lineRule="auto"/>
        <w:jc w:val="both"/>
        <w:rPr>
          <w:sz w:val="20"/>
          <w:szCs w:val="20"/>
          <w:lang w:val="en-GB"/>
        </w:rPr>
      </w:pPr>
      <w:r w:rsidRPr="00456FF6">
        <w:rPr>
          <w:sz w:val="20"/>
          <w:szCs w:val="20"/>
          <w:lang w:val="en-GB"/>
        </w:rPr>
        <w:t xml:space="preserve">Table 2 presents the results of the simplified analysis, in which the peak collector efficiency, </w:t>
      </w:r>
      <m:oMath>
        <m:sSub>
          <m:sSubPr>
            <m:ctrlPr>
              <w:rPr>
                <w:rFonts w:ascii="Cambria Math" w:hAnsi="Cambria Math"/>
                <w:sz w:val="20"/>
                <w:szCs w:val="20"/>
                <w:lang w:val="en-GB"/>
              </w:rPr>
            </m:ctrlPr>
          </m:sSubPr>
          <m:e>
            <m:r>
              <w:rPr>
                <w:rFonts w:ascii="Cambria Math" w:hAnsi="Cambria Math"/>
                <w:sz w:val="20"/>
                <w:szCs w:val="20"/>
                <w:lang w:val="en-GB"/>
              </w:rPr>
              <m:t>η</m:t>
            </m:r>
          </m:e>
          <m:sub>
            <m:r>
              <w:rPr>
                <w:rFonts w:ascii="Cambria Math" w:hAnsi="Cambria Math"/>
                <w:sz w:val="20"/>
                <w:szCs w:val="20"/>
                <w:lang w:val="en-GB"/>
              </w:rPr>
              <m:t>0,b</m:t>
            </m:r>
          </m:sub>
        </m:sSub>
      </m:oMath>
      <w:r w:rsidRPr="00456FF6">
        <w:rPr>
          <w:sz w:val="20"/>
          <w:szCs w:val="20"/>
          <w:lang w:val="en-GB"/>
        </w:rPr>
        <w:t>, was constrained to a common value and only the effective first-order heat-loss coefficient was allowed to vary between the configurations. For the non-insulated collector, the fitted heat-loss coefficient decreased from 15.9 to 14.1 W m</w:t>
      </w:r>
      <w:r w:rsidR="009056B9" w:rsidRPr="00456FF6">
        <w:rPr>
          <w:sz w:val="20"/>
          <w:szCs w:val="20"/>
          <w:vertAlign w:val="superscript"/>
          <w:lang w:val="en-GB"/>
        </w:rPr>
        <w:t>-2</w:t>
      </w:r>
      <w:r w:rsidRPr="00456FF6">
        <w:rPr>
          <w:sz w:val="20"/>
          <w:szCs w:val="20"/>
          <w:lang w:val="en-GB"/>
        </w:rPr>
        <w:t xml:space="preserve"> K</w:t>
      </w:r>
      <w:r w:rsidR="009056B9" w:rsidRPr="00456FF6">
        <w:rPr>
          <w:sz w:val="20"/>
          <w:szCs w:val="20"/>
          <w:vertAlign w:val="superscript"/>
          <w:lang w:val="en-GB"/>
        </w:rPr>
        <w:t>-1</w:t>
      </w:r>
      <w:r w:rsidRPr="00456FF6">
        <w:rPr>
          <w:sz w:val="20"/>
          <w:szCs w:val="20"/>
          <w:lang w:val="en-GB"/>
        </w:rPr>
        <w:t xml:space="preserve"> when the barriers were installed, corresponding to a reduction of approximately 11%. For the insulated collector, the coefficient decreased only slightly, from 9.8 to 9.6 W m</w:t>
      </w:r>
      <w:r w:rsidRPr="00456FF6">
        <w:rPr>
          <w:sz w:val="20"/>
          <w:szCs w:val="20"/>
          <w:vertAlign w:val="superscript"/>
          <w:lang w:val="en-GB"/>
        </w:rPr>
        <w:t>-2</w:t>
      </w:r>
      <w:r w:rsidRPr="00456FF6">
        <w:rPr>
          <w:sz w:val="20"/>
          <w:szCs w:val="20"/>
          <w:lang w:val="en-GB"/>
        </w:rPr>
        <w:t xml:space="preserve"> K</w:t>
      </w:r>
      <w:r w:rsidRPr="00456FF6">
        <w:rPr>
          <w:sz w:val="20"/>
          <w:szCs w:val="20"/>
          <w:vertAlign w:val="superscript"/>
          <w:lang w:val="en-GB"/>
        </w:rPr>
        <w:t>-1</w:t>
      </w:r>
      <w:r w:rsidRPr="00456FF6">
        <w:rPr>
          <w:sz w:val="20"/>
          <w:szCs w:val="20"/>
          <w:lang w:val="en-GB"/>
        </w:rPr>
        <w:t>, corresponding to approximately 2%. The larger reduction observed for the non-insulated collector indicates that its thermal performance was more sensitive to airflow conditions beneath the panel. This is consistent with the greater contribution of wind-dependent backside heat transfer for the non-insulated collector.</w:t>
      </w:r>
      <w:r w:rsidR="005864BD">
        <w:rPr>
          <w:sz w:val="20"/>
          <w:szCs w:val="20"/>
          <w:lang w:val="en-GB"/>
        </w:rPr>
        <w:t xml:space="preserve"> </w:t>
      </w:r>
    </w:p>
    <w:p w14:paraId="61C75EF9" w14:textId="000467A7" w:rsidR="006C35FC" w:rsidRPr="00456FF6" w:rsidRDefault="005864BD" w:rsidP="00436609">
      <w:pPr>
        <w:spacing w:line="276" w:lineRule="auto"/>
        <w:jc w:val="both"/>
        <w:rPr>
          <w:sz w:val="20"/>
          <w:szCs w:val="20"/>
          <w:lang w:val="en-GB"/>
        </w:rPr>
      </w:pPr>
      <w:r w:rsidRPr="00456FF6">
        <w:rPr>
          <w:sz w:val="20"/>
          <w:szCs w:val="20"/>
          <w:lang w:val="en-US"/>
        </w:rPr>
        <w:t xml:space="preserve">The effective zero-loss efficiencies obtained from the simplified regression, ranging from 0.41 to 0.44, were considerably lower than the peak collector efficiencies of 0.52–0.57 obtained from the full QDT regression. This difference results primarily from the omission of the wind-dependent zero-loss efficiency term,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6</m:t>
            </m:r>
          </m:sub>
        </m:sSub>
        <m:r>
          <w:rPr>
            <w:rFonts w:ascii="Cambria Math" w:hAnsi="Cambria Math"/>
            <w:sz w:val="20"/>
            <w:szCs w:val="20"/>
            <w:lang w:val="en-US"/>
          </w:rPr>
          <m:t>uG</m:t>
        </m:r>
      </m:oMath>
      <w:r w:rsidRPr="00456FF6">
        <w:rPr>
          <w:sz w:val="20"/>
          <w:szCs w:val="20"/>
          <w:lang w:val="en-US"/>
        </w:rPr>
        <w:t xml:space="preserve">, in the simplified model. Consequently, the effect represented by </w:t>
      </w:r>
      <m:oMath>
        <m:sSub>
          <m:sSubPr>
            <m:ctrlPr>
              <w:rPr>
                <w:rFonts w:ascii="Cambria Math" w:hAnsi="Cambria Math"/>
                <w:sz w:val="20"/>
                <w:szCs w:val="20"/>
                <w:lang w:val="en-US"/>
              </w:rPr>
            </m:ctrlPr>
          </m:sSubPr>
          <m:e>
            <m:r>
              <w:rPr>
                <w:rFonts w:ascii="Cambria Math" w:hAnsi="Cambria Math"/>
                <w:sz w:val="20"/>
                <w:szCs w:val="20"/>
                <w:lang w:val="en-US"/>
              </w:rPr>
              <m:t>a</m:t>
            </m:r>
          </m:e>
          <m:sub>
            <m:r>
              <w:rPr>
                <w:rFonts w:ascii="Cambria Math" w:hAnsi="Cambria Math"/>
                <w:sz w:val="20"/>
                <w:szCs w:val="20"/>
                <w:lang w:val="en-US"/>
              </w:rPr>
              <m:t>6</m:t>
            </m:r>
          </m:sub>
        </m:sSub>
      </m:oMath>
      <w:r w:rsidRPr="00456FF6">
        <w:rPr>
          <w:sz w:val="20"/>
          <w:szCs w:val="20"/>
          <w:lang w:val="en-US"/>
        </w:rPr>
        <w:t>was absorbed into the fitted effective zero-loss efficiency. The efficiencies obtained from the simplified and full regressions are therefore not directly comparable</w:t>
      </w:r>
      <w:r w:rsidRPr="005864BD">
        <w:rPr>
          <w:sz w:val="20"/>
          <w:szCs w:val="20"/>
        </w:rPr>
        <w:t>.</w:t>
      </w:r>
    </w:p>
    <w:p w14:paraId="3791D870" w14:textId="013D5C76" w:rsidR="000236F8" w:rsidRPr="006309AA" w:rsidRDefault="000236F8" w:rsidP="000236F8">
      <w:pPr>
        <w:pStyle w:val="SWCTableFigureCaption"/>
      </w:pPr>
      <w:r>
        <w:t>Tab. 2:</w:t>
      </w:r>
      <w:r w:rsidRPr="006309AA">
        <w:t xml:space="preserve"> </w:t>
      </w:r>
      <w:r w:rsidR="00786E76">
        <w:t xml:space="preserve">Derived </w:t>
      </w:r>
      <w:r>
        <w:t>collector</w:t>
      </w:r>
      <w:r w:rsidR="0008719A">
        <w:t xml:space="preserve"> efficiency</w:t>
      </w:r>
      <w:r w:rsidR="00786E76">
        <w:t xml:space="preserve"> </w:t>
      </w:r>
      <w:r>
        <w:t xml:space="preserve">coefficients </w:t>
      </w:r>
      <w:r w:rsidR="007B72F5">
        <w:t xml:space="preserve">from </w:t>
      </w:r>
      <w:proofErr w:type="gramStart"/>
      <w:r w:rsidR="007B72F5">
        <w:t>the</w:t>
      </w:r>
      <w:r w:rsidR="0008719A">
        <w:t xml:space="preserve"> simplified</w:t>
      </w:r>
      <w:proofErr w:type="gramEnd"/>
      <w:r w:rsidR="0008719A">
        <w:t xml:space="preserve"> analysis</w:t>
      </w:r>
      <w:r>
        <w:t>.</w:t>
      </w:r>
    </w:p>
    <w:tbl>
      <w:tblPr>
        <w:tblStyle w:val="TableGrid"/>
        <w:tblW w:w="9443" w:type="dxa"/>
        <w:jc w:val="center"/>
        <w:tblLook w:val="01E0" w:firstRow="1" w:lastRow="1" w:firstColumn="1" w:lastColumn="1" w:noHBand="0" w:noVBand="0"/>
      </w:tblPr>
      <w:tblGrid>
        <w:gridCol w:w="1116"/>
        <w:gridCol w:w="1147"/>
        <w:gridCol w:w="1796"/>
        <w:gridCol w:w="1835"/>
        <w:gridCol w:w="9"/>
        <w:gridCol w:w="1833"/>
        <w:gridCol w:w="1698"/>
        <w:gridCol w:w="9"/>
      </w:tblGrid>
      <w:tr w:rsidR="000236F8" w:rsidRPr="006309AA" w14:paraId="5630F6A6" w14:textId="77777777" w:rsidTr="007553D7">
        <w:trPr>
          <w:jc w:val="center"/>
        </w:trPr>
        <w:tc>
          <w:tcPr>
            <w:tcW w:w="1116" w:type="dxa"/>
          </w:tcPr>
          <w:p w14:paraId="71291AAC" w14:textId="77777777" w:rsidR="000236F8" w:rsidRPr="006309AA" w:rsidRDefault="000236F8" w:rsidP="003C6F27">
            <w:pPr>
              <w:pStyle w:val="SWCTableHeader"/>
            </w:pPr>
          </w:p>
        </w:tc>
        <w:tc>
          <w:tcPr>
            <w:tcW w:w="1147" w:type="dxa"/>
          </w:tcPr>
          <w:p w14:paraId="50F13E75" w14:textId="77777777" w:rsidR="000236F8" w:rsidRDefault="000236F8" w:rsidP="003C6F27">
            <w:pPr>
              <w:pStyle w:val="SWCTableHeader"/>
            </w:pPr>
          </w:p>
        </w:tc>
        <w:tc>
          <w:tcPr>
            <w:tcW w:w="3640" w:type="dxa"/>
            <w:gridSpan w:val="3"/>
          </w:tcPr>
          <w:p w14:paraId="51F5DFA7" w14:textId="4DA454AE" w:rsidR="000236F8" w:rsidRPr="006309AA" w:rsidRDefault="002D3552" w:rsidP="003C6F27">
            <w:pPr>
              <w:pStyle w:val="SWCTableHeader"/>
            </w:pPr>
            <w:r>
              <w:t>Insulated</w:t>
            </w:r>
            <w:r w:rsidR="002A6C68">
              <w:t xml:space="preserve"> PVT</w:t>
            </w:r>
          </w:p>
        </w:tc>
        <w:tc>
          <w:tcPr>
            <w:tcW w:w="3540" w:type="dxa"/>
            <w:gridSpan w:val="3"/>
          </w:tcPr>
          <w:p w14:paraId="6091D8A4" w14:textId="6A61C6C9" w:rsidR="000236F8" w:rsidRPr="006309AA" w:rsidRDefault="002A6C68" w:rsidP="003C6F27">
            <w:pPr>
              <w:pStyle w:val="SWCTableHeader"/>
            </w:pPr>
            <w:r>
              <w:t>Non insulated PVT</w:t>
            </w:r>
          </w:p>
        </w:tc>
      </w:tr>
      <w:tr w:rsidR="000236F8" w:rsidRPr="006309AA" w14:paraId="51ED00E7" w14:textId="77777777" w:rsidTr="007553D7">
        <w:trPr>
          <w:gridAfter w:val="1"/>
          <w:wAfter w:w="9" w:type="dxa"/>
          <w:jc w:val="center"/>
        </w:trPr>
        <w:tc>
          <w:tcPr>
            <w:tcW w:w="1116" w:type="dxa"/>
          </w:tcPr>
          <w:p w14:paraId="2F732DCD" w14:textId="77777777" w:rsidR="000236F8" w:rsidRPr="006309AA" w:rsidRDefault="000236F8" w:rsidP="003C6F27">
            <w:pPr>
              <w:pStyle w:val="SWCTableHeader"/>
            </w:pPr>
            <w:r>
              <w:t>parameter</w:t>
            </w:r>
          </w:p>
        </w:tc>
        <w:tc>
          <w:tcPr>
            <w:tcW w:w="1147" w:type="dxa"/>
          </w:tcPr>
          <w:p w14:paraId="70B0CFBC" w14:textId="77777777" w:rsidR="000236F8" w:rsidRDefault="000236F8" w:rsidP="003C6F27">
            <w:pPr>
              <w:pStyle w:val="SWCTableHeader"/>
            </w:pPr>
            <w:r>
              <w:t>unit</w:t>
            </w:r>
          </w:p>
        </w:tc>
        <w:tc>
          <w:tcPr>
            <w:tcW w:w="1796" w:type="dxa"/>
          </w:tcPr>
          <w:p w14:paraId="4A1E5D53" w14:textId="2FCE8C23" w:rsidR="000236F8" w:rsidRPr="006309AA" w:rsidRDefault="00953382" w:rsidP="003C6F27">
            <w:pPr>
              <w:pStyle w:val="SWCTableHeader"/>
            </w:pPr>
            <w:r>
              <w:t>Freely ventilated/</w:t>
            </w:r>
            <w:r w:rsidR="007553D7">
              <w:br/>
              <w:t>No barrier</w:t>
            </w:r>
          </w:p>
        </w:tc>
        <w:tc>
          <w:tcPr>
            <w:tcW w:w="1835" w:type="dxa"/>
          </w:tcPr>
          <w:p w14:paraId="183F2C45" w14:textId="77777777" w:rsidR="005025CD" w:rsidRDefault="005025CD" w:rsidP="005025CD">
            <w:pPr>
              <w:pStyle w:val="SWCTableHeader"/>
            </w:pPr>
            <w:r>
              <w:t xml:space="preserve">Partly restricted/ </w:t>
            </w:r>
          </w:p>
          <w:p w14:paraId="09EF2713" w14:textId="4A920A70" w:rsidR="000236F8" w:rsidRDefault="005025CD" w:rsidP="005025CD">
            <w:pPr>
              <w:pStyle w:val="SWCTableHeader"/>
            </w:pPr>
            <w:r>
              <w:t>Barrier w. gap</w:t>
            </w:r>
          </w:p>
        </w:tc>
        <w:tc>
          <w:tcPr>
            <w:tcW w:w="1842" w:type="dxa"/>
            <w:gridSpan w:val="2"/>
          </w:tcPr>
          <w:p w14:paraId="36BAC949" w14:textId="16F2C99F" w:rsidR="000236F8" w:rsidRPr="006309AA" w:rsidRDefault="00953382" w:rsidP="003C6F27">
            <w:pPr>
              <w:pStyle w:val="SWCTableHeader"/>
            </w:pPr>
            <w:r>
              <w:t>Freely ventilated/</w:t>
            </w:r>
            <w:r w:rsidR="007553D7">
              <w:br/>
              <w:t>No barrier</w:t>
            </w:r>
          </w:p>
        </w:tc>
        <w:tc>
          <w:tcPr>
            <w:tcW w:w="1698" w:type="dxa"/>
          </w:tcPr>
          <w:p w14:paraId="0194B15A" w14:textId="77777777" w:rsidR="005025CD" w:rsidRDefault="005025CD" w:rsidP="005025CD">
            <w:pPr>
              <w:pStyle w:val="SWCTableHeader"/>
            </w:pPr>
            <w:r>
              <w:t xml:space="preserve">Partly restricted/ </w:t>
            </w:r>
          </w:p>
          <w:p w14:paraId="36C8D701" w14:textId="40648184" w:rsidR="000236F8" w:rsidRPr="006309AA" w:rsidRDefault="005025CD" w:rsidP="005025CD">
            <w:pPr>
              <w:pStyle w:val="SWCTableHeader"/>
            </w:pPr>
            <w:r>
              <w:t>Barrier w. gap</w:t>
            </w:r>
          </w:p>
        </w:tc>
      </w:tr>
      <w:tr w:rsidR="000236F8" w:rsidRPr="006309AA" w14:paraId="42FA97FD" w14:textId="77777777" w:rsidTr="007553D7">
        <w:trPr>
          <w:jc w:val="center"/>
        </w:trPr>
        <w:tc>
          <w:tcPr>
            <w:tcW w:w="1116" w:type="dxa"/>
          </w:tcPr>
          <w:p w14:paraId="0C4878F6" w14:textId="77777777" w:rsidR="000236F8" w:rsidRPr="006309AA" w:rsidRDefault="000236F8" w:rsidP="003C6F27">
            <w:pPr>
              <w:pStyle w:val="SWCTableHeader"/>
            </w:pPr>
            <w:r w:rsidRPr="004046DA">
              <w:rPr>
                <w:sz w:val="18"/>
                <w:lang w:val="da-DK"/>
              </w:rPr>
              <w:t>η</w:t>
            </w:r>
            <w:proofErr w:type="gramStart"/>
            <w:r w:rsidRPr="004046DA">
              <w:rPr>
                <w:sz w:val="18"/>
                <w:vertAlign w:val="subscript"/>
              </w:rPr>
              <w:t>0,b</w:t>
            </w:r>
            <w:proofErr w:type="gramEnd"/>
          </w:p>
        </w:tc>
        <w:tc>
          <w:tcPr>
            <w:tcW w:w="1147" w:type="dxa"/>
          </w:tcPr>
          <w:p w14:paraId="53551D14" w14:textId="77777777" w:rsidR="000236F8" w:rsidRDefault="000236F8" w:rsidP="003C6F27">
            <w:pPr>
              <w:pStyle w:val="SWCTableHeader"/>
            </w:pPr>
            <w:r>
              <w:t>-</w:t>
            </w:r>
          </w:p>
        </w:tc>
        <w:tc>
          <w:tcPr>
            <w:tcW w:w="3640" w:type="dxa"/>
            <w:gridSpan w:val="3"/>
          </w:tcPr>
          <w:p w14:paraId="03496C73" w14:textId="77777777" w:rsidR="000236F8" w:rsidRPr="006309AA" w:rsidRDefault="000236F8" w:rsidP="003C6F27">
            <w:pPr>
              <w:pStyle w:val="SWCTableHeader"/>
            </w:pPr>
            <w:r>
              <w:t>0.41</w:t>
            </w:r>
          </w:p>
        </w:tc>
        <w:tc>
          <w:tcPr>
            <w:tcW w:w="3540" w:type="dxa"/>
            <w:gridSpan w:val="3"/>
          </w:tcPr>
          <w:p w14:paraId="32D225A2" w14:textId="77777777" w:rsidR="000236F8" w:rsidRPr="006309AA" w:rsidRDefault="000236F8" w:rsidP="003C6F27">
            <w:pPr>
              <w:pStyle w:val="SWCTableHeader"/>
            </w:pPr>
            <w:r>
              <w:t>0.44</w:t>
            </w:r>
          </w:p>
        </w:tc>
      </w:tr>
      <w:tr w:rsidR="000236F8" w:rsidRPr="006309AA" w14:paraId="17FAECE3" w14:textId="77777777" w:rsidTr="007553D7">
        <w:trPr>
          <w:gridAfter w:val="1"/>
          <w:wAfter w:w="9" w:type="dxa"/>
          <w:jc w:val="center"/>
        </w:trPr>
        <w:tc>
          <w:tcPr>
            <w:tcW w:w="1116" w:type="dxa"/>
          </w:tcPr>
          <w:p w14:paraId="22A5911D" w14:textId="64CD53A2" w:rsidR="000236F8" w:rsidRPr="006309AA" w:rsidRDefault="00754702" w:rsidP="003C6F27">
            <w:pPr>
              <w:pStyle w:val="SWCTableText"/>
            </w:pPr>
            <w:r>
              <w:t>a</w:t>
            </w:r>
            <w:r w:rsidR="000236F8" w:rsidRPr="009032F3">
              <w:rPr>
                <w:vertAlign w:val="subscript"/>
              </w:rPr>
              <w:t>1</w:t>
            </w:r>
          </w:p>
        </w:tc>
        <w:tc>
          <w:tcPr>
            <w:tcW w:w="1147" w:type="dxa"/>
          </w:tcPr>
          <w:p w14:paraId="44BCD4F6" w14:textId="77777777" w:rsidR="000236F8" w:rsidRDefault="000236F8" w:rsidP="003C6F27">
            <w:pPr>
              <w:pStyle w:val="SWCTableText"/>
              <w:rPr>
                <w:sz w:val="18"/>
              </w:rPr>
            </w:pPr>
            <w:r>
              <w:rPr>
                <w:sz w:val="18"/>
              </w:rPr>
              <w:t>W m</w:t>
            </w:r>
            <w:r>
              <w:rPr>
                <w:sz w:val="18"/>
                <w:vertAlign w:val="superscript"/>
              </w:rPr>
              <w:t xml:space="preserve">-2 </w:t>
            </w:r>
            <w:r>
              <w:rPr>
                <w:sz w:val="18"/>
              </w:rPr>
              <w:t>K</w:t>
            </w:r>
            <w:r>
              <w:rPr>
                <w:sz w:val="18"/>
                <w:vertAlign w:val="superscript"/>
              </w:rPr>
              <w:t>-1</w:t>
            </w:r>
          </w:p>
        </w:tc>
        <w:tc>
          <w:tcPr>
            <w:tcW w:w="1796" w:type="dxa"/>
          </w:tcPr>
          <w:p w14:paraId="1B42A987" w14:textId="77777777" w:rsidR="000236F8" w:rsidRDefault="000236F8" w:rsidP="003C6F27">
            <w:pPr>
              <w:pStyle w:val="SWCTableText"/>
              <w:rPr>
                <w:sz w:val="18"/>
              </w:rPr>
            </w:pPr>
            <w:r>
              <w:rPr>
                <w:sz w:val="18"/>
              </w:rPr>
              <w:t>9.8</w:t>
            </w:r>
          </w:p>
        </w:tc>
        <w:tc>
          <w:tcPr>
            <w:tcW w:w="1835" w:type="dxa"/>
          </w:tcPr>
          <w:p w14:paraId="676E5072" w14:textId="77777777" w:rsidR="000236F8" w:rsidRDefault="000236F8" w:rsidP="003C6F27">
            <w:pPr>
              <w:pStyle w:val="SWCTableText"/>
              <w:rPr>
                <w:sz w:val="18"/>
              </w:rPr>
            </w:pPr>
            <w:r>
              <w:rPr>
                <w:sz w:val="18"/>
              </w:rPr>
              <w:t>9.6</w:t>
            </w:r>
          </w:p>
        </w:tc>
        <w:tc>
          <w:tcPr>
            <w:tcW w:w="1842" w:type="dxa"/>
            <w:gridSpan w:val="2"/>
          </w:tcPr>
          <w:p w14:paraId="0E110C4B" w14:textId="33925053" w:rsidR="000236F8" w:rsidRPr="00FC09A1" w:rsidRDefault="000236F8" w:rsidP="003C6F27">
            <w:pPr>
              <w:pStyle w:val="SWCTableText"/>
            </w:pPr>
            <w:r>
              <w:rPr>
                <w:sz w:val="18"/>
              </w:rPr>
              <w:t>15.</w:t>
            </w:r>
            <w:r w:rsidR="00283E15">
              <w:rPr>
                <w:sz w:val="18"/>
              </w:rPr>
              <w:t>8</w:t>
            </w:r>
          </w:p>
        </w:tc>
        <w:tc>
          <w:tcPr>
            <w:tcW w:w="1698" w:type="dxa"/>
          </w:tcPr>
          <w:p w14:paraId="3F115BC8" w14:textId="0246CC75" w:rsidR="000236F8" w:rsidRPr="006309AA" w:rsidRDefault="000236F8" w:rsidP="003C6F27">
            <w:pPr>
              <w:pStyle w:val="SWCTableText"/>
            </w:pPr>
            <w:r>
              <w:t>14.</w:t>
            </w:r>
            <w:r w:rsidR="00283E15">
              <w:t>0</w:t>
            </w:r>
          </w:p>
        </w:tc>
      </w:tr>
    </w:tbl>
    <w:p w14:paraId="105E8327" w14:textId="77777777" w:rsidR="000236F8" w:rsidRDefault="000236F8" w:rsidP="000236F8">
      <w:pPr>
        <w:pStyle w:val="SWCText"/>
      </w:pPr>
    </w:p>
    <w:p w14:paraId="22DFD216" w14:textId="524C1B31" w:rsidR="00971356" w:rsidRDefault="00971356" w:rsidP="00971356">
      <w:pPr>
        <w:pStyle w:val="SWCHeading1"/>
        <w:numPr>
          <w:ilvl w:val="0"/>
          <w:numId w:val="0"/>
        </w:numPr>
        <w:jc w:val="left"/>
        <w:rPr>
          <w:b w:val="0"/>
          <w:bCs/>
          <w:i/>
          <w:iCs/>
        </w:rPr>
      </w:pPr>
      <w:r>
        <w:rPr>
          <w:b w:val="0"/>
          <w:bCs/>
          <w:i/>
          <w:iCs/>
        </w:rPr>
        <w:t>3</w:t>
      </w:r>
      <w:r w:rsidRPr="00D90226">
        <w:rPr>
          <w:b w:val="0"/>
          <w:bCs/>
          <w:i/>
          <w:iCs/>
        </w:rPr>
        <w:t>.</w:t>
      </w:r>
      <w:r>
        <w:rPr>
          <w:b w:val="0"/>
          <w:bCs/>
          <w:i/>
          <w:iCs/>
        </w:rPr>
        <w:t>2</w:t>
      </w:r>
      <w:r w:rsidRPr="00D90226">
        <w:rPr>
          <w:b w:val="0"/>
          <w:bCs/>
          <w:i/>
          <w:iCs/>
        </w:rPr>
        <w:t xml:space="preserve">. </w:t>
      </w:r>
      <w:r>
        <w:rPr>
          <w:b w:val="0"/>
          <w:bCs/>
          <w:i/>
          <w:iCs/>
        </w:rPr>
        <w:t>Roof surface temperatures</w:t>
      </w:r>
    </w:p>
    <w:p w14:paraId="7D8421E3" w14:textId="0E8A4D24" w:rsidR="00391710" w:rsidRDefault="00175410" w:rsidP="00F364A4">
      <w:pPr>
        <w:pStyle w:val="SWCText"/>
      </w:pPr>
      <w:r w:rsidRPr="00175410">
        <w:t xml:space="preserve">The measured temperature differences between the ambient air temperature and the roof surface are </w:t>
      </w:r>
      <w:r w:rsidR="0058023C" w:rsidRPr="00175410">
        <w:t>summarized</w:t>
      </w:r>
      <w:r w:rsidRPr="00175410">
        <w:t xml:space="preserve"> in Table </w:t>
      </w:r>
      <w:r w:rsidR="00F364A4">
        <w:t>3.</w:t>
      </w:r>
      <w:r w:rsidR="001F1886">
        <w:t xml:space="preserve"> </w:t>
      </w:r>
      <w:r w:rsidR="008011B5">
        <w:t>On average the temperature of the PVT panel was 11 K below the ambient air temperature</w:t>
      </w:r>
      <w:r w:rsidR="00391710">
        <w:t xml:space="preserve"> and the temperature at the exposed roof was </w:t>
      </w:r>
      <w:proofErr w:type="gramStart"/>
      <w:r w:rsidR="000607C2">
        <w:t>similar to</w:t>
      </w:r>
      <w:proofErr w:type="gramEnd"/>
      <w:r w:rsidR="000607C2">
        <w:t xml:space="preserve"> the ambient air temperature.</w:t>
      </w:r>
    </w:p>
    <w:p w14:paraId="708870CA" w14:textId="56AA3E9D" w:rsidR="00F72F9D" w:rsidRDefault="00F72F9D">
      <w:pPr>
        <w:rPr>
          <w:b/>
          <w:color w:val="000000"/>
          <w:sz w:val="16"/>
          <w:szCs w:val="20"/>
          <w:lang w:val="en-US"/>
        </w:rPr>
      </w:pPr>
    </w:p>
    <w:p w14:paraId="4FA556CC" w14:textId="77777777" w:rsidR="004875D3" w:rsidRDefault="004875D3">
      <w:pPr>
        <w:rPr>
          <w:b/>
          <w:color w:val="000000"/>
          <w:sz w:val="16"/>
          <w:szCs w:val="20"/>
          <w:lang w:val="en-US"/>
        </w:rPr>
      </w:pPr>
      <w:r>
        <w:br w:type="page"/>
      </w:r>
    </w:p>
    <w:p w14:paraId="3AEAF53A" w14:textId="0910414A" w:rsidR="005B181D" w:rsidRPr="006309AA" w:rsidRDefault="005B181D" w:rsidP="005B181D">
      <w:pPr>
        <w:pStyle w:val="SWCTableFigureCaption"/>
      </w:pPr>
      <w:r>
        <w:lastRenderedPageBreak/>
        <w:t>Tab. 3:</w:t>
      </w:r>
      <w:r w:rsidRPr="006309AA">
        <w:t xml:space="preserve"> </w:t>
      </w:r>
      <w:r w:rsidR="00B31650">
        <w:t>T</w:t>
      </w:r>
      <w:r>
        <w:t>emperature di</w:t>
      </w:r>
      <w:r w:rsidR="00950E01">
        <w:t>fferences between the ambient air and the roof surface a</w:t>
      </w:r>
      <w:r w:rsidR="000A33AC">
        <w:t>t different locations</w:t>
      </w:r>
      <w:r w:rsidR="00844E4A">
        <w:t>.</w:t>
      </w:r>
      <w:r w:rsidR="000A33AC">
        <w:t xml:space="preserve"> </w:t>
      </w:r>
    </w:p>
    <w:tbl>
      <w:tblPr>
        <w:tblStyle w:val="TableGrid"/>
        <w:tblW w:w="8432" w:type="dxa"/>
        <w:jc w:val="center"/>
        <w:tblLook w:val="01E0" w:firstRow="1" w:lastRow="1" w:firstColumn="1" w:lastColumn="1" w:noHBand="0" w:noVBand="0"/>
      </w:tblPr>
      <w:tblGrid>
        <w:gridCol w:w="1239"/>
        <w:gridCol w:w="561"/>
        <w:gridCol w:w="894"/>
        <w:gridCol w:w="793"/>
        <w:gridCol w:w="1038"/>
        <w:gridCol w:w="1038"/>
        <w:gridCol w:w="793"/>
        <w:gridCol w:w="1038"/>
        <w:gridCol w:w="1038"/>
      </w:tblGrid>
      <w:tr w:rsidR="0004039C" w:rsidRPr="006309AA" w14:paraId="2575FBEC" w14:textId="77777777" w:rsidTr="0004039C">
        <w:trPr>
          <w:jc w:val="center"/>
        </w:trPr>
        <w:tc>
          <w:tcPr>
            <w:tcW w:w="1239" w:type="dxa"/>
          </w:tcPr>
          <w:p w14:paraId="535A533D" w14:textId="77777777" w:rsidR="0004039C" w:rsidRPr="006309AA" w:rsidRDefault="0004039C" w:rsidP="003C6F27">
            <w:pPr>
              <w:pStyle w:val="SWCTableHeader"/>
            </w:pPr>
          </w:p>
        </w:tc>
        <w:tc>
          <w:tcPr>
            <w:tcW w:w="561" w:type="dxa"/>
          </w:tcPr>
          <w:p w14:paraId="4B382D9E" w14:textId="77777777" w:rsidR="0004039C" w:rsidRDefault="0004039C" w:rsidP="003C6F27">
            <w:pPr>
              <w:pStyle w:val="SWCTableHeader"/>
            </w:pPr>
          </w:p>
        </w:tc>
        <w:tc>
          <w:tcPr>
            <w:tcW w:w="894" w:type="dxa"/>
          </w:tcPr>
          <w:p w14:paraId="41E49648" w14:textId="77777777" w:rsidR="0004039C" w:rsidRDefault="0004039C" w:rsidP="003C6F27">
            <w:pPr>
              <w:pStyle w:val="SWCTableHeader"/>
            </w:pPr>
          </w:p>
        </w:tc>
        <w:tc>
          <w:tcPr>
            <w:tcW w:w="2869" w:type="dxa"/>
            <w:gridSpan w:val="3"/>
          </w:tcPr>
          <w:p w14:paraId="5F87EFFB" w14:textId="56AEC2E6" w:rsidR="0004039C" w:rsidRDefault="0004039C" w:rsidP="003C6F27">
            <w:pPr>
              <w:pStyle w:val="SWCTableHeader"/>
            </w:pPr>
            <w:r>
              <w:t>Insulated PVT</w:t>
            </w:r>
          </w:p>
        </w:tc>
        <w:tc>
          <w:tcPr>
            <w:tcW w:w="2869" w:type="dxa"/>
            <w:gridSpan w:val="3"/>
          </w:tcPr>
          <w:p w14:paraId="7CDC2B4C" w14:textId="090FECD1" w:rsidR="0004039C" w:rsidRPr="006309AA" w:rsidRDefault="0004039C" w:rsidP="003C6F27">
            <w:pPr>
              <w:pStyle w:val="SWCTableHeader"/>
            </w:pPr>
            <w:r>
              <w:t>No insulation PVT</w:t>
            </w:r>
          </w:p>
        </w:tc>
      </w:tr>
      <w:tr w:rsidR="0004039C" w:rsidRPr="006309AA" w14:paraId="10EF33DA" w14:textId="77777777" w:rsidTr="0004039C">
        <w:trPr>
          <w:jc w:val="center"/>
        </w:trPr>
        <w:tc>
          <w:tcPr>
            <w:tcW w:w="1239" w:type="dxa"/>
          </w:tcPr>
          <w:p w14:paraId="3A4E4335" w14:textId="18CA7928" w:rsidR="0004039C" w:rsidRPr="006309AA" w:rsidRDefault="0004039C" w:rsidP="007C6CA1">
            <w:pPr>
              <w:pStyle w:val="SWCTableHeader"/>
            </w:pPr>
            <w:r>
              <w:t>Parameter</w:t>
            </w:r>
          </w:p>
        </w:tc>
        <w:tc>
          <w:tcPr>
            <w:tcW w:w="561" w:type="dxa"/>
          </w:tcPr>
          <w:p w14:paraId="6775241D" w14:textId="77777777" w:rsidR="0004039C" w:rsidRDefault="0004039C" w:rsidP="007C6CA1">
            <w:pPr>
              <w:pStyle w:val="SWCTableHeader"/>
            </w:pPr>
            <w:r>
              <w:t>unit</w:t>
            </w:r>
          </w:p>
        </w:tc>
        <w:tc>
          <w:tcPr>
            <w:tcW w:w="894" w:type="dxa"/>
          </w:tcPr>
          <w:p w14:paraId="75737495" w14:textId="5E546883" w:rsidR="0004039C" w:rsidRDefault="0004039C" w:rsidP="007C6CA1">
            <w:pPr>
              <w:pStyle w:val="SWCTableHeader"/>
            </w:pPr>
            <w:r>
              <w:t>Roof exposed</w:t>
            </w:r>
          </w:p>
        </w:tc>
        <w:tc>
          <w:tcPr>
            <w:tcW w:w="793" w:type="dxa"/>
          </w:tcPr>
          <w:p w14:paraId="13F760E7" w14:textId="19AB5564" w:rsidR="0004039C" w:rsidRPr="006309AA" w:rsidRDefault="0004039C" w:rsidP="007C6CA1">
            <w:pPr>
              <w:pStyle w:val="SWCTableHeader"/>
            </w:pPr>
            <w:r>
              <w:t>Freely vent.</w:t>
            </w:r>
          </w:p>
        </w:tc>
        <w:tc>
          <w:tcPr>
            <w:tcW w:w="1038" w:type="dxa"/>
          </w:tcPr>
          <w:p w14:paraId="144D34C5" w14:textId="2A74CD64" w:rsidR="0004039C" w:rsidRDefault="0004039C" w:rsidP="007C6CA1">
            <w:pPr>
              <w:pStyle w:val="SWCTableHeader"/>
            </w:pPr>
            <w:r>
              <w:t>Part restricted</w:t>
            </w:r>
          </w:p>
        </w:tc>
        <w:tc>
          <w:tcPr>
            <w:tcW w:w="1038" w:type="dxa"/>
          </w:tcPr>
          <w:p w14:paraId="64EA170B" w14:textId="19128B02" w:rsidR="0004039C" w:rsidRDefault="0004039C" w:rsidP="007C6CA1">
            <w:pPr>
              <w:pStyle w:val="SWCTableHeader"/>
            </w:pPr>
            <w:r>
              <w:t>Fully restricted</w:t>
            </w:r>
          </w:p>
        </w:tc>
        <w:tc>
          <w:tcPr>
            <w:tcW w:w="793" w:type="dxa"/>
          </w:tcPr>
          <w:p w14:paraId="4C9AD314" w14:textId="6CD16EC3" w:rsidR="0004039C" w:rsidRDefault="0004039C" w:rsidP="007C6CA1">
            <w:pPr>
              <w:pStyle w:val="SWCTableHeader"/>
            </w:pPr>
            <w:r>
              <w:t>Freely vent.</w:t>
            </w:r>
          </w:p>
        </w:tc>
        <w:tc>
          <w:tcPr>
            <w:tcW w:w="1038" w:type="dxa"/>
          </w:tcPr>
          <w:p w14:paraId="70EE1B8A" w14:textId="5375BBF4" w:rsidR="0004039C" w:rsidRPr="006309AA" w:rsidRDefault="0004039C" w:rsidP="007C6CA1">
            <w:pPr>
              <w:pStyle w:val="SWCTableHeader"/>
            </w:pPr>
            <w:r>
              <w:t>Part restricted</w:t>
            </w:r>
          </w:p>
        </w:tc>
        <w:tc>
          <w:tcPr>
            <w:tcW w:w="1038" w:type="dxa"/>
          </w:tcPr>
          <w:p w14:paraId="79A38340" w14:textId="66B865FE" w:rsidR="0004039C" w:rsidRPr="006309AA" w:rsidRDefault="0004039C" w:rsidP="007C6CA1">
            <w:pPr>
              <w:pStyle w:val="SWCTableHeader"/>
            </w:pPr>
            <w:r>
              <w:t>Fully restricted</w:t>
            </w:r>
          </w:p>
        </w:tc>
      </w:tr>
      <w:tr w:rsidR="0004039C" w:rsidRPr="006309AA" w14:paraId="72650B68" w14:textId="77777777" w:rsidTr="0004039C">
        <w:trPr>
          <w:jc w:val="center"/>
        </w:trPr>
        <w:tc>
          <w:tcPr>
            <w:tcW w:w="1239" w:type="dxa"/>
          </w:tcPr>
          <w:p w14:paraId="43A4E093" w14:textId="55D12F19" w:rsidR="0004039C" w:rsidRPr="006309AA" w:rsidRDefault="0004039C" w:rsidP="007C6CA1">
            <w:pPr>
              <w:pStyle w:val="SWCTableText"/>
            </w:pPr>
            <w:r>
              <w:t>Temperature difference</w:t>
            </w:r>
          </w:p>
        </w:tc>
        <w:tc>
          <w:tcPr>
            <w:tcW w:w="561" w:type="dxa"/>
          </w:tcPr>
          <w:p w14:paraId="274851F4" w14:textId="5508C2EC" w:rsidR="0004039C" w:rsidRDefault="0004039C" w:rsidP="007C6CA1">
            <w:pPr>
              <w:pStyle w:val="SWCTableText"/>
              <w:rPr>
                <w:sz w:val="18"/>
              </w:rPr>
            </w:pPr>
            <w:r>
              <w:rPr>
                <w:sz w:val="18"/>
              </w:rPr>
              <w:t>K</w:t>
            </w:r>
          </w:p>
        </w:tc>
        <w:tc>
          <w:tcPr>
            <w:tcW w:w="894" w:type="dxa"/>
          </w:tcPr>
          <w:p w14:paraId="77CCB347" w14:textId="673A593B" w:rsidR="0004039C" w:rsidRDefault="0004039C" w:rsidP="007C6CA1">
            <w:pPr>
              <w:pStyle w:val="SWCTableText"/>
              <w:rPr>
                <w:sz w:val="18"/>
              </w:rPr>
            </w:pPr>
            <w:r>
              <w:rPr>
                <w:sz w:val="18"/>
              </w:rPr>
              <w:t>0</w:t>
            </w:r>
          </w:p>
        </w:tc>
        <w:tc>
          <w:tcPr>
            <w:tcW w:w="793" w:type="dxa"/>
          </w:tcPr>
          <w:p w14:paraId="1C7CBC5C" w14:textId="35CF57BD" w:rsidR="0004039C" w:rsidRDefault="0004039C" w:rsidP="007C6CA1">
            <w:pPr>
              <w:pStyle w:val="SWCTableText"/>
              <w:rPr>
                <w:sz w:val="18"/>
              </w:rPr>
            </w:pPr>
            <w:r>
              <w:rPr>
                <w:sz w:val="18"/>
              </w:rPr>
              <w:t>0</w:t>
            </w:r>
          </w:p>
        </w:tc>
        <w:tc>
          <w:tcPr>
            <w:tcW w:w="1038" w:type="dxa"/>
          </w:tcPr>
          <w:p w14:paraId="7852CA2B" w14:textId="794D7F81" w:rsidR="0004039C" w:rsidRDefault="0004039C" w:rsidP="007C6CA1">
            <w:pPr>
              <w:pStyle w:val="SWCTableText"/>
              <w:rPr>
                <w:sz w:val="18"/>
              </w:rPr>
            </w:pPr>
            <w:r>
              <w:rPr>
                <w:sz w:val="18"/>
              </w:rPr>
              <w:t>-2</w:t>
            </w:r>
          </w:p>
        </w:tc>
        <w:tc>
          <w:tcPr>
            <w:tcW w:w="1038" w:type="dxa"/>
          </w:tcPr>
          <w:p w14:paraId="542475DF" w14:textId="2D218135" w:rsidR="0004039C" w:rsidRPr="00FC09A1" w:rsidRDefault="0004039C" w:rsidP="007C6CA1">
            <w:pPr>
              <w:pStyle w:val="SWCTableText"/>
            </w:pPr>
            <w:r>
              <w:t>-7</w:t>
            </w:r>
          </w:p>
        </w:tc>
        <w:tc>
          <w:tcPr>
            <w:tcW w:w="793" w:type="dxa"/>
          </w:tcPr>
          <w:p w14:paraId="317EE45A" w14:textId="7966A624" w:rsidR="0004039C" w:rsidRPr="00FC09A1" w:rsidRDefault="0004039C" w:rsidP="007C6CA1">
            <w:pPr>
              <w:pStyle w:val="SWCTableText"/>
            </w:pPr>
            <w:r>
              <w:t>-1</w:t>
            </w:r>
          </w:p>
        </w:tc>
        <w:tc>
          <w:tcPr>
            <w:tcW w:w="1038" w:type="dxa"/>
          </w:tcPr>
          <w:p w14:paraId="1B22CF08" w14:textId="7200B5C0" w:rsidR="0004039C" w:rsidRPr="00FC09A1" w:rsidRDefault="0004039C" w:rsidP="007C6CA1">
            <w:pPr>
              <w:pStyle w:val="SWCTableText"/>
            </w:pPr>
            <w:r>
              <w:t>-4</w:t>
            </w:r>
          </w:p>
        </w:tc>
        <w:tc>
          <w:tcPr>
            <w:tcW w:w="1038" w:type="dxa"/>
          </w:tcPr>
          <w:p w14:paraId="216D1FAE" w14:textId="20497E90" w:rsidR="0004039C" w:rsidRPr="006309AA" w:rsidRDefault="0004039C" w:rsidP="007C6CA1">
            <w:pPr>
              <w:pStyle w:val="SWCTableText"/>
            </w:pPr>
            <w:r>
              <w:t>-8</w:t>
            </w:r>
          </w:p>
        </w:tc>
      </w:tr>
    </w:tbl>
    <w:p w14:paraId="3DE2BD75" w14:textId="77777777" w:rsidR="004875D3" w:rsidRDefault="004875D3" w:rsidP="004875D3">
      <w:pPr>
        <w:pStyle w:val="SWCText"/>
      </w:pPr>
    </w:p>
    <w:p w14:paraId="5483BD5C" w14:textId="5908B3B3" w:rsidR="004875D3" w:rsidRDefault="004875D3" w:rsidP="004875D3">
      <w:pPr>
        <w:pStyle w:val="SWCText"/>
      </w:pPr>
      <w:r>
        <w:t>The results show a clear influence of mounting configuration on the temperature of the roof surface beneath the collectors. For the freely ventilated configuration, the roof temperature was found to be close to the ambient air temperature, typically 0–1 K below. When barriers with a 2 cm gap were introduced, the roof temperature was reduced further to 2–4 K below ambient temperature. In the fully closed configuration, the reduction was most pronounced, reaching 7–8 K below ambient air temperature.</w:t>
      </w:r>
    </w:p>
    <w:p w14:paraId="5D04625D" w14:textId="77777777" w:rsidR="004875D3" w:rsidRDefault="004875D3" w:rsidP="004875D3">
      <w:pPr>
        <w:pStyle w:val="SWCText"/>
      </w:pPr>
      <w:r>
        <w:t>These results demonstrate that restricting airflow beneath the collectors enhances cooling of the roof surface. The reduced air exchange in the partially and fully restricted configurations increases the thermal coupling between the collector and the roof, resulting in greater heat extraction from the roof structure.</w:t>
      </w:r>
    </w:p>
    <w:p w14:paraId="0C3E71DD" w14:textId="77777777" w:rsidR="004875D3" w:rsidRDefault="004875D3" w:rsidP="004875D3">
      <w:pPr>
        <w:pStyle w:val="SWCText"/>
      </w:pPr>
      <w:r>
        <w:t xml:space="preserve">The results further indicate </w:t>
      </w:r>
      <w:proofErr w:type="gramStart"/>
      <w:r>
        <w:t>a strong</w:t>
      </w:r>
      <w:proofErr w:type="gramEnd"/>
      <w:r>
        <w:t xml:space="preserve"> thermal interaction between the collectors and the building. As airflow beneath the panels is restricted, the temperatures of the collector and roof surface become increasingly coupled. This interaction suggests that part of the heat absorbed by the PVT collectors may originate from the building structure rather than solely from the ambient environment.</w:t>
      </w:r>
    </w:p>
    <w:p w14:paraId="52A2EA39" w14:textId="77777777" w:rsidR="004875D3" w:rsidRDefault="004875D3" w:rsidP="004875D3">
      <w:pPr>
        <w:pStyle w:val="SWCText"/>
      </w:pPr>
      <w:r>
        <w:t>Depending on the operating conditions, this may lead to increased heat losses from the building and contribute to the useful heat gain of the PVT system. The effect is most pronounced for the non-insulated collector, where the thermal coupling between the absorber, the air cavity, and the roof surface is strongest.</w:t>
      </w:r>
    </w:p>
    <w:p w14:paraId="6675A47B" w14:textId="006342D5" w:rsidR="00442265" w:rsidRDefault="00442265" w:rsidP="004875D3">
      <w:pPr>
        <w:pStyle w:val="SWCHeading1"/>
      </w:pPr>
      <w:r>
        <w:t>Discussions</w:t>
      </w:r>
    </w:p>
    <w:p w14:paraId="66C4355F" w14:textId="77777777" w:rsidR="00AA3A35" w:rsidRPr="00AA3A35" w:rsidRDefault="00AA3A35" w:rsidP="00AA3A35">
      <w:pPr>
        <w:pStyle w:val="NormalWeb"/>
        <w:spacing w:line="276" w:lineRule="auto"/>
        <w:jc w:val="both"/>
        <w:rPr>
          <w:sz w:val="20"/>
          <w:szCs w:val="20"/>
        </w:rPr>
      </w:pPr>
      <w:r w:rsidRPr="00AA3A35">
        <w:rPr>
          <w:sz w:val="20"/>
          <w:szCs w:val="20"/>
        </w:rPr>
        <w:t>The analysis demonstrates that the mounting configuration of the PVT collectors significantly influences their thermal performance, particularly for the non-insulated collector. The largest effects were observed for the wind-dependent heat loss coefficient and the first-order heat loss coefficient, highlighting the strong dependence of uncovered PVT collectors on airflow conditions beneath the panels.</w:t>
      </w:r>
    </w:p>
    <w:p w14:paraId="1077DCF5" w14:textId="3B80C697" w:rsidR="00AA3A35" w:rsidRPr="00AA3A35" w:rsidRDefault="00AA3A35" w:rsidP="00AA3A35">
      <w:pPr>
        <w:pStyle w:val="NormalWeb"/>
        <w:spacing w:line="276" w:lineRule="auto"/>
        <w:jc w:val="both"/>
        <w:rPr>
          <w:sz w:val="20"/>
          <w:szCs w:val="20"/>
        </w:rPr>
      </w:pPr>
      <w:r w:rsidRPr="00AA3A35">
        <w:rPr>
          <w:sz w:val="20"/>
          <w:szCs w:val="20"/>
        </w:rPr>
        <w:t xml:space="preserve">These findings raise </w:t>
      </w:r>
      <w:r w:rsidR="00975C34" w:rsidRPr="00AA3A35">
        <w:rPr>
          <w:sz w:val="20"/>
          <w:szCs w:val="20"/>
        </w:rPr>
        <w:t>important</w:t>
      </w:r>
      <w:r w:rsidRPr="00AA3A35">
        <w:rPr>
          <w:sz w:val="20"/>
          <w:szCs w:val="20"/>
        </w:rPr>
        <w:t xml:space="preserve"> consideration</w:t>
      </w:r>
      <w:r w:rsidR="00975C34">
        <w:rPr>
          <w:sz w:val="20"/>
          <w:szCs w:val="20"/>
        </w:rPr>
        <w:t>s</w:t>
      </w:r>
      <w:r w:rsidRPr="00AA3A35">
        <w:rPr>
          <w:sz w:val="20"/>
          <w:szCs w:val="20"/>
        </w:rPr>
        <w:t xml:space="preserve"> regarding standard collector characterization methods, especially for non-insulated wind- and infrared-sensitive (WISC) collectors. Characterization tests are typically conducted under freely ventilated conditions and may therefore not capture the influence of installation-dependent airflow. Consequently, collector coefficients derived from standard testing may not accurately represent the performance of collectors installed in arrays where airflow beneath the panels is restricted. This is particularly relevant for PVT collectors used as heat pump sources, where heat transfer from the ambient environment plays a dominant role in system performance. The results therefore indicate that mounting configuration should be considered explicitly in both collector characterization and system modelling.</w:t>
      </w:r>
    </w:p>
    <w:p w14:paraId="5F7953D2" w14:textId="6169EF4B" w:rsidR="00AA3A35" w:rsidRPr="00AA3A35" w:rsidRDefault="00AA3A35" w:rsidP="00AA3A35">
      <w:pPr>
        <w:pStyle w:val="NormalWeb"/>
        <w:spacing w:line="276" w:lineRule="auto"/>
        <w:jc w:val="both"/>
        <w:rPr>
          <w:sz w:val="20"/>
          <w:szCs w:val="20"/>
        </w:rPr>
      </w:pPr>
      <w:r w:rsidRPr="00AA3A35">
        <w:rPr>
          <w:sz w:val="20"/>
          <w:szCs w:val="20"/>
        </w:rPr>
        <w:t xml:space="preserve">The observed reduction in roof surface temperatures under restricted airflow conditions demonstrates that the collectors interact not only with the ambient air but also with the building structure. When operating below ambient temperature, the collector can extract heat from both the surrounding air </w:t>
      </w:r>
      <w:proofErr w:type="gramStart"/>
      <w:r w:rsidRPr="00AA3A35">
        <w:rPr>
          <w:sz w:val="20"/>
          <w:szCs w:val="20"/>
        </w:rPr>
        <w:t>and</w:t>
      </w:r>
      <w:r w:rsidR="0033188F">
        <w:rPr>
          <w:sz w:val="20"/>
          <w:szCs w:val="20"/>
        </w:rPr>
        <w:t>,</w:t>
      </w:r>
      <w:proofErr w:type="gramEnd"/>
      <w:r w:rsidRPr="00AA3A35">
        <w:rPr>
          <w:sz w:val="20"/>
          <w:szCs w:val="20"/>
        </w:rPr>
        <w:t xml:space="preserve"> </w:t>
      </w:r>
      <w:r w:rsidR="00196746">
        <w:rPr>
          <w:sz w:val="20"/>
          <w:szCs w:val="20"/>
        </w:rPr>
        <w:t xml:space="preserve">potentially also </w:t>
      </w:r>
      <w:r w:rsidRPr="00AA3A35">
        <w:rPr>
          <w:sz w:val="20"/>
          <w:szCs w:val="20"/>
        </w:rPr>
        <w:t>the roof, creating a coupled thermal system in which heat transfer depends on operating conditions and installation geometry. Consequently, part of the energy supplied to the heat pump may originate from the building envelope.</w:t>
      </w:r>
    </w:p>
    <w:p w14:paraId="08980259" w14:textId="31120835" w:rsidR="00AA3A35" w:rsidRPr="00AA3A35" w:rsidRDefault="00AA3A35" w:rsidP="00AA3A35">
      <w:pPr>
        <w:pStyle w:val="NormalWeb"/>
        <w:spacing w:line="276" w:lineRule="auto"/>
        <w:jc w:val="both"/>
        <w:rPr>
          <w:sz w:val="20"/>
          <w:szCs w:val="20"/>
        </w:rPr>
      </w:pPr>
      <w:r w:rsidRPr="00AA3A35">
        <w:rPr>
          <w:sz w:val="20"/>
          <w:szCs w:val="20"/>
        </w:rPr>
        <w:t xml:space="preserve">This interaction may be beneficial from a system perspective by increasing the available heat source for the heat pump. However, it may also increase heat losses from the building. The magnitude and direction of this effect are expected to depend on parameters such as roof design, insulation level, collector operating temperature, and airflow conditions beneath the panels. Reduced roof surface temperatures may furthermore create </w:t>
      </w:r>
      <w:r w:rsidR="005E7AFD">
        <w:rPr>
          <w:sz w:val="20"/>
          <w:szCs w:val="20"/>
        </w:rPr>
        <w:t>un</w:t>
      </w:r>
      <w:r w:rsidR="005E7AFD" w:rsidRPr="00AA3A35">
        <w:rPr>
          <w:sz w:val="20"/>
          <w:szCs w:val="20"/>
        </w:rPr>
        <w:t>favorable</w:t>
      </w:r>
      <w:r w:rsidRPr="00AA3A35">
        <w:rPr>
          <w:sz w:val="20"/>
          <w:szCs w:val="20"/>
        </w:rPr>
        <w:t xml:space="preserve"> </w:t>
      </w:r>
      <w:r w:rsidRPr="00AA3A35">
        <w:rPr>
          <w:sz w:val="20"/>
          <w:szCs w:val="20"/>
        </w:rPr>
        <w:lastRenderedPageBreak/>
        <w:t>conditions within the roof construction, which should be considered when integrating PVT collectors into buildings.</w:t>
      </w:r>
    </w:p>
    <w:p w14:paraId="470CF668" w14:textId="77777777" w:rsidR="00AA3A35" w:rsidRPr="00AA3A35" w:rsidRDefault="00AA3A35" w:rsidP="00AA3A35">
      <w:pPr>
        <w:pStyle w:val="NormalWeb"/>
        <w:spacing w:line="276" w:lineRule="auto"/>
        <w:jc w:val="both"/>
        <w:rPr>
          <w:sz w:val="20"/>
          <w:szCs w:val="20"/>
        </w:rPr>
      </w:pPr>
      <w:r w:rsidRPr="00AA3A35">
        <w:rPr>
          <w:sz w:val="20"/>
          <w:szCs w:val="20"/>
        </w:rPr>
        <w:t>The results show that installation geometry constitutes an important design parameter in addition to collector design itself. Parameters such as airflow paths, panel spacing, and integration with the building envelope may influence both collector performance and the thermal interaction with the building.</w:t>
      </w:r>
    </w:p>
    <w:p w14:paraId="12311943" w14:textId="77777777" w:rsidR="00AA3A35" w:rsidRPr="00AA3A35" w:rsidRDefault="00AA3A35" w:rsidP="00AA3A35">
      <w:pPr>
        <w:pStyle w:val="NormalWeb"/>
        <w:spacing w:line="276" w:lineRule="auto"/>
        <w:jc w:val="both"/>
        <w:rPr>
          <w:sz w:val="20"/>
          <w:szCs w:val="20"/>
        </w:rPr>
      </w:pPr>
      <w:r w:rsidRPr="00AA3A35">
        <w:rPr>
          <w:sz w:val="20"/>
          <w:szCs w:val="20"/>
        </w:rPr>
        <w:t>The influence of mounting configuration is expected to be even more pronounced for PVT collectors with enhanced backside heat transfer, such as finned absorber designs. Since a substantial part of the heat transfer from the environment to the heat transfer fluid occurs through the rear side of the collector, particularly under low-irradiance conditions, increasing the backside heat transfer area is likely to increase the sensitivity to airflow conditions and cavity geometry.</w:t>
      </w:r>
    </w:p>
    <w:p w14:paraId="679DCD44" w14:textId="3DE5C1C8" w:rsidR="00AA3A35" w:rsidRPr="00AA3A35" w:rsidRDefault="00AA3A35" w:rsidP="00AA3A35">
      <w:pPr>
        <w:pStyle w:val="NormalWeb"/>
        <w:spacing w:line="276" w:lineRule="auto"/>
        <w:jc w:val="both"/>
        <w:rPr>
          <w:sz w:val="20"/>
          <w:szCs w:val="20"/>
        </w:rPr>
      </w:pPr>
      <w:r w:rsidRPr="00AA3A35">
        <w:rPr>
          <w:sz w:val="20"/>
          <w:szCs w:val="20"/>
        </w:rPr>
        <w:t xml:space="preserve">The findings also point to potential implications for building durability. Prolonged operation with collector temperatures below ambient may result in conditions </w:t>
      </w:r>
      <w:r w:rsidR="002973AB">
        <w:rPr>
          <w:sz w:val="20"/>
          <w:szCs w:val="20"/>
        </w:rPr>
        <w:t>where</w:t>
      </w:r>
      <w:r w:rsidRPr="00AA3A35">
        <w:rPr>
          <w:sz w:val="20"/>
          <w:szCs w:val="20"/>
        </w:rPr>
        <w:t xml:space="preserve"> condensation within the roof construction</w:t>
      </w:r>
      <w:r w:rsidR="002973AB">
        <w:rPr>
          <w:sz w:val="20"/>
          <w:szCs w:val="20"/>
        </w:rPr>
        <w:t xml:space="preserve"> occurs</w:t>
      </w:r>
      <w:r w:rsidRPr="00AA3A35">
        <w:rPr>
          <w:sz w:val="20"/>
          <w:szCs w:val="20"/>
        </w:rPr>
        <w:t xml:space="preserve">. Over time, this may increase the risk of moisture accumulation, </w:t>
      </w:r>
      <w:r w:rsidR="002973AB" w:rsidRPr="00AA3A35">
        <w:rPr>
          <w:sz w:val="20"/>
          <w:szCs w:val="20"/>
        </w:rPr>
        <w:t>mold</w:t>
      </w:r>
      <w:r w:rsidRPr="00AA3A35">
        <w:rPr>
          <w:sz w:val="20"/>
          <w:szCs w:val="20"/>
        </w:rPr>
        <w:t xml:space="preserve"> growth, or material degradation if not properly accounted for in the design.</w:t>
      </w:r>
    </w:p>
    <w:p w14:paraId="5AB64072" w14:textId="5A8E464D" w:rsidR="00AA3A35" w:rsidRDefault="008B5C55" w:rsidP="00AA3A35">
      <w:pPr>
        <w:pStyle w:val="NormalWeb"/>
        <w:spacing w:line="276" w:lineRule="auto"/>
        <w:jc w:val="both"/>
        <w:rPr>
          <w:sz w:val="20"/>
          <w:szCs w:val="20"/>
        </w:rPr>
      </w:pPr>
      <w:r>
        <w:rPr>
          <w:sz w:val="20"/>
          <w:szCs w:val="20"/>
        </w:rPr>
        <w:t>F</w:t>
      </w:r>
      <w:r w:rsidR="00AA3A35" w:rsidRPr="00AA3A35">
        <w:rPr>
          <w:sz w:val="20"/>
          <w:szCs w:val="20"/>
        </w:rPr>
        <w:t>urther investigation</w:t>
      </w:r>
      <w:r>
        <w:rPr>
          <w:sz w:val="20"/>
          <w:szCs w:val="20"/>
        </w:rPr>
        <w:t xml:space="preserve"> within this area is </w:t>
      </w:r>
      <w:r w:rsidR="00942DD4">
        <w:rPr>
          <w:sz w:val="20"/>
          <w:szCs w:val="20"/>
        </w:rPr>
        <w:t>proposed</w:t>
      </w:r>
      <w:r w:rsidR="00AA3A35" w:rsidRPr="00AA3A35">
        <w:rPr>
          <w:sz w:val="20"/>
          <w:szCs w:val="20"/>
        </w:rPr>
        <w:t xml:space="preserve">. The distance between the collector and the roof is expected to influence both airflow </w:t>
      </w:r>
      <w:r w:rsidRPr="00AA3A35">
        <w:rPr>
          <w:sz w:val="20"/>
          <w:szCs w:val="20"/>
        </w:rPr>
        <w:t>behavior</w:t>
      </w:r>
      <w:r w:rsidR="00AA3A35" w:rsidRPr="00AA3A35">
        <w:rPr>
          <w:sz w:val="20"/>
          <w:szCs w:val="20"/>
        </w:rPr>
        <w:t xml:space="preserve"> and thermal coupling, while the spacing between adjacent collectors may affect airflow distribution within larger PVT arrays. Future work should therefore investigate panel-to-roof distance, panel-to-panel spacing, </w:t>
      </w:r>
      <w:proofErr w:type="gramStart"/>
      <w:r w:rsidR="00AA3A35" w:rsidRPr="00AA3A35">
        <w:rPr>
          <w:sz w:val="20"/>
          <w:szCs w:val="20"/>
        </w:rPr>
        <w:t>finned</w:t>
      </w:r>
      <w:proofErr w:type="gramEnd"/>
      <w:r w:rsidR="00AA3A35" w:rsidRPr="00AA3A35">
        <w:rPr>
          <w:sz w:val="20"/>
          <w:szCs w:val="20"/>
        </w:rPr>
        <w:t xml:space="preserve"> or high-surface-area absorber designs, and the long-term effects of moisture transport and condensation in building-integrated PVT systems.</w:t>
      </w:r>
    </w:p>
    <w:p w14:paraId="2414BF68" w14:textId="63FC8CD8" w:rsidR="00BE40E3" w:rsidRDefault="00BE40E3" w:rsidP="00BE40E3">
      <w:pPr>
        <w:pStyle w:val="SWCHeading1"/>
      </w:pPr>
      <w:r>
        <w:t>Conclusions</w:t>
      </w:r>
    </w:p>
    <w:p w14:paraId="34AA8575" w14:textId="56D42B41" w:rsidR="00B16A9C" w:rsidRDefault="00B16A9C" w:rsidP="00B16A9C">
      <w:pPr>
        <w:pStyle w:val="SWCText"/>
      </w:pPr>
      <w:r>
        <w:t>This study has experimentally investigated</w:t>
      </w:r>
      <w:r w:rsidR="003C310A">
        <w:t xml:space="preserve"> </w:t>
      </w:r>
      <w:r>
        <w:t>the influence of</w:t>
      </w:r>
      <w:r w:rsidR="005853AF">
        <w:t xml:space="preserve"> different</w:t>
      </w:r>
      <w:r>
        <w:t xml:space="preserve"> roof mounting </w:t>
      </w:r>
      <w:proofErr w:type="gramStart"/>
      <w:r>
        <w:t>configuration</w:t>
      </w:r>
      <w:proofErr w:type="gramEnd"/>
      <w:r>
        <w:t xml:space="preserve"> on the thermal performance of uncovered PVT collectors operating under </w:t>
      </w:r>
      <w:r w:rsidR="003C310A" w:rsidRPr="00231ED9">
        <w:rPr>
          <w:color w:val="000000" w:themeColor="text1"/>
          <w:szCs w:val="20"/>
        </w:rPr>
        <w:t>conditions representative of their use as low-temperature heat sources for heat pump</w:t>
      </w:r>
      <w:r w:rsidR="003C310A">
        <w:rPr>
          <w:color w:val="000000" w:themeColor="text1"/>
          <w:szCs w:val="20"/>
        </w:rPr>
        <w:t>s</w:t>
      </w:r>
      <w:r w:rsidR="003C310A" w:rsidRPr="00231ED9">
        <w:rPr>
          <w:color w:val="000000" w:themeColor="text1"/>
          <w:szCs w:val="20"/>
        </w:rPr>
        <w:t xml:space="preserve"> in Nordic climates</w:t>
      </w:r>
      <w:r>
        <w:t xml:space="preserve">. The results demonstrate that airflow conditions </w:t>
      </w:r>
      <w:r w:rsidR="00EC0E20">
        <w:t>beneath</w:t>
      </w:r>
      <w:r>
        <w:t xml:space="preserve"> the collectors have a significant impact on both the thermal performance and the</w:t>
      </w:r>
      <w:r w:rsidR="005E0923">
        <w:t xml:space="preserve"> t</w:t>
      </w:r>
      <w:r w:rsidR="001B6465">
        <w:t>h</w:t>
      </w:r>
      <w:r w:rsidR="005E0923">
        <w:t>ermal</w:t>
      </w:r>
      <w:r>
        <w:t xml:space="preserve"> interaction with the building</w:t>
      </w:r>
      <w:r w:rsidR="005E0923">
        <w:t xml:space="preserve"> below the PVT panels</w:t>
      </w:r>
      <w:r>
        <w:t>.</w:t>
      </w:r>
    </w:p>
    <w:p w14:paraId="0CCE9D78" w14:textId="77777777" w:rsidR="00B16A9C" w:rsidRDefault="00B16A9C" w:rsidP="00440415">
      <w:pPr>
        <w:pStyle w:val="SWCText"/>
      </w:pPr>
      <w:r>
        <w:t>The key findings can be summarized as follows:</w:t>
      </w:r>
    </w:p>
    <w:p w14:paraId="3CDE8CE5" w14:textId="449561FC" w:rsidR="00B16A9C" w:rsidRDefault="00B16A9C" w:rsidP="00B16A9C">
      <w:pPr>
        <w:pStyle w:val="SWCText"/>
        <w:numPr>
          <w:ilvl w:val="0"/>
          <w:numId w:val="32"/>
        </w:numPr>
      </w:pPr>
      <w:r>
        <w:t>Mounting configuration strongly influences the thermal performance</w:t>
      </w:r>
      <w:r w:rsidR="00BE5BB1">
        <w:t xml:space="preserve"> and the collector </w:t>
      </w:r>
      <w:r w:rsidR="00E449B9">
        <w:t xml:space="preserve">efficiency </w:t>
      </w:r>
      <w:r w:rsidR="00BE5BB1">
        <w:t>coefficient</w:t>
      </w:r>
      <w:r w:rsidR="00E449B9">
        <w:t>s</w:t>
      </w:r>
      <w:r w:rsidR="00BE5BB1">
        <w:t xml:space="preserve"> </w:t>
      </w:r>
      <w:r>
        <w:t>of uncovered PVT collectors, with the effect being most pronounced for non-insulated collectors.</w:t>
      </w:r>
    </w:p>
    <w:p w14:paraId="40D00130" w14:textId="336DA22A" w:rsidR="00B16A9C" w:rsidRDefault="00B16A9C" w:rsidP="00B16A9C">
      <w:pPr>
        <w:pStyle w:val="SWCText"/>
        <w:numPr>
          <w:ilvl w:val="0"/>
          <w:numId w:val="32"/>
        </w:numPr>
      </w:pPr>
      <w:r>
        <w:t xml:space="preserve">Restricting airflow </w:t>
      </w:r>
      <w:r w:rsidR="00EC0E20">
        <w:t>beneath</w:t>
      </w:r>
      <w:r>
        <w:t xml:space="preserve"> the panels alters the heat transfer mechanisms and reduces the wind-dependent heat loss contribution.</w:t>
      </w:r>
    </w:p>
    <w:p w14:paraId="06CA59AB" w14:textId="196A8C14" w:rsidR="00B16A9C" w:rsidRDefault="00AC52F9" w:rsidP="00B16A9C">
      <w:pPr>
        <w:pStyle w:val="SWCText"/>
        <w:numPr>
          <w:ilvl w:val="0"/>
          <w:numId w:val="32"/>
        </w:numPr>
      </w:pPr>
      <w:r>
        <w:t>C</w:t>
      </w:r>
      <w:r w:rsidR="00B16A9C">
        <w:t xml:space="preserve">ollector characterization under freely ventilated conditions does not adequately represent real installation scenarios </w:t>
      </w:r>
      <w:r w:rsidR="004B7E7A">
        <w:t>with an array of multiple panels</w:t>
      </w:r>
      <w:r w:rsidR="00FF116C">
        <w:t>,</w:t>
      </w:r>
      <w:r w:rsidR="004B7E7A">
        <w:t xml:space="preserve"> where</w:t>
      </w:r>
      <w:r w:rsidR="00B16A9C">
        <w:t xml:space="preserve"> airflow</w:t>
      </w:r>
      <w:r w:rsidR="004B7E7A">
        <w:t xml:space="preserve"> </w:t>
      </w:r>
      <w:r w:rsidR="00EC0E20">
        <w:t>beneath</w:t>
      </w:r>
      <w:r w:rsidR="004B7E7A">
        <w:t xml:space="preserve"> the panels is restricted due to </w:t>
      </w:r>
      <w:r w:rsidR="00015932">
        <w:t xml:space="preserve">multiple panels mounted side by side </w:t>
      </w:r>
      <w:r w:rsidR="00FA52CC">
        <w:t>with only minor gaps in between them</w:t>
      </w:r>
      <w:r w:rsidR="00B16A9C">
        <w:t>.</w:t>
      </w:r>
    </w:p>
    <w:p w14:paraId="6D4BCA7C" w14:textId="1F782AE6" w:rsidR="001A6B27" w:rsidRDefault="001A6B27" w:rsidP="00B16A9C">
      <w:pPr>
        <w:pStyle w:val="SWCText"/>
        <w:numPr>
          <w:ilvl w:val="0"/>
          <w:numId w:val="32"/>
        </w:numPr>
      </w:pPr>
      <w:r w:rsidRPr="001A6B27">
        <w:t xml:space="preserve">For certain mounting configurations, the collectors exhibit </w:t>
      </w:r>
      <w:proofErr w:type="gramStart"/>
      <w:r w:rsidRPr="001A6B27">
        <w:t>a strong</w:t>
      </w:r>
      <w:proofErr w:type="gramEnd"/>
      <w:r w:rsidRPr="001A6B27">
        <w:t xml:space="preserve"> thermal interaction with the roof surface, particularly during low-temperature operation where the roof temperature is reduced by the PVT collector. This interaction presents both opportunities and challenges, as heat extracted from the building structure may contribute to the useful heat gain of the PVT system, while simultaneously increasing heat losses from the building and potentially affecting the durability of the roof construction.</w:t>
      </w:r>
    </w:p>
    <w:p w14:paraId="6363F4B5" w14:textId="77777777" w:rsidR="00B16A9C" w:rsidRDefault="00B16A9C" w:rsidP="00B16A9C">
      <w:pPr>
        <w:pStyle w:val="SWCText"/>
      </w:pPr>
      <w:r>
        <w:t>From a system perspective, the results highlight that installation geometry must be considered as an integral part of PVT system design, characterization, and modelling. Parameters such as airflow conditions and panel–roof interaction can significantly influence system performance and should not be neglected.</w:t>
      </w:r>
    </w:p>
    <w:p w14:paraId="0CAFABFC" w14:textId="77777777" w:rsidR="00B16A9C" w:rsidRDefault="00B16A9C" w:rsidP="00B16A9C">
      <w:pPr>
        <w:pStyle w:val="SWCText"/>
      </w:pPr>
      <w:r>
        <w:t>Furthermore, the findings indicate the need for future work addressing:</w:t>
      </w:r>
    </w:p>
    <w:p w14:paraId="3447EC3A" w14:textId="77777777" w:rsidR="00B16A9C" w:rsidRDefault="00B16A9C" w:rsidP="00B16A9C">
      <w:pPr>
        <w:pStyle w:val="SWCText"/>
        <w:numPr>
          <w:ilvl w:val="0"/>
          <w:numId w:val="33"/>
        </w:numPr>
      </w:pPr>
      <w:r>
        <w:t>the role of panel-to-roof distance and airflow control,</w:t>
      </w:r>
    </w:p>
    <w:p w14:paraId="463E3680" w14:textId="54CE5538" w:rsidR="00B16A9C" w:rsidRDefault="00B16A9C" w:rsidP="00B16A9C">
      <w:pPr>
        <w:pStyle w:val="SWCText"/>
        <w:numPr>
          <w:ilvl w:val="0"/>
          <w:numId w:val="33"/>
        </w:numPr>
      </w:pPr>
      <w:r>
        <w:lastRenderedPageBreak/>
        <w:t xml:space="preserve">the </w:t>
      </w:r>
      <w:r w:rsidR="00495BE3">
        <w:t>behavior</w:t>
      </w:r>
      <w:r>
        <w:t xml:space="preserve"> of PVT collectors with enhanced backside heat transfer (e.g. finned designs),</w:t>
      </w:r>
    </w:p>
    <w:p w14:paraId="15AEA8C3" w14:textId="44157F5B" w:rsidR="00B16A9C" w:rsidRDefault="00B16A9C" w:rsidP="00B16A9C">
      <w:pPr>
        <w:pStyle w:val="SWCText"/>
        <w:numPr>
          <w:ilvl w:val="0"/>
          <w:numId w:val="33"/>
        </w:numPr>
      </w:pPr>
      <w:r>
        <w:t>and the long-term implications related to moisture, condensation, and durability in building-integrated systems.</w:t>
      </w:r>
    </w:p>
    <w:p w14:paraId="4D4B0DB9" w14:textId="688D09BE" w:rsidR="000260F9" w:rsidRDefault="00B16A9C" w:rsidP="00B16A9C">
      <w:pPr>
        <w:pStyle w:val="SWCText"/>
      </w:pPr>
      <w:r>
        <w:t>Overall, the study demonstrates that mounting configuration is a key parameter governing both collector performance and building interaction, and it should be explicitly accounted for in the development and application of PVT heat pump systems.</w:t>
      </w:r>
    </w:p>
    <w:p w14:paraId="14E79306" w14:textId="77777777" w:rsidR="00041AD7" w:rsidRDefault="00041AD7" w:rsidP="00041AD7">
      <w:pPr>
        <w:pStyle w:val="SWCHeading1"/>
        <w:tabs>
          <w:tab w:val="clear" w:pos="720"/>
          <w:tab w:val="num" w:pos="3904"/>
        </w:tabs>
        <w:ind w:left="360"/>
      </w:pPr>
      <w:r w:rsidRPr="00AC2D84">
        <w:t>Nomenclature and symbols</w:t>
      </w:r>
    </w:p>
    <w:tbl>
      <w:tblPr>
        <w:tblStyle w:val="TableGrid"/>
        <w:tblW w:w="0" w:type="auto"/>
        <w:tblBorders>
          <w:left w:val="none" w:sz="0" w:space="0" w:color="auto"/>
        </w:tblBorders>
        <w:tblLook w:val="04A0" w:firstRow="1" w:lastRow="0" w:firstColumn="1" w:lastColumn="0" w:noHBand="0" w:noVBand="1"/>
      </w:tblPr>
      <w:tblGrid>
        <w:gridCol w:w="5245"/>
        <w:gridCol w:w="1701"/>
        <w:gridCol w:w="1811"/>
      </w:tblGrid>
      <w:tr w:rsidR="00041AD7" w14:paraId="621EC2F0" w14:textId="77777777" w:rsidTr="003B1BD3">
        <w:tc>
          <w:tcPr>
            <w:tcW w:w="5245" w:type="dxa"/>
            <w:tcBorders>
              <w:bottom w:val="single" w:sz="4" w:space="0" w:color="auto"/>
              <w:right w:val="nil"/>
            </w:tcBorders>
          </w:tcPr>
          <w:p w14:paraId="13000228" w14:textId="77777777" w:rsidR="00041AD7" w:rsidRPr="00AC2D84" w:rsidRDefault="00041AD7" w:rsidP="003B1BD3">
            <w:pPr>
              <w:rPr>
                <w:sz w:val="18"/>
                <w:lang w:val="en-GB"/>
              </w:rPr>
            </w:pPr>
            <w:r w:rsidRPr="00AC2D84">
              <w:rPr>
                <w:sz w:val="18"/>
                <w:lang w:val="en-GB"/>
              </w:rPr>
              <w:t>Quantity</w:t>
            </w:r>
          </w:p>
        </w:tc>
        <w:tc>
          <w:tcPr>
            <w:tcW w:w="1701" w:type="dxa"/>
            <w:tcBorders>
              <w:left w:val="nil"/>
              <w:bottom w:val="single" w:sz="4" w:space="0" w:color="auto"/>
              <w:right w:val="nil"/>
            </w:tcBorders>
          </w:tcPr>
          <w:p w14:paraId="025F7C1F" w14:textId="77777777" w:rsidR="00041AD7" w:rsidRPr="00AC2D84" w:rsidRDefault="00041AD7" w:rsidP="003B1BD3">
            <w:pPr>
              <w:rPr>
                <w:sz w:val="18"/>
                <w:lang w:val="en-GB"/>
              </w:rPr>
            </w:pPr>
            <w:r w:rsidRPr="00AC2D84">
              <w:rPr>
                <w:sz w:val="18"/>
                <w:lang w:val="en-GB"/>
              </w:rPr>
              <w:t>Symbol</w:t>
            </w:r>
          </w:p>
        </w:tc>
        <w:tc>
          <w:tcPr>
            <w:tcW w:w="1811" w:type="dxa"/>
            <w:tcBorders>
              <w:left w:val="nil"/>
              <w:bottom w:val="single" w:sz="4" w:space="0" w:color="auto"/>
              <w:right w:val="nil"/>
            </w:tcBorders>
          </w:tcPr>
          <w:p w14:paraId="24295E98" w14:textId="77777777" w:rsidR="00041AD7" w:rsidRPr="00AC2D84" w:rsidRDefault="00041AD7" w:rsidP="003B1BD3">
            <w:pPr>
              <w:rPr>
                <w:sz w:val="18"/>
                <w:lang w:val="en-GB"/>
              </w:rPr>
            </w:pPr>
            <w:r w:rsidRPr="00AC2D84">
              <w:rPr>
                <w:sz w:val="18"/>
                <w:lang w:val="en-GB"/>
              </w:rPr>
              <w:t>Unit</w:t>
            </w:r>
          </w:p>
        </w:tc>
      </w:tr>
      <w:tr w:rsidR="00041AD7" w14:paraId="44F57127" w14:textId="77777777" w:rsidTr="003B1BD3">
        <w:tc>
          <w:tcPr>
            <w:tcW w:w="5245" w:type="dxa"/>
            <w:tcBorders>
              <w:top w:val="nil"/>
              <w:bottom w:val="nil"/>
              <w:right w:val="nil"/>
            </w:tcBorders>
          </w:tcPr>
          <w:p w14:paraId="4E252851" w14:textId="77777777" w:rsidR="00041AD7" w:rsidRPr="00E00EFB" w:rsidRDefault="00041AD7" w:rsidP="003B1BD3">
            <w:pPr>
              <w:rPr>
                <w:sz w:val="18"/>
                <w:lang w:val="en-US"/>
              </w:rPr>
            </w:pPr>
            <w:r w:rsidRPr="00E00EFB">
              <w:rPr>
                <w:sz w:val="18"/>
                <w:lang w:val="en-US"/>
              </w:rPr>
              <w:t>Heat loss coefficient</w:t>
            </w:r>
          </w:p>
        </w:tc>
        <w:tc>
          <w:tcPr>
            <w:tcW w:w="1701" w:type="dxa"/>
            <w:tcBorders>
              <w:top w:val="nil"/>
              <w:left w:val="nil"/>
              <w:bottom w:val="nil"/>
              <w:right w:val="nil"/>
            </w:tcBorders>
          </w:tcPr>
          <w:p w14:paraId="02889CA6" w14:textId="716D67FE" w:rsidR="00041AD7" w:rsidRPr="00AC2D84" w:rsidRDefault="00495BE3" w:rsidP="003B1BD3">
            <w:pPr>
              <w:rPr>
                <w:sz w:val="18"/>
                <w:lang w:val="en-GB"/>
              </w:rPr>
            </w:pPr>
            <w:r>
              <w:rPr>
                <w:sz w:val="18"/>
              </w:rPr>
              <w:t>a</w:t>
            </w:r>
            <w:r w:rsidR="00041AD7" w:rsidRPr="004046DA">
              <w:rPr>
                <w:sz w:val="18"/>
                <w:vertAlign w:val="subscript"/>
              </w:rPr>
              <w:t>1</w:t>
            </w:r>
          </w:p>
        </w:tc>
        <w:tc>
          <w:tcPr>
            <w:tcW w:w="1811" w:type="dxa"/>
            <w:tcBorders>
              <w:top w:val="nil"/>
              <w:left w:val="nil"/>
              <w:bottom w:val="nil"/>
              <w:right w:val="nil"/>
            </w:tcBorders>
          </w:tcPr>
          <w:p w14:paraId="4DEE2B06" w14:textId="77777777" w:rsidR="00041AD7" w:rsidRPr="00E00EFB" w:rsidRDefault="00041AD7" w:rsidP="003B1BD3">
            <w:pPr>
              <w:rPr>
                <w:sz w:val="18"/>
                <w:vertAlign w:val="superscript"/>
                <w:lang w:val="en-GB"/>
              </w:rPr>
            </w:pPr>
            <w:r>
              <w:rPr>
                <w:sz w:val="18"/>
                <w:lang w:val="en-GB"/>
              </w:rPr>
              <w:t>W m</w:t>
            </w:r>
            <w:r>
              <w:rPr>
                <w:sz w:val="18"/>
                <w:vertAlign w:val="superscript"/>
                <w:lang w:val="en-GB"/>
              </w:rPr>
              <w:t xml:space="preserve">-2 </w:t>
            </w:r>
            <w:r>
              <w:rPr>
                <w:sz w:val="18"/>
                <w:lang w:val="en-GB"/>
              </w:rPr>
              <w:t>K</w:t>
            </w:r>
            <w:r>
              <w:rPr>
                <w:sz w:val="18"/>
                <w:vertAlign w:val="superscript"/>
                <w:lang w:val="en-GB"/>
              </w:rPr>
              <w:t>-1</w:t>
            </w:r>
          </w:p>
        </w:tc>
      </w:tr>
      <w:tr w:rsidR="00220966" w14:paraId="15B8B54B" w14:textId="77777777" w:rsidTr="003B1BD3">
        <w:tc>
          <w:tcPr>
            <w:tcW w:w="5245" w:type="dxa"/>
            <w:tcBorders>
              <w:top w:val="nil"/>
              <w:bottom w:val="nil"/>
              <w:right w:val="nil"/>
            </w:tcBorders>
          </w:tcPr>
          <w:p w14:paraId="0D030E0F" w14:textId="05B98CA8" w:rsidR="00220966" w:rsidRPr="00E00EFB" w:rsidRDefault="004F42D6" w:rsidP="00220966">
            <w:pPr>
              <w:rPr>
                <w:sz w:val="18"/>
                <w:lang w:val="en-US"/>
              </w:rPr>
            </w:pPr>
            <w:r>
              <w:rPr>
                <w:sz w:val="18"/>
                <w:lang w:val="en-US"/>
              </w:rPr>
              <w:t>Second order h</w:t>
            </w:r>
            <w:r w:rsidRPr="00E00EFB">
              <w:rPr>
                <w:sz w:val="18"/>
                <w:lang w:val="en-US"/>
              </w:rPr>
              <w:t>eat loss coefficient</w:t>
            </w:r>
          </w:p>
        </w:tc>
        <w:tc>
          <w:tcPr>
            <w:tcW w:w="1701" w:type="dxa"/>
            <w:tcBorders>
              <w:top w:val="nil"/>
              <w:left w:val="nil"/>
              <w:bottom w:val="nil"/>
              <w:right w:val="nil"/>
            </w:tcBorders>
          </w:tcPr>
          <w:p w14:paraId="493F1716" w14:textId="36262BDC" w:rsidR="00220966" w:rsidRPr="004046DA" w:rsidRDefault="00495BE3" w:rsidP="00220966">
            <w:pPr>
              <w:rPr>
                <w:sz w:val="18"/>
              </w:rPr>
            </w:pPr>
            <w:r>
              <w:rPr>
                <w:sz w:val="18"/>
              </w:rPr>
              <w:t>a</w:t>
            </w:r>
            <w:r w:rsidR="004F42D6">
              <w:rPr>
                <w:sz w:val="18"/>
                <w:vertAlign w:val="subscript"/>
              </w:rPr>
              <w:t>2</w:t>
            </w:r>
          </w:p>
        </w:tc>
        <w:tc>
          <w:tcPr>
            <w:tcW w:w="1811" w:type="dxa"/>
            <w:tcBorders>
              <w:top w:val="nil"/>
              <w:left w:val="nil"/>
              <w:bottom w:val="nil"/>
              <w:right w:val="nil"/>
            </w:tcBorders>
          </w:tcPr>
          <w:p w14:paraId="14658554" w14:textId="7F98EC25" w:rsidR="00220966" w:rsidRDefault="00220966" w:rsidP="00220966">
            <w:pPr>
              <w:rPr>
                <w:sz w:val="18"/>
                <w:lang w:val="en-GB"/>
              </w:rPr>
            </w:pPr>
            <w:r>
              <w:rPr>
                <w:sz w:val="18"/>
                <w:lang w:val="en-GB"/>
              </w:rPr>
              <w:t>W m</w:t>
            </w:r>
            <w:r>
              <w:rPr>
                <w:sz w:val="18"/>
                <w:vertAlign w:val="superscript"/>
                <w:lang w:val="en-GB"/>
              </w:rPr>
              <w:t xml:space="preserve">-2 </w:t>
            </w:r>
            <w:r>
              <w:rPr>
                <w:sz w:val="18"/>
                <w:lang w:val="en-GB"/>
              </w:rPr>
              <w:t>K</w:t>
            </w:r>
            <w:r>
              <w:rPr>
                <w:sz w:val="18"/>
                <w:vertAlign w:val="superscript"/>
                <w:lang w:val="en-GB"/>
              </w:rPr>
              <w:t>-</w:t>
            </w:r>
            <w:r w:rsidR="004F42D6">
              <w:rPr>
                <w:sz w:val="18"/>
                <w:vertAlign w:val="superscript"/>
                <w:lang w:val="en-GB"/>
              </w:rPr>
              <w:t>2</w:t>
            </w:r>
          </w:p>
        </w:tc>
      </w:tr>
      <w:tr w:rsidR="00220966" w14:paraId="3991AA54" w14:textId="77777777" w:rsidTr="003B1BD3">
        <w:tc>
          <w:tcPr>
            <w:tcW w:w="5245" w:type="dxa"/>
            <w:tcBorders>
              <w:top w:val="nil"/>
              <w:bottom w:val="nil"/>
              <w:right w:val="nil"/>
            </w:tcBorders>
          </w:tcPr>
          <w:p w14:paraId="1702CC32" w14:textId="77777777" w:rsidR="00220966" w:rsidRPr="00E00EFB" w:rsidRDefault="00220966" w:rsidP="00220966">
            <w:pPr>
              <w:rPr>
                <w:sz w:val="18"/>
                <w:lang w:val="en-US"/>
              </w:rPr>
            </w:pPr>
            <w:r w:rsidRPr="00E00EFB">
              <w:rPr>
                <w:sz w:val="18"/>
                <w:lang w:val="en-US"/>
              </w:rPr>
              <w:t>Wind speed dependence of heat loss coefficient</w:t>
            </w:r>
          </w:p>
        </w:tc>
        <w:tc>
          <w:tcPr>
            <w:tcW w:w="1701" w:type="dxa"/>
            <w:tcBorders>
              <w:top w:val="nil"/>
              <w:left w:val="nil"/>
              <w:bottom w:val="nil"/>
              <w:right w:val="nil"/>
            </w:tcBorders>
          </w:tcPr>
          <w:p w14:paraId="61606AA3" w14:textId="671F4851" w:rsidR="00220966" w:rsidRPr="00AC2D84" w:rsidRDefault="00495BE3" w:rsidP="00220966">
            <w:pPr>
              <w:rPr>
                <w:sz w:val="18"/>
                <w:lang w:val="en-GB"/>
              </w:rPr>
            </w:pPr>
            <w:r>
              <w:rPr>
                <w:sz w:val="18"/>
              </w:rPr>
              <w:t>a</w:t>
            </w:r>
            <w:r w:rsidR="00220966" w:rsidRPr="004046DA">
              <w:rPr>
                <w:sz w:val="18"/>
                <w:vertAlign w:val="subscript"/>
              </w:rPr>
              <w:t>3</w:t>
            </w:r>
          </w:p>
        </w:tc>
        <w:tc>
          <w:tcPr>
            <w:tcW w:w="1811" w:type="dxa"/>
            <w:tcBorders>
              <w:top w:val="nil"/>
              <w:left w:val="nil"/>
              <w:bottom w:val="nil"/>
              <w:right w:val="nil"/>
            </w:tcBorders>
          </w:tcPr>
          <w:p w14:paraId="4AE7CC33" w14:textId="77777777" w:rsidR="00220966" w:rsidRPr="00AC2D84" w:rsidRDefault="00220966" w:rsidP="00220966">
            <w:pPr>
              <w:rPr>
                <w:sz w:val="18"/>
                <w:lang w:val="en-GB"/>
              </w:rPr>
            </w:pPr>
            <w:r>
              <w:rPr>
                <w:sz w:val="18"/>
                <w:lang w:val="en-GB"/>
              </w:rPr>
              <w:t>J m</w:t>
            </w:r>
            <w:r>
              <w:rPr>
                <w:sz w:val="18"/>
                <w:vertAlign w:val="superscript"/>
                <w:lang w:val="en-GB"/>
              </w:rPr>
              <w:t xml:space="preserve">-3 </w:t>
            </w:r>
            <w:r>
              <w:rPr>
                <w:sz w:val="18"/>
                <w:lang w:val="en-GB"/>
              </w:rPr>
              <w:t>K</w:t>
            </w:r>
            <w:r>
              <w:rPr>
                <w:sz w:val="18"/>
                <w:vertAlign w:val="superscript"/>
                <w:lang w:val="en-GB"/>
              </w:rPr>
              <w:t>-1</w:t>
            </w:r>
          </w:p>
        </w:tc>
      </w:tr>
      <w:tr w:rsidR="00220966" w14:paraId="03E2590A" w14:textId="77777777" w:rsidTr="003B1BD3">
        <w:tc>
          <w:tcPr>
            <w:tcW w:w="5245" w:type="dxa"/>
            <w:tcBorders>
              <w:top w:val="nil"/>
              <w:bottom w:val="nil"/>
              <w:right w:val="nil"/>
            </w:tcBorders>
          </w:tcPr>
          <w:p w14:paraId="24401E47" w14:textId="77777777" w:rsidR="00220966" w:rsidRPr="00E00EFB" w:rsidRDefault="00220966" w:rsidP="00220966">
            <w:pPr>
              <w:rPr>
                <w:sz w:val="18"/>
                <w:lang w:val="en-US"/>
              </w:rPr>
            </w:pPr>
            <w:r w:rsidRPr="00E00EFB">
              <w:rPr>
                <w:sz w:val="18"/>
                <w:lang w:val="en-US"/>
              </w:rPr>
              <w:t>Sky temperature dependence of heat loss coefficient</w:t>
            </w:r>
          </w:p>
        </w:tc>
        <w:tc>
          <w:tcPr>
            <w:tcW w:w="1701" w:type="dxa"/>
            <w:tcBorders>
              <w:top w:val="nil"/>
              <w:left w:val="nil"/>
              <w:bottom w:val="nil"/>
              <w:right w:val="nil"/>
            </w:tcBorders>
          </w:tcPr>
          <w:p w14:paraId="4AD64164" w14:textId="6D8374A8" w:rsidR="00220966" w:rsidRPr="00AC2D84" w:rsidRDefault="00495BE3" w:rsidP="00220966">
            <w:pPr>
              <w:rPr>
                <w:sz w:val="18"/>
                <w:lang w:val="en-GB"/>
              </w:rPr>
            </w:pPr>
            <w:r>
              <w:rPr>
                <w:sz w:val="18"/>
              </w:rPr>
              <w:t>a</w:t>
            </w:r>
            <w:r w:rsidR="00220966" w:rsidRPr="004046DA">
              <w:rPr>
                <w:sz w:val="18"/>
                <w:vertAlign w:val="subscript"/>
              </w:rPr>
              <w:t>4</w:t>
            </w:r>
          </w:p>
        </w:tc>
        <w:tc>
          <w:tcPr>
            <w:tcW w:w="1811" w:type="dxa"/>
            <w:tcBorders>
              <w:top w:val="nil"/>
              <w:left w:val="nil"/>
              <w:bottom w:val="nil"/>
              <w:right w:val="nil"/>
            </w:tcBorders>
          </w:tcPr>
          <w:p w14:paraId="18976AA1" w14:textId="77777777" w:rsidR="00220966" w:rsidRPr="00AC2D84" w:rsidRDefault="00220966" w:rsidP="00220966">
            <w:pPr>
              <w:rPr>
                <w:sz w:val="18"/>
                <w:lang w:val="en-GB"/>
              </w:rPr>
            </w:pPr>
            <w:r>
              <w:rPr>
                <w:sz w:val="18"/>
                <w:lang w:val="en-GB"/>
              </w:rPr>
              <w:t>-</w:t>
            </w:r>
          </w:p>
        </w:tc>
      </w:tr>
      <w:tr w:rsidR="00C97DF9" w14:paraId="4F0E735B" w14:textId="77777777" w:rsidTr="003B1BD3">
        <w:tc>
          <w:tcPr>
            <w:tcW w:w="5245" w:type="dxa"/>
            <w:tcBorders>
              <w:top w:val="nil"/>
              <w:bottom w:val="nil"/>
              <w:right w:val="nil"/>
            </w:tcBorders>
          </w:tcPr>
          <w:p w14:paraId="71D2F7F7" w14:textId="4BDF7A9E" w:rsidR="00C97DF9" w:rsidRPr="00E00EFB" w:rsidRDefault="00C97DF9" w:rsidP="00220966">
            <w:pPr>
              <w:rPr>
                <w:sz w:val="18"/>
                <w:lang w:val="en-US"/>
              </w:rPr>
            </w:pPr>
            <w:r>
              <w:rPr>
                <w:sz w:val="18"/>
                <w:lang w:val="en-US"/>
              </w:rPr>
              <w:t>Effective thermal capacity</w:t>
            </w:r>
          </w:p>
        </w:tc>
        <w:tc>
          <w:tcPr>
            <w:tcW w:w="1701" w:type="dxa"/>
            <w:tcBorders>
              <w:top w:val="nil"/>
              <w:left w:val="nil"/>
              <w:bottom w:val="nil"/>
              <w:right w:val="nil"/>
            </w:tcBorders>
          </w:tcPr>
          <w:p w14:paraId="457FAA67" w14:textId="79668566" w:rsidR="00C97DF9" w:rsidRDefault="00C97DF9" w:rsidP="00220966">
            <w:pPr>
              <w:rPr>
                <w:sz w:val="18"/>
              </w:rPr>
            </w:pPr>
            <w:r>
              <w:rPr>
                <w:sz w:val="18"/>
              </w:rPr>
              <w:t>a</w:t>
            </w:r>
            <w:r w:rsidRPr="00C97DF9">
              <w:rPr>
                <w:sz w:val="18"/>
                <w:vertAlign w:val="subscript"/>
              </w:rPr>
              <w:t>5</w:t>
            </w:r>
          </w:p>
        </w:tc>
        <w:tc>
          <w:tcPr>
            <w:tcW w:w="1811" w:type="dxa"/>
            <w:tcBorders>
              <w:top w:val="nil"/>
              <w:left w:val="nil"/>
              <w:bottom w:val="nil"/>
              <w:right w:val="nil"/>
            </w:tcBorders>
          </w:tcPr>
          <w:p w14:paraId="4DB90C01" w14:textId="35DCA4AB" w:rsidR="00C97DF9" w:rsidRDefault="00C97DF9" w:rsidP="00220966">
            <w:pPr>
              <w:rPr>
                <w:sz w:val="18"/>
                <w:lang w:val="en-GB"/>
              </w:rPr>
            </w:pPr>
            <w:r>
              <w:rPr>
                <w:sz w:val="18"/>
                <w:lang w:val="en-GB"/>
              </w:rPr>
              <w:t>J m</w:t>
            </w:r>
            <w:r w:rsidRPr="00C97DF9">
              <w:rPr>
                <w:sz w:val="18"/>
                <w:vertAlign w:val="superscript"/>
                <w:lang w:val="en-GB"/>
              </w:rPr>
              <w:t>-2</w:t>
            </w:r>
            <w:r>
              <w:rPr>
                <w:sz w:val="18"/>
                <w:vertAlign w:val="superscript"/>
                <w:lang w:val="en-GB"/>
              </w:rPr>
              <w:t xml:space="preserve"> </w:t>
            </w:r>
            <w:r w:rsidRPr="00C97DF9">
              <w:rPr>
                <w:sz w:val="18"/>
                <w:lang w:val="en-GB"/>
              </w:rPr>
              <w:t>K</w:t>
            </w:r>
            <w:r>
              <w:rPr>
                <w:sz w:val="18"/>
                <w:vertAlign w:val="superscript"/>
                <w:lang w:val="en-GB"/>
              </w:rPr>
              <w:t>-1</w:t>
            </w:r>
          </w:p>
        </w:tc>
      </w:tr>
      <w:tr w:rsidR="00220966" w14:paraId="0AAB0A7B" w14:textId="77777777" w:rsidTr="003B1BD3">
        <w:tc>
          <w:tcPr>
            <w:tcW w:w="5245" w:type="dxa"/>
            <w:tcBorders>
              <w:top w:val="nil"/>
              <w:bottom w:val="nil"/>
              <w:right w:val="nil"/>
            </w:tcBorders>
          </w:tcPr>
          <w:p w14:paraId="6A49A5D6" w14:textId="77777777" w:rsidR="00220966" w:rsidRPr="00E00EFB" w:rsidRDefault="00220966" w:rsidP="00220966">
            <w:pPr>
              <w:rPr>
                <w:sz w:val="18"/>
                <w:lang w:val="en-US"/>
              </w:rPr>
            </w:pPr>
            <w:r w:rsidRPr="00E00EFB">
              <w:rPr>
                <w:sz w:val="18"/>
                <w:lang w:val="en-US"/>
              </w:rPr>
              <w:t xml:space="preserve">Wind speed dependence of </w:t>
            </w:r>
            <w:r>
              <w:rPr>
                <w:sz w:val="18"/>
                <w:lang w:val="en-US"/>
              </w:rPr>
              <w:t>peak collector efficiency</w:t>
            </w:r>
          </w:p>
        </w:tc>
        <w:tc>
          <w:tcPr>
            <w:tcW w:w="1701" w:type="dxa"/>
            <w:tcBorders>
              <w:top w:val="nil"/>
              <w:left w:val="nil"/>
              <w:bottom w:val="nil"/>
              <w:right w:val="nil"/>
            </w:tcBorders>
          </w:tcPr>
          <w:p w14:paraId="266BE3B4" w14:textId="18180BA5" w:rsidR="00220966" w:rsidRPr="00AC2D84" w:rsidRDefault="00495BE3" w:rsidP="00220966">
            <w:pPr>
              <w:rPr>
                <w:sz w:val="18"/>
                <w:lang w:val="en-GB"/>
              </w:rPr>
            </w:pPr>
            <w:r>
              <w:rPr>
                <w:sz w:val="18"/>
              </w:rPr>
              <w:t>a</w:t>
            </w:r>
            <w:r w:rsidR="00220966" w:rsidRPr="004046DA">
              <w:rPr>
                <w:sz w:val="18"/>
                <w:vertAlign w:val="subscript"/>
              </w:rPr>
              <w:t>6</w:t>
            </w:r>
          </w:p>
        </w:tc>
        <w:tc>
          <w:tcPr>
            <w:tcW w:w="1811" w:type="dxa"/>
            <w:tcBorders>
              <w:top w:val="nil"/>
              <w:left w:val="nil"/>
              <w:bottom w:val="nil"/>
              <w:right w:val="nil"/>
            </w:tcBorders>
          </w:tcPr>
          <w:p w14:paraId="140B2585" w14:textId="77777777" w:rsidR="00220966" w:rsidRPr="00E00EFB" w:rsidRDefault="00220966" w:rsidP="00220966">
            <w:pPr>
              <w:rPr>
                <w:sz w:val="18"/>
                <w:lang w:val="en-GB"/>
              </w:rPr>
            </w:pPr>
            <w:r>
              <w:rPr>
                <w:sz w:val="18"/>
                <w:lang w:val="en-GB"/>
              </w:rPr>
              <w:t>m</w:t>
            </w:r>
            <w:r>
              <w:rPr>
                <w:sz w:val="18"/>
                <w:vertAlign w:val="superscript"/>
                <w:lang w:val="en-GB"/>
              </w:rPr>
              <w:t xml:space="preserve">-1 </w:t>
            </w:r>
            <w:r>
              <w:rPr>
                <w:sz w:val="18"/>
                <w:lang w:val="en-GB"/>
              </w:rPr>
              <w:t>s</w:t>
            </w:r>
          </w:p>
        </w:tc>
      </w:tr>
      <w:tr w:rsidR="00C97DF9" w14:paraId="2F86AF43" w14:textId="77777777" w:rsidTr="003B1BD3">
        <w:tc>
          <w:tcPr>
            <w:tcW w:w="5245" w:type="dxa"/>
            <w:tcBorders>
              <w:top w:val="nil"/>
              <w:bottom w:val="nil"/>
              <w:right w:val="nil"/>
            </w:tcBorders>
          </w:tcPr>
          <w:p w14:paraId="1996109E" w14:textId="58725AA9" w:rsidR="00C97DF9" w:rsidRPr="00E00EFB" w:rsidRDefault="00C97DF9" w:rsidP="00220966">
            <w:pPr>
              <w:rPr>
                <w:sz w:val="18"/>
                <w:lang w:val="en-US"/>
              </w:rPr>
            </w:pPr>
            <w:r>
              <w:rPr>
                <w:sz w:val="18"/>
                <w:lang w:val="en-US"/>
              </w:rPr>
              <w:t>Gross area of the collector</w:t>
            </w:r>
          </w:p>
        </w:tc>
        <w:tc>
          <w:tcPr>
            <w:tcW w:w="1701" w:type="dxa"/>
            <w:tcBorders>
              <w:top w:val="nil"/>
              <w:left w:val="nil"/>
              <w:bottom w:val="nil"/>
              <w:right w:val="nil"/>
            </w:tcBorders>
          </w:tcPr>
          <w:p w14:paraId="2D083B97" w14:textId="479CD269" w:rsidR="00C97DF9" w:rsidRDefault="00C97DF9" w:rsidP="00220966">
            <w:pPr>
              <w:rPr>
                <w:sz w:val="18"/>
              </w:rPr>
            </w:pPr>
            <w:r>
              <w:rPr>
                <w:sz w:val="18"/>
              </w:rPr>
              <w:t>A</w:t>
            </w:r>
            <w:r w:rsidRPr="00C97DF9">
              <w:rPr>
                <w:sz w:val="18"/>
                <w:vertAlign w:val="subscript"/>
              </w:rPr>
              <w:t>G</w:t>
            </w:r>
          </w:p>
        </w:tc>
        <w:tc>
          <w:tcPr>
            <w:tcW w:w="1811" w:type="dxa"/>
            <w:tcBorders>
              <w:top w:val="nil"/>
              <w:left w:val="nil"/>
              <w:bottom w:val="nil"/>
              <w:right w:val="nil"/>
            </w:tcBorders>
          </w:tcPr>
          <w:p w14:paraId="2FE2EC0E" w14:textId="74066F1A" w:rsidR="00C97DF9" w:rsidRDefault="00C97DF9" w:rsidP="00220966">
            <w:pPr>
              <w:rPr>
                <w:sz w:val="18"/>
                <w:lang w:val="en-GB"/>
              </w:rPr>
            </w:pPr>
            <w:r>
              <w:rPr>
                <w:sz w:val="18"/>
                <w:lang w:val="en-GB"/>
              </w:rPr>
              <w:t>m</w:t>
            </w:r>
            <w:r w:rsidRPr="00C97DF9">
              <w:rPr>
                <w:sz w:val="18"/>
                <w:vertAlign w:val="superscript"/>
                <w:lang w:val="en-GB"/>
              </w:rPr>
              <w:t>2</w:t>
            </w:r>
          </w:p>
        </w:tc>
      </w:tr>
      <w:tr w:rsidR="00FC0ED8" w14:paraId="5EB6D056" w14:textId="77777777" w:rsidTr="003B1BD3">
        <w:tc>
          <w:tcPr>
            <w:tcW w:w="5245" w:type="dxa"/>
            <w:tcBorders>
              <w:top w:val="nil"/>
              <w:bottom w:val="nil"/>
              <w:right w:val="nil"/>
            </w:tcBorders>
          </w:tcPr>
          <w:p w14:paraId="6FACA2EC" w14:textId="52790A8D" w:rsidR="00FC0ED8" w:rsidRDefault="00FC0ED8" w:rsidP="00220966">
            <w:pPr>
              <w:rPr>
                <w:sz w:val="18"/>
                <w:lang w:val="en-US"/>
              </w:rPr>
            </w:pPr>
            <w:r>
              <w:rPr>
                <w:sz w:val="18"/>
                <w:lang w:val="en-US"/>
              </w:rPr>
              <w:t>Direct solar irradiance</w:t>
            </w:r>
          </w:p>
        </w:tc>
        <w:tc>
          <w:tcPr>
            <w:tcW w:w="1701" w:type="dxa"/>
            <w:tcBorders>
              <w:top w:val="nil"/>
              <w:left w:val="nil"/>
              <w:bottom w:val="nil"/>
              <w:right w:val="nil"/>
            </w:tcBorders>
          </w:tcPr>
          <w:p w14:paraId="4CF33517" w14:textId="380653C5" w:rsidR="00FC0ED8" w:rsidRDefault="00FC0ED8" w:rsidP="00220966">
            <w:pPr>
              <w:rPr>
                <w:sz w:val="18"/>
              </w:rPr>
            </w:pPr>
            <w:proofErr w:type="spellStart"/>
            <w:r>
              <w:rPr>
                <w:sz w:val="18"/>
              </w:rPr>
              <w:t>G</w:t>
            </w:r>
            <w:r w:rsidRPr="00FC0ED8">
              <w:rPr>
                <w:sz w:val="18"/>
                <w:vertAlign w:val="subscript"/>
              </w:rPr>
              <w:t>b</w:t>
            </w:r>
            <w:proofErr w:type="spellEnd"/>
          </w:p>
        </w:tc>
        <w:tc>
          <w:tcPr>
            <w:tcW w:w="1811" w:type="dxa"/>
            <w:tcBorders>
              <w:top w:val="nil"/>
              <w:left w:val="nil"/>
              <w:bottom w:val="nil"/>
              <w:right w:val="nil"/>
            </w:tcBorders>
          </w:tcPr>
          <w:p w14:paraId="294888DA" w14:textId="3A02B1B2" w:rsidR="00FC0ED8" w:rsidRDefault="00FC0ED8" w:rsidP="00220966">
            <w:pPr>
              <w:rPr>
                <w:sz w:val="18"/>
                <w:lang w:val="en-GB"/>
              </w:rPr>
            </w:pPr>
            <w:r>
              <w:rPr>
                <w:sz w:val="18"/>
                <w:lang w:val="en-GB"/>
              </w:rPr>
              <w:t>W m</w:t>
            </w:r>
            <w:r w:rsidRPr="00FC0ED8">
              <w:rPr>
                <w:sz w:val="18"/>
                <w:vertAlign w:val="superscript"/>
                <w:lang w:val="en-GB"/>
              </w:rPr>
              <w:t>-2</w:t>
            </w:r>
          </w:p>
        </w:tc>
      </w:tr>
      <w:tr w:rsidR="00FC0ED8" w14:paraId="3B23B0BF" w14:textId="77777777" w:rsidTr="003B1BD3">
        <w:tc>
          <w:tcPr>
            <w:tcW w:w="5245" w:type="dxa"/>
            <w:tcBorders>
              <w:top w:val="nil"/>
              <w:bottom w:val="nil"/>
              <w:right w:val="nil"/>
            </w:tcBorders>
          </w:tcPr>
          <w:p w14:paraId="20083BB9" w14:textId="7DB17836" w:rsidR="00FC0ED8" w:rsidRDefault="00FC0ED8" w:rsidP="00220966">
            <w:pPr>
              <w:rPr>
                <w:sz w:val="18"/>
                <w:lang w:val="en-US"/>
              </w:rPr>
            </w:pPr>
            <w:r>
              <w:rPr>
                <w:sz w:val="18"/>
                <w:lang w:val="en-US"/>
              </w:rPr>
              <w:t>Diffuse solar irradiance</w:t>
            </w:r>
          </w:p>
        </w:tc>
        <w:tc>
          <w:tcPr>
            <w:tcW w:w="1701" w:type="dxa"/>
            <w:tcBorders>
              <w:top w:val="nil"/>
              <w:left w:val="nil"/>
              <w:bottom w:val="nil"/>
              <w:right w:val="nil"/>
            </w:tcBorders>
          </w:tcPr>
          <w:p w14:paraId="76E7E92B" w14:textId="58B976E0" w:rsidR="00FC0ED8" w:rsidRDefault="00FC0ED8" w:rsidP="00220966">
            <w:pPr>
              <w:rPr>
                <w:sz w:val="18"/>
              </w:rPr>
            </w:pPr>
            <w:proofErr w:type="spellStart"/>
            <w:r>
              <w:rPr>
                <w:sz w:val="18"/>
              </w:rPr>
              <w:t>G</w:t>
            </w:r>
            <w:r w:rsidRPr="00FC0ED8">
              <w:rPr>
                <w:sz w:val="18"/>
                <w:vertAlign w:val="subscript"/>
              </w:rPr>
              <w:t>d</w:t>
            </w:r>
            <w:proofErr w:type="spellEnd"/>
          </w:p>
        </w:tc>
        <w:tc>
          <w:tcPr>
            <w:tcW w:w="1811" w:type="dxa"/>
            <w:tcBorders>
              <w:top w:val="nil"/>
              <w:left w:val="nil"/>
              <w:bottom w:val="nil"/>
              <w:right w:val="nil"/>
            </w:tcBorders>
          </w:tcPr>
          <w:p w14:paraId="39E902F8" w14:textId="3165DB74" w:rsidR="00FC0ED8" w:rsidRDefault="00FC0ED8" w:rsidP="00220966">
            <w:pPr>
              <w:rPr>
                <w:sz w:val="18"/>
                <w:lang w:val="en-GB"/>
              </w:rPr>
            </w:pPr>
            <w:r>
              <w:rPr>
                <w:sz w:val="18"/>
                <w:lang w:val="en-GB"/>
              </w:rPr>
              <w:t>W m</w:t>
            </w:r>
            <w:r w:rsidRPr="00FC0ED8">
              <w:rPr>
                <w:sz w:val="18"/>
                <w:vertAlign w:val="superscript"/>
                <w:lang w:val="en-GB"/>
              </w:rPr>
              <w:t>-2</w:t>
            </w:r>
          </w:p>
        </w:tc>
      </w:tr>
      <w:tr w:rsidR="00FC0ED8" w14:paraId="13CB9E6C" w14:textId="77777777" w:rsidTr="003B1BD3">
        <w:tc>
          <w:tcPr>
            <w:tcW w:w="5245" w:type="dxa"/>
            <w:tcBorders>
              <w:top w:val="nil"/>
              <w:bottom w:val="nil"/>
              <w:right w:val="nil"/>
            </w:tcBorders>
          </w:tcPr>
          <w:p w14:paraId="2ACFEA2A" w14:textId="2706ECEA" w:rsidR="00FC0ED8" w:rsidRDefault="00FC0ED8" w:rsidP="00FC0ED8">
            <w:pPr>
              <w:rPr>
                <w:sz w:val="18"/>
                <w:lang w:val="en-US"/>
              </w:rPr>
            </w:pPr>
            <w:r>
              <w:rPr>
                <w:sz w:val="18"/>
                <w:lang w:val="en-US"/>
              </w:rPr>
              <w:t>Incidence angle modifier for direct solar radiation</w:t>
            </w:r>
          </w:p>
        </w:tc>
        <w:tc>
          <w:tcPr>
            <w:tcW w:w="1701" w:type="dxa"/>
            <w:tcBorders>
              <w:top w:val="nil"/>
              <w:left w:val="nil"/>
              <w:bottom w:val="nil"/>
              <w:right w:val="nil"/>
            </w:tcBorders>
          </w:tcPr>
          <w:p w14:paraId="05571EEF" w14:textId="2B755806" w:rsidR="00FC0ED8" w:rsidRDefault="00FC0ED8" w:rsidP="00FC0ED8">
            <w:pPr>
              <w:rPr>
                <w:sz w:val="18"/>
              </w:rPr>
            </w:pPr>
            <w:r>
              <w:rPr>
                <w:sz w:val="18"/>
              </w:rPr>
              <w:t>K(θ)</w:t>
            </w:r>
          </w:p>
        </w:tc>
        <w:tc>
          <w:tcPr>
            <w:tcW w:w="1811" w:type="dxa"/>
            <w:tcBorders>
              <w:top w:val="nil"/>
              <w:left w:val="nil"/>
              <w:bottom w:val="nil"/>
              <w:right w:val="nil"/>
            </w:tcBorders>
          </w:tcPr>
          <w:p w14:paraId="7A4A69D9" w14:textId="29496ED2" w:rsidR="00FC0ED8" w:rsidRDefault="00FC0ED8" w:rsidP="00FC0ED8">
            <w:pPr>
              <w:rPr>
                <w:sz w:val="18"/>
                <w:lang w:val="en-GB"/>
              </w:rPr>
            </w:pPr>
            <w:r>
              <w:rPr>
                <w:sz w:val="18"/>
                <w:lang w:val="en-GB"/>
              </w:rPr>
              <w:t>-</w:t>
            </w:r>
          </w:p>
        </w:tc>
      </w:tr>
      <w:tr w:rsidR="00FC0ED8" w14:paraId="14913080" w14:textId="77777777" w:rsidTr="003B1BD3">
        <w:tc>
          <w:tcPr>
            <w:tcW w:w="5245" w:type="dxa"/>
            <w:tcBorders>
              <w:top w:val="nil"/>
              <w:bottom w:val="nil"/>
              <w:right w:val="nil"/>
            </w:tcBorders>
          </w:tcPr>
          <w:p w14:paraId="554158DA" w14:textId="6CA34916" w:rsidR="00FC0ED8" w:rsidRDefault="00FC0ED8" w:rsidP="00FC0ED8">
            <w:pPr>
              <w:rPr>
                <w:sz w:val="18"/>
                <w:lang w:val="en-US"/>
              </w:rPr>
            </w:pPr>
            <w:r>
              <w:rPr>
                <w:sz w:val="18"/>
                <w:lang w:val="en-US"/>
              </w:rPr>
              <w:t>Incidence angle modifier for diffuse solar radiation</w:t>
            </w:r>
          </w:p>
        </w:tc>
        <w:tc>
          <w:tcPr>
            <w:tcW w:w="1701" w:type="dxa"/>
            <w:tcBorders>
              <w:top w:val="nil"/>
              <w:left w:val="nil"/>
              <w:bottom w:val="nil"/>
              <w:right w:val="nil"/>
            </w:tcBorders>
          </w:tcPr>
          <w:p w14:paraId="46FA8FD7" w14:textId="73666E86" w:rsidR="00FC0ED8" w:rsidRDefault="00FC0ED8" w:rsidP="00FC0ED8">
            <w:pPr>
              <w:rPr>
                <w:sz w:val="18"/>
              </w:rPr>
            </w:pPr>
            <w:proofErr w:type="spellStart"/>
            <w:r>
              <w:rPr>
                <w:sz w:val="18"/>
              </w:rPr>
              <w:t>K</w:t>
            </w:r>
            <w:r w:rsidRPr="00FC0ED8">
              <w:rPr>
                <w:sz w:val="18"/>
                <w:vertAlign w:val="subscript"/>
              </w:rPr>
              <w:t>d</w:t>
            </w:r>
            <w:proofErr w:type="spellEnd"/>
          </w:p>
        </w:tc>
        <w:tc>
          <w:tcPr>
            <w:tcW w:w="1811" w:type="dxa"/>
            <w:tcBorders>
              <w:top w:val="nil"/>
              <w:left w:val="nil"/>
              <w:bottom w:val="nil"/>
              <w:right w:val="nil"/>
            </w:tcBorders>
          </w:tcPr>
          <w:p w14:paraId="156D137C" w14:textId="3BAAFA19" w:rsidR="00FC0ED8" w:rsidRDefault="00FC0ED8" w:rsidP="00FC0ED8">
            <w:pPr>
              <w:rPr>
                <w:sz w:val="18"/>
                <w:lang w:val="en-GB"/>
              </w:rPr>
            </w:pPr>
            <w:r>
              <w:rPr>
                <w:sz w:val="18"/>
                <w:lang w:val="en-GB"/>
              </w:rPr>
              <w:t>-</w:t>
            </w:r>
          </w:p>
        </w:tc>
      </w:tr>
      <w:tr w:rsidR="00FC0ED8" w14:paraId="7C19448B" w14:textId="77777777" w:rsidTr="003B1BD3">
        <w:tc>
          <w:tcPr>
            <w:tcW w:w="5245" w:type="dxa"/>
            <w:tcBorders>
              <w:top w:val="nil"/>
              <w:bottom w:val="nil"/>
              <w:right w:val="nil"/>
            </w:tcBorders>
          </w:tcPr>
          <w:p w14:paraId="75A8E192" w14:textId="6F519057" w:rsidR="00FC0ED8" w:rsidRDefault="00FC0ED8" w:rsidP="00FC0ED8">
            <w:pPr>
              <w:rPr>
                <w:sz w:val="18"/>
                <w:lang w:val="en-US"/>
              </w:rPr>
            </w:pPr>
            <w:r>
              <w:rPr>
                <w:sz w:val="18"/>
                <w:lang w:val="en-US"/>
              </w:rPr>
              <w:t>Time</w:t>
            </w:r>
          </w:p>
        </w:tc>
        <w:tc>
          <w:tcPr>
            <w:tcW w:w="1701" w:type="dxa"/>
            <w:tcBorders>
              <w:top w:val="nil"/>
              <w:left w:val="nil"/>
              <w:bottom w:val="nil"/>
              <w:right w:val="nil"/>
            </w:tcBorders>
          </w:tcPr>
          <w:p w14:paraId="6AE2A5A8" w14:textId="2188A510" w:rsidR="00FC0ED8" w:rsidRDefault="00FC0ED8" w:rsidP="00FC0ED8">
            <w:pPr>
              <w:rPr>
                <w:sz w:val="18"/>
              </w:rPr>
            </w:pPr>
            <w:r>
              <w:rPr>
                <w:sz w:val="18"/>
              </w:rPr>
              <w:t>t</w:t>
            </w:r>
          </w:p>
        </w:tc>
        <w:tc>
          <w:tcPr>
            <w:tcW w:w="1811" w:type="dxa"/>
            <w:tcBorders>
              <w:top w:val="nil"/>
              <w:left w:val="nil"/>
              <w:bottom w:val="nil"/>
              <w:right w:val="nil"/>
            </w:tcBorders>
          </w:tcPr>
          <w:p w14:paraId="13FA158B" w14:textId="3B9148A3" w:rsidR="00FC0ED8" w:rsidRDefault="00FC0ED8" w:rsidP="00FC0ED8">
            <w:pPr>
              <w:rPr>
                <w:sz w:val="18"/>
                <w:lang w:val="en-GB"/>
              </w:rPr>
            </w:pPr>
            <w:r>
              <w:rPr>
                <w:sz w:val="18"/>
                <w:lang w:val="en-GB"/>
              </w:rPr>
              <w:t>s</w:t>
            </w:r>
          </w:p>
        </w:tc>
      </w:tr>
      <w:tr w:rsidR="00FC0ED8" w14:paraId="00C0ECB7" w14:textId="77777777" w:rsidTr="003B1BD3">
        <w:tc>
          <w:tcPr>
            <w:tcW w:w="5245" w:type="dxa"/>
            <w:tcBorders>
              <w:top w:val="nil"/>
              <w:bottom w:val="nil"/>
              <w:right w:val="nil"/>
            </w:tcBorders>
          </w:tcPr>
          <w:p w14:paraId="08D6FF2A" w14:textId="0008C825" w:rsidR="00FC0ED8" w:rsidRDefault="00FC0ED8" w:rsidP="00FC0ED8">
            <w:pPr>
              <w:rPr>
                <w:sz w:val="18"/>
                <w:lang w:val="en-US"/>
              </w:rPr>
            </w:pPr>
            <w:r>
              <w:rPr>
                <w:sz w:val="18"/>
                <w:lang w:val="en-US"/>
              </w:rPr>
              <w:t>Ambient air temperature</w:t>
            </w:r>
          </w:p>
        </w:tc>
        <w:tc>
          <w:tcPr>
            <w:tcW w:w="1701" w:type="dxa"/>
            <w:tcBorders>
              <w:top w:val="nil"/>
              <w:left w:val="nil"/>
              <w:bottom w:val="nil"/>
              <w:right w:val="nil"/>
            </w:tcBorders>
          </w:tcPr>
          <w:p w14:paraId="3B07AFF8" w14:textId="0DCCB652" w:rsidR="00FC0ED8" w:rsidRDefault="00FC0ED8" w:rsidP="00FC0ED8">
            <w:pPr>
              <w:rPr>
                <w:sz w:val="18"/>
              </w:rPr>
            </w:pPr>
            <w:r>
              <w:rPr>
                <w:sz w:val="18"/>
              </w:rPr>
              <w:t>T</w:t>
            </w:r>
            <w:r w:rsidRPr="00FC0ED8">
              <w:rPr>
                <w:sz w:val="18"/>
                <w:vertAlign w:val="subscript"/>
              </w:rPr>
              <w:t>a</w:t>
            </w:r>
          </w:p>
        </w:tc>
        <w:tc>
          <w:tcPr>
            <w:tcW w:w="1811" w:type="dxa"/>
            <w:tcBorders>
              <w:top w:val="nil"/>
              <w:left w:val="nil"/>
              <w:bottom w:val="nil"/>
              <w:right w:val="nil"/>
            </w:tcBorders>
          </w:tcPr>
          <w:p w14:paraId="30F6A266" w14:textId="4B792035" w:rsidR="00FC0ED8" w:rsidRDefault="00FC0ED8" w:rsidP="00FC0ED8">
            <w:pPr>
              <w:rPr>
                <w:sz w:val="18"/>
                <w:lang w:val="en-GB"/>
              </w:rPr>
            </w:pPr>
            <w:r>
              <w:rPr>
                <w:sz w:val="18"/>
                <w:lang w:val="en-GB"/>
              </w:rPr>
              <w:t>⁰C</w:t>
            </w:r>
          </w:p>
        </w:tc>
      </w:tr>
      <w:tr w:rsidR="00FC0ED8" w14:paraId="0B1C3B82" w14:textId="77777777" w:rsidTr="003B1BD3">
        <w:tc>
          <w:tcPr>
            <w:tcW w:w="5245" w:type="dxa"/>
            <w:tcBorders>
              <w:top w:val="nil"/>
              <w:bottom w:val="nil"/>
              <w:right w:val="nil"/>
            </w:tcBorders>
          </w:tcPr>
          <w:p w14:paraId="54C63F1B" w14:textId="343B2B30" w:rsidR="00FC0ED8" w:rsidRDefault="00FC0ED8" w:rsidP="00FC0ED8">
            <w:pPr>
              <w:rPr>
                <w:sz w:val="18"/>
                <w:lang w:val="en-US"/>
              </w:rPr>
            </w:pPr>
            <w:r>
              <w:rPr>
                <w:sz w:val="18"/>
                <w:lang w:val="en-US"/>
              </w:rPr>
              <w:t>Mean temperature of heat transfer fluid in collector</w:t>
            </w:r>
          </w:p>
        </w:tc>
        <w:tc>
          <w:tcPr>
            <w:tcW w:w="1701" w:type="dxa"/>
            <w:tcBorders>
              <w:top w:val="nil"/>
              <w:left w:val="nil"/>
              <w:bottom w:val="nil"/>
              <w:right w:val="nil"/>
            </w:tcBorders>
          </w:tcPr>
          <w:p w14:paraId="546FE4D1" w14:textId="6D83B256" w:rsidR="00FC0ED8" w:rsidRDefault="00FC0ED8" w:rsidP="00FC0ED8">
            <w:pPr>
              <w:rPr>
                <w:sz w:val="18"/>
              </w:rPr>
            </w:pPr>
            <w:r>
              <w:rPr>
                <w:sz w:val="18"/>
              </w:rPr>
              <w:t>T</w:t>
            </w:r>
            <w:r w:rsidRPr="00FC0ED8">
              <w:rPr>
                <w:sz w:val="18"/>
                <w:vertAlign w:val="subscript"/>
              </w:rPr>
              <w:t>m</w:t>
            </w:r>
          </w:p>
        </w:tc>
        <w:tc>
          <w:tcPr>
            <w:tcW w:w="1811" w:type="dxa"/>
            <w:tcBorders>
              <w:top w:val="nil"/>
              <w:left w:val="nil"/>
              <w:bottom w:val="nil"/>
              <w:right w:val="nil"/>
            </w:tcBorders>
          </w:tcPr>
          <w:p w14:paraId="63A9FB58" w14:textId="5B6E0211" w:rsidR="00FC0ED8" w:rsidRDefault="00FC0ED8" w:rsidP="00FC0ED8">
            <w:pPr>
              <w:rPr>
                <w:sz w:val="18"/>
                <w:lang w:val="en-GB"/>
              </w:rPr>
            </w:pPr>
            <w:r>
              <w:rPr>
                <w:sz w:val="18"/>
                <w:lang w:val="en-GB"/>
              </w:rPr>
              <w:t>⁰C</w:t>
            </w:r>
          </w:p>
        </w:tc>
      </w:tr>
      <w:tr w:rsidR="00FC0ED8" w14:paraId="157D089F" w14:textId="77777777" w:rsidTr="003B1BD3">
        <w:tc>
          <w:tcPr>
            <w:tcW w:w="5245" w:type="dxa"/>
            <w:tcBorders>
              <w:top w:val="nil"/>
              <w:bottom w:val="nil"/>
              <w:right w:val="nil"/>
            </w:tcBorders>
          </w:tcPr>
          <w:p w14:paraId="653841FA" w14:textId="61679F88" w:rsidR="00FC0ED8" w:rsidRDefault="00FC0ED8" w:rsidP="00FC0ED8">
            <w:pPr>
              <w:rPr>
                <w:sz w:val="18"/>
                <w:lang w:val="en-US"/>
              </w:rPr>
            </w:pPr>
            <w:r>
              <w:rPr>
                <w:sz w:val="18"/>
                <w:lang w:val="en-US"/>
              </w:rPr>
              <w:t>Wind speed</w:t>
            </w:r>
          </w:p>
        </w:tc>
        <w:tc>
          <w:tcPr>
            <w:tcW w:w="1701" w:type="dxa"/>
            <w:tcBorders>
              <w:top w:val="nil"/>
              <w:left w:val="nil"/>
              <w:bottom w:val="nil"/>
              <w:right w:val="nil"/>
            </w:tcBorders>
          </w:tcPr>
          <w:p w14:paraId="3A47F946" w14:textId="133FE60F" w:rsidR="00FC0ED8" w:rsidRDefault="00FC0ED8" w:rsidP="00FC0ED8">
            <w:pPr>
              <w:rPr>
                <w:sz w:val="18"/>
              </w:rPr>
            </w:pPr>
            <w:r>
              <w:rPr>
                <w:sz w:val="18"/>
              </w:rPr>
              <w:t>u</w:t>
            </w:r>
          </w:p>
        </w:tc>
        <w:tc>
          <w:tcPr>
            <w:tcW w:w="1811" w:type="dxa"/>
            <w:tcBorders>
              <w:top w:val="nil"/>
              <w:left w:val="nil"/>
              <w:bottom w:val="nil"/>
              <w:right w:val="nil"/>
            </w:tcBorders>
          </w:tcPr>
          <w:p w14:paraId="7632CA05" w14:textId="2E1E08AD" w:rsidR="00FC0ED8" w:rsidRDefault="00FC0ED8" w:rsidP="00FC0ED8">
            <w:pPr>
              <w:rPr>
                <w:sz w:val="18"/>
                <w:lang w:val="en-GB"/>
              </w:rPr>
            </w:pPr>
            <w:r>
              <w:rPr>
                <w:sz w:val="18"/>
                <w:lang w:val="en-GB"/>
              </w:rPr>
              <w:t>m s</w:t>
            </w:r>
            <w:r w:rsidRPr="00FC0ED8">
              <w:rPr>
                <w:sz w:val="18"/>
                <w:vertAlign w:val="superscript"/>
                <w:lang w:val="en-GB"/>
              </w:rPr>
              <w:t>-1</w:t>
            </w:r>
          </w:p>
        </w:tc>
      </w:tr>
      <w:tr w:rsidR="00FC0ED8" w14:paraId="69A49C4B" w14:textId="77777777" w:rsidTr="003B1BD3">
        <w:tc>
          <w:tcPr>
            <w:tcW w:w="5245" w:type="dxa"/>
            <w:tcBorders>
              <w:top w:val="nil"/>
              <w:bottom w:val="nil"/>
              <w:right w:val="nil"/>
            </w:tcBorders>
          </w:tcPr>
          <w:p w14:paraId="57FF96F4" w14:textId="77777777" w:rsidR="00FC0ED8" w:rsidRPr="00E00EFB" w:rsidRDefault="00FC0ED8" w:rsidP="00FC0ED8">
            <w:pPr>
              <w:pStyle w:val="EuroSunText"/>
              <w:spacing w:after="0"/>
              <w:rPr>
                <w:sz w:val="18"/>
              </w:rPr>
            </w:pPr>
            <w:r w:rsidRPr="00E00EFB">
              <w:rPr>
                <w:sz w:val="18"/>
              </w:rPr>
              <w:t>Peak collector efficiency based on G</w:t>
            </w:r>
            <w:r w:rsidRPr="00E00EFB">
              <w:rPr>
                <w:sz w:val="18"/>
                <w:vertAlign w:val="subscript"/>
              </w:rPr>
              <w:t>b</w:t>
            </w:r>
          </w:p>
        </w:tc>
        <w:tc>
          <w:tcPr>
            <w:tcW w:w="1701" w:type="dxa"/>
            <w:tcBorders>
              <w:top w:val="nil"/>
              <w:left w:val="nil"/>
              <w:bottom w:val="nil"/>
              <w:right w:val="nil"/>
            </w:tcBorders>
          </w:tcPr>
          <w:p w14:paraId="034EEB55" w14:textId="77777777" w:rsidR="00FC0ED8" w:rsidRPr="00AC2D84" w:rsidRDefault="00FC0ED8" w:rsidP="00FC0ED8">
            <w:pPr>
              <w:rPr>
                <w:sz w:val="18"/>
                <w:lang w:val="en-GB"/>
              </w:rPr>
            </w:pPr>
            <w:r w:rsidRPr="004046DA">
              <w:rPr>
                <w:sz w:val="18"/>
                <w:lang w:val="da-DK"/>
              </w:rPr>
              <w:t>η</w:t>
            </w:r>
            <w:proofErr w:type="gramStart"/>
            <w:r w:rsidRPr="004046DA">
              <w:rPr>
                <w:sz w:val="18"/>
                <w:vertAlign w:val="subscript"/>
              </w:rPr>
              <w:t>0,b</w:t>
            </w:r>
            <w:proofErr w:type="gramEnd"/>
          </w:p>
        </w:tc>
        <w:tc>
          <w:tcPr>
            <w:tcW w:w="1811" w:type="dxa"/>
            <w:tcBorders>
              <w:top w:val="nil"/>
              <w:left w:val="nil"/>
              <w:bottom w:val="nil"/>
              <w:right w:val="nil"/>
            </w:tcBorders>
          </w:tcPr>
          <w:p w14:paraId="05A6C372" w14:textId="77777777" w:rsidR="00FC0ED8" w:rsidRPr="00AC2D84" w:rsidRDefault="00FC0ED8" w:rsidP="00FC0ED8">
            <w:pPr>
              <w:rPr>
                <w:sz w:val="18"/>
                <w:lang w:val="en-GB"/>
              </w:rPr>
            </w:pPr>
            <w:r>
              <w:rPr>
                <w:sz w:val="18"/>
                <w:lang w:val="en-GB"/>
              </w:rPr>
              <w:t>-</w:t>
            </w:r>
          </w:p>
        </w:tc>
      </w:tr>
      <w:tr w:rsidR="00FC0ED8" w14:paraId="4334DD8D" w14:textId="77777777" w:rsidTr="003B1BD3">
        <w:tc>
          <w:tcPr>
            <w:tcW w:w="5245" w:type="dxa"/>
            <w:tcBorders>
              <w:top w:val="nil"/>
              <w:bottom w:val="nil"/>
              <w:right w:val="nil"/>
            </w:tcBorders>
          </w:tcPr>
          <w:p w14:paraId="5EDD38D8" w14:textId="6819ED28" w:rsidR="00FC0ED8" w:rsidRPr="00E00EFB" w:rsidRDefault="00FC0ED8" w:rsidP="00FC0ED8">
            <w:pPr>
              <w:pStyle w:val="EuroSunText"/>
              <w:spacing w:after="0"/>
              <w:rPr>
                <w:sz w:val="18"/>
              </w:rPr>
            </w:pPr>
            <w:r>
              <w:rPr>
                <w:sz w:val="18"/>
              </w:rPr>
              <w:t>Angle of incidence</w:t>
            </w:r>
          </w:p>
        </w:tc>
        <w:tc>
          <w:tcPr>
            <w:tcW w:w="1701" w:type="dxa"/>
            <w:tcBorders>
              <w:top w:val="nil"/>
              <w:left w:val="nil"/>
              <w:bottom w:val="nil"/>
              <w:right w:val="nil"/>
            </w:tcBorders>
          </w:tcPr>
          <w:p w14:paraId="67DAA25D" w14:textId="0F3D4294" w:rsidR="00FC0ED8" w:rsidRPr="004046DA" w:rsidRDefault="00FC0ED8" w:rsidP="00FC0ED8">
            <w:pPr>
              <w:rPr>
                <w:sz w:val="18"/>
                <w:lang w:val="da-DK"/>
              </w:rPr>
            </w:pPr>
            <w:r>
              <w:rPr>
                <w:sz w:val="18"/>
                <w:lang w:val="da-DK"/>
              </w:rPr>
              <w:t>θ</w:t>
            </w:r>
          </w:p>
        </w:tc>
        <w:tc>
          <w:tcPr>
            <w:tcW w:w="1811" w:type="dxa"/>
            <w:tcBorders>
              <w:top w:val="nil"/>
              <w:left w:val="nil"/>
              <w:bottom w:val="nil"/>
              <w:right w:val="nil"/>
            </w:tcBorders>
          </w:tcPr>
          <w:p w14:paraId="4993B934" w14:textId="3C2FE73B" w:rsidR="00FC0ED8" w:rsidRDefault="00FC0ED8" w:rsidP="00FC0ED8">
            <w:pPr>
              <w:rPr>
                <w:sz w:val="18"/>
                <w:lang w:val="en-GB"/>
              </w:rPr>
            </w:pPr>
            <w:r>
              <w:rPr>
                <w:sz w:val="18"/>
                <w:lang w:val="en-GB"/>
              </w:rPr>
              <w:t>⁰</w:t>
            </w:r>
          </w:p>
        </w:tc>
      </w:tr>
      <w:tr w:rsidR="00762EE7" w14:paraId="2232072D" w14:textId="77777777" w:rsidTr="003B1BD3">
        <w:tc>
          <w:tcPr>
            <w:tcW w:w="5245" w:type="dxa"/>
            <w:tcBorders>
              <w:top w:val="nil"/>
              <w:bottom w:val="nil"/>
              <w:right w:val="nil"/>
            </w:tcBorders>
          </w:tcPr>
          <w:p w14:paraId="620FB2E5" w14:textId="60D11090" w:rsidR="00762EE7" w:rsidRDefault="00762EE7" w:rsidP="00FC0ED8">
            <w:pPr>
              <w:pStyle w:val="EuroSunText"/>
              <w:spacing w:after="0"/>
              <w:rPr>
                <w:sz w:val="18"/>
              </w:rPr>
            </w:pPr>
            <w:r>
              <w:rPr>
                <w:sz w:val="18"/>
              </w:rPr>
              <w:t>Stefan Boltzman constant</w:t>
            </w:r>
          </w:p>
        </w:tc>
        <w:tc>
          <w:tcPr>
            <w:tcW w:w="1701" w:type="dxa"/>
            <w:tcBorders>
              <w:top w:val="nil"/>
              <w:left w:val="nil"/>
              <w:bottom w:val="nil"/>
              <w:right w:val="nil"/>
            </w:tcBorders>
          </w:tcPr>
          <w:p w14:paraId="0F4EF69A" w14:textId="4F756138" w:rsidR="00762EE7" w:rsidRDefault="00762EE7" w:rsidP="00FC0ED8">
            <w:pPr>
              <w:rPr>
                <w:sz w:val="18"/>
                <w:lang w:val="da-DK"/>
              </w:rPr>
            </w:pPr>
            <w:r>
              <w:rPr>
                <w:sz w:val="18"/>
                <w:lang w:val="da-DK"/>
              </w:rPr>
              <w:t>σ</w:t>
            </w:r>
          </w:p>
        </w:tc>
        <w:tc>
          <w:tcPr>
            <w:tcW w:w="1811" w:type="dxa"/>
            <w:tcBorders>
              <w:top w:val="nil"/>
              <w:left w:val="nil"/>
              <w:bottom w:val="nil"/>
              <w:right w:val="nil"/>
            </w:tcBorders>
          </w:tcPr>
          <w:p w14:paraId="63572BA3" w14:textId="248B77E4" w:rsidR="00762EE7" w:rsidRDefault="00762EE7" w:rsidP="00FC0ED8">
            <w:pPr>
              <w:rPr>
                <w:sz w:val="18"/>
                <w:lang w:val="en-GB"/>
              </w:rPr>
            </w:pPr>
            <w:r>
              <w:rPr>
                <w:sz w:val="18"/>
                <w:lang w:val="en-GB"/>
              </w:rPr>
              <w:t>5.67*10</w:t>
            </w:r>
            <w:r w:rsidRPr="00762EE7">
              <w:rPr>
                <w:sz w:val="18"/>
                <w:vertAlign w:val="superscript"/>
                <w:lang w:val="en-GB"/>
              </w:rPr>
              <w:t>-8</w:t>
            </w:r>
            <w:r>
              <w:rPr>
                <w:sz w:val="18"/>
                <w:vertAlign w:val="superscript"/>
                <w:lang w:val="en-GB"/>
              </w:rPr>
              <w:t xml:space="preserve"> </w:t>
            </w:r>
            <w:r w:rsidRPr="00762EE7">
              <w:rPr>
                <w:sz w:val="18"/>
                <w:lang w:val="en-GB"/>
              </w:rPr>
              <w:t>W m</w:t>
            </w:r>
            <w:r>
              <w:rPr>
                <w:sz w:val="18"/>
                <w:vertAlign w:val="superscript"/>
                <w:lang w:val="en-GB"/>
              </w:rPr>
              <w:t xml:space="preserve">-2 </w:t>
            </w:r>
            <w:r w:rsidRPr="00762EE7">
              <w:rPr>
                <w:sz w:val="18"/>
                <w:lang w:val="en-GB"/>
              </w:rPr>
              <w:t>K</w:t>
            </w:r>
            <w:r>
              <w:rPr>
                <w:sz w:val="18"/>
                <w:vertAlign w:val="superscript"/>
                <w:lang w:val="en-GB"/>
              </w:rPr>
              <w:t>-4</w:t>
            </w:r>
          </w:p>
        </w:tc>
      </w:tr>
    </w:tbl>
    <w:p w14:paraId="3C276402" w14:textId="77777777" w:rsidR="00453296" w:rsidRPr="006309AA" w:rsidRDefault="00453296" w:rsidP="007C1632">
      <w:pPr>
        <w:pStyle w:val="SWCText"/>
      </w:pPr>
    </w:p>
    <w:p w14:paraId="1DD4E77C" w14:textId="664B96A3" w:rsidR="00F0770B" w:rsidRDefault="00516C0B" w:rsidP="00495BE3">
      <w:pPr>
        <w:pStyle w:val="SWCHeading1"/>
        <w:numPr>
          <w:ilvl w:val="0"/>
          <w:numId w:val="0"/>
        </w:numPr>
        <w:ind w:left="720"/>
        <w:rPr>
          <w:lang w:val="en-GB"/>
        </w:rPr>
      </w:pPr>
      <w:r>
        <w:rPr>
          <w:lang w:val="en-GB"/>
        </w:rPr>
        <w:t>Acknowledgement</w:t>
      </w:r>
    </w:p>
    <w:p w14:paraId="365D49DB" w14:textId="3732C30D" w:rsidR="009202C1" w:rsidRPr="00550D16" w:rsidRDefault="00B80E43" w:rsidP="00550D16">
      <w:pPr>
        <w:rPr>
          <w:sz w:val="20"/>
          <w:szCs w:val="20"/>
          <w:lang w:val="en-GB"/>
        </w:rPr>
      </w:pPr>
      <w:r w:rsidRPr="002453BC">
        <w:rPr>
          <w:sz w:val="20"/>
          <w:szCs w:val="20"/>
          <w:lang w:val="en-GB"/>
        </w:rPr>
        <w:t>The research was financed by the Danish Energy Agency through EUDP</w:t>
      </w:r>
      <w:r w:rsidR="003A1253">
        <w:rPr>
          <w:sz w:val="20"/>
          <w:szCs w:val="20"/>
          <w:lang w:val="en-GB"/>
        </w:rPr>
        <w:t xml:space="preserve"> </w:t>
      </w:r>
      <w:r w:rsidR="00D72B62">
        <w:rPr>
          <w:sz w:val="20"/>
          <w:szCs w:val="20"/>
          <w:lang w:val="en-GB"/>
        </w:rPr>
        <w:t xml:space="preserve">project: </w:t>
      </w:r>
      <w:proofErr w:type="spellStart"/>
      <w:r w:rsidR="00B85FAD">
        <w:rPr>
          <w:sz w:val="20"/>
          <w:szCs w:val="20"/>
          <w:lang w:val="en-GB"/>
        </w:rPr>
        <w:t>i</w:t>
      </w:r>
      <w:r w:rsidR="00D72B62" w:rsidRPr="00D72B62">
        <w:rPr>
          <w:sz w:val="20"/>
          <w:szCs w:val="20"/>
          <w:lang w:val="en-GB"/>
        </w:rPr>
        <w:t>TB</w:t>
      </w:r>
      <w:proofErr w:type="spellEnd"/>
      <w:r w:rsidR="00D72B62" w:rsidRPr="00D72B62">
        <w:rPr>
          <w:sz w:val="20"/>
          <w:szCs w:val="20"/>
          <w:lang w:val="en-GB"/>
        </w:rPr>
        <w:t xml:space="preserve"> - integrated Triple energy Building elements</w:t>
      </w:r>
      <w:r w:rsidR="00D72B62">
        <w:rPr>
          <w:sz w:val="20"/>
          <w:szCs w:val="20"/>
          <w:lang w:val="en-GB"/>
        </w:rPr>
        <w:t>,</w:t>
      </w:r>
      <w:r w:rsidRPr="002453BC">
        <w:rPr>
          <w:sz w:val="20"/>
          <w:szCs w:val="20"/>
          <w:lang w:val="en-GB"/>
        </w:rPr>
        <w:t xml:space="preserve"> grant no.</w:t>
      </w:r>
      <w:r w:rsidR="00021670" w:rsidRPr="00021670">
        <w:t xml:space="preserve"> </w:t>
      </w:r>
      <w:r w:rsidR="00021670" w:rsidRPr="00021670">
        <w:rPr>
          <w:sz w:val="20"/>
          <w:szCs w:val="20"/>
          <w:lang w:val="en-GB"/>
        </w:rPr>
        <w:t>64022-1036</w:t>
      </w:r>
    </w:p>
    <w:p w14:paraId="6C842A91" w14:textId="219398E5" w:rsidR="003869E8" w:rsidRPr="003767A2" w:rsidRDefault="00D32EF0" w:rsidP="00495BE3">
      <w:pPr>
        <w:pStyle w:val="SWCHeading1"/>
        <w:numPr>
          <w:ilvl w:val="0"/>
          <w:numId w:val="0"/>
        </w:numPr>
        <w:ind w:left="720"/>
        <w:rPr>
          <w:lang w:val="da-DK"/>
        </w:rPr>
      </w:pPr>
      <w:r w:rsidRPr="003767A2">
        <w:rPr>
          <w:lang w:val="da-DK"/>
        </w:rPr>
        <w:t>References</w:t>
      </w:r>
    </w:p>
    <w:p w14:paraId="593EDEFB" w14:textId="77777777" w:rsidR="00917421" w:rsidRPr="00745B32" w:rsidRDefault="00917421" w:rsidP="00917421">
      <w:pPr>
        <w:rPr>
          <w:sz w:val="20"/>
          <w:szCs w:val="20"/>
          <w:lang w:val="en-US"/>
        </w:rPr>
      </w:pPr>
      <w:proofErr w:type="spellStart"/>
      <w:r w:rsidRPr="003767A2">
        <w:rPr>
          <w:sz w:val="20"/>
          <w:szCs w:val="20"/>
          <w:lang w:val="da-DK"/>
        </w:rPr>
        <w:t>Beltrán</w:t>
      </w:r>
      <w:proofErr w:type="spellEnd"/>
      <w:r w:rsidRPr="003767A2">
        <w:rPr>
          <w:sz w:val="20"/>
          <w:szCs w:val="20"/>
          <w:lang w:val="da-DK"/>
        </w:rPr>
        <w:t xml:space="preserve">, F., Sommerfeldt, N., 2026. </w:t>
      </w:r>
      <w:r w:rsidRPr="00604772">
        <w:rPr>
          <w:sz w:val="20"/>
          <w:szCs w:val="20"/>
          <w:lang w:val="en-US"/>
        </w:rPr>
        <w:t xml:space="preserve">Techno-economic evaluation of PVT-sourced heat pump systems: Can solar compete with air and ground in cold climates? </w:t>
      </w:r>
      <w:r w:rsidRPr="00745B32">
        <w:rPr>
          <w:sz w:val="20"/>
          <w:szCs w:val="20"/>
          <w:lang w:val="en-US"/>
        </w:rPr>
        <w:t xml:space="preserve">Solar Energy Advances 6, 100133. </w:t>
      </w:r>
      <w:hyperlink r:id="rId18" w:history="1">
        <w:r w:rsidRPr="00745B32">
          <w:rPr>
            <w:rStyle w:val="Hyperlink"/>
            <w:sz w:val="20"/>
            <w:szCs w:val="20"/>
            <w:lang w:val="en-US"/>
          </w:rPr>
          <w:t>https://doi.org/10.1016/j.seja.2026.100133</w:t>
        </w:r>
      </w:hyperlink>
    </w:p>
    <w:p w14:paraId="5BFD2A82" w14:textId="77777777" w:rsidR="00917421" w:rsidRPr="00745B32" w:rsidRDefault="00917421" w:rsidP="00917421">
      <w:pPr>
        <w:rPr>
          <w:sz w:val="20"/>
          <w:szCs w:val="20"/>
          <w:lang w:val="en-US"/>
        </w:rPr>
      </w:pPr>
    </w:p>
    <w:p w14:paraId="1A54A993" w14:textId="77777777" w:rsidR="00917421" w:rsidRDefault="00917421" w:rsidP="00917421">
      <w:pPr>
        <w:rPr>
          <w:sz w:val="20"/>
          <w:szCs w:val="20"/>
          <w:lang w:val="en-US"/>
        </w:rPr>
      </w:pPr>
      <w:r w:rsidRPr="00745B32">
        <w:rPr>
          <w:sz w:val="20"/>
          <w:szCs w:val="20"/>
          <w:lang w:val="en-US"/>
        </w:rPr>
        <w:t xml:space="preserve">Beltran, F., Sommerfeldt, N., Eskola, J., Madani, H., 2024. </w:t>
      </w:r>
      <w:r w:rsidRPr="00FE77D4">
        <w:rPr>
          <w:sz w:val="20"/>
          <w:szCs w:val="20"/>
          <w:lang w:val="en-US"/>
        </w:rPr>
        <w:t>Empirical investigation of solar photovoltaic-thermal collectors for heat pump integration.</w:t>
      </w:r>
      <w:r>
        <w:rPr>
          <w:sz w:val="20"/>
          <w:szCs w:val="20"/>
          <w:lang w:val="en-US"/>
        </w:rPr>
        <w:t xml:space="preserve"> </w:t>
      </w:r>
      <w:r w:rsidRPr="00FE77D4">
        <w:rPr>
          <w:sz w:val="20"/>
          <w:szCs w:val="20"/>
          <w:lang w:val="en-US"/>
        </w:rPr>
        <w:t>Applied Thermal Engineering 248</w:t>
      </w:r>
      <w:r w:rsidRPr="00840371">
        <w:rPr>
          <w:sz w:val="20"/>
          <w:szCs w:val="20"/>
          <w:lang w:val="en-US"/>
        </w:rPr>
        <w:t xml:space="preserve">. 123175 </w:t>
      </w:r>
      <w:r>
        <w:rPr>
          <w:sz w:val="20"/>
          <w:szCs w:val="20"/>
          <w:lang w:val="en-US"/>
        </w:rPr>
        <w:t xml:space="preserve"> </w:t>
      </w:r>
    </w:p>
    <w:p w14:paraId="3CFA38E8" w14:textId="77777777" w:rsidR="00917421" w:rsidRDefault="00917421" w:rsidP="00917421">
      <w:pPr>
        <w:rPr>
          <w:sz w:val="20"/>
          <w:szCs w:val="20"/>
          <w:lang w:val="en-US"/>
        </w:rPr>
      </w:pPr>
      <w:hyperlink r:id="rId19" w:history="1">
        <w:r w:rsidRPr="00C35AA7">
          <w:rPr>
            <w:rStyle w:val="Hyperlink"/>
            <w:sz w:val="20"/>
            <w:szCs w:val="20"/>
            <w:lang w:val="en-US"/>
          </w:rPr>
          <w:t>https://doi.org/10.1016/j.applthermaleng.2024.123175</w:t>
        </w:r>
      </w:hyperlink>
    </w:p>
    <w:p w14:paraId="6665E137" w14:textId="77777777" w:rsidR="00917421" w:rsidRDefault="00917421" w:rsidP="00917421">
      <w:pPr>
        <w:rPr>
          <w:sz w:val="20"/>
          <w:szCs w:val="20"/>
          <w:lang w:val="en-US"/>
        </w:rPr>
      </w:pPr>
    </w:p>
    <w:p w14:paraId="6D7DD903" w14:textId="77777777" w:rsidR="00917421" w:rsidRDefault="00917421" w:rsidP="00917421">
      <w:pPr>
        <w:rPr>
          <w:sz w:val="20"/>
          <w:szCs w:val="20"/>
          <w:lang w:val="en-US"/>
        </w:rPr>
      </w:pPr>
      <w:r w:rsidRPr="00745B32">
        <w:rPr>
          <w:sz w:val="20"/>
          <w:szCs w:val="20"/>
          <w:lang w:val="en-US"/>
        </w:rPr>
        <w:t xml:space="preserve">Beltrán, F., Sommerfeldt, N., Reichl, C., Madani, H., 2025. </w:t>
      </w:r>
      <w:r w:rsidRPr="00EF7920">
        <w:rPr>
          <w:sz w:val="20"/>
          <w:szCs w:val="20"/>
          <w:lang w:val="en-US"/>
        </w:rPr>
        <w:t xml:space="preserve">Cold solar: PVT heat exchanger designs for heat pump integration. Applied Thermal Engineering 261, 125020. </w:t>
      </w:r>
      <w:hyperlink r:id="rId20" w:history="1">
        <w:r w:rsidRPr="00C35AA7">
          <w:rPr>
            <w:rStyle w:val="Hyperlink"/>
            <w:sz w:val="20"/>
            <w:szCs w:val="20"/>
            <w:lang w:val="en-US"/>
          </w:rPr>
          <w:t>https://doi.org/10.1016/j.applthermaleng.2024.125020</w:t>
        </w:r>
      </w:hyperlink>
    </w:p>
    <w:p w14:paraId="0FFB46B9" w14:textId="77777777" w:rsidR="00917421" w:rsidRDefault="00917421" w:rsidP="00917421">
      <w:pPr>
        <w:rPr>
          <w:sz w:val="20"/>
          <w:szCs w:val="20"/>
          <w:lang w:val="en-US"/>
        </w:rPr>
      </w:pPr>
    </w:p>
    <w:p w14:paraId="35D4D9C9" w14:textId="77777777" w:rsidR="00917421" w:rsidRPr="00F547CB" w:rsidRDefault="00917421" w:rsidP="00917421">
      <w:pPr>
        <w:rPr>
          <w:sz w:val="20"/>
          <w:szCs w:val="20"/>
          <w:lang w:val="en-US"/>
        </w:rPr>
      </w:pPr>
      <w:r w:rsidRPr="00F547CB">
        <w:rPr>
          <w:sz w:val="20"/>
          <w:szCs w:val="20"/>
          <w:lang w:val="en-US"/>
        </w:rPr>
        <w:t>Dannemand, M., Perers, B., Furbo, S</w:t>
      </w:r>
      <w:r>
        <w:rPr>
          <w:sz w:val="20"/>
          <w:szCs w:val="20"/>
          <w:lang w:val="en-US"/>
        </w:rPr>
        <w:t xml:space="preserve">., 2019. </w:t>
      </w:r>
      <w:r w:rsidRPr="00F547CB">
        <w:rPr>
          <w:sz w:val="20"/>
          <w:szCs w:val="20"/>
          <w:lang w:val="en-US"/>
        </w:rPr>
        <w:t>Performance of a demonstration solar PVT assisted heat pump system with cold buffer storage and domestic hot water storage tanks</w:t>
      </w:r>
      <w:r>
        <w:rPr>
          <w:sz w:val="20"/>
          <w:szCs w:val="20"/>
          <w:lang w:val="en-US"/>
        </w:rPr>
        <w:t xml:space="preserve">. </w:t>
      </w:r>
      <w:r w:rsidRPr="00E41E4F">
        <w:rPr>
          <w:sz w:val="20"/>
          <w:szCs w:val="20"/>
          <w:lang w:val="en-US"/>
        </w:rPr>
        <w:t>Energy &amp; Buildings</w:t>
      </w:r>
      <w:r>
        <w:rPr>
          <w:sz w:val="20"/>
          <w:szCs w:val="20"/>
          <w:lang w:val="en-US"/>
        </w:rPr>
        <w:t xml:space="preserve"> 188-189, </w:t>
      </w:r>
      <w:r w:rsidRPr="00E41E4F">
        <w:rPr>
          <w:sz w:val="20"/>
          <w:szCs w:val="20"/>
          <w:lang w:val="en-US"/>
        </w:rPr>
        <w:t>https://doi.org/10.1016/j.enbuild.2018.12.042</w:t>
      </w:r>
    </w:p>
    <w:p w14:paraId="41B3BECC" w14:textId="77777777" w:rsidR="00917421" w:rsidRPr="00F547CB" w:rsidRDefault="00917421" w:rsidP="00917421">
      <w:pPr>
        <w:rPr>
          <w:sz w:val="20"/>
          <w:szCs w:val="20"/>
          <w:lang w:val="en-US"/>
        </w:rPr>
      </w:pPr>
    </w:p>
    <w:p w14:paraId="27AB7C97" w14:textId="77777777" w:rsidR="00917421" w:rsidRPr="00FE77D4" w:rsidRDefault="00917421" w:rsidP="00917421">
      <w:pPr>
        <w:rPr>
          <w:sz w:val="20"/>
          <w:szCs w:val="20"/>
          <w:lang w:val="en-US"/>
        </w:rPr>
      </w:pPr>
      <w:r w:rsidRPr="00917421">
        <w:rPr>
          <w:sz w:val="20"/>
          <w:szCs w:val="20"/>
          <w:lang w:val="en-US"/>
        </w:rPr>
        <w:t xml:space="preserve">Dannemand, M., Sifnaios, I., Jensen, A.R., Furbo, S., 2020a. </w:t>
      </w:r>
      <w:r w:rsidRPr="00FE77D4">
        <w:rPr>
          <w:sz w:val="20"/>
          <w:szCs w:val="20"/>
          <w:lang w:val="en-US"/>
        </w:rPr>
        <w:t>Experimental investigation and characterization of façade integrated PVT collectors with and without insulation.</w:t>
      </w:r>
      <w:r>
        <w:rPr>
          <w:sz w:val="20"/>
          <w:szCs w:val="20"/>
          <w:lang w:val="en-US"/>
        </w:rPr>
        <w:t xml:space="preserve"> </w:t>
      </w:r>
      <w:r w:rsidRPr="00FE77D4">
        <w:rPr>
          <w:sz w:val="20"/>
          <w:szCs w:val="20"/>
          <w:lang w:val="en-US"/>
        </w:rPr>
        <w:t>In: Proceedings of the ISES Solar World Congress 2019 and IEA SHC International Conference on Solar Heating and Cooling for Buildings and Industry 2019.</w:t>
      </w:r>
    </w:p>
    <w:p w14:paraId="78D77695" w14:textId="77777777" w:rsidR="00917421" w:rsidRPr="00FE77D4" w:rsidRDefault="00917421" w:rsidP="00917421">
      <w:pPr>
        <w:rPr>
          <w:sz w:val="20"/>
          <w:szCs w:val="20"/>
          <w:lang w:val="en-US"/>
        </w:rPr>
      </w:pPr>
      <w:r w:rsidRPr="00FE77D4">
        <w:rPr>
          <w:sz w:val="20"/>
          <w:szCs w:val="20"/>
          <w:lang w:val="en-US"/>
        </w:rPr>
        <w:t>International Solar Energy Society, pp. 1752–1759.</w:t>
      </w:r>
      <w:r>
        <w:rPr>
          <w:sz w:val="20"/>
          <w:szCs w:val="20"/>
          <w:lang w:val="en-US"/>
        </w:rPr>
        <w:t xml:space="preserve"> </w:t>
      </w:r>
      <w:r w:rsidRPr="00FE77D4">
        <w:rPr>
          <w:sz w:val="20"/>
          <w:szCs w:val="20"/>
          <w:lang w:val="en-US"/>
        </w:rPr>
        <w:t>https://doi.org/10.18086/swc.2019.35.02</w:t>
      </w:r>
    </w:p>
    <w:p w14:paraId="7CED2823" w14:textId="77777777" w:rsidR="00917421" w:rsidRPr="00FE77D4" w:rsidRDefault="00917421" w:rsidP="00917421">
      <w:pPr>
        <w:rPr>
          <w:sz w:val="20"/>
          <w:szCs w:val="20"/>
          <w:lang w:val="en-US"/>
        </w:rPr>
      </w:pPr>
      <w:r w:rsidRPr="00FE77D4">
        <w:rPr>
          <w:sz w:val="20"/>
          <w:szCs w:val="20"/>
          <w:lang w:val="en-US"/>
        </w:rPr>
        <w:t> </w:t>
      </w:r>
    </w:p>
    <w:p w14:paraId="3129CA37" w14:textId="77777777" w:rsidR="00917421" w:rsidRPr="00FE77D4" w:rsidRDefault="00917421" w:rsidP="00917421">
      <w:pPr>
        <w:rPr>
          <w:sz w:val="20"/>
          <w:szCs w:val="20"/>
          <w:lang w:val="en-US"/>
        </w:rPr>
      </w:pPr>
      <w:r w:rsidRPr="00FE77D4">
        <w:rPr>
          <w:sz w:val="20"/>
          <w:szCs w:val="20"/>
          <w:lang w:val="en-US"/>
        </w:rPr>
        <w:lastRenderedPageBreak/>
        <w:t>Dannemand, M., Sifnaios, I., Tian, Z., Furbo, S., 2020b.</w:t>
      </w:r>
      <w:r>
        <w:rPr>
          <w:sz w:val="20"/>
          <w:szCs w:val="20"/>
          <w:lang w:val="en-US"/>
        </w:rPr>
        <w:t xml:space="preserve"> </w:t>
      </w:r>
      <w:r w:rsidRPr="00FE77D4">
        <w:rPr>
          <w:sz w:val="20"/>
          <w:szCs w:val="20"/>
          <w:lang w:val="en-US"/>
        </w:rPr>
        <w:t>Simulation and optimization of a hybrid unglazed solar photovoltaic-thermal collector and heat pump system with two storage tanks.</w:t>
      </w:r>
      <w:r>
        <w:rPr>
          <w:sz w:val="20"/>
          <w:szCs w:val="20"/>
          <w:lang w:val="en-US"/>
        </w:rPr>
        <w:t xml:space="preserve"> </w:t>
      </w:r>
      <w:r w:rsidRPr="00FE77D4">
        <w:rPr>
          <w:sz w:val="20"/>
          <w:szCs w:val="20"/>
          <w:lang w:val="en-US"/>
        </w:rPr>
        <w:t>Energy Conversion and Management 206, 112429.</w:t>
      </w:r>
      <w:r>
        <w:rPr>
          <w:sz w:val="20"/>
          <w:szCs w:val="20"/>
          <w:lang w:val="en-US"/>
        </w:rPr>
        <w:t xml:space="preserve"> </w:t>
      </w:r>
      <w:r w:rsidRPr="00FE77D4">
        <w:rPr>
          <w:sz w:val="20"/>
          <w:szCs w:val="20"/>
          <w:lang w:val="en-US"/>
        </w:rPr>
        <w:t>https://doi.org/10.1016/j.enconman.2019.112429</w:t>
      </w:r>
    </w:p>
    <w:p w14:paraId="2B3F716E" w14:textId="77777777" w:rsidR="00917421" w:rsidRPr="007D67C6" w:rsidRDefault="00917421" w:rsidP="00917421">
      <w:pPr>
        <w:rPr>
          <w:sz w:val="20"/>
          <w:szCs w:val="20"/>
          <w:lang w:val="en-US"/>
        </w:rPr>
      </w:pPr>
      <w:r w:rsidRPr="00FE77D4">
        <w:rPr>
          <w:sz w:val="20"/>
          <w:szCs w:val="20"/>
          <w:lang w:val="en-US"/>
        </w:rPr>
        <w:t> </w:t>
      </w:r>
    </w:p>
    <w:p w14:paraId="3BEF4D72" w14:textId="77777777" w:rsidR="00917421" w:rsidRPr="00FE77D4" w:rsidRDefault="00917421" w:rsidP="00917421">
      <w:pPr>
        <w:rPr>
          <w:sz w:val="20"/>
          <w:szCs w:val="20"/>
          <w:lang w:val="en-US"/>
        </w:rPr>
      </w:pPr>
      <w:r w:rsidRPr="00F270DC">
        <w:rPr>
          <w:sz w:val="20"/>
          <w:szCs w:val="20"/>
          <w:lang w:val="en-US"/>
        </w:rPr>
        <w:t xml:space="preserve">Sifnaios, I., Jensen, A.R., Dannemand, M., Dragsted, J., 2021. </w:t>
      </w:r>
      <w:r w:rsidRPr="00FE77D4">
        <w:rPr>
          <w:sz w:val="20"/>
          <w:szCs w:val="20"/>
          <w:lang w:val="en-US"/>
        </w:rPr>
        <w:t>Demonstration of a domestic photovoltaic-thermal (PVT)-heat pump system, performance simulation, and economic analysis for different climates.</w:t>
      </w:r>
      <w:r>
        <w:rPr>
          <w:sz w:val="20"/>
          <w:szCs w:val="20"/>
          <w:lang w:val="en-US"/>
        </w:rPr>
        <w:t xml:space="preserve"> </w:t>
      </w:r>
      <w:r w:rsidRPr="00FE77D4">
        <w:rPr>
          <w:sz w:val="20"/>
          <w:szCs w:val="20"/>
          <w:lang w:val="en-US"/>
        </w:rPr>
        <w:t>In: Proceedings of the ISES Solar World Congress 2021.</w:t>
      </w:r>
      <w:r>
        <w:rPr>
          <w:sz w:val="20"/>
          <w:szCs w:val="20"/>
          <w:lang w:val="en-US"/>
        </w:rPr>
        <w:t xml:space="preserve"> </w:t>
      </w:r>
      <w:r w:rsidRPr="00FE77D4">
        <w:rPr>
          <w:sz w:val="20"/>
          <w:szCs w:val="20"/>
          <w:lang w:val="en-US"/>
        </w:rPr>
        <w:t>International Solar Energy Society, pp. 588–599.</w:t>
      </w:r>
      <w:r>
        <w:rPr>
          <w:sz w:val="20"/>
          <w:szCs w:val="20"/>
          <w:lang w:val="en-US"/>
        </w:rPr>
        <w:t xml:space="preserve"> </w:t>
      </w:r>
      <w:r w:rsidRPr="00FE77D4">
        <w:rPr>
          <w:sz w:val="20"/>
          <w:szCs w:val="20"/>
          <w:lang w:val="en-US"/>
        </w:rPr>
        <w:t>https://doi.org/10.18086/swc.2021.26.03</w:t>
      </w:r>
    </w:p>
    <w:p w14:paraId="7DE1D644" w14:textId="77777777" w:rsidR="00BA6C27" w:rsidRPr="00BA6C27" w:rsidRDefault="00BA6C27" w:rsidP="00BA6C27">
      <w:pPr>
        <w:rPr>
          <w:sz w:val="20"/>
          <w:szCs w:val="20"/>
          <w:lang w:val="en-US"/>
        </w:rPr>
      </w:pPr>
    </w:p>
    <w:sectPr w:rsidR="00BA6C27" w:rsidRPr="00BA6C27" w:rsidSect="00E86B7B">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51573" w14:textId="77777777" w:rsidR="001463DF" w:rsidRDefault="001463DF">
      <w:r>
        <w:separator/>
      </w:r>
    </w:p>
  </w:endnote>
  <w:endnote w:type="continuationSeparator" w:id="0">
    <w:p w14:paraId="36ACFC6D" w14:textId="77777777" w:rsidR="001463DF" w:rsidRDefault="0014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905E1" w14:textId="77777777" w:rsidR="001463DF" w:rsidRDefault="001463DF">
      <w:r>
        <w:separator/>
      </w:r>
    </w:p>
  </w:footnote>
  <w:footnote w:type="continuationSeparator" w:id="0">
    <w:p w14:paraId="68EE7B60" w14:textId="77777777" w:rsidR="001463DF" w:rsidRDefault="00146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C1F6E49"/>
    <w:multiLevelType w:val="hybridMultilevel"/>
    <w:tmpl w:val="F2568D0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6562CB3"/>
    <w:multiLevelType w:val="hybridMultilevel"/>
    <w:tmpl w:val="0FB04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83A2529"/>
    <w:multiLevelType w:val="hybridMultilevel"/>
    <w:tmpl w:val="784A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40279AF"/>
    <w:multiLevelType w:val="hybridMultilevel"/>
    <w:tmpl w:val="23E0C520"/>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80A1037"/>
    <w:multiLevelType w:val="hybridMultilevel"/>
    <w:tmpl w:val="6520D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7DBA1C80"/>
    <w:multiLevelType w:val="hybridMultilevel"/>
    <w:tmpl w:val="1A5EF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3"/>
  </w:num>
  <w:num w:numId="3" w16cid:durableId="1779980318">
    <w:abstractNumId w:val="11"/>
  </w:num>
  <w:num w:numId="4" w16cid:durableId="691154539">
    <w:abstractNumId w:val="26"/>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1"/>
  </w:num>
  <w:num w:numId="12" w16cid:durableId="355472642">
    <w:abstractNumId w:val="17"/>
  </w:num>
  <w:num w:numId="13" w16cid:durableId="311523580">
    <w:abstractNumId w:val="6"/>
    <w:lvlOverride w:ilvl="0">
      <w:startOverride w:val="1"/>
    </w:lvlOverride>
  </w:num>
  <w:num w:numId="14" w16cid:durableId="1496726486">
    <w:abstractNumId w:val="20"/>
  </w:num>
  <w:num w:numId="15" w16cid:durableId="1806385346">
    <w:abstractNumId w:val="7"/>
  </w:num>
  <w:num w:numId="16" w16cid:durableId="1758162859">
    <w:abstractNumId w:val="16"/>
  </w:num>
  <w:num w:numId="17" w16cid:durableId="569772207">
    <w:abstractNumId w:val="19"/>
  </w:num>
  <w:num w:numId="18" w16cid:durableId="1080835087">
    <w:abstractNumId w:val="23"/>
  </w:num>
  <w:num w:numId="19" w16cid:durableId="1514802717">
    <w:abstractNumId w:val="10"/>
  </w:num>
  <w:num w:numId="20" w16cid:durableId="1328480391">
    <w:abstractNumId w:val="8"/>
  </w:num>
  <w:num w:numId="21" w16cid:durableId="1166094805">
    <w:abstractNumId w:val="15"/>
  </w:num>
  <w:num w:numId="22" w16cid:durableId="679743871">
    <w:abstractNumId w:val="22"/>
  </w:num>
  <w:num w:numId="23" w16cid:durableId="612976666">
    <w:abstractNumId w:val="18"/>
  </w:num>
  <w:num w:numId="24" w16cid:durableId="7829984">
    <w:abstractNumId w:val="24"/>
  </w:num>
  <w:num w:numId="25" w16cid:durableId="229080916">
    <w:abstractNumId w:val="27"/>
  </w:num>
  <w:num w:numId="26" w16cid:durableId="641888691">
    <w:abstractNumId w:val="12"/>
  </w:num>
  <w:num w:numId="27" w16cid:durableId="585308514">
    <w:abstractNumId w:val="9"/>
  </w:num>
  <w:num w:numId="28" w16cid:durableId="2011255852">
    <w:abstractNumId w:val="21"/>
    <w:lvlOverride w:ilvl="0">
      <w:startOverride w:val="1"/>
    </w:lvlOverride>
  </w:num>
  <w:num w:numId="29" w16cid:durableId="334651054">
    <w:abstractNumId w:val="21"/>
    <w:lvlOverride w:ilvl="0">
      <w:startOverride w:val="1"/>
    </w:lvlOverride>
  </w:num>
  <w:num w:numId="30" w16cid:durableId="1063331834">
    <w:abstractNumId w:val="21"/>
    <w:lvlOverride w:ilvl="0">
      <w:startOverride w:val="1"/>
    </w:lvlOverride>
  </w:num>
  <w:num w:numId="31" w16cid:durableId="798844810">
    <w:abstractNumId w:val="21"/>
    <w:lvlOverride w:ilvl="0">
      <w:startOverride w:val="1"/>
    </w:lvlOverride>
  </w:num>
  <w:num w:numId="32" w16cid:durableId="920335572">
    <w:abstractNumId w:val="25"/>
  </w:num>
  <w:num w:numId="33" w16cid:durableId="1151167266">
    <w:abstractNumId w:val="14"/>
  </w:num>
  <w:num w:numId="34" w16cid:durableId="2111005369">
    <w:abstractNumId w:val="2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849"/>
    <w:rsid w:val="00004D31"/>
    <w:rsid w:val="00005037"/>
    <w:rsid w:val="0000679A"/>
    <w:rsid w:val="000067DB"/>
    <w:rsid w:val="00010262"/>
    <w:rsid w:val="000136E1"/>
    <w:rsid w:val="00013BA2"/>
    <w:rsid w:val="00015932"/>
    <w:rsid w:val="00021670"/>
    <w:rsid w:val="000236F8"/>
    <w:rsid w:val="0002379F"/>
    <w:rsid w:val="000260F9"/>
    <w:rsid w:val="000327C2"/>
    <w:rsid w:val="0004039C"/>
    <w:rsid w:val="00041AD7"/>
    <w:rsid w:val="00041D6F"/>
    <w:rsid w:val="0004235D"/>
    <w:rsid w:val="000464A6"/>
    <w:rsid w:val="0005003E"/>
    <w:rsid w:val="00050C42"/>
    <w:rsid w:val="00051799"/>
    <w:rsid w:val="000533E4"/>
    <w:rsid w:val="000534F5"/>
    <w:rsid w:val="00053E02"/>
    <w:rsid w:val="00055DB9"/>
    <w:rsid w:val="00057B5E"/>
    <w:rsid w:val="000607C2"/>
    <w:rsid w:val="00066B26"/>
    <w:rsid w:val="00066F72"/>
    <w:rsid w:val="00067508"/>
    <w:rsid w:val="000678AC"/>
    <w:rsid w:val="00067BBC"/>
    <w:rsid w:val="0007037C"/>
    <w:rsid w:val="000712A1"/>
    <w:rsid w:val="00074093"/>
    <w:rsid w:val="00074242"/>
    <w:rsid w:val="00074DBF"/>
    <w:rsid w:val="000755FF"/>
    <w:rsid w:val="0008137B"/>
    <w:rsid w:val="00085DCF"/>
    <w:rsid w:val="0008719A"/>
    <w:rsid w:val="0008773D"/>
    <w:rsid w:val="00087945"/>
    <w:rsid w:val="00092ED5"/>
    <w:rsid w:val="00094621"/>
    <w:rsid w:val="00094BE0"/>
    <w:rsid w:val="000A0ADB"/>
    <w:rsid w:val="000A30A5"/>
    <w:rsid w:val="000A30D2"/>
    <w:rsid w:val="000A33AC"/>
    <w:rsid w:val="000A36B5"/>
    <w:rsid w:val="000A52A1"/>
    <w:rsid w:val="000A7957"/>
    <w:rsid w:val="000B01AF"/>
    <w:rsid w:val="000B04BE"/>
    <w:rsid w:val="000B08D9"/>
    <w:rsid w:val="000B1F4D"/>
    <w:rsid w:val="000C2344"/>
    <w:rsid w:val="000C3C42"/>
    <w:rsid w:val="000C411A"/>
    <w:rsid w:val="000D3B38"/>
    <w:rsid w:val="000D4F39"/>
    <w:rsid w:val="000D5AE4"/>
    <w:rsid w:val="000D64B9"/>
    <w:rsid w:val="000D6946"/>
    <w:rsid w:val="000D6E1A"/>
    <w:rsid w:val="000D7767"/>
    <w:rsid w:val="000E1855"/>
    <w:rsid w:val="000E6CBA"/>
    <w:rsid w:val="000E7D55"/>
    <w:rsid w:val="000F48B3"/>
    <w:rsid w:val="000F58B7"/>
    <w:rsid w:val="000F6090"/>
    <w:rsid w:val="000F739B"/>
    <w:rsid w:val="000F7C4D"/>
    <w:rsid w:val="0010501A"/>
    <w:rsid w:val="00115D3B"/>
    <w:rsid w:val="001168E8"/>
    <w:rsid w:val="001168FC"/>
    <w:rsid w:val="001210EC"/>
    <w:rsid w:val="001248CB"/>
    <w:rsid w:val="00126433"/>
    <w:rsid w:val="00127692"/>
    <w:rsid w:val="00127C7C"/>
    <w:rsid w:val="00130F1F"/>
    <w:rsid w:val="00131BA7"/>
    <w:rsid w:val="00136177"/>
    <w:rsid w:val="00144430"/>
    <w:rsid w:val="00144924"/>
    <w:rsid w:val="001463DF"/>
    <w:rsid w:val="0015090D"/>
    <w:rsid w:val="00150B42"/>
    <w:rsid w:val="00155FB8"/>
    <w:rsid w:val="00157CE5"/>
    <w:rsid w:val="00163A03"/>
    <w:rsid w:val="00164385"/>
    <w:rsid w:val="001647D2"/>
    <w:rsid w:val="00164A00"/>
    <w:rsid w:val="00166C42"/>
    <w:rsid w:val="00166F28"/>
    <w:rsid w:val="00172204"/>
    <w:rsid w:val="0017451B"/>
    <w:rsid w:val="00175410"/>
    <w:rsid w:val="00176EF6"/>
    <w:rsid w:val="0018397F"/>
    <w:rsid w:val="00184CEA"/>
    <w:rsid w:val="00186CA3"/>
    <w:rsid w:val="001902F2"/>
    <w:rsid w:val="001904A7"/>
    <w:rsid w:val="001918CD"/>
    <w:rsid w:val="0019232E"/>
    <w:rsid w:val="00193E16"/>
    <w:rsid w:val="00194116"/>
    <w:rsid w:val="00194E9A"/>
    <w:rsid w:val="00196746"/>
    <w:rsid w:val="001968B5"/>
    <w:rsid w:val="001968EC"/>
    <w:rsid w:val="001969B9"/>
    <w:rsid w:val="001A117A"/>
    <w:rsid w:val="001A406F"/>
    <w:rsid w:val="001A4276"/>
    <w:rsid w:val="001A6B27"/>
    <w:rsid w:val="001A775B"/>
    <w:rsid w:val="001A7F40"/>
    <w:rsid w:val="001B12FA"/>
    <w:rsid w:val="001B13D6"/>
    <w:rsid w:val="001B6465"/>
    <w:rsid w:val="001B6BCF"/>
    <w:rsid w:val="001B7B01"/>
    <w:rsid w:val="001C0923"/>
    <w:rsid w:val="001C3A3D"/>
    <w:rsid w:val="001C5438"/>
    <w:rsid w:val="001C63A2"/>
    <w:rsid w:val="001D0384"/>
    <w:rsid w:val="001D4912"/>
    <w:rsid w:val="001D5B02"/>
    <w:rsid w:val="001E2B93"/>
    <w:rsid w:val="001E31EB"/>
    <w:rsid w:val="001E4F28"/>
    <w:rsid w:val="001F10EC"/>
    <w:rsid w:val="001F11D4"/>
    <w:rsid w:val="001F1886"/>
    <w:rsid w:val="001F1AAA"/>
    <w:rsid w:val="001F2881"/>
    <w:rsid w:val="001F5417"/>
    <w:rsid w:val="001F6D98"/>
    <w:rsid w:val="001F6E4F"/>
    <w:rsid w:val="0020003D"/>
    <w:rsid w:val="00205626"/>
    <w:rsid w:val="00206116"/>
    <w:rsid w:val="00210E04"/>
    <w:rsid w:val="00212628"/>
    <w:rsid w:val="00217484"/>
    <w:rsid w:val="00220795"/>
    <w:rsid w:val="00220966"/>
    <w:rsid w:val="0022299B"/>
    <w:rsid w:val="00223753"/>
    <w:rsid w:val="00225724"/>
    <w:rsid w:val="00231ED9"/>
    <w:rsid w:val="002331FE"/>
    <w:rsid w:val="002423D3"/>
    <w:rsid w:val="002431C4"/>
    <w:rsid w:val="00243214"/>
    <w:rsid w:val="002447D9"/>
    <w:rsid w:val="002453BC"/>
    <w:rsid w:val="0024665D"/>
    <w:rsid w:val="002470B2"/>
    <w:rsid w:val="00250D6A"/>
    <w:rsid w:val="00252CCF"/>
    <w:rsid w:val="00255E5C"/>
    <w:rsid w:val="00256560"/>
    <w:rsid w:val="002601DC"/>
    <w:rsid w:val="0026075E"/>
    <w:rsid w:val="00263DED"/>
    <w:rsid w:val="002642CC"/>
    <w:rsid w:val="002647A0"/>
    <w:rsid w:val="00266E47"/>
    <w:rsid w:val="00267D67"/>
    <w:rsid w:val="00270E75"/>
    <w:rsid w:val="0027288C"/>
    <w:rsid w:val="00273341"/>
    <w:rsid w:val="002815C3"/>
    <w:rsid w:val="002819AD"/>
    <w:rsid w:val="00281D0B"/>
    <w:rsid w:val="00283E15"/>
    <w:rsid w:val="002868BC"/>
    <w:rsid w:val="00287E23"/>
    <w:rsid w:val="00290C8C"/>
    <w:rsid w:val="00291618"/>
    <w:rsid w:val="002972D1"/>
    <w:rsid w:val="002973AB"/>
    <w:rsid w:val="002973D7"/>
    <w:rsid w:val="002A04A9"/>
    <w:rsid w:val="002A39BB"/>
    <w:rsid w:val="002A3F8D"/>
    <w:rsid w:val="002A4F6D"/>
    <w:rsid w:val="002A6C68"/>
    <w:rsid w:val="002B3F3F"/>
    <w:rsid w:val="002B417A"/>
    <w:rsid w:val="002B7E4A"/>
    <w:rsid w:val="002C089D"/>
    <w:rsid w:val="002C101B"/>
    <w:rsid w:val="002C116C"/>
    <w:rsid w:val="002C1F39"/>
    <w:rsid w:val="002C6311"/>
    <w:rsid w:val="002C68AD"/>
    <w:rsid w:val="002C6F89"/>
    <w:rsid w:val="002C7CC3"/>
    <w:rsid w:val="002D2EB4"/>
    <w:rsid w:val="002D322C"/>
    <w:rsid w:val="002D3552"/>
    <w:rsid w:val="002D3D6A"/>
    <w:rsid w:val="002D4864"/>
    <w:rsid w:val="002D7CCE"/>
    <w:rsid w:val="002E2293"/>
    <w:rsid w:val="002E4AAB"/>
    <w:rsid w:val="002E5297"/>
    <w:rsid w:val="002E5D62"/>
    <w:rsid w:val="002F1386"/>
    <w:rsid w:val="002F1D87"/>
    <w:rsid w:val="002F6B87"/>
    <w:rsid w:val="00301768"/>
    <w:rsid w:val="003027A2"/>
    <w:rsid w:val="00303345"/>
    <w:rsid w:val="00304339"/>
    <w:rsid w:val="00312748"/>
    <w:rsid w:val="0031685E"/>
    <w:rsid w:val="003178A2"/>
    <w:rsid w:val="0033188F"/>
    <w:rsid w:val="003357AC"/>
    <w:rsid w:val="00336647"/>
    <w:rsid w:val="0034245D"/>
    <w:rsid w:val="0034730E"/>
    <w:rsid w:val="00356057"/>
    <w:rsid w:val="0035638A"/>
    <w:rsid w:val="003605B9"/>
    <w:rsid w:val="00362122"/>
    <w:rsid w:val="00364A52"/>
    <w:rsid w:val="00364E42"/>
    <w:rsid w:val="00366F27"/>
    <w:rsid w:val="003701B7"/>
    <w:rsid w:val="0037056E"/>
    <w:rsid w:val="00370BE6"/>
    <w:rsid w:val="00371436"/>
    <w:rsid w:val="00373F97"/>
    <w:rsid w:val="0037406D"/>
    <w:rsid w:val="00374216"/>
    <w:rsid w:val="0037425E"/>
    <w:rsid w:val="00375727"/>
    <w:rsid w:val="003767A2"/>
    <w:rsid w:val="003768F9"/>
    <w:rsid w:val="0038204D"/>
    <w:rsid w:val="00383A22"/>
    <w:rsid w:val="0038545D"/>
    <w:rsid w:val="003869E8"/>
    <w:rsid w:val="00387F8F"/>
    <w:rsid w:val="00391288"/>
    <w:rsid w:val="00391710"/>
    <w:rsid w:val="00391786"/>
    <w:rsid w:val="00392580"/>
    <w:rsid w:val="00393777"/>
    <w:rsid w:val="0039504F"/>
    <w:rsid w:val="00395E40"/>
    <w:rsid w:val="00395E5A"/>
    <w:rsid w:val="0039742D"/>
    <w:rsid w:val="003976EF"/>
    <w:rsid w:val="0039796D"/>
    <w:rsid w:val="003A1253"/>
    <w:rsid w:val="003A3A38"/>
    <w:rsid w:val="003A7DB9"/>
    <w:rsid w:val="003B2055"/>
    <w:rsid w:val="003B238C"/>
    <w:rsid w:val="003C0806"/>
    <w:rsid w:val="003C0ABE"/>
    <w:rsid w:val="003C1562"/>
    <w:rsid w:val="003C18DE"/>
    <w:rsid w:val="003C1B31"/>
    <w:rsid w:val="003C2B1A"/>
    <w:rsid w:val="003C310A"/>
    <w:rsid w:val="003C39C6"/>
    <w:rsid w:val="003C7E95"/>
    <w:rsid w:val="003D0C22"/>
    <w:rsid w:val="003D15A7"/>
    <w:rsid w:val="003D48F6"/>
    <w:rsid w:val="003D6941"/>
    <w:rsid w:val="003D7AFF"/>
    <w:rsid w:val="003E1073"/>
    <w:rsid w:val="003E1E1C"/>
    <w:rsid w:val="003E632C"/>
    <w:rsid w:val="003F0403"/>
    <w:rsid w:val="003F1F7C"/>
    <w:rsid w:val="003F4547"/>
    <w:rsid w:val="003F5B99"/>
    <w:rsid w:val="004019FD"/>
    <w:rsid w:val="00403E6A"/>
    <w:rsid w:val="004053B5"/>
    <w:rsid w:val="0040615A"/>
    <w:rsid w:val="004078FF"/>
    <w:rsid w:val="00410476"/>
    <w:rsid w:val="00410A2A"/>
    <w:rsid w:val="00411E29"/>
    <w:rsid w:val="00415567"/>
    <w:rsid w:val="0042033E"/>
    <w:rsid w:val="00421228"/>
    <w:rsid w:val="004357AD"/>
    <w:rsid w:val="00436609"/>
    <w:rsid w:val="00440415"/>
    <w:rsid w:val="00442265"/>
    <w:rsid w:val="004478A5"/>
    <w:rsid w:val="00453296"/>
    <w:rsid w:val="00453E65"/>
    <w:rsid w:val="00456FF6"/>
    <w:rsid w:val="00457C96"/>
    <w:rsid w:val="00457F85"/>
    <w:rsid w:val="00460D72"/>
    <w:rsid w:val="0046578C"/>
    <w:rsid w:val="00467D8A"/>
    <w:rsid w:val="00467DFD"/>
    <w:rsid w:val="004752EB"/>
    <w:rsid w:val="00476879"/>
    <w:rsid w:val="004811AB"/>
    <w:rsid w:val="0048622F"/>
    <w:rsid w:val="004875D3"/>
    <w:rsid w:val="00490F10"/>
    <w:rsid w:val="004928E1"/>
    <w:rsid w:val="004931AB"/>
    <w:rsid w:val="00493C81"/>
    <w:rsid w:val="00494006"/>
    <w:rsid w:val="00495BE3"/>
    <w:rsid w:val="004A14C9"/>
    <w:rsid w:val="004A1732"/>
    <w:rsid w:val="004A3430"/>
    <w:rsid w:val="004A3506"/>
    <w:rsid w:val="004A5668"/>
    <w:rsid w:val="004A6DF3"/>
    <w:rsid w:val="004B0A69"/>
    <w:rsid w:val="004B0CD4"/>
    <w:rsid w:val="004B28F5"/>
    <w:rsid w:val="004B7E7A"/>
    <w:rsid w:val="004C39AD"/>
    <w:rsid w:val="004C3C62"/>
    <w:rsid w:val="004C446C"/>
    <w:rsid w:val="004C4EE9"/>
    <w:rsid w:val="004D4C2C"/>
    <w:rsid w:val="004D6D80"/>
    <w:rsid w:val="004E5D79"/>
    <w:rsid w:val="004F42D6"/>
    <w:rsid w:val="004F4904"/>
    <w:rsid w:val="004F4FBC"/>
    <w:rsid w:val="004F5FF9"/>
    <w:rsid w:val="00500640"/>
    <w:rsid w:val="00500D7D"/>
    <w:rsid w:val="00502282"/>
    <w:rsid w:val="005025CD"/>
    <w:rsid w:val="00506607"/>
    <w:rsid w:val="005067AC"/>
    <w:rsid w:val="00514890"/>
    <w:rsid w:val="0051584D"/>
    <w:rsid w:val="00516C0B"/>
    <w:rsid w:val="00521215"/>
    <w:rsid w:val="00521A24"/>
    <w:rsid w:val="00521DAA"/>
    <w:rsid w:val="00523E9C"/>
    <w:rsid w:val="0053048D"/>
    <w:rsid w:val="00532138"/>
    <w:rsid w:val="00533B06"/>
    <w:rsid w:val="0053427F"/>
    <w:rsid w:val="0053532A"/>
    <w:rsid w:val="005404F1"/>
    <w:rsid w:val="00540F06"/>
    <w:rsid w:val="00543AC6"/>
    <w:rsid w:val="00544D85"/>
    <w:rsid w:val="00546C00"/>
    <w:rsid w:val="00550776"/>
    <w:rsid w:val="00550BAD"/>
    <w:rsid w:val="00550D16"/>
    <w:rsid w:val="00552C35"/>
    <w:rsid w:val="00554FCB"/>
    <w:rsid w:val="00556004"/>
    <w:rsid w:val="00560748"/>
    <w:rsid w:val="00562462"/>
    <w:rsid w:val="00566460"/>
    <w:rsid w:val="0057075C"/>
    <w:rsid w:val="0057171C"/>
    <w:rsid w:val="005721F8"/>
    <w:rsid w:val="0058004D"/>
    <w:rsid w:val="0058023C"/>
    <w:rsid w:val="005836C7"/>
    <w:rsid w:val="00584FF2"/>
    <w:rsid w:val="005853AF"/>
    <w:rsid w:val="005864BD"/>
    <w:rsid w:val="0059750A"/>
    <w:rsid w:val="005A15AA"/>
    <w:rsid w:val="005B181D"/>
    <w:rsid w:val="005B30DA"/>
    <w:rsid w:val="005B3E86"/>
    <w:rsid w:val="005B5F3A"/>
    <w:rsid w:val="005B6F55"/>
    <w:rsid w:val="005B7607"/>
    <w:rsid w:val="005D1066"/>
    <w:rsid w:val="005D477B"/>
    <w:rsid w:val="005D5BC4"/>
    <w:rsid w:val="005D5CF6"/>
    <w:rsid w:val="005D5E14"/>
    <w:rsid w:val="005E04EA"/>
    <w:rsid w:val="005E0923"/>
    <w:rsid w:val="005E0D7D"/>
    <w:rsid w:val="005E4057"/>
    <w:rsid w:val="005E7208"/>
    <w:rsid w:val="005E7447"/>
    <w:rsid w:val="005E7AFD"/>
    <w:rsid w:val="005F08EF"/>
    <w:rsid w:val="005F106F"/>
    <w:rsid w:val="005F391F"/>
    <w:rsid w:val="005F4FEC"/>
    <w:rsid w:val="005F6CC1"/>
    <w:rsid w:val="00602890"/>
    <w:rsid w:val="00604772"/>
    <w:rsid w:val="00607C4E"/>
    <w:rsid w:val="00612483"/>
    <w:rsid w:val="00613AF9"/>
    <w:rsid w:val="00616367"/>
    <w:rsid w:val="0061732F"/>
    <w:rsid w:val="00621253"/>
    <w:rsid w:val="0062257E"/>
    <w:rsid w:val="00622DC5"/>
    <w:rsid w:val="00623B2C"/>
    <w:rsid w:val="006244BA"/>
    <w:rsid w:val="006249E5"/>
    <w:rsid w:val="00624AC4"/>
    <w:rsid w:val="00625BC2"/>
    <w:rsid w:val="00625C6A"/>
    <w:rsid w:val="00627E34"/>
    <w:rsid w:val="006309AA"/>
    <w:rsid w:val="00632AD2"/>
    <w:rsid w:val="00633473"/>
    <w:rsid w:val="00633CC6"/>
    <w:rsid w:val="00637936"/>
    <w:rsid w:val="006379BD"/>
    <w:rsid w:val="00642B5B"/>
    <w:rsid w:val="0064403B"/>
    <w:rsid w:val="006468BD"/>
    <w:rsid w:val="006500EC"/>
    <w:rsid w:val="00652071"/>
    <w:rsid w:val="00652D7E"/>
    <w:rsid w:val="00653551"/>
    <w:rsid w:val="0065563B"/>
    <w:rsid w:val="0066325E"/>
    <w:rsid w:val="00664196"/>
    <w:rsid w:val="00664F47"/>
    <w:rsid w:val="00665471"/>
    <w:rsid w:val="006722C6"/>
    <w:rsid w:val="0067290B"/>
    <w:rsid w:val="006764E8"/>
    <w:rsid w:val="00676AC2"/>
    <w:rsid w:val="00680791"/>
    <w:rsid w:val="00682155"/>
    <w:rsid w:val="006855A0"/>
    <w:rsid w:val="00686110"/>
    <w:rsid w:val="006867E8"/>
    <w:rsid w:val="00686B1E"/>
    <w:rsid w:val="00692D7F"/>
    <w:rsid w:val="00697B3D"/>
    <w:rsid w:val="006A0AE2"/>
    <w:rsid w:val="006A2F10"/>
    <w:rsid w:val="006A6A10"/>
    <w:rsid w:val="006A77D0"/>
    <w:rsid w:val="006B2F57"/>
    <w:rsid w:val="006B346B"/>
    <w:rsid w:val="006B3B38"/>
    <w:rsid w:val="006B4C9F"/>
    <w:rsid w:val="006B4F83"/>
    <w:rsid w:val="006B7639"/>
    <w:rsid w:val="006C35FC"/>
    <w:rsid w:val="006C5874"/>
    <w:rsid w:val="006C756C"/>
    <w:rsid w:val="006D1014"/>
    <w:rsid w:val="006D19E1"/>
    <w:rsid w:val="006D36F2"/>
    <w:rsid w:val="006D4A96"/>
    <w:rsid w:val="006D60A7"/>
    <w:rsid w:val="006E0ED0"/>
    <w:rsid w:val="006E4DB5"/>
    <w:rsid w:val="006E6AD7"/>
    <w:rsid w:val="006F15AA"/>
    <w:rsid w:val="006F3259"/>
    <w:rsid w:val="006F5B85"/>
    <w:rsid w:val="006F5E8C"/>
    <w:rsid w:val="00700439"/>
    <w:rsid w:val="00700C53"/>
    <w:rsid w:val="00702AE0"/>
    <w:rsid w:val="00706F4C"/>
    <w:rsid w:val="0071179A"/>
    <w:rsid w:val="00714C58"/>
    <w:rsid w:val="00715CA3"/>
    <w:rsid w:val="0071624C"/>
    <w:rsid w:val="00716F9A"/>
    <w:rsid w:val="007174DA"/>
    <w:rsid w:val="00722B51"/>
    <w:rsid w:val="00723AA8"/>
    <w:rsid w:val="00725445"/>
    <w:rsid w:val="00725ED2"/>
    <w:rsid w:val="00735A84"/>
    <w:rsid w:val="007400DF"/>
    <w:rsid w:val="00745B32"/>
    <w:rsid w:val="007471EA"/>
    <w:rsid w:val="00752AE4"/>
    <w:rsid w:val="007535ED"/>
    <w:rsid w:val="0075406E"/>
    <w:rsid w:val="00754702"/>
    <w:rsid w:val="007553D7"/>
    <w:rsid w:val="00756702"/>
    <w:rsid w:val="0076088B"/>
    <w:rsid w:val="00761AB0"/>
    <w:rsid w:val="00761EDD"/>
    <w:rsid w:val="00762EA3"/>
    <w:rsid w:val="00762EE7"/>
    <w:rsid w:val="00763DA2"/>
    <w:rsid w:val="0076607E"/>
    <w:rsid w:val="007735EC"/>
    <w:rsid w:val="007744AD"/>
    <w:rsid w:val="007763CB"/>
    <w:rsid w:val="007775DF"/>
    <w:rsid w:val="007804A7"/>
    <w:rsid w:val="00783014"/>
    <w:rsid w:val="007862D8"/>
    <w:rsid w:val="00786E76"/>
    <w:rsid w:val="007879E0"/>
    <w:rsid w:val="007908F6"/>
    <w:rsid w:val="00790E1D"/>
    <w:rsid w:val="007954D9"/>
    <w:rsid w:val="007A1C53"/>
    <w:rsid w:val="007A43FE"/>
    <w:rsid w:val="007A5D8C"/>
    <w:rsid w:val="007A7952"/>
    <w:rsid w:val="007B0BDB"/>
    <w:rsid w:val="007B1ED6"/>
    <w:rsid w:val="007B25E3"/>
    <w:rsid w:val="007B33DF"/>
    <w:rsid w:val="007B5CCE"/>
    <w:rsid w:val="007B72F5"/>
    <w:rsid w:val="007C1632"/>
    <w:rsid w:val="007C36EF"/>
    <w:rsid w:val="007C6BDE"/>
    <w:rsid w:val="007C6CA1"/>
    <w:rsid w:val="007C7E48"/>
    <w:rsid w:val="007D0678"/>
    <w:rsid w:val="007D1C2C"/>
    <w:rsid w:val="007D2595"/>
    <w:rsid w:val="007D3563"/>
    <w:rsid w:val="007E3274"/>
    <w:rsid w:val="007E7634"/>
    <w:rsid w:val="007E7811"/>
    <w:rsid w:val="007F5C78"/>
    <w:rsid w:val="007FACAC"/>
    <w:rsid w:val="00800459"/>
    <w:rsid w:val="00800E25"/>
    <w:rsid w:val="008011B5"/>
    <w:rsid w:val="00801634"/>
    <w:rsid w:val="0080537B"/>
    <w:rsid w:val="00806DC0"/>
    <w:rsid w:val="00814A2C"/>
    <w:rsid w:val="0081622B"/>
    <w:rsid w:val="00816F2C"/>
    <w:rsid w:val="008218D9"/>
    <w:rsid w:val="008219CF"/>
    <w:rsid w:val="00825979"/>
    <w:rsid w:val="00826956"/>
    <w:rsid w:val="008314FC"/>
    <w:rsid w:val="008322B9"/>
    <w:rsid w:val="00832E22"/>
    <w:rsid w:val="00832FA2"/>
    <w:rsid w:val="00834062"/>
    <w:rsid w:val="00835FE1"/>
    <w:rsid w:val="00837104"/>
    <w:rsid w:val="00840371"/>
    <w:rsid w:val="00840E8F"/>
    <w:rsid w:val="0084100F"/>
    <w:rsid w:val="0084247F"/>
    <w:rsid w:val="00844E4A"/>
    <w:rsid w:val="00845AE3"/>
    <w:rsid w:val="0084646C"/>
    <w:rsid w:val="00851790"/>
    <w:rsid w:val="00851DE2"/>
    <w:rsid w:val="008521CE"/>
    <w:rsid w:val="00856DF5"/>
    <w:rsid w:val="00861243"/>
    <w:rsid w:val="00861FF2"/>
    <w:rsid w:val="0086458C"/>
    <w:rsid w:val="00865D05"/>
    <w:rsid w:val="00866739"/>
    <w:rsid w:val="00867163"/>
    <w:rsid w:val="00870FF5"/>
    <w:rsid w:val="0087241B"/>
    <w:rsid w:val="00880C0F"/>
    <w:rsid w:val="008810CC"/>
    <w:rsid w:val="00882457"/>
    <w:rsid w:val="00893500"/>
    <w:rsid w:val="00895517"/>
    <w:rsid w:val="008962EF"/>
    <w:rsid w:val="008A0CC6"/>
    <w:rsid w:val="008A0EE9"/>
    <w:rsid w:val="008B5C55"/>
    <w:rsid w:val="008B618F"/>
    <w:rsid w:val="008C62CD"/>
    <w:rsid w:val="008D44C5"/>
    <w:rsid w:val="008D4DC6"/>
    <w:rsid w:val="008D7BC6"/>
    <w:rsid w:val="008D7E85"/>
    <w:rsid w:val="008E19FF"/>
    <w:rsid w:val="008E4B11"/>
    <w:rsid w:val="008E53FF"/>
    <w:rsid w:val="008E6073"/>
    <w:rsid w:val="008E6AE3"/>
    <w:rsid w:val="008F01D5"/>
    <w:rsid w:val="008F249D"/>
    <w:rsid w:val="008F54D1"/>
    <w:rsid w:val="008F54F8"/>
    <w:rsid w:val="009011AA"/>
    <w:rsid w:val="00901383"/>
    <w:rsid w:val="009015EF"/>
    <w:rsid w:val="009032F3"/>
    <w:rsid w:val="00903AE9"/>
    <w:rsid w:val="009056B9"/>
    <w:rsid w:val="00906CC3"/>
    <w:rsid w:val="009106CE"/>
    <w:rsid w:val="00917421"/>
    <w:rsid w:val="00917D56"/>
    <w:rsid w:val="009202C1"/>
    <w:rsid w:val="00925736"/>
    <w:rsid w:val="00925FAB"/>
    <w:rsid w:val="00926EC4"/>
    <w:rsid w:val="0093039D"/>
    <w:rsid w:val="00930F20"/>
    <w:rsid w:val="00931C9D"/>
    <w:rsid w:val="00933A00"/>
    <w:rsid w:val="00933BFD"/>
    <w:rsid w:val="00941691"/>
    <w:rsid w:val="00942AED"/>
    <w:rsid w:val="00942DD4"/>
    <w:rsid w:val="009442D5"/>
    <w:rsid w:val="00944407"/>
    <w:rsid w:val="00944CB9"/>
    <w:rsid w:val="00944E25"/>
    <w:rsid w:val="00947988"/>
    <w:rsid w:val="00950E01"/>
    <w:rsid w:val="00952052"/>
    <w:rsid w:val="00953382"/>
    <w:rsid w:val="00953F15"/>
    <w:rsid w:val="00960EB7"/>
    <w:rsid w:val="009642AB"/>
    <w:rsid w:val="00967EE8"/>
    <w:rsid w:val="00971356"/>
    <w:rsid w:val="00971842"/>
    <w:rsid w:val="00975C34"/>
    <w:rsid w:val="00976A7F"/>
    <w:rsid w:val="00977FC0"/>
    <w:rsid w:val="00982BCB"/>
    <w:rsid w:val="00984B60"/>
    <w:rsid w:val="00987F94"/>
    <w:rsid w:val="00993F03"/>
    <w:rsid w:val="0099435F"/>
    <w:rsid w:val="009957C5"/>
    <w:rsid w:val="00996BC5"/>
    <w:rsid w:val="00997F28"/>
    <w:rsid w:val="009A6D34"/>
    <w:rsid w:val="009B03AF"/>
    <w:rsid w:val="009B31CB"/>
    <w:rsid w:val="009B363E"/>
    <w:rsid w:val="009B4816"/>
    <w:rsid w:val="009B5F77"/>
    <w:rsid w:val="009B6829"/>
    <w:rsid w:val="009B7F31"/>
    <w:rsid w:val="009C1BA8"/>
    <w:rsid w:val="009C2D0D"/>
    <w:rsid w:val="009C3492"/>
    <w:rsid w:val="009C49C6"/>
    <w:rsid w:val="009C4BD1"/>
    <w:rsid w:val="009C4D54"/>
    <w:rsid w:val="009C5AA4"/>
    <w:rsid w:val="009D02D4"/>
    <w:rsid w:val="009D16CA"/>
    <w:rsid w:val="009D1D09"/>
    <w:rsid w:val="009D60E3"/>
    <w:rsid w:val="009D6BE8"/>
    <w:rsid w:val="009E0AD0"/>
    <w:rsid w:val="009E0D67"/>
    <w:rsid w:val="009E4985"/>
    <w:rsid w:val="009E787A"/>
    <w:rsid w:val="009F16C5"/>
    <w:rsid w:val="009F2FF7"/>
    <w:rsid w:val="009F3E11"/>
    <w:rsid w:val="009F3F6A"/>
    <w:rsid w:val="009F456B"/>
    <w:rsid w:val="009F6AF8"/>
    <w:rsid w:val="009F6E78"/>
    <w:rsid w:val="009F772D"/>
    <w:rsid w:val="009F7A4B"/>
    <w:rsid w:val="009F7C7E"/>
    <w:rsid w:val="00A01148"/>
    <w:rsid w:val="00A12324"/>
    <w:rsid w:val="00A12CE5"/>
    <w:rsid w:val="00A2104B"/>
    <w:rsid w:val="00A31DC5"/>
    <w:rsid w:val="00A329A3"/>
    <w:rsid w:val="00A33CA6"/>
    <w:rsid w:val="00A40AA7"/>
    <w:rsid w:val="00A40C81"/>
    <w:rsid w:val="00A43134"/>
    <w:rsid w:val="00A436CD"/>
    <w:rsid w:val="00A5180B"/>
    <w:rsid w:val="00A5403B"/>
    <w:rsid w:val="00A55E36"/>
    <w:rsid w:val="00A6457C"/>
    <w:rsid w:val="00A70B10"/>
    <w:rsid w:val="00A71A6D"/>
    <w:rsid w:val="00A73CC4"/>
    <w:rsid w:val="00A7530A"/>
    <w:rsid w:val="00A805AC"/>
    <w:rsid w:val="00A80F08"/>
    <w:rsid w:val="00A8223C"/>
    <w:rsid w:val="00A82522"/>
    <w:rsid w:val="00A82AA6"/>
    <w:rsid w:val="00A8448F"/>
    <w:rsid w:val="00A856F4"/>
    <w:rsid w:val="00A8757B"/>
    <w:rsid w:val="00A92044"/>
    <w:rsid w:val="00A92BAE"/>
    <w:rsid w:val="00A93D2B"/>
    <w:rsid w:val="00A94E27"/>
    <w:rsid w:val="00A9719F"/>
    <w:rsid w:val="00A9727D"/>
    <w:rsid w:val="00AA0CD0"/>
    <w:rsid w:val="00AA16B9"/>
    <w:rsid w:val="00AA3A35"/>
    <w:rsid w:val="00AA47DC"/>
    <w:rsid w:val="00AA6877"/>
    <w:rsid w:val="00AA6B2D"/>
    <w:rsid w:val="00AA7592"/>
    <w:rsid w:val="00AB624E"/>
    <w:rsid w:val="00AB6927"/>
    <w:rsid w:val="00AB7B75"/>
    <w:rsid w:val="00AC15E1"/>
    <w:rsid w:val="00AC2C09"/>
    <w:rsid w:val="00AC52F9"/>
    <w:rsid w:val="00AC5F3E"/>
    <w:rsid w:val="00AC6B6F"/>
    <w:rsid w:val="00AD04CD"/>
    <w:rsid w:val="00AD33E2"/>
    <w:rsid w:val="00AD4293"/>
    <w:rsid w:val="00AE11FC"/>
    <w:rsid w:val="00AE1DB8"/>
    <w:rsid w:val="00AE6354"/>
    <w:rsid w:val="00AF0812"/>
    <w:rsid w:val="00AF15AF"/>
    <w:rsid w:val="00AF2737"/>
    <w:rsid w:val="00AF4359"/>
    <w:rsid w:val="00AF482B"/>
    <w:rsid w:val="00AF57DE"/>
    <w:rsid w:val="00AF6EB4"/>
    <w:rsid w:val="00B01141"/>
    <w:rsid w:val="00B02E33"/>
    <w:rsid w:val="00B04CF2"/>
    <w:rsid w:val="00B07822"/>
    <w:rsid w:val="00B10574"/>
    <w:rsid w:val="00B158B4"/>
    <w:rsid w:val="00B16A9C"/>
    <w:rsid w:val="00B214A1"/>
    <w:rsid w:val="00B22D5C"/>
    <w:rsid w:val="00B23C26"/>
    <w:rsid w:val="00B23F20"/>
    <w:rsid w:val="00B263F0"/>
    <w:rsid w:val="00B2716E"/>
    <w:rsid w:val="00B312BD"/>
    <w:rsid w:val="00B31650"/>
    <w:rsid w:val="00B31661"/>
    <w:rsid w:val="00B32703"/>
    <w:rsid w:val="00B33EB6"/>
    <w:rsid w:val="00B35368"/>
    <w:rsid w:val="00B3695A"/>
    <w:rsid w:val="00B36E19"/>
    <w:rsid w:val="00B47522"/>
    <w:rsid w:val="00B5097B"/>
    <w:rsid w:val="00B53B9D"/>
    <w:rsid w:val="00B54313"/>
    <w:rsid w:val="00B601D0"/>
    <w:rsid w:val="00B60801"/>
    <w:rsid w:val="00B60B5F"/>
    <w:rsid w:val="00B6496F"/>
    <w:rsid w:val="00B8064D"/>
    <w:rsid w:val="00B80E43"/>
    <w:rsid w:val="00B80F06"/>
    <w:rsid w:val="00B827C6"/>
    <w:rsid w:val="00B84CEB"/>
    <w:rsid w:val="00B85FAD"/>
    <w:rsid w:val="00B86327"/>
    <w:rsid w:val="00B91AF9"/>
    <w:rsid w:val="00B93F09"/>
    <w:rsid w:val="00B943C7"/>
    <w:rsid w:val="00B95C26"/>
    <w:rsid w:val="00B96ADC"/>
    <w:rsid w:val="00B97E22"/>
    <w:rsid w:val="00BA1BBB"/>
    <w:rsid w:val="00BA23FC"/>
    <w:rsid w:val="00BA3E1E"/>
    <w:rsid w:val="00BA6C27"/>
    <w:rsid w:val="00BB1390"/>
    <w:rsid w:val="00BC052F"/>
    <w:rsid w:val="00BC4D2C"/>
    <w:rsid w:val="00BC738E"/>
    <w:rsid w:val="00BD0576"/>
    <w:rsid w:val="00BE40E3"/>
    <w:rsid w:val="00BE50D0"/>
    <w:rsid w:val="00BE5BB1"/>
    <w:rsid w:val="00BE7F93"/>
    <w:rsid w:val="00BF0240"/>
    <w:rsid w:val="00BF0350"/>
    <w:rsid w:val="00BF16FE"/>
    <w:rsid w:val="00BF1834"/>
    <w:rsid w:val="00BF1D3E"/>
    <w:rsid w:val="00BF371C"/>
    <w:rsid w:val="00BF4500"/>
    <w:rsid w:val="00C012F5"/>
    <w:rsid w:val="00C025ED"/>
    <w:rsid w:val="00C068BC"/>
    <w:rsid w:val="00C07263"/>
    <w:rsid w:val="00C074B0"/>
    <w:rsid w:val="00C140A0"/>
    <w:rsid w:val="00C17081"/>
    <w:rsid w:val="00C17791"/>
    <w:rsid w:val="00C208B8"/>
    <w:rsid w:val="00C20A85"/>
    <w:rsid w:val="00C2508E"/>
    <w:rsid w:val="00C27198"/>
    <w:rsid w:val="00C27FD4"/>
    <w:rsid w:val="00C318A7"/>
    <w:rsid w:val="00C31DD8"/>
    <w:rsid w:val="00C32934"/>
    <w:rsid w:val="00C32CD2"/>
    <w:rsid w:val="00C33E93"/>
    <w:rsid w:val="00C34F14"/>
    <w:rsid w:val="00C365E2"/>
    <w:rsid w:val="00C406F0"/>
    <w:rsid w:val="00C43AFE"/>
    <w:rsid w:val="00C44EFB"/>
    <w:rsid w:val="00C45C2B"/>
    <w:rsid w:val="00C55264"/>
    <w:rsid w:val="00C557BF"/>
    <w:rsid w:val="00C6695C"/>
    <w:rsid w:val="00C66F58"/>
    <w:rsid w:val="00C72E37"/>
    <w:rsid w:val="00C752D1"/>
    <w:rsid w:val="00C82141"/>
    <w:rsid w:val="00C82A63"/>
    <w:rsid w:val="00C92054"/>
    <w:rsid w:val="00C92130"/>
    <w:rsid w:val="00C9604F"/>
    <w:rsid w:val="00C97946"/>
    <w:rsid w:val="00C97DF9"/>
    <w:rsid w:val="00CA2FBA"/>
    <w:rsid w:val="00CA4F91"/>
    <w:rsid w:val="00CA6018"/>
    <w:rsid w:val="00CA7ABB"/>
    <w:rsid w:val="00CB0091"/>
    <w:rsid w:val="00CB1888"/>
    <w:rsid w:val="00CB57E5"/>
    <w:rsid w:val="00CB7EE8"/>
    <w:rsid w:val="00CC0BDA"/>
    <w:rsid w:val="00CC3706"/>
    <w:rsid w:val="00CC3B0C"/>
    <w:rsid w:val="00CC69DA"/>
    <w:rsid w:val="00CD00D3"/>
    <w:rsid w:val="00CD1E91"/>
    <w:rsid w:val="00CD45CF"/>
    <w:rsid w:val="00CD4EFC"/>
    <w:rsid w:val="00CD7F51"/>
    <w:rsid w:val="00CE2698"/>
    <w:rsid w:val="00CE432C"/>
    <w:rsid w:val="00CE6DBB"/>
    <w:rsid w:val="00CF1C16"/>
    <w:rsid w:val="00D0171C"/>
    <w:rsid w:val="00D02081"/>
    <w:rsid w:val="00D02A19"/>
    <w:rsid w:val="00D0520C"/>
    <w:rsid w:val="00D06024"/>
    <w:rsid w:val="00D06139"/>
    <w:rsid w:val="00D14555"/>
    <w:rsid w:val="00D1563D"/>
    <w:rsid w:val="00D17DCC"/>
    <w:rsid w:val="00D17EC0"/>
    <w:rsid w:val="00D22352"/>
    <w:rsid w:val="00D22810"/>
    <w:rsid w:val="00D24B88"/>
    <w:rsid w:val="00D277D6"/>
    <w:rsid w:val="00D31359"/>
    <w:rsid w:val="00D32EF0"/>
    <w:rsid w:val="00D33193"/>
    <w:rsid w:val="00D34665"/>
    <w:rsid w:val="00D34AD6"/>
    <w:rsid w:val="00D35E52"/>
    <w:rsid w:val="00D36FA6"/>
    <w:rsid w:val="00D4125B"/>
    <w:rsid w:val="00D41E9A"/>
    <w:rsid w:val="00D466E5"/>
    <w:rsid w:val="00D468EE"/>
    <w:rsid w:val="00D52111"/>
    <w:rsid w:val="00D52960"/>
    <w:rsid w:val="00D53F31"/>
    <w:rsid w:val="00D5584D"/>
    <w:rsid w:val="00D61F17"/>
    <w:rsid w:val="00D62269"/>
    <w:rsid w:val="00D6297F"/>
    <w:rsid w:val="00D62EDC"/>
    <w:rsid w:val="00D63801"/>
    <w:rsid w:val="00D63D44"/>
    <w:rsid w:val="00D728FE"/>
    <w:rsid w:val="00D72B62"/>
    <w:rsid w:val="00D72DB5"/>
    <w:rsid w:val="00D76828"/>
    <w:rsid w:val="00D856B5"/>
    <w:rsid w:val="00D90226"/>
    <w:rsid w:val="00D976DC"/>
    <w:rsid w:val="00D97FA1"/>
    <w:rsid w:val="00DA1678"/>
    <w:rsid w:val="00DA244B"/>
    <w:rsid w:val="00DA431D"/>
    <w:rsid w:val="00DA5881"/>
    <w:rsid w:val="00DA7F88"/>
    <w:rsid w:val="00DB52E7"/>
    <w:rsid w:val="00DB56E4"/>
    <w:rsid w:val="00DB65E3"/>
    <w:rsid w:val="00DC0318"/>
    <w:rsid w:val="00DC3BFD"/>
    <w:rsid w:val="00DC5B1E"/>
    <w:rsid w:val="00DC77D2"/>
    <w:rsid w:val="00DD1D5F"/>
    <w:rsid w:val="00DD2D87"/>
    <w:rsid w:val="00DD45F6"/>
    <w:rsid w:val="00DD6ECC"/>
    <w:rsid w:val="00DE0269"/>
    <w:rsid w:val="00E012C5"/>
    <w:rsid w:val="00E023A9"/>
    <w:rsid w:val="00E0336B"/>
    <w:rsid w:val="00E05E0E"/>
    <w:rsid w:val="00E07D1B"/>
    <w:rsid w:val="00E1006D"/>
    <w:rsid w:val="00E10B77"/>
    <w:rsid w:val="00E15D43"/>
    <w:rsid w:val="00E218E2"/>
    <w:rsid w:val="00E23FEE"/>
    <w:rsid w:val="00E352BC"/>
    <w:rsid w:val="00E449B9"/>
    <w:rsid w:val="00E51534"/>
    <w:rsid w:val="00E53327"/>
    <w:rsid w:val="00E53F82"/>
    <w:rsid w:val="00E548A7"/>
    <w:rsid w:val="00E554C8"/>
    <w:rsid w:val="00E57E49"/>
    <w:rsid w:val="00E60E5D"/>
    <w:rsid w:val="00E618FC"/>
    <w:rsid w:val="00E61C50"/>
    <w:rsid w:val="00E6292F"/>
    <w:rsid w:val="00E6462D"/>
    <w:rsid w:val="00E65D4A"/>
    <w:rsid w:val="00E676D0"/>
    <w:rsid w:val="00E70174"/>
    <w:rsid w:val="00E715C3"/>
    <w:rsid w:val="00E7237D"/>
    <w:rsid w:val="00E74993"/>
    <w:rsid w:val="00E75F6E"/>
    <w:rsid w:val="00E82906"/>
    <w:rsid w:val="00E84D75"/>
    <w:rsid w:val="00E8514E"/>
    <w:rsid w:val="00E85A9E"/>
    <w:rsid w:val="00E85E7C"/>
    <w:rsid w:val="00E86A0D"/>
    <w:rsid w:val="00E86B7B"/>
    <w:rsid w:val="00E9249A"/>
    <w:rsid w:val="00E94E6D"/>
    <w:rsid w:val="00EA0D75"/>
    <w:rsid w:val="00EA34C6"/>
    <w:rsid w:val="00EA50D7"/>
    <w:rsid w:val="00EA56BF"/>
    <w:rsid w:val="00EB20E7"/>
    <w:rsid w:val="00EB79AB"/>
    <w:rsid w:val="00EC0E20"/>
    <w:rsid w:val="00EC2386"/>
    <w:rsid w:val="00EC2BD1"/>
    <w:rsid w:val="00EC2DCE"/>
    <w:rsid w:val="00EC3533"/>
    <w:rsid w:val="00EC5F5A"/>
    <w:rsid w:val="00EC6A88"/>
    <w:rsid w:val="00ED2152"/>
    <w:rsid w:val="00ED69C3"/>
    <w:rsid w:val="00ED7123"/>
    <w:rsid w:val="00EE40FA"/>
    <w:rsid w:val="00EE6469"/>
    <w:rsid w:val="00EE6FD0"/>
    <w:rsid w:val="00EE7E2A"/>
    <w:rsid w:val="00EF2F33"/>
    <w:rsid w:val="00EF596C"/>
    <w:rsid w:val="00EF7920"/>
    <w:rsid w:val="00F0298C"/>
    <w:rsid w:val="00F0301A"/>
    <w:rsid w:val="00F0770B"/>
    <w:rsid w:val="00F07750"/>
    <w:rsid w:val="00F10047"/>
    <w:rsid w:val="00F1363B"/>
    <w:rsid w:val="00F16099"/>
    <w:rsid w:val="00F24C83"/>
    <w:rsid w:val="00F270DC"/>
    <w:rsid w:val="00F27E26"/>
    <w:rsid w:val="00F30A77"/>
    <w:rsid w:val="00F34D7D"/>
    <w:rsid w:val="00F35F82"/>
    <w:rsid w:val="00F364A4"/>
    <w:rsid w:val="00F410A9"/>
    <w:rsid w:val="00F41760"/>
    <w:rsid w:val="00F4393F"/>
    <w:rsid w:val="00F446F1"/>
    <w:rsid w:val="00F46A3A"/>
    <w:rsid w:val="00F47549"/>
    <w:rsid w:val="00F4794A"/>
    <w:rsid w:val="00F50A05"/>
    <w:rsid w:val="00F5375D"/>
    <w:rsid w:val="00F5454E"/>
    <w:rsid w:val="00F55D4C"/>
    <w:rsid w:val="00F569A4"/>
    <w:rsid w:val="00F605E7"/>
    <w:rsid w:val="00F6527E"/>
    <w:rsid w:val="00F66542"/>
    <w:rsid w:val="00F66F74"/>
    <w:rsid w:val="00F67C2C"/>
    <w:rsid w:val="00F715C3"/>
    <w:rsid w:val="00F718BD"/>
    <w:rsid w:val="00F71E52"/>
    <w:rsid w:val="00F72F9D"/>
    <w:rsid w:val="00F73962"/>
    <w:rsid w:val="00F75AAB"/>
    <w:rsid w:val="00F77F3D"/>
    <w:rsid w:val="00F80507"/>
    <w:rsid w:val="00F83CD3"/>
    <w:rsid w:val="00F85F61"/>
    <w:rsid w:val="00F94917"/>
    <w:rsid w:val="00F95487"/>
    <w:rsid w:val="00F95DEF"/>
    <w:rsid w:val="00F96EDF"/>
    <w:rsid w:val="00FA1553"/>
    <w:rsid w:val="00FA3122"/>
    <w:rsid w:val="00FA4DF8"/>
    <w:rsid w:val="00FA52CC"/>
    <w:rsid w:val="00FA5729"/>
    <w:rsid w:val="00FA6C9F"/>
    <w:rsid w:val="00FB20BC"/>
    <w:rsid w:val="00FB39B5"/>
    <w:rsid w:val="00FB45FB"/>
    <w:rsid w:val="00FB467A"/>
    <w:rsid w:val="00FB5A62"/>
    <w:rsid w:val="00FC01C5"/>
    <w:rsid w:val="00FC09A1"/>
    <w:rsid w:val="00FC0ED8"/>
    <w:rsid w:val="00FC1374"/>
    <w:rsid w:val="00FC1781"/>
    <w:rsid w:val="00FC2095"/>
    <w:rsid w:val="00FC244F"/>
    <w:rsid w:val="00FD0E9C"/>
    <w:rsid w:val="00FD13BA"/>
    <w:rsid w:val="00FD79DA"/>
    <w:rsid w:val="00FE17AC"/>
    <w:rsid w:val="00FE2A1A"/>
    <w:rsid w:val="00FE2ADC"/>
    <w:rsid w:val="00FE4DFE"/>
    <w:rsid w:val="00FE5997"/>
    <w:rsid w:val="00FE77D4"/>
    <w:rsid w:val="00FF0950"/>
    <w:rsid w:val="00FF116C"/>
    <w:rsid w:val="00FF4201"/>
    <w:rsid w:val="00FF5484"/>
    <w:rsid w:val="00FF6BDD"/>
    <w:rsid w:val="01A975FD"/>
    <w:rsid w:val="03B23416"/>
    <w:rsid w:val="04F660D3"/>
    <w:rsid w:val="057EB8F1"/>
    <w:rsid w:val="078C3DF8"/>
    <w:rsid w:val="08DC14BC"/>
    <w:rsid w:val="08F7C299"/>
    <w:rsid w:val="0A2546B6"/>
    <w:rsid w:val="0A73B491"/>
    <w:rsid w:val="0AC00441"/>
    <w:rsid w:val="0C79E7B2"/>
    <w:rsid w:val="0CC12BC7"/>
    <w:rsid w:val="0CDB6326"/>
    <w:rsid w:val="0E67CA9B"/>
    <w:rsid w:val="0F7C0CA4"/>
    <w:rsid w:val="117FB13F"/>
    <w:rsid w:val="11C4F1C0"/>
    <w:rsid w:val="12817B27"/>
    <w:rsid w:val="138FE9CB"/>
    <w:rsid w:val="16CAE61D"/>
    <w:rsid w:val="1936901F"/>
    <w:rsid w:val="1A75854F"/>
    <w:rsid w:val="1AFF6E14"/>
    <w:rsid w:val="1C0BBB64"/>
    <w:rsid w:val="1F9D75B7"/>
    <w:rsid w:val="1FE39CDC"/>
    <w:rsid w:val="200BA589"/>
    <w:rsid w:val="2343284A"/>
    <w:rsid w:val="2418BA90"/>
    <w:rsid w:val="24232C16"/>
    <w:rsid w:val="26D69556"/>
    <w:rsid w:val="2775487B"/>
    <w:rsid w:val="29612099"/>
    <w:rsid w:val="2B38A83C"/>
    <w:rsid w:val="2C8553D4"/>
    <w:rsid w:val="2C8A0BF2"/>
    <w:rsid w:val="2E76FB6F"/>
    <w:rsid w:val="2FA004BE"/>
    <w:rsid w:val="304874DE"/>
    <w:rsid w:val="3090CD39"/>
    <w:rsid w:val="31BDAD8F"/>
    <w:rsid w:val="338F7389"/>
    <w:rsid w:val="35EB2455"/>
    <w:rsid w:val="368154F0"/>
    <w:rsid w:val="36A87A37"/>
    <w:rsid w:val="36EB1AC8"/>
    <w:rsid w:val="398AF43D"/>
    <w:rsid w:val="3A65F5A0"/>
    <w:rsid w:val="3A684625"/>
    <w:rsid w:val="3E3592E9"/>
    <w:rsid w:val="3EDC1729"/>
    <w:rsid w:val="3F84349C"/>
    <w:rsid w:val="427A37AF"/>
    <w:rsid w:val="44901E1B"/>
    <w:rsid w:val="473C2A78"/>
    <w:rsid w:val="4A05C859"/>
    <w:rsid w:val="4C598DD9"/>
    <w:rsid w:val="506F9E64"/>
    <w:rsid w:val="5300DC37"/>
    <w:rsid w:val="54374DE6"/>
    <w:rsid w:val="553B365C"/>
    <w:rsid w:val="5586A802"/>
    <w:rsid w:val="56E547A3"/>
    <w:rsid w:val="572CDC2E"/>
    <w:rsid w:val="5913525E"/>
    <w:rsid w:val="5C1D80EC"/>
    <w:rsid w:val="5C4B2042"/>
    <w:rsid w:val="5E68E930"/>
    <w:rsid w:val="5FD602DE"/>
    <w:rsid w:val="5FFB3EAD"/>
    <w:rsid w:val="648C2E64"/>
    <w:rsid w:val="669BD92E"/>
    <w:rsid w:val="6E194964"/>
    <w:rsid w:val="6F04EBB6"/>
    <w:rsid w:val="6FD7A4C0"/>
    <w:rsid w:val="711C129E"/>
    <w:rsid w:val="738B40F8"/>
    <w:rsid w:val="766BA136"/>
    <w:rsid w:val="787A727C"/>
    <w:rsid w:val="7B37D866"/>
    <w:rsid w:val="7D522D5D"/>
    <w:rsid w:val="7E839119"/>
    <w:rsid w:val="7E992121"/>
    <w:rsid w:val="7FE42987"/>
    <w:rsid w:val="7FF226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01C5"/>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paragraph" w:styleId="ListParagraph">
    <w:name w:val="List Paragraph"/>
    <w:basedOn w:val="Normal"/>
    <w:uiPriority w:val="34"/>
    <w:rsid w:val="00AA0CD0"/>
    <w:pPr>
      <w:ind w:left="720"/>
      <w:contextualSpacing/>
    </w:pPr>
  </w:style>
  <w:style w:type="paragraph" w:customStyle="1" w:styleId="EuroSunText">
    <w:name w:val="EuroSun_Text"/>
    <w:qFormat/>
    <w:rsid w:val="00041AD7"/>
    <w:pPr>
      <w:widowControl w:val="0"/>
      <w:spacing w:after="120" w:line="276" w:lineRule="auto"/>
      <w:jc w:val="both"/>
    </w:pPr>
    <w:rPr>
      <w:color w:val="000000"/>
      <w:szCs w:val="22"/>
      <w:lang w:val="en-US" w:eastAsia="de-DE"/>
    </w:rPr>
  </w:style>
  <w:style w:type="paragraph" w:styleId="NormalWeb">
    <w:name w:val="Normal (Web)"/>
    <w:basedOn w:val="Normal"/>
    <w:uiPriority w:val="99"/>
    <w:unhideWhenUsed/>
    <w:rsid w:val="004F4FBC"/>
    <w:pPr>
      <w:spacing w:before="100" w:beforeAutospacing="1" w:after="100" w:afterAutospacing="1"/>
    </w:pPr>
    <w:rPr>
      <w:lang w:val="en-US" w:eastAsia="en-US"/>
    </w:rPr>
  </w:style>
  <w:style w:type="character" w:styleId="UnresolvedMention">
    <w:name w:val="Unresolved Mention"/>
    <w:basedOn w:val="DefaultParagraphFont"/>
    <w:uiPriority w:val="99"/>
    <w:semiHidden/>
    <w:unhideWhenUsed/>
    <w:rsid w:val="004A5668"/>
    <w:rPr>
      <w:color w:val="605E5C"/>
      <w:shd w:val="clear" w:color="auto" w:fill="E1DFDD"/>
    </w:rPr>
  </w:style>
  <w:style w:type="character" w:styleId="FollowedHyperlink">
    <w:name w:val="FollowedHyperlink"/>
    <w:basedOn w:val="DefaultParagraphFont"/>
    <w:uiPriority w:val="99"/>
    <w:semiHidden/>
    <w:unhideWhenUsed/>
    <w:rsid w:val="009174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d@dtu.dk" TargetMode="External"/><Relationship Id="rId13" Type="http://schemas.openxmlformats.org/officeDocument/2006/relationships/image" Target="media/image3.jpeg"/><Relationship Id="rId18" Type="http://schemas.openxmlformats.org/officeDocument/2006/relationships/hyperlink" Target="https://doi.org/10.1016/j.seja.2026.10013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oi.org/10.1016/j.applthermaleng.2024.1250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sifu@dtu.dk" TargetMode="External"/><Relationship Id="rId19" Type="http://schemas.openxmlformats.org/officeDocument/2006/relationships/hyperlink" Target="https://doi.org/10.1016/j.applthermaleng.2024.123175" TargetMode="External"/><Relationship Id="rId4" Type="http://schemas.openxmlformats.org/officeDocument/2006/relationships/settings" Target="settings.xml"/><Relationship Id="rId9" Type="http://schemas.openxmlformats.org/officeDocument/2006/relationships/hyperlink" Target="mailto:elsa@dtu.dk"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4375</Words>
  <Characters>26693</Characters>
  <Application>Microsoft Office Word</Application>
  <DocSecurity>4</DocSecurity>
  <Lines>222</Lines>
  <Paragraphs>62</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Elsabet Nomonde Noma Nielsen</cp:lastModifiedBy>
  <cp:revision>2</cp:revision>
  <cp:lastPrinted>2023-02-22T18:40:00Z</cp:lastPrinted>
  <dcterms:created xsi:type="dcterms:W3CDTF">2026-09-14T17:42:00Z</dcterms:created>
  <dcterms:modified xsi:type="dcterms:W3CDTF">2026-09-14T17:42:00Z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