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8BFC6" w14:textId="77777777" w:rsidR="00297BA0" w:rsidRDefault="00297BA0" w:rsidP="00297BA0">
      <w:pPr>
        <w:pStyle w:val="SWCTitle"/>
        <w:rPr>
          <w:sz w:val="28"/>
          <w:szCs w:val="28"/>
        </w:rPr>
      </w:pPr>
      <w:r w:rsidRPr="0C79E7B2">
        <w:rPr>
          <w:sz w:val="28"/>
          <w:szCs w:val="28"/>
        </w:rPr>
        <w:t>EuroSun2026</w:t>
      </w:r>
    </w:p>
    <w:p w14:paraId="0DD1DFB5" w14:textId="0D081EE7" w:rsidR="00297BA0" w:rsidRPr="0044310A" w:rsidRDefault="00297BA0" w:rsidP="00297BA0">
      <w:pPr>
        <w:pStyle w:val="SWCTitle"/>
        <w:rPr>
          <w:rFonts w:ascii="Times New Roman" w:hAnsi="Times New Roman"/>
          <w:b w:val="0"/>
          <w:sz w:val="20"/>
          <w:szCs w:val="20"/>
        </w:rPr>
      </w:pPr>
      <w:r w:rsidRPr="0044310A">
        <w:rPr>
          <w:sz w:val="28"/>
          <w:szCs w:val="28"/>
        </w:rPr>
        <w:t xml:space="preserve">Thermodynamic and </w:t>
      </w:r>
      <w:r w:rsidR="006023B3">
        <w:rPr>
          <w:sz w:val="28"/>
          <w:szCs w:val="28"/>
        </w:rPr>
        <w:t>M</w:t>
      </w:r>
      <w:r w:rsidRPr="0044310A">
        <w:rPr>
          <w:sz w:val="28"/>
          <w:szCs w:val="28"/>
        </w:rPr>
        <w:t>arket-</w:t>
      </w:r>
      <w:r w:rsidR="006023B3">
        <w:rPr>
          <w:sz w:val="28"/>
          <w:szCs w:val="28"/>
        </w:rPr>
        <w:t>O</w:t>
      </w:r>
      <w:r w:rsidRPr="0044310A">
        <w:rPr>
          <w:sz w:val="28"/>
          <w:szCs w:val="28"/>
        </w:rPr>
        <w:t xml:space="preserve">riented </w:t>
      </w:r>
      <w:r w:rsidR="006023B3">
        <w:rPr>
          <w:sz w:val="28"/>
          <w:szCs w:val="28"/>
        </w:rPr>
        <w:t>O</w:t>
      </w:r>
      <w:r w:rsidRPr="0044310A">
        <w:rPr>
          <w:sz w:val="28"/>
          <w:szCs w:val="28"/>
        </w:rPr>
        <w:t xml:space="preserve">ptimization of a </w:t>
      </w:r>
      <w:r w:rsidR="006023B3">
        <w:rPr>
          <w:sz w:val="28"/>
          <w:szCs w:val="28"/>
        </w:rPr>
        <w:t>B</w:t>
      </w:r>
      <w:r w:rsidRPr="0044310A">
        <w:rPr>
          <w:sz w:val="28"/>
          <w:szCs w:val="28"/>
        </w:rPr>
        <w:t xml:space="preserve">idirectional </w:t>
      </w:r>
      <w:r w:rsidR="006023B3">
        <w:rPr>
          <w:sz w:val="28"/>
          <w:szCs w:val="28"/>
        </w:rPr>
        <w:t>S</w:t>
      </w:r>
      <w:r w:rsidRPr="0044310A">
        <w:rPr>
          <w:sz w:val="28"/>
          <w:szCs w:val="28"/>
        </w:rPr>
        <w:t>upercritical CO</w:t>
      </w:r>
      <w:r w:rsidRPr="006023B3">
        <w:rPr>
          <w:sz w:val="28"/>
          <w:szCs w:val="28"/>
          <w:vertAlign w:val="subscript"/>
        </w:rPr>
        <w:t>2</w:t>
      </w:r>
      <w:r w:rsidRPr="0044310A">
        <w:rPr>
          <w:sz w:val="28"/>
          <w:szCs w:val="28"/>
        </w:rPr>
        <w:t xml:space="preserve"> </w:t>
      </w:r>
      <w:r w:rsidR="006023B3">
        <w:rPr>
          <w:sz w:val="28"/>
          <w:szCs w:val="28"/>
        </w:rPr>
        <w:t>B</w:t>
      </w:r>
      <w:r w:rsidRPr="0044310A">
        <w:rPr>
          <w:sz w:val="28"/>
          <w:szCs w:val="28"/>
        </w:rPr>
        <w:t xml:space="preserve">rayton </w:t>
      </w:r>
      <w:r w:rsidR="006023B3">
        <w:rPr>
          <w:sz w:val="28"/>
          <w:szCs w:val="28"/>
        </w:rPr>
        <w:t>C</w:t>
      </w:r>
      <w:r w:rsidRPr="0044310A">
        <w:rPr>
          <w:sz w:val="28"/>
          <w:szCs w:val="28"/>
        </w:rPr>
        <w:t xml:space="preserve">ycle for </w:t>
      </w:r>
      <w:r w:rsidR="006023B3">
        <w:rPr>
          <w:sz w:val="28"/>
          <w:szCs w:val="28"/>
        </w:rPr>
        <w:t>W</w:t>
      </w:r>
      <w:r w:rsidRPr="0044310A">
        <w:rPr>
          <w:sz w:val="28"/>
          <w:szCs w:val="28"/>
        </w:rPr>
        <w:t>aste-</w:t>
      </w:r>
      <w:r w:rsidR="006023B3">
        <w:rPr>
          <w:sz w:val="28"/>
          <w:szCs w:val="28"/>
        </w:rPr>
        <w:t>H</w:t>
      </w:r>
      <w:r w:rsidRPr="0044310A">
        <w:rPr>
          <w:sz w:val="28"/>
          <w:szCs w:val="28"/>
        </w:rPr>
        <w:t>eat-</w:t>
      </w:r>
      <w:r w:rsidR="006023B3">
        <w:rPr>
          <w:sz w:val="28"/>
          <w:szCs w:val="28"/>
        </w:rPr>
        <w:t>A</w:t>
      </w:r>
      <w:r w:rsidRPr="0044310A">
        <w:rPr>
          <w:sz w:val="28"/>
          <w:szCs w:val="28"/>
        </w:rPr>
        <w:t xml:space="preserve">ssisted </w:t>
      </w:r>
      <w:r w:rsidR="006023B3">
        <w:rPr>
          <w:sz w:val="28"/>
          <w:szCs w:val="28"/>
        </w:rPr>
        <w:t>P</w:t>
      </w:r>
      <w:r>
        <w:rPr>
          <w:sz w:val="28"/>
          <w:szCs w:val="28"/>
        </w:rPr>
        <w:t>ower-to-</w:t>
      </w:r>
      <w:r w:rsidR="006023B3">
        <w:rPr>
          <w:sz w:val="28"/>
          <w:szCs w:val="28"/>
        </w:rPr>
        <w:t>H</w:t>
      </w:r>
      <w:r>
        <w:rPr>
          <w:sz w:val="28"/>
          <w:szCs w:val="28"/>
        </w:rPr>
        <w:t>eat-to-</w:t>
      </w:r>
      <w:r w:rsidR="006023B3">
        <w:rPr>
          <w:sz w:val="28"/>
          <w:szCs w:val="28"/>
        </w:rPr>
        <w:t>P</w:t>
      </w:r>
      <w:r>
        <w:rPr>
          <w:sz w:val="28"/>
          <w:szCs w:val="28"/>
        </w:rPr>
        <w:t>ower</w:t>
      </w:r>
    </w:p>
    <w:p w14:paraId="477FCEE3" w14:textId="77777777" w:rsidR="00297BA0" w:rsidRDefault="00297BA0" w:rsidP="00297BA0">
      <w:pPr>
        <w:pStyle w:val="SWCTitle"/>
        <w:spacing w:before="0" w:after="0"/>
        <w:jc w:val="left"/>
        <w:rPr>
          <w:rFonts w:ascii="Times New Roman" w:hAnsi="Times New Roman"/>
          <w:b w:val="0"/>
          <w:sz w:val="20"/>
          <w:szCs w:val="20"/>
          <w:vertAlign w:val="superscript"/>
        </w:rPr>
      </w:pPr>
      <w:r>
        <w:rPr>
          <w:rFonts w:ascii="Times New Roman" w:hAnsi="Times New Roman"/>
          <w:b w:val="0"/>
          <w:sz w:val="20"/>
          <w:szCs w:val="20"/>
        </w:rPr>
        <w:t>Thomas Kraft</w:t>
      </w:r>
      <w:r>
        <w:rPr>
          <w:rFonts w:ascii="Times New Roman" w:hAnsi="Times New Roman"/>
          <w:b w:val="0"/>
          <w:sz w:val="20"/>
          <w:szCs w:val="20"/>
          <w:vertAlign w:val="superscript"/>
        </w:rPr>
        <w:t>1,a)</w:t>
      </w:r>
      <w:r>
        <w:rPr>
          <w:rFonts w:ascii="Times New Roman" w:hAnsi="Times New Roman"/>
          <w:b w:val="0"/>
          <w:sz w:val="20"/>
          <w:szCs w:val="20"/>
        </w:rPr>
        <w:t>, Shahab Rohani</w:t>
      </w:r>
      <w:r>
        <w:rPr>
          <w:rFonts w:ascii="Times New Roman" w:hAnsi="Times New Roman"/>
          <w:b w:val="0"/>
          <w:sz w:val="20"/>
          <w:szCs w:val="20"/>
          <w:vertAlign w:val="superscript"/>
        </w:rPr>
        <w:t>1</w:t>
      </w:r>
      <w:r>
        <w:rPr>
          <w:rFonts w:ascii="Times New Roman" w:hAnsi="Times New Roman"/>
          <w:b w:val="0"/>
          <w:sz w:val="20"/>
          <w:szCs w:val="20"/>
        </w:rPr>
        <w:t>, Farquleet Ahmad Khan</w:t>
      </w:r>
      <w:r>
        <w:rPr>
          <w:rFonts w:ascii="Times New Roman" w:hAnsi="Times New Roman"/>
          <w:b w:val="0"/>
          <w:sz w:val="20"/>
          <w:szCs w:val="20"/>
          <w:vertAlign w:val="superscript"/>
        </w:rPr>
        <w:t>1</w:t>
      </w:r>
      <w:r>
        <w:rPr>
          <w:rFonts w:ascii="Times New Roman" w:hAnsi="Times New Roman"/>
          <w:b w:val="0"/>
          <w:sz w:val="20"/>
          <w:szCs w:val="20"/>
        </w:rPr>
        <w:t>, Nicholas Chandler</w:t>
      </w:r>
      <w:r>
        <w:rPr>
          <w:rFonts w:ascii="Times New Roman" w:hAnsi="Times New Roman"/>
          <w:b w:val="0"/>
          <w:sz w:val="20"/>
          <w:szCs w:val="20"/>
          <w:vertAlign w:val="superscript"/>
        </w:rPr>
        <w:t>1</w:t>
      </w:r>
      <w:r>
        <w:rPr>
          <w:rFonts w:ascii="Times New Roman" w:hAnsi="Times New Roman"/>
          <w:b w:val="0"/>
          <w:sz w:val="20"/>
          <w:szCs w:val="20"/>
        </w:rPr>
        <w:t>, Peter Schöttl</w:t>
      </w:r>
      <w:r>
        <w:rPr>
          <w:rFonts w:ascii="Times New Roman" w:hAnsi="Times New Roman"/>
          <w:b w:val="0"/>
          <w:sz w:val="20"/>
          <w:szCs w:val="20"/>
          <w:vertAlign w:val="superscript"/>
        </w:rPr>
        <w:t>1</w:t>
      </w:r>
      <w:r>
        <w:rPr>
          <w:rFonts w:ascii="Times New Roman" w:hAnsi="Times New Roman"/>
          <w:b w:val="0"/>
          <w:sz w:val="20"/>
          <w:szCs w:val="20"/>
        </w:rPr>
        <w:t>, Fadil Ayad</w:t>
      </w:r>
      <w:r>
        <w:rPr>
          <w:rFonts w:ascii="Times New Roman" w:hAnsi="Times New Roman"/>
          <w:b w:val="0"/>
          <w:sz w:val="20"/>
          <w:szCs w:val="20"/>
          <w:vertAlign w:val="superscript"/>
        </w:rPr>
        <w:t>2</w:t>
      </w:r>
      <w:r>
        <w:rPr>
          <w:rFonts w:ascii="Times New Roman" w:hAnsi="Times New Roman"/>
          <w:b w:val="0"/>
          <w:sz w:val="20"/>
          <w:szCs w:val="20"/>
        </w:rPr>
        <w:t>, Gregor Bern</w:t>
      </w:r>
      <w:r>
        <w:rPr>
          <w:rFonts w:ascii="Times New Roman" w:hAnsi="Times New Roman"/>
          <w:b w:val="0"/>
          <w:sz w:val="20"/>
          <w:szCs w:val="20"/>
          <w:vertAlign w:val="superscript"/>
        </w:rPr>
        <w:t>1</w:t>
      </w:r>
    </w:p>
    <w:p w14:paraId="0D30B3C8" w14:textId="77777777" w:rsidR="00297BA0" w:rsidRPr="006B3D49" w:rsidRDefault="00297BA0" w:rsidP="00297BA0">
      <w:pPr>
        <w:pStyle w:val="SWCTitle"/>
        <w:spacing w:before="0" w:after="0"/>
        <w:jc w:val="left"/>
        <w:rPr>
          <w:rFonts w:ascii="Times New Roman" w:hAnsi="Times New Roman"/>
          <w:b w:val="0"/>
          <w:sz w:val="20"/>
          <w:szCs w:val="20"/>
        </w:rPr>
      </w:pPr>
    </w:p>
    <w:p w14:paraId="206DC6EA" w14:textId="77777777" w:rsidR="00297BA0" w:rsidRDefault="00297BA0" w:rsidP="00297BA0">
      <w:pPr>
        <w:pStyle w:val="SWCTitle"/>
        <w:spacing w:before="0" w:after="0"/>
        <w:jc w:val="left"/>
        <w:rPr>
          <w:rFonts w:ascii="Times New Roman" w:hAnsi="Times New Roman"/>
          <w:b w:val="0"/>
          <w:sz w:val="20"/>
          <w:szCs w:val="22"/>
          <w:lang w:val="de-DE"/>
        </w:rPr>
      </w:pPr>
      <w:r w:rsidRPr="00297BA0">
        <w:rPr>
          <w:rFonts w:ascii="Times New Roman" w:hAnsi="Times New Roman"/>
          <w:b w:val="0"/>
          <w:sz w:val="20"/>
          <w:szCs w:val="20"/>
          <w:vertAlign w:val="superscript"/>
        </w:rPr>
        <w:t>1</w:t>
      </w:r>
      <w:r w:rsidRPr="00297BA0">
        <w:rPr>
          <w:rFonts w:ascii="Times New Roman" w:hAnsi="Times New Roman"/>
          <w:b w:val="0"/>
          <w:sz w:val="20"/>
          <w:szCs w:val="22"/>
        </w:rPr>
        <w:t xml:space="preserve"> Fraunhofer Institute for Solar Energy Systems ISE. </w:t>
      </w:r>
      <w:r w:rsidRPr="0044310A">
        <w:rPr>
          <w:rFonts w:ascii="Times New Roman" w:hAnsi="Times New Roman"/>
          <w:b w:val="0"/>
          <w:sz w:val="20"/>
          <w:szCs w:val="22"/>
          <w:lang w:val="de-DE"/>
        </w:rPr>
        <w:t>Heidenhofstr. 2, 79110 Freiburg, Germany</w:t>
      </w:r>
    </w:p>
    <w:p w14:paraId="2E74CEE2" w14:textId="77777777" w:rsidR="00297BA0" w:rsidRPr="00297BA0" w:rsidRDefault="00297BA0" w:rsidP="00297BA0">
      <w:pPr>
        <w:pStyle w:val="SWCTitle"/>
        <w:spacing w:before="0" w:after="0"/>
        <w:jc w:val="left"/>
        <w:rPr>
          <w:rFonts w:ascii="Times New Roman" w:hAnsi="Times New Roman"/>
          <w:b w:val="0"/>
          <w:sz w:val="20"/>
          <w:szCs w:val="22"/>
          <w:lang w:val="de-DE"/>
        </w:rPr>
      </w:pPr>
      <w:r w:rsidRPr="00297BA0">
        <w:rPr>
          <w:rFonts w:ascii="Times New Roman" w:hAnsi="Times New Roman"/>
          <w:b w:val="0"/>
          <w:sz w:val="20"/>
          <w:szCs w:val="20"/>
          <w:vertAlign w:val="superscript"/>
          <w:lang w:val="de-DE"/>
        </w:rPr>
        <w:t>2</w:t>
      </w:r>
      <w:r w:rsidRPr="00297BA0">
        <w:rPr>
          <w:rFonts w:ascii="Times New Roman" w:hAnsi="Times New Roman"/>
          <w:b w:val="0"/>
          <w:sz w:val="20"/>
          <w:szCs w:val="22"/>
          <w:lang w:val="de-DE"/>
        </w:rPr>
        <w:t xml:space="preserve"> Thermal Design Solutions, 13 rue du Canal. 4050 Esch-sur-Alzette, Luxembourg</w:t>
      </w:r>
    </w:p>
    <w:p w14:paraId="52317FB4" w14:textId="77777777" w:rsidR="00297BA0" w:rsidRDefault="00297BA0" w:rsidP="00297BA0">
      <w:pPr>
        <w:pStyle w:val="SWCTitle"/>
        <w:spacing w:before="0" w:after="0"/>
        <w:jc w:val="left"/>
        <w:rPr>
          <w:rFonts w:ascii="Times New Roman" w:hAnsi="Times New Roman"/>
          <w:b w:val="0"/>
          <w:sz w:val="20"/>
          <w:szCs w:val="22"/>
        </w:rPr>
      </w:pPr>
      <w:r>
        <w:rPr>
          <w:rFonts w:ascii="Times New Roman" w:hAnsi="Times New Roman"/>
          <w:b w:val="0"/>
          <w:sz w:val="20"/>
          <w:szCs w:val="20"/>
          <w:vertAlign w:val="superscript"/>
        </w:rPr>
        <w:t>a)</w:t>
      </w:r>
      <w:r>
        <w:rPr>
          <w:rFonts w:ascii="Times New Roman" w:hAnsi="Times New Roman"/>
          <w:b w:val="0"/>
          <w:sz w:val="20"/>
          <w:szCs w:val="20"/>
        </w:rPr>
        <w:t xml:space="preserve"> </w:t>
      </w:r>
      <w:r w:rsidRPr="0C3545CD">
        <w:rPr>
          <w:rFonts w:ascii="Times New Roman" w:hAnsi="Times New Roman"/>
          <w:b w:val="0"/>
          <w:sz w:val="20"/>
          <w:szCs w:val="20"/>
        </w:rPr>
        <w:t>corresponding author</w:t>
      </w:r>
      <w:r>
        <w:rPr>
          <w:rFonts w:ascii="Times New Roman" w:hAnsi="Times New Roman"/>
          <w:b w:val="0"/>
          <w:sz w:val="20"/>
          <w:szCs w:val="20"/>
        </w:rPr>
        <w:t>, email:</w:t>
      </w:r>
      <w:r w:rsidRPr="006B3D49">
        <w:rPr>
          <w:rFonts w:ascii="Times New Roman" w:hAnsi="Times New Roman"/>
          <w:b w:val="0"/>
          <w:sz w:val="20"/>
          <w:szCs w:val="22"/>
        </w:rPr>
        <w:t xml:space="preserve"> </w:t>
      </w:r>
      <w:r>
        <w:rPr>
          <w:rFonts w:ascii="Times New Roman" w:hAnsi="Times New Roman"/>
          <w:b w:val="0"/>
          <w:sz w:val="20"/>
          <w:szCs w:val="22"/>
        </w:rPr>
        <w:t>thomas.kraft@ise.fraunhofer.de</w:t>
      </w:r>
    </w:p>
    <w:p w14:paraId="4FFD00CB" w14:textId="77777777" w:rsidR="00297BA0" w:rsidRDefault="00297BA0" w:rsidP="00297BA0">
      <w:pPr>
        <w:pStyle w:val="SWCTitle"/>
        <w:spacing w:before="0" w:after="0"/>
        <w:jc w:val="left"/>
        <w:rPr>
          <w:rFonts w:ascii="Times New Roman" w:hAnsi="Times New Roman"/>
          <w:b w:val="0"/>
          <w:sz w:val="20"/>
          <w:szCs w:val="22"/>
        </w:rPr>
      </w:pPr>
    </w:p>
    <w:p w14:paraId="381454DF" w14:textId="77777777" w:rsidR="00297BA0" w:rsidRDefault="00297BA0" w:rsidP="00297BA0">
      <w:pPr>
        <w:pStyle w:val="SWCSummary"/>
        <w:pBdr>
          <w:bottom w:val="single" w:sz="6" w:space="1" w:color="auto"/>
        </w:pBdr>
      </w:pPr>
      <w:r>
        <w:t>Summary</w:t>
      </w:r>
    </w:p>
    <w:p w14:paraId="7F08C2C7" w14:textId="1FE7AD9D" w:rsidR="00297BA0" w:rsidRDefault="00297BA0" w:rsidP="00297BA0">
      <w:pPr>
        <w:pStyle w:val="SWCText"/>
        <w:pBdr>
          <w:bottom w:val="single" w:sz="6" w:space="1" w:color="auto"/>
        </w:pBdr>
      </w:pPr>
      <w:r w:rsidRPr="00C16F1B">
        <w:t xml:space="preserve">This study investigates a bidirectional supercritical CO₂ (sCO₂) Brayton cycle for waste-heat-assisted power-to-heat-to-power (PtHtP) applications. The concept combines a closed Brayton heat pump for charging and a Brayton heat engine for discharging through a thermal energy storage (TES) system. The system is motivated by future AI data center infrastructures utilizing solid oxide fuel cells (SOFCs), where exhaust heat at 300–350 °C is available continuously. A comprehensive thermodynamic screening comprising 511,875 design configurations is combined with dynamic annual simulations and market-based dispatch optimization. </w:t>
      </w:r>
      <w:r w:rsidR="00207AD8" w:rsidRPr="00207AD8">
        <w:t xml:space="preserve">Results reveal that thermodynamically optimal configurations </w:t>
      </w:r>
      <w:r w:rsidR="003D551B" w:rsidRPr="003D551B">
        <w:t>can be economically suboptimal,</w:t>
      </w:r>
      <w:r w:rsidR="00207AD8" w:rsidRPr="00207AD8">
        <w:t xml:space="preserve"> highlighting the importance of market-oriented design methodologies for Brayton-based Carnot batteries.</w:t>
      </w:r>
      <w:r w:rsidR="00207AD8">
        <w:t xml:space="preserve"> </w:t>
      </w:r>
      <w:r w:rsidRPr="00C16F1B">
        <w:t>Configurations with the highest design-point RTE often exhibit only a limited storage temperature lift, reducing the practical value of thermal storage. The analysis further demonstrates that charging and discharging favor different Brayton cycle layouts: a simple Brayton heat pump is optimal for charging, whereas a recuperated Brayton heat engine is preferred during discharge. Annual simulations performed for different electricity market conditions indicate that local electricity price spreads dominate system profitability, while ambient effects are comparatively minor. The results highlight the importance of coupling thermodynamic optimization with market-oriented operation when designing Brayton-based Carnot batteries.</w:t>
      </w:r>
    </w:p>
    <w:p w14:paraId="0E254F59" w14:textId="64C33AAA" w:rsidR="00297BA0" w:rsidRDefault="00297BA0" w:rsidP="00297BA0">
      <w:pPr>
        <w:pStyle w:val="SWCText"/>
        <w:pBdr>
          <w:bottom w:val="single" w:sz="6" w:space="1" w:color="auto"/>
        </w:pBdr>
        <w:rPr>
          <w:i/>
          <w:iCs/>
        </w:rPr>
      </w:pPr>
      <w:r>
        <w:rPr>
          <w:i/>
          <w:iCs/>
        </w:rPr>
        <w:t xml:space="preserve">Data center, </w:t>
      </w:r>
      <w:r w:rsidR="00EA7617">
        <w:rPr>
          <w:i/>
          <w:iCs/>
        </w:rPr>
        <w:t>W</w:t>
      </w:r>
      <w:r>
        <w:rPr>
          <w:i/>
          <w:iCs/>
        </w:rPr>
        <w:t xml:space="preserve">aste heat recovery, </w:t>
      </w:r>
      <w:r w:rsidR="00EA7617">
        <w:rPr>
          <w:i/>
          <w:iCs/>
        </w:rPr>
        <w:t>B</w:t>
      </w:r>
      <w:r>
        <w:rPr>
          <w:i/>
          <w:iCs/>
        </w:rPr>
        <w:t xml:space="preserve">rayton cycle, </w:t>
      </w:r>
      <w:r w:rsidR="00EA7617">
        <w:rPr>
          <w:i/>
          <w:iCs/>
        </w:rPr>
        <w:t>C</w:t>
      </w:r>
      <w:r>
        <w:rPr>
          <w:i/>
          <w:iCs/>
        </w:rPr>
        <w:t xml:space="preserve">arnot battery, </w:t>
      </w:r>
      <w:r w:rsidR="00EA7617">
        <w:rPr>
          <w:i/>
          <w:iCs/>
        </w:rPr>
        <w:t>T</w:t>
      </w:r>
      <w:r>
        <w:rPr>
          <w:i/>
          <w:iCs/>
        </w:rPr>
        <w:t xml:space="preserve">hermal energy storage, </w:t>
      </w:r>
      <w:r w:rsidR="00EA7617">
        <w:rPr>
          <w:i/>
          <w:iCs/>
        </w:rPr>
        <w:t>S</w:t>
      </w:r>
      <w:r>
        <w:rPr>
          <w:i/>
          <w:iCs/>
        </w:rPr>
        <w:t>upercritical CO</w:t>
      </w:r>
      <w:r w:rsidRPr="00EA7617">
        <w:rPr>
          <w:i/>
          <w:iCs/>
          <w:vertAlign w:val="subscript"/>
        </w:rPr>
        <w:t>2</w:t>
      </w:r>
      <w:r>
        <w:rPr>
          <w:i/>
          <w:iCs/>
        </w:rPr>
        <w:t xml:space="preserve">, </w:t>
      </w:r>
      <w:r w:rsidR="00EA7617">
        <w:rPr>
          <w:i/>
          <w:iCs/>
        </w:rPr>
        <w:t>P</w:t>
      </w:r>
      <w:r>
        <w:rPr>
          <w:i/>
          <w:iCs/>
        </w:rPr>
        <w:t>ower-to-heat-to-power (P</w:t>
      </w:r>
      <w:r w:rsidR="00BE751A">
        <w:rPr>
          <w:i/>
          <w:iCs/>
        </w:rPr>
        <w:t>t</w:t>
      </w:r>
      <w:r>
        <w:rPr>
          <w:i/>
          <w:iCs/>
        </w:rPr>
        <w:t>H</w:t>
      </w:r>
      <w:r w:rsidR="00BE751A">
        <w:rPr>
          <w:i/>
          <w:iCs/>
        </w:rPr>
        <w:t>t</w:t>
      </w:r>
      <w:r>
        <w:rPr>
          <w:i/>
          <w:iCs/>
        </w:rPr>
        <w:t>P)</w:t>
      </w:r>
    </w:p>
    <w:p w14:paraId="4861B0F8" w14:textId="77777777" w:rsidR="00297BA0" w:rsidRDefault="00297BA0" w:rsidP="00297BA0">
      <w:pPr>
        <w:pStyle w:val="SWCText"/>
        <w:pBdr>
          <w:bottom w:val="single" w:sz="6" w:space="1" w:color="auto"/>
        </w:pBdr>
        <w:rPr>
          <w:i/>
          <w:iCs/>
        </w:rPr>
      </w:pPr>
      <w:r>
        <w:rPr>
          <w:i/>
          <w:iCs/>
        </w:rPr>
        <w:t>Field of application for the findings: industrial waste heat utilization, thermal energy storage</w:t>
      </w:r>
    </w:p>
    <w:p w14:paraId="66CEF74D" w14:textId="77777777" w:rsidR="00297BA0" w:rsidRDefault="00297BA0" w:rsidP="00297BA0">
      <w:pPr>
        <w:pStyle w:val="SWCText"/>
        <w:pBdr>
          <w:bottom w:val="single" w:sz="6" w:space="1" w:color="auto"/>
        </w:pBdr>
        <w:rPr>
          <w:i/>
          <w:iCs/>
        </w:rPr>
      </w:pPr>
      <w:r>
        <w:rPr>
          <w:i/>
          <w:iCs/>
        </w:rPr>
        <w:t>Addressed audience:</w:t>
      </w:r>
      <w:r w:rsidRPr="00C16F1B">
        <w:t xml:space="preserve"> </w:t>
      </w:r>
      <w:r w:rsidRPr="00C16F1B">
        <w:rPr>
          <w:i/>
          <w:iCs/>
        </w:rPr>
        <w:t>Researchers and engineers in thermal energy storage, heat pumps, Brayton cycles, waste-heat recovery and energy-system optimization.</w:t>
      </w:r>
    </w:p>
    <w:p w14:paraId="2CF243AE" w14:textId="2AE24AD3" w:rsidR="00297BA0" w:rsidRPr="006309AA" w:rsidRDefault="00297BA0" w:rsidP="00297BA0">
      <w:pPr>
        <w:pStyle w:val="SWCHeading1"/>
      </w:pPr>
      <w:r>
        <w:t>Introduction</w:t>
      </w:r>
    </w:p>
    <w:p w14:paraId="651B239B" w14:textId="77777777" w:rsidR="00297BA0" w:rsidRDefault="00297BA0" w:rsidP="00297BA0">
      <w:pPr>
        <w:pStyle w:val="SWCText"/>
      </w:pPr>
      <w:r>
        <w:t>The increasing penetration of renewable electricity requires large-scale energy storage technologies capable of decoupling energy generation and demand. While electrochemical storage solutions dominate short-duration applications, thermal energy storage systems offer an attractive alternative for medium- and long-duration storage, particularly when low-cost thermal reservoirs and industrial waste heat streams are available.</w:t>
      </w:r>
    </w:p>
    <w:p w14:paraId="5D31D064" w14:textId="77777777" w:rsidR="00297BA0" w:rsidRDefault="00297BA0" w:rsidP="00297BA0">
      <w:pPr>
        <w:pStyle w:val="SWCText"/>
      </w:pPr>
      <w:r>
        <w:t>Among emerging thermal storage concepts, Carnot batteries have attracted significant attention. These systems convert electrical energy into thermal energy during charging and recover electricity during discharge. Compared to conventional batteries, Carnot batteries potentially offer lower storage costs, long lifetime, and the possibility of integrating waste heat streams into the storage process.</w:t>
      </w:r>
    </w:p>
    <w:p w14:paraId="042137C9" w14:textId="6021F83C" w:rsidR="004E3E80" w:rsidRDefault="00297BA0" w:rsidP="004E3E80">
      <w:pPr>
        <w:pStyle w:val="SWCText"/>
      </w:pPr>
      <w:r>
        <w:t xml:space="preserve">Supercritical carbon dioxide (sCO₂) Brayton cycles are particularly attractive for such applications. Above the critical point of CO₂ </w:t>
      </w:r>
      <w:r w:rsidRPr="00326867">
        <w:t>(31.</w:t>
      </w:r>
      <w:r w:rsidR="00326867" w:rsidRPr="00326867">
        <w:t>0</w:t>
      </w:r>
      <w:r w:rsidRPr="00326867">
        <w:t xml:space="preserve"> °C, 73</w:t>
      </w:r>
      <w:r w:rsidR="00326867" w:rsidRPr="00326867">
        <w:t>.</w:t>
      </w:r>
      <w:r w:rsidRPr="00326867">
        <w:t xml:space="preserve">8 </w:t>
      </w:r>
      <w:r w:rsidR="00326867" w:rsidRPr="00326867">
        <w:t>bar</w:t>
      </w:r>
      <w:r w:rsidRPr="00326867">
        <w:t>)</w:t>
      </w:r>
      <w:r w:rsidR="00290C66">
        <w:t xml:space="preserve"> </w:t>
      </w:r>
      <w:sdt>
        <w:sdtPr>
          <w:alias w:val="To edit, see citavi.com/edit"/>
          <w:tag w:val="CitaviPlaceholder#a8531124-be07-42b1-9861-901306e4800e"/>
          <w:id w:val="-918710826"/>
          <w:placeholder>
            <w:docPart w:val="DefaultPlaceholder_-1854013440"/>
          </w:placeholder>
        </w:sdtPr>
        <w:sdtEndPr/>
        <w:sdtContent>
          <w:r w:rsidR="00290C66">
            <w:fldChar w:fldCharType="begin"/>
          </w:r>
          <w:r w:rsidR="004204D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5MzYxMjEzLWY5NTItNDllMi1iNWIzLWVkZDZiMDlkNTUwZiIsIlJhbmdlTGVuZ3RoIjoyMywiUmVmZXJlbmNlSWQiOiI1ZDMyN2QwMy00ZjUzLTQwYmQtYmNlNy02MjNkYTQ4MTg2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AxNi9TMDE2Ny05MzE3KDAyKTAwNzQ3LTUiLCJVcmlTdHJpbmciOiJodHRwczovL2RvaS5vcmcvMTAuMTAxNi9TMDE2Ny05MzE3KDAyKTAwNzQ3LTU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}</w:instrText>
          </w:r>
          <w:r w:rsidR="00290C66">
            <w:fldChar w:fldCharType="separate"/>
          </w:r>
          <w:r w:rsidR="004204DD">
            <w:t>(Weibel and Ober, 2003)</w:t>
          </w:r>
          <w:r w:rsidR="00290C66">
            <w:fldChar w:fldCharType="end"/>
          </w:r>
        </w:sdtContent>
      </w:sdt>
      <w:r w:rsidRPr="00326867">
        <w:t>,</w:t>
      </w:r>
      <w:r>
        <w:t xml:space="preserve"> the working fluid combines high density with favorable heat transfer and expansion characteristics, enabling compact turbomachinery and efficient thermal integration. These advantages have led to extensive research on sCO₂ heat pumps, recuperated Brayton power </w:t>
      </w:r>
      <w:r>
        <w:lastRenderedPageBreak/>
        <w:t>cycles, and pumped thermal energy storage (PTES) systems.</w:t>
      </w:r>
    </w:p>
    <w:p w14:paraId="3125DA0D" w14:textId="488B1D53" w:rsidR="004E3E80" w:rsidRPr="004E3E80" w:rsidRDefault="004E3E80" w:rsidP="004E3E80">
      <w:pPr>
        <w:pStyle w:val="SWCText"/>
      </w:pPr>
      <w:r w:rsidRPr="004E3E80">
        <w:t>The present work investigates a bidirectional sCO₂ Brayton concept for waste-heat-assisted power-to-heat-to-power operation. The intended application is a future data center partially supplied by a solid oxide fuel cell (SOFC), where an afterburner and associated process components provide a continuous waste-heat source between 300 and 350 °C. SOFC systems are particularly attractive for such applications because their high operating temperatures provide a continuous source of high-grade waste heat. Previous studies have shown that integrating SOFCs with thermal bottoming cycles can substantially improve overall energy utilization and electrical efficiency by recovering otherwise unused thermal energy. Examples include SOFC-gas turbine, steam turbine, reciprocating engine, and organic Rankine cycle integrations, which demonstrated significant performance improvements compared to stand-alone SOFC systems</w:t>
      </w:r>
      <w:r>
        <w:t xml:space="preserve"> </w:t>
      </w:r>
      <w:sdt>
        <w:sdtPr>
          <w:alias w:val="To edit, see citavi.com/edit"/>
          <w:tag w:val="CitaviPlaceholder#680034e1-2502-4cd2-ad19-9878eb616503"/>
          <w:id w:val="-785732062"/>
          <w:placeholder>
            <w:docPart w:val="DefaultPlaceholder_-1854013440"/>
          </w:placeholder>
        </w:sdtPr>
        <w:sdtEndPr/>
        <w:sdtContent>
          <w:r>
            <w:fldChar w:fldCharType="begin"/>
          </w:r>
          <w: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2MDVjNGU5LTliODAtNGNlZi1iM2EzLTBkZGU3NTg5MzQzNyIsIlJhbmdlTGVuZ3RoIjoyMywiUmVmZXJlbmNlSWQiOiJlOGFlMWMzZi01NDNlLTQ5MDktOWU5ZC1jZDUzY2IyNzg3Mz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xNi9qLmpwb3dzb3VyLjIwMTguMDcuMDM1IiwiVXJpU3RyaW5nIjoiaHR0cHM6Ly9kb2kub3JnLzEwLjEwMTYvai5qcG93c291ci4yMDE4LjA3LjAzN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jEwLjEwMTYvai5pamh5ZGVuZS4yMDE5LjEyLjE0MyIsIlVyaVN0cmluZyI6Imh0dHBzOi8vZG9pLm9yZy8xMC4xMDE2L2ouaWpoeWRlbmUuMjAxOS4xMi4xNDM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}</w:instrText>
          </w:r>
          <w:r>
            <w:fldChar w:fldCharType="separate"/>
          </w:r>
          <w:r>
            <w:t>(van Biert et al., 2018; Karimi et al., 2020)</w:t>
          </w:r>
          <w:r>
            <w:fldChar w:fldCharType="end"/>
          </w:r>
        </w:sdtContent>
      </w:sdt>
      <w:r w:rsidRPr="004E3E80">
        <w:t>. More generally, the recovery and utilization of SOFC waste heat has been identified as a key strategy for improving the overall efficiency and sustainability of advanced energy systems</w:t>
      </w:r>
      <w:r>
        <w:t xml:space="preserve"> </w:t>
      </w:r>
      <w:sdt>
        <w:sdtPr>
          <w:alias w:val="To edit, see citavi.com/edit"/>
          <w:tag w:val="CitaviPlaceholder#69ebf6da-0b8a-4576-80d6-8dd15e35d607"/>
          <w:id w:val="2055651636"/>
          <w:placeholder>
            <w:docPart w:val="DefaultPlaceholder_-1854013440"/>
          </w:placeholder>
        </w:sdtPr>
        <w:sdtEndPr/>
        <w:sdtContent>
          <w:r>
            <w:fldChar w:fldCharType="begin"/>
          </w:r>
          <w: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2NDIyYmZiLTc2MWEtNGI3My04NjRhLWJjYzY4NGYzODg5ZCIsIlJhbmdlTGVuZ3RoIjoxOCwiUmVmZXJlbmNlSWQiOiIxMjcwOGE4YS03OGU3LTQxYjQtYWFiMi1mMzk5OTA3ODcwO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zMjYwNC9maG10LjIwMjQuMDQ3MzUxIiwiVXJpU3RyaW5nIjoiaHR0cHM6Ly9kb2kub3JnLzEwLjMyNjA0L2ZobXQuMjAyNC4wNDczNT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}</w:instrText>
          </w:r>
          <w:r>
            <w:fldChar w:fldCharType="separate"/>
          </w:r>
          <w:r>
            <w:t>(Zhu et al., 2024)</w:t>
          </w:r>
          <w:r>
            <w:fldChar w:fldCharType="end"/>
          </w:r>
        </w:sdtContent>
      </w:sdt>
      <w:r w:rsidRPr="004E3E80">
        <w:t>. Building on these concepts, the present work investigates the use of SOFC waste heat within a waste-heat-assisted power-to-heat-to-power (PtHtP) system based on bidirectional sCO₂ Brayton cycles.</w:t>
      </w:r>
    </w:p>
    <w:p w14:paraId="2E0BD18A" w14:textId="77777777" w:rsidR="00297BA0" w:rsidRDefault="00297BA0" w:rsidP="00297BA0">
      <w:pPr>
        <w:pStyle w:val="SWCText"/>
      </w:pPr>
      <w:r>
        <w:t>A key question addressed in this study is whether maximizing thermodynamic performance alone leads to optimal system performance. To answer this question, a large-scale thermodynamic design-space screening is combined with annual dynamic simulations and market-oriented dispatch optimization.</w:t>
      </w:r>
    </w:p>
    <w:p w14:paraId="1672568E" w14:textId="77777777" w:rsidR="00297BA0" w:rsidRPr="006309AA" w:rsidRDefault="00297BA0" w:rsidP="00297BA0">
      <w:pPr>
        <w:pStyle w:val="SWCHeading1"/>
      </w:pPr>
      <w:r>
        <w:t>Methodology</w:t>
      </w:r>
    </w:p>
    <w:p w14:paraId="3B6F3AA3" w14:textId="77777777" w:rsidR="00297BA0" w:rsidRPr="006309AA" w:rsidRDefault="00297BA0" w:rsidP="00297BA0">
      <w:pPr>
        <w:pStyle w:val="SWCHeading11"/>
      </w:pPr>
      <w:r>
        <w:t>2.1. System Configuration and Operating Principle</w:t>
      </w:r>
    </w:p>
    <w:p w14:paraId="352949C5" w14:textId="77777777" w:rsidR="00297BA0" w:rsidRPr="0055407E" w:rsidRDefault="00297BA0" w:rsidP="00297BA0">
      <w:pPr>
        <w:pStyle w:val="SWCTableFigureCaption"/>
        <w:jc w:val="both"/>
        <w:rPr>
          <w:b w:val="0"/>
          <w:sz w:val="20"/>
          <w:szCs w:val="22"/>
        </w:rPr>
      </w:pPr>
      <w:r w:rsidRPr="0055407E">
        <w:rPr>
          <w:b w:val="0"/>
          <w:sz w:val="20"/>
          <w:szCs w:val="22"/>
        </w:rPr>
        <w:t>The investigated system is a waste-heat-assisted power-to-heat-to-power (PtHtP) concept based on two thermodynamically independent supercritical carbon dioxide (sCO₂) Brayton cycles connected through a thermal energy storage (TES) system. The concept is motivated by future data-center energy systems partially supplied by solid oxide fuel cells (SOFCs), where high-temperature waste heat is continuously available from the afterburner and downstream process components.</w:t>
      </w:r>
    </w:p>
    <w:p w14:paraId="0BFFDA25" w14:textId="77777777" w:rsidR="00297BA0" w:rsidRPr="0055407E" w:rsidRDefault="00297BA0" w:rsidP="00297BA0">
      <w:pPr>
        <w:pStyle w:val="SWCTableFigureCaption"/>
        <w:jc w:val="both"/>
        <w:rPr>
          <w:b w:val="0"/>
          <w:sz w:val="20"/>
          <w:szCs w:val="22"/>
        </w:rPr>
      </w:pPr>
      <w:r w:rsidRPr="0055407E">
        <w:rPr>
          <w:b w:val="0"/>
          <w:sz w:val="20"/>
          <w:szCs w:val="22"/>
        </w:rPr>
        <w:t>The system consists of three major subsystems:</w:t>
      </w:r>
    </w:p>
    <w:p w14:paraId="71606D2B" w14:textId="77777777" w:rsidR="00297BA0" w:rsidRPr="0055407E" w:rsidRDefault="00297BA0" w:rsidP="00297BA0">
      <w:pPr>
        <w:pStyle w:val="SWCTableFigureCaption"/>
        <w:numPr>
          <w:ilvl w:val="0"/>
          <w:numId w:val="2"/>
        </w:numPr>
        <w:jc w:val="both"/>
        <w:rPr>
          <w:b w:val="0"/>
          <w:sz w:val="20"/>
          <w:szCs w:val="22"/>
        </w:rPr>
      </w:pPr>
      <w:r w:rsidRPr="0055407E">
        <w:rPr>
          <w:b w:val="0"/>
          <w:sz w:val="20"/>
          <w:szCs w:val="22"/>
        </w:rPr>
        <w:t>a charging cycle operating as a Brayton heat pump,</w:t>
      </w:r>
    </w:p>
    <w:p w14:paraId="1B48FF83" w14:textId="77777777" w:rsidR="00297BA0" w:rsidRPr="0055407E" w:rsidRDefault="00297BA0" w:rsidP="00297BA0">
      <w:pPr>
        <w:pStyle w:val="SWCTableFigureCaption"/>
        <w:numPr>
          <w:ilvl w:val="0"/>
          <w:numId w:val="2"/>
        </w:numPr>
        <w:jc w:val="both"/>
        <w:rPr>
          <w:b w:val="0"/>
          <w:sz w:val="20"/>
          <w:szCs w:val="22"/>
        </w:rPr>
      </w:pPr>
      <w:r w:rsidRPr="0055407E">
        <w:rPr>
          <w:b w:val="0"/>
          <w:sz w:val="20"/>
          <w:szCs w:val="22"/>
        </w:rPr>
        <w:t>a thermal energy storage system,</w:t>
      </w:r>
    </w:p>
    <w:p w14:paraId="5A7F05DA" w14:textId="77777777" w:rsidR="00297BA0" w:rsidRDefault="00297BA0" w:rsidP="00297BA0">
      <w:pPr>
        <w:pStyle w:val="SWCTableFigureCaption"/>
        <w:numPr>
          <w:ilvl w:val="0"/>
          <w:numId w:val="2"/>
        </w:numPr>
        <w:jc w:val="both"/>
        <w:rPr>
          <w:b w:val="0"/>
          <w:sz w:val="20"/>
          <w:szCs w:val="22"/>
        </w:rPr>
      </w:pPr>
      <w:r w:rsidRPr="0055407E">
        <w:rPr>
          <w:b w:val="0"/>
          <w:sz w:val="20"/>
          <w:szCs w:val="22"/>
        </w:rPr>
        <w:t>a discharging cycle operating as a Brayton heat engine.</w:t>
      </w:r>
    </w:p>
    <w:p w14:paraId="56105E0D" w14:textId="77777777" w:rsidR="00297BA0" w:rsidRDefault="00297BA0" w:rsidP="00297BA0">
      <w:pPr>
        <w:pStyle w:val="SWCTableFigureCaption"/>
        <w:keepNext/>
        <w:jc w:val="both"/>
      </w:pPr>
      <w:r w:rsidRPr="002C2A93">
        <w:rPr>
          <w:b w:val="0"/>
          <w:noProof/>
          <w:sz w:val="20"/>
          <w:szCs w:val="22"/>
          <w:lang w:val="de-DE"/>
        </w:rPr>
        <w:drawing>
          <wp:inline distT="0" distB="0" distL="0" distR="0" wp14:anchorId="41A790B7" wp14:editId="3C5B0711">
            <wp:extent cx="5158853" cy="2855733"/>
            <wp:effectExtent l="0" t="0" r="3810" b="1905"/>
            <wp:docPr id="18" name="Grafik 17" descr="Ein Bild, das Text, Diagramm, Plan, Screenshot enthält.&#10;&#10;KI-generierte Inhalte können fehlerhaft sein.">
              <a:extLst xmlns:a="http://schemas.openxmlformats.org/drawingml/2006/main">
                <a:ext uri="{FF2B5EF4-FFF2-40B4-BE49-F238E27FC236}">
                  <a16:creationId xmlns:a16="http://schemas.microsoft.com/office/drawing/2014/main" id="{39C4BB68-0C5D-3094-2016-8F27A57DD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7" descr="Ein Bild, das Text, Diagramm, Plan, Screenshot enthält.&#10;&#10;KI-generierte Inhalte können fehlerhaft sein.">
                      <a:extLst>
                        <a:ext uri="{FF2B5EF4-FFF2-40B4-BE49-F238E27FC236}">
                          <a16:creationId xmlns:a16="http://schemas.microsoft.com/office/drawing/2014/main" id="{39C4BB68-0C5D-3094-2016-8F27A57DDFE2}"/>
                        </a:ext>
                      </a:extLst>
                    </pic:cNvPr>
                    <pic:cNvPicPr>
                      <a:picLocks noChangeAspect="1"/>
                    </pic:cNvPicPr>
                  </pic:nvPicPr>
                  <pic:blipFill>
                    <a:blip r:embed="rId6"/>
                    <a:stretch>
                      <a:fillRect/>
                    </a:stretch>
                  </pic:blipFill>
                  <pic:spPr>
                    <a:xfrm>
                      <a:off x="0" y="0"/>
                      <a:ext cx="5165165" cy="2859227"/>
                    </a:xfrm>
                    <a:prstGeom prst="rect">
                      <a:avLst/>
                    </a:prstGeom>
                  </pic:spPr>
                </pic:pic>
              </a:graphicData>
            </a:graphic>
          </wp:inline>
        </w:drawing>
      </w:r>
    </w:p>
    <w:p w14:paraId="4CF4FB1A" w14:textId="7F4C33FC" w:rsidR="00297BA0" w:rsidRPr="002C2A93" w:rsidRDefault="00297BA0" w:rsidP="00297BA0">
      <w:pPr>
        <w:pStyle w:val="SWCTableFigureCaption"/>
      </w:pPr>
      <w:r w:rsidRPr="002C2A93">
        <w:t>Fig</w:t>
      </w:r>
      <w:r>
        <w:t>.</w:t>
      </w:r>
      <w:r w:rsidRPr="002C2A93">
        <w:t xml:space="preserve"> </w:t>
      </w:r>
      <w:r>
        <w:fldChar w:fldCharType="begin"/>
      </w:r>
      <w:r w:rsidRPr="002C2A93">
        <w:instrText xml:space="preserve"> SEQ Figure \* ARABIC </w:instrText>
      </w:r>
      <w:r>
        <w:fldChar w:fldCharType="separate"/>
      </w:r>
      <w:r w:rsidR="00B40F61">
        <w:rPr>
          <w:noProof/>
        </w:rPr>
        <w:t>1</w:t>
      </w:r>
      <w:r>
        <w:fldChar w:fldCharType="end"/>
      </w:r>
      <w:r w:rsidRPr="002C2A93">
        <w:t>: Reference Pumped Thermal Energy Storage (PTES) configuration: simple charging, recuperated discharging</w:t>
      </w:r>
      <w:r w:rsidR="00290C66">
        <w:t xml:space="preserve"> </w:t>
      </w:r>
      <w:sdt>
        <w:sdtPr>
          <w:alias w:val="To edit, see citavi.com/edit"/>
          <w:tag w:val="CitaviPlaceholder#190d8575-bc42-4e9a-885c-a8ad456fca4e"/>
          <w:id w:val="-1707786244"/>
          <w:placeholder>
            <w:docPart w:val="DefaultPlaceholder_-1854013440"/>
          </w:placeholder>
        </w:sdtPr>
        <w:sdtEndPr/>
        <w:sdtContent>
          <w:r w:rsidR="00290C66">
            <w:fldChar w:fldCharType="begin"/>
          </w:r>
          <w:r w:rsidR="004204D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jYjg1NTk0LTM2M2MtNGViMi04ZmM1LWZjODQ4ZWExYzZiYSIsIlJhbmdlTGVuZ3RoIjoyMSwiUmVmZXJlbmNlSWQiOiJlNWRmMWQzMi01MjliLTQxNTMtOTRiNS1iY2Q0Y2NlNjU0Z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E2L2ouZXN0LjIwMjQuMTEyOTc5IiwiVXJpU3RyaW5nIjoiaHR0cHM6Ly9kb2kub3JnLzEwLjEwMTYvai5lc3QuMjAyNC4xMTI5Nzk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}</w:instrText>
          </w:r>
          <w:r w:rsidR="00290C66">
            <w:fldChar w:fldCharType="separate"/>
          </w:r>
          <w:r w:rsidR="004204DD">
            <w:t>(Shamsi et al., 2024)</w:t>
          </w:r>
          <w:r w:rsidR="00290C66">
            <w:fldChar w:fldCharType="end"/>
          </w:r>
        </w:sdtContent>
      </w:sdt>
    </w:p>
    <w:p w14:paraId="7E067778" w14:textId="77777777" w:rsidR="00297BA0" w:rsidRPr="0055407E" w:rsidRDefault="00297BA0" w:rsidP="00A62F8E">
      <w:pPr>
        <w:pStyle w:val="SWCText"/>
      </w:pPr>
      <w:r w:rsidRPr="0055407E">
        <w:lastRenderedPageBreak/>
        <w:t>Unlike conventional Carnot batteries, the charging process is assisted by an external waste-heat source. Consequently, part of the thermal energy stored in the TES originates from waste heat rather than electricity, allowing electrical round-trip efficiencies above unity without violating thermodynamic principles.</w:t>
      </w:r>
    </w:p>
    <w:p w14:paraId="59222F9A" w14:textId="73A04F7C" w:rsidR="00297BA0" w:rsidRDefault="00297BA0" w:rsidP="00A62F8E">
      <w:pPr>
        <w:pStyle w:val="SWCText"/>
        <w:rPr>
          <w:b/>
        </w:rPr>
      </w:pPr>
      <w:r w:rsidRPr="0055407E">
        <w:t xml:space="preserve">The waste-heat source considered in this work provides a constant thermal power of </w:t>
      </w:r>
      <w:r w:rsidR="00D95FF6">
        <w:t xml:space="preserve">approx. </w:t>
      </w:r>
      <w:r w:rsidRPr="0055407E">
        <w:t>10 MW</w:t>
      </w:r>
      <w:r w:rsidRPr="0055407E">
        <w:rPr>
          <w:vertAlign w:val="subscript"/>
        </w:rPr>
        <w:t>th</w:t>
      </w:r>
      <w:r w:rsidRPr="0055407E">
        <w:t xml:space="preserve"> at temperatures between 300 °C and 350 °C. During charging, this energy is upgraded and transferred to the TES. During discharge, the stored thermal energy is converted back into electricity whenever favorable electricity market conditions occur. </w:t>
      </w:r>
    </w:p>
    <w:p w14:paraId="0F890E46" w14:textId="77777777" w:rsidR="00297BA0" w:rsidRDefault="00297BA0" w:rsidP="00297BA0">
      <w:pPr>
        <w:pStyle w:val="SWCTableFigureCaption"/>
        <w:jc w:val="both"/>
        <w:rPr>
          <w:b w:val="0"/>
          <w:sz w:val="20"/>
          <w:szCs w:val="22"/>
        </w:rPr>
      </w:pPr>
    </w:p>
    <w:p w14:paraId="17F5596A" w14:textId="77777777" w:rsidR="00297BA0" w:rsidRPr="0055407E" w:rsidRDefault="00297BA0" w:rsidP="00297BA0">
      <w:pPr>
        <w:pStyle w:val="SWCHeading11"/>
      </w:pPr>
      <w:r>
        <w:t>2</w:t>
      </w:r>
      <w:r w:rsidRPr="0055407E">
        <w:t>.1.1 Charging Mode</w:t>
      </w:r>
    </w:p>
    <w:p w14:paraId="6D364036" w14:textId="1B359499" w:rsidR="00297BA0" w:rsidRDefault="00297BA0" w:rsidP="00A62F8E">
      <w:pPr>
        <w:pStyle w:val="SWCText"/>
      </w:pPr>
      <w:r w:rsidRPr="00A62F8E">
        <w:t>During charging operation, the sCO₂ cycle functions as a closed Brayton heat pump. The working fluid first absorbs heat from the available waste-heat source and is subsequently compressed to a higher pressure level.</w:t>
      </w:r>
      <w:r w:rsidR="006F7904">
        <w:t xml:space="preserve"> </w:t>
      </w:r>
      <w:r w:rsidRPr="00A62F8E">
        <w:t>The compressor work increases the fluid temperature beyond the waste-heat temperature, enabling heat transfer to the TES at elevated temperature levels. After rejecting heat to storage, the CO₂ expands through a turbine and returns to its initial pressure level before re-entering the waste-heat heat exchanger.</w:t>
      </w:r>
      <w:r w:rsidR="006F7904">
        <w:t xml:space="preserve"> </w:t>
      </w:r>
      <w:r w:rsidRPr="00A62F8E">
        <w:t>The primary objective of the charging cycle is not the maximization of internal cycle efficiency but rather the maximization of useful thermal energy delivered to storage. For this reason, both recuperated and non-recuperated configurations were investigated.</w:t>
      </w:r>
    </w:p>
    <w:p w14:paraId="696EF569" w14:textId="77777777" w:rsidR="0062377A" w:rsidRPr="00A62F8E" w:rsidRDefault="0062377A" w:rsidP="00A62F8E">
      <w:pPr>
        <w:pStyle w:val="SWCText"/>
      </w:pPr>
    </w:p>
    <w:p w14:paraId="554A563F" w14:textId="3E31048F" w:rsidR="00297BA0" w:rsidRPr="002C2A93" w:rsidRDefault="006023B3" w:rsidP="00297BA0">
      <w:pPr>
        <w:pStyle w:val="SWCHeading11"/>
      </w:pPr>
      <w:r>
        <w:t>2</w:t>
      </w:r>
      <w:r w:rsidR="00297BA0" w:rsidRPr="002C2A93">
        <w:t>.1.2 Discharging Mode</w:t>
      </w:r>
    </w:p>
    <w:p w14:paraId="669D4239" w14:textId="4A6B0180" w:rsidR="00297BA0" w:rsidRDefault="00297BA0" w:rsidP="00A62F8E">
      <w:pPr>
        <w:pStyle w:val="SWCText"/>
      </w:pPr>
      <w:r w:rsidRPr="0055407E">
        <w:t>The discharging cycle operates as a Brayton heat engine. Thermal energy stored in the TES is supplied to compressed sCO₂ before expansion through a turbine.</w:t>
      </w:r>
      <w:r w:rsidR="006F7904">
        <w:t xml:space="preserve"> </w:t>
      </w:r>
      <w:r w:rsidRPr="0055407E">
        <w:t>The turbine generates mechanical power that is converted into electricity via a generator. Downstream of the turbine, residual thermal energy is partially recovered by a recuperator before the fluid is cooled and recompressed.</w:t>
      </w:r>
      <w:r w:rsidR="006F7904">
        <w:t xml:space="preserve"> </w:t>
      </w:r>
      <w:r w:rsidRPr="0055407E">
        <w:t>Contrary to the charging cycle, discharging aims to maximize electrical power output and thermal-to-electric conversion efficiency. Therefore, recuperation is expected to play a beneficial role by reducing the thermal demand placed on the TES.</w:t>
      </w:r>
    </w:p>
    <w:p w14:paraId="35AB79EE" w14:textId="77777777" w:rsidR="0062377A" w:rsidRPr="0055407E" w:rsidRDefault="0062377A" w:rsidP="00A62F8E">
      <w:pPr>
        <w:pStyle w:val="SWCText"/>
      </w:pPr>
    </w:p>
    <w:p w14:paraId="3A0274CD" w14:textId="0AF58473" w:rsidR="00297BA0" w:rsidRPr="002C2A93" w:rsidRDefault="006023B3" w:rsidP="00297BA0">
      <w:pPr>
        <w:pStyle w:val="SWCHeading11"/>
      </w:pPr>
      <w:r>
        <w:t>2</w:t>
      </w:r>
      <w:r w:rsidR="00297BA0" w:rsidRPr="002C2A93">
        <w:t>.1.3 Thermal Energy Storage</w:t>
      </w:r>
    </w:p>
    <w:p w14:paraId="0B47AC20" w14:textId="77777777" w:rsidR="00297BA0" w:rsidRPr="0055407E" w:rsidRDefault="00297BA0" w:rsidP="00A62F8E">
      <w:pPr>
        <w:pStyle w:val="SWCText"/>
      </w:pPr>
      <w:r w:rsidRPr="0055407E">
        <w:t>The charging and discharging cycles are coupled by a thermal energy storage system that enables temporal decoupling between waste-heat availability and electricity generation.</w:t>
      </w:r>
    </w:p>
    <w:p w14:paraId="57A2FE52" w14:textId="77777777" w:rsidR="00297BA0" w:rsidRPr="0055407E" w:rsidRDefault="00297BA0" w:rsidP="00A62F8E">
      <w:pPr>
        <w:pStyle w:val="SWCText"/>
      </w:pPr>
      <w:r w:rsidRPr="0055407E">
        <w:t>The TES is characterized by a hot storage temperature, a cold storage temperature, and the resulting storage temperature difference</w:t>
      </w:r>
      <w:r>
        <w:t>. The</w:t>
      </w:r>
      <w:r w:rsidRPr="0055407E">
        <w:t xml:space="preserve"> storage temperature levels are not predefined but instead emerge from the thermodynamic optimization of both Brayton cycles.</w:t>
      </w:r>
    </w:p>
    <w:p w14:paraId="2303808F" w14:textId="77777777" w:rsidR="00297BA0" w:rsidRDefault="00297BA0" w:rsidP="00A62F8E">
      <w:pPr>
        <w:pStyle w:val="SWCText"/>
      </w:pPr>
      <w:r>
        <w:t>These temperatures strongly influence:</w:t>
      </w:r>
    </w:p>
    <w:p w14:paraId="5867AF96" w14:textId="77777777" w:rsidR="00297BA0" w:rsidRDefault="00297BA0" w:rsidP="00A62F8E">
      <w:pPr>
        <w:pStyle w:val="SWCText"/>
        <w:numPr>
          <w:ilvl w:val="0"/>
          <w:numId w:val="15"/>
        </w:numPr>
      </w:pPr>
      <w:r>
        <w:t>storage exergy content,</w:t>
      </w:r>
    </w:p>
    <w:p w14:paraId="1CC7EBD4" w14:textId="77777777" w:rsidR="00297BA0" w:rsidRDefault="00297BA0" w:rsidP="00A62F8E">
      <w:pPr>
        <w:pStyle w:val="SWCText"/>
        <w:numPr>
          <w:ilvl w:val="0"/>
          <w:numId w:val="15"/>
        </w:numPr>
      </w:pPr>
      <w:r>
        <w:t>achievable discharge power,</w:t>
      </w:r>
    </w:p>
    <w:p w14:paraId="3CAEF1CB" w14:textId="77777777" w:rsidR="00297BA0" w:rsidRPr="0055407E" w:rsidRDefault="00297BA0" w:rsidP="00A62F8E">
      <w:pPr>
        <w:pStyle w:val="SWCText"/>
        <w:numPr>
          <w:ilvl w:val="0"/>
          <w:numId w:val="15"/>
        </w:numPr>
      </w:pPr>
      <w:r w:rsidRPr="0055407E">
        <w:t>heat-pump coefficient of performance,</w:t>
      </w:r>
    </w:p>
    <w:p w14:paraId="1E7EC10E" w14:textId="77777777" w:rsidR="00297BA0" w:rsidRDefault="00297BA0" w:rsidP="00A62F8E">
      <w:pPr>
        <w:pStyle w:val="SWCText"/>
        <w:numPr>
          <w:ilvl w:val="0"/>
          <w:numId w:val="15"/>
        </w:numPr>
      </w:pPr>
      <w:r>
        <w:t>heat-engine efficiency,</w:t>
      </w:r>
    </w:p>
    <w:p w14:paraId="7FC0F46C" w14:textId="77777777" w:rsidR="00297BA0" w:rsidRDefault="00297BA0" w:rsidP="00A62F8E">
      <w:pPr>
        <w:pStyle w:val="SWCText"/>
        <w:numPr>
          <w:ilvl w:val="0"/>
          <w:numId w:val="15"/>
        </w:numPr>
      </w:pPr>
      <w:r>
        <w:t>overall system economics.</w:t>
      </w:r>
    </w:p>
    <w:p w14:paraId="286DD83C" w14:textId="77777777" w:rsidR="00297BA0" w:rsidRDefault="00297BA0" w:rsidP="00A62F8E">
      <w:pPr>
        <w:pStyle w:val="SWCText"/>
      </w:pPr>
      <w:r w:rsidRPr="0055407E">
        <w:t>Consequently, TES temperatures are treated as active design variables throughout the study.</w:t>
      </w:r>
    </w:p>
    <w:p w14:paraId="2ED4D859" w14:textId="77777777" w:rsidR="0062377A" w:rsidRPr="0055407E" w:rsidRDefault="0062377A" w:rsidP="00A62F8E">
      <w:pPr>
        <w:pStyle w:val="SWCText"/>
      </w:pPr>
    </w:p>
    <w:p w14:paraId="190D3929" w14:textId="4101F6C4" w:rsidR="00297BA0" w:rsidRPr="002C2A93" w:rsidRDefault="006023B3" w:rsidP="00297BA0">
      <w:pPr>
        <w:pStyle w:val="SWCHeading11"/>
      </w:pPr>
      <w:r>
        <w:t>2</w:t>
      </w:r>
      <w:r w:rsidR="00297BA0" w:rsidRPr="002C2A93">
        <w:t>.2 Thermodynamic Model</w:t>
      </w:r>
    </w:p>
    <w:p w14:paraId="2B5698B0" w14:textId="77777777" w:rsidR="00297BA0" w:rsidRDefault="00297BA0" w:rsidP="00A62F8E">
      <w:pPr>
        <w:pStyle w:val="SWCText"/>
      </w:pPr>
      <w:r w:rsidRPr="0055407E">
        <w:t xml:space="preserve">Both charging and discharging cycles were modeled </w:t>
      </w:r>
      <w:r>
        <w:t xml:space="preserve">including: </w:t>
      </w:r>
    </w:p>
    <w:p w14:paraId="342C53A8" w14:textId="77777777" w:rsidR="00297BA0" w:rsidRDefault="00297BA0" w:rsidP="00A62F8E">
      <w:pPr>
        <w:pStyle w:val="SWCText"/>
        <w:numPr>
          <w:ilvl w:val="0"/>
          <w:numId w:val="16"/>
        </w:numPr>
      </w:pPr>
      <w:r w:rsidRPr="00812CAD">
        <w:t>compressor and turbine isentropic efficiencies,</w:t>
      </w:r>
    </w:p>
    <w:p w14:paraId="239224F5" w14:textId="77777777" w:rsidR="00297BA0" w:rsidRPr="00812CAD" w:rsidRDefault="00297BA0" w:rsidP="00A62F8E">
      <w:pPr>
        <w:pStyle w:val="SWCText"/>
        <w:numPr>
          <w:ilvl w:val="0"/>
          <w:numId w:val="16"/>
        </w:numPr>
      </w:pPr>
      <w:r w:rsidRPr="00812CAD">
        <w:t>heat-exchanger pinch-point constraints,</w:t>
      </w:r>
    </w:p>
    <w:p w14:paraId="38A08513" w14:textId="77777777" w:rsidR="00297BA0" w:rsidRDefault="00297BA0" w:rsidP="00A62F8E">
      <w:pPr>
        <w:pStyle w:val="SWCText"/>
        <w:numPr>
          <w:ilvl w:val="0"/>
          <w:numId w:val="16"/>
        </w:numPr>
      </w:pPr>
      <w:r>
        <w:lastRenderedPageBreak/>
        <w:t>pressure losses,</w:t>
      </w:r>
    </w:p>
    <w:p w14:paraId="011DFAFB" w14:textId="77777777" w:rsidR="00297BA0" w:rsidRDefault="00297BA0" w:rsidP="00A62F8E">
      <w:pPr>
        <w:pStyle w:val="SWCText"/>
        <w:numPr>
          <w:ilvl w:val="0"/>
          <w:numId w:val="16"/>
        </w:numPr>
      </w:pPr>
      <w:r>
        <w:t>generator and motor efficiencies,</w:t>
      </w:r>
    </w:p>
    <w:p w14:paraId="763210D3" w14:textId="4068944F" w:rsidR="00297BA0" w:rsidRPr="00812CAD" w:rsidRDefault="00297BA0" w:rsidP="00A62F8E">
      <w:pPr>
        <w:pStyle w:val="SWCText"/>
        <w:numPr>
          <w:ilvl w:val="0"/>
          <w:numId w:val="16"/>
        </w:numPr>
      </w:pPr>
      <w:r w:rsidRPr="00812CAD">
        <w:t xml:space="preserve">real </w:t>
      </w:r>
      <w:r w:rsidRPr="0055407E">
        <w:t>thermodynamic properties of carbon dioxide</w:t>
      </w:r>
      <w:r w:rsidRPr="00812CAD">
        <w:t>.</w:t>
      </w:r>
    </w:p>
    <w:p w14:paraId="5EC4E731" w14:textId="77777777" w:rsidR="00C2480D" w:rsidRDefault="00C2480D" w:rsidP="00A62F8E">
      <w:pPr>
        <w:pStyle w:val="SWCText"/>
      </w:pPr>
    </w:p>
    <w:p w14:paraId="79BC5DD8" w14:textId="301CDFDD" w:rsidR="00297BA0" w:rsidRPr="0055407E" w:rsidRDefault="00297BA0" w:rsidP="00A62F8E">
      <w:pPr>
        <w:pStyle w:val="SWCText"/>
      </w:pPr>
      <w:r w:rsidRPr="0055407E">
        <w:t>To identify thermodynamically favorable cycle architectures, simple and recuperated configurations were evaluated for both charging and discharging operation.</w:t>
      </w:r>
    </w:p>
    <w:p w14:paraId="4A692220" w14:textId="77777777" w:rsidR="00297BA0" w:rsidRDefault="00297BA0" w:rsidP="00A62F8E">
      <w:pPr>
        <w:pStyle w:val="SWCText"/>
      </w:pPr>
      <w:r w:rsidRPr="0055407E">
        <w:t>The electrical round-trip efficiency is defined as</w:t>
      </w:r>
    </w:p>
    <w:tbl>
      <w:tblPr>
        <w:tblStyle w:val="Tabellenraster"/>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EA7617" w14:paraId="7D5081F0" w14:textId="77777777" w:rsidTr="00EA7617">
        <w:trPr>
          <w:jc w:val="right"/>
        </w:trPr>
        <w:tc>
          <w:tcPr>
            <w:tcW w:w="3020" w:type="dxa"/>
          </w:tcPr>
          <w:p w14:paraId="30175C49" w14:textId="77777777" w:rsidR="00EA7617" w:rsidRDefault="00EA7617" w:rsidP="00A62F8E">
            <w:pPr>
              <w:pStyle w:val="SWCText"/>
            </w:pPr>
          </w:p>
        </w:tc>
        <w:tc>
          <w:tcPr>
            <w:tcW w:w="3021" w:type="dxa"/>
          </w:tcPr>
          <w:p w14:paraId="0B3C213B" w14:textId="3EDE31CD" w:rsidR="00EA7617" w:rsidRDefault="00EA7617" w:rsidP="00A62F8E">
            <w:pPr>
              <w:pStyle w:val="SWCText"/>
            </w:pPr>
            <m:oMathPara>
              <m:oMath>
                <m:r>
                  <w:rPr>
                    <w:rFonts w:ascii="Cambria Math" w:hAnsi="Cambria Math" w:cs="Segoe UI"/>
                    <w:sz w:val="21"/>
                    <w:szCs w:val="21"/>
                  </w:rPr>
                  <m:t>RTE=</m:t>
                </m:r>
                <m:f>
                  <m:fPr>
                    <m:ctrlPr>
                      <w:rPr>
                        <w:rFonts w:ascii="Cambria Math" w:hAnsi="Cambria Math" w:cs="Segoe UI"/>
                        <w:i/>
                        <w:sz w:val="21"/>
                        <w:szCs w:val="21"/>
                      </w:rPr>
                    </m:ctrlPr>
                  </m:fPr>
                  <m:num>
                    <m:sSub>
                      <m:sSubPr>
                        <m:ctrlPr>
                          <w:rPr>
                            <w:rFonts w:ascii="Cambria Math" w:hAnsi="Cambria Math" w:cs="Segoe UI"/>
                            <w:i/>
                            <w:sz w:val="21"/>
                            <w:szCs w:val="21"/>
                          </w:rPr>
                        </m:ctrlPr>
                      </m:sSubPr>
                      <m:e>
                        <m:r>
                          <w:rPr>
                            <w:rFonts w:ascii="Cambria Math" w:hAnsi="Cambria Math" w:cs="Segoe UI"/>
                            <w:sz w:val="21"/>
                            <w:szCs w:val="21"/>
                          </w:rPr>
                          <m:t>W</m:t>
                        </m:r>
                      </m:e>
                      <m:sub>
                        <m:r>
                          <w:rPr>
                            <w:rFonts w:ascii="Cambria Math" w:hAnsi="Cambria Math" w:cs="Segoe UI"/>
                            <w:sz w:val="21"/>
                            <w:szCs w:val="21"/>
                          </w:rPr>
                          <m:t>discharge</m:t>
                        </m:r>
                      </m:sub>
                    </m:sSub>
                  </m:num>
                  <m:den>
                    <m:sSub>
                      <m:sSubPr>
                        <m:ctrlPr>
                          <w:rPr>
                            <w:rFonts w:ascii="Cambria Math" w:hAnsi="Cambria Math" w:cs="Segoe UI"/>
                            <w:i/>
                            <w:sz w:val="21"/>
                            <w:szCs w:val="21"/>
                          </w:rPr>
                        </m:ctrlPr>
                      </m:sSubPr>
                      <m:e>
                        <m:r>
                          <w:rPr>
                            <w:rFonts w:ascii="Cambria Math" w:hAnsi="Cambria Math" w:cs="Segoe UI"/>
                            <w:sz w:val="21"/>
                            <w:szCs w:val="21"/>
                          </w:rPr>
                          <m:t>W</m:t>
                        </m:r>
                      </m:e>
                      <m:sub>
                        <m:r>
                          <w:rPr>
                            <w:rFonts w:ascii="Cambria Math" w:hAnsi="Cambria Math" w:cs="Segoe UI"/>
                            <w:sz w:val="21"/>
                            <w:szCs w:val="21"/>
                          </w:rPr>
                          <m:t>charge</m:t>
                        </m:r>
                      </m:sub>
                    </m:sSub>
                  </m:den>
                </m:f>
              </m:oMath>
            </m:oMathPara>
          </w:p>
        </w:tc>
        <w:tc>
          <w:tcPr>
            <w:tcW w:w="3021" w:type="dxa"/>
            <w:vAlign w:val="center"/>
          </w:tcPr>
          <w:p w14:paraId="1CD39D91" w14:textId="1FEF3A0C" w:rsidR="00EA7617" w:rsidRDefault="00EA7617" w:rsidP="00EA7617">
            <w:pPr>
              <w:pStyle w:val="SWCText"/>
              <w:jc w:val="right"/>
            </w:pPr>
            <w:r>
              <w:t>(1)</w:t>
            </w:r>
          </w:p>
        </w:tc>
      </w:tr>
    </w:tbl>
    <w:p w14:paraId="26C73A25" w14:textId="77777777" w:rsidR="00EA7617" w:rsidRDefault="00EA7617" w:rsidP="00A62F8E">
      <w:pPr>
        <w:pStyle w:val="SWCText"/>
      </w:pPr>
    </w:p>
    <w:p w14:paraId="79AAF2E1" w14:textId="28329408" w:rsidR="00297BA0" w:rsidRPr="0055407E" w:rsidRDefault="00297BA0" w:rsidP="00A62F8E">
      <w:pPr>
        <w:pStyle w:val="SWCText"/>
      </w:pPr>
      <w:r w:rsidRPr="0055407E">
        <w:t>Where</w:t>
      </w:r>
      <w:r>
        <w:t xml:space="preserve"> </w:t>
      </w:r>
      <m:oMath>
        <m:sSub>
          <m:sSubPr>
            <m:ctrlPr>
              <w:rPr>
                <w:rFonts w:ascii="Cambria Math" w:hAnsi="Cambria Math"/>
                <w:i/>
              </w:rPr>
            </m:ctrlPr>
          </m:sSubPr>
          <m:e>
            <m:r>
              <w:rPr>
                <w:rFonts w:ascii="Cambria Math" w:hAnsi="Cambria Math"/>
              </w:rPr>
              <m:t>W</m:t>
            </m:r>
          </m:e>
          <m:sub>
            <m:r>
              <w:rPr>
                <w:rFonts w:ascii="Cambria Math" w:hAnsi="Cambria Math"/>
              </w:rPr>
              <m:t>charge</m:t>
            </m:r>
          </m:sub>
        </m:sSub>
      </m:oMath>
      <w:r w:rsidRPr="0055407E">
        <w:t xml:space="preserve"> represents the </w:t>
      </w:r>
      <w:r>
        <w:t>electricity charged</w:t>
      </w:r>
      <w:r w:rsidRPr="0055407E">
        <w:t xml:space="preserve"> and </w:t>
      </w:r>
      <m:oMath>
        <m:sSub>
          <m:sSubPr>
            <m:ctrlPr>
              <w:rPr>
                <w:rFonts w:ascii="Cambria Math" w:hAnsi="Cambria Math"/>
                <w:i/>
              </w:rPr>
            </m:ctrlPr>
          </m:sSubPr>
          <m:e>
            <m:r>
              <w:rPr>
                <w:rFonts w:ascii="Cambria Math" w:hAnsi="Cambria Math"/>
              </w:rPr>
              <m:t>W</m:t>
            </m:r>
          </m:e>
          <m:sub>
            <m:r>
              <w:rPr>
                <w:rFonts w:ascii="Cambria Math" w:hAnsi="Cambria Math"/>
              </w:rPr>
              <m:t>discharge</m:t>
            </m:r>
          </m:sub>
        </m:sSub>
      </m:oMath>
      <w:r>
        <w:t xml:space="preserve"> </w:t>
      </w:r>
      <w:r w:rsidRPr="0055407E">
        <w:t xml:space="preserve">represents the </w:t>
      </w:r>
      <w:r>
        <w:t xml:space="preserve">electricity </w:t>
      </w:r>
      <w:r w:rsidRPr="0055407E">
        <w:t>recovered during discharge.</w:t>
      </w:r>
    </w:p>
    <w:p w14:paraId="2E349CD9" w14:textId="77777777" w:rsidR="00297BA0" w:rsidRDefault="00297BA0" w:rsidP="00A62F8E">
      <w:pPr>
        <w:pStyle w:val="SWCText"/>
      </w:pPr>
      <w:r w:rsidRPr="0055407E">
        <w:t>Since the charging process additionally utilizes free waste heat, electrical round-trip efficiencies exceeding 100 % are theoretically possible and do not violate the first law of thermodynamics.</w:t>
      </w:r>
    </w:p>
    <w:p w14:paraId="671B93DA" w14:textId="77777777" w:rsidR="0062377A" w:rsidRPr="0055407E" w:rsidRDefault="0062377A" w:rsidP="00A62F8E">
      <w:pPr>
        <w:pStyle w:val="SWCText"/>
      </w:pPr>
    </w:p>
    <w:p w14:paraId="3371F518" w14:textId="45930C34" w:rsidR="00297BA0" w:rsidRPr="006023B3" w:rsidRDefault="006023B3" w:rsidP="006023B3">
      <w:pPr>
        <w:pStyle w:val="SWCHeading11"/>
      </w:pPr>
      <w:r w:rsidRPr="006023B3">
        <w:t>2</w:t>
      </w:r>
      <w:r w:rsidR="00297BA0" w:rsidRPr="006023B3">
        <w:t xml:space="preserve">.3 </w:t>
      </w:r>
      <w:r w:rsidR="000961C5" w:rsidRPr="006023B3">
        <w:t xml:space="preserve">Steady State </w:t>
      </w:r>
      <w:r w:rsidR="00297BA0" w:rsidRPr="006023B3">
        <w:t>Design Space Screening</w:t>
      </w:r>
    </w:p>
    <w:p w14:paraId="0638DB50" w14:textId="22EC4059" w:rsidR="007C1215" w:rsidRDefault="007C1215" w:rsidP="007C1215">
      <w:pPr>
        <w:rPr>
          <w:color w:val="000000"/>
          <w:sz w:val="20"/>
          <w:szCs w:val="22"/>
          <w:lang w:val="en-US"/>
        </w:rPr>
      </w:pPr>
      <w:r w:rsidRPr="007C1215">
        <w:rPr>
          <w:color w:val="000000"/>
          <w:sz w:val="20"/>
          <w:szCs w:val="22"/>
          <w:lang w:val="en-US"/>
        </w:rPr>
        <w:t xml:space="preserve">The steady-state design point analysis is performed under a fixed set of boundary conditions and assumptions, </w:t>
      </w:r>
      <w:r w:rsidR="003714B7" w:rsidRPr="007C1215">
        <w:rPr>
          <w:color w:val="000000"/>
          <w:sz w:val="20"/>
          <w:szCs w:val="22"/>
          <w:lang w:val="en-US"/>
        </w:rPr>
        <w:t>summarized</w:t>
      </w:r>
      <w:r w:rsidRPr="007C1215">
        <w:rPr>
          <w:color w:val="000000"/>
          <w:sz w:val="20"/>
          <w:szCs w:val="22"/>
          <w:lang w:val="en-US"/>
        </w:rPr>
        <w:t xml:space="preserve"> in </w:t>
      </w:r>
      <w:r w:rsidRPr="007C1215">
        <w:rPr>
          <w:color w:val="000000"/>
          <w:sz w:val="20"/>
          <w:szCs w:val="22"/>
          <w:lang w:val="en-US"/>
        </w:rPr>
        <w:fldChar w:fldCharType="begin"/>
      </w:r>
      <w:r w:rsidRPr="007C1215">
        <w:rPr>
          <w:color w:val="000000"/>
          <w:sz w:val="20"/>
          <w:szCs w:val="22"/>
          <w:lang w:val="en-US"/>
        </w:rPr>
        <w:instrText xml:space="preserve"> REF _Ref233107901 \h </w:instrText>
      </w:r>
      <w:r>
        <w:rPr>
          <w:color w:val="000000"/>
          <w:sz w:val="20"/>
          <w:szCs w:val="22"/>
          <w:lang w:val="en-US"/>
        </w:rPr>
        <w:instrText xml:space="preserve"> \* MERGEFORMAT </w:instrText>
      </w:r>
      <w:r w:rsidRPr="007C1215">
        <w:rPr>
          <w:color w:val="000000"/>
          <w:sz w:val="20"/>
          <w:szCs w:val="22"/>
          <w:lang w:val="en-US"/>
        </w:rPr>
      </w:r>
      <w:r w:rsidRPr="007C1215">
        <w:rPr>
          <w:color w:val="000000"/>
          <w:sz w:val="20"/>
          <w:szCs w:val="22"/>
          <w:lang w:val="en-US"/>
        </w:rPr>
        <w:fldChar w:fldCharType="separate"/>
      </w:r>
      <w:r w:rsidRPr="007C1215">
        <w:rPr>
          <w:color w:val="000000"/>
          <w:sz w:val="20"/>
          <w:szCs w:val="22"/>
          <w:lang w:val="en-US"/>
        </w:rPr>
        <w:t>Table 1</w:t>
      </w:r>
      <w:r w:rsidRPr="007C1215">
        <w:rPr>
          <w:color w:val="000000"/>
          <w:sz w:val="20"/>
          <w:szCs w:val="22"/>
          <w:lang w:val="en-US"/>
        </w:rPr>
        <w:fldChar w:fldCharType="end"/>
      </w:r>
      <w:r w:rsidRPr="007C1215">
        <w:rPr>
          <w:color w:val="000000"/>
          <w:sz w:val="20"/>
          <w:szCs w:val="22"/>
          <w:lang w:val="en-US"/>
        </w:rPr>
        <w:t>. These constraints define the envelope within which the pressure ratios are varied.</w:t>
      </w:r>
    </w:p>
    <w:p w14:paraId="0821288E" w14:textId="77777777" w:rsidR="007C1215" w:rsidRPr="007C1215" w:rsidRDefault="007C1215" w:rsidP="007C1215">
      <w:pPr>
        <w:rPr>
          <w:color w:val="000000"/>
          <w:sz w:val="20"/>
          <w:szCs w:val="22"/>
          <w:lang w:val="en-US"/>
        </w:rPr>
      </w:pPr>
    </w:p>
    <w:p w14:paraId="4E422EC1" w14:textId="32CD6093" w:rsidR="007C1215" w:rsidRPr="007C1215" w:rsidRDefault="007C1215" w:rsidP="00326867">
      <w:pPr>
        <w:pStyle w:val="SWCTableFigureCaption"/>
      </w:pPr>
      <w:bookmarkStart w:id="0" w:name="_Ref233107901"/>
      <w:r w:rsidRPr="007C1215">
        <w:t xml:space="preserve">Table </w:t>
      </w:r>
      <w:r>
        <w:fldChar w:fldCharType="begin"/>
      </w:r>
      <w:r w:rsidRPr="007C1215">
        <w:instrText xml:space="preserve"> SEQ Table \* ARABIC </w:instrText>
      </w:r>
      <w:r>
        <w:fldChar w:fldCharType="separate"/>
      </w:r>
      <w:r w:rsidR="006023B3">
        <w:rPr>
          <w:noProof/>
        </w:rPr>
        <w:t>1</w:t>
      </w:r>
      <w:r>
        <w:fldChar w:fldCharType="end"/>
      </w:r>
      <w:bookmarkEnd w:id="0"/>
      <w:r w:rsidRPr="007C1215">
        <w:t>: Boundary conditions and fixed parameters for the steady-state design analysis.</w:t>
      </w:r>
    </w:p>
    <w:tbl>
      <w:tblPr>
        <w:tblStyle w:val="Listentabelle7farbig"/>
        <w:tblW w:w="0" w:type="auto"/>
        <w:jc w:val="center"/>
        <w:tblLook w:val="04A0" w:firstRow="1" w:lastRow="0" w:firstColumn="1" w:lastColumn="0" w:noHBand="0" w:noVBand="1"/>
      </w:tblPr>
      <w:tblGrid>
        <w:gridCol w:w="5475"/>
        <w:gridCol w:w="861"/>
        <w:gridCol w:w="1206"/>
        <w:gridCol w:w="594"/>
      </w:tblGrid>
      <w:tr w:rsidR="007C1215" w:rsidRPr="008E7088" w14:paraId="57AB94B8" w14:textId="77777777" w:rsidTr="008E7088">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tcBorders>
              <w:right w:val="single" w:sz="4" w:space="0" w:color="auto"/>
            </w:tcBorders>
            <w:hideMark/>
          </w:tcPr>
          <w:p w14:paraId="5C087FC6" w14:textId="77777777" w:rsidR="007C1215" w:rsidRPr="008E7088" w:rsidRDefault="007C1215" w:rsidP="008E7088">
            <w:pPr>
              <w:jc w:val="center"/>
              <w:rPr>
                <w:b/>
                <w:bCs/>
                <w:i w:val="0"/>
                <w:iCs w:val="0"/>
                <w:sz w:val="20"/>
                <w:szCs w:val="20"/>
                <w:lang w:val="en-GB"/>
              </w:rPr>
            </w:pPr>
            <w:r w:rsidRPr="008E7088">
              <w:rPr>
                <w:b/>
                <w:bCs/>
                <w:i w:val="0"/>
                <w:iCs w:val="0"/>
                <w:sz w:val="20"/>
                <w:szCs w:val="20"/>
                <w:lang w:val="en-GB"/>
              </w:rPr>
              <w:t>Parameter</w:t>
            </w:r>
          </w:p>
        </w:tc>
        <w:tc>
          <w:tcPr>
            <w:tcW w:w="0" w:type="auto"/>
            <w:tcBorders>
              <w:left w:val="single" w:sz="4" w:space="0" w:color="auto"/>
              <w:right w:val="single" w:sz="4" w:space="0" w:color="auto"/>
            </w:tcBorders>
            <w:shd w:val="clear" w:color="auto" w:fill="auto"/>
            <w:hideMark/>
          </w:tcPr>
          <w:p w14:paraId="4D1AAAB7" w14:textId="77777777" w:rsidR="007C1215" w:rsidRPr="008E7088" w:rsidRDefault="007C1215" w:rsidP="008E7088">
            <w:pPr>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GB"/>
              </w:rPr>
            </w:pPr>
            <w:r w:rsidRPr="008E7088">
              <w:rPr>
                <w:b/>
                <w:bCs/>
                <w:i w:val="0"/>
                <w:iCs w:val="0"/>
                <w:sz w:val="20"/>
                <w:szCs w:val="20"/>
                <w:lang w:val="en-GB"/>
              </w:rPr>
              <w:t>Symbol</w:t>
            </w:r>
          </w:p>
        </w:tc>
        <w:tc>
          <w:tcPr>
            <w:tcW w:w="0" w:type="auto"/>
            <w:tcBorders>
              <w:left w:val="single" w:sz="4" w:space="0" w:color="auto"/>
              <w:right w:val="single" w:sz="4" w:space="0" w:color="auto"/>
            </w:tcBorders>
            <w:shd w:val="clear" w:color="auto" w:fill="auto"/>
            <w:hideMark/>
          </w:tcPr>
          <w:p w14:paraId="13141BE1" w14:textId="77777777" w:rsidR="007C1215" w:rsidRPr="008E7088" w:rsidRDefault="007C1215" w:rsidP="008E7088">
            <w:pPr>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GB"/>
              </w:rPr>
            </w:pPr>
            <w:r w:rsidRPr="008E7088">
              <w:rPr>
                <w:b/>
                <w:bCs/>
                <w:i w:val="0"/>
                <w:iCs w:val="0"/>
                <w:sz w:val="20"/>
                <w:szCs w:val="20"/>
                <w:lang w:val="en-GB"/>
              </w:rPr>
              <w:t>Value</w:t>
            </w:r>
          </w:p>
        </w:tc>
        <w:tc>
          <w:tcPr>
            <w:tcW w:w="0" w:type="auto"/>
            <w:tcBorders>
              <w:left w:val="single" w:sz="4" w:space="0" w:color="auto"/>
            </w:tcBorders>
            <w:shd w:val="clear" w:color="auto" w:fill="auto"/>
            <w:hideMark/>
          </w:tcPr>
          <w:p w14:paraId="057E41B6" w14:textId="77777777" w:rsidR="007C1215" w:rsidRPr="008E7088" w:rsidRDefault="007C1215" w:rsidP="008E7088">
            <w:pPr>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GB"/>
              </w:rPr>
            </w:pPr>
            <w:r w:rsidRPr="008E7088">
              <w:rPr>
                <w:b/>
                <w:bCs/>
                <w:i w:val="0"/>
                <w:iCs w:val="0"/>
                <w:sz w:val="20"/>
                <w:szCs w:val="20"/>
                <w:lang w:val="en-GB"/>
              </w:rPr>
              <w:t>Unit</w:t>
            </w:r>
          </w:p>
        </w:tc>
      </w:tr>
      <w:tr w:rsidR="007C1215" w:rsidRPr="008E7088" w14:paraId="6B21770F" w14:textId="77777777" w:rsidTr="008E708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6C753A1F" w14:textId="77777777" w:rsidR="007C1215" w:rsidRPr="008E7088" w:rsidRDefault="007C1215" w:rsidP="008E7088">
            <w:pPr>
              <w:jc w:val="center"/>
              <w:rPr>
                <w:i w:val="0"/>
                <w:iCs w:val="0"/>
                <w:sz w:val="20"/>
                <w:szCs w:val="20"/>
                <w:lang w:val="en-GB"/>
              </w:rPr>
            </w:pPr>
            <w:r w:rsidRPr="008E7088">
              <w:rPr>
                <w:i w:val="0"/>
                <w:iCs w:val="0"/>
                <w:sz w:val="20"/>
                <w:szCs w:val="20"/>
                <w:lang w:val="en-GB"/>
              </w:rPr>
              <w:t>Maximum allowable system pressure</w:t>
            </w:r>
          </w:p>
        </w:tc>
        <w:tc>
          <w:tcPr>
            <w:tcW w:w="0" w:type="auto"/>
            <w:tcBorders>
              <w:left w:val="single" w:sz="4" w:space="0" w:color="auto"/>
              <w:right w:val="single" w:sz="4" w:space="0" w:color="auto"/>
            </w:tcBorders>
            <w:shd w:val="clear" w:color="auto" w:fill="auto"/>
            <w:hideMark/>
          </w:tcPr>
          <w:p w14:paraId="6843AAF3" w14:textId="5CC6735F"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P</w:t>
            </w:r>
            <w:r w:rsidRPr="003714B7">
              <w:rPr>
                <w:sz w:val="22"/>
                <w:szCs w:val="22"/>
                <w:vertAlign w:val="subscript"/>
                <w:lang w:val="en-GB"/>
              </w:rPr>
              <w:t>max</w:t>
            </w:r>
          </w:p>
        </w:tc>
        <w:tc>
          <w:tcPr>
            <w:tcW w:w="0" w:type="auto"/>
            <w:tcBorders>
              <w:left w:val="single" w:sz="4" w:space="0" w:color="auto"/>
              <w:right w:val="single" w:sz="4" w:space="0" w:color="auto"/>
            </w:tcBorders>
            <w:shd w:val="clear" w:color="auto" w:fill="auto"/>
            <w:hideMark/>
          </w:tcPr>
          <w:p w14:paraId="07021781" w14:textId="77777777"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250</w:t>
            </w:r>
          </w:p>
        </w:tc>
        <w:tc>
          <w:tcPr>
            <w:tcW w:w="0" w:type="auto"/>
            <w:tcBorders>
              <w:left w:val="single" w:sz="4" w:space="0" w:color="auto"/>
            </w:tcBorders>
            <w:shd w:val="clear" w:color="auto" w:fill="auto"/>
            <w:hideMark/>
          </w:tcPr>
          <w:p w14:paraId="764C6090" w14:textId="77777777"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bar</w:t>
            </w:r>
          </w:p>
        </w:tc>
      </w:tr>
      <w:tr w:rsidR="007C1215" w:rsidRPr="008E7088" w14:paraId="6866377D" w14:textId="77777777" w:rsidTr="008E7088">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7DE1794D" w14:textId="77777777" w:rsidR="007C1215" w:rsidRPr="008E7088" w:rsidRDefault="007C1215" w:rsidP="008E7088">
            <w:pPr>
              <w:jc w:val="center"/>
              <w:rPr>
                <w:i w:val="0"/>
                <w:iCs w:val="0"/>
                <w:sz w:val="20"/>
                <w:szCs w:val="20"/>
                <w:lang w:val="en-GB"/>
              </w:rPr>
            </w:pPr>
            <w:r w:rsidRPr="008E7088">
              <w:rPr>
                <w:i w:val="0"/>
                <w:iCs w:val="0"/>
                <w:sz w:val="20"/>
                <w:szCs w:val="20"/>
                <w:lang w:val="en-GB"/>
              </w:rPr>
              <w:t>HP compressor inlet pressure</w:t>
            </w:r>
          </w:p>
        </w:tc>
        <w:tc>
          <w:tcPr>
            <w:tcW w:w="0" w:type="auto"/>
            <w:tcBorders>
              <w:left w:val="single" w:sz="4" w:space="0" w:color="auto"/>
              <w:right w:val="single" w:sz="4" w:space="0" w:color="auto"/>
            </w:tcBorders>
            <w:hideMark/>
          </w:tcPr>
          <w:p w14:paraId="4DF76CBE" w14:textId="5C6D6B13"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P</w:t>
            </w:r>
            <w:r w:rsidRPr="003714B7">
              <w:rPr>
                <w:sz w:val="22"/>
                <w:szCs w:val="22"/>
                <w:vertAlign w:val="subscript"/>
                <w:lang w:val="en-GB"/>
              </w:rPr>
              <w:t>in,HP</w:t>
            </w:r>
          </w:p>
        </w:tc>
        <w:tc>
          <w:tcPr>
            <w:tcW w:w="0" w:type="auto"/>
            <w:tcBorders>
              <w:left w:val="single" w:sz="4" w:space="0" w:color="auto"/>
              <w:right w:val="single" w:sz="4" w:space="0" w:color="auto"/>
            </w:tcBorders>
            <w:hideMark/>
          </w:tcPr>
          <w:p w14:paraId="281392E9" w14:textId="77777777"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90</w:t>
            </w:r>
          </w:p>
        </w:tc>
        <w:tc>
          <w:tcPr>
            <w:tcW w:w="0" w:type="auto"/>
            <w:tcBorders>
              <w:left w:val="single" w:sz="4" w:space="0" w:color="auto"/>
            </w:tcBorders>
            <w:hideMark/>
          </w:tcPr>
          <w:p w14:paraId="11F7BEFA" w14:textId="77777777"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bar</w:t>
            </w:r>
          </w:p>
        </w:tc>
      </w:tr>
      <w:tr w:rsidR="007C1215" w:rsidRPr="008E7088" w14:paraId="556F9262" w14:textId="77777777" w:rsidTr="008E708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346B98DE" w14:textId="77777777" w:rsidR="007C1215" w:rsidRPr="008E7088" w:rsidRDefault="007C1215" w:rsidP="008E7088">
            <w:pPr>
              <w:jc w:val="center"/>
              <w:rPr>
                <w:i w:val="0"/>
                <w:iCs w:val="0"/>
                <w:sz w:val="20"/>
                <w:szCs w:val="20"/>
                <w:lang w:val="en-GB"/>
              </w:rPr>
            </w:pPr>
            <w:r w:rsidRPr="008E7088">
              <w:rPr>
                <w:i w:val="0"/>
                <w:iCs w:val="0"/>
                <w:sz w:val="20"/>
                <w:szCs w:val="20"/>
                <w:lang w:val="en-GB"/>
              </w:rPr>
              <w:t>HE compressor inlet pressure</w:t>
            </w:r>
          </w:p>
        </w:tc>
        <w:tc>
          <w:tcPr>
            <w:tcW w:w="0" w:type="auto"/>
            <w:tcBorders>
              <w:left w:val="single" w:sz="4" w:space="0" w:color="auto"/>
              <w:right w:val="single" w:sz="4" w:space="0" w:color="auto"/>
            </w:tcBorders>
            <w:shd w:val="clear" w:color="auto" w:fill="auto"/>
            <w:hideMark/>
          </w:tcPr>
          <w:p w14:paraId="1ED44A0D" w14:textId="6CB1A273"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P</w:t>
            </w:r>
            <w:r w:rsidRPr="003714B7">
              <w:rPr>
                <w:sz w:val="22"/>
                <w:szCs w:val="22"/>
                <w:vertAlign w:val="subscript"/>
                <w:lang w:val="en-GB"/>
              </w:rPr>
              <w:t>in,HE</w:t>
            </w:r>
          </w:p>
        </w:tc>
        <w:tc>
          <w:tcPr>
            <w:tcW w:w="0" w:type="auto"/>
            <w:tcBorders>
              <w:left w:val="single" w:sz="4" w:space="0" w:color="auto"/>
              <w:right w:val="single" w:sz="4" w:space="0" w:color="auto"/>
            </w:tcBorders>
            <w:shd w:val="clear" w:color="auto" w:fill="auto"/>
            <w:hideMark/>
          </w:tcPr>
          <w:p w14:paraId="5129A08D" w14:textId="77777777"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85</w:t>
            </w:r>
          </w:p>
        </w:tc>
        <w:tc>
          <w:tcPr>
            <w:tcW w:w="0" w:type="auto"/>
            <w:tcBorders>
              <w:left w:val="single" w:sz="4" w:space="0" w:color="auto"/>
            </w:tcBorders>
            <w:shd w:val="clear" w:color="auto" w:fill="auto"/>
            <w:hideMark/>
          </w:tcPr>
          <w:p w14:paraId="4501142B" w14:textId="77777777"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bar</w:t>
            </w:r>
          </w:p>
        </w:tc>
      </w:tr>
      <w:tr w:rsidR="007C1215" w:rsidRPr="008E7088" w14:paraId="62C97E8B" w14:textId="77777777" w:rsidTr="008E7088">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344F8E7F" w14:textId="77777777" w:rsidR="007C1215" w:rsidRPr="008E7088" w:rsidRDefault="007C1215" w:rsidP="008E7088">
            <w:pPr>
              <w:jc w:val="center"/>
              <w:rPr>
                <w:i w:val="0"/>
                <w:iCs w:val="0"/>
                <w:sz w:val="20"/>
                <w:szCs w:val="20"/>
                <w:lang w:val="en-GB"/>
              </w:rPr>
            </w:pPr>
            <w:r w:rsidRPr="008E7088">
              <w:rPr>
                <w:i w:val="0"/>
                <w:iCs w:val="0"/>
                <w:sz w:val="20"/>
                <w:szCs w:val="20"/>
                <w:lang w:val="en-GB"/>
              </w:rPr>
              <w:t>HE compressor inlet temperature (after cooler)</w:t>
            </w:r>
          </w:p>
        </w:tc>
        <w:tc>
          <w:tcPr>
            <w:tcW w:w="0" w:type="auto"/>
            <w:tcBorders>
              <w:left w:val="single" w:sz="4" w:space="0" w:color="auto"/>
              <w:right w:val="single" w:sz="4" w:space="0" w:color="auto"/>
            </w:tcBorders>
            <w:hideMark/>
          </w:tcPr>
          <w:p w14:paraId="6B1A7041" w14:textId="75B1FADA"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T</w:t>
            </w:r>
            <w:r w:rsidRPr="003714B7">
              <w:rPr>
                <w:sz w:val="22"/>
                <w:szCs w:val="22"/>
                <w:vertAlign w:val="subscript"/>
                <w:lang w:val="en-GB"/>
              </w:rPr>
              <w:t>1,HE</w:t>
            </w:r>
          </w:p>
        </w:tc>
        <w:tc>
          <w:tcPr>
            <w:tcW w:w="0" w:type="auto"/>
            <w:tcBorders>
              <w:left w:val="single" w:sz="4" w:space="0" w:color="auto"/>
              <w:right w:val="single" w:sz="4" w:space="0" w:color="auto"/>
            </w:tcBorders>
            <w:hideMark/>
          </w:tcPr>
          <w:p w14:paraId="705170CF" w14:textId="77777777"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35</w:t>
            </w:r>
          </w:p>
        </w:tc>
        <w:tc>
          <w:tcPr>
            <w:tcW w:w="0" w:type="auto"/>
            <w:tcBorders>
              <w:left w:val="single" w:sz="4" w:space="0" w:color="auto"/>
            </w:tcBorders>
            <w:hideMark/>
          </w:tcPr>
          <w:p w14:paraId="7F61B77F" w14:textId="77777777"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°C</w:t>
            </w:r>
          </w:p>
        </w:tc>
      </w:tr>
      <w:tr w:rsidR="007C1215" w:rsidRPr="008E7088" w14:paraId="17908DE8" w14:textId="77777777" w:rsidTr="008E708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67087AA1" w14:textId="77777777" w:rsidR="007C1215" w:rsidRPr="008E7088" w:rsidRDefault="007C1215" w:rsidP="008E7088">
            <w:pPr>
              <w:jc w:val="center"/>
              <w:rPr>
                <w:i w:val="0"/>
                <w:iCs w:val="0"/>
                <w:sz w:val="20"/>
                <w:szCs w:val="20"/>
                <w:lang w:val="en-GB"/>
              </w:rPr>
            </w:pPr>
            <w:r w:rsidRPr="008E7088">
              <w:rPr>
                <w:i w:val="0"/>
                <w:iCs w:val="0"/>
                <w:sz w:val="20"/>
                <w:szCs w:val="20"/>
                <w:lang w:val="en-GB"/>
              </w:rPr>
              <w:t>Waste heat source inlet temperature</w:t>
            </w:r>
          </w:p>
        </w:tc>
        <w:tc>
          <w:tcPr>
            <w:tcW w:w="0" w:type="auto"/>
            <w:tcBorders>
              <w:left w:val="single" w:sz="4" w:space="0" w:color="auto"/>
              <w:right w:val="single" w:sz="4" w:space="0" w:color="auto"/>
            </w:tcBorders>
            <w:shd w:val="clear" w:color="auto" w:fill="auto"/>
            <w:hideMark/>
          </w:tcPr>
          <w:p w14:paraId="4B554E0D" w14:textId="47F17EBF"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T</w:t>
            </w:r>
            <w:r w:rsidRPr="003714B7">
              <w:rPr>
                <w:sz w:val="22"/>
                <w:szCs w:val="22"/>
                <w:vertAlign w:val="subscript"/>
                <w:lang w:val="en-GB"/>
              </w:rPr>
              <w:t>waste,in</w:t>
            </w:r>
          </w:p>
        </w:tc>
        <w:tc>
          <w:tcPr>
            <w:tcW w:w="0" w:type="auto"/>
            <w:tcBorders>
              <w:left w:val="single" w:sz="4" w:space="0" w:color="auto"/>
              <w:right w:val="single" w:sz="4" w:space="0" w:color="auto"/>
            </w:tcBorders>
            <w:shd w:val="clear" w:color="auto" w:fill="auto"/>
            <w:hideMark/>
          </w:tcPr>
          <w:p w14:paraId="22A02137" w14:textId="77777777"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350</w:t>
            </w:r>
          </w:p>
        </w:tc>
        <w:tc>
          <w:tcPr>
            <w:tcW w:w="0" w:type="auto"/>
            <w:tcBorders>
              <w:left w:val="single" w:sz="4" w:space="0" w:color="auto"/>
            </w:tcBorders>
            <w:shd w:val="clear" w:color="auto" w:fill="auto"/>
            <w:hideMark/>
          </w:tcPr>
          <w:p w14:paraId="7427024F" w14:textId="77777777"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°C</w:t>
            </w:r>
          </w:p>
        </w:tc>
      </w:tr>
      <w:tr w:rsidR="007C1215" w:rsidRPr="008E7088" w14:paraId="334701D8" w14:textId="77777777" w:rsidTr="008E7088">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1FA0C4D7" w14:textId="77777777" w:rsidR="007C1215" w:rsidRPr="008E7088" w:rsidRDefault="007C1215" w:rsidP="008E7088">
            <w:pPr>
              <w:jc w:val="center"/>
              <w:rPr>
                <w:i w:val="0"/>
                <w:iCs w:val="0"/>
                <w:sz w:val="20"/>
                <w:szCs w:val="20"/>
                <w:lang w:val="en-GB"/>
              </w:rPr>
            </w:pPr>
            <w:r w:rsidRPr="008E7088">
              <w:rPr>
                <w:i w:val="0"/>
                <w:iCs w:val="0"/>
                <w:sz w:val="20"/>
                <w:szCs w:val="20"/>
                <w:lang w:val="en-GB"/>
              </w:rPr>
              <w:t>Waste heat source mass flow rate</w:t>
            </w:r>
          </w:p>
        </w:tc>
        <w:tc>
          <w:tcPr>
            <w:tcW w:w="0" w:type="auto"/>
            <w:tcBorders>
              <w:left w:val="single" w:sz="4" w:space="0" w:color="auto"/>
              <w:right w:val="single" w:sz="4" w:space="0" w:color="auto"/>
            </w:tcBorders>
            <w:hideMark/>
          </w:tcPr>
          <w:p w14:paraId="75AC317C" w14:textId="1698417A"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ṁ</w:t>
            </w:r>
            <w:r w:rsidRPr="003714B7">
              <w:rPr>
                <w:sz w:val="22"/>
                <w:szCs w:val="22"/>
                <w:vertAlign w:val="subscript"/>
                <w:lang w:val="en-GB"/>
              </w:rPr>
              <w:t>waste</w:t>
            </w:r>
          </w:p>
        </w:tc>
        <w:tc>
          <w:tcPr>
            <w:tcW w:w="0" w:type="auto"/>
            <w:tcBorders>
              <w:left w:val="single" w:sz="4" w:space="0" w:color="auto"/>
              <w:right w:val="single" w:sz="4" w:space="0" w:color="auto"/>
            </w:tcBorders>
            <w:hideMark/>
          </w:tcPr>
          <w:p w14:paraId="69F369E4" w14:textId="77777777"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45.3</w:t>
            </w:r>
          </w:p>
        </w:tc>
        <w:tc>
          <w:tcPr>
            <w:tcW w:w="0" w:type="auto"/>
            <w:tcBorders>
              <w:left w:val="single" w:sz="4" w:space="0" w:color="auto"/>
            </w:tcBorders>
            <w:hideMark/>
          </w:tcPr>
          <w:p w14:paraId="3A3235CE" w14:textId="77777777"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kg/s</w:t>
            </w:r>
          </w:p>
        </w:tc>
      </w:tr>
      <w:tr w:rsidR="007C1215" w:rsidRPr="008E7088" w14:paraId="698CA2F7" w14:textId="77777777" w:rsidTr="008E708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461E856C" w14:textId="77777777" w:rsidR="007C1215" w:rsidRPr="008E7088" w:rsidRDefault="007C1215" w:rsidP="008E7088">
            <w:pPr>
              <w:jc w:val="center"/>
              <w:rPr>
                <w:i w:val="0"/>
                <w:iCs w:val="0"/>
                <w:sz w:val="20"/>
                <w:szCs w:val="20"/>
                <w:lang w:val="en-GB"/>
              </w:rPr>
            </w:pPr>
            <w:r w:rsidRPr="008E7088">
              <w:rPr>
                <w:i w:val="0"/>
                <w:iCs w:val="0"/>
                <w:sz w:val="20"/>
                <w:szCs w:val="20"/>
                <w:lang w:val="en-GB"/>
              </w:rPr>
              <w:t>Working fluid (both cycles)</w:t>
            </w:r>
          </w:p>
        </w:tc>
        <w:tc>
          <w:tcPr>
            <w:tcW w:w="0" w:type="auto"/>
            <w:tcBorders>
              <w:left w:val="single" w:sz="4" w:space="0" w:color="auto"/>
              <w:right w:val="single" w:sz="4" w:space="0" w:color="auto"/>
            </w:tcBorders>
            <w:shd w:val="clear" w:color="auto" w:fill="auto"/>
            <w:hideMark/>
          </w:tcPr>
          <w:p w14:paraId="1BF164CA" w14:textId="77777777"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w:t>
            </w:r>
          </w:p>
        </w:tc>
        <w:tc>
          <w:tcPr>
            <w:tcW w:w="0" w:type="auto"/>
            <w:tcBorders>
              <w:left w:val="single" w:sz="4" w:space="0" w:color="auto"/>
              <w:right w:val="single" w:sz="4" w:space="0" w:color="auto"/>
            </w:tcBorders>
            <w:shd w:val="clear" w:color="auto" w:fill="auto"/>
            <w:hideMark/>
          </w:tcPr>
          <w:p w14:paraId="16B46A15" w14:textId="4D79E077" w:rsidR="007C1215" w:rsidRPr="008E7088" w:rsidRDefault="008E7088"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s</w:t>
            </w:r>
            <w:r w:rsidR="007C1215" w:rsidRPr="008E7088">
              <w:rPr>
                <w:sz w:val="22"/>
                <w:szCs w:val="22"/>
                <w:lang w:val="en-GB"/>
              </w:rPr>
              <w:t>CO₂</w:t>
            </w:r>
          </w:p>
        </w:tc>
        <w:tc>
          <w:tcPr>
            <w:tcW w:w="0" w:type="auto"/>
            <w:tcBorders>
              <w:left w:val="single" w:sz="4" w:space="0" w:color="auto"/>
            </w:tcBorders>
            <w:shd w:val="clear" w:color="auto" w:fill="auto"/>
            <w:hideMark/>
          </w:tcPr>
          <w:p w14:paraId="22567329" w14:textId="77777777"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w:t>
            </w:r>
          </w:p>
        </w:tc>
      </w:tr>
      <w:tr w:rsidR="007C1215" w:rsidRPr="008E7088" w14:paraId="5E53CF76" w14:textId="77777777" w:rsidTr="008E7088">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5354CAFA" w14:textId="4CBFAB9E" w:rsidR="007C1215" w:rsidRPr="008E7088" w:rsidRDefault="007C1215" w:rsidP="008E7088">
            <w:pPr>
              <w:jc w:val="center"/>
              <w:rPr>
                <w:i w:val="0"/>
                <w:iCs w:val="0"/>
                <w:sz w:val="20"/>
                <w:szCs w:val="20"/>
                <w:lang w:val="en-GB"/>
              </w:rPr>
            </w:pPr>
            <w:r w:rsidRPr="008E7088">
              <w:rPr>
                <w:i w:val="0"/>
                <w:iCs w:val="0"/>
                <w:sz w:val="20"/>
                <w:szCs w:val="20"/>
                <w:lang w:val="en-GB"/>
              </w:rPr>
              <w:t xml:space="preserve">Minimum pinch point temperature difference (all </w:t>
            </w:r>
            <w:r w:rsidR="003714B7">
              <w:rPr>
                <w:i w:val="0"/>
                <w:iCs w:val="0"/>
                <w:sz w:val="20"/>
                <w:szCs w:val="20"/>
                <w:lang w:val="en-GB"/>
              </w:rPr>
              <w:t>heat exchanger</w:t>
            </w:r>
            <w:r w:rsidRPr="008E7088">
              <w:rPr>
                <w:i w:val="0"/>
                <w:iCs w:val="0"/>
                <w:sz w:val="20"/>
                <w:szCs w:val="20"/>
                <w:lang w:val="en-GB"/>
              </w:rPr>
              <w:t>)</w:t>
            </w:r>
          </w:p>
        </w:tc>
        <w:tc>
          <w:tcPr>
            <w:tcW w:w="0" w:type="auto"/>
            <w:tcBorders>
              <w:left w:val="single" w:sz="4" w:space="0" w:color="auto"/>
              <w:right w:val="single" w:sz="4" w:space="0" w:color="auto"/>
            </w:tcBorders>
            <w:hideMark/>
          </w:tcPr>
          <w:p w14:paraId="76FBAC36" w14:textId="6A14A1DC"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ΔT</w:t>
            </w:r>
            <w:r w:rsidRPr="003714B7">
              <w:rPr>
                <w:sz w:val="22"/>
                <w:szCs w:val="22"/>
                <w:vertAlign w:val="subscript"/>
                <w:lang w:val="en-GB"/>
              </w:rPr>
              <w:t>pinch</w:t>
            </w:r>
          </w:p>
        </w:tc>
        <w:tc>
          <w:tcPr>
            <w:tcW w:w="0" w:type="auto"/>
            <w:tcBorders>
              <w:left w:val="single" w:sz="4" w:space="0" w:color="auto"/>
              <w:right w:val="single" w:sz="4" w:space="0" w:color="auto"/>
            </w:tcBorders>
            <w:hideMark/>
          </w:tcPr>
          <w:p w14:paraId="300A9A31" w14:textId="77777777"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15</w:t>
            </w:r>
          </w:p>
        </w:tc>
        <w:tc>
          <w:tcPr>
            <w:tcW w:w="0" w:type="auto"/>
            <w:tcBorders>
              <w:left w:val="single" w:sz="4" w:space="0" w:color="auto"/>
            </w:tcBorders>
            <w:hideMark/>
          </w:tcPr>
          <w:p w14:paraId="21CA05F8" w14:textId="77777777"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K</w:t>
            </w:r>
          </w:p>
        </w:tc>
      </w:tr>
      <w:tr w:rsidR="007C1215" w:rsidRPr="008E7088" w14:paraId="05A08640" w14:textId="77777777" w:rsidTr="008E708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504ACFF0" w14:textId="77777777" w:rsidR="007C1215" w:rsidRPr="008E7088" w:rsidRDefault="007C1215" w:rsidP="008E7088">
            <w:pPr>
              <w:jc w:val="center"/>
              <w:rPr>
                <w:i w:val="0"/>
                <w:iCs w:val="0"/>
                <w:sz w:val="20"/>
                <w:szCs w:val="20"/>
                <w:lang w:val="en-GB"/>
              </w:rPr>
            </w:pPr>
            <w:r w:rsidRPr="008E7088">
              <w:rPr>
                <w:i w:val="0"/>
                <w:iCs w:val="0"/>
                <w:sz w:val="20"/>
                <w:szCs w:val="20"/>
                <w:lang w:val="en-GB"/>
              </w:rPr>
              <w:t>HP pressure ratio range investigated</w:t>
            </w:r>
          </w:p>
        </w:tc>
        <w:tc>
          <w:tcPr>
            <w:tcW w:w="0" w:type="auto"/>
            <w:tcBorders>
              <w:left w:val="single" w:sz="4" w:space="0" w:color="auto"/>
              <w:right w:val="single" w:sz="4" w:space="0" w:color="auto"/>
            </w:tcBorders>
            <w:shd w:val="clear" w:color="auto" w:fill="auto"/>
            <w:hideMark/>
          </w:tcPr>
          <w:p w14:paraId="6117FD82" w14:textId="34926C22"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PR</w:t>
            </w:r>
            <w:r w:rsidRPr="003714B7">
              <w:rPr>
                <w:sz w:val="22"/>
                <w:szCs w:val="22"/>
                <w:vertAlign w:val="subscript"/>
                <w:lang w:val="en-GB"/>
              </w:rPr>
              <w:t>HP</w:t>
            </w:r>
          </w:p>
        </w:tc>
        <w:tc>
          <w:tcPr>
            <w:tcW w:w="0" w:type="auto"/>
            <w:tcBorders>
              <w:left w:val="single" w:sz="4" w:space="0" w:color="auto"/>
              <w:right w:val="single" w:sz="4" w:space="0" w:color="auto"/>
            </w:tcBorders>
            <w:shd w:val="clear" w:color="auto" w:fill="auto"/>
            <w:hideMark/>
          </w:tcPr>
          <w:p w14:paraId="70653D77" w14:textId="77777777"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1.65 – 2.70</w:t>
            </w:r>
          </w:p>
        </w:tc>
        <w:tc>
          <w:tcPr>
            <w:tcW w:w="0" w:type="auto"/>
            <w:tcBorders>
              <w:left w:val="single" w:sz="4" w:space="0" w:color="auto"/>
            </w:tcBorders>
            <w:shd w:val="clear" w:color="auto" w:fill="auto"/>
            <w:hideMark/>
          </w:tcPr>
          <w:p w14:paraId="76F3E4E1" w14:textId="77777777" w:rsidR="007C1215" w:rsidRPr="008E7088" w:rsidRDefault="007C1215" w:rsidP="008E7088">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8E7088">
              <w:rPr>
                <w:sz w:val="22"/>
                <w:szCs w:val="22"/>
                <w:lang w:val="en-GB"/>
              </w:rPr>
              <w:t>—</w:t>
            </w:r>
          </w:p>
        </w:tc>
      </w:tr>
      <w:tr w:rsidR="007C1215" w:rsidRPr="008E7088" w14:paraId="2D624D88" w14:textId="77777777" w:rsidTr="008E7088">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7A4AF820" w14:textId="77777777" w:rsidR="007C1215" w:rsidRPr="008E7088" w:rsidRDefault="007C1215" w:rsidP="008E7088">
            <w:pPr>
              <w:jc w:val="center"/>
              <w:rPr>
                <w:i w:val="0"/>
                <w:iCs w:val="0"/>
                <w:sz w:val="20"/>
                <w:szCs w:val="20"/>
                <w:lang w:val="en-GB"/>
              </w:rPr>
            </w:pPr>
            <w:r w:rsidRPr="008E7088">
              <w:rPr>
                <w:i w:val="0"/>
                <w:iCs w:val="0"/>
                <w:sz w:val="20"/>
                <w:szCs w:val="20"/>
                <w:lang w:val="en-GB"/>
              </w:rPr>
              <w:t>HE pressure ratio range investigated</w:t>
            </w:r>
          </w:p>
        </w:tc>
        <w:tc>
          <w:tcPr>
            <w:tcW w:w="0" w:type="auto"/>
            <w:tcBorders>
              <w:left w:val="single" w:sz="4" w:space="0" w:color="auto"/>
              <w:right w:val="single" w:sz="4" w:space="0" w:color="auto"/>
            </w:tcBorders>
            <w:hideMark/>
          </w:tcPr>
          <w:p w14:paraId="291DCA47" w14:textId="704B2DD0"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PR</w:t>
            </w:r>
            <w:r w:rsidRPr="003714B7">
              <w:rPr>
                <w:sz w:val="22"/>
                <w:szCs w:val="22"/>
                <w:vertAlign w:val="subscript"/>
                <w:lang w:val="en-GB"/>
              </w:rPr>
              <w:t>HE</w:t>
            </w:r>
          </w:p>
        </w:tc>
        <w:tc>
          <w:tcPr>
            <w:tcW w:w="0" w:type="auto"/>
            <w:tcBorders>
              <w:left w:val="single" w:sz="4" w:space="0" w:color="auto"/>
              <w:right w:val="single" w:sz="4" w:space="0" w:color="auto"/>
            </w:tcBorders>
            <w:hideMark/>
          </w:tcPr>
          <w:p w14:paraId="76E5D9EF" w14:textId="77777777"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1.80 – 2.70</w:t>
            </w:r>
          </w:p>
        </w:tc>
        <w:tc>
          <w:tcPr>
            <w:tcW w:w="0" w:type="auto"/>
            <w:tcBorders>
              <w:left w:val="single" w:sz="4" w:space="0" w:color="auto"/>
            </w:tcBorders>
            <w:hideMark/>
          </w:tcPr>
          <w:p w14:paraId="6AE6A55A" w14:textId="77777777" w:rsidR="007C1215" w:rsidRPr="008E7088" w:rsidRDefault="007C1215" w:rsidP="008E7088">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8E7088">
              <w:rPr>
                <w:sz w:val="22"/>
                <w:szCs w:val="22"/>
                <w:lang w:val="en-GB"/>
              </w:rPr>
              <w:t>—</w:t>
            </w:r>
          </w:p>
        </w:tc>
      </w:tr>
    </w:tbl>
    <w:p w14:paraId="06FB5620" w14:textId="77777777" w:rsidR="007C1215" w:rsidRDefault="007C1215" w:rsidP="008E7088">
      <w:pPr>
        <w:jc w:val="center"/>
        <w:rPr>
          <w:lang w:val="en-GB"/>
        </w:rPr>
      </w:pPr>
    </w:p>
    <w:p w14:paraId="2F451A2C" w14:textId="22112669" w:rsidR="007C1215" w:rsidRPr="007C1215" w:rsidRDefault="007C1215" w:rsidP="00AF7321">
      <w:pPr>
        <w:pStyle w:val="SWCText"/>
      </w:pPr>
      <w:r w:rsidRPr="007C1215">
        <w:t>The following key assumptions apply:</w:t>
      </w:r>
    </w:p>
    <w:p w14:paraId="0909D391" w14:textId="77777777" w:rsidR="007C1215" w:rsidRPr="00AF7321" w:rsidRDefault="007C1215" w:rsidP="00AF7321">
      <w:pPr>
        <w:pStyle w:val="SWCText"/>
        <w:numPr>
          <w:ilvl w:val="0"/>
          <w:numId w:val="17"/>
        </w:numPr>
      </w:pPr>
      <w:r w:rsidRPr="00AF7321">
        <w:t>Steady-state operation at design point conditions; transient effects during start-up and shut-down are not considered in this step.</w:t>
      </w:r>
    </w:p>
    <w:p w14:paraId="59062363" w14:textId="77777777" w:rsidR="007C1215" w:rsidRPr="00AF7321" w:rsidRDefault="007C1215" w:rsidP="00AF7321">
      <w:pPr>
        <w:pStyle w:val="SWCText"/>
        <w:numPr>
          <w:ilvl w:val="0"/>
          <w:numId w:val="17"/>
        </w:numPr>
      </w:pPr>
      <w:r w:rsidRPr="00AF7321">
        <w:t>Fixed isentropic efficiencies for all turbomachinery (compressors and turbines), reflected in the computed state point temperatures and pressures.</w:t>
      </w:r>
    </w:p>
    <w:p w14:paraId="0C8E1CA6" w14:textId="54DF5F14" w:rsidR="007C1215" w:rsidRPr="00AF7321" w:rsidRDefault="007C1215" w:rsidP="00AF7321">
      <w:pPr>
        <w:pStyle w:val="SWCText"/>
        <w:numPr>
          <w:ilvl w:val="0"/>
          <w:numId w:val="17"/>
        </w:numPr>
      </w:pPr>
      <w:r w:rsidRPr="00AF7321">
        <w:t>The waste heat source is continuously available at the specified temperature and flow rate during charging, corresponding to approx. 10 MW</w:t>
      </w:r>
      <w:r w:rsidRPr="003714B7">
        <w:rPr>
          <w:vertAlign w:val="subscript"/>
        </w:rPr>
        <w:t>th</w:t>
      </w:r>
      <w:r w:rsidRPr="00AF7321">
        <w:t xml:space="preserve"> waste-heat.</w:t>
      </w:r>
    </w:p>
    <w:p w14:paraId="42EDD656" w14:textId="77777777" w:rsidR="007C1215" w:rsidRPr="00AF7321" w:rsidRDefault="007C1215" w:rsidP="00AF7321">
      <w:pPr>
        <w:pStyle w:val="SWCText"/>
        <w:numPr>
          <w:ilvl w:val="0"/>
          <w:numId w:val="17"/>
        </w:numPr>
      </w:pPr>
      <w:r w:rsidRPr="00AF7321">
        <w:t>Ambient/cooling water temperature for the HE cycle cooler is fixed at 35 °C (corresponding to HE compressor inlet conditions).</w:t>
      </w:r>
    </w:p>
    <w:p w14:paraId="39446667" w14:textId="03C721B9" w:rsidR="007C1215" w:rsidRPr="00AF7321" w:rsidRDefault="007C1215" w:rsidP="00AF7321">
      <w:pPr>
        <w:pStyle w:val="SWCText"/>
        <w:numPr>
          <w:ilvl w:val="0"/>
          <w:numId w:val="17"/>
        </w:numPr>
      </w:pPr>
      <w:r w:rsidRPr="00AF7321">
        <w:t>The maximum pressure constraint (250 bar) limits the maximum achievable PR</w:t>
      </w:r>
      <w:r w:rsidR="003714B7">
        <w:rPr>
          <w:vertAlign w:val="subscript"/>
        </w:rPr>
        <w:t>HP</w:t>
      </w:r>
      <w:r w:rsidRPr="00AF7321">
        <w:t xml:space="preserve"> to 2.78 (= 250/90) and PR</w:t>
      </w:r>
      <w:r w:rsidR="003714B7">
        <w:rPr>
          <w:vertAlign w:val="subscript"/>
        </w:rPr>
        <w:t>HE</w:t>
      </w:r>
      <w:r w:rsidRPr="00AF7321">
        <w:t xml:space="preserve"> to 2.94 (= 250/85); all selected configurations remain within this limit.</w:t>
      </w:r>
    </w:p>
    <w:p w14:paraId="7502C47D" w14:textId="77777777" w:rsidR="007C1215" w:rsidRPr="007C1215" w:rsidRDefault="007C1215" w:rsidP="007C1215">
      <w:pPr>
        <w:rPr>
          <w:lang w:val="en-GB"/>
        </w:rPr>
      </w:pPr>
    </w:p>
    <w:p w14:paraId="35D45F67" w14:textId="77777777" w:rsidR="00297BA0" w:rsidRPr="0055407E" w:rsidRDefault="00297BA0" w:rsidP="00A62F8E">
      <w:pPr>
        <w:pStyle w:val="SWCText"/>
      </w:pPr>
      <w:r w:rsidRPr="0055407E">
        <w:t>The thermodynamic design space was explored through a large-scale parametric screening.</w:t>
      </w:r>
    </w:p>
    <w:p w14:paraId="2F5CC969" w14:textId="77777777" w:rsidR="00297BA0" w:rsidRDefault="00297BA0" w:rsidP="00A62F8E">
      <w:pPr>
        <w:pStyle w:val="SWCText"/>
      </w:pPr>
      <w:r>
        <w:lastRenderedPageBreak/>
        <w:t>The investigated parameters included:</w:t>
      </w:r>
    </w:p>
    <w:p w14:paraId="15A79691" w14:textId="77777777" w:rsidR="00297BA0" w:rsidRPr="0055407E" w:rsidRDefault="00297BA0" w:rsidP="00A62F8E">
      <w:pPr>
        <w:pStyle w:val="SWCText"/>
        <w:numPr>
          <w:ilvl w:val="0"/>
          <w:numId w:val="17"/>
        </w:numPr>
      </w:pPr>
      <w:r w:rsidRPr="0055407E">
        <w:t xml:space="preserve">charging-cycle pressure ratio </w:t>
      </w:r>
      <w:r>
        <w:t>PR</w:t>
      </w:r>
      <w:r w:rsidRPr="00812CAD">
        <w:rPr>
          <w:vertAlign w:val="subscript"/>
        </w:rPr>
        <w:t>HP</w:t>
      </w:r>
    </w:p>
    <w:p w14:paraId="5947EED9" w14:textId="77777777" w:rsidR="00297BA0" w:rsidRPr="0055407E" w:rsidRDefault="00297BA0" w:rsidP="00A62F8E">
      <w:pPr>
        <w:pStyle w:val="SWCText"/>
        <w:numPr>
          <w:ilvl w:val="0"/>
          <w:numId w:val="17"/>
        </w:numPr>
      </w:pPr>
      <w:r w:rsidRPr="0055407E">
        <w:t xml:space="preserve">discharging-cycle pressure ratio </w:t>
      </w:r>
      <w:r>
        <w:t>PR</w:t>
      </w:r>
      <w:r w:rsidRPr="00812CAD">
        <w:rPr>
          <w:vertAlign w:val="subscript"/>
        </w:rPr>
        <w:t>H</w:t>
      </w:r>
      <w:r>
        <w:rPr>
          <w:vertAlign w:val="subscript"/>
        </w:rPr>
        <w:t>E</w:t>
      </w:r>
    </w:p>
    <w:p w14:paraId="37A2E12F" w14:textId="77777777" w:rsidR="00297BA0" w:rsidRDefault="00297BA0" w:rsidP="00A62F8E">
      <w:pPr>
        <w:pStyle w:val="SWCText"/>
        <w:numPr>
          <w:ilvl w:val="0"/>
          <w:numId w:val="17"/>
        </w:numPr>
      </w:pPr>
      <w:r>
        <w:t>compressor inlet pressure,</w:t>
      </w:r>
    </w:p>
    <w:p w14:paraId="7EA5A68E" w14:textId="77777777" w:rsidR="00297BA0" w:rsidRDefault="00297BA0" w:rsidP="00A62F8E">
      <w:pPr>
        <w:pStyle w:val="SWCText"/>
        <w:numPr>
          <w:ilvl w:val="0"/>
          <w:numId w:val="17"/>
        </w:numPr>
      </w:pPr>
      <w:r>
        <w:t>TES hot temperature,</w:t>
      </w:r>
    </w:p>
    <w:p w14:paraId="33F397AA" w14:textId="77777777" w:rsidR="00297BA0" w:rsidRDefault="00297BA0" w:rsidP="00A62F8E">
      <w:pPr>
        <w:pStyle w:val="SWCText"/>
        <w:numPr>
          <w:ilvl w:val="0"/>
          <w:numId w:val="17"/>
        </w:numPr>
      </w:pPr>
      <w:r>
        <w:t>TES cold temperature,</w:t>
      </w:r>
    </w:p>
    <w:p w14:paraId="230E14D3" w14:textId="77777777" w:rsidR="00297BA0" w:rsidRDefault="00297BA0" w:rsidP="00A62F8E">
      <w:pPr>
        <w:pStyle w:val="SWCText"/>
        <w:numPr>
          <w:ilvl w:val="0"/>
          <w:numId w:val="17"/>
        </w:numPr>
      </w:pPr>
      <w:r>
        <w:t>CO₂ mass flow rate,</w:t>
      </w:r>
    </w:p>
    <w:p w14:paraId="6E41A1BD" w14:textId="77777777" w:rsidR="00297BA0" w:rsidRDefault="00297BA0" w:rsidP="00A62F8E">
      <w:pPr>
        <w:pStyle w:val="SWCText"/>
        <w:numPr>
          <w:ilvl w:val="0"/>
          <w:numId w:val="17"/>
        </w:numPr>
      </w:pPr>
      <w:r>
        <w:t>waste-heat temperature.</w:t>
      </w:r>
    </w:p>
    <w:p w14:paraId="66E6CD9D" w14:textId="77777777" w:rsidR="00297BA0" w:rsidRPr="0055407E" w:rsidRDefault="00297BA0" w:rsidP="00A62F8E">
      <w:pPr>
        <w:pStyle w:val="SWCText"/>
      </w:pPr>
      <w:r w:rsidRPr="0055407E">
        <w:t>The thermal power supplied by the waste-heat source was fixed at 10 MWth.</w:t>
      </w:r>
    </w:p>
    <w:p w14:paraId="3F6AE6E9" w14:textId="77777777" w:rsidR="00297BA0" w:rsidRPr="0055407E" w:rsidRDefault="00297BA0" w:rsidP="00A62F8E">
      <w:pPr>
        <w:pStyle w:val="SWCText"/>
      </w:pPr>
      <w:r w:rsidRPr="0055407E">
        <w:t>For every operating point, complete energy and mass balances were solved and all relevant performance indicators were calculated. In total, 511,875 design configurations were evaluated.</w:t>
      </w:r>
    </w:p>
    <w:p w14:paraId="0329618C" w14:textId="77777777" w:rsidR="00297BA0" w:rsidRDefault="00297BA0" w:rsidP="00A62F8E">
      <w:pPr>
        <w:pStyle w:val="SWCText"/>
      </w:pPr>
      <w:r w:rsidRPr="0055407E">
        <w:t>This comprehensive design-space investigation enabled identification of thermodynamic trends and suitable candidate configurations for dynamic simulation.</w:t>
      </w:r>
    </w:p>
    <w:p w14:paraId="3E319103" w14:textId="77777777" w:rsidR="0062377A" w:rsidRPr="0055407E" w:rsidRDefault="0062377A" w:rsidP="00A62F8E">
      <w:pPr>
        <w:pStyle w:val="SWCText"/>
      </w:pPr>
    </w:p>
    <w:p w14:paraId="658FF6B9" w14:textId="241D70F5" w:rsidR="00297BA0" w:rsidRPr="002C2A93" w:rsidRDefault="006023B3" w:rsidP="00297BA0">
      <w:pPr>
        <w:pStyle w:val="SWCHeading11"/>
      </w:pPr>
      <w:r>
        <w:t>2</w:t>
      </w:r>
      <w:r w:rsidR="00297BA0" w:rsidRPr="002C2A93">
        <w:t>.4 Dynamic Simulation and Market-Oriented Optimization</w:t>
      </w:r>
    </w:p>
    <w:p w14:paraId="5EF90042" w14:textId="003483D9" w:rsidR="00297BA0" w:rsidRPr="002C2A93" w:rsidRDefault="00297BA0" w:rsidP="00A62F8E">
      <w:pPr>
        <w:pStyle w:val="SWCText"/>
      </w:pPr>
      <w:r>
        <w:t xml:space="preserve">Out of all design configurations, 12 individual configurations representing the whole range of RTE </w:t>
      </w:r>
      <w:r w:rsidRPr="002C2A93">
        <w:t xml:space="preserve">were </w:t>
      </w:r>
      <w:r w:rsidRPr="00C2480D">
        <w:t>subsequently transferred to a dynamic simulation environment implemented in Fraunhofer ISE inhouse software ColSimCSP</w:t>
      </w:r>
      <w:r w:rsidR="00290C66">
        <w:t xml:space="preserve"> </w:t>
      </w:r>
      <w:sdt>
        <w:sdtPr>
          <w:alias w:val="To edit, see citavi.com/edit"/>
          <w:tag w:val="CitaviPlaceholder#2a95ce0a-0588-4740-841e-8611c25de71e"/>
          <w:id w:val="522064683"/>
          <w:placeholder>
            <w:docPart w:val="DefaultPlaceholder_-1854013440"/>
          </w:placeholder>
        </w:sdtPr>
        <w:sdtEndPr/>
        <w:sdtContent>
          <w:r w:rsidR="00290C66">
            <w:fldChar w:fldCharType="begin"/>
          </w:r>
          <w:r w:rsidR="004204D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2MDRmMGRlLTJjNWUtNGUwOC1iOWJmLTg4NTZhMWMxY2RjYyIsIlJhbmdlTGVuZ3RoIjoxNiwiUmVmZXJlbmNlSWQiOiI3NjM4OGE3Zi05NmRlLTQ2MDgtYmZkZC1mZDk5YmU5MGJhO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GcmF1bmhvZmVyIElTRSIsIlByb3RlY3RlZCI6ZmFsc2UsIlNleCI6MCwiQ3JlYXRlZEJ5IjoiX3d3cyIsIkNyZWF0ZWRPbiI6IjIwMTUtMTItMTVUMDc6MzQ6NDQiLCJNb2RpZmllZEJ5IjoiX3d3cyIsIklkIjoiODdhMTZjMDgtMWY2ZS00MDNjLTlkNDAtMDFkNjc5Y2UxY2U0IiwiTW9kaWZpZWRPbiI6IjIwMTUtMTItMTVUMDc6MzQ6NDQ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NvbHNpbS5kZS8iLCJVcmlTdHJpbmciOiJodHRwczovL2NvbHNpbS5kZ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}</w:instrText>
          </w:r>
          <w:r w:rsidR="00290C66">
            <w:fldChar w:fldCharType="separate"/>
          </w:r>
          <w:r w:rsidR="004204DD">
            <w:t>(Fraunhofer ISE)</w:t>
          </w:r>
          <w:r w:rsidR="00290C66">
            <w:fldChar w:fldCharType="end"/>
          </w:r>
        </w:sdtContent>
      </w:sdt>
      <w:r w:rsidRPr="00C2480D">
        <w:t>.</w:t>
      </w:r>
    </w:p>
    <w:p w14:paraId="118BC7C9" w14:textId="77777777" w:rsidR="00297BA0" w:rsidRDefault="00297BA0" w:rsidP="00A62F8E">
      <w:pPr>
        <w:pStyle w:val="SWCText"/>
      </w:pPr>
      <w:r>
        <w:t>The dynamic models include:</w:t>
      </w:r>
    </w:p>
    <w:p w14:paraId="3A7C1B66" w14:textId="77777777" w:rsidR="00297BA0" w:rsidRDefault="00297BA0" w:rsidP="00A62F8E">
      <w:pPr>
        <w:pStyle w:val="SWCText"/>
        <w:numPr>
          <w:ilvl w:val="0"/>
          <w:numId w:val="18"/>
        </w:numPr>
      </w:pPr>
      <w:r>
        <w:t>map-based compressor models,</w:t>
      </w:r>
    </w:p>
    <w:p w14:paraId="4633E66E" w14:textId="77777777" w:rsidR="00297BA0" w:rsidRDefault="00297BA0" w:rsidP="00A62F8E">
      <w:pPr>
        <w:pStyle w:val="SWCText"/>
        <w:numPr>
          <w:ilvl w:val="0"/>
          <w:numId w:val="18"/>
        </w:numPr>
      </w:pPr>
      <w:r>
        <w:t>map-based turbine models,</w:t>
      </w:r>
    </w:p>
    <w:p w14:paraId="501BE3A6" w14:textId="77777777" w:rsidR="00297BA0" w:rsidRDefault="00297BA0" w:rsidP="00A62F8E">
      <w:pPr>
        <w:pStyle w:val="SWCText"/>
        <w:numPr>
          <w:ilvl w:val="0"/>
          <w:numId w:val="18"/>
        </w:numPr>
      </w:pPr>
      <w:r>
        <w:t>dynamic heat exchangers,</w:t>
      </w:r>
    </w:p>
    <w:p w14:paraId="58F94167" w14:textId="77777777" w:rsidR="00297BA0" w:rsidRDefault="00297BA0" w:rsidP="00A62F8E">
      <w:pPr>
        <w:pStyle w:val="SWCText"/>
        <w:numPr>
          <w:ilvl w:val="0"/>
          <w:numId w:val="18"/>
        </w:numPr>
      </w:pPr>
      <w:r>
        <w:t>thermocline TES models,</w:t>
      </w:r>
    </w:p>
    <w:p w14:paraId="6D4EEE0C" w14:textId="77777777" w:rsidR="00297BA0" w:rsidRDefault="00297BA0" w:rsidP="00A62F8E">
      <w:pPr>
        <w:pStyle w:val="SWCText"/>
        <w:numPr>
          <w:ilvl w:val="0"/>
          <w:numId w:val="18"/>
        </w:numPr>
      </w:pPr>
      <w:r>
        <w:t>real-gas property calculations.</w:t>
      </w:r>
    </w:p>
    <w:p w14:paraId="41231C81" w14:textId="77777777" w:rsidR="003267FF" w:rsidRDefault="003267FF" w:rsidP="003267FF">
      <w:pPr>
        <w:pStyle w:val="SWCText"/>
      </w:pPr>
    </w:p>
    <w:p w14:paraId="2E88187B" w14:textId="6788F367" w:rsidR="003267FF" w:rsidRDefault="003267FF" w:rsidP="00D35378">
      <w:pPr>
        <w:pStyle w:val="SWCText"/>
      </w:pPr>
      <w:r>
        <w:fldChar w:fldCharType="begin"/>
      </w:r>
      <w:r>
        <w:instrText xml:space="preserve"> REF _Ref235633313 \h </w:instrText>
      </w:r>
      <w:r w:rsidR="00326867">
        <w:instrText xml:space="preserve"> \* MERGEFORMAT </w:instrText>
      </w:r>
      <w:r>
        <w:fldChar w:fldCharType="separate"/>
      </w:r>
      <w:r w:rsidRPr="003267FF">
        <w:t>Fig</w:t>
      </w:r>
      <w:r>
        <w:t>.</w:t>
      </w:r>
      <w:r w:rsidRPr="003267FF">
        <w:t xml:space="preserve"> </w:t>
      </w:r>
      <w:r w:rsidRPr="003267FF">
        <w:rPr>
          <w:noProof/>
        </w:rPr>
        <w:t>2</w:t>
      </w:r>
      <w:r>
        <w:fldChar w:fldCharType="end"/>
      </w:r>
      <w:r>
        <w:t xml:space="preserve"> shows an example performance map for the turbine for one specific configuration. </w:t>
      </w:r>
    </w:p>
    <w:p w14:paraId="5A30A6AB" w14:textId="77777777" w:rsidR="003267FF" w:rsidRDefault="003267FF" w:rsidP="008E7088">
      <w:pPr>
        <w:pStyle w:val="SWCText"/>
        <w:keepNext/>
        <w:ind w:left="720"/>
        <w:jc w:val="center"/>
      </w:pPr>
      <w:r w:rsidRPr="00C2480D">
        <w:rPr>
          <w:noProof/>
          <w:lang w:val="de-DE"/>
        </w:rPr>
        <w:drawing>
          <wp:inline distT="0" distB="0" distL="0" distR="0" wp14:anchorId="45AAD9F7" wp14:editId="4678BFE8">
            <wp:extent cx="3743325" cy="2453050"/>
            <wp:effectExtent l="0" t="0" r="0" b="4445"/>
            <wp:docPr id="2" name="Picture 1" descr="Ein Bild, das Text, Screenshot, Farbigkeit, Diagramm enthält.&#10;&#10;KI-generierte Inhalte können fehlerhaft sein.">
              <a:extLst xmlns:a="http://schemas.openxmlformats.org/drawingml/2006/main">
                <a:ext uri="{FF2B5EF4-FFF2-40B4-BE49-F238E27FC236}">
                  <a16:creationId xmlns:a16="http://schemas.microsoft.com/office/drawing/2014/main" id="{FC136387-B9E5-16AC-4616-5012E14CF1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in Bild, das Text, Screenshot, Farbigkeit, Diagramm enthält.&#10;&#10;KI-generierte Inhalte können fehlerhaft sein.">
                      <a:extLst>
                        <a:ext uri="{FF2B5EF4-FFF2-40B4-BE49-F238E27FC236}">
                          <a16:creationId xmlns:a16="http://schemas.microsoft.com/office/drawing/2014/main" id="{FC136387-B9E5-16AC-4616-5012E14CF1EE}"/>
                        </a:ext>
                      </a:extLst>
                    </pic:cNvPr>
                    <pic:cNvPicPr>
                      <a:picLocks noChangeAspect="1"/>
                    </pic:cNvPicPr>
                  </pic:nvPicPr>
                  <pic:blipFill>
                    <a:blip r:embed="rId7"/>
                    <a:srcRect t="5670" b="2576"/>
                    <a:stretch>
                      <a:fillRect/>
                    </a:stretch>
                  </pic:blipFill>
                  <pic:spPr>
                    <a:xfrm>
                      <a:off x="0" y="0"/>
                      <a:ext cx="3751584" cy="2458462"/>
                    </a:xfrm>
                    <a:prstGeom prst="rect">
                      <a:avLst/>
                    </a:prstGeom>
                  </pic:spPr>
                </pic:pic>
              </a:graphicData>
            </a:graphic>
          </wp:inline>
        </w:drawing>
      </w:r>
    </w:p>
    <w:p w14:paraId="1776DA8C" w14:textId="50082C1E" w:rsidR="003267FF" w:rsidRPr="003267FF" w:rsidRDefault="003267FF" w:rsidP="006924D4">
      <w:pPr>
        <w:pStyle w:val="SWCTableFigureCaption"/>
      </w:pPr>
      <w:bookmarkStart w:id="1" w:name="_Ref235633313"/>
      <w:r w:rsidRPr="003267FF">
        <w:t>Fig</w:t>
      </w:r>
      <w:r>
        <w:t>.</w:t>
      </w:r>
      <w:r w:rsidRPr="003267FF">
        <w:t xml:space="preserve"> </w:t>
      </w:r>
      <w:r>
        <w:fldChar w:fldCharType="begin"/>
      </w:r>
      <w:r w:rsidRPr="003267FF">
        <w:instrText xml:space="preserve"> SEQ Figure \* ARABIC </w:instrText>
      </w:r>
      <w:r>
        <w:fldChar w:fldCharType="separate"/>
      </w:r>
      <w:r w:rsidR="00B40F61">
        <w:rPr>
          <w:noProof/>
        </w:rPr>
        <w:t>2</w:t>
      </w:r>
      <w:r>
        <w:fldChar w:fldCharType="end"/>
      </w:r>
      <w:bookmarkEnd w:id="1"/>
      <w:r w:rsidRPr="003267FF">
        <w:t>: Example performance map for the turbine</w:t>
      </w:r>
    </w:p>
    <w:p w14:paraId="54079FB8" w14:textId="463C08EE" w:rsidR="00297BA0" w:rsidRDefault="00297BA0" w:rsidP="00A62F8E">
      <w:pPr>
        <w:pStyle w:val="SWCText"/>
      </w:pPr>
      <w:r w:rsidRPr="002C2A93">
        <w:lastRenderedPageBreak/>
        <w:t>Annual simulations were performed using electricity price time series representing</w:t>
      </w:r>
      <w:r w:rsidR="004950B5">
        <w:t xml:space="preserve"> three</w:t>
      </w:r>
      <w:r w:rsidRPr="002C2A93">
        <w:t xml:space="preserve"> different </w:t>
      </w:r>
      <w:r w:rsidR="004950B5">
        <w:t xml:space="preserve">electricity </w:t>
      </w:r>
      <w:r w:rsidRPr="002C2A93">
        <w:t>market conditions</w:t>
      </w:r>
      <w:r w:rsidR="004950B5">
        <w:t xml:space="preserve"> in Europe and Asia</w:t>
      </w:r>
      <w:r w:rsidRPr="002C2A93">
        <w:t>.</w:t>
      </w:r>
      <w:r w:rsidR="003267FF">
        <w:t xml:space="preserve"> </w:t>
      </w:r>
      <w:r w:rsidRPr="002C2A93">
        <w:t>In contrast to the design-space screening, the optimization target was no longer thermodynamic efficiency but annual economic performance. Charging and discharging schedules were therefore determined based on electricity pr</w:t>
      </w:r>
      <w:r w:rsidRPr="00A62F8E">
        <w:t>ice signals.</w:t>
      </w:r>
      <w:r w:rsidR="003267FF">
        <w:t xml:space="preserve"> </w:t>
      </w:r>
      <w:r w:rsidRPr="00A62F8E">
        <w:t xml:space="preserve">The annual net saving </w:t>
      </w:r>
      <m:oMath>
        <m:sSub>
          <m:sSubPr>
            <m:ctrlPr>
              <w:rPr>
                <w:rStyle w:val="katex-mathml"/>
                <w:rFonts w:ascii="Cambria Math" w:eastAsiaTheme="majorEastAsia" w:hAnsi="Cambria Math"/>
                <w:i/>
              </w:rPr>
            </m:ctrlPr>
          </m:sSubPr>
          <m:e>
            <m:r>
              <w:rPr>
                <w:rStyle w:val="katex-mathml"/>
                <w:rFonts w:ascii="Cambria Math" w:eastAsiaTheme="majorEastAsia" w:hAnsi="Cambria Math"/>
              </w:rPr>
              <m:t>S</m:t>
            </m:r>
          </m:e>
          <m:sub>
            <m:r>
              <w:rPr>
                <w:rStyle w:val="katex-mathml"/>
                <w:rFonts w:ascii="Cambria Math" w:eastAsiaTheme="majorEastAsia" w:hAnsi="Cambria Math"/>
              </w:rPr>
              <m:t>net</m:t>
            </m:r>
          </m:sub>
        </m:sSub>
      </m:oMath>
      <w:r w:rsidR="00A62F8E">
        <w:rPr>
          <w:rStyle w:val="katex-mathml"/>
        </w:rPr>
        <w:t xml:space="preserve"> </w:t>
      </w:r>
      <w:r w:rsidRPr="00A62F8E">
        <w:t>was calculated as</w:t>
      </w:r>
    </w:p>
    <w:tbl>
      <w:tblPr>
        <w:tblStyle w:val="Tabellenraster"/>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EA7617" w14:paraId="57819269" w14:textId="77777777" w:rsidTr="00E76246">
        <w:trPr>
          <w:jc w:val="right"/>
        </w:trPr>
        <w:tc>
          <w:tcPr>
            <w:tcW w:w="3020" w:type="dxa"/>
          </w:tcPr>
          <w:p w14:paraId="5CF2F91F" w14:textId="77777777" w:rsidR="00EA7617" w:rsidRDefault="00EA7617" w:rsidP="00E76246">
            <w:pPr>
              <w:pStyle w:val="SWCText"/>
            </w:pPr>
          </w:p>
        </w:tc>
        <w:tc>
          <w:tcPr>
            <w:tcW w:w="3021" w:type="dxa"/>
          </w:tcPr>
          <w:p w14:paraId="704BF61F" w14:textId="486ABD1A" w:rsidR="00EA7617" w:rsidRDefault="00A572EF" w:rsidP="00E76246">
            <w:pPr>
              <w:pStyle w:val="SWCText"/>
            </w:pPr>
            <m:oMathPara>
              <m:oMath>
                <m:sSub>
                  <m:sSubPr>
                    <m:ctrlPr>
                      <w:rPr>
                        <w:rStyle w:val="katex-mathml"/>
                        <w:rFonts w:ascii="Cambria Math" w:eastAsiaTheme="majorEastAsia" w:hAnsi="Cambria Math"/>
                        <w:i/>
                      </w:rPr>
                    </m:ctrlPr>
                  </m:sSubPr>
                  <m:e>
                    <m:r>
                      <w:rPr>
                        <w:rStyle w:val="katex-mathml"/>
                        <w:rFonts w:ascii="Cambria Math" w:eastAsiaTheme="majorEastAsia" w:hAnsi="Cambria Math"/>
                      </w:rPr>
                      <m:t>S</m:t>
                    </m:r>
                  </m:e>
                  <m:sub>
                    <m:r>
                      <w:rPr>
                        <w:rStyle w:val="katex-mathml"/>
                        <w:rFonts w:ascii="Cambria Math" w:eastAsiaTheme="majorEastAsia" w:hAnsi="Cambria Math"/>
                      </w:rPr>
                      <m:t>net</m:t>
                    </m:r>
                  </m:sub>
                </m:sSub>
                <m:r>
                  <w:rPr>
                    <w:rStyle w:val="katex-mathml"/>
                    <w:rFonts w:ascii="Cambria Math" w:eastAsiaTheme="majorEastAsia" w:hAnsi="Cambria Math"/>
                  </w:rPr>
                  <m:t>=</m:t>
                </m:r>
                <m:sSub>
                  <m:sSubPr>
                    <m:ctrlPr>
                      <w:rPr>
                        <w:rStyle w:val="katex-mathml"/>
                        <w:rFonts w:ascii="Cambria Math" w:eastAsiaTheme="majorEastAsia" w:hAnsi="Cambria Math"/>
                        <w:i/>
                      </w:rPr>
                    </m:ctrlPr>
                  </m:sSubPr>
                  <m:e>
                    <m:r>
                      <w:rPr>
                        <w:rStyle w:val="katex-mathml"/>
                        <w:rFonts w:ascii="Cambria Math" w:eastAsiaTheme="majorEastAsia" w:hAnsi="Cambria Math"/>
                      </w:rPr>
                      <m:t>R</m:t>
                    </m:r>
                  </m:e>
                  <m:sub>
                    <m:r>
                      <w:rPr>
                        <w:rStyle w:val="katex-mathml"/>
                        <w:rFonts w:ascii="Cambria Math" w:eastAsiaTheme="majorEastAsia" w:hAnsi="Cambria Math"/>
                      </w:rPr>
                      <m:t>disc</m:t>
                    </m:r>
                    <m:r>
                      <w:rPr>
                        <w:rStyle w:val="katex-mathml"/>
                        <w:rFonts w:ascii="Cambria Math" w:eastAsiaTheme="majorEastAsia" w:hAnsi="Cambria Math"/>
                      </w:rPr>
                      <m:t>h</m:t>
                    </m:r>
                    <m:r>
                      <w:rPr>
                        <w:rStyle w:val="katex-mathml"/>
                        <w:rFonts w:ascii="Cambria Math" w:eastAsiaTheme="majorEastAsia" w:hAnsi="Cambria Math"/>
                      </w:rPr>
                      <m:t>arge</m:t>
                    </m:r>
                  </m:sub>
                </m:sSub>
                <m:r>
                  <w:rPr>
                    <w:rStyle w:val="katex-mathml"/>
                    <w:rFonts w:ascii="Cambria Math" w:eastAsiaTheme="majorEastAsia" w:hAnsi="Cambria Math"/>
                  </w:rPr>
                  <m:t>-</m:t>
                </m:r>
                <m:sSub>
                  <m:sSubPr>
                    <m:ctrlPr>
                      <w:rPr>
                        <w:rStyle w:val="katex-mathml"/>
                        <w:rFonts w:ascii="Cambria Math" w:eastAsiaTheme="majorEastAsia" w:hAnsi="Cambria Math"/>
                        <w:i/>
                      </w:rPr>
                    </m:ctrlPr>
                  </m:sSubPr>
                  <m:e>
                    <m:r>
                      <w:rPr>
                        <w:rStyle w:val="katex-mathml"/>
                        <w:rFonts w:ascii="Cambria Math" w:eastAsiaTheme="majorEastAsia" w:hAnsi="Cambria Math"/>
                      </w:rPr>
                      <m:t>C</m:t>
                    </m:r>
                  </m:e>
                  <m:sub>
                    <m:r>
                      <w:rPr>
                        <w:rStyle w:val="katex-mathml"/>
                        <w:rFonts w:ascii="Cambria Math" w:eastAsiaTheme="majorEastAsia" w:hAnsi="Cambria Math"/>
                      </w:rPr>
                      <m:t>c</m:t>
                    </m:r>
                    <m:r>
                      <w:rPr>
                        <w:rStyle w:val="katex-mathml"/>
                        <w:rFonts w:ascii="Cambria Math" w:eastAsiaTheme="majorEastAsia" w:hAnsi="Cambria Math"/>
                      </w:rPr>
                      <m:t>h</m:t>
                    </m:r>
                    <m:r>
                      <w:rPr>
                        <w:rStyle w:val="katex-mathml"/>
                        <w:rFonts w:ascii="Cambria Math" w:eastAsiaTheme="majorEastAsia" w:hAnsi="Cambria Math"/>
                      </w:rPr>
                      <m:t>arge</m:t>
                    </m:r>
                  </m:sub>
                </m:sSub>
              </m:oMath>
            </m:oMathPara>
          </w:p>
        </w:tc>
        <w:tc>
          <w:tcPr>
            <w:tcW w:w="3021" w:type="dxa"/>
            <w:vAlign w:val="center"/>
          </w:tcPr>
          <w:p w14:paraId="2D2DF7A0" w14:textId="33D99D07" w:rsidR="00EA7617" w:rsidRDefault="00EA7617" w:rsidP="00E76246">
            <w:pPr>
              <w:pStyle w:val="SWCText"/>
              <w:jc w:val="right"/>
            </w:pPr>
            <w:r>
              <w:t>(2)</w:t>
            </w:r>
          </w:p>
        </w:tc>
      </w:tr>
    </w:tbl>
    <w:p w14:paraId="337F66C8" w14:textId="11D3C06E" w:rsidR="00297BA0" w:rsidRPr="00A62F8E" w:rsidRDefault="00297BA0" w:rsidP="00A62F8E">
      <w:pPr>
        <w:pStyle w:val="SWCText"/>
      </w:pPr>
      <w:r w:rsidRPr="00A62F8E">
        <w:t xml:space="preserve">where </w:t>
      </w:r>
      <m:oMath>
        <m:sSub>
          <m:sSubPr>
            <m:ctrlPr>
              <w:rPr>
                <w:rStyle w:val="katex-mathml"/>
                <w:rFonts w:ascii="Cambria Math" w:eastAsiaTheme="majorEastAsia" w:hAnsi="Cambria Math"/>
                <w:i/>
              </w:rPr>
            </m:ctrlPr>
          </m:sSubPr>
          <m:e>
            <m:r>
              <w:rPr>
                <w:rStyle w:val="katex-mathml"/>
                <w:rFonts w:ascii="Cambria Math" w:eastAsiaTheme="majorEastAsia" w:hAnsi="Cambria Math"/>
              </w:rPr>
              <m:t>R</m:t>
            </m:r>
          </m:e>
          <m:sub>
            <m:r>
              <w:rPr>
                <w:rStyle w:val="katex-mathml"/>
                <w:rFonts w:ascii="Cambria Math" w:eastAsiaTheme="majorEastAsia" w:hAnsi="Cambria Math"/>
              </w:rPr>
              <m:t>discharge</m:t>
            </m:r>
          </m:sub>
        </m:sSub>
      </m:oMath>
      <w:r w:rsidR="00A62F8E">
        <w:rPr>
          <w:rStyle w:val="katex-mathml"/>
        </w:rPr>
        <w:t xml:space="preserve"> </w:t>
      </w:r>
      <w:r w:rsidRPr="00A62F8E">
        <w:t xml:space="preserve">denotes revenue generated during electricity production and </w:t>
      </w:r>
      <m:oMath>
        <m:sSub>
          <m:sSubPr>
            <m:ctrlPr>
              <w:rPr>
                <w:rStyle w:val="katex-mathml"/>
                <w:rFonts w:ascii="Cambria Math" w:eastAsiaTheme="majorEastAsia" w:hAnsi="Cambria Math"/>
                <w:i/>
              </w:rPr>
            </m:ctrlPr>
          </m:sSubPr>
          <m:e>
            <m:r>
              <w:rPr>
                <w:rStyle w:val="katex-mathml"/>
                <w:rFonts w:ascii="Cambria Math" w:eastAsiaTheme="majorEastAsia" w:hAnsi="Cambria Math"/>
              </w:rPr>
              <m:t>C</m:t>
            </m:r>
          </m:e>
          <m:sub>
            <m:r>
              <w:rPr>
                <w:rStyle w:val="katex-mathml"/>
                <w:rFonts w:ascii="Cambria Math" w:eastAsiaTheme="majorEastAsia" w:hAnsi="Cambria Math"/>
              </w:rPr>
              <m:t>charge</m:t>
            </m:r>
          </m:sub>
        </m:sSub>
      </m:oMath>
      <w:r w:rsidR="00A62F8E">
        <w:rPr>
          <w:rStyle w:val="katex-mathml"/>
        </w:rPr>
        <w:t xml:space="preserve"> </w:t>
      </w:r>
      <w:r w:rsidRPr="00A62F8E">
        <w:t>represents electricity costs incurred during charging.</w:t>
      </w:r>
    </w:p>
    <w:p w14:paraId="3996E37E" w14:textId="77777777" w:rsidR="00297BA0" w:rsidRDefault="00297BA0" w:rsidP="00A62F8E">
      <w:pPr>
        <w:pStyle w:val="SWCText"/>
      </w:pPr>
      <w:r w:rsidRPr="00A62F8E">
        <w:t xml:space="preserve">This two-stage methodology enables a direct comparison between thermodynamically optimal and economically optimal designs and thereby reveals </w:t>
      </w:r>
      <w:r w:rsidRPr="002C2A93">
        <w:t>potential discrepancies between conventional efficiency-based optimization and market-oriented system operation.</w:t>
      </w:r>
    </w:p>
    <w:p w14:paraId="6A03C456" w14:textId="77777777" w:rsidR="00910297" w:rsidRDefault="00910297" w:rsidP="00A62F8E">
      <w:pPr>
        <w:pStyle w:val="SWCText"/>
      </w:pPr>
    </w:p>
    <w:p w14:paraId="4D27AB9F" w14:textId="78DAEF82" w:rsidR="00910297" w:rsidRPr="00910297" w:rsidRDefault="006023B3" w:rsidP="00910297">
      <w:pPr>
        <w:pStyle w:val="SWCHeading11"/>
        <w:rPr>
          <w:lang w:val="en-US"/>
        </w:rPr>
      </w:pPr>
      <w:r>
        <w:t>2</w:t>
      </w:r>
      <w:r w:rsidR="00910297" w:rsidRPr="002C2A93">
        <w:t>.</w:t>
      </w:r>
      <w:r w:rsidR="00910297">
        <w:t>5</w:t>
      </w:r>
      <w:r w:rsidR="00910297" w:rsidRPr="002C2A93">
        <w:t xml:space="preserve"> </w:t>
      </w:r>
      <w:r w:rsidR="00910297" w:rsidRPr="00910297">
        <w:rPr>
          <w:lang w:val="en-US"/>
        </w:rPr>
        <w:t xml:space="preserve">Direct Heat-to-Power </w:t>
      </w:r>
      <w:r w:rsidR="00910297">
        <w:rPr>
          <w:lang w:val="en-US"/>
        </w:rPr>
        <w:t>C</w:t>
      </w:r>
      <w:r w:rsidR="00910297" w:rsidRPr="00910297">
        <w:rPr>
          <w:lang w:val="en-US"/>
        </w:rPr>
        <w:t>onvers</w:t>
      </w:r>
      <w:r w:rsidR="00910297">
        <w:rPr>
          <w:lang w:val="en-US"/>
        </w:rPr>
        <w:t>ion</w:t>
      </w:r>
    </w:p>
    <w:p w14:paraId="44417B5D" w14:textId="038F46A9" w:rsidR="001A79FE" w:rsidRDefault="001A79FE" w:rsidP="001A79FE">
      <w:pPr>
        <w:pStyle w:val="SWCText"/>
      </w:pPr>
      <w:r w:rsidRPr="001A79FE">
        <w:t>Besides the power-to-heat-to-power conversion pathway based on thermal energy storage, the direct conversion of thermal energy into electrical power was also considered.</w:t>
      </w:r>
      <w:r>
        <w:t xml:space="preserve"> </w:t>
      </w:r>
      <w:r w:rsidRPr="001A79FE">
        <w:t xml:space="preserve">The </w:t>
      </w:r>
      <w:r>
        <w:t xml:space="preserve">corresponding </w:t>
      </w:r>
      <w:r w:rsidRPr="001A79FE">
        <w:t>power cycle is</w:t>
      </w:r>
      <w:r>
        <w:t xml:space="preserve"> again</w:t>
      </w:r>
      <w:r w:rsidRPr="001A79FE">
        <w:t xml:space="preserve"> a supercritical CO₂ (sCO₂) recuperated Brayton cycle operating as a direct waste-heat-to-power conversion system. The cycle consists of a compressor, a recuperator, a waste-heat-driven heater, a turbine, and a cooler rejecting heat to the ambient. </w:t>
      </w:r>
      <w:r w:rsidR="006023B3">
        <w:fldChar w:fldCharType="begin"/>
      </w:r>
      <w:r w:rsidR="006023B3">
        <w:instrText xml:space="preserve"> REF _Ref235784934 \h </w:instrText>
      </w:r>
      <w:r w:rsidR="006023B3">
        <w:fldChar w:fldCharType="separate"/>
      </w:r>
      <w:r w:rsidR="006023B3" w:rsidRPr="006023B3">
        <w:t xml:space="preserve">Table </w:t>
      </w:r>
      <w:r w:rsidR="006023B3" w:rsidRPr="006023B3">
        <w:rPr>
          <w:noProof/>
        </w:rPr>
        <w:t>2</w:t>
      </w:r>
      <w:r w:rsidR="006023B3">
        <w:fldChar w:fldCharType="end"/>
      </w:r>
      <w:r w:rsidR="006023B3">
        <w:t xml:space="preserve"> </w:t>
      </w:r>
      <w:r w:rsidRPr="001A79FE">
        <w:t>summarises the fixed design assumptions applied throughout this study.</w:t>
      </w:r>
    </w:p>
    <w:p w14:paraId="294F3BF3" w14:textId="77777777" w:rsidR="001A79FE" w:rsidRDefault="001A79FE" w:rsidP="001A79FE">
      <w:pPr>
        <w:pStyle w:val="SWCText"/>
      </w:pPr>
    </w:p>
    <w:p w14:paraId="4781AFFA" w14:textId="5C706337" w:rsidR="006023B3" w:rsidRPr="006023B3" w:rsidRDefault="006023B3" w:rsidP="006023B3">
      <w:pPr>
        <w:pStyle w:val="SWCTableFigureCaption"/>
      </w:pPr>
      <w:bookmarkStart w:id="2" w:name="_Ref235784934"/>
      <w:r w:rsidRPr="006023B3">
        <w:t xml:space="preserve">Table </w:t>
      </w:r>
      <w:r>
        <w:fldChar w:fldCharType="begin"/>
      </w:r>
      <w:r w:rsidRPr="006023B3">
        <w:instrText xml:space="preserve"> SEQ Table \* ARABIC </w:instrText>
      </w:r>
      <w:r>
        <w:fldChar w:fldCharType="separate"/>
      </w:r>
      <w:r w:rsidRPr="006023B3">
        <w:rPr>
          <w:noProof/>
        </w:rPr>
        <w:t>2</w:t>
      </w:r>
      <w:r>
        <w:fldChar w:fldCharType="end"/>
      </w:r>
      <w:bookmarkEnd w:id="2"/>
      <w:r w:rsidRPr="006023B3">
        <w:t>: Fixed cycle parameters for the sCO₂ recuperated Brayton cycle analysis.</w:t>
      </w:r>
    </w:p>
    <w:tbl>
      <w:tblPr>
        <w:tblStyle w:val="EinfacheTabelle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7"/>
        <w:gridCol w:w="722"/>
      </w:tblGrid>
      <w:tr w:rsidR="00AF7321" w:rsidRPr="003714B7" w14:paraId="09BEC4DF" w14:textId="77777777" w:rsidTr="003714B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right w:val="single" w:sz="4" w:space="0" w:color="auto"/>
            </w:tcBorders>
            <w:hideMark/>
          </w:tcPr>
          <w:p w14:paraId="12B17DD3" w14:textId="77777777" w:rsidR="00AF7321" w:rsidRPr="003714B7" w:rsidRDefault="00AF7321" w:rsidP="003714B7">
            <w:pPr>
              <w:jc w:val="center"/>
              <w:rPr>
                <w:lang w:val="en-GB"/>
              </w:rPr>
            </w:pPr>
            <w:r w:rsidRPr="003714B7">
              <w:rPr>
                <w:lang w:val="en-GB"/>
              </w:rPr>
              <w:t>Parameter</w:t>
            </w:r>
          </w:p>
        </w:tc>
        <w:tc>
          <w:tcPr>
            <w:tcW w:w="0" w:type="auto"/>
            <w:tcBorders>
              <w:left w:val="single" w:sz="4" w:space="0" w:color="auto"/>
              <w:bottom w:val="single" w:sz="4" w:space="0" w:color="auto"/>
            </w:tcBorders>
            <w:hideMark/>
          </w:tcPr>
          <w:p w14:paraId="3E34C6E3" w14:textId="77777777" w:rsidR="00AF7321" w:rsidRPr="003714B7" w:rsidRDefault="00AF7321" w:rsidP="003714B7">
            <w:pPr>
              <w:jc w:val="center"/>
              <w:cnfStyle w:val="100000000000" w:firstRow="1" w:lastRow="0" w:firstColumn="0" w:lastColumn="0" w:oddVBand="0" w:evenVBand="0" w:oddHBand="0" w:evenHBand="0" w:firstRowFirstColumn="0" w:firstRowLastColumn="0" w:lastRowFirstColumn="0" w:lastRowLastColumn="0"/>
              <w:rPr>
                <w:lang w:val="en-GB"/>
              </w:rPr>
            </w:pPr>
            <w:r w:rsidRPr="003714B7">
              <w:rPr>
                <w:lang w:val="en-GB"/>
              </w:rPr>
              <w:t>Value</w:t>
            </w:r>
          </w:p>
        </w:tc>
      </w:tr>
      <w:tr w:rsidR="00AF7321" w:rsidRPr="003714B7" w14:paraId="5709AB8C" w14:textId="77777777" w:rsidTr="003714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right w:val="single" w:sz="4" w:space="0" w:color="auto"/>
            </w:tcBorders>
            <w:shd w:val="clear" w:color="auto" w:fill="auto"/>
            <w:hideMark/>
          </w:tcPr>
          <w:p w14:paraId="769352DC" w14:textId="77777777" w:rsidR="00AF7321" w:rsidRPr="003714B7" w:rsidRDefault="00AF7321" w:rsidP="003714B7">
            <w:pPr>
              <w:jc w:val="center"/>
              <w:rPr>
                <w:b w:val="0"/>
                <w:bCs w:val="0"/>
                <w:lang w:val="en-GB"/>
              </w:rPr>
            </w:pPr>
            <w:r w:rsidRPr="003714B7">
              <w:rPr>
                <w:b w:val="0"/>
                <w:bCs w:val="0"/>
                <w:lang w:val="en-GB"/>
              </w:rPr>
              <w:t>Compressor inlet pressure</w:t>
            </w:r>
          </w:p>
        </w:tc>
        <w:tc>
          <w:tcPr>
            <w:tcW w:w="0" w:type="auto"/>
            <w:tcBorders>
              <w:top w:val="single" w:sz="4" w:space="0" w:color="auto"/>
              <w:left w:val="single" w:sz="4" w:space="0" w:color="auto"/>
            </w:tcBorders>
            <w:shd w:val="clear" w:color="auto" w:fill="auto"/>
            <w:hideMark/>
          </w:tcPr>
          <w:p w14:paraId="0CDEB670" w14:textId="77777777" w:rsidR="00AF7321" w:rsidRPr="003714B7" w:rsidRDefault="00AF7321" w:rsidP="003714B7">
            <w:pPr>
              <w:jc w:val="center"/>
              <w:cnfStyle w:val="000000100000" w:firstRow="0" w:lastRow="0" w:firstColumn="0" w:lastColumn="0" w:oddVBand="0" w:evenVBand="0" w:oddHBand="1" w:evenHBand="0" w:firstRowFirstColumn="0" w:firstRowLastColumn="0" w:lastRowFirstColumn="0" w:lastRowLastColumn="0"/>
              <w:rPr>
                <w:lang w:val="en-GB"/>
              </w:rPr>
            </w:pPr>
            <w:r w:rsidRPr="003714B7">
              <w:rPr>
                <w:lang w:val="en-GB"/>
              </w:rPr>
              <w:t>84 bar</w:t>
            </w:r>
          </w:p>
        </w:tc>
      </w:tr>
      <w:tr w:rsidR="00AF7321" w:rsidRPr="003714B7" w14:paraId="0F94BD77" w14:textId="77777777" w:rsidTr="003714B7">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2906F0EE" w14:textId="77777777" w:rsidR="00AF7321" w:rsidRPr="003714B7" w:rsidRDefault="00AF7321" w:rsidP="003714B7">
            <w:pPr>
              <w:jc w:val="center"/>
              <w:rPr>
                <w:b w:val="0"/>
                <w:bCs w:val="0"/>
                <w:lang w:val="en-GB"/>
              </w:rPr>
            </w:pPr>
            <w:r w:rsidRPr="003714B7">
              <w:rPr>
                <w:b w:val="0"/>
                <w:bCs w:val="0"/>
                <w:lang w:val="en-GB"/>
              </w:rPr>
              <w:t>Compressor isentropic efficiency</w:t>
            </w:r>
          </w:p>
        </w:tc>
        <w:tc>
          <w:tcPr>
            <w:tcW w:w="0" w:type="auto"/>
            <w:tcBorders>
              <w:left w:val="single" w:sz="4" w:space="0" w:color="auto"/>
            </w:tcBorders>
            <w:hideMark/>
          </w:tcPr>
          <w:p w14:paraId="0A55907D" w14:textId="77777777" w:rsidR="00AF7321" w:rsidRPr="003714B7" w:rsidRDefault="00AF7321" w:rsidP="003714B7">
            <w:pPr>
              <w:jc w:val="center"/>
              <w:cnfStyle w:val="000000000000" w:firstRow="0" w:lastRow="0" w:firstColumn="0" w:lastColumn="0" w:oddVBand="0" w:evenVBand="0" w:oddHBand="0" w:evenHBand="0" w:firstRowFirstColumn="0" w:firstRowLastColumn="0" w:lastRowFirstColumn="0" w:lastRowLastColumn="0"/>
              <w:rPr>
                <w:lang w:val="en-GB"/>
              </w:rPr>
            </w:pPr>
            <w:r w:rsidRPr="003714B7">
              <w:rPr>
                <w:lang w:val="en-GB"/>
              </w:rPr>
              <w:t>70%</w:t>
            </w:r>
          </w:p>
        </w:tc>
      </w:tr>
      <w:tr w:rsidR="00AF7321" w:rsidRPr="003714B7" w14:paraId="13A55A2F" w14:textId="77777777" w:rsidTr="003714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shd w:val="clear" w:color="auto" w:fill="auto"/>
            <w:hideMark/>
          </w:tcPr>
          <w:p w14:paraId="58353E98" w14:textId="77777777" w:rsidR="00AF7321" w:rsidRPr="003714B7" w:rsidRDefault="00AF7321" w:rsidP="003714B7">
            <w:pPr>
              <w:jc w:val="center"/>
              <w:rPr>
                <w:b w:val="0"/>
                <w:bCs w:val="0"/>
                <w:lang w:val="en-GB"/>
              </w:rPr>
            </w:pPr>
            <w:r w:rsidRPr="003714B7">
              <w:rPr>
                <w:b w:val="0"/>
                <w:bCs w:val="0"/>
                <w:lang w:val="en-GB"/>
              </w:rPr>
              <w:t>Turbine isentropic efficiency</w:t>
            </w:r>
          </w:p>
        </w:tc>
        <w:tc>
          <w:tcPr>
            <w:tcW w:w="0" w:type="auto"/>
            <w:tcBorders>
              <w:left w:val="single" w:sz="4" w:space="0" w:color="auto"/>
            </w:tcBorders>
            <w:shd w:val="clear" w:color="auto" w:fill="auto"/>
            <w:hideMark/>
          </w:tcPr>
          <w:p w14:paraId="0DAF282F" w14:textId="77777777" w:rsidR="00AF7321" w:rsidRPr="003714B7" w:rsidRDefault="00AF7321" w:rsidP="003714B7">
            <w:pPr>
              <w:jc w:val="center"/>
              <w:cnfStyle w:val="000000100000" w:firstRow="0" w:lastRow="0" w:firstColumn="0" w:lastColumn="0" w:oddVBand="0" w:evenVBand="0" w:oddHBand="1" w:evenHBand="0" w:firstRowFirstColumn="0" w:firstRowLastColumn="0" w:lastRowFirstColumn="0" w:lastRowLastColumn="0"/>
              <w:rPr>
                <w:lang w:val="en-GB"/>
              </w:rPr>
            </w:pPr>
            <w:r w:rsidRPr="003714B7">
              <w:rPr>
                <w:lang w:val="en-GB"/>
              </w:rPr>
              <w:t>85%</w:t>
            </w:r>
          </w:p>
        </w:tc>
      </w:tr>
      <w:tr w:rsidR="00AF7321" w:rsidRPr="003714B7" w14:paraId="79D6D97A" w14:textId="77777777" w:rsidTr="003714B7">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49817F03" w14:textId="77777777" w:rsidR="00AF7321" w:rsidRPr="003714B7" w:rsidRDefault="00AF7321" w:rsidP="003714B7">
            <w:pPr>
              <w:jc w:val="center"/>
              <w:rPr>
                <w:b w:val="0"/>
                <w:bCs w:val="0"/>
                <w:lang w:val="en-GB"/>
              </w:rPr>
            </w:pPr>
            <w:r w:rsidRPr="003714B7">
              <w:rPr>
                <w:b w:val="0"/>
                <w:bCs w:val="0"/>
                <w:lang w:val="en-GB"/>
              </w:rPr>
              <w:t>Generator electrical efficiency</w:t>
            </w:r>
          </w:p>
        </w:tc>
        <w:tc>
          <w:tcPr>
            <w:tcW w:w="0" w:type="auto"/>
            <w:tcBorders>
              <w:left w:val="single" w:sz="4" w:space="0" w:color="auto"/>
            </w:tcBorders>
            <w:hideMark/>
          </w:tcPr>
          <w:p w14:paraId="07F269F0" w14:textId="77777777" w:rsidR="00AF7321" w:rsidRPr="003714B7" w:rsidRDefault="00AF7321" w:rsidP="003714B7">
            <w:pPr>
              <w:jc w:val="center"/>
              <w:cnfStyle w:val="000000000000" w:firstRow="0" w:lastRow="0" w:firstColumn="0" w:lastColumn="0" w:oddVBand="0" w:evenVBand="0" w:oddHBand="0" w:evenHBand="0" w:firstRowFirstColumn="0" w:firstRowLastColumn="0" w:lastRowFirstColumn="0" w:lastRowLastColumn="0"/>
              <w:rPr>
                <w:lang w:val="en-GB"/>
              </w:rPr>
            </w:pPr>
            <w:r w:rsidRPr="003714B7">
              <w:rPr>
                <w:lang w:val="en-GB"/>
              </w:rPr>
              <w:t>98%</w:t>
            </w:r>
          </w:p>
        </w:tc>
      </w:tr>
      <w:tr w:rsidR="00AF7321" w:rsidRPr="003714B7" w14:paraId="5ACA045A" w14:textId="77777777" w:rsidTr="003714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shd w:val="clear" w:color="auto" w:fill="auto"/>
            <w:hideMark/>
          </w:tcPr>
          <w:p w14:paraId="42620D7D" w14:textId="77777777" w:rsidR="00AF7321" w:rsidRPr="003714B7" w:rsidRDefault="00AF7321" w:rsidP="003714B7">
            <w:pPr>
              <w:jc w:val="center"/>
              <w:rPr>
                <w:b w:val="0"/>
                <w:bCs w:val="0"/>
                <w:lang w:val="en-GB"/>
              </w:rPr>
            </w:pPr>
            <w:r w:rsidRPr="003714B7">
              <w:rPr>
                <w:b w:val="0"/>
                <w:bCs w:val="0"/>
                <w:lang w:val="en-GB"/>
              </w:rPr>
              <w:t>Compressor mechanical efficiency</w:t>
            </w:r>
          </w:p>
        </w:tc>
        <w:tc>
          <w:tcPr>
            <w:tcW w:w="0" w:type="auto"/>
            <w:tcBorders>
              <w:left w:val="single" w:sz="4" w:space="0" w:color="auto"/>
            </w:tcBorders>
            <w:shd w:val="clear" w:color="auto" w:fill="auto"/>
            <w:hideMark/>
          </w:tcPr>
          <w:p w14:paraId="46AC4B1A" w14:textId="77777777" w:rsidR="00AF7321" w:rsidRPr="003714B7" w:rsidRDefault="00AF7321" w:rsidP="003714B7">
            <w:pPr>
              <w:jc w:val="center"/>
              <w:cnfStyle w:val="000000100000" w:firstRow="0" w:lastRow="0" w:firstColumn="0" w:lastColumn="0" w:oddVBand="0" w:evenVBand="0" w:oddHBand="1" w:evenHBand="0" w:firstRowFirstColumn="0" w:firstRowLastColumn="0" w:lastRowFirstColumn="0" w:lastRowLastColumn="0"/>
              <w:rPr>
                <w:lang w:val="en-GB"/>
              </w:rPr>
            </w:pPr>
            <w:r w:rsidRPr="003714B7">
              <w:rPr>
                <w:lang w:val="en-GB"/>
              </w:rPr>
              <w:t>98%</w:t>
            </w:r>
          </w:p>
        </w:tc>
      </w:tr>
      <w:tr w:rsidR="00AF7321" w:rsidRPr="003714B7" w14:paraId="78189B72" w14:textId="77777777" w:rsidTr="003714B7">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1315DDB8" w14:textId="3CD26CA4" w:rsidR="00AF7321" w:rsidRPr="003714B7" w:rsidRDefault="00AF7321" w:rsidP="003714B7">
            <w:pPr>
              <w:jc w:val="center"/>
              <w:rPr>
                <w:b w:val="0"/>
                <w:bCs w:val="0"/>
                <w:lang w:val="en-GB"/>
              </w:rPr>
            </w:pPr>
            <w:r w:rsidRPr="003714B7">
              <w:rPr>
                <w:b w:val="0"/>
                <w:bCs w:val="0"/>
                <w:lang w:val="en-GB"/>
              </w:rPr>
              <w:t xml:space="preserve">Pressure drop (each </w:t>
            </w:r>
            <w:r w:rsidR="003714B7">
              <w:rPr>
                <w:b w:val="0"/>
                <w:bCs w:val="0"/>
                <w:lang w:val="en-GB"/>
              </w:rPr>
              <w:t xml:space="preserve">heat exchanger </w:t>
            </w:r>
            <w:r w:rsidRPr="003714B7">
              <w:rPr>
                <w:b w:val="0"/>
                <w:bCs w:val="0"/>
                <w:lang w:val="en-GB"/>
              </w:rPr>
              <w:t>side)</w:t>
            </w:r>
          </w:p>
        </w:tc>
        <w:tc>
          <w:tcPr>
            <w:tcW w:w="0" w:type="auto"/>
            <w:tcBorders>
              <w:left w:val="single" w:sz="4" w:space="0" w:color="auto"/>
            </w:tcBorders>
            <w:hideMark/>
          </w:tcPr>
          <w:p w14:paraId="48E79A55" w14:textId="77777777" w:rsidR="00AF7321" w:rsidRPr="003714B7" w:rsidRDefault="00AF7321" w:rsidP="003714B7">
            <w:pPr>
              <w:jc w:val="center"/>
              <w:cnfStyle w:val="000000000000" w:firstRow="0" w:lastRow="0" w:firstColumn="0" w:lastColumn="0" w:oddVBand="0" w:evenVBand="0" w:oddHBand="0" w:evenHBand="0" w:firstRowFirstColumn="0" w:firstRowLastColumn="0" w:lastRowFirstColumn="0" w:lastRowLastColumn="0"/>
              <w:rPr>
                <w:lang w:val="en-GB"/>
              </w:rPr>
            </w:pPr>
            <w:r w:rsidRPr="003714B7">
              <w:rPr>
                <w:lang w:val="en-GB"/>
              </w:rPr>
              <w:t>1%</w:t>
            </w:r>
          </w:p>
        </w:tc>
      </w:tr>
      <w:tr w:rsidR="00AF7321" w:rsidRPr="003714B7" w14:paraId="61A5F9E2" w14:textId="77777777" w:rsidTr="003714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shd w:val="clear" w:color="auto" w:fill="auto"/>
            <w:hideMark/>
          </w:tcPr>
          <w:p w14:paraId="63106C2F" w14:textId="77777777" w:rsidR="00AF7321" w:rsidRPr="003714B7" w:rsidRDefault="00AF7321" w:rsidP="003714B7">
            <w:pPr>
              <w:jc w:val="center"/>
              <w:rPr>
                <w:b w:val="0"/>
                <w:bCs w:val="0"/>
                <w:lang w:val="en-GB"/>
              </w:rPr>
            </w:pPr>
            <w:r w:rsidRPr="003714B7">
              <w:rPr>
                <w:b w:val="0"/>
                <w:bCs w:val="0"/>
                <w:lang w:val="en-GB"/>
              </w:rPr>
              <w:t>Pinch: waste heat → turbine inlet</w:t>
            </w:r>
          </w:p>
        </w:tc>
        <w:tc>
          <w:tcPr>
            <w:tcW w:w="0" w:type="auto"/>
            <w:tcBorders>
              <w:left w:val="single" w:sz="4" w:space="0" w:color="auto"/>
            </w:tcBorders>
            <w:shd w:val="clear" w:color="auto" w:fill="auto"/>
            <w:hideMark/>
          </w:tcPr>
          <w:p w14:paraId="08132603" w14:textId="77777777" w:rsidR="00AF7321" w:rsidRPr="003714B7" w:rsidRDefault="00AF7321" w:rsidP="003714B7">
            <w:pPr>
              <w:jc w:val="center"/>
              <w:cnfStyle w:val="000000100000" w:firstRow="0" w:lastRow="0" w:firstColumn="0" w:lastColumn="0" w:oddVBand="0" w:evenVBand="0" w:oddHBand="1" w:evenHBand="0" w:firstRowFirstColumn="0" w:firstRowLastColumn="0" w:lastRowFirstColumn="0" w:lastRowLastColumn="0"/>
              <w:rPr>
                <w:lang w:val="en-GB"/>
              </w:rPr>
            </w:pPr>
            <w:r w:rsidRPr="003714B7">
              <w:rPr>
                <w:lang w:val="en-GB"/>
              </w:rPr>
              <w:t>15 K</w:t>
            </w:r>
          </w:p>
        </w:tc>
      </w:tr>
      <w:tr w:rsidR="00AF7321" w:rsidRPr="003714B7" w14:paraId="2F2988D4" w14:textId="77777777" w:rsidTr="003714B7">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hideMark/>
          </w:tcPr>
          <w:p w14:paraId="3770472B" w14:textId="77777777" w:rsidR="00AF7321" w:rsidRPr="003714B7" w:rsidRDefault="00AF7321" w:rsidP="003714B7">
            <w:pPr>
              <w:jc w:val="center"/>
              <w:rPr>
                <w:b w:val="0"/>
                <w:bCs w:val="0"/>
                <w:lang w:val="en-GB"/>
              </w:rPr>
            </w:pPr>
            <w:r w:rsidRPr="003714B7">
              <w:rPr>
                <w:b w:val="0"/>
                <w:bCs w:val="0"/>
                <w:lang w:val="en-GB"/>
              </w:rPr>
              <w:t>Pinch: ambient → compressor inlet</w:t>
            </w:r>
          </w:p>
        </w:tc>
        <w:tc>
          <w:tcPr>
            <w:tcW w:w="0" w:type="auto"/>
            <w:tcBorders>
              <w:left w:val="single" w:sz="4" w:space="0" w:color="auto"/>
            </w:tcBorders>
            <w:hideMark/>
          </w:tcPr>
          <w:p w14:paraId="6966FDF5" w14:textId="77777777" w:rsidR="00AF7321" w:rsidRPr="003714B7" w:rsidRDefault="00AF7321" w:rsidP="003714B7">
            <w:pPr>
              <w:jc w:val="center"/>
              <w:cnfStyle w:val="000000000000" w:firstRow="0" w:lastRow="0" w:firstColumn="0" w:lastColumn="0" w:oddVBand="0" w:evenVBand="0" w:oddHBand="0" w:evenHBand="0" w:firstRowFirstColumn="0" w:firstRowLastColumn="0" w:lastRowFirstColumn="0" w:lastRowLastColumn="0"/>
              <w:rPr>
                <w:lang w:val="en-GB"/>
              </w:rPr>
            </w:pPr>
            <w:r w:rsidRPr="003714B7">
              <w:rPr>
                <w:lang w:val="en-GB"/>
              </w:rPr>
              <w:t>15 K</w:t>
            </w:r>
          </w:p>
        </w:tc>
      </w:tr>
      <w:tr w:rsidR="00AF7321" w:rsidRPr="003714B7" w14:paraId="49D4055F" w14:textId="77777777" w:rsidTr="003714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shd w:val="clear" w:color="auto" w:fill="auto"/>
            <w:hideMark/>
          </w:tcPr>
          <w:p w14:paraId="67730B46" w14:textId="77777777" w:rsidR="00AF7321" w:rsidRPr="003714B7" w:rsidRDefault="00AF7321" w:rsidP="003714B7">
            <w:pPr>
              <w:jc w:val="center"/>
              <w:rPr>
                <w:b w:val="0"/>
                <w:bCs w:val="0"/>
                <w:lang w:val="en-GB"/>
              </w:rPr>
            </w:pPr>
            <w:r w:rsidRPr="003714B7">
              <w:rPr>
                <w:b w:val="0"/>
                <w:bCs w:val="0"/>
                <w:lang w:val="en-GB"/>
              </w:rPr>
              <w:t>Minimum compressor inlet temperature</w:t>
            </w:r>
          </w:p>
        </w:tc>
        <w:tc>
          <w:tcPr>
            <w:tcW w:w="0" w:type="auto"/>
            <w:tcBorders>
              <w:left w:val="single" w:sz="4" w:space="0" w:color="auto"/>
            </w:tcBorders>
            <w:shd w:val="clear" w:color="auto" w:fill="auto"/>
            <w:hideMark/>
          </w:tcPr>
          <w:p w14:paraId="4384699A" w14:textId="77777777" w:rsidR="00AF7321" w:rsidRPr="003714B7" w:rsidRDefault="00AF7321" w:rsidP="003714B7">
            <w:pPr>
              <w:jc w:val="center"/>
              <w:cnfStyle w:val="000000100000" w:firstRow="0" w:lastRow="0" w:firstColumn="0" w:lastColumn="0" w:oddVBand="0" w:evenVBand="0" w:oddHBand="1" w:evenHBand="0" w:firstRowFirstColumn="0" w:firstRowLastColumn="0" w:lastRowFirstColumn="0" w:lastRowLastColumn="0"/>
              <w:rPr>
                <w:lang w:val="en-GB"/>
              </w:rPr>
            </w:pPr>
            <w:r w:rsidRPr="003714B7">
              <w:rPr>
                <w:lang w:val="en-GB"/>
              </w:rPr>
              <w:t>35 °C</w:t>
            </w:r>
          </w:p>
        </w:tc>
      </w:tr>
    </w:tbl>
    <w:p w14:paraId="3DC707D8" w14:textId="010407F2" w:rsidR="001A79FE" w:rsidRDefault="001A79FE" w:rsidP="001A79FE">
      <w:pPr>
        <w:pStyle w:val="SWCText"/>
      </w:pPr>
    </w:p>
    <w:p w14:paraId="514142C5" w14:textId="294A5899" w:rsidR="00D95FF6" w:rsidRPr="00D95FF6" w:rsidRDefault="00D95FF6" w:rsidP="00326867">
      <w:pPr>
        <w:pStyle w:val="SWCText"/>
      </w:pPr>
      <w:r w:rsidRPr="00D95FF6">
        <w:t>For each waste heat temperature in the range 300–350 °C (in 10 K increments), a parametric sweep of the pressure ratio (PR) was conducted at the design ambient temperature of 20 °C, corresponding to a compressor inlet temperature of 35 °C</w:t>
      </w:r>
      <w:r>
        <w:t xml:space="preserve"> </w:t>
      </w:r>
      <w:r w:rsidRPr="00D95FF6">
        <w:t>to maintain supercritical conditions</w:t>
      </w:r>
      <w:r>
        <w:t xml:space="preserve"> </w:t>
      </w:r>
      <w:r w:rsidRPr="00326867">
        <w:t>(CO₂ critical point: 31.0 °C, 73.8 bar)</w:t>
      </w:r>
      <w:r w:rsidR="00290C66">
        <w:t xml:space="preserve"> </w:t>
      </w:r>
      <w:sdt>
        <w:sdtPr>
          <w:alias w:val="To edit, see citavi.com/edit"/>
          <w:tag w:val="CitaviPlaceholder#38b3ea48-ff76-4831-8d76-2b51391456fe"/>
          <w:id w:val="842287559"/>
          <w:placeholder>
            <w:docPart w:val="DefaultPlaceholder_-1854013440"/>
          </w:placeholder>
        </w:sdtPr>
        <w:sdtEndPr/>
        <w:sdtContent>
          <w:r w:rsidR="00290C66">
            <w:fldChar w:fldCharType="begin"/>
          </w:r>
          <w:r w:rsidR="004204D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mMjcxNjlkLTdlNjItNDEzYS05OTVhLTRmYjhkN2QxZTk2NSIsIlJhbmdlTGVuZ3RoIjoyMywiUmVmZXJlbmNlSWQiOiI1ZDMyN2QwMy00ZjUzLTQwYmQtYmNlNy02MjNkYTQ4MTg2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AxNi9TMDE2Ny05MzE3KDAyKTAwNzQ3LTUiLCJVcmlTdHJpbmciOiJodHRwczovL2RvaS5vcmcvMTAuMTAxNi9TMDE2Ny05MzE3KDAyKTAwNzQ3LTU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}</w:instrText>
          </w:r>
          <w:r w:rsidR="00290C66">
            <w:fldChar w:fldCharType="separate"/>
          </w:r>
          <w:r w:rsidR="004204DD">
            <w:t>(Weibel and Ober, 2003)</w:t>
          </w:r>
          <w:r w:rsidR="00290C66">
            <w:fldChar w:fldCharType="end"/>
          </w:r>
        </w:sdtContent>
      </w:sdt>
      <w:r w:rsidRPr="00326867">
        <w:t>.</w:t>
      </w:r>
      <w:r w:rsidRPr="00D95FF6">
        <w:t xml:space="preserve"> Both thermodynamic and electrical thermal efficiencies were evaluated as a function of PR to identify the optimal operating point for each source temperature.</w:t>
      </w:r>
    </w:p>
    <w:p w14:paraId="767B7B07" w14:textId="77777777" w:rsidR="00297BA0" w:rsidRDefault="00297BA0" w:rsidP="00297BA0">
      <w:pPr>
        <w:pStyle w:val="SWCHeading1"/>
      </w:pPr>
      <w:r w:rsidRPr="00247B1F">
        <w:t>Results and Discussion</w:t>
      </w:r>
    </w:p>
    <w:p w14:paraId="7A2BA51D" w14:textId="1D5CBC8A" w:rsidR="00297BA0" w:rsidRPr="00247B1F" w:rsidRDefault="006023B3" w:rsidP="00297BA0">
      <w:pPr>
        <w:pStyle w:val="SWCHeading11"/>
      </w:pPr>
      <w:r>
        <w:t>3</w:t>
      </w:r>
      <w:r w:rsidR="00297BA0" w:rsidRPr="00247B1F">
        <w:t>.1 Thermodynamic Configuration Selection</w:t>
      </w:r>
    </w:p>
    <w:p w14:paraId="3C66DD24" w14:textId="497C7F88" w:rsidR="002E1947" w:rsidRDefault="00297BA0" w:rsidP="002E1947">
      <w:pPr>
        <w:pStyle w:val="SWCText"/>
      </w:pPr>
      <w:r w:rsidRPr="00A62F8E">
        <w:t>The design-space screening revealed a pronounced asymmetry between charging and discharging operation.</w:t>
      </w:r>
      <w:r w:rsidR="002E1947">
        <w:t xml:space="preserve"> The following</w:t>
      </w:r>
      <w:r w:rsidR="002E1947" w:rsidRPr="00A62F8E">
        <w:t xml:space="preserve"> combination emerged as the thermodynamically optimal baseline configuration</w:t>
      </w:r>
      <w:r w:rsidR="002E1947">
        <w:t>:</w:t>
      </w:r>
    </w:p>
    <w:p w14:paraId="4339EDCE" w14:textId="77777777" w:rsidR="00297BA0" w:rsidRPr="00A62F8E" w:rsidRDefault="00297BA0" w:rsidP="00A62F8E">
      <w:pPr>
        <w:pStyle w:val="SWCText"/>
        <w:rPr>
          <w:b/>
          <w:bCs/>
        </w:rPr>
      </w:pPr>
      <w:r w:rsidRPr="00A62F8E">
        <w:rPr>
          <w:b/>
          <w:bCs/>
        </w:rPr>
        <w:t>Charging Cycle</w:t>
      </w:r>
    </w:p>
    <w:p w14:paraId="2064CAEF" w14:textId="353FA7EC" w:rsidR="00297BA0" w:rsidRDefault="00297BA0" w:rsidP="00A62F8E">
      <w:pPr>
        <w:pStyle w:val="SWCText"/>
      </w:pPr>
      <w:r w:rsidRPr="00A62F8E">
        <w:t>Recuperation was found to be disadvantageous during charging. Although recuperators improve internal heat recovery, they simultaneously reduce the heat transferred to storage, which directly opposes the objective of the charging process. Consequently, the preferred charging architecture is a s</w:t>
      </w:r>
      <w:r w:rsidRPr="00A62F8E">
        <w:rPr>
          <w:rFonts w:eastAsiaTheme="majorEastAsia"/>
        </w:rPr>
        <w:t xml:space="preserve">imple </w:t>
      </w:r>
      <w:r w:rsidR="009B6AA7" w:rsidRPr="00A62F8E">
        <w:t>B</w:t>
      </w:r>
      <w:r w:rsidR="009B6AA7" w:rsidRPr="00A62F8E">
        <w:rPr>
          <w:rFonts w:eastAsiaTheme="majorEastAsia"/>
        </w:rPr>
        <w:t>rayton</w:t>
      </w:r>
      <w:r w:rsidRPr="00A62F8E">
        <w:rPr>
          <w:rFonts w:eastAsiaTheme="majorEastAsia"/>
        </w:rPr>
        <w:t xml:space="preserve"> </w:t>
      </w:r>
      <w:r w:rsidRPr="00A62F8E">
        <w:t>h</w:t>
      </w:r>
      <w:r w:rsidRPr="00A62F8E">
        <w:rPr>
          <w:rFonts w:eastAsiaTheme="majorEastAsia"/>
        </w:rPr>
        <w:t xml:space="preserve">eat </w:t>
      </w:r>
      <w:r w:rsidRPr="00A62F8E">
        <w:t>p</w:t>
      </w:r>
      <w:r w:rsidRPr="00A62F8E">
        <w:rPr>
          <w:rFonts w:eastAsiaTheme="majorEastAsia"/>
        </w:rPr>
        <w:t>ump</w:t>
      </w:r>
      <w:r w:rsidRPr="00A62F8E">
        <w:t>.</w:t>
      </w:r>
    </w:p>
    <w:p w14:paraId="55C9F728" w14:textId="77777777" w:rsidR="00297BA0" w:rsidRPr="00A62F8E" w:rsidRDefault="00297BA0" w:rsidP="00A62F8E">
      <w:pPr>
        <w:pStyle w:val="SWCText"/>
        <w:rPr>
          <w:b/>
          <w:bCs/>
        </w:rPr>
      </w:pPr>
      <w:r w:rsidRPr="00A62F8E">
        <w:rPr>
          <w:b/>
          <w:bCs/>
        </w:rPr>
        <w:t>Discharging Cycle</w:t>
      </w:r>
    </w:p>
    <w:p w14:paraId="401BAC8C" w14:textId="22F29542" w:rsidR="00297BA0" w:rsidRDefault="00297BA0" w:rsidP="00A62F8E">
      <w:pPr>
        <w:pStyle w:val="SWCText"/>
      </w:pPr>
      <w:r w:rsidRPr="00A62F8E">
        <w:t>For discharge operation, recuperation significantly improves cycle efficiency by reducing external heat demand from the TES. Therefore, the preferred discharge architecture is a r</w:t>
      </w:r>
      <w:r w:rsidRPr="00A62F8E">
        <w:rPr>
          <w:rFonts w:eastAsiaTheme="majorEastAsia"/>
        </w:rPr>
        <w:t xml:space="preserve">ecuperated </w:t>
      </w:r>
      <w:r w:rsidR="009B6AA7" w:rsidRPr="00A62F8E">
        <w:t>B</w:t>
      </w:r>
      <w:r w:rsidR="009B6AA7" w:rsidRPr="00A62F8E">
        <w:rPr>
          <w:rFonts w:eastAsiaTheme="majorEastAsia"/>
        </w:rPr>
        <w:t>rayton</w:t>
      </w:r>
      <w:r w:rsidRPr="00A62F8E">
        <w:rPr>
          <w:rFonts w:eastAsiaTheme="majorEastAsia"/>
        </w:rPr>
        <w:t xml:space="preserve"> </w:t>
      </w:r>
      <w:r w:rsidRPr="00A62F8E">
        <w:t>h</w:t>
      </w:r>
      <w:r w:rsidRPr="00A62F8E">
        <w:rPr>
          <w:rFonts w:eastAsiaTheme="majorEastAsia"/>
        </w:rPr>
        <w:t xml:space="preserve">eat </w:t>
      </w:r>
      <w:r w:rsidRPr="00A62F8E">
        <w:t>e</w:t>
      </w:r>
      <w:r w:rsidRPr="00A62F8E">
        <w:rPr>
          <w:rFonts w:eastAsiaTheme="majorEastAsia"/>
        </w:rPr>
        <w:t>ngine</w:t>
      </w:r>
      <w:r w:rsidRPr="00A62F8E">
        <w:t>.</w:t>
      </w:r>
    </w:p>
    <w:p w14:paraId="45084A8E" w14:textId="77777777" w:rsidR="002E1947" w:rsidRPr="00A62F8E" w:rsidRDefault="002E1947" w:rsidP="00A62F8E">
      <w:pPr>
        <w:pStyle w:val="SWCText"/>
      </w:pPr>
    </w:p>
    <w:p w14:paraId="129460BB" w14:textId="37D80DB6" w:rsidR="00297BA0" w:rsidRPr="00247B1F" w:rsidRDefault="006023B3" w:rsidP="009A05AE">
      <w:pPr>
        <w:pStyle w:val="SWCHeading11"/>
      </w:pPr>
      <w:r>
        <w:t>3</w:t>
      </w:r>
      <w:r w:rsidR="00297BA0" w:rsidRPr="00247B1F">
        <w:t>.2 Influence of Pressure Ratios</w:t>
      </w:r>
    </w:p>
    <w:p w14:paraId="3801E687" w14:textId="77777777" w:rsidR="001E3A39" w:rsidRPr="001E3A39" w:rsidRDefault="00297BA0" w:rsidP="001E3A39">
      <w:pPr>
        <w:pStyle w:val="SWCText"/>
      </w:pPr>
      <w:r w:rsidRPr="00247B1F">
        <w:t xml:space="preserve">The pressure ratio of the heat pump strongly influences </w:t>
      </w:r>
      <w:r w:rsidR="002E1947">
        <w:t>relevant system parameters</w:t>
      </w:r>
      <w:r w:rsidRPr="00247B1F">
        <w:t>.</w:t>
      </w:r>
      <w:r w:rsidR="001E3A39">
        <w:t xml:space="preserve"> </w:t>
      </w:r>
      <w:r w:rsidR="001E3A39" w:rsidRPr="001E3A39">
        <w:t>Figure 3 illustrates the round-trip efficiency as a function of the pressure ratio of the heat pump and the pressure ratio of the heat engine. The twelve data points represent the twelve representative configurations identified during the design space screening.</w:t>
      </w:r>
    </w:p>
    <w:p w14:paraId="43DF70CB" w14:textId="2B65C4CF" w:rsidR="001E3A39" w:rsidRPr="001E3A39" w:rsidRDefault="001E3A39" w:rsidP="001E3A39">
      <w:pPr>
        <w:pStyle w:val="SWCText"/>
      </w:pPr>
      <w:r w:rsidRPr="001E3A39">
        <w:t> An increase in the heat pump pressure ratio results in a higher working-fluid temperature and, consequently, a higher upper storage temperature. At the same time, the required compressor power increases, leading to a reduction in the heat pump coefficient of performance (COP). As a result, lower pressure ratios, associated with reduced compressor power consumption, improve the overall system round-trip efficiency.</w:t>
      </w:r>
    </w:p>
    <w:p w14:paraId="350D5A9D" w14:textId="0DDF6518" w:rsidR="001E3A39" w:rsidRPr="001E3A39" w:rsidRDefault="001E3A39" w:rsidP="001E3A39">
      <w:pPr>
        <w:pStyle w:val="SWCText"/>
      </w:pPr>
      <w:r w:rsidRPr="001E3A39">
        <w:t>In contrast, an increase in the heat engine pressure ratio has the opposite effect. Higher pressure ratios lead to increased turbine power output and, consequently, to improved turbine efficiency and greater electricity generation. Therefore, the round-trip efficiency of the overall system increases with increasing heat engine pressure ratio.</w:t>
      </w:r>
    </w:p>
    <w:p w14:paraId="1BAE1804" w14:textId="77777777" w:rsidR="001E3A39" w:rsidRPr="001E3A39" w:rsidRDefault="001E3A39" w:rsidP="001E3A39">
      <w:pPr>
        <w:pStyle w:val="SWCText"/>
      </w:pPr>
      <w:r w:rsidRPr="001E3A39">
        <w:t>Accordingly, the highest overall system efficiencies are achieved with low pressure ratios in the heat pump and high pressure ratios in the heat engine. This asymmetry indicates that a fully reversible Brayton-based PTES configuration is not optimal for maximizing round-trip efficiency. In a reversible Brayton system, the heat pump and heat engine operate as inverse processes of the same thermodynamic cycle and therefore require identical pressure ratios. The present results, however, indicate that maximum round-trip efficiency is achieved at low heat-pump pressure ratios and high heat-engine pressure ratios.</w:t>
      </w:r>
    </w:p>
    <w:p w14:paraId="614F9896" w14:textId="00DBFFFD" w:rsidR="00297BA0" w:rsidRDefault="00297BA0" w:rsidP="00A62F8E">
      <w:pPr>
        <w:pStyle w:val="SWCText"/>
      </w:pPr>
    </w:p>
    <w:p w14:paraId="4F3FA461" w14:textId="77777777" w:rsidR="003267FF" w:rsidRDefault="003267FF" w:rsidP="003267FF">
      <w:pPr>
        <w:pStyle w:val="SWCText"/>
        <w:keepNext/>
        <w:jc w:val="center"/>
      </w:pPr>
      <w:r w:rsidRPr="003267FF">
        <w:rPr>
          <w:noProof/>
          <w:lang w:val="de-DE"/>
        </w:rPr>
        <w:drawing>
          <wp:inline distT="0" distB="0" distL="0" distR="0" wp14:anchorId="26E8C66E" wp14:editId="5DB6144F">
            <wp:extent cx="4037610" cy="2952102"/>
            <wp:effectExtent l="0" t="0" r="1270" b="1270"/>
            <wp:docPr id="36" name="Grafik 35" descr="Ein Bild, das Text, Screenshot, Diagramm, Reihe enthält.&#10;&#10;KI-generierte Inhalte können fehlerhaft sein.">
              <a:extLst xmlns:a="http://schemas.openxmlformats.org/drawingml/2006/main">
                <a:ext uri="{FF2B5EF4-FFF2-40B4-BE49-F238E27FC236}">
                  <a16:creationId xmlns:a16="http://schemas.microsoft.com/office/drawing/2014/main" id="{72F1B1B1-FB30-F65F-155F-BD469ABBD6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fik 35" descr="Ein Bild, das Text, Screenshot, Diagramm, Reihe enthält.&#10;&#10;KI-generierte Inhalte können fehlerhaft sein.">
                      <a:extLst>
                        <a:ext uri="{FF2B5EF4-FFF2-40B4-BE49-F238E27FC236}">
                          <a16:creationId xmlns:a16="http://schemas.microsoft.com/office/drawing/2014/main" id="{72F1B1B1-FB30-F65F-155F-BD469ABBD69D}"/>
                        </a:ext>
                      </a:extLst>
                    </pic:cNvPr>
                    <pic:cNvPicPr>
                      <a:picLocks noChangeAspect="1"/>
                    </pic:cNvPicPr>
                  </pic:nvPicPr>
                  <pic:blipFill>
                    <a:blip r:embed="rId8" cstate="print">
                      <a:extLst>
                        <a:ext uri="{28A0092B-C50C-407E-A947-70E740481C1C}">
                          <a14:useLocalDpi xmlns:a14="http://schemas.microsoft.com/office/drawing/2010/main" val="0"/>
                        </a:ext>
                      </a:extLst>
                    </a:blip>
                    <a:srcRect t="4625" b="-75"/>
                    <a:stretch>
                      <a:fillRect/>
                    </a:stretch>
                  </pic:blipFill>
                  <pic:spPr bwMode="auto">
                    <a:xfrm>
                      <a:off x="0" y="0"/>
                      <a:ext cx="4045431" cy="2957820"/>
                    </a:xfrm>
                    <a:prstGeom prst="rect">
                      <a:avLst/>
                    </a:prstGeom>
                    <a:noFill/>
                    <a:ln>
                      <a:noFill/>
                    </a:ln>
                  </pic:spPr>
                </pic:pic>
              </a:graphicData>
            </a:graphic>
          </wp:inline>
        </w:drawing>
      </w:r>
    </w:p>
    <w:p w14:paraId="3769E5AD" w14:textId="711108E9" w:rsidR="003267FF" w:rsidRPr="00600E95" w:rsidRDefault="003267FF" w:rsidP="00326867">
      <w:pPr>
        <w:pStyle w:val="SWCTableFigureCaption"/>
      </w:pPr>
      <w:r w:rsidRPr="00600E95">
        <w:t xml:space="preserve">Figure </w:t>
      </w:r>
      <w:r>
        <w:fldChar w:fldCharType="begin"/>
      </w:r>
      <w:r w:rsidRPr="00600E95">
        <w:instrText xml:space="preserve"> SEQ Figure \* ARABIC </w:instrText>
      </w:r>
      <w:r>
        <w:fldChar w:fldCharType="separate"/>
      </w:r>
      <w:r w:rsidR="00B40F61">
        <w:rPr>
          <w:noProof/>
        </w:rPr>
        <w:t>3</w:t>
      </w:r>
      <w:r>
        <w:fldChar w:fldCharType="end"/>
      </w:r>
      <w:r w:rsidRPr="00600E95">
        <w:t xml:space="preserve">: </w:t>
      </w:r>
      <w:r w:rsidRPr="003267FF">
        <w:rPr>
          <w:lang w:val="en-GB"/>
        </w:rPr>
        <w:t>RTE for different pressure ratios</w:t>
      </w:r>
    </w:p>
    <w:p w14:paraId="6BF5CF93" w14:textId="77777777" w:rsidR="004950B5" w:rsidRPr="004950B5" w:rsidRDefault="004950B5" w:rsidP="004950B5">
      <w:pPr>
        <w:pStyle w:val="SWCText"/>
      </w:pPr>
      <w:r w:rsidRPr="004950B5">
        <w:t>Figure 4 shows the round-trip efficiency for different combinations of charging power capacity and discharging power capacity. The results indicate that the highest round-trip efficiencies are obtained at low charging power capacities and moderate to moderately high discharging power capacities.</w:t>
      </w:r>
    </w:p>
    <w:p w14:paraId="144AF30F" w14:textId="77777777" w:rsidR="00B40F61" w:rsidRDefault="00600E95" w:rsidP="00B40F61">
      <w:pPr>
        <w:pStyle w:val="SWCText"/>
        <w:keepNext/>
        <w:jc w:val="center"/>
      </w:pPr>
      <w:r w:rsidRPr="00600E95">
        <w:rPr>
          <w:noProof/>
          <w:lang w:val="de-DE"/>
        </w:rPr>
        <w:lastRenderedPageBreak/>
        <w:drawing>
          <wp:inline distT="0" distB="0" distL="0" distR="0" wp14:anchorId="6700FBC7" wp14:editId="086739E1">
            <wp:extent cx="3880884" cy="2653135"/>
            <wp:effectExtent l="0" t="0" r="5715" b="0"/>
            <wp:docPr id="37" name="Grafik 36" descr="Ein Bild, das Text, Screenshot, Diagramm, Reihe enthält.&#10;&#10;KI-generierte Inhalte können fehlerhaft sein.">
              <a:extLst xmlns:a="http://schemas.openxmlformats.org/drawingml/2006/main">
                <a:ext uri="{FF2B5EF4-FFF2-40B4-BE49-F238E27FC236}">
                  <a16:creationId xmlns:a16="http://schemas.microsoft.com/office/drawing/2014/main" id="{F15A54D9-B4EB-2838-BB46-FB2A31F965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6" descr="Ein Bild, das Text, Screenshot, Diagramm, Reihe enthält.&#10;&#10;KI-generierte Inhalte können fehlerhaft sein.">
                      <a:extLst>
                        <a:ext uri="{FF2B5EF4-FFF2-40B4-BE49-F238E27FC236}">
                          <a16:creationId xmlns:a16="http://schemas.microsoft.com/office/drawing/2014/main" id="{F15A54D9-B4EB-2838-BB46-FB2A31F9653D}"/>
                        </a:ext>
                      </a:extLst>
                    </pic:cNvPr>
                    <pic:cNvPicPr>
                      <a:picLocks noChangeAspect="1"/>
                    </pic:cNvPicPr>
                  </pic:nvPicPr>
                  <pic:blipFill>
                    <a:blip r:embed="rId9" cstate="print">
                      <a:extLst>
                        <a:ext uri="{28A0092B-C50C-407E-A947-70E740481C1C}">
                          <a14:useLocalDpi xmlns:a14="http://schemas.microsoft.com/office/drawing/2010/main" val="0"/>
                        </a:ext>
                      </a:extLst>
                    </a:blip>
                    <a:srcRect t="6657" b="363"/>
                    <a:stretch>
                      <a:fillRect/>
                    </a:stretch>
                  </pic:blipFill>
                  <pic:spPr bwMode="auto">
                    <a:xfrm>
                      <a:off x="0" y="0"/>
                      <a:ext cx="3887657" cy="2657765"/>
                    </a:xfrm>
                    <a:prstGeom prst="rect">
                      <a:avLst/>
                    </a:prstGeom>
                    <a:noFill/>
                    <a:ln>
                      <a:noFill/>
                    </a:ln>
                  </pic:spPr>
                </pic:pic>
              </a:graphicData>
            </a:graphic>
          </wp:inline>
        </w:drawing>
      </w:r>
    </w:p>
    <w:p w14:paraId="4E3EB09D" w14:textId="5ED45AF6" w:rsidR="00600E95" w:rsidRDefault="00B40F61" w:rsidP="00326867">
      <w:pPr>
        <w:pStyle w:val="SWCTableFigureCaption"/>
        <w:rPr>
          <w:lang w:val="en-GB"/>
        </w:rPr>
      </w:pPr>
      <w:r w:rsidRPr="00B40F61">
        <w:t xml:space="preserve">Figure </w:t>
      </w:r>
      <w:r>
        <w:fldChar w:fldCharType="begin"/>
      </w:r>
      <w:r w:rsidRPr="00B40F61">
        <w:instrText xml:space="preserve"> SEQ Figure \* ARABIC </w:instrText>
      </w:r>
      <w:r>
        <w:fldChar w:fldCharType="separate"/>
      </w:r>
      <w:r w:rsidRPr="00B40F61">
        <w:rPr>
          <w:noProof/>
        </w:rPr>
        <w:t>4</w:t>
      </w:r>
      <w:r>
        <w:fldChar w:fldCharType="end"/>
      </w:r>
      <w:r w:rsidRPr="00B40F61">
        <w:t xml:space="preserve">: </w:t>
      </w:r>
      <w:r w:rsidRPr="00B40F61">
        <w:rPr>
          <w:lang w:val="en-GB"/>
        </w:rPr>
        <w:t>RTE for different power capacities</w:t>
      </w:r>
    </w:p>
    <w:p w14:paraId="5A133D21" w14:textId="77777777" w:rsidR="001E3A39" w:rsidRDefault="001E3A39" w:rsidP="001E3A39">
      <w:pPr>
        <w:rPr>
          <w:lang w:val="en-GB"/>
        </w:rPr>
      </w:pPr>
    </w:p>
    <w:p w14:paraId="4A9D0E3A" w14:textId="4E8AB77F" w:rsidR="00297BA0" w:rsidRPr="00247B1F" w:rsidRDefault="009B6AA7" w:rsidP="009B6AA7">
      <w:pPr>
        <w:pStyle w:val="SWCHeading11"/>
      </w:pPr>
      <w:r>
        <w:t xml:space="preserve">3.3 </w:t>
      </w:r>
      <w:r w:rsidR="00297BA0" w:rsidRPr="00247B1F">
        <w:t xml:space="preserve">Round-Trip Efficiency versus </w:t>
      </w:r>
      <w:r w:rsidR="00326867">
        <w:t>Revenue</w:t>
      </w:r>
    </w:p>
    <w:p w14:paraId="6DFC7E6E" w14:textId="5F3647AD" w:rsidR="00326867" w:rsidRPr="00326867" w:rsidRDefault="00326867" w:rsidP="00326867">
      <w:pPr>
        <w:pStyle w:val="SWCText"/>
      </w:pPr>
      <w:r w:rsidRPr="00326867">
        <w:t xml:space="preserve">A key finding of this study is that maximizing round-trip efficiency (RTE) alone may lead to suboptimal system designs when economic performance is taken into account. As discussed in Section </w:t>
      </w:r>
      <w:r w:rsidR="00BE751A">
        <w:t>3</w:t>
      </w:r>
      <w:r w:rsidRPr="00326867">
        <w:t>.2, the configurations exhibiting the highest RTE are typically characterized by very low charging pressure ratios, small temperature lifts across the thermal energy storage (TES), and reduced discharge power capacities.</w:t>
      </w:r>
    </w:p>
    <w:p w14:paraId="16C48D11" w14:textId="1362F7C1" w:rsidR="00326867" w:rsidRPr="00326867" w:rsidRDefault="00326867" w:rsidP="00326867">
      <w:pPr>
        <w:pStyle w:val="SWCText"/>
      </w:pPr>
      <w:r w:rsidRPr="00326867">
        <w:t>While these operating conditions minimize thermodynamic losses and therefore maximize electrical round-trip efficiency, they simultaneously reduce the amount of exergy stored within the TES. As a result, the effective utilization of the thermal storage decreases, limiting the system's capability to shift energy over time and to capitalize on favorable electricity market conditions. Consequently, the economic value generated by the storage system is diminished, and the investment in thermal storage capacity becomes more difficult to justify from a financial perspective.</w:t>
      </w:r>
    </w:p>
    <w:p w14:paraId="67A51685" w14:textId="77777777" w:rsidR="00326867" w:rsidRDefault="00326867" w:rsidP="00326867">
      <w:pPr>
        <w:pStyle w:val="SWCText"/>
      </w:pPr>
      <w:r w:rsidRPr="00326867">
        <w:t>These findings challenge the frequently adopted assumption that design-point round-trip efficiency represents a sufficient objective function for system optimization. Instead, the results indicate that both thermodynamic and economic metrics must be considered simultaneously. In particular, the TES temperature lift and the associated usable storage exergy should be evaluated alongside round-trip efficiency when selecting system configurations. A design that achieves slightly lower RTE may ultimately provide greater economic value if it enables higher storage utilization and increased revenue generation. Therefore, the optimization of Brayton-based Carnot battery systems should extend beyond efficiency maximization and incorporate the interaction between storage performance, operational flexibility, and market value.</w:t>
      </w:r>
    </w:p>
    <w:p w14:paraId="2BED9FBD" w14:textId="77777777" w:rsidR="004B6512" w:rsidRPr="00326867" w:rsidRDefault="004B6512" w:rsidP="00326867">
      <w:pPr>
        <w:pStyle w:val="SWCText"/>
      </w:pPr>
    </w:p>
    <w:p w14:paraId="269EA7E5" w14:textId="62941FD9" w:rsidR="00BD30FF" w:rsidRPr="00247B1F" w:rsidRDefault="009B6AA7" w:rsidP="009B6AA7">
      <w:pPr>
        <w:pStyle w:val="SWCHeading11"/>
      </w:pPr>
      <w:r>
        <w:t xml:space="preserve">3.4 </w:t>
      </w:r>
      <w:r w:rsidR="00BD30FF">
        <w:t>Direct waste-heat-to-power conversion</w:t>
      </w:r>
    </w:p>
    <w:p w14:paraId="251561E8" w14:textId="0FFD82A6" w:rsidR="00BD30FF" w:rsidRPr="003B3A16" w:rsidRDefault="003B3A16" w:rsidP="0062377A">
      <w:pPr>
        <w:pStyle w:val="SWCText"/>
      </w:pPr>
      <w:r>
        <w:fldChar w:fldCharType="begin"/>
      </w:r>
      <w:r>
        <w:instrText xml:space="preserve"> REF _Ref235718407 \h  \* MERGEFORMAT </w:instrText>
      </w:r>
      <w:r>
        <w:fldChar w:fldCharType="separate"/>
      </w:r>
      <w:r w:rsidRPr="003B3A16">
        <w:t>Figure 5</w:t>
      </w:r>
      <w:r>
        <w:fldChar w:fldCharType="end"/>
      </w:r>
      <w:r>
        <w:t xml:space="preserve"> </w:t>
      </w:r>
      <w:r w:rsidR="00BD30FF" w:rsidRPr="003B3A16">
        <w:t>shows an example of this sweep for a waste heat temperature of 350 °C. The thermal efficiency exhibits a clear maximum at PR ≈ 3.0, reaching 23.58% (thermodynamic) and 22.48% (electrical). At low pressure ratios, the turbine work is insufficient to overcome compressor consumption; at high pressure ratios, the increasing compressor work and reduced recuperator benefit degrade performance.</w:t>
      </w:r>
    </w:p>
    <w:p w14:paraId="4059CC82" w14:textId="77777777" w:rsidR="00BD30FF" w:rsidRDefault="00BD30FF" w:rsidP="00BD30FF">
      <w:pPr>
        <w:keepNext/>
        <w:jc w:val="center"/>
      </w:pPr>
      <w:r>
        <w:rPr>
          <w:noProof/>
        </w:rPr>
        <w:lastRenderedPageBreak/>
        <w:drawing>
          <wp:inline distT="0" distB="0" distL="0" distR="0" wp14:anchorId="6E7C499D" wp14:editId="5A986FB5">
            <wp:extent cx="4405210" cy="2844000"/>
            <wp:effectExtent l="0" t="0" r="0" b="0"/>
            <wp:docPr id="534430755" name="Grafik 1" descr="Ein Bild, das Text, Reihe, Diagramm,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430755" name="Grafik 1" descr="Ein Bild, das Text, Reihe, Diagramm, Screenshot enthält.&#10;&#10;KI-generierte Inhalte können fehlerhaft sein."/>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676" b="-354"/>
                    <a:stretch>
                      <a:fillRect/>
                    </a:stretch>
                  </pic:blipFill>
                  <pic:spPr bwMode="auto">
                    <a:xfrm>
                      <a:off x="0" y="0"/>
                      <a:ext cx="4478080" cy="2891045"/>
                    </a:xfrm>
                    <a:prstGeom prst="rect">
                      <a:avLst/>
                    </a:prstGeom>
                    <a:noFill/>
                    <a:ln>
                      <a:noFill/>
                    </a:ln>
                    <a:extLst>
                      <a:ext uri="{53640926-AAD7-44D8-BBD7-CCE9431645EC}">
                        <a14:shadowObscured xmlns:a14="http://schemas.microsoft.com/office/drawing/2010/main"/>
                      </a:ext>
                    </a:extLst>
                  </pic:spPr>
                </pic:pic>
              </a:graphicData>
            </a:graphic>
          </wp:inline>
        </w:drawing>
      </w:r>
    </w:p>
    <w:p w14:paraId="50077F27" w14:textId="49E01E1B" w:rsidR="00BD30FF" w:rsidRDefault="00BD30FF" w:rsidP="00326867">
      <w:pPr>
        <w:pStyle w:val="SWCTableFigureCaption"/>
      </w:pPr>
      <w:bookmarkStart w:id="3" w:name="_Ref235718407"/>
      <w:r w:rsidRPr="00BD30FF">
        <w:t xml:space="preserve">Figure </w:t>
      </w:r>
      <w:r w:rsidRPr="002818E4">
        <w:fldChar w:fldCharType="begin"/>
      </w:r>
      <w:r w:rsidRPr="00BD30FF">
        <w:instrText xml:space="preserve"> SEQ Figure \* ARABIC </w:instrText>
      </w:r>
      <w:r w:rsidRPr="002818E4">
        <w:fldChar w:fldCharType="separate"/>
      </w:r>
      <w:r w:rsidR="003B3A16">
        <w:rPr>
          <w:noProof/>
        </w:rPr>
        <w:t>5</w:t>
      </w:r>
      <w:r w:rsidRPr="002818E4">
        <w:fldChar w:fldCharType="end"/>
      </w:r>
      <w:bookmarkEnd w:id="3"/>
      <w:r w:rsidRPr="00BD30FF">
        <w:t xml:space="preserve">: </w:t>
      </w:r>
      <w:r w:rsidRPr="002818E4">
        <w:t xml:space="preserve">Thermodynamic and electrical thermal efficiency vs. pressure ratio for T_waste = 350 °C, T_comp_inlet = 35 °C. </w:t>
      </w:r>
    </w:p>
    <w:p w14:paraId="14B1086B" w14:textId="01D9CC15" w:rsidR="00BD30FF" w:rsidRPr="003B3A16" w:rsidRDefault="00BD30FF" w:rsidP="003B3A16">
      <w:pPr>
        <w:jc w:val="both"/>
        <w:rPr>
          <w:color w:val="000000"/>
          <w:sz w:val="20"/>
          <w:szCs w:val="22"/>
          <w:lang w:val="en-US"/>
        </w:rPr>
      </w:pPr>
      <w:r w:rsidRPr="003B3A16">
        <w:rPr>
          <w:color w:val="000000"/>
          <w:sz w:val="20"/>
          <w:szCs w:val="22"/>
          <w:lang w:val="en-US"/>
        </w:rPr>
        <w:t xml:space="preserve">Analogous sweeps were performed for all six waste heat temperatures. The optimal PR shifts slightly downward </w:t>
      </w:r>
      <w:r w:rsidR="003B3A16">
        <w:rPr>
          <w:color w:val="000000"/>
          <w:sz w:val="20"/>
          <w:szCs w:val="22"/>
          <w:lang w:val="en-US"/>
        </w:rPr>
        <w:t xml:space="preserve">(from 3.0 to 2.7) </w:t>
      </w:r>
      <w:r w:rsidRPr="003B3A16">
        <w:rPr>
          <w:color w:val="000000"/>
          <w:sz w:val="20"/>
          <w:szCs w:val="22"/>
          <w:lang w:val="en-US"/>
        </w:rPr>
        <w:t xml:space="preserve">with decreasing source temperature due to the reduced available temperature ratio across the turbine. The maximum (design) efficiencies </w:t>
      </w:r>
      <w:r w:rsidR="003B3A16">
        <w:rPr>
          <w:color w:val="000000"/>
          <w:sz w:val="20"/>
          <w:szCs w:val="22"/>
          <w:lang w:val="en-US"/>
        </w:rPr>
        <w:t xml:space="preserve">including the corresponding pressure </w:t>
      </w:r>
      <w:r w:rsidR="008E7088">
        <w:rPr>
          <w:color w:val="000000"/>
          <w:sz w:val="20"/>
          <w:szCs w:val="22"/>
          <w:lang w:val="en-US"/>
        </w:rPr>
        <w:t>ratios</w:t>
      </w:r>
      <w:r w:rsidR="008E7088" w:rsidRPr="003B3A16">
        <w:rPr>
          <w:color w:val="000000"/>
          <w:sz w:val="20"/>
          <w:szCs w:val="22"/>
          <w:lang w:val="en-US"/>
        </w:rPr>
        <w:t xml:space="preserve"> across</w:t>
      </w:r>
      <w:r w:rsidRPr="003B3A16">
        <w:rPr>
          <w:color w:val="000000"/>
          <w:sz w:val="20"/>
          <w:szCs w:val="22"/>
          <w:lang w:val="en-US"/>
        </w:rPr>
        <w:t xml:space="preserve"> all temperatures are plotted in </w:t>
      </w:r>
      <w:r w:rsidRPr="003B3A16">
        <w:rPr>
          <w:color w:val="000000"/>
          <w:sz w:val="20"/>
          <w:szCs w:val="22"/>
          <w:lang w:val="en-US"/>
        </w:rPr>
        <w:fldChar w:fldCharType="begin"/>
      </w:r>
      <w:r w:rsidRPr="003B3A16">
        <w:rPr>
          <w:color w:val="000000"/>
          <w:sz w:val="20"/>
          <w:szCs w:val="22"/>
          <w:lang w:val="en-US"/>
        </w:rPr>
        <w:instrText xml:space="preserve"> REF _Ref233185478 \h  \* MERGEFORMAT </w:instrText>
      </w:r>
      <w:r w:rsidRPr="003B3A16">
        <w:rPr>
          <w:color w:val="000000"/>
          <w:sz w:val="20"/>
          <w:szCs w:val="22"/>
          <w:lang w:val="en-US"/>
        </w:rPr>
      </w:r>
      <w:r w:rsidRPr="003B3A16">
        <w:rPr>
          <w:color w:val="000000"/>
          <w:sz w:val="20"/>
          <w:szCs w:val="22"/>
          <w:lang w:val="en-US"/>
        </w:rPr>
        <w:fldChar w:fldCharType="separate"/>
      </w:r>
      <w:r w:rsidR="003B3A16" w:rsidRPr="003B3A16">
        <w:rPr>
          <w:color w:val="000000"/>
          <w:sz w:val="20"/>
          <w:szCs w:val="22"/>
          <w:lang w:val="en-US"/>
        </w:rPr>
        <w:t>Figure 6</w:t>
      </w:r>
      <w:r w:rsidRPr="003B3A16">
        <w:rPr>
          <w:color w:val="000000"/>
          <w:sz w:val="20"/>
          <w:szCs w:val="22"/>
          <w:lang w:val="en-US"/>
        </w:rPr>
        <w:fldChar w:fldCharType="end"/>
      </w:r>
      <w:r w:rsidRPr="003B3A16">
        <w:rPr>
          <w:color w:val="000000"/>
          <w:sz w:val="20"/>
          <w:szCs w:val="22"/>
          <w:lang w:val="en-US"/>
        </w:rPr>
        <w:t>. Both thermal and electrical efficiency increase approximately linearly with waste heat temperature over this range, gaining roughly 0.7 %-points per 10 K increase in source temperature.</w:t>
      </w:r>
      <w:r w:rsidR="00220C75">
        <w:rPr>
          <w:color w:val="000000"/>
          <w:sz w:val="20"/>
          <w:szCs w:val="22"/>
          <w:lang w:val="en-US"/>
        </w:rPr>
        <w:t xml:space="preserve"> </w:t>
      </w:r>
    </w:p>
    <w:p w14:paraId="669CBC19" w14:textId="77777777" w:rsidR="00BD30FF" w:rsidRPr="00D4464B" w:rsidRDefault="00BD30FF" w:rsidP="00BD30FF">
      <w:pPr>
        <w:rPr>
          <w:lang w:val="en-GB"/>
        </w:rPr>
      </w:pPr>
    </w:p>
    <w:p w14:paraId="25E8F302" w14:textId="77777777" w:rsidR="00BD30FF" w:rsidRDefault="00BD30FF" w:rsidP="00BD30FF">
      <w:pPr>
        <w:keepNext/>
        <w:jc w:val="center"/>
      </w:pPr>
      <w:r>
        <w:rPr>
          <w:noProof/>
        </w:rPr>
        <w:drawing>
          <wp:inline distT="0" distB="0" distL="0" distR="0" wp14:anchorId="593330AF" wp14:editId="6311FEE3">
            <wp:extent cx="4535148" cy="2916000"/>
            <wp:effectExtent l="0" t="0" r="0" b="0"/>
            <wp:docPr id="59462704" name="Grafik 2" descr="Ein Bild, das Text, Reihe, Diagramm,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62704" name="Grafik 2" descr="Ein Bild, das Text, Reihe, Diagramm, Screenshot enthält.&#10;&#10;KI-generierte Inhalte können fehlerhaft sein."/>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869" b="330"/>
                    <a:stretch>
                      <a:fillRect/>
                    </a:stretch>
                  </pic:blipFill>
                  <pic:spPr bwMode="auto">
                    <a:xfrm>
                      <a:off x="0" y="0"/>
                      <a:ext cx="4571039" cy="2939077"/>
                    </a:xfrm>
                    <a:prstGeom prst="rect">
                      <a:avLst/>
                    </a:prstGeom>
                    <a:noFill/>
                    <a:ln>
                      <a:noFill/>
                    </a:ln>
                    <a:extLst>
                      <a:ext uri="{53640926-AAD7-44D8-BBD7-CCE9431645EC}">
                        <a14:shadowObscured xmlns:a14="http://schemas.microsoft.com/office/drawing/2010/main"/>
                      </a:ext>
                    </a:extLst>
                  </pic:spPr>
                </pic:pic>
              </a:graphicData>
            </a:graphic>
          </wp:inline>
        </w:drawing>
      </w:r>
    </w:p>
    <w:p w14:paraId="74BF6B17" w14:textId="6CDBBE3D" w:rsidR="00BD30FF" w:rsidRDefault="00BD30FF" w:rsidP="00326867">
      <w:pPr>
        <w:pStyle w:val="SWCTableFigureCaption"/>
      </w:pPr>
      <w:bookmarkStart w:id="4" w:name="_Ref233185478"/>
      <w:r w:rsidRPr="00BD30FF">
        <w:t xml:space="preserve">Figure </w:t>
      </w:r>
      <w:r w:rsidRPr="002818E4">
        <w:fldChar w:fldCharType="begin"/>
      </w:r>
      <w:r w:rsidRPr="00BD30FF">
        <w:instrText xml:space="preserve"> SEQ Figure \* ARABIC </w:instrText>
      </w:r>
      <w:r w:rsidRPr="002818E4">
        <w:fldChar w:fldCharType="separate"/>
      </w:r>
      <w:r w:rsidR="003B3A16">
        <w:rPr>
          <w:noProof/>
        </w:rPr>
        <w:t>6</w:t>
      </w:r>
      <w:r w:rsidRPr="002818E4">
        <w:fldChar w:fldCharType="end"/>
      </w:r>
      <w:bookmarkEnd w:id="4"/>
      <w:r w:rsidRPr="00BD30FF">
        <w:t xml:space="preserve">: </w:t>
      </w:r>
      <w:r w:rsidRPr="002818E4">
        <w:t xml:space="preserve">Maximum thermal and electrical efficiency at design conditions </w:t>
      </w:r>
      <w:r w:rsidR="0062377A">
        <w:t>for different</w:t>
      </w:r>
      <w:r w:rsidRPr="002818E4">
        <w:t xml:space="preserve"> waste</w:t>
      </w:r>
      <w:r w:rsidR="0062377A">
        <w:t>-</w:t>
      </w:r>
      <w:r w:rsidRPr="002818E4">
        <w:t xml:space="preserve">heat temperature. </w:t>
      </w:r>
    </w:p>
    <w:p w14:paraId="49BC921F" w14:textId="77777777" w:rsidR="00220C75" w:rsidRPr="0062377A" w:rsidRDefault="00220C75" w:rsidP="0062377A">
      <w:pPr>
        <w:pStyle w:val="SWCTableFigureCaption"/>
        <w:jc w:val="both"/>
        <w:rPr>
          <w:b w:val="0"/>
          <w:sz w:val="20"/>
          <w:szCs w:val="22"/>
        </w:rPr>
      </w:pPr>
      <w:r w:rsidRPr="0062377A">
        <w:rPr>
          <w:b w:val="0"/>
          <w:sz w:val="20"/>
          <w:szCs w:val="22"/>
        </w:rPr>
        <w:t>The efficiencies reported here correspond to a reference scenario in which ambient temperatures remain sufficiently low (≤ 20°C) so that the compressor inlet temperature continuously stays below the design temperature of 35°C. Depending on the site-specific climatic conditions, higher ambient temperatures occurring during certain periods of the day or year may lead to a reduction in the actual system efficiency. Across the locations investigated, this effect resulted in an average decrease in the time-averaged efficiency of approximately 2 percentage points.</w:t>
      </w:r>
    </w:p>
    <w:p w14:paraId="58160B47" w14:textId="77777777" w:rsidR="00220C75" w:rsidRPr="0062377A" w:rsidRDefault="00220C75" w:rsidP="0062377A">
      <w:pPr>
        <w:pStyle w:val="SWCTableFigureCaption"/>
        <w:jc w:val="both"/>
        <w:rPr>
          <w:b w:val="0"/>
          <w:sz w:val="20"/>
          <w:szCs w:val="22"/>
        </w:rPr>
      </w:pPr>
    </w:p>
    <w:p w14:paraId="417AF4FD" w14:textId="77777777" w:rsidR="00BD30FF" w:rsidRPr="00BD30FF" w:rsidRDefault="00BD30FF" w:rsidP="00297BA0">
      <w:pPr>
        <w:pStyle w:val="SWCTableFigureCaption"/>
        <w:jc w:val="both"/>
        <w:rPr>
          <w:b w:val="0"/>
          <w:sz w:val="20"/>
          <w:szCs w:val="22"/>
          <w:lang w:val="en-GB"/>
        </w:rPr>
      </w:pPr>
    </w:p>
    <w:p w14:paraId="172CA410" w14:textId="77777777" w:rsidR="00BD30FF" w:rsidRPr="00247B1F" w:rsidRDefault="00BD30FF" w:rsidP="00297BA0">
      <w:pPr>
        <w:pStyle w:val="SWCTableFigureCaption"/>
        <w:jc w:val="both"/>
        <w:rPr>
          <w:b w:val="0"/>
          <w:sz w:val="20"/>
          <w:szCs w:val="22"/>
        </w:rPr>
      </w:pPr>
    </w:p>
    <w:p w14:paraId="5E7E93EC" w14:textId="343D396F" w:rsidR="00297BA0" w:rsidRPr="00247B1F" w:rsidRDefault="009B6AA7" w:rsidP="009B6AA7">
      <w:pPr>
        <w:pStyle w:val="SWCHeading11"/>
      </w:pPr>
      <w:r>
        <w:lastRenderedPageBreak/>
        <w:t xml:space="preserve">3.5 </w:t>
      </w:r>
      <w:r w:rsidR="00297BA0" w:rsidRPr="00247B1F">
        <w:t>Market-Oriented Optimization</w:t>
      </w:r>
    </w:p>
    <w:p w14:paraId="4D8E94B8" w14:textId="40B9554E" w:rsidR="002E1947" w:rsidRPr="00247B1F" w:rsidRDefault="00297BA0" w:rsidP="002E1947">
      <w:pPr>
        <w:pStyle w:val="SWCTableFigureCaption"/>
        <w:jc w:val="both"/>
        <w:rPr>
          <w:b w:val="0"/>
          <w:sz w:val="20"/>
          <w:szCs w:val="22"/>
        </w:rPr>
      </w:pPr>
      <w:r w:rsidRPr="00247B1F">
        <w:rPr>
          <w:b w:val="0"/>
          <w:sz w:val="20"/>
          <w:szCs w:val="22"/>
        </w:rPr>
        <w:t xml:space="preserve">The results </w:t>
      </w:r>
      <w:r w:rsidR="00BC6A20">
        <w:rPr>
          <w:b w:val="0"/>
          <w:sz w:val="20"/>
          <w:szCs w:val="22"/>
        </w:rPr>
        <w:t xml:space="preserve">of the annual simulations for three different locations </w:t>
      </w:r>
      <w:r w:rsidRPr="00247B1F">
        <w:rPr>
          <w:b w:val="0"/>
          <w:sz w:val="20"/>
          <w:szCs w:val="22"/>
        </w:rPr>
        <w:t xml:space="preserve">show that profitability depends more strongly on </w:t>
      </w:r>
      <w:r w:rsidR="00BC6A20">
        <w:rPr>
          <w:b w:val="0"/>
          <w:sz w:val="20"/>
          <w:szCs w:val="22"/>
        </w:rPr>
        <w:t xml:space="preserve">local </w:t>
      </w:r>
      <w:r w:rsidRPr="00247B1F">
        <w:rPr>
          <w:b w:val="0"/>
          <w:sz w:val="20"/>
          <w:szCs w:val="22"/>
        </w:rPr>
        <w:t>electricity price spreads than on any thermodynamic design variable.</w:t>
      </w:r>
      <w:r w:rsidR="002E1947">
        <w:rPr>
          <w:b w:val="0"/>
          <w:sz w:val="20"/>
          <w:szCs w:val="22"/>
        </w:rPr>
        <w:t xml:space="preserve"> The higher the electricity price spread in the specific location, the higher the </w:t>
      </w:r>
      <w:r w:rsidR="002E1947" w:rsidRPr="00247B1F">
        <w:rPr>
          <w:b w:val="0"/>
          <w:sz w:val="20"/>
          <w:szCs w:val="22"/>
        </w:rPr>
        <w:t>profitability</w:t>
      </w:r>
      <w:r w:rsidR="002E1947">
        <w:rPr>
          <w:b w:val="0"/>
          <w:sz w:val="20"/>
          <w:szCs w:val="22"/>
        </w:rPr>
        <w:t xml:space="preserve">. The </w:t>
      </w:r>
      <w:r w:rsidR="002E1947" w:rsidRPr="00247B1F">
        <w:rPr>
          <w:b w:val="0"/>
          <w:sz w:val="20"/>
          <w:szCs w:val="22"/>
        </w:rPr>
        <w:t>most profitable configuration was not the thermodynamically optimal design</w:t>
      </w:r>
      <w:r w:rsidR="002E1947">
        <w:rPr>
          <w:b w:val="0"/>
          <w:sz w:val="20"/>
          <w:szCs w:val="22"/>
        </w:rPr>
        <w:t xml:space="preserve">. </w:t>
      </w:r>
      <w:r w:rsidR="002E1947" w:rsidRPr="00247B1F">
        <w:rPr>
          <w:b w:val="0"/>
          <w:sz w:val="20"/>
          <w:szCs w:val="22"/>
        </w:rPr>
        <w:t>Instead, a design with</w:t>
      </w:r>
      <w:r w:rsidR="002E1947">
        <w:rPr>
          <w:b w:val="0"/>
          <w:sz w:val="20"/>
          <w:szCs w:val="22"/>
        </w:rPr>
        <w:t xml:space="preserve"> </w:t>
      </w:r>
      <w:r w:rsidR="00EA7617">
        <w:rPr>
          <w:b w:val="0"/>
          <w:sz w:val="20"/>
          <w:szCs w:val="22"/>
        </w:rPr>
        <w:t>s</w:t>
      </w:r>
      <w:r w:rsidR="002E1947" w:rsidRPr="00247B1F">
        <w:rPr>
          <w:b w:val="0"/>
          <w:sz w:val="20"/>
          <w:szCs w:val="22"/>
        </w:rPr>
        <w:t>lightly lower RTE</w:t>
      </w:r>
      <w:r w:rsidR="002E1947" w:rsidRPr="002E1947">
        <w:rPr>
          <w:b w:val="0"/>
          <w:sz w:val="20"/>
          <w:szCs w:val="22"/>
        </w:rPr>
        <w:t xml:space="preserve"> and </w:t>
      </w:r>
      <w:r w:rsidR="002E1947">
        <w:rPr>
          <w:b w:val="0"/>
          <w:sz w:val="20"/>
          <w:szCs w:val="22"/>
        </w:rPr>
        <w:t>h</w:t>
      </w:r>
      <w:r w:rsidR="002E1947" w:rsidRPr="00247B1F">
        <w:rPr>
          <w:b w:val="0"/>
          <w:sz w:val="20"/>
          <w:szCs w:val="22"/>
        </w:rPr>
        <w:t>igher discharge power</w:t>
      </w:r>
      <w:r w:rsidR="002E1947">
        <w:rPr>
          <w:b w:val="0"/>
          <w:sz w:val="20"/>
          <w:szCs w:val="22"/>
        </w:rPr>
        <w:t xml:space="preserve"> </w:t>
      </w:r>
      <w:r w:rsidR="002E1947" w:rsidRPr="00247B1F">
        <w:rPr>
          <w:b w:val="0"/>
          <w:sz w:val="20"/>
          <w:szCs w:val="22"/>
        </w:rPr>
        <w:t>generated the largest annual revenue because more electricity could be delivered during peak-price periods.</w:t>
      </w:r>
      <w:r w:rsidR="00220C75">
        <w:rPr>
          <w:b w:val="0"/>
          <w:sz w:val="20"/>
          <w:szCs w:val="22"/>
        </w:rPr>
        <w:t xml:space="preserve"> </w:t>
      </w:r>
      <w:r w:rsidR="00220C75" w:rsidRPr="008E7088">
        <w:rPr>
          <w:b w:val="0"/>
          <w:sz w:val="20"/>
          <w:szCs w:val="22"/>
        </w:rPr>
        <w:t>Due to the confidentiality requirements of the project partner, no quantitative techno-economic data are disclosed.</w:t>
      </w:r>
    </w:p>
    <w:p w14:paraId="4211D969" w14:textId="71EC2358" w:rsidR="00297BA0" w:rsidRPr="00247B1F" w:rsidRDefault="00297BA0" w:rsidP="00297BA0">
      <w:pPr>
        <w:pStyle w:val="SWCTableFigureCaption"/>
        <w:jc w:val="both"/>
        <w:rPr>
          <w:b w:val="0"/>
          <w:sz w:val="20"/>
          <w:szCs w:val="22"/>
        </w:rPr>
      </w:pPr>
    </w:p>
    <w:p w14:paraId="4B12D765" w14:textId="5E92EACE" w:rsidR="00297BA0" w:rsidRPr="00247B1F" w:rsidRDefault="009B6AA7" w:rsidP="009B6AA7">
      <w:pPr>
        <w:pStyle w:val="SWCHeading11"/>
      </w:pPr>
      <w:r>
        <w:t xml:space="preserve">3.6 </w:t>
      </w:r>
      <w:r w:rsidR="00297BA0" w:rsidRPr="00247B1F">
        <w:t>Implications for Future PTES Design</w:t>
      </w:r>
    </w:p>
    <w:p w14:paraId="427B841F" w14:textId="77777777" w:rsidR="00C2480D" w:rsidRDefault="00C2480D" w:rsidP="00C2480D">
      <w:pPr>
        <w:pStyle w:val="SWCTableFigureCaption"/>
        <w:jc w:val="both"/>
        <w:rPr>
          <w:b w:val="0"/>
          <w:sz w:val="20"/>
          <w:szCs w:val="22"/>
        </w:rPr>
      </w:pPr>
      <w:r w:rsidRPr="00C2480D">
        <w:rPr>
          <w:b w:val="0"/>
          <w:sz w:val="20"/>
          <w:szCs w:val="22"/>
        </w:rPr>
        <w:t>Several practical implications emerge from this study. First, charging and discharging cycles should be optimized separately before shared turbomachinery concepts are evaluated. Since different pressure ratios are favorable for charging and discharging, a reversible turbomachinery concept is not economically viable unless investment costs are very high. Second, electrical round-trip efficiency should not be treated as the sole design criterion. Third, market conditions can outweigh thermodynamic differences between candidate cycle configurations.</w:t>
      </w:r>
    </w:p>
    <w:p w14:paraId="0B6C910E" w14:textId="5AFD4CE3" w:rsidR="00297BA0" w:rsidRPr="00247B1F" w:rsidRDefault="00297BA0" w:rsidP="00C2480D">
      <w:pPr>
        <w:pStyle w:val="SWCHeading1"/>
      </w:pPr>
      <w:r w:rsidRPr="00247B1F">
        <w:t>Conclusions</w:t>
      </w:r>
    </w:p>
    <w:p w14:paraId="024A781E" w14:textId="341CF8A8" w:rsidR="008E7088" w:rsidRPr="008E7088" w:rsidRDefault="008E7088" w:rsidP="008E7088">
      <w:pPr>
        <w:pStyle w:val="SWCTableFigureCaption"/>
        <w:jc w:val="both"/>
        <w:rPr>
          <w:b w:val="0"/>
          <w:sz w:val="20"/>
          <w:szCs w:val="22"/>
        </w:rPr>
      </w:pPr>
      <w:r w:rsidRPr="008E7088">
        <w:rPr>
          <w:b w:val="0"/>
          <w:sz w:val="20"/>
          <w:szCs w:val="22"/>
        </w:rPr>
        <w:t>This study investigated a bidirectional sCO₂ Brayton heat pump/heat engine system for waste-heat-assisted power-to-heat-to-power applications. The results demonstrate that the thermodynamically optimal system configuration differs significantly between the charging and discharging processes. While a simple Brayton heat pump was found to be the preferred configuration during charging, a recuperated Brayton cycle provided superior performance during discharging. Consequently, the operating conditions that maximize system performance are generally not identical for both modes. In particular, the optimal charging and discharging processes require different pressure ratios, highlighting the challenge of implementing shared reversible turbomachinery within a single system architecture.</w:t>
      </w:r>
    </w:p>
    <w:p w14:paraId="7DEEC38D" w14:textId="51B31193" w:rsidR="008E7088" w:rsidRPr="008E7088" w:rsidRDefault="008E7088" w:rsidP="008E7088">
      <w:pPr>
        <w:pStyle w:val="SWCTableFigureCaption"/>
        <w:jc w:val="both"/>
        <w:rPr>
          <w:b w:val="0"/>
          <w:sz w:val="20"/>
          <w:szCs w:val="22"/>
        </w:rPr>
      </w:pPr>
      <w:r w:rsidRPr="008E7088">
        <w:rPr>
          <w:b w:val="0"/>
          <w:sz w:val="20"/>
          <w:szCs w:val="22"/>
        </w:rPr>
        <w:t>The analysis further revealed that maximizing electrical round-trip efficiency alone is not sufficient for identifying the most attractive system design. Configurations exhibiting the highest RTE often operate with relatively small thermal energy storage temperature lifts, thereby limiting the effective storage value and reducing the flexibility of the system. As a result, the configuration with the highest thermodynamic efficiency is not necessarily the configuration that yields the highest economic return.</w:t>
      </w:r>
    </w:p>
    <w:p w14:paraId="4BD10251" w14:textId="77777777" w:rsidR="008E7088" w:rsidRPr="008E7088" w:rsidRDefault="008E7088" w:rsidP="008E7088">
      <w:pPr>
        <w:pStyle w:val="SWCTableFigureCaption"/>
        <w:jc w:val="both"/>
        <w:rPr>
          <w:b w:val="0"/>
          <w:sz w:val="20"/>
          <w:szCs w:val="22"/>
        </w:rPr>
      </w:pPr>
      <w:r w:rsidRPr="008E7088">
        <w:rPr>
          <w:b w:val="0"/>
          <w:sz w:val="20"/>
          <w:szCs w:val="22"/>
        </w:rPr>
        <w:t>The economic assessment showed that electricity market conditions exert a substantially greater influence on system profitability than ambient temperature effects. In particular, local electricity price spreads were identified as a key driver of economic performance, whereas the impact of site-specific temperature variations was comparatively small. These findings underline the importance of considering market dynamics in addition to thermodynamic performance when designing and evaluating Carnot battery systems.</w:t>
      </w:r>
    </w:p>
    <w:p w14:paraId="2C52C534" w14:textId="77777777" w:rsidR="008E7088" w:rsidRPr="008E7088" w:rsidRDefault="008E7088" w:rsidP="008E7088">
      <w:pPr>
        <w:pStyle w:val="SWCTableFigureCaption"/>
        <w:jc w:val="both"/>
        <w:rPr>
          <w:b w:val="0"/>
          <w:sz w:val="20"/>
          <w:szCs w:val="22"/>
        </w:rPr>
      </w:pPr>
      <w:r w:rsidRPr="008E7088">
        <w:rPr>
          <w:b w:val="0"/>
          <w:sz w:val="20"/>
          <w:szCs w:val="22"/>
        </w:rPr>
        <w:t>Overall, the results emphasize that economically optimal designs may differ considerably from thermodynamically optimal designs. Therefore, market-oriented optimization should become an integral component of future design methodologies for Brayton-based Carnot batteries.</w:t>
      </w:r>
    </w:p>
    <w:p w14:paraId="37618CAD" w14:textId="70205AC0" w:rsidR="004B6512" w:rsidRDefault="008E7088" w:rsidP="008E7088">
      <w:pPr>
        <w:pStyle w:val="SWCTableFigureCaption"/>
        <w:jc w:val="both"/>
        <w:rPr>
          <w:b w:val="0"/>
          <w:sz w:val="20"/>
          <w:szCs w:val="22"/>
        </w:rPr>
      </w:pPr>
      <w:r w:rsidRPr="008E7088">
        <w:rPr>
          <w:b w:val="0"/>
          <w:sz w:val="20"/>
          <w:szCs w:val="22"/>
        </w:rPr>
        <w:t>Future work will focus on the investigation of reversible turbomachinery concepts, the development of comprehensive techno-economic optimization approaches that explicitly account for component costs, and a comparison of the proposed PtHtP concept with direct waste-heat-to-power sCO₂ Brayton cycle systems.</w:t>
      </w:r>
    </w:p>
    <w:p w14:paraId="3A97C9E0" w14:textId="77777777" w:rsidR="00FA261D" w:rsidRPr="008E7088" w:rsidRDefault="00FA261D" w:rsidP="008E7088">
      <w:pPr>
        <w:pStyle w:val="SWCTableFigureCaption"/>
        <w:jc w:val="both"/>
        <w:rPr>
          <w:b w:val="0"/>
          <w:sz w:val="20"/>
          <w:szCs w:val="22"/>
        </w:rPr>
      </w:pPr>
    </w:p>
    <w:sdt>
      <w:sdtPr>
        <w:tag w:val="CitaviBibliography"/>
        <w:id w:val="-1214960976"/>
        <w:placeholder>
          <w:docPart w:val="DefaultPlaceholder_-1854013440"/>
        </w:placeholder>
      </w:sdtPr>
      <w:sdtEndPr/>
      <w:sdtContent>
        <w:p w14:paraId="48504F7E" w14:textId="77777777" w:rsidR="004E3E80" w:rsidRPr="00287763" w:rsidRDefault="00290C66" w:rsidP="00287763">
          <w:pPr>
            <w:pStyle w:val="SWCText"/>
            <w:numPr>
              <w:ilvl w:val="0"/>
              <w:numId w:val="35"/>
            </w:numPr>
            <w:jc w:val="center"/>
            <w:rPr>
              <w:rStyle w:val="SWCHeading1Car"/>
            </w:rPr>
          </w:pPr>
          <w:r>
            <w:fldChar w:fldCharType="begin"/>
          </w:r>
          <w:r w:rsidRPr="00A72414">
            <w:instrText>ADDIN CitaviBibliography</w:instrText>
          </w:r>
          <w:r>
            <w:fldChar w:fldCharType="separate"/>
          </w:r>
          <w:r w:rsidR="004E3E80" w:rsidRPr="00287763">
            <w:rPr>
              <w:rStyle w:val="SWCHeading1Car"/>
            </w:rPr>
            <w:t>References</w:t>
          </w:r>
        </w:p>
        <w:p w14:paraId="27F50871" w14:textId="77777777" w:rsidR="004E3E80" w:rsidRPr="004E3E80" w:rsidRDefault="004E3E80" w:rsidP="00287763">
          <w:pPr>
            <w:pStyle w:val="SWCText"/>
          </w:pPr>
          <w:bookmarkStart w:id="5" w:name="_CTVL00176388a7f96de4608bfddfd99be90ba98"/>
          <w:r w:rsidRPr="004E3E80">
            <w:t>Fraunhofer ISE. ColSIM. System simulation for thermal and electrical systems. https://colsim.de/. Accessed 24 July 2026.</w:t>
          </w:r>
        </w:p>
        <w:p w14:paraId="314A5228" w14:textId="77777777" w:rsidR="004E3E80" w:rsidRPr="004E3E80" w:rsidRDefault="004E3E80" w:rsidP="00287763">
          <w:pPr>
            <w:pStyle w:val="SWCText"/>
          </w:pPr>
          <w:bookmarkStart w:id="6" w:name="_CTVL001e5059bf5e1fa45c29fac6c7f757398d2"/>
          <w:bookmarkEnd w:id="5"/>
          <w:r w:rsidRPr="004E3E80">
            <w:t>Karimi, M.H., Chitgar, N., Emadi, M.A., Ahmadi, P., Rosen, M.A., 2020. Performance assessment and optimization of a biomass-based solid oxide fuel cell and micro gas turbine system integrated with an organic Rankine cycle. International Journal of Hydrogen Energy 45 (11), 6262–6277.</w:t>
          </w:r>
        </w:p>
        <w:p w14:paraId="5C980E4B" w14:textId="77777777" w:rsidR="004E3E80" w:rsidRPr="004E3E80" w:rsidRDefault="004E3E80" w:rsidP="00287763">
          <w:pPr>
            <w:pStyle w:val="SWCText"/>
          </w:pPr>
          <w:bookmarkStart w:id="7" w:name="_CTVL001e5df1d32529b415394b5bcd4cce654fd"/>
          <w:bookmarkEnd w:id="6"/>
          <w:r w:rsidRPr="004E3E80">
            <w:lastRenderedPageBreak/>
            <w:t>Shamsi, S.S.M., Barberis, S., Maccarini, S., Traverso, A., 2024. Thermo-economic performance evaluation of thermally integrated Carnot battery(TI-PTES) for freely available heat sources. Journal of Energy Storage 97, 112979.</w:t>
          </w:r>
        </w:p>
        <w:p w14:paraId="55380737" w14:textId="77777777" w:rsidR="004E3E80" w:rsidRPr="004E3E80" w:rsidRDefault="004E3E80" w:rsidP="00287763">
          <w:pPr>
            <w:pStyle w:val="SWCText"/>
          </w:pPr>
          <w:bookmarkStart w:id="8" w:name="_CTVL001e8ae1c3f543e49099e9dcd53cb278736"/>
          <w:bookmarkEnd w:id="7"/>
          <w:r w:rsidRPr="004E3E80">
            <w:t>van Biert, L., Woudstra, T., Godjevac, M., Visser, K., Aravind, P.V., 2018. A thermodynamic comparison of solid oxide fuel cell-combined cycles. J Power Sources 397, 382–396.</w:t>
          </w:r>
        </w:p>
        <w:p w14:paraId="169420EC" w14:textId="77777777" w:rsidR="004E3E80" w:rsidRPr="006924D4" w:rsidRDefault="004E3E80" w:rsidP="00287763">
          <w:pPr>
            <w:pStyle w:val="SWCText"/>
            <w:rPr>
              <w:lang w:val="de-DE"/>
            </w:rPr>
          </w:pPr>
          <w:bookmarkStart w:id="9" w:name="_CTVL0015d327d034f5340bdbce7623da4818646"/>
          <w:bookmarkEnd w:id="8"/>
          <w:r w:rsidRPr="004E3E80">
            <w:t xml:space="preserve">Weibel, G.L., Ober, C.K., 2003. An overview of supercritical CO2 applications in microelectronics processing. </w:t>
          </w:r>
          <w:r w:rsidRPr="006924D4">
            <w:rPr>
              <w:lang w:val="de-DE"/>
            </w:rPr>
            <w:t>Microelectron Eng 65 (1-2), 145–152.</w:t>
          </w:r>
        </w:p>
        <w:p w14:paraId="323AA7AB" w14:textId="4BBFB8ED" w:rsidR="00290C66" w:rsidRDefault="004E3E80" w:rsidP="00287763">
          <w:pPr>
            <w:pStyle w:val="SWCText"/>
          </w:pPr>
          <w:bookmarkStart w:id="10" w:name="_CTVL00112708a8a78e741b4aab2f3999078709a"/>
          <w:bookmarkEnd w:id="9"/>
          <w:r w:rsidRPr="006924D4">
            <w:rPr>
              <w:lang w:val="de-DE"/>
            </w:rPr>
            <w:t xml:space="preserve">Zhu, W., Chen, B., Wang, L., Wang, C., 2024. </w:t>
          </w:r>
          <w:r w:rsidRPr="004E3E80">
            <w:t xml:space="preserve">Recovery of Solid Oxide Fuel Cell Waste Heat by Thermoelectric Generators and Alkali Metal Thermoelectric Converters. </w:t>
          </w:r>
          <w:r>
            <w:t>FHMT 22 (5), 1559–1573</w:t>
          </w:r>
          <w:bookmarkEnd w:id="10"/>
          <w:r>
            <w:t>.</w:t>
          </w:r>
          <w:r w:rsidR="00290C66">
            <w:fldChar w:fldCharType="end"/>
          </w:r>
        </w:p>
      </w:sdtContent>
    </w:sdt>
    <w:p w14:paraId="1F24B5A0" w14:textId="77777777" w:rsidR="00287763" w:rsidRDefault="00287763" w:rsidP="00290C66">
      <w:pPr>
        <w:rPr>
          <w:lang w:val="en-US"/>
        </w:rPr>
      </w:pPr>
    </w:p>
    <w:p w14:paraId="4BCE7D47" w14:textId="77777777" w:rsidR="00290C66" w:rsidRDefault="00290C66" w:rsidP="00290C66">
      <w:pPr>
        <w:pStyle w:val="SWCHeading1"/>
        <w:numPr>
          <w:ilvl w:val="0"/>
          <w:numId w:val="0"/>
        </w:numPr>
        <w:ind w:left="360"/>
      </w:pPr>
      <w:r>
        <w:t>Appendix</w:t>
      </w:r>
    </w:p>
    <w:p w14:paraId="4BA8F804" w14:textId="77777777" w:rsidR="00290C66" w:rsidRDefault="00290C66" w:rsidP="00290C66">
      <w:pPr>
        <w:rPr>
          <w:lang w:val="en-US"/>
        </w:rPr>
      </w:pPr>
    </w:p>
    <w:p w14:paraId="2C3F8885" w14:textId="7B3B4227" w:rsidR="00290C66" w:rsidRDefault="00290C66" w:rsidP="0062377A">
      <w:pPr>
        <w:pStyle w:val="SWCText"/>
      </w:pPr>
      <w:r>
        <w:fldChar w:fldCharType="begin"/>
      </w:r>
      <w:r>
        <w:instrText xml:space="preserve"> REF _Ref233108193 \h </w:instrText>
      </w:r>
      <w:r w:rsidR="0062377A">
        <w:instrText xml:space="preserve"> \* MERGEFORMAT </w:instrText>
      </w:r>
      <w:r>
        <w:fldChar w:fldCharType="separate"/>
      </w:r>
      <w:r w:rsidR="006023B3" w:rsidRPr="00AF7321">
        <w:t xml:space="preserve">Table </w:t>
      </w:r>
      <w:r w:rsidR="006023B3">
        <w:rPr>
          <w:noProof/>
        </w:rPr>
        <w:t>3</w:t>
      </w:r>
      <w:r>
        <w:fldChar w:fldCharType="end"/>
      </w:r>
      <w:r>
        <w:t xml:space="preserve"> </w:t>
      </w:r>
      <w:r w:rsidRPr="00FE4F1F">
        <w:t>summarises the key performance parameters of the 12 selected configurations, ordered by increasing round-trip efficiency.</w:t>
      </w:r>
    </w:p>
    <w:p w14:paraId="1C6532B5" w14:textId="77777777" w:rsidR="00290C66" w:rsidRPr="00FE4F1F" w:rsidRDefault="00290C66" w:rsidP="00290C66">
      <w:pPr>
        <w:rPr>
          <w:lang w:val="en-GB"/>
        </w:rPr>
      </w:pPr>
    </w:p>
    <w:p w14:paraId="7156FBCE" w14:textId="674DC333" w:rsidR="00290C66" w:rsidRPr="00AF7321" w:rsidRDefault="00290C66" w:rsidP="00290C66">
      <w:pPr>
        <w:pStyle w:val="SWCTableFigureCaption"/>
      </w:pPr>
      <w:bookmarkStart w:id="11" w:name="_Ref233108193"/>
      <w:r w:rsidRPr="00AF7321">
        <w:t xml:space="preserve">Table </w:t>
      </w:r>
      <w:r>
        <w:fldChar w:fldCharType="begin"/>
      </w:r>
      <w:r w:rsidRPr="00AF7321">
        <w:instrText xml:space="preserve"> SEQ Table \* ARABIC </w:instrText>
      </w:r>
      <w:r>
        <w:fldChar w:fldCharType="separate"/>
      </w:r>
      <w:r w:rsidR="006023B3">
        <w:rPr>
          <w:noProof/>
        </w:rPr>
        <w:t>3</w:t>
      </w:r>
      <w:r>
        <w:fldChar w:fldCharType="end"/>
      </w:r>
      <w:bookmarkEnd w:id="11"/>
      <w:r w:rsidRPr="00AF7321">
        <w:t>: Summary of the 12 selected design configurations.</w:t>
      </w:r>
    </w:p>
    <w:tbl>
      <w:tblPr>
        <w:tblStyle w:val="Listentabelle1hell"/>
        <w:tblW w:w="0" w:type="auto"/>
        <w:jc w:val="center"/>
        <w:tblLook w:val="04A0" w:firstRow="1" w:lastRow="0" w:firstColumn="1" w:lastColumn="0" w:noHBand="0" w:noVBand="1"/>
      </w:tblPr>
      <w:tblGrid>
        <w:gridCol w:w="679"/>
        <w:gridCol w:w="732"/>
        <w:gridCol w:w="741"/>
        <w:gridCol w:w="630"/>
        <w:gridCol w:w="694"/>
        <w:gridCol w:w="1006"/>
        <w:gridCol w:w="928"/>
        <w:gridCol w:w="1123"/>
        <w:gridCol w:w="1016"/>
        <w:gridCol w:w="776"/>
        <w:gridCol w:w="747"/>
      </w:tblGrid>
      <w:tr w:rsidR="00290C66" w:rsidRPr="00290C66" w14:paraId="6B461D86" w14:textId="77777777" w:rsidTr="00E7624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106F490" w14:textId="77777777" w:rsidR="00290C66" w:rsidRPr="00A60086" w:rsidRDefault="00290C66" w:rsidP="00E76246">
            <w:pPr>
              <w:rPr>
                <w:sz w:val="16"/>
                <w:szCs w:val="16"/>
                <w:lang w:val="en-GB"/>
              </w:rPr>
            </w:pPr>
            <w:r w:rsidRPr="00A60086">
              <w:rPr>
                <w:sz w:val="16"/>
                <w:szCs w:val="16"/>
                <w:lang w:val="en-GB"/>
              </w:rPr>
              <w:t>Config</w:t>
            </w:r>
          </w:p>
        </w:tc>
        <w:tc>
          <w:tcPr>
            <w:tcW w:w="0" w:type="auto"/>
            <w:hideMark/>
          </w:tcPr>
          <w:p w14:paraId="72E11359" w14:textId="77777777" w:rsidR="00290C66" w:rsidRPr="00A60086" w:rsidRDefault="00290C66" w:rsidP="00E76246">
            <w:pPr>
              <w:cnfStyle w:val="100000000000" w:firstRow="1"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PR_HP</w:t>
            </w:r>
          </w:p>
        </w:tc>
        <w:tc>
          <w:tcPr>
            <w:tcW w:w="0" w:type="auto"/>
            <w:hideMark/>
          </w:tcPr>
          <w:p w14:paraId="3FB031C5" w14:textId="77777777" w:rsidR="00290C66" w:rsidRPr="00A60086" w:rsidRDefault="00290C66" w:rsidP="00E76246">
            <w:pPr>
              <w:cnfStyle w:val="100000000000" w:firstRow="1"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PR_HE</w:t>
            </w:r>
          </w:p>
        </w:tc>
        <w:tc>
          <w:tcPr>
            <w:tcW w:w="0" w:type="auto"/>
            <w:hideMark/>
          </w:tcPr>
          <w:p w14:paraId="657236E5" w14:textId="77777777" w:rsidR="00290C66" w:rsidRPr="00A60086" w:rsidRDefault="00290C66" w:rsidP="00E76246">
            <w:pPr>
              <w:cnfStyle w:val="100000000000" w:firstRow="1"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T_hot [°C]</w:t>
            </w:r>
          </w:p>
        </w:tc>
        <w:tc>
          <w:tcPr>
            <w:tcW w:w="0" w:type="auto"/>
            <w:hideMark/>
          </w:tcPr>
          <w:p w14:paraId="69B0D158" w14:textId="77777777" w:rsidR="00290C66" w:rsidRPr="00A60086" w:rsidRDefault="00290C66" w:rsidP="00E76246">
            <w:pPr>
              <w:cnfStyle w:val="100000000000" w:firstRow="1"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T_cold [°C]</w:t>
            </w:r>
          </w:p>
        </w:tc>
        <w:tc>
          <w:tcPr>
            <w:tcW w:w="0" w:type="auto"/>
            <w:hideMark/>
          </w:tcPr>
          <w:p w14:paraId="3F5C1B39" w14:textId="77777777" w:rsidR="00290C66" w:rsidRPr="00A60086" w:rsidRDefault="00290C66" w:rsidP="00E76246">
            <w:pPr>
              <w:cnfStyle w:val="100000000000" w:firstRow="1"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ΔT_storage [K]</w:t>
            </w:r>
          </w:p>
        </w:tc>
        <w:tc>
          <w:tcPr>
            <w:tcW w:w="0" w:type="auto"/>
            <w:hideMark/>
          </w:tcPr>
          <w:p w14:paraId="4B8D3605" w14:textId="77777777" w:rsidR="00290C66" w:rsidRPr="00A60086" w:rsidRDefault="00290C66" w:rsidP="00E76246">
            <w:pPr>
              <w:cnfStyle w:val="100000000000" w:firstRow="1"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W_charge [MW]</w:t>
            </w:r>
          </w:p>
        </w:tc>
        <w:tc>
          <w:tcPr>
            <w:tcW w:w="0" w:type="auto"/>
            <w:hideMark/>
          </w:tcPr>
          <w:p w14:paraId="035E2F44" w14:textId="77777777" w:rsidR="00290C66" w:rsidRPr="00A60086" w:rsidRDefault="00290C66" w:rsidP="00E76246">
            <w:pPr>
              <w:cnfStyle w:val="100000000000" w:firstRow="1"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W_discharge [MW]</w:t>
            </w:r>
          </w:p>
        </w:tc>
        <w:tc>
          <w:tcPr>
            <w:tcW w:w="0" w:type="auto"/>
            <w:hideMark/>
          </w:tcPr>
          <w:p w14:paraId="4F480830" w14:textId="77777777" w:rsidR="00290C66" w:rsidRPr="00A60086" w:rsidRDefault="00290C66" w:rsidP="00E76246">
            <w:pPr>
              <w:cnfStyle w:val="100000000000" w:firstRow="1"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COP_HP,el [-]</w:t>
            </w:r>
          </w:p>
        </w:tc>
        <w:tc>
          <w:tcPr>
            <w:tcW w:w="0" w:type="auto"/>
            <w:hideMark/>
          </w:tcPr>
          <w:p w14:paraId="196EF407" w14:textId="77777777" w:rsidR="00290C66" w:rsidRPr="00A60086" w:rsidRDefault="00290C66" w:rsidP="00E76246">
            <w:pPr>
              <w:cnfStyle w:val="100000000000" w:firstRow="1" w:lastRow="0" w:firstColumn="0" w:lastColumn="0" w:oddVBand="0" w:evenVBand="0" w:oddHBand="0" w:evenHBand="0" w:firstRowFirstColumn="0" w:firstRowLastColumn="0" w:lastRowFirstColumn="0" w:lastRowLastColumn="0"/>
              <w:rPr>
                <w:sz w:val="16"/>
                <w:szCs w:val="16"/>
                <w:lang w:val="en-GB"/>
              </w:rPr>
            </w:pPr>
            <w:r w:rsidRPr="00A60086">
              <w:rPr>
                <w:rFonts w:ascii="Calibri" w:hAnsi="Calibri" w:cs="Calibri"/>
                <w:sz w:val="16"/>
                <w:szCs w:val="16"/>
                <w:lang w:val="en-GB"/>
              </w:rPr>
              <w:t>η</w:t>
            </w:r>
            <w:r w:rsidRPr="00A60086">
              <w:rPr>
                <w:sz w:val="16"/>
                <w:szCs w:val="16"/>
                <w:lang w:val="en-GB"/>
              </w:rPr>
              <w:t>_HE,el [%]</w:t>
            </w:r>
          </w:p>
        </w:tc>
        <w:tc>
          <w:tcPr>
            <w:tcW w:w="0" w:type="auto"/>
            <w:hideMark/>
          </w:tcPr>
          <w:p w14:paraId="50947B2C" w14:textId="77777777" w:rsidR="00290C66" w:rsidRPr="00A60086" w:rsidRDefault="00290C66" w:rsidP="00E76246">
            <w:pPr>
              <w:cnfStyle w:val="100000000000" w:firstRow="1"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RTE_el [%]</w:t>
            </w:r>
          </w:p>
        </w:tc>
      </w:tr>
      <w:tr w:rsidR="00290C66" w:rsidRPr="00290C66" w14:paraId="5BDD752A" w14:textId="77777777" w:rsidTr="00E762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BE79603" w14:textId="77777777" w:rsidR="00290C66" w:rsidRPr="00A60086" w:rsidRDefault="00290C66" w:rsidP="00E76246">
            <w:pPr>
              <w:rPr>
                <w:sz w:val="16"/>
                <w:szCs w:val="16"/>
                <w:lang w:val="en-GB"/>
              </w:rPr>
            </w:pPr>
            <w:r w:rsidRPr="00A60086">
              <w:rPr>
                <w:sz w:val="16"/>
                <w:szCs w:val="16"/>
                <w:lang w:val="en-GB"/>
              </w:rPr>
              <w:t>1</w:t>
            </w:r>
          </w:p>
        </w:tc>
        <w:tc>
          <w:tcPr>
            <w:tcW w:w="0" w:type="auto"/>
            <w:hideMark/>
          </w:tcPr>
          <w:p w14:paraId="7E72E680"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2.70</w:t>
            </w:r>
          </w:p>
        </w:tc>
        <w:tc>
          <w:tcPr>
            <w:tcW w:w="0" w:type="auto"/>
            <w:hideMark/>
          </w:tcPr>
          <w:p w14:paraId="1901AE9E"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1.80</w:t>
            </w:r>
          </w:p>
        </w:tc>
        <w:tc>
          <w:tcPr>
            <w:tcW w:w="0" w:type="auto"/>
            <w:hideMark/>
          </w:tcPr>
          <w:p w14:paraId="7094AF73"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461.4</w:t>
            </w:r>
          </w:p>
        </w:tc>
        <w:tc>
          <w:tcPr>
            <w:tcW w:w="0" w:type="auto"/>
            <w:hideMark/>
          </w:tcPr>
          <w:p w14:paraId="131BB6A2"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305.5</w:t>
            </w:r>
          </w:p>
        </w:tc>
        <w:tc>
          <w:tcPr>
            <w:tcW w:w="0" w:type="auto"/>
            <w:hideMark/>
          </w:tcPr>
          <w:p w14:paraId="293A0F0A"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155.9</w:t>
            </w:r>
          </w:p>
        </w:tc>
        <w:tc>
          <w:tcPr>
            <w:tcW w:w="0" w:type="auto"/>
            <w:hideMark/>
          </w:tcPr>
          <w:p w14:paraId="335FB03A"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3.520</w:t>
            </w:r>
          </w:p>
        </w:tc>
        <w:tc>
          <w:tcPr>
            <w:tcW w:w="0" w:type="auto"/>
            <w:hideMark/>
          </w:tcPr>
          <w:p w14:paraId="78F86062"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1.857</w:t>
            </w:r>
          </w:p>
        </w:tc>
        <w:tc>
          <w:tcPr>
            <w:tcW w:w="0" w:type="auto"/>
            <w:hideMark/>
          </w:tcPr>
          <w:p w14:paraId="6B967C18"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2.29</w:t>
            </w:r>
          </w:p>
        </w:tc>
        <w:tc>
          <w:tcPr>
            <w:tcW w:w="0" w:type="auto"/>
            <w:hideMark/>
          </w:tcPr>
          <w:p w14:paraId="0723A586"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23.51</w:t>
            </w:r>
          </w:p>
        </w:tc>
        <w:tc>
          <w:tcPr>
            <w:tcW w:w="0" w:type="auto"/>
            <w:hideMark/>
          </w:tcPr>
          <w:p w14:paraId="7D91C271"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52.8</w:t>
            </w:r>
          </w:p>
        </w:tc>
      </w:tr>
      <w:tr w:rsidR="00290C66" w:rsidRPr="00290C66" w14:paraId="6896651A" w14:textId="77777777" w:rsidTr="00E7624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9E4BFDF" w14:textId="77777777" w:rsidR="00290C66" w:rsidRPr="00A60086" w:rsidRDefault="00290C66" w:rsidP="00E76246">
            <w:pPr>
              <w:rPr>
                <w:sz w:val="16"/>
                <w:szCs w:val="16"/>
                <w:lang w:val="en-GB"/>
              </w:rPr>
            </w:pPr>
            <w:r w:rsidRPr="00A60086">
              <w:rPr>
                <w:sz w:val="16"/>
                <w:szCs w:val="16"/>
                <w:lang w:val="en-GB"/>
              </w:rPr>
              <w:t>2</w:t>
            </w:r>
          </w:p>
        </w:tc>
        <w:tc>
          <w:tcPr>
            <w:tcW w:w="0" w:type="auto"/>
            <w:hideMark/>
          </w:tcPr>
          <w:p w14:paraId="37A1B244"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2.55</w:t>
            </w:r>
          </w:p>
        </w:tc>
        <w:tc>
          <w:tcPr>
            <w:tcW w:w="0" w:type="auto"/>
            <w:hideMark/>
          </w:tcPr>
          <w:p w14:paraId="5140B5E4"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1.80</w:t>
            </w:r>
          </w:p>
        </w:tc>
        <w:tc>
          <w:tcPr>
            <w:tcW w:w="0" w:type="auto"/>
            <w:hideMark/>
          </w:tcPr>
          <w:p w14:paraId="3A8EC7D7"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452.4</w:t>
            </w:r>
          </w:p>
        </w:tc>
        <w:tc>
          <w:tcPr>
            <w:tcW w:w="0" w:type="auto"/>
            <w:hideMark/>
          </w:tcPr>
          <w:p w14:paraId="12955F0C"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297.3</w:t>
            </w:r>
          </w:p>
        </w:tc>
        <w:tc>
          <w:tcPr>
            <w:tcW w:w="0" w:type="auto"/>
            <w:hideMark/>
          </w:tcPr>
          <w:p w14:paraId="076BFDF8"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155.0</w:t>
            </w:r>
          </w:p>
        </w:tc>
        <w:tc>
          <w:tcPr>
            <w:tcW w:w="0" w:type="auto"/>
            <w:hideMark/>
          </w:tcPr>
          <w:p w14:paraId="54FAC5D2"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3.311</w:t>
            </w:r>
          </w:p>
        </w:tc>
        <w:tc>
          <w:tcPr>
            <w:tcW w:w="0" w:type="auto"/>
            <w:hideMark/>
          </w:tcPr>
          <w:p w14:paraId="3383E201"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1.813</w:t>
            </w:r>
          </w:p>
        </w:tc>
        <w:tc>
          <w:tcPr>
            <w:tcW w:w="0" w:type="auto"/>
            <w:hideMark/>
          </w:tcPr>
          <w:p w14:paraId="65821C99"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2.41</w:t>
            </w:r>
          </w:p>
        </w:tc>
        <w:tc>
          <w:tcPr>
            <w:tcW w:w="0" w:type="auto"/>
            <w:hideMark/>
          </w:tcPr>
          <w:p w14:paraId="4B900A6C"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23.18</w:t>
            </w:r>
          </w:p>
        </w:tc>
        <w:tc>
          <w:tcPr>
            <w:tcW w:w="0" w:type="auto"/>
            <w:hideMark/>
          </w:tcPr>
          <w:p w14:paraId="6FECC033"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54.8</w:t>
            </w:r>
          </w:p>
        </w:tc>
      </w:tr>
      <w:tr w:rsidR="00290C66" w:rsidRPr="00290C66" w14:paraId="7665880F" w14:textId="77777777" w:rsidTr="00E762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CB18AF5" w14:textId="77777777" w:rsidR="00290C66" w:rsidRPr="00A60086" w:rsidRDefault="00290C66" w:rsidP="00E76246">
            <w:pPr>
              <w:rPr>
                <w:sz w:val="16"/>
                <w:szCs w:val="16"/>
                <w:lang w:val="en-GB"/>
              </w:rPr>
            </w:pPr>
            <w:r w:rsidRPr="00A60086">
              <w:rPr>
                <w:sz w:val="16"/>
                <w:szCs w:val="16"/>
                <w:lang w:val="en-GB"/>
              </w:rPr>
              <w:t>3</w:t>
            </w:r>
          </w:p>
        </w:tc>
        <w:tc>
          <w:tcPr>
            <w:tcW w:w="0" w:type="auto"/>
            <w:hideMark/>
          </w:tcPr>
          <w:p w14:paraId="722CC426"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2.55</w:t>
            </w:r>
          </w:p>
        </w:tc>
        <w:tc>
          <w:tcPr>
            <w:tcW w:w="0" w:type="auto"/>
            <w:hideMark/>
          </w:tcPr>
          <w:p w14:paraId="3A6DDC6B"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1.95</w:t>
            </w:r>
          </w:p>
        </w:tc>
        <w:tc>
          <w:tcPr>
            <w:tcW w:w="0" w:type="auto"/>
            <w:hideMark/>
          </w:tcPr>
          <w:p w14:paraId="23ADBD07"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452.4</w:t>
            </w:r>
          </w:p>
        </w:tc>
        <w:tc>
          <w:tcPr>
            <w:tcW w:w="0" w:type="auto"/>
            <w:hideMark/>
          </w:tcPr>
          <w:p w14:paraId="5B398C4F"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289.0</w:t>
            </w:r>
          </w:p>
        </w:tc>
        <w:tc>
          <w:tcPr>
            <w:tcW w:w="0" w:type="auto"/>
            <w:hideMark/>
          </w:tcPr>
          <w:p w14:paraId="49C89993"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163.3</w:t>
            </w:r>
          </w:p>
        </w:tc>
        <w:tc>
          <w:tcPr>
            <w:tcW w:w="0" w:type="auto"/>
            <w:hideMark/>
          </w:tcPr>
          <w:p w14:paraId="2FB8854E"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3.368</w:t>
            </w:r>
          </w:p>
        </w:tc>
        <w:tc>
          <w:tcPr>
            <w:tcW w:w="0" w:type="auto"/>
            <w:hideMark/>
          </w:tcPr>
          <w:p w14:paraId="54DEC033"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2.022</w:t>
            </w:r>
          </w:p>
        </w:tc>
        <w:tc>
          <w:tcPr>
            <w:tcW w:w="0" w:type="auto"/>
            <w:hideMark/>
          </w:tcPr>
          <w:p w14:paraId="00804D95"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2.50</w:t>
            </w:r>
          </w:p>
        </w:tc>
        <w:tc>
          <w:tcPr>
            <w:tcW w:w="0" w:type="auto"/>
            <w:hideMark/>
          </w:tcPr>
          <w:p w14:paraId="552CF391"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24.52</w:t>
            </w:r>
          </w:p>
        </w:tc>
        <w:tc>
          <w:tcPr>
            <w:tcW w:w="0" w:type="auto"/>
            <w:hideMark/>
          </w:tcPr>
          <w:p w14:paraId="3888E27C"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60.0</w:t>
            </w:r>
          </w:p>
        </w:tc>
      </w:tr>
      <w:tr w:rsidR="00290C66" w:rsidRPr="00290C66" w14:paraId="7C68BCF7" w14:textId="77777777" w:rsidTr="00E7624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0219F90" w14:textId="77777777" w:rsidR="00290C66" w:rsidRPr="00A60086" w:rsidRDefault="00290C66" w:rsidP="00E76246">
            <w:pPr>
              <w:rPr>
                <w:sz w:val="16"/>
                <w:szCs w:val="16"/>
                <w:lang w:val="en-GB"/>
              </w:rPr>
            </w:pPr>
            <w:r w:rsidRPr="00A60086">
              <w:rPr>
                <w:sz w:val="16"/>
                <w:szCs w:val="16"/>
                <w:lang w:val="en-GB"/>
              </w:rPr>
              <w:t>4</w:t>
            </w:r>
          </w:p>
        </w:tc>
        <w:tc>
          <w:tcPr>
            <w:tcW w:w="0" w:type="auto"/>
            <w:hideMark/>
          </w:tcPr>
          <w:p w14:paraId="14F31163"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2.70</w:t>
            </w:r>
          </w:p>
        </w:tc>
        <w:tc>
          <w:tcPr>
            <w:tcW w:w="0" w:type="auto"/>
            <w:hideMark/>
          </w:tcPr>
          <w:p w14:paraId="4BEEADAC"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2.25</w:t>
            </w:r>
          </w:p>
        </w:tc>
        <w:tc>
          <w:tcPr>
            <w:tcW w:w="0" w:type="auto"/>
            <w:hideMark/>
          </w:tcPr>
          <w:p w14:paraId="1E898DDB"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461.4</w:t>
            </w:r>
          </w:p>
        </w:tc>
        <w:tc>
          <w:tcPr>
            <w:tcW w:w="0" w:type="auto"/>
            <w:hideMark/>
          </w:tcPr>
          <w:p w14:paraId="1E13D364"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283.5</w:t>
            </w:r>
          </w:p>
        </w:tc>
        <w:tc>
          <w:tcPr>
            <w:tcW w:w="0" w:type="auto"/>
            <w:hideMark/>
          </w:tcPr>
          <w:p w14:paraId="79A16C15"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177.9</w:t>
            </w:r>
          </w:p>
        </w:tc>
        <w:tc>
          <w:tcPr>
            <w:tcW w:w="0" w:type="auto"/>
            <w:hideMark/>
          </w:tcPr>
          <w:p w14:paraId="40BC49C8"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3.683</w:t>
            </w:r>
          </w:p>
        </w:tc>
        <w:tc>
          <w:tcPr>
            <w:tcW w:w="0" w:type="auto"/>
            <w:hideMark/>
          </w:tcPr>
          <w:p w14:paraId="126743B8"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2.415</w:t>
            </w:r>
          </w:p>
        </w:tc>
        <w:tc>
          <w:tcPr>
            <w:tcW w:w="0" w:type="auto"/>
            <w:hideMark/>
          </w:tcPr>
          <w:p w14:paraId="1E9D96F4"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2.50</w:t>
            </w:r>
          </w:p>
        </w:tc>
        <w:tc>
          <w:tcPr>
            <w:tcW w:w="0" w:type="auto"/>
            <w:hideMark/>
          </w:tcPr>
          <w:p w14:paraId="1EB4CF75"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26.73</w:t>
            </w:r>
          </w:p>
        </w:tc>
        <w:tc>
          <w:tcPr>
            <w:tcW w:w="0" w:type="auto"/>
            <w:hideMark/>
          </w:tcPr>
          <w:p w14:paraId="1987738E"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65.6</w:t>
            </w:r>
          </w:p>
        </w:tc>
      </w:tr>
      <w:tr w:rsidR="00290C66" w:rsidRPr="00290C66" w14:paraId="54BDEA07" w14:textId="77777777" w:rsidTr="00E762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9263A47" w14:textId="77777777" w:rsidR="00290C66" w:rsidRPr="00A60086" w:rsidRDefault="00290C66" w:rsidP="00E76246">
            <w:pPr>
              <w:rPr>
                <w:sz w:val="16"/>
                <w:szCs w:val="16"/>
                <w:lang w:val="en-GB"/>
              </w:rPr>
            </w:pPr>
            <w:r w:rsidRPr="00A60086">
              <w:rPr>
                <w:sz w:val="16"/>
                <w:szCs w:val="16"/>
                <w:lang w:val="en-GB"/>
              </w:rPr>
              <w:t>5</w:t>
            </w:r>
          </w:p>
        </w:tc>
        <w:tc>
          <w:tcPr>
            <w:tcW w:w="0" w:type="auto"/>
            <w:hideMark/>
          </w:tcPr>
          <w:p w14:paraId="2A969B06"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2.10</w:t>
            </w:r>
          </w:p>
        </w:tc>
        <w:tc>
          <w:tcPr>
            <w:tcW w:w="0" w:type="auto"/>
            <w:hideMark/>
          </w:tcPr>
          <w:p w14:paraId="6EC5F7DD"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1.95</w:t>
            </w:r>
          </w:p>
        </w:tc>
        <w:tc>
          <w:tcPr>
            <w:tcW w:w="0" w:type="auto"/>
            <w:hideMark/>
          </w:tcPr>
          <w:p w14:paraId="3BC2CC73"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422.4</w:t>
            </w:r>
          </w:p>
        </w:tc>
        <w:tc>
          <w:tcPr>
            <w:tcW w:w="0" w:type="auto"/>
            <w:hideMark/>
          </w:tcPr>
          <w:p w14:paraId="3B2A38A9"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262.5</w:t>
            </w:r>
          </w:p>
        </w:tc>
        <w:tc>
          <w:tcPr>
            <w:tcW w:w="0" w:type="auto"/>
            <w:hideMark/>
          </w:tcPr>
          <w:p w14:paraId="5DCC7FEA"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159.9</w:t>
            </w:r>
          </w:p>
        </w:tc>
        <w:tc>
          <w:tcPr>
            <w:tcW w:w="0" w:type="auto"/>
            <w:hideMark/>
          </w:tcPr>
          <w:p w14:paraId="095409A8"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2.651</w:t>
            </w:r>
          </w:p>
        </w:tc>
        <w:tc>
          <w:tcPr>
            <w:tcW w:w="0" w:type="auto"/>
            <w:hideMark/>
          </w:tcPr>
          <w:p w14:paraId="780316BE"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1.850</w:t>
            </w:r>
          </w:p>
        </w:tc>
        <w:tc>
          <w:tcPr>
            <w:tcW w:w="0" w:type="auto"/>
            <w:hideMark/>
          </w:tcPr>
          <w:p w14:paraId="298C7761"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3.06</w:t>
            </w:r>
          </w:p>
        </w:tc>
        <w:tc>
          <w:tcPr>
            <w:tcW w:w="0" w:type="auto"/>
            <w:hideMark/>
          </w:tcPr>
          <w:p w14:paraId="0CCC7D90"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23.29</w:t>
            </w:r>
          </w:p>
        </w:tc>
        <w:tc>
          <w:tcPr>
            <w:tcW w:w="0" w:type="auto"/>
            <w:hideMark/>
          </w:tcPr>
          <w:p w14:paraId="1BF9AF11"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69.8</w:t>
            </w:r>
          </w:p>
        </w:tc>
      </w:tr>
      <w:tr w:rsidR="00290C66" w:rsidRPr="00290C66" w14:paraId="3AED4547" w14:textId="77777777" w:rsidTr="00E7624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4C7F9FE" w14:textId="77777777" w:rsidR="00290C66" w:rsidRPr="00A60086" w:rsidRDefault="00290C66" w:rsidP="00E76246">
            <w:pPr>
              <w:rPr>
                <w:sz w:val="16"/>
                <w:szCs w:val="16"/>
                <w:lang w:val="en-GB"/>
              </w:rPr>
            </w:pPr>
            <w:r w:rsidRPr="00A60086">
              <w:rPr>
                <w:sz w:val="16"/>
                <w:szCs w:val="16"/>
                <w:lang w:val="en-GB"/>
              </w:rPr>
              <w:t>6</w:t>
            </w:r>
          </w:p>
        </w:tc>
        <w:tc>
          <w:tcPr>
            <w:tcW w:w="0" w:type="auto"/>
            <w:hideMark/>
          </w:tcPr>
          <w:p w14:paraId="56CE4AE1"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1.80</w:t>
            </w:r>
          </w:p>
        </w:tc>
        <w:tc>
          <w:tcPr>
            <w:tcW w:w="0" w:type="auto"/>
            <w:hideMark/>
          </w:tcPr>
          <w:p w14:paraId="431B9020"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1.80</w:t>
            </w:r>
          </w:p>
        </w:tc>
        <w:tc>
          <w:tcPr>
            <w:tcW w:w="0" w:type="auto"/>
            <w:hideMark/>
          </w:tcPr>
          <w:p w14:paraId="1374F52B"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399.1</w:t>
            </w:r>
          </w:p>
        </w:tc>
        <w:tc>
          <w:tcPr>
            <w:tcW w:w="0" w:type="auto"/>
            <w:hideMark/>
          </w:tcPr>
          <w:p w14:paraId="08EE286C"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250.0</w:t>
            </w:r>
          </w:p>
        </w:tc>
        <w:tc>
          <w:tcPr>
            <w:tcW w:w="0" w:type="auto"/>
            <w:hideMark/>
          </w:tcPr>
          <w:p w14:paraId="33917ABF"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149.1</w:t>
            </w:r>
          </w:p>
        </w:tc>
        <w:tc>
          <w:tcPr>
            <w:tcW w:w="0" w:type="auto"/>
            <w:hideMark/>
          </w:tcPr>
          <w:p w14:paraId="6F1EBE1C"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2.058</w:t>
            </w:r>
          </w:p>
        </w:tc>
        <w:tc>
          <w:tcPr>
            <w:tcW w:w="0" w:type="auto"/>
            <w:hideMark/>
          </w:tcPr>
          <w:p w14:paraId="09703861"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1.542</w:t>
            </w:r>
          </w:p>
        </w:tc>
        <w:tc>
          <w:tcPr>
            <w:tcW w:w="0" w:type="auto"/>
            <w:hideMark/>
          </w:tcPr>
          <w:p w14:paraId="312F8C9F"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3.62</w:t>
            </w:r>
          </w:p>
        </w:tc>
        <w:tc>
          <w:tcPr>
            <w:tcW w:w="0" w:type="auto"/>
            <w:hideMark/>
          </w:tcPr>
          <w:p w14:paraId="08329020"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21.10</w:t>
            </w:r>
          </w:p>
        </w:tc>
        <w:tc>
          <w:tcPr>
            <w:tcW w:w="0" w:type="auto"/>
            <w:hideMark/>
          </w:tcPr>
          <w:p w14:paraId="16CFBF5E"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74.9</w:t>
            </w:r>
          </w:p>
        </w:tc>
      </w:tr>
      <w:tr w:rsidR="00290C66" w:rsidRPr="00290C66" w14:paraId="47377C87" w14:textId="77777777" w:rsidTr="00E762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B877D40" w14:textId="77777777" w:rsidR="00290C66" w:rsidRPr="00A60086" w:rsidRDefault="00290C66" w:rsidP="00E76246">
            <w:pPr>
              <w:rPr>
                <w:sz w:val="16"/>
                <w:szCs w:val="16"/>
                <w:lang w:val="en-GB"/>
              </w:rPr>
            </w:pPr>
            <w:r w:rsidRPr="00A60086">
              <w:rPr>
                <w:sz w:val="16"/>
                <w:szCs w:val="16"/>
                <w:lang w:val="en-GB"/>
              </w:rPr>
              <w:t>7</w:t>
            </w:r>
          </w:p>
        </w:tc>
        <w:tc>
          <w:tcPr>
            <w:tcW w:w="0" w:type="auto"/>
            <w:hideMark/>
          </w:tcPr>
          <w:p w14:paraId="57DCCC87"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1.95</w:t>
            </w:r>
          </w:p>
        </w:tc>
        <w:tc>
          <w:tcPr>
            <w:tcW w:w="0" w:type="auto"/>
            <w:hideMark/>
          </w:tcPr>
          <w:p w14:paraId="4C9F2D6F"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2.10</w:t>
            </w:r>
          </w:p>
        </w:tc>
        <w:tc>
          <w:tcPr>
            <w:tcW w:w="0" w:type="auto"/>
            <w:hideMark/>
          </w:tcPr>
          <w:p w14:paraId="119EE5BA"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411.1</w:t>
            </w:r>
          </w:p>
        </w:tc>
        <w:tc>
          <w:tcPr>
            <w:tcW w:w="0" w:type="auto"/>
            <w:hideMark/>
          </w:tcPr>
          <w:p w14:paraId="17DFC15A"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246.9</w:t>
            </w:r>
          </w:p>
        </w:tc>
        <w:tc>
          <w:tcPr>
            <w:tcW w:w="0" w:type="auto"/>
            <w:hideMark/>
          </w:tcPr>
          <w:p w14:paraId="7E0956AF"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164.2</w:t>
            </w:r>
          </w:p>
        </w:tc>
        <w:tc>
          <w:tcPr>
            <w:tcW w:w="0" w:type="auto"/>
            <w:hideMark/>
          </w:tcPr>
          <w:p w14:paraId="474F723B"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2.409</w:t>
            </w:r>
          </w:p>
        </w:tc>
        <w:tc>
          <w:tcPr>
            <w:tcW w:w="0" w:type="auto"/>
            <w:hideMark/>
          </w:tcPr>
          <w:p w14:paraId="4DDE289C"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1.927</w:t>
            </w:r>
          </w:p>
        </w:tc>
        <w:tc>
          <w:tcPr>
            <w:tcW w:w="0" w:type="auto"/>
            <w:hideMark/>
          </w:tcPr>
          <w:p w14:paraId="5EC8C714"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3.44</w:t>
            </w:r>
          </w:p>
        </w:tc>
        <w:tc>
          <w:tcPr>
            <w:tcW w:w="0" w:type="auto"/>
            <w:hideMark/>
          </w:tcPr>
          <w:p w14:paraId="578A455F"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23.75</w:t>
            </w:r>
          </w:p>
        </w:tc>
        <w:tc>
          <w:tcPr>
            <w:tcW w:w="0" w:type="auto"/>
            <w:hideMark/>
          </w:tcPr>
          <w:p w14:paraId="6E94380F"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80.0</w:t>
            </w:r>
          </w:p>
        </w:tc>
      </w:tr>
      <w:tr w:rsidR="00290C66" w:rsidRPr="00290C66" w14:paraId="6B2F71CC" w14:textId="77777777" w:rsidTr="00E7624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6B1223B" w14:textId="77777777" w:rsidR="00290C66" w:rsidRPr="00A60086" w:rsidRDefault="00290C66" w:rsidP="00E76246">
            <w:pPr>
              <w:rPr>
                <w:sz w:val="16"/>
                <w:szCs w:val="16"/>
                <w:lang w:val="en-GB"/>
              </w:rPr>
            </w:pPr>
            <w:r w:rsidRPr="00A60086">
              <w:rPr>
                <w:sz w:val="16"/>
                <w:szCs w:val="16"/>
                <w:lang w:val="en-GB"/>
              </w:rPr>
              <w:t>8</w:t>
            </w:r>
          </w:p>
        </w:tc>
        <w:tc>
          <w:tcPr>
            <w:tcW w:w="0" w:type="auto"/>
            <w:hideMark/>
          </w:tcPr>
          <w:p w14:paraId="447B0D72"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2.10</w:t>
            </w:r>
          </w:p>
        </w:tc>
        <w:tc>
          <w:tcPr>
            <w:tcW w:w="0" w:type="auto"/>
            <w:hideMark/>
          </w:tcPr>
          <w:p w14:paraId="3FBFAA5A"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2.55</w:t>
            </w:r>
          </w:p>
        </w:tc>
        <w:tc>
          <w:tcPr>
            <w:tcW w:w="0" w:type="auto"/>
            <w:hideMark/>
          </w:tcPr>
          <w:p w14:paraId="36F713AA"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422.4</w:t>
            </w:r>
          </w:p>
        </w:tc>
        <w:tc>
          <w:tcPr>
            <w:tcW w:w="0" w:type="auto"/>
            <w:hideMark/>
          </w:tcPr>
          <w:p w14:paraId="3FBA39D9"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242.3</w:t>
            </w:r>
          </w:p>
        </w:tc>
        <w:tc>
          <w:tcPr>
            <w:tcW w:w="0" w:type="auto"/>
            <w:hideMark/>
          </w:tcPr>
          <w:p w14:paraId="664A128C"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180.1</w:t>
            </w:r>
          </w:p>
        </w:tc>
        <w:tc>
          <w:tcPr>
            <w:tcW w:w="0" w:type="auto"/>
            <w:hideMark/>
          </w:tcPr>
          <w:p w14:paraId="42B66119"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2.762</w:t>
            </w:r>
          </w:p>
        </w:tc>
        <w:tc>
          <w:tcPr>
            <w:tcW w:w="0" w:type="auto"/>
            <w:hideMark/>
          </w:tcPr>
          <w:p w14:paraId="69B7C68F"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2.330</w:t>
            </w:r>
          </w:p>
        </w:tc>
        <w:tc>
          <w:tcPr>
            <w:tcW w:w="0" w:type="auto"/>
            <w:hideMark/>
          </w:tcPr>
          <w:p w14:paraId="4A494AEB"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3.31</w:t>
            </w:r>
          </w:p>
        </w:tc>
        <w:tc>
          <w:tcPr>
            <w:tcW w:w="0" w:type="auto"/>
            <w:hideMark/>
          </w:tcPr>
          <w:p w14:paraId="78CBF395"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25.99</w:t>
            </w:r>
          </w:p>
        </w:tc>
        <w:tc>
          <w:tcPr>
            <w:tcW w:w="0" w:type="auto"/>
            <w:hideMark/>
          </w:tcPr>
          <w:p w14:paraId="434C8FA4"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84.4</w:t>
            </w:r>
          </w:p>
        </w:tc>
      </w:tr>
      <w:tr w:rsidR="00290C66" w:rsidRPr="00290C66" w14:paraId="475BCB39" w14:textId="77777777" w:rsidTr="00E762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62D9C8B" w14:textId="77777777" w:rsidR="00290C66" w:rsidRPr="00A60086" w:rsidRDefault="00290C66" w:rsidP="00E76246">
            <w:pPr>
              <w:rPr>
                <w:sz w:val="16"/>
                <w:szCs w:val="16"/>
                <w:lang w:val="en-GB"/>
              </w:rPr>
            </w:pPr>
            <w:r w:rsidRPr="00A60086">
              <w:rPr>
                <w:sz w:val="16"/>
                <w:szCs w:val="16"/>
                <w:lang w:val="en-GB"/>
              </w:rPr>
              <w:t>9</w:t>
            </w:r>
          </w:p>
        </w:tc>
        <w:tc>
          <w:tcPr>
            <w:tcW w:w="0" w:type="auto"/>
            <w:hideMark/>
          </w:tcPr>
          <w:p w14:paraId="6EDB36AB"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1.95</w:t>
            </w:r>
          </w:p>
        </w:tc>
        <w:tc>
          <w:tcPr>
            <w:tcW w:w="0" w:type="auto"/>
            <w:hideMark/>
          </w:tcPr>
          <w:p w14:paraId="6ACD2479"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2.55</w:t>
            </w:r>
          </w:p>
        </w:tc>
        <w:tc>
          <w:tcPr>
            <w:tcW w:w="0" w:type="auto"/>
            <w:hideMark/>
          </w:tcPr>
          <w:p w14:paraId="5AFD1497"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411.1</w:t>
            </w:r>
          </w:p>
        </w:tc>
        <w:tc>
          <w:tcPr>
            <w:tcW w:w="0" w:type="auto"/>
            <w:hideMark/>
          </w:tcPr>
          <w:p w14:paraId="3A0BCE94"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233.4</w:t>
            </w:r>
          </w:p>
        </w:tc>
        <w:tc>
          <w:tcPr>
            <w:tcW w:w="0" w:type="auto"/>
            <w:hideMark/>
          </w:tcPr>
          <w:p w14:paraId="7200E8EB"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177.7</w:t>
            </w:r>
          </w:p>
        </w:tc>
        <w:tc>
          <w:tcPr>
            <w:tcW w:w="0" w:type="auto"/>
            <w:hideMark/>
          </w:tcPr>
          <w:p w14:paraId="27F46174"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2.476</w:t>
            </w:r>
          </w:p>
        </w:tc>
        <w:tc>
          <w:tcPr>
            <w:tcW w:w="0" w:type="auto"/>
            <w:hideMark/>
          </w:tcPr>
          <w:p w14:paraId="654B7023"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2.234</w:t>
            </w:r>
          </w:p>
        </w:tc>
        <w:tc>
          <w:tcPr>
            <w:tcW w:w="0" w:type="auto"/>
            <w:hideMark/>
          </w:tcPr>
          <w:p w14:paraId="1A19D61E"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3.62</w:t>
            </w:r>
          </w:p>
        </w:tc>
        <w:tc>
          <w:tcPr>
            <w:tcW w:w="0" w:type="auto"/>
            <w:hideMark/>
          </w:tcPr>
          <w:p w14:paraId="6C3809D9"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25.42</w:t>
            </w:r>
          </w:p>
        </w:tc>
        <w:tc>
          <w:tcPr>
            <w:tcW w:w="0" w:type="auto"/>
            <w:hideMark/>
          </w:tcPr>
          <w:p w14:paraId="3CDEB894"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90.2</w:t>
            </w:r>
          </w:p>
        </w:tc>
      </w:tr>
      <w:tr w:rsidR="00290C66" w:rsidRPr="00290C66" w14:paraId="156B058C" w14:textId="77777777" w:rsidTr="00E7624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7903229" w14:textId="77777777" w:rsidR="00290C66" w:rsidRPr="00A60086" w:rsidRDefault="00290C66" w:rsidP="00E76246">
            <w:pPr>
              <w:rPr>
                <w:sz w:val="16"/>
                <w:szCs w:val="16"/>
                <w:lang w:val="en-GB"/>
              </w:rPr>
            </w:pPr>
            <w:r w:rsidRPr="00A60086">
              <w:rPr>
                <w:sz w:val="16"/>
                <w:szCs w:val="16"/>
                <w:lang w:val="en-GB"/>
              </w:rPr>
              <w:t>10</w:t>
            </w:r>
          </w:p>
        </w:tc>
        <w:tc>
          <w:tcPr>
            <w:tcW w:w="0" w:type="auto"/>
            <w:hideMark/>
          </w:tcPr>
          <w:p w14:paraId="61E10A50"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1.80</w:t>
            </w:r>
          </w:p>
        </w:tc>
        <w:tc>
          <w:tcPr>
            <w:tcW w:w="0" w:type="auto"/>
            <w:hideMark/>
          </w:tcPr>
          <w:p w14:paraId="11557A7A"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2.40</w:t>
            </w:r>
          </w:p>
        </w:tc>
        <w:tc>
          <w:tcPr>
            <w:tcW w:w="0" w:type="auto"/>
            <w:hideMark/>
          </w:tcPr>
          <w:p w14:paraId="174864E0"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399.1</w:t>
            </w:r>
          </w:p>
        </w:tc>
        <w:tc>
          <w:tcPr>
            <w:tcW w:w="0" w:type="auto"/>
            <w:hideMark/>
          </w:tcPr>
          <w:p w14:paraId="4F52B4F3"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227.8</w:t>
            </w:r>
          </w:p>
        </w:tc>
        <w:tc>
          <w:tcPr>
            <w:tcW w:w="0" w:type="auto"/>
            <w:hideMark/>
          </w:tcPr>
          <w:p w14:paraId="32F4A45F"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171.3</w:t>
            </w:r>
          </w:p>
        </w:tc>
        <w:tc>
          <w:tcPr>
            <w:tcW w:w="0" w:type="auto"/>
            <w:hideMark/>
          </w:tcPr>
          <w:p w14:paraId="6E529F09"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2.155</w:t>
            </w:r>
          </w:p>
        </w:tc>
        <w:tc>
          <w:tcPr>
            <w:tcW w:w="0" w:type="auto"/>
            <w:hideMark/>
          </w:tcPr>
          <w:p w14:paraId="72AC03E5"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2.053</w:t>
            </w:r>
          </w:p>
        </w:tc>
        <w:tc>
          <w:tcPr>
            <w:tcW w:w="0" w:type="auto"/>
            <w:hideMark/>
          </w:tcPr>
          <w:p w14:paraId="4C1E4A1F"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3.98</w:t>
            </w:r>
          </w:p>
        </w:tc>
        <w:tc>
          <w:tcPr>
            <w:tcW w:w="0" w:type="auto"/>
            <w:hideMark/>
          </w:tcPr>
          <w:p w14:paraId="410E70B0"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24.40</w:t>
            </w:r>
          </w:p>
        </w:tc>
        <w:tc>
          <w:tcPr>
            <w:tcW w:w="0" w:type="auto"/>
            <w:hideMark/>
          </w:tcPr>
          <w:p w14:paraId="6205D937"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95.3</w:t>
            </w:r>
          </w:p>
        </w:tc>
      </w:tr>
      <w:tr w:rsidR="00290C66" w:rsidRPr="00290C66" w14:paraId="726BF81E" w14:textId="77777777" w:rsidTr="00E762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5C09B49" w14:textId="77777777" w:rsidR="00290C66" w:rsidRPr="00A60086" w:rsidRDefault="00290C66" w:rsidP="00E76246">
            <w:pPr>
              <w:rPr>
                <w:sz w:val="16"/>
                <w:szCs w:val="16"/>
                <w:lang w:val="en-GB"/>
              </w:rPr>
            </w:pPr>
            <w:r w:rsidRPr="00A60086">
              <w:rPr>
                <w:sz w:val="16"/>
                <w:szCs w:val="16"/>
                <w:lang w:val="en-GB"/>
              </w:rPr>
              <w:t>11</w:t>
            </w:r>
          </w:p>
        </w:tc>
        <w:tc>
          <w:tcPr>
            <w:tcW w:w="0" w:type="auto"/>
            <w:hideMark/>
          </w:tcPr>
          <w:p w14:paraId="091207AE"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1.80</w:t>
            </w:r>
          </w:p>
        </w:tc>
        <w:tc>
          <w:tcPr>
            <w:tcW w:w="0" w:type="auto"/>
            <w:hideMark/>
          </w:tcPr>
          <w:p w14:paraId="13BD4E9E"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2.70</w:t>
            </w:r>
          </w:p>
        </w:tc>
        <w:tc>
          <w:tcPr>
            <w:tcW w:w="0" w:type="auto"/>
            <w:hideMark/>
          </w:tcPr>
          <w:p w14:paraId="607DC3E9"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399.1</w:t>
            </w:r>
          </w:p>
        </w:tc>
        <w:tc>
          <w:tcPr>
            <w:tcW w:w="0" w:type="auto"/>
            <w:hideMark/>
          </w:tcPr>
          <w:p w14:paraId="53D1AA8B"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221.2</w:t>
            </w:r>
          </w:p>
        </w:tc>
        <w:tc>
          <w:tcPr>
            <w:tcW w:w="0" w:type="auto"/>
            <w:hideMark/>
          </w:tcPr>
          <w:p w14:paraId="2D887BBA"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177.9</w:t>
            </w:r>
          </w:p>
        </w:tc>
        <w:tc>
          <w:tcPr>
            <w:tcW w:w="0" w:type="auto"/>
            <w:hideMark/>
          </w:tcPr>
          <w:p w14:paraId="67FF5141"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2.183</w:t>
            </w:r>
          </w:p>
        </w:tc>
        <w:tc>
          <w:tcPr>
            <w:tcW w:w="0" w:type="auto"/>
            <w:hideMark/>
          </w:tcPr>
          <w:p w14:paraId="48DD1DC7"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2.191</w:t>
            </w:r>
          </w:p>
        </w:tc>
        <w:tc>
          <w:tcPr>
            <w:tcW w:w="0" w:type="auto"/>
            <w:hideMark/>
          </w:tcPr>
          <w:p w14:paraId="65CC3C19"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4.08</w:t>
            </w:r>
          </w:p>
        </w:tc>
        <w:tc>
          <w:tcPr>
            <w:tcW w:w="0" w:type="auto"/>
            <w:hideMark/>
          </w:tcPr>
          <w:p w14:paraId="672A7EFE"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25.08</w:t>
            </w:r>
          </w:p>
        </w:tc>
        <w:tc>
          <w:tcPr>
            <w:tcW w:w="0" w:type="auto"/>
            <w:hideMark/>
          </w:tcPr>
          <w:p w14:paraId="6456D666" w14:textId="77777777" w:rsidR="00290C66" w:rsidRPr="00A60086" w:rsidRDefault="00290C66" w:rsidP="00E76246">
            <w:pPr>
              <w:cnfStyle w:val="000000100000" w:firstRow="0" w:lastRow="0" w:firstColumn="0" w:lastColumn="0" w:oddVBand="0" w:evenVBand="0" w:oddHBand="1" w:evenHBand="0" w:firstRowFirstColumn="0" w:firstRowLastColumn="0" w:lastRowFirstColumn="0" w:lastRowLastColumn="0"/>
              <w:rPr>
                <w:sz w:val="16"/>
                <w:szCs w:val="16"/>
                <w:lang w:val="en-GB"/>
              </w:rPr>
            </w:pPr>
            <w:r w:rsidRPr="00A60086">
              <w:rPr>
                <w:sz w:val="16"/>
                <w:szCs w:val="16"/>
                <w:lang w:val="en-GB"/>
              </w:rPr>
              <w:t>100.4</w:t>
            </w:r>
          </w:p>
        </w:tc>
      </w:tr>
      <w:tr w:rsidR="00290C66" w:rsidRPr="00290C66" w14:paraId="2E0585F0" w14:textId="77777777" w:rsidTr="00E7624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31A9AC6" w14:textId="77777777" w:rsidR="00290C66" w:rsidRPr="00A60086" w:rsidRDefault="00290C66" w:rsidP="00E76246">
            <w:pPr>
              <w:rPr>
                <w:sz w:val="16"/>
                <w:szCs w:val="16"/>
                <w:lang w:val="en-GB"/>
              </w:rPr>
            </w:pPr>
            <w:r w:rsidRPr="00A60086">
              <w:rPr>
                <w:sz w:val="16"/>
                <w:szCs w:val="16"/>
                <w:lang w:val="en-GB"/>
              </w:rPr>
              <w:t>12</w:t>
            </w:r>
          </w:p>
        </w:tc>
        <w:tc>
          <w:tcPr>
            <w:tcW w:w="0" w:type="auto"/>
            <w:hideMark/>
          </w:tcPr>
          <w:p w14:paraId="1EB06BC8"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1.65</w:t>
            </w:r>
          </w:p>
        </w:tc>
        <w:tc>
          <w:tcPr>
            <w:tcW w:w="0" w:type="auto"/>
            <w:hideMark/>
          </w:tcPr>
          <w:p w14:paraId="7123A6ED"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2.40</w:t>
            </w:r>
          </w:p>
        </w:tc>
        <w:tc>
          <w:tcPr>
            <w:tcW w:w="0" w:type="auto"/>
            <w:hideMark/>
          </w:tcPr>
          <w:p w14:paraId="7FC7D90A"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386.2</w:t>
            </w:r>
          </w:p>
        </w:tc>
        <w:tc>
          <w:tcPr>
            <w:tcW w:w="0" w:type="auto"/>
            <w:hideMark/>
          </w:tcPr>
          <w:p w14:paraId="30DE5A15"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217.9</w:t>
            </w:r>
          </w:p>
        </w:tc>
        <w:tc>
          <w:tcPr>
            <w:tcW w:w="0" w:type="auto"/>
            <w:hideMark/>
          </w:tcPr>
          <w:p w14:paraId="5D329E6F"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168.4</w:t>
            </w:r>
          </w:p>
        </w:tc>
        <w:tc>
          <w:tcPr>
            <w:tcW w:w="0" w:type="auto"/>
            <w:hideMark/>
          </w:tcPr>
          <w:p w14:paraId="79F4FB1C"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1.830</w:t>
            </w:r>
          </w:p>
        </w:tc>
        <w:tc>
          <w:tcPr>
            <w:tcW w:w="0" w:type="auto"/>
            <w:hideMark/>
          </w:tcPr>
          <w:p w14:paraId="46526BDD"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1.947</w:t>
            </w:r>
          </w:p>
        </w:tc>
        <w:tc>
          <w:tcPr>
            <w:tcW w:w="0" w:type="auto"/>
            <w:hideMark/>
          </w:tcPr>
          <w:p w14:paraId="6300DF84"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4.57</w:t>
            </w:r>
          </w:p>
        </w:tc>
        <w:tc>
          <w:tcPr>
            <w:tcW w:w="0" w:type="auto"/>
            <w:hideMark/>
          </w:tcPr>
          <w:p w14:paraId="338BA9D0"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23.74</w:t>
            </w:r>
          </w:p>
        </w:tc>
        <w:tc>
          <w:tcPr>
            <w:tcW w:w="0" w:type="auto"/>
            <w:hideMark/>
          </w:tcPr>
          <w:p w14:paraId="0FFE68C2" w14:textId="77777777" w:rsidR="00290C66" w:rsidRPr="00A60086" w:rsidRDefault="00290C66" w:rsidP="00E76246">
            <w:pPr>
              <w:cnfStyle w:val="000000000000" w:firstRow="0" w:lastRow="0" w:firstColumn="0" w:lastColumn="0" w:oddVBand="0" w:evenVBand="0" w:oddHBand="0" w:evenHBand="0" w:firstRowFirstColumn="0" w:firstRowLastColumn="0" w:lastRowFirstColumn="0" w:lastRowLastColumn="0"/>
              <w:rPr>
                <w:sz w:val="16"/>
                <w:szCs w:val="16"/>
                <w:lang w:val="en-GB"/>
              </w:rPr>
            </w:pPr>
            <w:r w:rsidRPr="00A60086">
              <w:rPr>
                <w:sz w:val="16"/>
                <w:szCs w:val="16"/>
                <w:lang w:val="en-GB"/>
              </w:rPr>
              <w:t>106.4</w:t>
            </w:r>
          </w:p>
        </w:tc>
      </w:tr>
    </w:tbl>
    <w:p w14:paraId="24F00927" w14:textId="77777777" w:rsidR="00290C66" w:rsidRDefault="00290C66" w:rsidP="00290C66">
      <w:pPr>
        <w:rPr>
          <w:lang w:val="en-US"/>
        </w:rPr>
      </w:pPr>
    </w:p>
    <w:p w14:paraId="279BE327" w14:textId="77777777" w:rsidR="00290C66" w:rsidRDefault="00290C66" w:rsidP="00290C66">
      <w:pPr>
        <w:rPr>
          <w:lang w:val="en-US"/>
        </w:rPr>
      </w:pPr>
    </w:p>
    <w:p w14:paraId="1FB70884" w14:textId="77777777" w:rsidR="00290C66" w:rsidRPr="00AF7321" w:rsidRDefault="00290C66" w:rsidP="00290C66">
      <w:pPr>
        <w:rPr>
          <w:lang w:val="en-US"/>
        </w:rPr>
      </w:pPr>
    </w:p>
    <w:sectPr w:rsidR="00290C66" w:rsidRPr="00AF732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New York">
    <w:panose1 w:val="02040503060506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19EF"/>
    <w:multiLevelType w:val="hybridMultilevel"/>
    <w:tmpl w:val="54047650"/>
    <w:lvl w:ilvl="0" w:tplc="0812F72A">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FEF4A4E"/>
    <w:multiLevelType w:val="hybridMultilevel"/>
    <w:tmpl w:val="CF06B3AA"/>
    <w:lvl w:ilvl="0" w:tplc="0812F72A">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24D2D7C"/>
    <w:multiLevelType w:val="hybridMultilevel"/>
    <w:tmpl w:val="424CBD52"/>
    <w:lvl w:ilvl="0" w:tplc="04070001">
      <w:start w:val="1"/>
      <w:numFmt w:val="bullet"/>
      <w:lvlText w:val=""/>
      <w:lvlJc w:val="left"/>
      <w:pPr>
        <w:ind w:left="777" w:hanging="360"/>
      </w:pPr>
      <w:rPr>
        <w:rFonts w:ascii="Symbol" w:hAnsi="Symbol"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3" w15:restartNumberingAfterBreak="0">
    <w:nsid w:val="275B0DCE"/>
    <w:multiLevelType w:val="multilevel"/>
    <w:tmpl w:val="9640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8C6764"/>
    <w:multiLevelType w:val="hybridMultilevel"/>
    <w:tmpl w:val="8678499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6063F1"/>
    <w:multiLevelType w:val="multilevel"/>
    <w:tmpl w:val="DAC20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981640"/>
    <w:multiLevelType w:val="hybridMultilevel"/>
    <w:tmpl w:val="A57E413C"/>
    <w:lvl w:ilvl="0" w:tplc="0812F72A">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922C41"/>
    <w:multiLevelType w:val="multilevel"/>
    <w:tmpl w:val="CF64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461A26"/>
    <w:multiLevelType w:val="hybridMultilevel"/>
    <w:tmpl w:val="B83A0A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0" w15:restartNumberingAfterBreak="0">
    <w:nsid w:val="3B986329"/>
    <w:multiLevelType w:val="multilevel"/>
    <w:tmpl w:val="E85CC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6443E8"/>
    <w:multiLevelType w:val="multilevel"/>
    <w:tmpl w:val="D2BC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BE6CD1"/>
    <w:multiLevelType w:val="multilevel"/>
    <w:tmpl w:val="A49A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D6B9D"/>
    <w:multiLevelType w:val="hybridMultilevel"/>
    <w:tmpl w:val="498E1B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66A1896"/>
    <w:multiLevelType w:val="multilevel"/>
    <w:tmpl w:val="EF92437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6DD49CF"/>
    <w:multiLevelType w:val="multilevel"/>
    <w:tmpl w:val="8820C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F63EAF"/>
    <w:multiLevelType w:val="hybridMultilevel"/>
    <w:tmpl w:val="26E202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E9038C7"/>
    <w:multiLevelType w:val="hybridMultilevel"/>
    <w:tmpl w:val="BD2854B4"/>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8" w15:restartNumberingAfterBreak="0">
    <w:nsid w:val="543718A9"/>
    <w:multiLevelType w:val="hybridMultilevel"/>
    <w:tmpl w:val="9C74AE1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FC012E7"/>
    <w:multiLevelType w:val="multilevel"/>
    <w:tmpl w:val="AF780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B26087"/>
    <w:multiLevelType w:val="hybridMultilevel"/>
    <w:tmpl w:val="CEF8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10553C5"/>
    <w:multiLevelType w:val="multilevel"/>
    <w:tmpl w:val="F0C8E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9A2F45"/>
    <w:multiLevelType w:val="multilevel"/>
    <w:tmpl w:val="3EE68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FC129D"/>
    <w:multiLevelType w:val="hybridMultilevel"/>
    <w:tmpl w:val="7AD24FE8"/>
    <w:lvl w:ilvl="0" w:tplc="0407000F">
      <w:start w:val="1"/>
      <w:numFmt w:val="decimal"/>
      <w:lvlText w:val="%1."/>
      <w:lvlJc w:val="left"/>
      <w:pPr>
        <w:ind w:left="144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15:restartNumberingAfterBreak="0">
    <w:nsid w:val="640279AF"/>
    <w:multiLevelType w:val="hybridMultilevel"/>
    <w:tmpl w:val="569648E0"/>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6AF9302E"/>
    <w:multiLevelType w:val="hybridMultilevel"/>
    <w:tmpl w:val="100624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E8114A7"/>
    <w:multiLevelType w:val="hybridMultilevel"/>
    <w:tmpl w:val="FDCC24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404176E"/>
    <w:multiLevelType w:val="multilevel"/>
    <w:tmpl w:val="019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F236A3"/>
    <w:multiLevelType w:val="multilevel"/>
    <w:tmpl w:val="8EDC0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4523FB"/>
    <w:multiLevelType w:val="multilevel"/>
    <w:tmpl w:val="1270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4B7832"/>
    <w:multiLevelType w:val="hybridMultilevel"/>
    <w:tmpl w:val="CC5C6F4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5492358">
    <w:abstractNumId w:val="24"/>
  </w:num>
  <w:num w:numId="2" w16cid:durableId="1397508718">
    <w:abstractNumId w:val="2"/>
  </w:num>
  <w:num w:numId="3" w16cid:durableId="1852990598">
    <w:abstractNumId w:val="11"/>
  </w:num>
  <w:num w:numId="4" w16cid:durableId="794560623">
    <w:abstractNumId w:val="7"/>
  </w:num>
  <w:num w:numId="5" w16cid:durableId="1449469556">
    <w:abstractNumId w:val="10"/>
  </w:num>
  <w:num w:numId="6" w16cid:durableId="844369604">
    <w:abstractNumId w:val="19"/>
  </w:num>
  <w:num w:numId="7" w16cid:durableId="2111774039">
    <w:abstractNumId w:val="21"/>
  </w:num>
  <w:num w:numId="8" w16cid:durableId="164324676">
    <w:abstractNumId w:val="12"/>
  </w:num>
  <w:num w:numId="9" w16cid:durableId="1753160955">
    <w:abstractNumId w:val="3"/>
  </w:num>
  <w:num w:numId="10" w16cid:durableId="2114813920">
    <w:abstractNumId w:val="27"/>
  </w:num>
  <w:num w:numId="11" w16cid:durableId="1865053543">
    <w:abstractNumId w:val="28"/>
  </w:num>
  <w:num w:numId="12" w16cid:durableId="1955213081">
    <w:abstractNumId w:val="15"/>
  </w:num>
  <w:num w:numId="13" w16cid:durableId="1078668858">
    <w:abstractNumId w:val="29"/>
  </w:num>
  <w:num w:numId="14" w16cid:durableId="200822354">
    <w:abstractNumId w:val="5"/>
  </w:num>
  <w:num w:numId="15" w16cid:durableId="372266695">
    <w:abstractNumId w:val="20"/>
  </w:num>
  <w:num w:numId="16" w16cid:durableId="12266461">
    <w:abstractNumId w:val="26"/>
  </w:num>
  <w:num w:numId="17" w16cid:durableId="1437093514">
    <w:abstractNumId w:val="16"/>
  </w:num>
  <w:num w:numId="18" w16cid:durableId="703674163">
    <w:abstractNumId w:val="25"/>
  </w:num>
  <w:num w:numId="19" w16cid:durableId="1867061300">
    <w:abstractNumId w:val="8"/>
  </w:num>
  <w:num w:numId="20" w16cid:durableId="2052729619">
    <w:abstractNumId w:val="13"/>
  </w:num>
  <w:num w:numId="21" w16cid:durableId="1779980318">
    <w:abstractNumId w:val="9"/>
  </w:num>
  <w:num w:numId="22" w16cid:durableId="1232736403">
    <w:abstractNumId w:val="30"/>
  </w:num>
  <w:num w:numId="23" w16cid:durableId="705907122">
    <w:abstractNumId w:val="14"/>
  </w:num>
  <w:num w:numId="24" w16cid:durableId="294216278">
    <w:abstractNumId w:val="24"/>
    <w:lvlOverride w:ilvl="0">
      <w:startOverride w:val="1"/>
    </w:lvlOverride>
  </w:num>
  <w:num w:numId="25" w16cid:durableId="864097591">
    <w:abstractNumId w:val="24"/>
    <w:lvlOverride w:ilvl="0">
      <w:startOverride w:val="1"/>
    </w:lvlOverride>
  </w:num>
  <w:num w:numId="26" w16cid:durableId="225998346">
    <w:abstractNumId w:val="24"/>
    <w:lvlOverride w:ilvl="0">
      <w:startOverride w:val="1"/>
    </w:lvlOverride>
  </w:num>
  <w:num w:numId="27" w16cid:durableId="1087577970">
    <w:abstractNumId w:val="22"/>
  </w:num>
  <w:num w:numId="28" w16cid:durableId="1883396347">
    <w:abstractNumId w:val="18"/>
  </w:num>
  <w:num w:numId="29" w16cid:durableId="729304323">
    <w:abstractNumId w:val="4"/>
  </w:num>
  <w:num w:numId="30" w16cid:durableId="1884175773">
    <w:abstractNumId w:val="24"/>
  </w:num>
  <w:num w:numId="31" w16cid:durableId="1567374221">
    <w:abstractNumId w:val="17"/>
  </w:num>
  <w:num w:numId="32" w16cid:durableId="1146239045">
    <w:abstractNumId w:val="23"/>
  </w:num>
  <w:num w:numId="33" w16cid:durableId="1399282457">
    <w:abstractNumId w:val="1"/>
  </w:num>
  <w:num w:numId="34" w16cid:durableId="1293361358">
    <w:abstractNumId w:val="6"/>
  </w:num>
  <w:num w:numId="35" w16cid:durableId="944925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BA0"/>
    <w:rsid w:val="00094834"/>
    <w:rsid w:val="000961C5"/>
    <w:rsid w:val="00114E3D"/>
    <w:rsid w:val="001A79FE"/>
    <w:rsid w:val="001E3A39"/>
    <w:rsid w:val="00207AD8"/>
    <w:rsid w:val="00220C75"/>
    <w:rsid w:val="00287763"/>
    <w:rsid w:val="00290C66"/>
    <w:rsid w:val="00297BA0"/>
    <w:rsid w:val="002E1947"/>
    <w:rsid w:val="003010E5"/>
    <w:rsid w:val="003267FF"/>
    <w:rsid w:val="00326867"/>
    <w:rsid w:val="003714B7"/>
    <w:rsid w:val="003B3A16"/>
    <w:rsid w:val="003D551B"/>
    <w:rsid w:val="0041352F"/>
    <w:rsid w:val="004204DD"/>
    <w:rsid w:val="004950B5"/>
    <w:rsid w:val="004B6512"/>
    <w:rsid w:val="004E3E80"/>
    <w:rsid w:val="00600E95"/>
    <w:rsid w:val="006023B3"/>
    <w:rsid w:val="0062377A"/>
    <w:rsid w:val="006924D4"/>
    <w:rsid w:val="006F7904"/>
    <w:rsid w:val="007A0EF3"/>
    <w:rsid w:val="007C1215"/>
    <w:rsid w:val="00896004"/>
    <w:rsid w:val="008E7088"/>
    <w:rsid w:val="00910297"/>
    <w:rsid w:val="00996628"/>
    <w:rsid w:val="009A05AE"/>
    <w:rsid w:val="009B6AA7"/>
    <w:rsid w:val="00A462C0"/>
    <w:rsid w:val="00A62F8E"/>
    <w:rsid w:val="00A72414"/>
    <w:rsid w:val="00AF7321"/>
    <w:rsid w:val="00B00507"/>
    <w:rsid w:val="00B127D3"/>
    <w:rsid w:val="00B40F61"/>
    <w:rsid w:val="00B41603"/>
    <w:rsid w:val="00BC6A20"/>
    <w:rsid w:val="00BD30FF"/>
    <w:rsid w:val="00BE751A"/>
    <w:rsid w:val="00C0639E"/>
    <w:rsid w:val="00C2480D"/>
    <w:rsid w:val="00D35378"/>
    <w:rsid w:val="00D95FF6"/>
    <w:rsid w:val="00DC0C7A"/>
    <w:rsid w:val="00E2025B"/>
    <w:rsid w:val="00EA7617"/>
    <w:rsid w:val="00F36A20"/>
    <w:rsid w:val="00FA26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80D89"/>
  <w15:chartTrackingRefBased/>
  <w15:docId w15:val="{255B0FAE-C6D8-4766-871F-0178AF1C8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0"/>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297BA0"/>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297B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97B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97BA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97BA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97BA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97BA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97BA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97BA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97BA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97BA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97BA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97BA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97BA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97BA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97BA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97BA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97BA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97BA0"/>
    <w:rPr>
      <w:rFonts w:eastAsiaTheme="majorEastAsia" w:cstheme="majorBidi"/>
      <w:color w:val="272727" w:themeColor="text1" w:themeTint="D8"/>
    </w:rPr>
  </w:style>
  <w:style w:type="paragraph" w:styleId="Titel">
    <w:name w:val="Title"/>
    <w:basedOn w:val="Standard"/>
    <w:next w:val="Standard"/>
    <w:link w:val="TitelZchn"/>
    <w:uiPriority w:val="10"/>
    <w:qFormat/>
    <w:rsid w:val="00297BA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97BA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97BA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97BA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97BA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97BA0"/>
    <w:rPr>
      <w:i/>
      <w:iCs/>
      <w:color w:val="404040" w:themeColor="text1" w:themeTint="BF"/>
    </w:rPr>
  </w:style>
  <w:style w:type="paragraph" w:styleId="Listenabsatz">
    <w:name w:val="List Paragraph"/>
    <w:basedOn w:val="Standard"/>
    <w:uiPriority w:val="34"/>
    <w:qFormat/>
    <w:rsid w:val="00297BA0"/>
    <w:pPr>
      <w:ind w:left="720"/>
      <w:contextualSpacing/>
    </w:pPr>
  </w:style>
  <w:style w:type="character" w:styleId="IntensiveHervorhebung">
    <w:name w:val="Intense Emphasis"/>
    <w:basedOn w:val="Absatz-Standardschriftart"/>
    <w:uiPriority w:val="21"/>
    <w:qFormat/>
    <w:rsid w:val="00297BA0"/>
    <w:rPr>
      <w:i/>
      <w:iCs/>
      <w:color w:val="0F4761" w:themeColor="accent1" w:themeShade="BF"/>
    </w:rPr>
  </w:style>
  <w:style w:type="paragraph" w:styleId="IntensivesZitat">
    <w:name w:val="Intense Quote"/>
    <w:basedOn w:val="Standard"/>
    <w:next w:val="Standard"/>
    <w:link w:val="IntensivesZitatZchn"/>
    <w:uiPriority w:val="30"/>
    <w:qFormat/>
    <w:rsid w:val="00297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97BA0"/>
    <w:rPr>
      <w:i/>
      <w:iCs/>
      <w:color w:val="0F4761" w:themeColor="accent1" w:themeShade="BF"/>
    </w:rPr>
  </w:style>
  <w:style w:type="character" w:styleId="IntensiverVerweis">
    <w:name w:val="Intense Reference"/>
    <w:basedOn w:val="Absatz-Standardschriftart"/>
    <w:uiPriority w:val="32"/>
    <w:qFormat/>
    <w:rsid w:val="00297BA0"/>
    <w:rPr>
      <w:b/>
      <w:bCs/>
      <w:smallCaps/>
      <w:color w:val="0F4761" w:themeColor="accent1" w:themeShade="BF"/>
      <w:spacing w:val="5"/>
    </w:rPr>
  </w:style>
  <w:style w:type="paragraph" w:customStyle="1" w:styleId="SWCText">
    <w:name w:val="SWC_Text"/>
    <w:qFormat/>
    <w:rsid w:val="00297BA0"/>
    <w:pPr>
      <w:widowControl w:val="0"/>
      <w:spacing w:after="120" w:line="276" w:lineRule="auto"/>
      <w:jc w:val="both"/>
    </w:pPr>
    <w:rPr>
      <w:rFonts w:ascii="Times New Roman" w:eastAsia="Times New Roman" w:hAnsi="Times New Roman" w:cs="Times New Roman"/>
      <w:color w:val="000000"/>
      <w:kern w:val="0"/>
      <w:sz w:val="20"/>
      <w:szCs w:val="22"/>
      <w:lang w:val="en-US" w:eastAsia="de-DE"/>
      <w14:ligatures w14:val="none"/>
    </w:rPr>
  </w:style>
  <w:style w:type="paragraph" w:customStyle="1" w:styleId="SWCHeading11">
    <w:name w:val="SWC_Heading1.1"/>
    <w:basedOn w:val="SWCHeading1"/>
    <w:next w:val="Standard"/>
    <w:qFormat/>
    <w:rsid w:val="00297BA0"/>
    <w:pPr>
      <w:numPr>
        <w:numId w:val="0"/>
      </w:numPr>
      <w:spacing w:before="160" w:after="80" w:line="240" w:lineRule="exact"/>
      <w:jc w:val="left"/>
    </w:pPr>
    <w:rPr>
      <w:b w:val="0"/>
      <w:i/>
      <w:szCs w:val="22"/>
      <w:lang w:val="en-GB"/>
    </w:rPr>
  </w:style>
  <w:style w:type="paragraph" w:customStyle="1" w:styleId="SWCTableFigureCaption">
    <w:name w:val="SWC_TableFigureCaption"/>
    <w:qFormat/>
    <w:rsid w:val="00297BA0"/>
    <w:pPr>
      <w:tabs>
        <w:tab w:val="left" w:pos="136"/>
        <w:tab w:val="left" w:pos="278"/>
      </w:tabs>
      <w:spacing w:before="80" w:line="276" w:lineRule="auto"/>
      <w:ind w:left="57" w:right="57"/>
      <w:jc w:val="center"/>
    </w:pPr>
    <w:rPr>
      <w:rFonts w:ascii="Times New Roman" w:eastAsia="Times New Roman" w:hAnsi="Times New Roman" w:cs="Times New Roman"/>
      <w:b/>
      <w:color w:val="000000"/>
      <w:kern w:val="0"/>
      <w:sz w:val="16"/>
      <w:szCs w:val="20"/>
      <w:lang w:val="en-US" w:eastAsia="de-DE"/>
      <w14:ligatures w14:val="none"/>
    </w:rPr>
  </w:style>
  <w:style w:type="paragraph" w:customStyle="1" w:styleId="SWCHeading1">
    <w:name w:val="SWC_Heading1"/>
    <w:next w:val="Standard"/>
    <w:link w:val="SWCHeading1Car"/>
    <w:qFormat/>
    <w:rsid w:val="00297BA0"/>
    <w:pPr>
      <w:numPr>
        <w:numId w:val="1"/>
      </w:numPr>
      <w:spacing w:before="360" w:after="120" w:line="280" w:lineRule="exact"/>
      <w:jc w:val="center"/>
    </w:pPr>
    <w:rPr>
      <w:rFonts w:ascii="Arial" w:eastAsia="Times New Roman" w:hAnsi="Arial" w:cs="Times New Roman"/>
      <w:b/>
      <w:color w:val="000000"/>
      <w:kern w:val="0"/>
      <w:sz w:val="20"/>
      <w:lang w:val="en-US" w:eastAsia="de-DE"/>
      <w14:ligatures w14:val="none"/>
    </w:rPr>
  </w:style>
  <w:style w:type="paragraph" w:customStyle="1" w:styleId="SWCTitle">
    <w:name w:val="SWC_Title"/>
    <w:basedOn w:val="SWCHeading1"/>
    <w:qFormat/>
    <w:rsid w:val="00297BA0"/>
    <w:pPr>
      <w:numPr>
        <w:numId w:val="0"/>
      </w:numPr>
    </w:pPr>
    <w:rPr>
      <w:sz w:val="24"/>
    </w:rPr>
  </w:style>
  <w:style w:type="paragraph" w:customStyle="1" w:styleId="SWCSummary">
    <w:name w:val="SWC_Summary"/>
    <w:basedOn w:val="SWCHeading1"/>
    <w:link w:val="SWCSummaryCar"/>
    <w:qFormat/>
    <w:rsid w:val="00297BA0"/>
    <w:pPr>
      <w:numPr>
        <w:numId w:val="0"/>
      </w:numPr>
    </w:pPr>
  </w:style>
  <w:style w:type="character" w:customStyle="1" w:styleId="SWCHeading1Car">
    <w:name w:val="SWC_Heading1 Car"/>
    <w:basedOn w:val="Absatz-Standardschriftart"/>
    <w:link w:val="SWCHeading1"/>
    <w:rsid w:val="00297BA0"/>
    <w:rPr>
      <w:rFonts w:ascii="Arial" w:eastAsia="Times New Roman" w:hAnsi="Arial" w:cs="Times New Roman"/>
      <w:b/>
      <w:color w:val="000000"/>
      <w:kern w:val="0"/>
      <w:sz w:val="20"/>
      <w:lang w:val="en-US" w:eastAsia="de-DE"/>
      <w14:ligatures w14:val="none"/>
    </w:rPr>
  </w:style>
  <w:style w:type="character" w:customStyle="1" w:styleId="SWCSummaryCar">
    <w:name w:val="SWC_Summary Car"/>
    <w:basedOn w:val="SWCHeading1Car"/>
    <w:link w:val="SWCSummary"/>
    <w:rsid w:val="00297BA0"/>
    <w:rPr>
      <w:rFonts w:ascii="Arial" w:eastAsia="Times New Roman" w:hAnsi="Arial" w:cs="Times New Roman"/>
      <w:b/>
      <w:color w:val="000000"/>
      <w:kern w:val="0"/>
      <w:sz w:val="20"/>
      <w:lang w:val="en-US" w:eastAsia="de-DE"/>
      <w14:ligatures w14:val="none"/>
    </w:rPr>
  </w:style>
  <w:style w:type="paragraph" w:styleId="StandardWeb">
    <w:name w:val="Normal (Web)"/>
    <w:basedOn w:val="Standard"/>
    <w:uiPriority w:val="99"/>
    <w:unhideWhenUsed/>
    <w:rsid w:val="00297BA0"/>
    <w:pPr>
      <w:spacing w:before="100" w:beforeAutospacing="1" w:after="100" w:afterAutospacing="1"/>
    </w:pPr>
  </w:style>
  <w:style w:type="character" w:customStyle="1" w:styleId="katex-mathml">
    <w:name w:val="katex-mathml"/>
    <w:basedOn w:val="Absatz-Standardschriftart"/>
    <w:rsid w:val="00297BA0"/>
  </w:style>
  <w:style w:type="character" w:customStyle="1" w:styleId="mord">
    <w:name w:val="mord"/>
    <w:basedOn w:val="Absatz-Standardschriftart"/>
    <w:rsid w:val="00297BA0"/>
  </w:style>
  <w:style w:type="character" w:customStyle="1" w:styleId="vlist-s">
    <w:name w:val="vlist-s"/>
    <w:basedOn w:val="Absatz-Standardschriftart"/>
    <w:rsid w:val="00297BA0"/>
  </w:style>
  <w:style w:type="character" w:customStyle="1" w:styleId="mrel">
    <w:name w:val="mrel"/>
    <w:basedOn w:val="Absatz-Standardschriftart"/>
    <w:rsid w:val="00297BA0"/>
  </w:style>
  <w:style w:type="character" w:customStyle="1" w:styleId="mbin">
    <w:name w:val="mbin"/>
    <w:basedOn w:val="Absatz-Standardschriftart"/>
    <w:rsid w:val="00297BA0"/>
  </w:style>
  <w:style w:type="character" w:styleId="Platzhaltertext">
    <w:name w:val="Placeholder Text"/>
    <w:basedOn w:val="Absatz-Standardschriftart"/>
    <w:uiPriority w:val="99"/>
    <w:semiHidden/>
    <w:rsid w:val="00A62F8E"/>
    <w:rPr>
      <w:color w:val="666666"/>
    </w:rPr>
  </w:style>
  <w:style w:type="character" w:customStyle="1" w:styleId="SWCBulletedListCar">
    <w:name w:val="SWC_BulletedList Car"/>
    <w:basedOn w:val="Absatz-Standardschriftart"/>
    <w:link w:val="SWCBulletedList"/>
    <w:rsid w:val="009A05AE"/>
    <w:rPr>
      <w:rFonts w:cs="Minion Pro"/>
      <w:color w:val="000000"/>
      <w:szCs w:val="22"/>
      <w:lang w:val="en-US" w:eastAsia="de-DE"/>
    </w:rPr>
  </w:style>
  <w:style w:type="paragraph" w:customStyle="1" w:styleId="SWCBulletedList">
    <w:name w:val="SWC_BulletedList"/>
    <w:link w:val="SWCBulletedListCar"/>
    <w:qFormat/>
    <w:rsid w:val="009A05AE"/>
    <w:pPr>
      <w:numPr>
        <w:numId w:val="21"/>
      </w:numPr>
      <w:tabs>
        <w:tab w:val="left" w:pos="600"/>
      </w:tabs>
      <w:spacing w:after="100" w:line="240" w:lineRule="exact"/>
    </w:pPr>
    <w:rPr>
      <w:rFonts w:cs="Minion Pro"/>
      <w:color w:val="000000"/>
      <w:szCs w:val="22"/>
      <w:lang w:val="en-US" w:eastAsia="de-DE"/>
    </w:rPr>
  </w:style>
  <w:style w:type="paragraph" w:styleId="Beschriftung">
    <w:name w:val="caption"/>
    <w:basedOn w:val="Standard"/>
    <w:next w:val="Standard"/>
    <w:link w:val="BeschriftungZchn"/>
    <w:uiPriority w:val="35"/>
    <w:unhideWhenUsed/>
    <w:qFormat/>
    <w:rsid w:val="003267FF"/>
    <w:pPr>
      <w:spacing w:after="200"/>
    </w:pPr>
    <w:rPr>
      <w:i/>
      <w:iCs/>
      <w:color w:val="0E2841" w:themeColor="text2"/>
      <w:sz w:val="18"/>
      <w:szCs w:val="18"/>
    </w:rPr>
  </w:style>
  <w:style w:type="character" w:customStyle="1" w:styleId="BeschriftungZchn">
    <w:name w:val="Beschriftung Zchn"/>
    <w:basedOn w:val="Absatz-Standardschriftart"/>
    <w:link w:val="Beschriftung"/>
    <w:uiPriority w:val="35"/>
    <w:rsid w:val="007C1215"/>
    <w:rPr>
      <w:rFonts w:ascii="Times New Roman" w:eastAsia="Times New Roman" w:hAnsi="Times New Roman" w:cs="Times New Roman"/>
      <w:i/>
      <w:iCs/>
      <w:color w:val="0E2841" w:themeColor="text2"/>
      <w:kern w:val="0"/>
      <w:sz w:val="18"/>
      <w:szCs w:val="18"/>
      <w:lang w:eastAsia="de-DE"/>
      <w14:ligatures w14:val="none"/>
    </w:rPr>
  </w:style>
  <w:style w:type="table" w:styleId="Listentabelle1hell">
    <w:name w:val="List Table 1 Light"/>
    <w:basedOn w:val="NormaleTabelle"/>
    <w:uiPriority w:val="46"/>
    <w:rsid w:val="007C1215"/>
    <w:pPr>
      <w:spacing w:after="0" w:line="240" w:lineRule="auto"/>
    </w:pPr>
    <w:rPr>
      <w:rFonts w:ascii="New York" w:eastAsia="Times New Roman" w:hAnsi="New York" w:cs="Times New Roman"/>
      <w:kern w:val="0"/>
      <w:sz w:val="20"/>
      <w:szCs w:val="20"/>
      <w:lang w:eastAsia="de-DE"/>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EinfacheTabelle1">
    <w:name w:val="Plain Table 1"/>
    <w:basedOn w:val="NormaleTabelle"/>
    <w:rsid w:val="00AF7321"/>
    <w:pPr>
      <w:spacing w:after="0" w:line="240" w:lineRule="auto"/>
    </w:pPr>
    <w:rPr>
      <w:rFonts w:ascii="New York" w:eastAsia="Times New Roman" w:hAnsi="New York" w:cs="Times New Roman"/>
      <w:kern w:val="0"/>
      <w:sz w:val="20"/>
      <w:szCs w:val="20"/>
      <w:lang w:eastAsia="de-DE"/>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yle41">
    <w:name w:val="style41"/>
    <w:basedOn w:val="Absatz-Standardschriftart"/>
    <w:rsid w:val="00BD30FF"/>
  </w:style>
  <w:style w:type="table" w:styleId="Listentabelle7farbig">
    <w:name w:val="List Table 7 Colorful"/>
    <w:basedOn w:val="NormaleTabelle"/>
    <w:uiPriority w:val="52"/>
    <w:rsid w:val="008E708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CitaviBibliographyEntry">
    <w:name w:val="Citavi Bibliography Entry"/>
    <w:basedOn w:val="Standard"/>
    <w:link w:val="CitaviBibliographyEntryZchn"/>
    <w:uiPriority w:val="99"/>
    <w:rsid w:val="00290C66"/>
    <w:pPr>
      <w:tabs>
        <w:tab w:val="left" w:pos="340"/>
      </w:tabs>
      <w:ind w:left="340" w:hanging="340"/>
    </w:pPr>
  </w:style>
  <w:style w:type="character" w:customStyle="1" w:styleId="CitaviBibliographyEntryZchn">
    <w:name w:val="Citavi Bibliography Entry Zchn"/>
    <w:basedOn w:val="Absatz-Standardschriftart"/>
    <w:link w:val="CitaviBibliographyEntry"/>
    <w:uiPriority w:val="99"/>
    <w:rsid w:val="00290C66"/>
    <w:rPr>
      <w:rFonts w:ascii="Times New Roman" w:eastAsia="Times New Roman" w:hAnsi="Times New Roman" w:cs="Times New Roman"/>
      <w:kern w:val="0"/>
      <w:lang w:eastAsia="de-DE"/>
      <w14:ligatures w14:val="none"/>
    </w:rPr>
  </w:style>
  <w:style w:type="paragraph" w:customStyle="1" w:styleId="CitaviBibliographyHeading">
    <w:name w:val="Citavi Bibliography Heading"/>
    <w:basedOn w:val="berschrift1"/>
    <w:link w:val="CitaviBibliographyHeadingZchn"/>
    <w:uiPriority w:val="99"/>
    <w:rsid w:val="00290C66"/>
  </w:style>
  <w:style w:type="character" w:customStyle="1" w:styleId="CitaviBibliographyHeadingZchn">
    <w:name w:val="Citavi Bibliography Heading Zchn"/>
    <w:basedOn w:val="Absatz-Standardschriftart"/>
    <w:link w:val="CitaviBibliographyHeading"/>
    <w:uiPriority w:val="99"/>
    <w:rsid w:val="00290C66"/>
    <w:rPr>
      <w:rFonts w:asciiTheme="majorHAnsi" w:eastAsiaTheme="majorEastAsia" w:hAnsiTheme="majorHAnsi" w:cstheme="majorBidi"/>
      <w:color w:val="0F4761" w:themeColor="accent1" w:themeShade="BF"/>
      <w:kern w:val="0"/>
      <w:sz w:val="40"/>
      <w:szCs w:val="40"/>
      <w:lang w:eastAsia="de-DE"/>
      <w14:ligatures w14:val="none"/>
    </w:rPr>
  </w:style>
  <w:style w:type="paragraph" w:customStyle="1" w:styleId="CitaviChapterBibliographyHeading">
    <w:name w:val="Citavi Chapter Bibliography Heading"/>
    <w:basedOn w:val="berschrift2"/>
    <w:link w:val="CitaviChapterBibliographyHeadingZchn"/>
    <w:uiPriority w:val="99"/>
    <w:rsid w:val="00290C66"/>
  </w:style>
  <w:style w:type="character" w:customStyle="1" w:styleId="CitaviChapterBibliographyHeadingZchn">
    <w:name w:val="Citavi Chapter Bibliography Heading Zchn"/>
    <w:basedOn w:val="Absatz-Standardschriftart"/>
    <w:link w:val="CitaviChapterBibliographyHeading"/>
    <w:uiPriority w:val="99"/>
    <w:rsid w:val="00290C66"/>
    <w:rPr>
      <w:rFonts w:asciiTheme="majorHAnsi" w:eastAsiaTheme="majorEastAsia" w:hAnsiTheme="majorHAnsi" w:cstheme="majorBidi"/>
      <w:color w:val="0F4761" w:themeColor="accent1" w:themeShade="BF"/>
      <w:kern w:val="0"/>
      <w:sz w:val="32"/>
      <w:szCs w:val="32"/>
      <w:lang w:eastAsia="de-DE"/>
      <w14:ligatures w14:val="none"/>
    </w:rPr>
  </w:style>
  <w:style w:type="paragraph" w:customStyle="1" w:styleId="CitaviBibliographySubheading1">
    <w:name w:val="Citavi Bibliography Subheading 1"/>
    <w:basedOn w:val="berschrift2"/>
    <w:link w:val="CitaviBibliographySubheading1Zchn"/>
    <w:uiPriority w:val="99"/>
    <w:rsid w:val="00290C66"/>
    <w:pPr>
      <w:outlineLvl w:val="9"/>
    </w:pPr>
    <w:rPr>
      <w:lang w:val="en-US"/>
    </w:rPr>
  </w:style>
  <w:style w:type="character" w:customStyle="1" w:styleId="CitaviBibliographySubheading1Zchn">
    <w:name w:val="Citavi Bibliography Subheading 1 Zchn"/>
    <w:basedOn w:val="Absatz-Standardschriftart"/>
    <w:link w:val="CitaviBibliographySubheading1"/>
    <w:uiPriority w:val="99"/>
    <w:rsid w:val="00290C66"/>
    <w:rPr>
      <w:rFonts w:asciiTheme="majorHAnsi" w:eastAsiaTheme="majorEastAsia" w:hAnsiTheme="majorHAnsi" w:cstheme="majorBidi"/>
      <w:color w:val="0F4761" w:themeColor="accent1" w:themeShade="BF"/>
      <w:kern w:val="0"/>
      <w:sz w:val="32"/>
      <w:szCs w:val="32"/>
      <w:lang w:val="en-US" w:eastAsia="de-DE"/>
      <w14:ligatures w14:val="none"/>
    </w:rPr>
  </w:style>
  <w:style w:type="paragraph" w:customStyle="1" w:styleId="CitaviBibliographySubheading2">
    <w:name w:val="Citavi Bibliography Subheading 2"/>
    <w:basedOn w:val="berschrift3"/>
    <w:link w:val="CitaviBibliographySubheading2Zchn"/>
    <w:uiPriority w:val="99"/>
    <w:rsid w:val="00290C66"/>
    <w:pPr>
      <w:outlineLvl w:val="9"/>
    </w:pPr>
    <w:rPr>
      <w:lang w:val="en-US"/>
    </w:rPr>
  </w:style>
  <w:style w:type="character" w:customStyle="1" w:styleId="CitaviBibliographySubheading2Zchn">
    <w:name w:val="Citavi Bibliography Subheading 2 Zchn"/>
    <w:basedOn w:val="Absatz-Standardschriftart"/>
    <w:link w:val="CitaviBibliographySubheading2"/>
    <w:uiPriority w:val="99"/>
    <w:rsid w:val="00290C66"/>
    <w:rPr>
      <w:rFonts w:ascii="Times New Roman" w:eastAsiaTheme="majorEastAsia" w:hAnsi="Times New Roman" w:cstheme="majorBidi"/>
      <w:color w:val="0F4761" w:themeColor="accent1" w:themeShade="BF"/>
      <w:kern w:val="0"/>
      <w:sz w:val="28"/>
      <w:szCs w:val="28"/>
      <w:lang w:val="en-US" w:eastAsia="de-DE"/>
      <w14:ligatures w14:val="none"/>
    </w:rPr>
  </w:style>
  <w:style w:type="paragraph" w:customStyle="1" w:styleId="CitaviBibliographySubheading3">
    <w:name w:val="Citavi Bibliography Subheading 3"/>
    <w:basedOn w:val="berschrift4"/>
    <w:link w:val="CitaviBibliographySubheading3Zchn"/>
    <w:uiPriority w:val="99"/>
    <w:rsid w:val="00290C66"/>
    <w:pPr>
      <w:outlineLvl w:val="9"/>
    </w:pPr>
    <w:rPr>
      <w:lang w:val="en-US"/>
    </w:rPr>
  </w:style>
  <w:style w:type="character" w:customStyle="1" w:styleId="CitaviBibliographySubheading3Zchn">
    <w:name w:val="Citavi Bibliography Subheading 3 Zchn"/>
    <w:basedOn w:val="Absatz-Standardschriftart"/>
    <w:link w:val="CitaviBibliographySubheading3"/>
    <w:uiPriority w:val="99"/>
    <w:rsid w:val="00290C66"/>
    <w:rPr>
      <w:rFonts w:ascii="Times New Roman" w:eastAsiaTheme="majorEastAsia" w:hAnsi="Times New Roman" w:cstheme="majorBidi"/>
      <w:i/>
      <w:iCs/>
      <w:color w:val="0F4761" w:themeColor="accent1" w:themeShade="BF"/>
      <w:kern w:val="0"/>
      <w:lang w:val="en-US" w:eastAsia="de-DE"/>
      <w14:ligatures w14:val="none"/>
    </w:rPr>
  </w:style>
  <w:style w:type="paragraph" w:customStyle="1" w:styleId="CitaviBibliographySubheading4">
    <w:name w:val="Citavi Bibliography Subheading 4"/>
    <w:basedOn w:val="berschrift5"/>
    <w:link w:val="CitaviBibliographySubheading4Zchn"/>
    <w:uiPriority w:val="99"/>
    <w:rsid w:val="00290C66"/>
    <w:pPr>
      <w:outlineLvl w:val="9"/>
    </w:pPr>
    <w:rPr>
      <w:lang w:val="en-US"/>
    </w:rPr>
  </w:style>
  <w:style w:type="character" w:customStyle="1" w:styleId="CitaviBibliographySubheading4Zchn">
    <w:name w:val="Citavi Bibliography Subheading 4 Zchn"/>
    <w:basedOn w:val="Absatz-Standardschriftart"/>
    <w:link w:val="CitaviBibliographySubheading4"/>
    <w:uiPriority w:val="99"/>
    <w:rsid w:val="00290C66"/>
    <w:rPr>
      <w:rFonts w:ascii="Times New Roman" w:eastAsiaTheme="majorEastAsia" w:hAnsi="Times New Roman" w:cstheme="majorBidi"/>
      <w:color w:val="0F4761" w:themeColor="accent1" w:themeShade="BF"/>
      <w:kern w:val="0"/>
      <w:lang w:val="en-US" w:eastAsia="de-DE"/>
      <w14:ligatures w14:val="none"/>
    </w:rPr>
  </w:style>
  <w:style w:type="paragraph" w:customStyle="1" w:styleId="CitaviBibliographySubheading5">
    <w:name w:val="Citavi Bibliography Subheading 5"/>
    <w:basedOn w:val="berschrift6"/>
    <w:link w:val="CitaviBibliographySubheading5Zchn"/>
    <w:uiPriority w:val="99"/>
    <w:rsid w:val="00290C66"/>
    <w:pPr>
      <w:outlineLvl w:val="9"/>
    </w:pPr>
    <w:rPr>
      <w:lang w:val="en-US"/>
    </w:rPr>
  </w:style>
  <w:style w:type="character" w:customStyle="1" w:styleId="CitaviBibliographySubheading5Zchn">
    <w:name w:val="Citavi Bibliography Subheading 5 Zchn"/>
    <w:basedOn w:val="Absatz-Standardschriftart"/>
    <w:link w:val="CitaviBibliographySubheading5"/>
    <w:uiPriority w:val="99"/>
    <w:rsid w:val="00290C66"/>
    <w:rPr>
      <w:rFonts w:ascii="Times New Roman" w:eastAsiaTheme="majorEastAsia" w:hAnsi="Times New Roman" w:cstheme="majorBidi"/>
      <w:i/>
      <w:iCs/>
      <w:color w:val="595959" w:themeColor="text1" w:themeTint="A6"/>
      <w:kern w:val="0"/>
      <w:lang w:val="en-US" w:eastAsia="de-DE"/>
      <w14:ligatures w14:val="none"/>
    </w:rPr>
  </w:style>
  <w:style w:type="paragraph" w:customStyle="1" w:styleId="CitaviBibliographySubheading6">
    <w:name w:val="Citavi Bibliography Subheading 6"/>
    <w:basedOn w:val="berschrift7"/>
    <w:link w:val="CitaviBibliographySubheading6Zchn"/>
    <w:uiPriority w:val="99"/>
    <w:rsid w:val="00290C66"/>
    <w:pPr>
      <w:outlineLvl w:val="9"/>
    </w:pPr>
    <w:rPr>
      <w:lang w:val="en-US"/>
    </w:rPr>
  </w:style>
  <w:style w:type="character" w:customStyle="1" w:styleId="CitaviBibliographySubheading6Zchn">
    <w:name w:val="Citavi Bibliography Subheading 6 Zchn"/>
    <w:basedOn w:val="Absatz-Standardschriftart"/>
    <w:link w:val="CitaviBibliographySubheading6"/>
    <w:uiPriority w:val="99"/>
    <w:rsid w:val="00290C66"/>
    <w:rPr>
      <w:rFonts w:ascii="Times New Roman" w:eastAsiaTheme="majorEastAsia" w:hAnsi="Times New Roman" w:cstheme="majorBidi"/>
      <w:color w:val="595959" w:themeColor="text1" w:themeTint="A6"/>
      <w:kern w:val="0"/>
      <w:lang w:val="en-US" w:eastAsia="de-DE"/>
      <w14:ligatures w14:val="none"/>
    </w:rPr>
  </w:style>
  <w:style w:type="paragraph" w:customStyle="1" w:styleId="CitaviBibliographySubheading7">
    <w:name w:val="Citavi Bibliography Subheading 7"/>
    <w:basedOn w:val="berschrift8"/>
    <w:link w:val="CitaviBibliographySubheading7Zchn"/>
    <w:uiPriority w:val="99"/>
    <w:rsid w:val="00290C66"/>
    <w:pPr>
      <w:outlineLvl w:val="9"/>
    </w:pPr>
    <w:rPr>
      <w:lang w:val="en-US"/>
    </w:rPr>
  </w:style>
  <w:style w:type="character" w:customStyle="1" w:styleId="CitaviBibliographySubheading7Zchn">
    <w:name w:val="Citavi Bibliography Subheading 7 Zchn"/>
    <w:basedOn w:val="Absatz-Standardschriftart"/>
    <w:link w:val="CitaviBibliographySubheading7"/>
    <w:uiPriority w:val="99"/>
    <w:rsid w:val="00290C66"/>
    <w:rPr>
      <w:rFonts w:ascii="Times New Roman" w:eastAsiaTheme="majorEastAsia" w:hAnsi="Times New Roman" w:cstheme="majorBidi"/>
      <w:i/>
      <w:iCs/>
      <w:color w:val="272727" w:themeColor="text1" w:themeTint="D8"/>
      <w:kern w:val="0"/>
      <w:lang w:val="en-US" w:eastAsia="de-DE"/>
      <w14:ligatures w14:val="none"/>
    </w:rPr>
  </w:style>
  <w:style w:type="paragraph" w:customStyle="1" w:styleId="CitaviBibliographySubheading8">
    <w:name w:val="Citavi Bibliography Subheading 8"/>
    <w:basedOn w:val="berschrift9"/>
    <w:link w:val="CitaviBibliographySubheading8Zchn"/>
    <w:uiPriority w:val="99"/>
    <w:rsid w:val="00290C66"/>
    <w:pPr>
      <w:outlineLvl w:val="9"/>
    </w:pPr>
    <w:rPr>
      <w:lang w:val="en-US"/>
    </w:rPr>
  </w:style>
  <w:style w:type="character" w:customStyle="1" w:styleId="CitaviBibliographySubheading8Zchn">
    <w:name w:val="Citavi Bibliography Subheading 8 Zchn"/>
    <w:basedOn w:val="Absatz-Standardschriftart"/>
    <w:link w:val="CitaviBibliographySubheading8"/>
    <w:uiPriority w:val="99"/>
    <w:rsid w:val="00290C66"/>
    <w:rPr>
      <w:rFonts w:ascii="Times New Roman" w:eastAsiaTheme="majorEastAsia" w:hAnsi="Times New Roman" w:cstheme="majorBidi"/>
      <w:color w:val="272727" w:themeColor="text1" w:themeTint="D8"/>
      <w:kern w:val="0"/>
      <w:lang w:val="en-US" w:eastAsia="de-DE"/>
      <w14:ligatures w14:val="none"/>
    </w:rPr>
  </w:style>
  <w:style w:type="table" w:styleId="Tabellenraster">
    <w:name w:val="Table Grid"/>
    <w:basedOn w:val="NormaleTabelle"/>
    <w:uiPriority w:val="39"/>
    <w:rsid w:val="00EA7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43454">
      <w:bodyDiv w:val="1"/>
      <w:marLeft w:val="0"/>
      <w:marRight w:val="0"/>
      <w:marTop w:val="0"/>
      <w:marBottom w:val="0"/>
      <w:divBdr>
        <w:top w:val="none" w:sz="0" w:space="0" w:color="auto"/>
        <w:left w:val="none" w:sz="0" w:space="0" w:color="auto"/>
        <w:bottom w:val="none" w:sz="0" w:space="0" w:color="auto"/>
        <w:right w:val="none" w:sz="0" w:space="0" w:color="auto"/>
      </w:divBdr>
    </w:div>
    <w:div w:id="1573468774">
      <w:bodyDiv w:val="1"/>
      <w:marLeft w:val="0"/>
      <w:marRight w:val="0"/>
      <w:marTop w:val="0"/>
      <w:marBottom w:val="0"/>
      <w:divBdr>
        <w:top w:val="none" w:sz="0" w:space="0" w:color="auto"/>
        <w:left w:val="none" w:sz="0" w:space="0" w:color="auto"/>
        <w:bottom w:val="none" w:sz="0" w:space="0" w:color="auto"/>
        <w:right w:val="none" w:sz="0" w:space="0" w:color="auto"/>
      </w:divBdr>
    </w:div>
    <w:div w:id="197154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A2AE9392-9CB3-4052-8769-D85EFC61CE2F}"/>
      </w:docPartPr>
      <w:docPartBody>
        <w:p w:rsidR="00CC5970" w:rsidRDefault="00B31800">
          <w:r w:rsidRPr="006C7858">
            <w:rPr>
              <w:rStyle w:val="Platzhaltertext"/>
              <w:lang w:eastAsia="en-US"/>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New York">
    <w:panose1 w:val="02040503060506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800"/>
    <w:rsid w:val="00325433"/>
    <w:rsid w:val="00B127D3"/>
    <w:rsid w:val="00B31800"/>
    <w:rsid w:val="00CC5970"/>
    <w:rsid w:val="00CD5F9B"/>
    <w:rsid w:val="00DC0C7A"/>
    <w:rsid w:val="00F36A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3180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BD797-6C2A-4279-AAD0-CB06F3FC4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9797</Words>
  <Characters>61722</Characters>
  <Application>Microsoft Office Word</Application>
  <DocSecurity>0</DocSecurity>
  <Lines>514</Lines>
  <Paragraphs>142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Kraft, Thomas</dc:creator>
  <cp:keywords/>
  <dc:description/>
  <cp:lastModifiedBy>Kraft, Thomas</cp:lastModifiedBy>
  <cp:revision>12</cp:revision>
  <cp:lastPrinted>2026-07-24T11:30:00Z</cp:lastPrinted>
  <dcterms:created xsi:type="dcterms:W3CDTF">2026-07-24T09:15:00Z</dcterms:created>
  <dcterms:modified xsi:type="dcterms:W3CDTF">2026-09-01T12:27:00Z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Data Source=swv032\CitaviServer;Initial Catalog=CitaviDB;Integrated Security=True;Schema Name=Pegasus</vt:lpwstr>
  </property>
  <property fmtid="{D5CDD505-2E9C-101B-9397-08002B2CF9AE}" pid="3" name="CitaviDocumentProperty_7">
    <vt:lpwstr>Pegasus</vt:lpwstr>
  </property>
  <property fmtid="{D5CDD505-2E9C-101B-9397-08002B2CF9AE}" pid="4" name="CitaviDocumentProperty_0">
    <vt:lpwstr>e8ceae4f-6963-4f46-bcdd-671333c32e44</vt:lpwstr>
  </property>
  <property fmtid="{D5CDD505-2E9C-101B-9397-08002B2CF9AE}" pid="5" name="CitaviDocumentProperty_1">
    <vt:lpwstr>6.14.0.0</vt:lpwstr>
  </property>
  <property fmtid="{D5CDD505-2E9C-101B-9397-08002B2CF9AE}" pid="6" name="CitaviDocumentProperty_6">
    <vt:lpwstr>True</vt:lpwstr>
  </property>
</Properties>
</file>