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Pr="00FA08A3" w:rsidRDefault="004053B5" w:rsidP="00B32703">
      <w:pPr>
        <w:pStyle w:val="SWCTitle"/>
        <w:rPr>
          <w:sz w:val="28"/>
          <w:szCs w:val="28"/>
          <w:lang w:val="en-GB"/>
        </w:rPr>
      </w:pPr>
      <w:r w:rsidRPr="00FA08A3">
        <w:rPr>
          <w:sz w:val="28"/>
          <w:szCs w:val="28"/>
          <w:lang w:val="en-GB"/>
        </w:rPr>
        <w:t>EuroSun</w:t>
      </w:r>
      <w:r w:rsidR="00FC1781" w:rsidRPr="00FA08A3">
        <w:rPr>
          <w:sz w:val="28"/>
          <w:szCs w:val="28"/>
          <w:lang w:val="en-GB"/>
        </w:rPr>
        <w:t>202</w:t>
      </w:r>
      <w:r w:rsidR="00FA4DF8" w:rsidRPr="00FA08A3">
        <w:rPr>
          <w:sz w:val="28"/>
          <w:szCs w:val="28"/>
          <w:lang w:val="en-GB"/>
        </w:rPr>
        <w:t>6</w:t>
      </w:r>
    </w:p>
    <w:p w14:paraId="4B3249DD" w14:textId="4FFB2A8F" w:rsidR="0C3545CD" w:rsidRPr="00FA08A3" w:rsidRDefault="00E56DBB" w:rsidP="00E56DBB">
      <w:pPr>
        <w:pStyle w:val="SWCTitle"/>
        <w:spacing w:before="0" w:after="0"/>
        <w:rPr>
          <w:rFonts w:ascii="Times New Roman" w:hAnsi="Times New Roman"/>
          <w:b w:val="0"/>
          <w:sz w:val="20"/>
          <w:szCs w:val="20"/>
          <w:lang w:val="en-GB"/>
        </w:rPr>
      </w:pPr>
      <w:r w:rsidRPr="00FA08A3">
        <w:rPr>
          <w:sz w:val="28"/>
          <w:szCs w:val="28"/>
          <w:lang w:val="en-GB"/>
        </w:rPr>
        <w:t>ADVANCED PV TECHNOLOGIES FOR INTEGRATED APPLICATIONS – THE PARADIGM OF AGRIVOLTAICS</w:t>
      </w:r>
    </w:p>
    <w:p w14:paraId="5850DC36" w14:textId="27CCCDE2" w:rsidR="006B3D49" w:rsidRPr="00FA08A3" w:rsidRDefault="00E56DBB" w:rsidP="001A50A7">
      <w:pPr>
        <w:pStyle w:val="SWCTitle"/>
        <w:spacing w:before="0" w:after="0"/>
        <w:jc w:val="left"/>
        <w:rPr>
          <w:rFonts w:ascii="Times New Roman" w:hAnsi="Times New Roman"/>
          <w:b w:val="0"/>
          <w:sz w:val="20"/>
          <w:szCs w:val="20"/>
          <w:lang w:val="en-GB"/>
        </w:rPr>
      </w:pPr>
      <w:r w:rsidRPr="00FA08A3">
        <w:rPr>
          <w:rFonts w:ascii="Times New Roman" w:hAnsi="Times New Roman"/>
          <w:b w:val="0"/>
          <w:sz w:val="20"/>
          <w:szCs w:val="20"/>
          <w:lang w:val="en-GB"/>
        </w:rPr>
        <w:t>Evangelos Rikos</w:t>
      </w:r>
      <w:r w:rsidRPr="00FA08A3">
        <w:rPr>
          <w:rFonts w:ascii="Times New Roman" w:hAnsi="Times New Roman"/>
          <w:b w:val="0"/>
          <w:sz w:val="20"/>
          <w:szCs w:val="20"/>
          <w:vertAlign w:val="superscript"/>
          <w:lang w:val="en-GB"/>
        </w:rPr>
        <w:t>1</w:t>
      </w:r>
      <w:r w:rsidR="0C3545CD" w:rsidRPr="00FA08A3">
        <w:rPr>
          <w:rFonts w:ascii="Times New Roman" w:hAnsi="Times New Roman"/>
          <w:b w:val="0"/>
          <w:sz w:val="20"/>
          <w:szCs w:val="20"/>
          <w:lang w:val="en-GB"/>
        </w:rPr>
        <w:t xml:space="preserve"> (corresponding author), </w:t>
      </w:r>
      <w:r w:rsidRPr="00FA08A3">
        <w:rPr>
          <w:rFonts w:ascii="Times New Roman" w:hAnsi="Times New Roman"/>
          <w:b w:val="0"/>
          <w:sz w:val="20"/>
          <w:szCs w:val="20"/>
          <w:lang w:val="en-GB"/>
        </w:rPr>
        <w:t>Nick Kanopoulos</w:t>
      </w:r>
      <w:r w:rsidRPr="00FA08A3">
        <w:rPr>
          <w:rFonts w:ascii="Times New Roman" w:hAnsi="Times New Roman"/>
          <w:b w:val="0"/>
          <w:sz w:val="20"/>
          <w:szCs w:val="20"/>
          <w:vertAlign w:val="superscript"/>
          <w:lang w:val="en-GB"/>
        </w:rPr>
        <w:t>2</w:t>
      </w:r>
      <w:r w:rsidR="0C3545CD" w:rsidRPr="00FA08A3">
        <w:rPr>
          <w:rFonts w:ascii="Times New Roman" w:hAnsi="Times New Roman"/>
          <w:b w:val="0"/>
          <w:sz w:val="20"/>
          <w:szCs w:val="20"/>
          <w:lang w:val="en-GB"/>
        </w:rPr>
        <w:t xml:space="preserve">, </w:t>
      </w:r>
      <w:r w:rsidRPr="00FA08A3">
        <w:rPr>
          <w:rFonts w:ascii="Times New Roman" w:hAnsi="Times New Roman"/>
          <w:b w:val="0"/>
          <w:sz w:val="20"/>
          <w:szCs w:val="20"/>
          <w:lang w:val="en-GB"/>
        </w:rPr>
        <w:t>Duygu Kuzyaka</w:t>
      </w:r>
      <w:r w:rsidRPr="00FA08A3">
        <w:rPr>
          <w:rFonts w:ascii="Times New Roman" w:hAnsi="Times New Roman"/>
          <w:b w:val="0"/>
          <w:sz w:val="20"/>
          <w:szCs w:val="20"/>
          <w:vertAlign w:val="superscript"/>
          <w:lang w:val="en-GB"/>
        </w:rPr>
        <w:t>3</w:t>
      </w:r>
      <w:r w:rsidRPr="00FA08A3">
        <w:rPr>
          <w:rFonts w:ascii="Times New Roman" w:hAnsi="Times New Roman"/>
          <w:b w:val="0"/>
          <w:sz w:val="20"/>
          <w:szCs w:val="20"/>
          <w:lang w:val="en-GB"/>
        </w:rPr>
        <w:t>, Aphrodite Kakagia</w:t>
      </w:r>
      <w:r w:rsidRPr="00FA08A3">
        <w:rPr>
          <w:rFonts w:ascii="Times New Roman" w:hAnsi="Times New Roman"/>
          <w:b w:val="0"/>
          <w:sz w:val="20"/>
          <w:szCs w:val="20"/>
          <w:vertAlign w:val="superscript"/>
          <w:lang w:val="en-GB"/>
        </w:rPr>
        <w:t>1</w:t>
      </w:r>
      <w:r w:rsidRPr="00FA08A3">
        <w:rPr>
          <w:rFonts w:ascii="Times New Roman" w:hAnsi="Times New Roman"/>
          <w:b w:val="0"/>
          <w:sz w:val="20"/>
          <w:szCs w:val="20"/>
          <w:lang w:val="en-GB"/>
        </w:rPr>
        <w:t>, Vasiliki Drosou</w:t>
      </w:r>
      <w:r w:rsidRPr="00FA08A3">
        <w:rPr>
          <w:rFonts w:ascii="Times New Roman" w:hAnsi="Times New Roman"/>
          <w:b w:val="0"/>
          <w:sz w:val="20"/>
          <w:szCs w:val="20"/>
          <w:vertAlign w:val="superscript"/>
          <w:lang w:val="en-GB"/>
        </w:rPr>
        <w:t>1</w:t>
      </w:r>
      <w:r w:rsidRPr="00FA08A3">
        <w:rPr>
          <w:rFonts w:ascii="Times New Roman" w:hAnsi="Times New Roman"/>
          <w:b w:val="0"/>
          <w:sz w:val="20"/>
          <w:szCs w:val="20"/>
          <w:lang w:val="en-GB"/>
        </w:rPr>
        <w:t xml:space="preserve">, </w:t>
      </w:r>
      <w:proofErr w:type="spellStart"/>
      <w:r w:rsidRPr="00FA08A3">
        <w:rPr>
          <w:rFonts w:ascii="Times New Roman" w:hAnsi="Times New Roman"/>
          <w:b w:val="0"/>
          <w:sz w:val="20"/>
          <w:szCs w:val="20"/>
          <w:lang w:val="en-GB"/>
        </w:rPr>
        <w:t>Hande</w:t>
      </w:r>
      <w:proofErr w:type="spellEnd"/>
      <w:r w:rsidRPr="00FA08A3">
        <w:rPr>
          <w:rFonts w:ascii="Times New Roman" w:hAnsi="Times New Roman"/>
          <w:b w:val="0"/>
          <w:sz w:val="20"/>
          <w:szCs w:val="20"/>
          <w:lang w:val="en-GB"/>
        </w:rPr>
        <w:t xml:space="preserve"> Ery</w:t>
      </w:r>
      <w:r w:rsidR="00E8752A">
        <w:rPr>
          <w:rFonts w:ascii="Times New Roman" w:hAnsi="Times New Roman"/>
          <w:b w:val="0"/>
          <w:sz w:val="20"/>
          <w:szCs w:val="20"/>
          <w:lang w:val="en-GB"/>
        </w:rPr>
        <w:t>ı</w:t>
      </w:r>
      <w:r w:rsidRPr="00FA08A3">
        <w:rPr>
          <w:rFonts w:ascii="Times New Roman" w:hAnsi="Times New Roman"/>
          <w:b w:val="0"/>
          <w:sz w:val="20"/>
          <w:szCs w:val="20"/>
          <w:lang w:val="en-GB"/>
        </w:rPr>
        <w:t>lmaz</w:t>
      </w:r>
      <w:r w:rsidRPr="00FA08A3">
        <w:rPr>
          <w:rFonts w:ascii="Times New Roman" w:hAnsi="Times New Roman"/>
          <w:b w:val="0"/>
          <w:sz w:val="20"/>
          <w:szCs w:val="20"/>
          <w:vertAlign w:val="superscript"/>
          <w:lang w:val="en-GB"/>
        </w:rPr>
        <w:t>3</w:t>
      </w:r>
    </w:p>
    <w:p w14:paraId="255FDFA2" w14:textId="1B9BB361" w:rsidR="00E56DBB" w:rsidRPr="00FA08A3" w:rsidRDefault="00E56DBB" w:rsidP="001A50A7">
      <w:pPr>
        <w:pStyle w:val="SWCTitle"/>
        <w:spacing w:before="0" w:after="0"/>
        <w:jc w:val="left"/>
        <w:rPr>
          <w:rFonts w:ascii="Times New Roman" w:hAnsi="Times New Roman"/>
          <w:b w:val="0"/>
          <w:sz w:val="20"/>
          <w:szCs w:val="22"/>
          <w:lang w:val="en-GB"/>
        </w:rPr>
      </w:pPr>
      <w:r w:rsidRPr="00FA08A3">
        <w:rPr>
          <w:rFonts w:ascii="Times New Roman" w:hAnsi="Times New Roman"/>
          <w:b w:val="0"/>
          <w:sz w:val="20"/>
          <w:szCs w:val="22"/>
          <w:vertAlign w:val="superscript"/>
          <w:lang w:val="en-GB"/>
        </w:rPr>
        <w:t>1</w:t>
      </w:r>
      <w:r w:rsidRPr="00FA08A3">
        <w:rPr>
          <w:rFonts w:ascii="Times New Roman" w:hAnsi="Times New Roman"/>
          <w:b w:val="0"/>
          <w:sz w:val="20"/>
          <w:szCs w:val="22"/>
          <w:lang w:val="en-GB"/>
        </w:rPr>
        <w:t xml:space="preserve">Centre for Renewable Energy Sources and Saving (CRES), </w:t>
      </w:r>
      <w:proofErr w:type="spellStart"/>
      <w:r w:rsidRPr="00FA08A3">
        <w:rPr>
          <w:rFonts w:ascii="Times New Roman" w:hAnsi="Times New Roman"/>
          <w:b w:val="0"/>
          <w:sz w:val="20"/>
          <w:szCs w:val="22"/>
          <w:lang w:val="en-GB"/>
        </w:rPr>
        <w:t>Pikermi</w:t>
      </w:r>
      <w:proofErr w:type="spellEnd"/>
      <w:r w:rsidRPr="00FA08A3">
        <w:rPr>
          <w:rFonts w:ascii="Times New Roman" w:hAnsi="Times New Roman"/>
          <w:b w:val="0"/>
          <w:sz w:val="20"/>
          <w:szCs w:val="22"/>
          <w:lang w:val="en-GB"/>
        </w:rPr>
        <w:t>-Athens, Greece.</w:t>
      </w:r>
    </w:p>
    <w:p w14:paraId="311CE447" w14:textId="2CF10E6E" w:rsidR="006B3D49" w:rsidRPr="00FA08A3" w:rsidRDefault="00E56DBB" w:rsidP="001A50A7">
      <w:pPr>
        <w:autoSpaceDE w:val="0"/>
        <w:autoSpaceDN w:val="0"/>
        <w:adjustRightInd w:val="0"/>
        <w:rPr>
          <w:rFonts w:ascii="TimesNewRoman" w:hAnsi="TimesNewRoman" w:cs="TimesNewRoman"/>
          <w:sz w:val="20"/>
          <w:szCs w:val="20"/>
          <w:lang w:val="en-GB" w:eastAsia="fr-FR"/>
        </w:rPr>
      </w:pPr>
      <w:r w:rsidRPr="00FA08A3">
        <w:rPr>
          <w:bCs/>
          <w:sz w:val="20"/>
          <w:szCs w:val="22"/>
          <w:vertAlign w:val="superscript"/>
          <w:lang w:val="en-GB"/>
        </w:rPr>
        <w:t>2</w:t>
      </w:r>
      <w:r w:rsidRPr="00FA08A3">
        <w:rPr>
          <w:b/>
          <w:sz w:val="20"/>
          <w:szCs w:val="22"/>
          <w:vertAlign w:val="superscript"/>
          <w:lang w:val="en-GB"/>
        </w:rPr>
        <w:t xml:space="preserve"> </w:t>
      </w:r>
      <w:bookmarkStart w:id="0" w:name="_Hlk238629178"/>
      <w:proofErr w:type="spellStart"/>
      <w:r w:rsidRPr="00FA08A3">
        <w:rPr>
          <w:rFonts w:ascii="TimesNewRoman" w:hAnsi="TimesNewRoman" w:cs="TimesNewRoman"/>
          <w:sz w:val="20"/>
          <w:szCs w:val="20"/>
          <w:lang w:val="en-GB" w:eastAsia="fr-FR"/>
        </w:rPr>
        <w:t>Brite</w:t>
      </w:r>
      <w:proofErr w:type="spellEnd"/>
      <w:r w:rsidRPr="00FA08A3">
        <w:rPr>
          <w:rFonts w:ascii="TimesNewRoman" w:hAnsi="TimesNewRoman" w:cs="TimesNewRoman"/>
          <w:sz w:val="20"/>
          <w:szCs w:val="20"/>
          <w:lang w:val="en-GB" w:eastAsia="fr-FR"/>
        </w:rPr>
        <w:t xml:space="preserve"> Hellas SA</w:t>
      </w:r>
      <w:bookmarkEnd w:id="0"/>
      <w:r w:rsidRPr="00FA08A3">
        <w:rPr>
          <w:rFonts w:ascii="TimesNewRoman" w:hAnsi="TimesNewRoman" w:cs="TimesNewRoman"/>
          <w:sz w:val="20"/>
          <w:szCs w:val="20"/>
          <w:lang w:val="en-GB" w:eastAsia="fr-FR"/>
        </w:rPr>
        <w:t>, Thessaloniki, Greece.</w:t>
      </w:r>
    </w:p>
    <w:p w14:paraId="36C354DF" w14:textId="3ECB2338" w:rsidR="00E56DBB" w:rsidRPr="00FA08A3" w:rsidRDefault="00E56DBB" w:rsidP="001A50A7">
      <w:pPr>
        <w:autoSpaceDE w:val="0"/>
        <w:autoSpaceDN w:val="0"/>
        <w:adjustRightInd w:val="0"/>
        <w:rPr>
          <w:b/>
          <w:sz w:val="20"/>
          <w:szCs w:val="22"/>
          <w:vertAlign w:val="superscript"/>
          <w:lang w:val="en-GB"/>
        </w:rPr>
      </w:pPr>
      <w:r w:rsidRPr="00FA08A3">
        <w:rPr>
          <w:rFonts w:ascii="TimesNewRoman" w:hAnsi="TimesNewRoman" w:cs="TimesNewRoman"/>
          <w:sz w:val="20"/>
          <w:szCs w:val="20"/>
          <w:vertAlign w:val="superscript"/>
          <w:lang w:val="en-GB" w:eastAsia="fr-FR"/>
        </w:rPr>
        <w:t>3</w:t>
      </w:r>
      <w:r w:rsidRPr="00FA08A3">
        <w:rPr>
          <w:rFonts w:ascii="TimesNewRoman" w:hAnsi="TimesNewRoman" w:cs="TimesNewRoman"/>
          <w:sz w:val="20"/>
          <w:szCs w:val="20"/>
          <w:lang w:val="en-GB" w:eastAsia="fr-FR"/>
        </w:rPr>
        <w:t xml:space="preserve"> ODTU </w:t>
      </w:r>
      <w:proofErr w:type="spellStart"/>
      <w:r w:rsidRPr="00FA08A3">
        <w:rPr>
          <w:rFonts w:ascii="TimesNewRoman" w:hAnsi="TimesNewRoman" w:cs="TimesNewRoman"/>
          <w:sz w:val="20"/>
          <w:szCs w:val="20"/>
          <w:lang w:val="en-GB" w:eastAsia="fr-FR"/>
        </w:rPr>
        <w:t>Gunes</w:t>
      </w:r>
      <w:proofErr w:type="spellEnd"/>
      <w:r w:rsidRPr="00FA08A3">
        <w:rPr>
          <w:rFonts w:ascii="TimesNewRoman" w:hAnsi="TimesNewRoman" w:cs="TimesNewRoman"/>
          <w:sz w:val="20"/>
          <w:szCs w:val="20"/>
          <w:lang w:val="en-GB" w:eastAsia="fr-FR"/>
        </w:rPr>
        <w:t xml:space="preserve"> </w:t>
      </w:r>
      <w:proofErr w:type="spellStart"/>
      <w:r w:rsidRPr="00FA08A3">
        <w:rPr>
          <w:rFonts w:ascii="TimesNewRoman" w:hAnsi="TimesNewRoman" w:cs="TimesNewRoman"/>
          <w:sz w:val="20"/>
          <w:szCs w:val="20"/>
          <w:lang w:val="en-GB" w:eastAsia="fr-FR"/>
        </w:rPr>
        <w:t>Enerjisi</w:t>
      </w:r>
      <w:proofErr w:type="spellEnd"/>
      <w:r w:rsidRPr="00FA08A3">
        <w:rPr>
          <w:rFonts w:ascii="TimesNewRoman" w:hAnsi="TimesNewRoman" w:cs="TimesNewRoman"/>
          <w:sz w:val="20"/>
          <w:szCs w:val="20"/>
          <w:lang w:val="en-GB" w:eastAsia="fr-FR"/>
        </w:rPr>
        <w:t xml:space="preserve"> </w:t>
      </w:r>
      <w:proofErr w:type="spellStart"/>
      <w:r w:rsidRPr="00FA08A3">
        <w:rPr>
          <w:rFonts w:ascii="TimesNewRoman" w:hAnsi="TimesNewRoman" w:cs="TimesNewRoman"/>
          <w:sz w:val="20"/>
          <w:szCs w:val="20"/>
          <w:lang w:val="en-GB" w:eastAsia="fr-FR"/>
        </w:rPr>
        <w:t>Uygulama</w:t>
      </w:r>
      <w:proofErr w:type="spellEnd"/>
      <w:r w:rsidRPr="00FA08A3">
        <w:rPr>
          <w:rFonts w:ascii="TimesNewRoman" w:hAnsi="TimesNewRoman" w:cs="TimesNewRoman"/>
          <w:sz w:val="20"/>
          <w:szCs w:val="20"/>
          <w:lang w:val="en-GB" w:eastAsia="fr-FR"/>
        </w:rPr>
        <w:t xml:space="preserve"> </w:t>
      </w:r>
      <w:proofErr w:type="spellStart"/>
      <w:r w:rsidRPr="00FA08A3">
        <w:rPr>
          <w:rFonts w:ascii="TimesNewRoman" w:hAnsi="TimesNewRoman" w:cs="TimesNewRoman"/>
          <w:sz w:val="20"/>
          <w:szCs w:val="20"/>
          <w:lang w:val="en-GB" w:eastAsia="fr-FR"/>
        </w:rPr>
        <w:t>ve</w:t>
      </w:r>
      <w:proofErr w:type="spellEnd"/>
      <w:r w:rsidRPr="00FA08A3">
        <w:rPr>
          <w:rFonts w:ascii="TimesNewRoman" w:hAnsi="TimesNewRoman" w:cs="TimesNewRoman"/>
          <w:sz w:val="20"/>
          <w:szCs w:val="20"/>
          <w:lang w:val="en-GB" w:eastAsia="fr-FR"/>
        </w:rPr>
        <w:t xml:space="preserve"> </w:t>
      </w:r>
      <w:proofErr w:type="spellStart"/>
      <w:r w:rsidRPr="00FA08A3">
        <w:rPr>
          <w:rFonts w:ascii="TimesNewRoman" w:hAnsi="TimesNewRoman" w:cs="TimesNewRoman"/>
          <w:sz w:val="20"/>
          <w:szCs w:val="20"/>
          <w:lang w:val="en-GB" w:eastAsia="fr-FR"/>
        </w:rPr>
        <w:t>Arastirma</w:t>
      </w:r>
      <w:proofErr w:type="spellEnd"/>
      <w:r w:rsidRPr="00FA08A3">
        <w:rPr>
          <w:rFonts w:ascii="TimesNewRoman" w:hAnsi="TimesNewRoman" w:cs="TimesNewRoman"/>
          <w:sz w:val="20"/>
          <w:szCs w:val="20"/>
          <w:lang w:val="en-GB" w:eastAsia="fr-FR"/>
        </w:rPr>
        <w:t xml:space="preserve"> </w:t>
      </w:r>
      <w:proofErr w:type="spellStart"/>
      <w:r w:rsidRPr="00FA08A3">
        <w:rPr>
          <w:rFonts w:ascii="TimesNewRoman" w:hAnsi="TimesNewRoman" w:cs="TimesNewRoman"/>
          <w:sz w:val="20"/>
          <w:szCs w:val="20"/>
          <w:lang w:val="en-GB" w:eastAsia="fr-FR"/>
        </w:rPr>
        <w:t>Merkezi</w:t>
      </w:r>
      <w:proofErr w:type="spellEnd"/>
      <w:r w:rsidRPr="00FA08A3">
        <w:rPr>
          <w:rFonts w:ascii="TimesNewRoman" w:hAnsi="TimesNewRoman" w:cs="TimesNewRoman"/>
          <w:sz w:val="20"/>
          <w:szCs w:val="20"/>
          <w:lang w:val="en-GB" w:eastAsia="fr-FR"/>
        </w:rPr>
        <w:t xml:space="preserve"> (GUNAM), </w:t>
      </w:r>
      <w:r w:rsidR="00D9521E" w:rsidRPr="00FA08A3">
        <w:rPr>
          <w:rFonts w:ascii="TimesNewRoman" w:hAnsi="TimesNewRoman" w:cs="TimesNewRoman"/>
          <w:sz w:val="20"/>
          <w:szCs w:val="20"/>
          <w:lang w:val="en-GB" w:eastAsia="fr-FR"/>
        </w:rPr>
        <w:t xml:space="preserve">Ankara, </w:t>
      </w:r>
      <w:proofErr w:type="spellStart"/>
      <w:r w:rsidR="00D9521E" w:rsidRPr="00FA08A3">
        <w:rPr>
          <w:rFonts w:ascii="TimesNewRoman" w:hAnsi="TimesNewRoman" w:cs="TimesNewRoman"/>
          <w:sz w:val="20"/>
          <w:szCs w:val="20"/>
          <w:lang w:val="en-GB" w:eastAsia="fr-FR"/>
        </w:rPr>
        <w:t>Türkiye</w:t>
      </w:r>
      <w:proofErr w:type="spellEnd"/>
      <w:r w:rsidR="007D53CE" w:rsidRPr="00FA08A3">
        <w:rPr>
          <w:rFonts w:ascii="TimesNewRoman" w:hAnsi="TimesNewRoman" w:cs="TimesNewRoman"/>
          <w:sz w:val="20"/>
          <w:szCs w:val="20"/>
          <w:lang w:val="en-GB" w:eastAsia="fr-FR"/>
        </w:rPr>
        <w:t>.</w:t>
      </w:r>
    </w:p>
    <w:p w14:paraId="6AA210C5" w14:textId="278AD785" w:rsidR="00395F5E" w:rsidRPr="00FA08A3" w:rsidRDefault="00DC79C0" w:rsidP="001A50A7">
      <w:pPr>
        <w:pStyle w:val="SWCTitle"/>
        <w:spacing w:before="0" w:after="0"/>
        <w:jc w:val="left"/>
        <w:rPr>
          <w:rFonts w:ascii="Times New Roman" w:hAnsi="Times New Roman"/>
          <w:b w:val="0"/>
          <w:sz w:val="20"/>
          <w:szCs w:val="22"/>
          <w:lang w:val="en-GB"/>
        </w:rPr>
      </w:pPr>
      <w:hyperlink r:id="rId8" w:history="1">
        <w:r w:rsidR="00D9521E" w:rsidRPr="00FA08A3">
          <w:rPr>
            <w:rStyle w:val="Hyperlink"/>
            <w:rFonts w:ascii="Times New Roman" w:hAnsi="Times New Roman"/>
            <w:b w:val="0"/>
            <w:sz w:val="20"/>
            <w:szCs w:val="22"/>
            <w:lang w:val="en-GB"/>
          </w:rPr>
          <w:t>vrikos@cres.gr</w:t>
        </w:r>
      </w:hyperlink>
      <w:r w:rsidR="00D9521E" w:rsidRPr="00FA08A3">
        <w:rPr>
          <w:rFonts w:ascii="Times New Roman" w:hAnsi="Times New Roman"/>
          <w:b w:val="0"/>
          <w:sz w:val="20"/>
          <w:szCs w:val="22"/>
          <w:lang w:val="en-GB"/>
        </w:rPr>
        <w:t xml:space="preserve">, </w:t>
      </w:r>
      <w:hyperlink r:id="rId9" w:history="1">
        <w:r w:rsidR="00D9521E" w:rsidRPr="00FA08A3">
          <w:rPr>
            <w:rStyle w:val="Hyperlink"/>
            <w:rFonts w:ascii="Times New Roman" w:hAnsi="Times New Roman"/>
            <w:b w:val="0"/>
            <w:sz w:val="20"/>
            <w:szCs w:val="22"/>
            <w:lang w:val="en-GB"/>
          </w:rPr>
          <w:t>nkanopoulos@britesolar.com</w:t>
        </w:r>
      </w:hyperlink>
      <w:r w:rsidR="00D9521E" w:rsidRPr="00FA08A3">
        <w:rPr>
          <w:rFonts w:ascii="Times New Roman" w:hAnsi="Times New Roman"/>
          <w:b w:val="0"/>
          <w:sz w:val="20"/>
          <w:szCs w:val="22"/>
          <w:lang w:val="en-GB"/>
        </w:rPr>
        <w:t xml:space="preserve">, </w:t>
      </w:r>
      <w:hyperlink r:id="rId10" w:history="1">
        <w:r w:rsidR="00D9521E" w:rsidRPr="00FA08A3">
          <w:rPr>
            <w:rStyle w:val="Hyperlink"/>
            <w:rFonts w:ascii="Times New Roman" w:hAnsi="Times New Roman"/>
            <w:b w:val="0"/>
            <w:sz w:val="20"/>
            <w:szCs w:val="22"/>
            <w:lang w:val="en-GB"/>
          </w:rPr>
          <w:t>duygu.kuzyaka@odtugunam.org</w:t>
        </w:r>
      </w:hyperlink>
      <w:r w:rsidR="00D9521E" w:rsidRPr="00FA08A3">
        <w:rPr>
          <w:rFonts w:ascii="Times New Roman" w:hAnsi="Times New Roman"/>
          <w:b w:val="0"/>
          <w:sz w:val="20"/>
          <w:szCs w:val="22"/>
          <w:lang w:val="en-GB"/>
        </w:rPr>
        <w:t xml:space="preserve">, </w:t>
      </w:r>
      <w:hyperlink r:id="rId11" w:history="1">
        <w:r w:rsidR="00D9521E" w:rsidRPr="00FA08A3">
          <w:rPr>
            <w:rStyle w:val="Hyperlink"/>
            <w:rFonts w:ascii="Times New Roman" w:hAnsi="Times New Roman"/>
            <w:b w:val="0"/>
            <w:sz w:val="20"/>
            <w:szCs w:val="22"/>
            <w:lang w:val="en-GB"/>
          </w:rPr>
          <w:t>a.kakagia@cres.gr</w:t>
        </w:r>
      </w:hyperlink>
      <w:r w:rsidR="00D9521E" w:rsidRPr="00FA08A3">
        <w:rPr>
          <w:rFonts w:ascii="Times New Roman" w:hAnsi="Times New Roman"/>
          <w:b w:val="0"/>
          <w:sz w:val="20"/>
          <w:szCs w:val="22"/>
          <w:lang w:val="en-GB"/>
        </w:rPr>
        <w:t xml:space="preserve">, </w:t>
      </w:r>
      <w:hyperlink r:id="rId12" w:history="1">
        <w:r w:rsidR="00D9521E" w:rsidRPr="00FA08A3">
          <w:rPr>
            <w:rStyle w:val="Hyperlink"/>
            <w:rFonts w:ascii="Times New Roman" w:hAnsi="Times New Roman"/>
            <w:b w:val="0"/>
            <w:sz w:val="20"/>
            <w:szCs w:val="22"/>
            <w:lang w:val="en-GB"/>
          </w:rPr>
          <w:t>drosou@cres.gr</w:t>
        </w:r>
      </w:hyperlink>
      <w:r w:rsidR="00D9521E" w:rsidRPr="00FA08A3">
        <w:rPr>
          <w:rFonts w:ascii="Times New Roman" w:hAnsi="Times New Roman"/>
          <w:b w:val="0"/>
          <w:sz w:val="20"/>
          <w:szCs w:val="22"/>
          <w:lang w:val="en-GB"/>
        </w:rPr>
        <w:t xml:space="preserve">, </w:t>
      </w:r>
      <w:hyperlink r:id="rId13" w:history="1">
        <w:r w:rsidR="00D9521E" w:rsidRPr="00FA08A3">
          <w:rPr>
            <w:rStyle w:val="Hyperlink"/>
            <w:rFonts w:ascii="Times New Roman" w:hAnsi="Times New Roman"/>
            <w:b w:val="0"/>
            <w:sz w:val="20"/>
            <w:szCs w:val="22"/>
            <w:lang w:val="en-GB"/>
          </w:rPr>
          <w:t>hande.eryilmaz@odtugunam.org</w:t>
        </w:r>
      </w:hyperlink>
      <w:r w:rsidR="00D9521E" w:rsidRPr="00FA08A3">
        <w:rPr>
          <w:rFonts w:ascii="Times New Roman" w:hAnsi="Times New Roman"/>
          <w:b w:val="0"/>
          <w:sz w:val="20"/>
          <w:szCs w:val="22"/>
          <w:lang w:val="en-GB"/>
        </w:rPr>
        <w:t xml:space="preserve"> </w:t>
      </w:r>
    </w:p>
    <w:p w14:paraId="3A7DF4B5" w14:textId="2F550BD4" w:rsidR="001A775B" w:rsidRPr="00FA08A3" w:rsidRDefault="0C3545CD" w:rsidP="0C3545CD">
      <w:pPr>
        <w:pStyle w:val="SWCSummary"/>
        <w:pBdr>
          <w:bottom w:val="single" w:sz="6" w:space="1" w:color="auto"/>
        </w:pBdr>
        <w:rPr>
          <w:lang w:val="en-GB"/>
        </w:rPr>
      </w:pPr>
      <w:r w:rsidRPr="00FA08A3">
        <w:rPr>
          <w:lang w:val="en-GB"/>
        </w:rPr>
        <w:t>Summary</w:t>
      </w:r>
      <w:r w:rsidR="00D9521E" w:rsidRPr="00FA08A3">
        <w:rPr>
          <w:lang w:val="en-GB"/>
        </w:rPr>
        <w:t xml:space="preserve"> </w:t>
      </w:r>
    </w:p>
    <w:p w14:paraId="25A540F6" w14:textId="68647299" w:rsidR="00D9521E" w:rsidRPr="00FA08A3" w:rsidRDefault="00F75B3A" w:rsidP="001A775B">
      <w:pPr>
        <w:pStyle w:val="SWCText"/>
        <w:pBdr>
          <w:bottom w:val="single" w:sz="6" w:space="1" w:color="auto"/>
        </w:pBdr>
        <w:rPr>
          <w:lang w:val="en-GB"/>
        </w:rPr>
      </w:pPr>
      <w:r>
        <w:rPr>
          <w:lang w:val="en-GB"/>
        </w:rPr>
        <w:t>The i</w:t>
      </w:r>
      <w:r w:rsidR="00D9521E" w:rsidRPr="00FA08A3">
        <w:rPr>
          <w:lang w:val="en-GB"/>
        </w:rPr>
        <w:t xml:space="preserve">ntegration of Photovoltaics applications in sectors </w:t>
      </w:r>
      <w:r w:rsidR="00E8752A" w:rsidRPr="00E8752A">
        <w:rPr>
          <w:lang w:val="en-GB"/>
        </w:rPr>
        <w:t>such as construction and agriculture for</w:t>
      </w:r>
      <w:r w:rsidR="00D9521E" w:rsidRPr="00FA08A3">
        <w:rPr>
          <w:lang w:val="en-GB"/>
        </w:rPr>
        <w:t xml:space="preserve"> energy efficient </w:t>
      </w:r>
      <w:r w:rsidR="00E8752A" w:rsidRPr="00E8752A">
        <w:rPr>
          <w:lang w:val="en-GB"/>
        </w:rPr>
        <w:t xml:space="preserve">area and land usage for </w:t>
      </w:r>
      <w:r w:rsidR="00D9521E" w:rsidRPr="00FA08A3">
        <w:rPr>
          <w:lang w:val="en-GB"/>
        </w:rPr>
        <w:t>buildings</w:t>
      </w:r>
      <w:r w:rsidR="00E8752A" w:rsidRPr="00E8752A">
        <w:t xml:space="preserve"> </w:t>
      </w:r>
      <w:r w:rsidR="00E8752A" w:rsidRPr="00E8752A">
        <w:rPr>
          <w:lang w:val="en-GB"/>
        </w:rPr>
        <w:t>and farming</w:t>
      </w:r>
      <w:r w:rsidR="00E8752A" w:rsidRPr="00E8752A">
        <w:rPr>
          <w:lang w:val="en-GB"/>
        </w:rPr>
        <w:t xml:space="preserve"> </w:t>
      </w:r>
      <w:r w:rsidR="00D9521E" w:rsidRPr="00FA08A3">
        <w:rPr>
          <w:lang w:val="en-GB"/>
        </w:rPr>
        <w:t>are of high priority for researchers and engineers. These applications are used to tackle spatial scarcity, and to optimize the design of structure</w:t>
      </w:r>
      <w:r w:rsidR="00E8752A">
        <w:rPr>
          <w:lang w:val="en-GB"/>
        </w:rPr>
        <w:t>s</w:t>
      </w:r>
      <w:r w:rsidR="00D9521E" w:rsidRPr="00FA08A3">
        <w:rPr>
          <w:lang w:val="en-GB"/>
        </w:rPr>
        <w:t xml:space="preserve"> by combining the benefits of electricity production with other application-specific parameters such as microclimate c</w:t>
      </w:r>
      <w:r w:rsidR="00B61B1E" w:rsidRPr="00FA08A3">
        <w:rPr>
          <w:lang w:val="en-GB"/>
        </w:rPr>
        <w:t>reation</w:t>
      </w:r>
      <w:r w:rsidR="00D9521E" w:rsidRPr="00FA08A3">
        <w:rPr>
          <w:lang w:val="en-GB"/>
        </w:rPr>
        <w:t xml:space="preserve">. In this context, the specific study addresses the use of </w:t>
      </w:r>
      <w:r w:rsidR="003C28AB" w:rsidRPr="003C28AB">
        <w:rPr>
          <w:lang w:val="en-GB"/>
        </w:rPr>
        <w:t>Photovoltaic</w:t>
      </w:r>
      <w:r w:rsidR="003C28AB">
        <w:rPr>
          <w:lang w:val="en-GB"/>
        </w:rPr>
        <w:t>s</w:t>
      </w:r>
      <w:r w:rsidR="003C28AB" w:rsidRPr="003C28AB">
        <w:rPr>
          <w:lang w:val="en-GB"/>
        </w:rPr>
        <w:t xml:space="preserve"> </w:t>
      </w:r>
      <w:r w:rsidR="003C28AB">
        <w:rPr>
          <w:lang w:val="en-GB"/>
        </w:rPr>
        <w:t>(</w:t>
      </w:r>
      <w:r w:rsidR="00D9521E" w:rsidRPr="00FA08A3">
        <w:rPr>
          <w:lang w:val="en-GB"/>
        </w:rPr>
        <w:t>PVs</w:t>
      </w:r>
      <w:r w:rsidR="003C28AB">
        <w:rPr>
          <w:lang w:val="en-GB"/>
        </w:rPr>
        <w:t>)</w:t>
      </w:r>
      <w:r w:rsidR="00D9521E" w:rsidRPr="00FA08A3">
        <w:rPr>
          <w:lang w:val="en-GB"/>
        </w:rPr>
        <w:t xml:space="preserve"> in agricultural applications also known as </w:t>
      </w:r>
      <w:proofErr w:type="spellStart"/>
      <w:r w:rsidR="00D9521E" w:rsidRPr="00FA08A3">
        <w:rPr>
          <w:lang w:val="en-GB"/>
        </w:rPr>
        <w:t>agrivoltaics</w:t>
      </w:r>
      <w:proofErr w:type="spellEnd"/>
      <w:r w:rsidR="00D9521E" w:rsidRPr="00FA08A3">
        <w:rPr>
          <w:lang w:val="en-GB"/>
        </w:rPr>
        <w:t>. The specific concept is gaining momentum among researches and engineers due to its high potential that enables a number of benefits connected to farming and energy production in rural and peri-urban are</w:t>
      </w:r>
      <w:r w:rsidR="00807DBA" w:rsidRPr="00FA08A3">
        <w:rPr>
          <w:lang w:val="en-GB"/>
        </w:rPr>
        <w:t>a</w:t>
      </w:r>
      <w:r w:rsidR="00D9521E" w:rsidRPr="00FA08A3">
        <w:rPr>
          <w:lang w:val="en-GB"/>
        </w:rPr>
        <w:t>s</w:t>
      </w:r>
      <w:r w:rsidR="00807DBA" w:rsidRPr="00FA08A3">
        <w:rPr>
          <w:lang w:val="en-GB"/>
        </w:rPr>
        <w:t>.</w:t>
      </w:r>
      <w:r w:rsidR="00D9521E" w:rsidRPr="00FA08A3">
        <w:rPr>
          <w:lang w:val="en-GB"/>
        </w:rPr>
        <w:t xml:space="preserve"> </w:t>
      </w:r>
      <w:r w:rsidR="009C742A">
        <w:rPr>
          <w:lang w:val="en-GB"/>
        </w:rPr>
        <w:t>In this study, emphasis is placed on</w:t>
      </w:r>
      <w:r w:rsidR="00D9521E" w:rsidRPr="00FA08A3">
        <w:rPr>
          <w:lang w:val="en-GB"/>
        </w:rPr>
        <w:t xml:space="preserve"> parametric analysis of the design requirements and the selection of novel products that lead to an optimal use of </w:t>
      </w:r>
      <w:r w:rsidR="003C28AB">
        <w:rPr>
          <w:lang w:val="en-GB"/>
        </w:rPr>
        <w:t>P</w:t>
      </w:r>
      <w:r w:rsidR="00D9521E" w:rsidRPr="00FA08A3">
        <w:rPr>
          <w:lang w:val="en-GB"/>
        </w:rPr>
        <w:t>V</w:t>
      </w:r>
      <w:r w:rsidR="00600784">
        <w:rPr>
          <w:lang w:val="en-GB"/>
        </w:rPr>
        <w:t xml:space="preserve"> systems</w:t>
      </w:r>
      <w:r w:rsidR="00D9521E" w:rsidRPr="00FA08A3">
        <w:rPr>
          <w:lang w:val="en-GB"/>
        </w:rPr>
        <w:t xml:space="preserve"> in order to improve specific conditions </w:t>
      </w:r>
      <w:r w:rsidR="00600784">
        <w:rPr>
          <w:lang w:val="en-GB"/>
        </w:rPr>
        <w:t>for</w:t>
      </w:r>
      <w:r w:rsidR="00D9521E" w:rsidRPr="00FA08A3">
        <w:rPr>
          <w:lang w:val="en-GB"/>
        </w:rPr>
        <w:t xml:space="preserve"> the crop. The analysis includes assessment of technoeconomic, regulatory, and other </w:t>
      </w:r>
      <w:r w:rsidR="004B501B">
        <w:rPr>
          <w:lang w:val="en-GB"/>
        </w:rPr>
        <w:t xml:space="preserve">critical </w:t>
      </w:r>
      <w:r w:rsidR="00D9521E" w:rsidRPr="00FA08A3">
        <w:rPr>
          <w:lang w:val="en-GB"/>
        </w:rPr>
        <w:t>aspects that engineers</w:t>
      </w:r>
      <w:r w:rsidR="004B501B">
        <w:rPr>
          <w:lang w:val="en-GB"/>
        </w:rPr>
        <w:t xml:space="preserve"> and other relevant stakeholders</w:t>
      </w:r>
      <w:r w:rsidR="00D9521E" w:rsidRPr="00FA08A3">
        <w:rPr>
          <w:lang w:val="en-GB"/>
        </w:rPr>
        <w:t xml:space="preserve"> should consider towards optimal selection of </w:t>
      </w:r>
      <w:r w:rsidR="00AC0FDE">
        <w:rPr>
          <w:lang w:val="en-GB"/>
        </w:rPr>
        <w:t>an</w:t>
      </w:r>
      <w:r w:rsidR="00D9521E" w:rsidRPr="00FA08A3">
        <w:rPr>
          <w:lang w:val="en-GB"/>
        </w:rPr>
        <w:t xml:space="preserve"> </w:t>
      </w:r>
      <w:proofErr w:type="spellStart"/>
      <w:r w:rsidR="00D9521E" w:rsidRPr="00FA08A3">
        <w:rPr>
          <w:lang w:val="en-GB"/>
        </w:rPr>
        <w:t>AgriPV</w:t>
      </w:r>
      <w:proofErr w:type="spellEnd"/>
      <w:r w:rsidR="00D9521E" w:rsidRPr="00FA08A3">
        <w:rPr>
          <w:lang w:val="en-GB"/>
        </w:rPr>
        <w:t xml:space="preserve"> design, </w:t>
      </w:r>
      <w:r w:rsidR="00F0333F" w:rsidRPr="00F0333F">
        <w:rPr>
          <w:lang w:val="en-GB"/>
        </w:rPr>
        <w:t xml:space="preserve">in reference to a </w:t>
      </w:r>
      <w:r w:rsidR="00D9521E" w:rsidRPr="00FA08A3">
        <w:rPr>
          <w:lang w:val="en-GB"/>
        </w:rPr>
        <w:t>proposed setup</w:t>
      </w:r>
      <w:r w:rsidR="00F0333F">
        <w:rPr>
          <w:lang w:val="en-GB"/>
        </w:rPr>
        <w:t>, which</w:t>
      </w:r>
      <w:r w:rsidR="00D9521E" w:rsidRPr="00FA08A3">
        <w:rPr>
          <w:lang w:val="en-GB"/>
        </w:rPr>
        <w:t xml:space="preserve"> makes use of new types of PV modules and supporting structures. Even though the analysis is </w:t>
      </w:r>
      <w:r w:rsidR="00F0333F">
        <w:rPr>
          <w:lang w:val="en-GB"/>
        </w:rPr>
        <w:t>particular to</w:t>
      </w:r>
      <w:r w:rsidR="00D9521E" w:rsidRPr="00FA08A3">
        <w:rPr>
          <w:lang w:val="en-GB"/>
        </w:rPr>
        <w:t xml:space="preserve"> </w:t>
      </w:r>
      <w:proofErr w:type="spellStart"/>
      <w:r w:rsidR="00D9521E" w:rsidRPr="00FA08A3">
        <w:rPr>
          <w:lang w:val="en-GB"/>
        </w:rPr>
        <w:t>AgriPVs</w:t>
      </w:r>
      <w:proofErr w:type="spellEnd"/>
      <w:r w:rsidR="00D9521E" w:rsidRPr="00FA08A3">
        <w:rPr>
          <w:lang w:val="en-GB"/>
        </w:rPr>
        <w:t xml:space="preserve">, the approach is potentially replicable in other sectors such as Building Integrated PVs.   </w:t>
      </w:r>
    </w:p>
    <w:p w14:paraId="2C507E47" w14:textId="183685B2" w:rsidR="00D9521E" w:rsidRPr="00FA08A3" w:rsidRDefault="00D9521E" w:rsidP="00D9521E">
      <w:pPr>
        <w:pStyle w:val="SWCText"/>
        <w:pBdr>
          <w:bottom w:val="single" w:sz="6" w:space="1" w:color="auto"/>
        </w:pBdr>
        <w:rPr>
          <w:i/>
          <w:iCs/>
          <w:lang w:val="en-GB"/>
        </w:rPr>
      </w:pPr>
      <w:r w:rsidRPr="00FA08A3">
        <w:rPr>
          <w:i/>
          <w:iCs/>
          <w:lang w:val="en-GB"/>
        </w:rPr>
        <w:t xml:space="preserve">Keywords: Photovoltaics, </w:t>
      </w:r>
      <w:proofErr w:type="spellStart"/>
      <w:r w:rsidRPr="00FA08A3">
        <w:rPr>
          <w:i/>
          <w:iCs/>
          <w:lang w:val="en-GB"/>
        </w:rPr>
        <w:t>Agrivoltaics</w:t>
      </w:r>
      <w:proofErr w:type="spellEnd"/>
      <w:r w:rsidRPr="00FA08A3">
        <w:rPr>
          <w:i/>
          <w:iCs/>
          <w:lang w:val="en-GB"/>
        </w:rPr>
        <w:t xml:space="preserve">, PV </w:t>
      </w:r>
      <w:r w:rsidR="004647A1" w:rsidRPr="00FA08A3">
        <w:rPr>
          <w:i/>
          <w:iCs/>
          <w:lang w:val="en-GB"/>
        </w:rPr>
        <w:t>M</w:t>
      </w:r>
      <w:r w:rsidRPr="00FA08A3">
        <w:rPr>
          <w:i/>
          <w:iCs/>
          <w:lang w:val="en-GB"/>
        </w:rPr>
        <w:t xml:space="preserve">odules, </w:t>
      </w:r>
      <w:r w:rsidR="004647A1" w:rsidRPr="00FA08A3">
        <w:rPr>
          <w:i/>
          <w:iCs/>
          <w:lang w:val="en-GB"/>
        </w:rPr>
        <w:t>S</w:t>
      </w:r>
      <w:r w:rsidRPr="00FA08A3">
        <w:rPr>
          <w:i/>
          <w:iCs/>
          <w:lang w:val="en-GB"/>
        </w:rPr>
        <w:t xml:space="preserve">upport </w:t>
      </w:r>
      <w:r w:rsidR="004647A1" w:rsidRPr="00FA08A3">
        <w:rPr>
          <w:i/>
          <w:iCs/>
          <w:lang w:val="en-GB"/>
        </w:rPr>
        <w:t>S</w:t>
      </w:r>
      <w:r w:rsidRPr="00FA08A3">
        <w:rPr>
          <w:i/>
          <w:iCs/>
          <w:lang w:val="en-GB"/>
        </w:rPr>
        <w:t>tructures.</w:t>
      </w:r>
    </w:p>
    <w:p w14:paraId="27092510" w14:textId="12EED2C5" w:rsidR="00D9521E" w:rsidRPr="00FA08A3" w:rsidRDefault="00D9521E" w:rsidP="00D9521E">
      <w:pPr>
        <w:pStyle w:val="SWCText"/>
        <w:pBdr>
          <w:bottom w:val="single" w:sz="6" w:space="1" w:color="auto"/>
        </w:pBdr>
        <w:rPr>
          <w:i/>
          <w:iCs/>
          <w:lang w:val="en-GB"/>
        </w:rPr>
      </w:pPr>
      <w:r w:rsidRPr="00FA08A3">
        <w:rPr>
          <w:i/>
          <w:iCs/>
          <w:lang w:val="en-GB"/>
        </w:rPr>
        <w:t>Field of application for the findings: Farming, Energy Production, Rural Areas, Peri</w:t>
      </w:r>
      <w:r w:rsidR="00807DBA" w:rsidRPr="00FA08A3">
        <w:rPr>
          <w:i/>
          <w:iCs/>
          <w:lang w:val="en-GB"/>
        </w:rPr>
        <w:t>-</w:t>
      </w:r>
      <w:r w:rsidRPr="00FA08A3">
        <w:rPr>
          <w:i/>
          <w:iCs/>
          <w:lang w:val="en-GB"/>
        </w:rPr>
        <w:t>urban Areas.</w:t>
      </w:r>
    </w:p>
    <w:p w14:paraId="185A319D" w14:textId="24DFA44A" w:rsidR="002C089D" w:rsidRPr="00FA08A3" w:rsidRDefault="00D9521E" w:rsidP="00D9521E">
      <w:pPr>
        <w:pStyle w:val="SWCText"/>
        <w:pBdr>
          <w:bottom w:val="single" w:sz="6" w:space="1" w:color="auto"/>
        </w:pBdr>
        <w:rPr>
          <w:i/>
          <w:iCs/>
          <w:lang w:val="en-GB"/>
        </w:rPr>
      </w:pPr>
      <w:r w:rsidRPr="00FA08A3">
        <w:rPr>
          <w:i/>
          <w:iCs/>
          <w:lang w:val="en-GB"/>
        </w:rPr>
        <w:t>Addressed audience: Engineers, Researchers.</w:t>
      </w:r>
    </w:p>
    <w:p w14:paraId="378F0C31" w14:textId="07E4AD59" w:rsidR="00D32EF0" w:rsidRPr="00FA08A3" w:rsidRDefault="00150385" w:rsidP="00490F10">
      <w:pPr>
        <w:pStyle w:val="SWCHeading1"/>
        <w:rPr>
          <w:lang w:val="en-GB"/>
        </w:rPr>
      </w:pPr>
      <w:bookmarkStart w:id="1" w:name="_Hlk238453746"/>
      <w:r w:rsidRPr="00FA08A3">
        <w:rPr>
          <w:lang w:val="en-GB"/>
        </w:rPr>
        <w:t>Introduction</w:t>
      </w:r>
    </w:p>
    <w:bookmarkEnd w:id="1"/>
    <w:p w14:paraId="6B0A7384" w14:textId="7AD2E2AF" w:rsidR="00150385" w:rsidRPr="00FA08A3" w:rsidRDefault="00150385" w:rsidP="00150385">
      <w:pPr>
        <w:pStyle w:val="SWCText"/>
        <w:rPr>
          <w:lang w:val="en-GB"/>
        </w:rPr>
      </w:pPr>
      <w:r w:rsidRPr="00FA08A3">
        <w:rPr>
          <w:lang w:val="en-GB"/>
        </w:rPr>
        <w:t>Environmental concerns</w:t>
      </w:r>
      <w:r w:rsidR="00B61B1E" w:rsidRPr="00FA08A3">
        <w:rPr>
          <w:lang w:val="en-GB"/>
        </w:rPr>
        <w:t>,</w:t>
      </w:r>
      <w:r w:rsidRPr="00FA08A3">
        <w:rPr>
          <w:lang w:val="en-GB"/>
        </w:rPr>
        <w:t xml:space="preserve"> including CO2 emissions and scarcity of energy reserves</w:t>
      </w:r>
      <w:r w:rsidR="00B61B1E" w:rsidRPr="00FA08A3">
        <w:rPr>
          <w:lang w:val="en-GB"/>
        </w:rPr>
        <w:t>,</w:t>
      </w:r>
      <w:r w:rsidRPr="00FA08A3">
        <w:rPr>
          <w:lang w:val="en-GB"/>
        </w:rPr>
        <w:t xml:space="preserve"> have led to the ever-expanding usage of Renewable Energy Sources (RES). Policies at national, EU, and international level foresee specific targets regarding the CO2 emissions reduction by 2030 and 2050 (European Commission, 2</w:t>
      </w:r>
      <w:r w:rsidR="00E44FEC" w:rsidRPr="00FA08A3">
        <w:rPr>
          <w:lang w:val="en-GB"/>
        </w:rPr>
        <w:t>019</w:t>
      </w:r>
      <w:r w:rsidR="00931FF9" w:rsidRPr="00FA08A3">
        <w:rPr>
          <w:lang w:val="en-GB"/>
        </w:rPr>
        <w:t>,</w:t>
      </w:r>
      <w:r w:rsidR="00E44FEC" w:rsidRPr="00FA08A3">
        <w:rPr>
          <w:lang w:val="en-GB"/>
        </w:rPr>
        <w:t xml:space="preserve"> 2020</w:t>
      </w:r>
      <w:r w:rsidRPr="00FA08A3">
        <w:rPr>
          <w:lang w:val="en-GB"/>
        </w:rPr>
        <w:t>).</w:t>
      </w:r>
      <w:r w:rsidR="00162F75" w:rsidRPr="00FA08A3">
        <w:rPr>
          <w:lang w:val="en-GB"/>
        </w:rPr>
        <w:t xml:space="preserve"> These plans foresee a reduction in the </w:t>
      </w:r>
      <w:r w:rsidR="00CD2F0C">
        <w:rPr>
          <w:lang w:val="en-GB"/>
        </w:rPr>
        <w:t>g</w:t>
      </w:r>
      <w:r w:rsidR="00162F75" w:rsidRPr="00FA08A3">
        <w:rPr>
          <w:lang w:val="en-GB"/>
        </w:rPr>
        <w:t>reen</w:t>
      </w:r>
      <w:r w:rsidR="00CD2F0C">
        <w:rPr>
          <w:lang w:val="en-GB"/>
        </w:rPr>
        <w:t>h</w:t>
      </w:r>
      <w:r w:rsidR="00162F75" w:rsidRPr="00FA08A3">
        <w:rPr>
          <w:lang w:val="en-GB"/>
        </w:rPr>
        <w:t xml:space="preserve">ouse </w:t>
      </w:r>
      <w:r w:rsidR="00CD2F0C">
        <w:rPr>
          <w:lang w:val="en-GB"/>
        </w:rPr>
        <w:t>g</w:t>
      </w:r>
      <w:r w:rsidR="00162F75" w:rsidRPr="00FA08A3">
        <w:rPr>
          <w:lang w:val="en-GB"/>
        </w:rPr>
        <w:t>as emissions of</w:t>
      </w:r>
      <w:r w:rsidR="00CD2F0C">
        <w:rPr>
          <w:lang w:val="en-GB"/>
        </w:rPr>
        <w:t xml:space="preserve"> at</w:t>
      </w:r>
      <w:r w:rsidR="00162F75" w:rsidRPr="00FA08A3">
        <w:rPr>
          <w:lang w:val="en-GB"/>
        </w:rPr>
        <w:t xml:space="preserve"> 55% by 2030 </w:t>
      </w:r>
      <w:r w:rsidR="00CD2F0C">
        <w:rPr>
          <w:lang w:val="en-GB"/>
        </w:rPr>
        <w:t>climate neutrality</w:t>
      </w:r>
      <w:r w:rsidR="00162F75" w:rsidRPr="00FA08A3">
        <w:rPr>
          <w:lang w:val="en-GB"/>
        </w:rPr>
        <w:t xml:space="preserve"> by 2050 compared to the 1990 levels.</w:t>
      </w:r>
      <w:r w:rsidRPr="00FA08A3">
        <w:rPr>
          <w:lang w:val="en-GB"/>
        </w:rPr>
        <w:t xml:space="preserve"> With the rapid growth of RES applications, such as Photovoltaics, specific needs and constraints emerge. A case in point is the local generation of electricity for use on the spot by the owner of the PV installation in a self-consumption </w:t>
      </w:r>
      <w:r w:rsidR="00415672" w:rsidRPr="00FA08A3">
        <w:rPr>
          <w:lang w:val="en-GB"/>
        </w:rPr>
        <w:t>approach</w:t>
      </w:r>
      <w:r w:rsidRPr="00FA08A3">
        <w:rPr>
          <w:lang w:val="en-GB"/>
        </w:rPr>
        <w:t xml:space="preserve">. The PV installations for </w:t>
      </w:r>
      <w:r w:rsidR="00483249" w:rsidRPr="00FA08A3">
        <w:rPr>
          <w:lang w:val="en-GB"/>
        </w:rPr>
        <w:t>local self-consumption come in a diversity of schemes that can be divided into individual or collective ones. Characteristic examples include individual self-consumption via net-metering and net-billing (</w:t>
      </w:r>
      <w:proofErr w:type="spellStart"/>
      <w:r w:rsidR="00483249" w:rsidRPr="00FA08A3">
        <w:rPr>
          <w:lang w:val="en-GB"/>
        </w:rPr>
        <w:t>Trela</w:t>
      </w:r>
      <w:proofErr w:type="spellEnd"/>
      <w:r w:rsidR="00483249" w:rsidRPr="00FA08A3">
        <w:rPr>
          <w:lang w:val="en-GB"/>
        </w:rPr>
        <w:t xml:space="preserve"> and </w:t>
      </w:r>
      <w:proofErr w:type="spellStart"/>
      <w:r w:rsidR="00483249" w:rsidRPr="00FA08A3">
        <w:rPr>
          <w:lang w:val="en-GB"/>
        </w:rPr>
        <w:t>Dubel</w:t>
      </w:r>
      <w:proofErr w:type="spellEnd"/>
      <w:r w:rsidR="00483249" w:rsidRPr="00FA08A3">
        <w:rPr>
          <w:lang w:val="en-GB"/>
        </w:rPr>
        <w:t>, 2022), and collective self-consumption via schemes like Renewable Energy Communities (European Commission, 2018) or more advanced power system structures such as microgrids (</w:t>
      </w:r>
      <w:proofErr w:type="spellStart"/>
      <w:r w:rsidR="00483249" w:rsidRPr="00FA08A3">
        <w:rPr>
          <w:lang w:val="en-GB"/>
        </w:rPr>
        <w:t>Hatziargyriou</w:t>
      </w:r>
      <w:proofErr w:type="spellEnd"/>
      <w:r w:rsidR="00483249" w:rsidRPr="00FA08A3">
        <w:rPr>
          <w:lang w:val="en-GB"/>
        </w:rPr>
        <w:t xml:space="preserve"> et al., 2014).</w:t>
      </w:r>
    </w:p>
    <w:p w14:paraId="0AFE8D36" w14:textId="67DADAC2" w:rsidR="00150385" w:rsidRPr="00FA08A3" w:rsidRDefault="00365424" w:rsidP="00150385">
      <w:pPr>
        <w:pStyle w:val="SWCText"/>
        <w:rPr>
          <w:lang w:val="en-GB"/>
        </w:rPr>
      </w:pPr>
      <w:r>
        <w:rPr>
          <w:lang w:val="en-GB"/>
        </w:rPr>
        <w:t>Moreover, t</w:t>
      </w:r>
      <w:r w:rsidR="00150385" w:rsidRPr="00FA08A3">
        <w:rPr>
          <w:lang w:val="en-GB"/>
        </w:rPr>
        <w:t xml:space="preserve">he use of private PV installations for covering </w:t>
      </w:r>
      <w:r w:rsidR="00CE473F">
        <w:rPr>
          <w:lang w:val="en-GB"/>
        </w:rPr>
        <w:t xml:space="preserve">their </w:t>
      </w:r>
      <w:r w:rsidR="00150385" w:rsidRPr="00FA08A3">
        <w:rPr>
          <w:lang w:val="en-GB"/>
        </w:rPr>
        <w:t xml:space="preserve">own energy needs </w:t>
      </w:r>
      <w:r w:rsidR="00BF042C" w:rsidRPr="00FA08A3">
        <w:rPr>
          <w:lang w:val="en-GB"/>
        </w:rPr>
        <w:t>has been proven to be</w:t>
      </w:r>
      <w:r w:rsidR="00150385" w:rsidRPr="00FA08A3">
        <w:rPr>
          <w:lang w:val="en-GB"/>
        </w:rPr>
        <w:t xml:space="preserve"> a very efficient method, </w:t>
      </w:r>
      <w:r w:rsidR="00BF042C" w:rsidRPr="00FA08A3">
        <w:rPr>
          <w:lang w:val="en-GB"/>
        </w:rPr>
        <w:t>leading to</w:t>
      </w:r>
      <w:r w:rsidR="00415672" w:rsidRPr="00FA08A3">
        <w:rPr>
          <w:lang w:val="en-GB"/>
        </w:rPr>
        <w:t xml:space="preserve"> its</w:t>
      </w:r>
      <w:r w:rsidR="00BF042C" w:rsidRPr="00FA08A3">
        <w:rPr>
          <w:lang w:val="en-GB"/>
        </w:rPr>
        <w:t xml:space="preserve"> increased popularity among energy saving </w:t>
      </w:r>
      <w:r w:rsidR="00CE473F">
        <w:rPr>
          <w:lang w:val="en-GB"/>
        </w:rPr>
        <w:t>approaches</w:t>
      </w:r>
      <w:r w:rsidR="00BF042C" w:rsidRPr="00FA08A3">
        <w:rPr>
          <w:lang w:val="en-GB"/>
        </w:rPr>
        <w:t xml:space="preserve"> in the residential, building, and other </w:t>
      </w:r>
      <w:r w:rsidR="00CF2B1E">
        <w:rPr>
          <w:lang w:val="en-GB"/>
        </w:rPr>
        <w:t>urban planning practices</w:t>
      </w:r>
      <w:r w:rsidR="00BF042C" w:rsidRPr="00FA08A3">
        <w:rPr>
          <w:lang w:val="en-GB"/>
        </w:rPr>
        <w:t xml:space="preserve">. However, this popularity results in specific </w:t>
      </w:r>
      <w:r w:rsidR="008F4831" w:rsidRPr="00FA08A3">
        <w:rPr>
          <w:lang w:val="en-GB"/>
        </w:rPr>
        <w:t>challenges</w:t>
      </w:r>
      <w:r w:rsidR="00415672" w:rsidRPr="00FA08A3">
        <w:rPr>
          <w:lang w:val="en-GB"/>
        </w:rPr>
        <w:t xml:space="preserve"> too</w:t>
      </w:r>
      <w:r w:rsidR="00150385" w:rsidRPr="00FA08A3">
        <w:rPr>
          <w:lang w:val="en-GB"/>
        </w:rPr>
        <w:t xml:space="preserve"> </w:t>
      </w:r>
      <w:r w:rsidR="008F4831" w:rsidRPr="00FA08A3">
        <w:rPr>
          <w:lang w:val="en-GB"/>
        </w:rPr>
        <w:t>that</w:t>
      </w:r>
      <w:r w:rsidR="00150385" w:rsidRPr="00FA08A3">
        <w:rPr>
          <w:lang w:val="en-GB"/>
        </w:rPr>
        <w:t xml:space="preserve"> call for </w:t>
      </w:r>
      <w:r w:rsidR="00BF042C" w:rsidRPr="00FA08A3">
        <w:rPr>
          <w:lang w:val="en-GB"/>
        </w:rPr>
        <w:t xml:space="preserve">more holistic </w:t>
      </w:r>
      <w:r w:rsidR="00150385" w:rsidRPr="00FA08A3">
        <w:rPr>
          <w:lang w:val="en-GB"/>
        </w:rPr>
        <w:t>design</w:t>
      </w:r>
      <w:r w:rsidR="00BF042C" w:rsidRPr="00FA08A3">
        <w:rPr>
          <w:lang w:val="en-GB"/>
        </w:rPr>
        <w:t xml:space="preserve"> approaches. These approaches take into account </w:t>
      </w:r>
      <w:r w:rsidR="00415672" w:rsidRPr="00FA08A3">
        <w:rPr>
          <w:lang w:val="en-GB"/>
        </w:rPr>
        <w:t xml:space="preserve">not </w:t>
      </w:r>
      <w:r w:rsidR="00BF042C" w:rsidRPr="00FA08A3">
        <w:rPr>
          <w:lang w:val="en-GB"/>
        </w:rPr>
        <w:t>only the optimization of the PV installation but also other crucial parameters related to the specific application</w:t>
      </w:r>
      <w:r w:rsidR="008F4831" w:rsidRPr="00FA08A3">
        <w:rPr>
          <w:lang w:val="en-GB"/>
        </w:rPr>
        <w:t xml:space="preserve">. </w:t>
      </w:r>
      <w:r w:rsidR="00150385" w:rsidRPr="00FA08A3">
        <w:rPr>
          <w:lang w:val="en-GB"/>
        </w:rPr>
        <w:t xml:space="preserve"> </w:t>
      </w:r>
      <w:r w:rsidR="00BF042C" w:rsidRPr="00FA08A3">
        <w:rPr>
          <w:lang w:val="en-GB"/>
        </w:rPr>
        <w:t>To this end</w:t>
      </w:r>
      <w:r w:rsidR="00415672" w:rsidRPr="00FA08A3">
        <w:rPr>
          <w:lang w:val="en-GB"/>
        </w:rPr>
        <w:t>,</w:t>
      </w:r>
      <w:r w:rsidR="00150385" w:rsidRPr="00FA08A3">
        <w:rPr>
          <w:lang w:val="en-GB"/>
        </w:rPr>
        <w:t xml:space="preserve"> integration of the PV installation into the area of use</w:t>
      </w:r>
      <w:r w:rsidR="00BF042C" w:rsidRPr="00FA08A3">
        <w:rPr>
          <w:lang w:val="en-GB"/>
        </w:rPr>
        <w:t xml:space="preserve"> has become very important in recent decades</w:t>
      </w:r>
      <w:r w:rsidR="00150385" w:rsidRPr="00FA08A3">
        <w:rPr>
          <w:lang w:val="en-GB"/>
        </w:rPr>
        <w:t xml:space="preserve">. Two particularly interesting areas of PV integration include Building Integrated PVs (BIPVs) and </w:t>
      </w:r>
      <w:proofErr w:type="spellStart"/>
      <w:r w:rsidR="00150385" w:rsidRPr="00FA08A3">
        <w:rPr>
          <w:lang w:val="en-GB"/>
        </w:rPr>
        <w:t>Agrivoltaics</w:t>
      </w:r>
      <w:proofErr w:type="spellEnd"/>
      <w:r w:rsidR="00150385" w:rsidRPr="00FA08A3">
        <w:rPr>
          <w:lang w:val="en-GB"/>
        </w:rPr>
        <w:t xml:space="preserve"> (</w:t>
      </w:r>
      <w:proofErr w:type="spellStart"/>
      <w:r w:rsidR="00150385" w:rsidRPr="00FA08A3">
        <w:rPr>
          <w:lang w:val="en-GB"/>
        </w:rPr>
        <w:t>AgriPVs</w:t>
      </w:r>
      <w:proofErr w:type="spellEnd"/>
      <w:r w:rsidR="00150385" w:rsidRPr="00FA08A3">
        <w:rPr>
          <w:lang w:val="en-GB"/>
        </w:rPr>
        <w:t xml:space="preserve">), whereas other </w:t>
      </w:r>
      <w:r w:rsidR="00626B25">
        <w:rPr>
          <w:lang w:val="en-GB"/>
        </w:rPr>
        <w:t xml:space="preserve">emerging </w:t>
      </w:r>
      <w:r w:rsidR="00150385" w:rsidRPr="00FA08A3">
        <w:rPr>
          <w:lang w:val="en-GB"/>
        </w:rPr>
        <w:t xml:space="preserve">similar </w:t>
      </w:r>
      <w:r w:rsidR="00150385" w:rsidRPr="00FA08A3">
        <w:rPr>
          <w:lang w:val="en-GB"/>
        </w:rPr>
        <w:lastRenderedPageBreak/>
        <w:t>approaches include floating PVs</w:t>
      </w:r>
      <w:r w:rsidR="00626B25">
        <w:rPr>
          <w:lang w:val="en-GB"/>
        </w:rPr>
        <w:t xml:space="preserve"> and</w:t>
      </w:r>
      <w:r w:rsidR="00150385" w:rsidRPr="00FA08A3">
        <w:rPr>
          <w:lang w:val="en-GB"/>
        </w:rPr>
        <w:t xml:space="preserve"> Vehicle Integrated PVs (VIPVs), </w:t>
      </w:r>
      <w:r w:rsidR="00626B25">
        <w:rPr>
          <w:lang w:val="en-GB"/>
        </w:rPr>
        <w:t>to name a few</w:t>
      </w:r>
      <w:r w:rsidR="00150385" w:rsidRPr="00FA08A3">
        <w:rPr>
          <w:lang w:val="en-GB"/>
        </w:rPr>
        <w:t xml:space="preserve">. The main issues connected to these sectors and the reasons that have led the research and engineering community into exploring integrated PV applications are the following: </w:t>
      </w:r>
    </w:p>
    <w:p w14:paraId="627C06A4" w14:textId="0EF64E4C" w:rsidR="00150385" w:rsidRPr="00FA08A3" w:rsidRDefault="00150385" w:rsidP="00740AF3">
      <w:pPr>
        <w:pStyle w:val="SWCBulletedList"/>
        <w:jc w:val="both"/>
        <w:rPr>
          <w:lang w:val="en-GB"/>
        </w:rPr>
      </w:pPr>
      <w:r w:rsidRPr="00FA08A3">
        <w:rPr>
          <w:lang w:val="en-GB"/>
        </w:rPr>
        <w:t xml:space="preserve">Spatial scarcity, namely lack of available surfaces that could be used for the installation of the PVs </w:t>
      </w:r>
      <w:r w:rsidR="00BF042C" w:rsidRPr="00FA08A3">
        <w:rPr>
          <w:lang w:val="en-GB"/>
        </w:rPr>
        <w:t>(</w:t>
      </w:r>
      <w:bookmarkStart w:id="2" w:name="_Hlk238204597"/>
      <w:proofErr w:type="spellStart"/>
      <w:r w:rsidR="00BF042C" w:rsidRPr="00FA08A3">
        <w:rPr>
          <w:lang w:val="en-GB"/>
        </w:rPr>
        <w:t>Zainali</w:t>
      </w:r>
      <w:proofErr w:type="spellEnd"/>
      <w:r w:rsidR="00BF042C" w:rsidRPr="00FA08A3">
        <w:rPr>
          <w:lang w:val="en-GB"/>
        </w:rPr>
        <w:t xml:space="preserve"> et al., 2025</w:t>
      </w:r>
      <w:bookmarkEnd w:id="2"/>
      <w:r w:rsidR="00BF042C" w:rsidRPr="00FA08A3">
        <w:rPr>
          <w:lang w:val="en-GB"/>
        </w:rPr>
        <w:t>)</w:t>
      </w:r>
      <w:r w:rsidRPr="00FA08A3">
        <w:rPr>
          <w:lang w:val="en-GB"/>
        </w:rPr>
        <w:t>, and,</w:t>
      </w:r>
    </w:p>
    <w:p w14:paraId="4B1799FE" w14:textId="31259B89" w:rsidR="00150385" w:rsidRPr="00FA08A3" w:rsidRDefault="00150385" w:rsidP="00740AF3">
      <w:pPr>
        <w:pStyle w:val="SWCBulletedList"/>
        <w:jc w:val="both"/>
        <w:rPr>
          <w:lang w:val="en-GB"/>
        </w:rPr>
      </w:pPr>
      <w:r w:rsidRPr="00FA08A3">
        <w:rPr>
          <w:lang w:val="en-GB"/>
        </w:rPr>
        <w:t xml:space="preserve">Impact of the PV installation on the occupied space underneath </w:t>
      </w:r>
      <w:r w:rsidR="00BA75E7" w:rsidRPr="00FA08A3">
        <w:rPr>
          <w:lang w:val="en-GB"/>
        </w:rPr>
        <w:t>(</w:t>
      </w:r>
      <w:proofErr w:type="spellStart"/>
      <w:r w:rsidR="00BA75E7" w:rsidRPr="00FA08A3">
        <w:rPr>
          <w:lang w:val="en-GB"/>
        </w:rPr>
        <w:t>Foroutanfar</w:t>
      </w:r>
      <w:proofErr w:type="spellEnd"/>
      <w:r w:rsidR="00BA75E7" w:rsidRPr="00FA08A3">
        <w:rPr>
          <w:lang w:val="en-GB"/>
        </w:rPr>
        <w:t xml:space="preserve"> et al., 2025)</w:t>
      </w:r>
      <w:r w:rsidRPr="00FA08A3">
        <w:rPr>
          <w:lang w:val="en-GB"/>
        </w:rPr>
        <w:t>.</w:t>
      </w:r>
    </w:p>
    <w:p w14:paraId="6688DD28" w14:textId="08F7877B" w:rsidR="00387077" w:rsidRPr="00FA08A3" w:rsidRDefault="00150385" w:rsidP="00150385">
      <w:pPr>
        <w:pStyle w:val="SWCText"/>
        <w:rPr>
          <w:lang w:val="en-GB"/>
        </w:rPr>
      </w:pPr>
      <w:r w:rsidRPr="00FA08A3">
        <w:rPr>
          <w:lang w:val="en-GB"/>
        </w:rPr>
        <w:t xml:space="preserve">One very interesting application area is that of </w:t>
      </w:r>
      <w:proofErr w:type="spellStart"/>
      <w:r w:rsidRPr="00FA08A3">
        <w:rPr>
          <w:lang w:val="en-GB"/>
        </w:rPr>
        <w:t>AgriPVs</w:t>
      </w:r>
      <w:proofErr w:type="spellEnd"/>
      <w:r w:rsidRPr="00FA08A3">
        <w:rPr>
          <w:lang w:val="en-GB"/>
        </w:rPr>
        <w:t xml:space="preserve">, which addresses the dual use of land for both electricity generation and farming. As can be seen in </w:t>
      </w:r>
      <w:proofErr w:type="spellStart"/>
      <w:r w:rsidR="00BA75E7" w:rsidRPr="00FA08A3">
        <w:rPr>
          <w:lang w:val="en-GB"/>
        </w:rPr>
        <w:t>Zainali</w:t>
      </w:r>
      <w:proofErr w:type="spellEnd"/>
      <w:r w:rsidR="00BA75E7" w:rsidRPr="00FA08A3">
        <w:rPr>
          <w:lang w:val="en-GB"/>
        </w:rPr>
        <w:t xml:space="preserve"> et al. (2025)</w:t>
      </w:r>
      <w:r w:rsidRPr="00FA08A3">
        <w:rPr>
          <w:lang w:val="en-GB"/>
        </w:rPr>
        <w:t xml:space="preserve">, </w:t>
      </w:r>
      <w:proofErr w:type="spellStart"/>
      <w:r w:rsidRPr="00FA08A3">
        <w:rPr>
          <w:lang w:val="en-GB"/>
        </w:rPr>
        <w:t>AgriPV</w:t>
      </w:r>
      <w:proofErr w:type="spellEnd"/>
      <w:r w:rsidRPr="00FA08A3">
        <w:rPr>
          <w:lang w:val="en-GB"/>
        </w:rPr>
        <w:t xml:space="preserve"> is an area with huge research and deployment interest in terms of design optimization. Due to this potential, alongside the rising concerns regarding use of land, several studies have been conducted to propose alternative solutions.</w:t>
      </w:r>
      <w:r w:rsidR="00387077" w:rsidRPr="00FA08A3">
        <w:rPr>
          <w:lang w:val="en-GB"/>
        </w:rPr>
        <w:t xml:space="preserve"> As the results presented by Widmer et al. (2024) suggest, most analyses prove that the use of </w:t>
      </w:r>
      <w:proofErr w:type="spellStart"/>
      <w:r w:rsidR="00387077" w:rsidRPr="00FA08A3">
        <w:rPr>
          <w:lang w:val="en-GB"/>
        </w:rPr>
        <w:t>AgriPVs</w:t>
      </w:r>
      <w:proofErr w:type="spellEnd"/>
      <w:r w:rsidR="00387077" w:rsidRPr="00FA08A3">
        <w:rPr>
          <w:lang w:val="en-GB"/>
        </w:rPr>
        <w:t xml:space="preserve"> for the combined electricity and food production constitutes a viable solution with high potential even for light-demanding crops. On the other hand, the study concludes that the final outcome of an </w:t>
      </w:r>
      <w:proofErr w:type="spellStart"/>
      <w:r w:rsidR="00387077" w:rsidRPr="00FA08A3">
        <w:rPr>
          <w:lang w:val="en-GB"/>
        </w:rPr>
        <w:t>AgriPV</w:t>
      </w:r>
      <w:proofErr w:type="spellEnd"/>
      <w:r w:rsidR="00387077" w:rsidRPr="00FA08A3">
        <w:rPr>
          <w:lang w:val="en-GB"/>
        </w:rPr>
        <w:t xml:space="preserve"> in terms of crop is the result of many factors, with location and season</w:t>
      </w:r>
      <w:r w:rsidR="00C66E69">
        <w:rPr>
          <w:lang w:val="en-GB"/>
        </w:rPr>
        <w:t xml:space="preserve"> being the most prominent </w:t>
      </w:r>
      <w:r w:rsidR="00A8188E">
        <w:rPr>
          <w:lang w:val="en-GB"/>
        </w:rPr>
        <w:t>factors</w:t>
      </w:r>
      <w:r w:rsidR="00387077" w:rsidRPr="00FA08A3">
        <w:rPr>
          <w:lang w:val="en-GB"/>
        </w:rPr>
        <w:t xml:space="preserve">. In the same vein, </w:t>
      </w:r>
      <w:bookmarkStart w:id="3" w:name="_Hlk238639724"/>
      <w:r w:rsidR="00387077" w:rsidRPr="00FA08A3">
        <w:rPr>
          <w:lang w:val="en-GB"/>
        </w:rPr>
        <w:t xml:space="preserve">Walston et al. (2022) </w:t>
      </w:r>
      <w:bookmarkEnd w:id="3"/>
      <w:r w:rsidR="00387077" w:rsidRPr="00FA08A3">
        <w:rPr>
          <w:lang w:val="en-GB"/>
        </w:rPr>
        <w:t xml:space="preserve">suggest that the use of </w:t>
      </w:r>
      <w:proofErr w:type="spellStart"/>
      <w:r w:rsidR="00387077" w:rsidRPr="00FA08A3">
        <w:rPr>
          <w:lang w:val="en-GB"/>
        </w:rPr>
        <w:t>AgriPVs</w:t>
      </w:r>
      <w:proofErr w:type="spellEnd"/>
      <w:r w:rsidR="00387077" w:rsidRPr="00FA08A3">
        <w:rPr>
          <w:lang w:val="en-GB"/>
        </w:rPr>
        <w:t xml:space="preserve"> may have positive impact not only </w:t>
      </w:r>
      <w:r w:rsidR="005C78EC">
        <w:rPr>
          <w:lang w:val="en-GB"/>
        </w:rPr>
        <w:t>o</w:t>
      </w:r>
      <w:r w:rsidR="00387077" w:rsidRPr="00FA08A3">
        <w:rPr>
          <w:lang w:val="en-GB"/>
        </w:rPr>
        <w:t xml:space="preserve">n farming but also </w:t>
      </w:r>
      <w:r w:rsidR="005C78EC">
        <w:rPr>
          <w:lang w:val="en-GB"/>
        </w:rPr>
        <w:t xml:space="preserve">on </w:t>
      </w:r>
      <w:r w:rsidR="00387077" w:rsidRPr="00FA08A3">
        <w:rPr>
          <w:lang w:val="en-GB"/>
        </w:rPr>
        <w:t>biodiversity, water, and soil conservation.</w:t>
      </w:r>
    </w:p>
    <w:p w14:paraId="063F17E2" w14:textId="407FD99F" w:rsidR="0064403B" w:rsidRPr="00FA08A3" w:rsidRDefault="00AF155C" w:rsidP="00150385">
      <w:pPr>
        <w:pStyle w:val="SWCText"/>
        <w:rPr>
          <w:lang w:val="en-GB"/>
        </w:rPr>
      </w:pPr>
      <w:r w:rsidRPr="00FA08A3">
        <w:rPr>
          <w:lang w:val="en-GB"/>
        </w:rPr>
        <w:t>Currently, despite their high potential and numerous benefits</w:t>
      </w:r>
      <w:r w:rsidR="001F464B" w:rsidRPr="00FA08A3">
        <w:rPr>
          <w:lang w:val="en-GB"/>
        </w:rPr>
        <w:t>,</w:t>
      </w:r>
      <w:r w:rsidRPr="00FA08A3">
        <w:rPr>
          <w:lang w:val="en-GB"/>
        </w:rPr>
        <w:t xml:space="preserve"> there are still obstacles that prevent the rapid expansion of the technology. An overview of the most important challenges is provided by </w:t>
      </w:r>
      <w:proofErr w:type="spellStart"/>
      <w:r w:rsidRPr="00FA08A3">
        <w:rPr>
          <w:lang w:val="en-GB"/>
        </w:rPr>
        <w:t>Chatzipanagi</w:t>
      </w:r>
      <w:proofErr w:type="spellEnd"/>
      <w:r w:rsidRPr="00FA08A3">
        <w:rPr>
          <w:lang w:val="en-GB"/>
        </w:rPr>
        <w:t xml:space="preserve"> et al. (2023) and highlights the bottlenecks regarding legal, financial, and societal challenges that </w:t>
      </w:r>
      <w:proofErr w:type="spellStart"/>
      <w:r w:rsidRPr="00FA08A3">
        <w:rPr>
          <w:lang w:val="en-GB"/>
        </w:rPr>
        <w:t>AgriPVs</w:t>
      </w:r>
      <w:proofErr w:type="spellEnd"/>
      <w:r w:rsidRPr="00FA08A3">
        <w:rPr>
          <w:lang w:val="en-GB"/>
        </w:rPr>
        <w:t xml:space="preserve"> need to overcome. Among specific problems</w:t>
      </w:r>
      <w:r w:rsidR="008D18F0">
        <w:rPr>
          <w:lang w:val="en-GB"/>
        </w:rPr>
        <w:t xml:space="preserve"> mentioned are:</w:t>
      </w:r>
      <w:r w:rsidRPr="00FA08A3">
        <w:rPr>
          <w:lang w:val="en-GB"/>
        </w:rPr>
        <w:t xml:space="preserve"> lack of a universal definition at EU level, </w:t>
      </w:r>
      <w:r w:rsidR="009F2078">
        <w:rPr>
          <w:lang w:val="en-GB"/>
        </w:rPr>
        <w:t>intentional</w:t>
      </w:r>
      <w:r w:rsidRPr="00FA08A3">
        <w:rPr>
          <w:lang w:val="en-GB"/>
        </w:rPr>
        <w:t xml:space="preserve"> chang</w:t>
      </w:r>
      <w:r w:rsidR="00DD7CDB">
        <w:rPr>
          <w:lang w:val="en-GB"/>
        </w:rPr>
        <w:t xml:space="preserve">e </w:t>
      </w:r>
      <w:r w:rsidR="009F2078">
        <w:rPr>
          <w:lang w:val="en-GB"/>
        </w:rPr>
        <w:t xml:space="preserve">of </w:t>
      </w:r>
      <w:r w:rsidRPr="00FA08A3">
        <w:rPr>
          <w:lang w:val="en-GB"/>
        </w:rPr>
        <w:t xml:space="preserve">farming </w:t>
      </w:r>
      <w:r w:rsidR="009F2078">
        <w:rPr>
          <w:lang w:val="en-GB"/>
        </w:rPr>
        <w:t>to prioritize</w:t>
      </w:r>
      <w:r w:rsidRPr="00FA08A3">
        <w:rPr>
          <w:lang w:val="en-GB"/>
        </w:rPr>
        <w:t xml:space="preserve"> energy production </w:t>
      </w:r>
      <w:r w:rsidR="009F2078">
        <w:rPr>
          <w:lang w:val="en-GB"/>
        </w:rPr>
        <w:t>after installation</w:t>
      </w:r>
      <w:r w:rsidRPr="00FA08A3">
        <w:rPr>
          <w:lang w:val="en-GB"/>
        </w:rPr>
        <w:t xml:space="preserve">, public awareness, prices for land, permitting and connection difficulties, as well as </w:t>
      </w:r>
      <w:r w:rsidR="004D0CA0">
        <w:rPr>
          <w:lang w:val="en-GB"/>
        </w:rPr>
        <w:t>insufficiently defined</w:t>
      </w:r>
      <w:r w:rsidRPr="00FA08A3">
        <w:rPr>
          <w:lang w:val="en-GB"/>
        </w:rPr>
        <w:t xml:space="preserve"> strategic plans and national policies</w:t>
      </w:r>
      <w:r w:rsidR="00AB5A10">
        <w:rPr>
          <w:lang w:val="en-GB"/>
        </w:rPr>
        <w:t>.</w:t>
      </w:r>
      <w:r w:rsidR="00A06B64" w:rsidRPr="00FA08A3">
        <w:rPr>
          <w:lang w:val="en-GB"/>
        </w:rPr>
        <w:t xml:space="preserve"> In addition, from a technical point of view</w:t>
      </w:r>
      <w:r w:rsidR="001F464B" w:rsidRPr="00FA08A3">
        <w:rPr>
          <w:lang w:val="en-GB"/>
        </w:rPr>
        <w:t>,</w:t>
      </w:r>
      <w:r w:rsidR="00A06B64" w:rsidRPr="00FA08A3">
        <w:rPr>
          <w:lang w:val="en-GB"/>
        </w:rPr>
        <w:t xml:space="preserve"> the challenge of maximizing energy yield while minimizing impact on crop yield is of high importance. The specific challenge has led to several Research and Innovation project</w:t>
      </w:r>
      <w:r w:rsidR="008740C0" w:rsidRPr="00FA08A3">
        <w:rPr>
          <w:lang w:val="en-GB"/>
        </w:rPr>
        <w:t>s</w:t>
      </w:r>
      <w:r w:rsidR="00A06B64" w:rsidRPr="00FA08A3">
        <w:rPr>
          <w:lang w:val="en-GB"/>
        </w:rPr>
        <w:t xml:space="preserve"> to investigate potential solutions. From these approaches, </w:t>
      </w:r>
      <w:r w:rsidR="00150385" w:rsidRPr="00FA08A3">
        <w:rPr>
          <w:lang w:val="en-GB"/>
        </w:rPr>
        <w:t xml:space="preserve">especially </w:t>
      </w:r>
      <w:r w:rsidR="004C6535" w:rsidRPr="00FA08A3">
        <w:rPr>
          <w:lang w:val="en-GB"/>
        </w:rPr>
        <w:t xml:space="preserve">those that involve </w:t>
      </w:r>
      <w:r w:rsidR="00150385" w:rsidRPr="00FA08A3">
        <w:rPr>
          <w:lang w:val="en-GB"/>
        </w:rPr>
        <w:t xml:space="preserve">pilot </w:t>
      </w:r>
      <w:r w:rsidR="004C6535" w:rsidRPr="00FA08A3">
        <w:rPr>
          <w:lang w:val="en-GB"/>
        </w:rPr>
        <w:t>i</w:t>
      </w:r>
      <w:r w:rsidR="00150385" w:rsidRPr="00FA08A3">
        <w:rPr>
          <w:lang w:val="en-GB"/>
        </w:rPr>
        <w:t>mplement</w:t>
      </w:r>
      <w:r w:rsidR="00A06B64" w:rsidRPr="00FA08A3">
        <w:rPr>
          <w:lang w:val="en-GB"/>
        </w:rPr>
        <w:t>ation</w:t>
      </w:r>
      <w:r w:rsidR="004C6535" w:rsidRPr="00FA08A3">
        <w:rPr>
          <w:lang w:val="en-GB"/>
        </w:rPr>
        <w:t xml:space="preserve"> and demonstra</w:t>
      </w:r>
      <w:r w:rsidR="001F464B" w:rsidRPr="00FA08A3">
        <w:rPr>
          <w:lang w:val="en-GB"/>
        </w:rPr>
        <w:t>t</w:t>
      </w:r>
      <w:r w:rsidR="004C6535" w:rsidRPr="00FA08A3">
        <w:rPr>
          <w:lang w:val="en-GB"/>
        </w:rPr>
        <w:t>ion</w:t>
      </w:r>
      <w:r w:rsidR="00A06B64" w:rsidRPr="00FA08A3">
        <w:rPr>
          <w:lang w:val="en-GB"/>
        </w:rPr>
        <w:t>, the main takeaway is that</w:t>
      </w:r>
      <w:r w:rsidR="00150385" w:rsidRPr="00FA08A3">
        <w:rPr>
          <w:lang w:val="en-GB"/>
        </w:rPr>
        <w:t xml:space="preserve"> the</w:t>
      </w:r>
      <w:r w:rsidR="00A06B64" w:rsidRPr="00FA08A3">
        <w:rPr>
          <w:lang w:val="en-GB"/>
        </w:rPr>
        <w:t>re are</w:t>
      </w:r>
      <w:r w:rsidR="00150385" w:rsidRPr="00FA08A3">
        <w:rPr>
          <w:lang w:val="en-GB"/>
        </w:rPr>
        <w:t xml:space="preserve"> two different approaches regarding the impact of the </w:t>
      </w:r>
      <w:proofErr w:type="spellStart"/>
      <w:r w:rsidR="00150385" w:rsidRPr="00FA08A3">
        <w:rPr>
          <w:lang w:val="en-GB"/>
        </w:rPr>
        <w:t>AgriPVs</w:t>
      </w:r>
      <w:proofErr w:type="spellEnd"/>
      <w:r w:rsidR="00150385" w:rsidRPr="00FA08A3">
        <w:rPr>
          <w:lang w:val="en-GB"/>
        </w:rPr>
        <w:t xml:space="preserve">. On the one hand, there are studies focusing on the minimal intrusion of the PV installation on the crops, whereas, other more state-of-the-art approaches propose the use of new products, technologies, and designs in order to further optimize the farming process.  In this context, </w:t>
      </w:r>
      <w:r w:rsidR="00003666">
        <w:rPr>
          <w:lang w:val="en-GB"/>
        </w:rPr>
        <w:t>this</w:t>
      </w:r>
      <w:r w:rsidR="00150385" w:rsidRPr="00FA08A3">
        <w:rPr>
          <w:lang w:val="en-GB"/>
        </w:rPr>
        <w:t xml:space="preserve"> study focuses on the analysis of an </w:t>
      </w:r>
      <w:proofErr w:type="spellStart"/>
      <w:r w:rsidR="00150385" w:rsidRPr="00FA08A3">
        <w:rPr>
          <w:lang w:val="en-GB"/>
        </w:rPr>
        <w:t>AgriPV</w:t>
      </w:r>
      <w:proofErr w:type="spellEnd"/>
      <w:r w:rsidR="00150385" w:rsidRPr="00FA08A3">
        <w:rPr>
          <w:lang w:val="en-GB"/>
        </w:rPr>
        <w:t xml:space="preserve"> for tree crops (orchards and vineyards), used to produce electrical energy, improve the microclimate conditions, and protect the crop against extreme weather events.</w:t>
      </w:r>
      <w:r w:rsidR="001F464B" w:rsidRPr="00FA08A3">
        <w:rPr>
          <w:lang w:val="en-GB"/>
        </w:rPr>
        <w:t xml:space="preserve"> In addition, before presenting the specific architecture, the first part of the analysis focuses on a methodology that allows the designer to better understand ways of tackling the challenges mentioned earlier. </w:t>
      </w:r>
    </w:p>
    <w:p w14:paraId="7110AECE" w14:textId="21BCB39B" w:rsidR="001F464B" w:rsidRPr="00FA08A3" w:rsidRDefault="001F464B" w:rsidP="001F464B">
      <w:pPr>
        <w:pStyle w:val="SWCHeading1"/>
        <w:rPr>
          <w:lang w:val="en-GB"/>
        </w:rPr>
      </w:pPr>
      <w:bookmarkStart w:id="4" w:name="_Hlk238469577"/>
      <w:r w:rsidRPr="00FA08A3">
        <w:rPr>
          <w:lang w:val="en-GB"/>
        </w:rPr>
        <w:t>Overview of high-level design methodology</w:t>
      </w:r>
    </w:p>
    <w:bookmarkEnd w:id="4"/>
    <w:p w14:paraId="4588731E" w14:textId="5000C32A" w:rsidR="00DD1826" w:rsidRPr="00FA08A3" w:rsidRDefault="001F464B" w:rsidP="00150385">
      <w:pPr>
        <w:pStyle w:val="SWCText"/>
        <w:rPr>
          <w:lang w:val="en-GB"/>
        </w:rPr>
      </w:pPr>
      <w:r w:rsidRPr="00FA08A3">
        <w:rPr>
          <w:lang w:val="en-GB"/>
        </w:rPr>
        <w:t xml:space="preserve">The efficient design of an </w:t>
      </w:r>
      <w:proofErr w:type="spellStart"/>
      <w:r w:rsidRPr="00FA08A3">
        <w:rPr>
          <w:lang w:val="en-GB"/>
        </w:rPr>
        <w:t>AgriPV</w:t>
      </w:r>
      <w:proofErr w:type="spellEnd"/>
      <w:r w:rsidRPr="00FA08A3">
        <w:rPr>
          <w:lang w:val="en-GB"/>
        </w:rPr>
        <w:t xml:space="preserve"> project requires </w:t>
      </w:r>
      <w:r w:rsidR="00883C08">
        <w:rPr>
          <w:lang w:val="en-GB"/>
        </w:rPr>
        <w:t xml:space="preserve">a </w:t>
      </w:r>
      <w:r w:rsidRPr="00FA08A3">
        <w:rPr>
          <w:lang w:val="en-GB"/>
        </w:rPr>
        <w:t xml:space="preserve">good </w:t>
      </w:r>
      <w:r w:rsidR="008A7984" w:rsidRPr="00FA08A3">
        <w:rPr>
          <w:lang w:val="en-GB"/>
        </w:rPr>
        <w:t xml:space="preserve">understanding and </w:t>
      </w:r>
      <w:r w:rsidRPr="00FA08A3">
        <w:rPr>
          <w:lang w:val="en-GB"/>
        </w:rPr>
        <w:t xml:space="preserve">knowledge of </w:t>
      </w:r>
      <w:r w:rsidR="00740AF3" w:rsidRPr="00FA08A3">
        <w:rPr>
          <w:lang w:val="en-GB"/>
        </w:rPr>
        <w:t xml:space="preserve">a </w:t>
      </w:r>
      <w:r w:rsidR="008A7984" w:rsidRPr="00FA08A3">
        <w:rPr>
          <w:lang w:val="en-GB"/>
        </w:rPr>
        <w:t>number of factors related to the challenges mentioned in the introduction. In this paper, a conceptual design framework is presented to tackle the problem at high</w:t>
      </w:r>
      <w:r w:rsidR="00CB71FB">
        <w:rPr>
          <w:lang w:val="en-GB"/>
        </w:rPr>
        <w:t xml:space="preserve"> </w:t>
      </w:r>
      <w:r w:rsidR="008A7984" w:rsidRPr="00FA08A3">
        <w:rPr>
          <w:lang w:val="en-GB"/>
        </w:rPr>
        <w:t xml:space="preserve">level by taking into account diverse aspects, which can influence the design and performance of the </w:t>
      </w:r>
      <w:r w:rsidR="00743381">
        <w:rPr>
          <w:lang w:val="en-GB"/>
        </w:rPr>
        <w:t>design</w:t>
      </w:r>
      <w:r w:rsidR="008A7984" w:rsidRPr="00FA08A3">
        <w:rPr>
          <w:lang w:val="en-GB"/>
        </w:rPr>
        <w:t xml:space="preserve">. The specific methodology was first presented by Rikos et al. (2024), and was developed as part of the EU funded project </w:t>
      </w:r>
      <w:proofErr w:type="spellStart"/>
      <w:r w:rsidR="008A7984" w:rsidRPr="00FA08A3">
        <w:rPr>
          <w:lang w:val="en-GB"/>
        </w:rPr>
        <w:t>SolarHub</w:t>
      </w:r>
      <w:proofErr w:type="spellEnd"/>
      <w:r w:rsidR="008A7984" w:rsidRPr="00FA08A3">
        <w:rPr>
          <w:lang w:val="en-GB"/>
        </w:rPr>
        <w:t xml:space="preserve"> to tackle a specific type of </w:t>
      </w:r>
      <w:proofErr w:type="spellStart"/>
      <w:r w:rsidR="008A7984" w:rsidRPr="00FA08A3">
        <w:rPr>
          <w:lang w:val="en-GB"/>
        </w:rPr>
        <w:t>AgriPV</w:t>
      </w:r>
      <w:proofErr w:type="spellEnd"/>
      <w:r w:rsidR="008A7984" w:rsidRPr="00FA08A3">
        <w:rPr>
          <w:lang w:val="en-GB"/>
        </w:rPr>
        <w:t xml:space="preserve"> application for tree crops (peach trees and grapevines) in the eastern Mediterranean region, particularly in two countries of interest, Greece and </w:t>
      </w:r>
      <w:proofErr w:type="spellStart"/>
      <w:r w:rsidR="008A7984" w:rsidRPr="00FA08A3">
        <w:rPr>
          <w:lang w:val="en-GB"/>
        </w:rPr>
        <w:t>Türkiye</w:t>
      </w:r>
      <w:proofErr w:type="spellEnd"/>
      <w:r w:rsidR="008A7984" w:rsidRPr="00FA08A3">
        <w:rPr>
          <w:lang w:val="en-GB"/>
        </w:rPr>
        <w:t xml:space="preserve">. It should be noted that similar design and optimization approaches have been presented as part of other studies </w:t>
      </w:r>
      <w:r w:rsidR="00EC35EE" w:rsidRPr="00FA08A3">
        <w:rPr>
          <w:lang w:val="en-GB"/>
        </w:rPr>
        <w:t>(Fernandez-</w:t>
      </w:r>
      <w:proofErr w:type="spellStart"/>
      <w:r w:rsidR="00EC35EE" w:rsidRPr="00FA08A3">
        <w:rPr>
          <w:lang w:val="en-GB"/>
        </w:rPr>
        <w:t>Solas</w:t>
      </w:r>
      <w:proofErr w:type="spellEnd"/>
      <w:r w:rsidR="00EC35EE" w:rsidRPr="00FA08A3">
        <w:rPr>
          <w:lang w:val="en-GB"/>
        </w:rPr>
        <w:t xml:space="preserve"> et al., 2023</w:t>
      </w:r>
      <w:r w:rsidR="00902F36" w:rsidRPr="00FA08A3">
        <w:rPr>
          <w:lang w:val="en-GB"/>
        </w:rPr>
        <w:t xml:space="preserve">; </w:t>
      </w:r>
      <w:r w:rsidR="00FF2AB8" w:rsidRPr="00FA08A3">
        <w:rPr>
          <w:lang w:val="en-GB"/>
        </w:rPr>
        <w:t xml:space="preserve">Mehta and </w:t>
      </w:r>
      <w:proofErr w:type="spellStart"/>
      <w:r w:rsidR="00FF2AB8" w:rsidRPr="00FA08A3">
        <w:rPr>
          <w:lang w:val="en-GB"/>
        </w:rPr>
        <w:t>Zörner</w:t>
      </w:r>
      <w:proofErr w:type="spellEnd"/>
      <w:r w:rsidR="00FF2AB8" w:rsidRPr="00FA08A3">
        <w:rPr>
          <w:lang w:val="en-GB"/>
        </w:rPr>
        <w:t>, 2025</w:t>
      </w:r>
      <w:r w:rsidR="00EC35EE" w:rsidRPr="00FA08A3">
        <w:rPr>
          <w:lang w:val="en-GB"/>
        </w:rPr>
        <w:t xml:space="preserve">). Despite the effectiveness </w:t>
      </w:r>
      <w:r w:rsidR="00DD1826" w:rsidRPr="00FA08A3">
        <w:rPr>
          <w:lang w:val="en-GB"/>
        </w:rPr>
        <w:t xml:space="preserve">and accuracy </w:t>
      </w:r>
      <w:r w:rsidR="00EC35EE" w:rsidRPr="00FA08A3">
        <w:rPr>
          <w:lang w:val="en-GB"/>
        </w:rPr>
        <w:t>of such proposed design methodologies, these approaches focus mainly on the technoeconomic assessment</w:t>
      </w:r>
      <w:r w:rsidR="00763663" w:rsidRPr="00FA08A3">
        <w:rPr>
          <w:lang w:val="en-GB"/>
        </w:rPr>
        <w:t>s</w:t>
      </w:r>
      <w:r w:rsidR="00EC35EE" w:rsidRPr="00FA08A3">
        <w:rPr>
          <w:lang w:val="en-GB"/>
        </w:rPr>
        <w:t xml:space="preserve"> of </w:t>
      </w:r>
      <w:r w:rsidR="00763663" w:rsidRPr="00FA08A3">
        <w:rPr>
          <w:lang w:val="en-GB"/>
        </w:rPr>
        <w:t>such</w:t>
      </w:r>
      <w:r w:rsidR="00EC35EE" w:rsidRPr="00FA08A3">
        <w:rPr>
          <w:lang w:val="en-GB"/>
        </w:rPr>
        <w:t xml:space="preserve"> project</w:t>
      </w:r>
      <w:r w:rsidR="00763663" w:rsidRPr="00FA08A3">
        <w:rPr>
          <w:lang w:val="en-GB"/>
        </w:rPr>
        <w:t>s</w:t>
      </w:r>
      <w:r w:rsidR="00DD1826" w:rsidRPr="00FA08A3">
        <w:rPr>
          <w:lang w:val="en-GB"/>
        </w:rPr>
        <w:t>.</w:t>
      </w:r>
      <w:r w:rsidR="00763663" w:rsidRPr="00FA08A3">
        <w:rPr>
          <w:lang w:val="en-GB"/>
        </w:rPr>
        <w:t xml:space="preserve"> In this respect, there seems to be a gap regarding more </w:t>
      </w:r>
      <w:r w:rsidR="00040B98">
        <w:rPr>
          <w:lang w:val="en-GB"/>
        </w:rPr>
        <w:t>systematic</w:t>
      </w:r>
      <w:r w:rsidR="00763663" w:rsidRPr="00FA08A3">
        <w:rPr>
          <w:lang w:val="en-GB"/>
        </w:rPr>
        <w:t xml:space="preserve">, high-level guidelines, that can be used </w:t>
      </w:r>
      <w:r w:rsidR="00740AF3" w:rsidRPr="00FA08A3">
        <w:rPr>
          <w:lang w:val="en-GB"/>
        </w:rPr>
        <w:t>not</w:t>
      </w:r>
      <w:r w:rsidR="00763663" w:rsidRPr="00FA08A3">
        <w:rPr>
          <w:lang w:val="en-GB"/>
        </w:rPr>
        <w:t xml:space="preserve"> only by specialists but also by researchers and designers who are interested in a more holistic </w:t>
      </w:r>
      <w:r w:rsidR="00E4017B">
        <w:rPr>
          <w:lang w:val="en-GB"/>
        </w:rPr>
        <w:t>treatment</w:t>
      </w:r>
      <w:r w:rsidR="00763663" w:rsidRPr="00FA08A3">
        <w:rPr>
          <w:lang w:val="en-GB"/>
        </w:rPr>
        <w:t xml:space="preserve"> of the problem.</w:t>
      </w:r>
      <w:r w:rsidR="00DD1826" w:rsidRPr="00FA08A3">
        <w:rPr>
          <w:lang w:val="en-GB"/>
        </w:rPr>
        <w:t xml:space="preserve"> As part of an approach </w:t>
      </w:r>
      <w:r w:rsidR="00040B98">
        <w:rPr>
          <w:lang w:val="en-GB"/>
        </w:rPr>
        <w:t>to address the problem in full</w:t>
      </w:r>
      <w:r w:rsidR="00DD1826" w:rsidRPr="00FA08A3">
        <w:rPr>
          <w:lang w:val="en-GB"/>
        </w:rPr>
        <w:t xml:space="preserve">, </w:t>
      </w:r>
      <w:r w:rsidR="00763663" w:rsidRPr="00FA08A3">
        <w:rPr>
          <w:lang w:val="en-GB"/>
        </w:rPr>
        <w:t>this</w:t>
      </w:r>
      <w:r w:rsidR="00DD1826" w:rsidRPr="00FA08A3">
        <w:rPr>
          <w:lang w:val="en-GB"/>
        </w:rPr>
        <w:t xml:space="preserve"> study presents a higher-level approach</w:t>
      </w:r>
      <w:r w:rsidR="00740AF3" w:rsidRPr="00FA08A3">
        <w:rPr>
          <w:lang w:val="en-GB"/>
        </w:rPr>
        <w:t>,</w:t>
      </w:r>
      <w:r w:rsidR="00DD1826" w:rsidRPr="00FA08A3">
        <w:rPr>
          <w:lang w:val="en-GB"/>
        </w:rPr>
        <w:t xml:space="preserve"> </w:t>
      </w:r>
      <w:r w:rsidR="00740AF3" w:rsidRPr="00FA08A3">
        <w:rPr>
          <w:lang w:val="en-GB"/>
        </w:rPr>
        <w:t>which</w:t>
      </w:r>
      <w:r w:rsidR="00DD1826" w:rsidRPr="00FA08A3">
        <w:rPr>
          <w:lang w:val="en-GB"/>
        </w:rPr>
        <w:t xml:space="preserve"> emphasizes all challenges of the problem</w:t>
      </w:r>
      <w:r w:rsidR="00763663" w:rsidRPr="00FA08A3">
        <w:rPr>
          <w:lang w:val="en-GB"/>
        </w:rPr>
        <w:t xml:space="preserve"> in the form of a simplified guideline</w:t>
      </w:r>
      <w:r w:rsidR="00DD1826" w:rsidRPr="00FA08A3">
        <w:rPr>
          <w:lang w:val="en-GB"/>
        </w:rPr>
        <w:t xml:space="preserve">. </w:t>
      </w:r>
      <w:r w:rsidR="00763663" w:rsidRPr="00FA08A3">
        <w:rPr>
          <w:lang w:val="en-GB"/>
        </w:rPr>
        <w:t xml:space="preserve">This approach is not intended as a replacement of existing ones but it complements </w:t>
      </w:r>
      <w:r w:rsidR="005F5115">
        <w:rPr>
          <w:lang w:val="en-GB"/>
        </w:rPr>
        <w:t>existing work</w:t>
      </w:r>
      <w:r w:rsidR="00763663" w:rsidRPr="00FA08A3">
        <w:rPr>
          <w:lang w:val="en-GB"/>
        </w:rPr>
        <w:t xml:space="preserve"> by including aspects not covered by existing methodologies.</w:t>
      </w:r>
    </w:p>
    <w:p w14:paraId="1692D36B" w14:textId="40A384C5" w:rsidR="00DD1826" w:rsidRPr="00FA08A3" w:rsidRDefault="00DD1826" w:rsidP="00150385">
      <w:pPr>
        <w:pStyle w:val="SWCText"/>
        <w:rPr>
          <w:lang w:val="en-GB"/>
        </w:rPr>
      </w:pPr>
      <w:r w:rsidRPr="00FA08A3">
        <w:rPr>
          <w:lang w:val="en-GB"/>
        </w:rPr>
        <w:t xml:space="preserve">An overview of the proposed </w:t>
      </w:r>
      <w:r w:rsidR="00902F36" w:rsidRPr="00FA08A3">
        <w:rPr>
          <w:lang w:val="en-GB"/>
        </w:rPr>
        <w:t>design methodology is shown in Fig. 1. As can be seen in the simplified flowchart of the specific figure</w:t>
      </w:r>
      <w:r w:rsidR="00763663" w:rsidRPr="00FA08A3">
        <w:rPr>
          <w:lang w:val="en-GB"/>
        </w:rPr>
        <w:t>,</w:t>
      </w:r>
      <w:r w:rsidR="00902F36" w:rsidRPr="00FA08A3">
        <w:rPr>
          <w:lang w:val="en-GB"/>
        </w:rPr>
        <w:t xml:space="preserve"> there are seven main steps that </w:t>
      </w:r>
      <w:r w:rsidR="00763663" w:rsidRPr="00FA08A3">
        <w:rPr>
          <w:lang w:val="en-GB"/>
        </w:rPr>
        <w:t xml:space="preserve">ought to </w:t>
      </w:r>
      <w:r w:rsidR="00902F36" w:rsidRPr="00FA08A3">
        <w:rPr>
          <w:lang w:val="en-GB"/>
        </w:rPr>
        <w:t xml:space="preserve">be taken </w:t>
      </w:r>
      <w:r w:rsidR="000056D2" w:rsidRPr="00FA08A3">
        <w:rPr>
          <w:lang w:val="en-GB"/>
        </w:rPr>
        <w:t xml:space="preserve">into </w:t>
      </w:r>
      <w:r w:rsidR="00902F36" w:rsidRPr="00FA08A3">
        <w:rPr>
          <w:lang w:val="en-GB"/>
        </w:rPr>
        <w:t xml:space="preserve">account during the design phase of an </w:t>
      </w:r>
      <w:proofErr w:type="spellStart"/>
      <w:r w:rsidR="00902F36" w:rsidRPr="00FA08A3">
        <w:rPr>
          <w:lang w:val="en-GB"/>
        </w:rPr>
        <w:t>AgriPV</w:t>
      </w:r>
      <w:proofErr w:type="spellEnd"/>
      <w:r w:rsidR="00902F36" w:rsidRPr="00FA08A3">
        <w:rPr>
          <w:lang w:val="en-GB"/>
        </w:rPr>
        <w:t xml:space="preserve"> project</w:t>
      </w:r>
      <w:r w:rsidR="00763663" w:rsidRPr="00FA08A3">
        <w:rPr>
          <w:lang w:val="en-GB"/>
        </w:rPr>
        <w:t xml:space="preserve"> in order to address </w:t>
      </w:r>
      <w:r w:rsidR="00EA29EA">
        <w:rPr>
          <w:lang w:val="en-GB"/>
        </w:rPr>
        <w:t>the main</w:t>
      </w:r>
      <w:r w:rsidR="00763663" w:rsidRPr="00FA08A3">
        <w:rPr>
          <w:lang w:val="en-GB"/>
        </w:rPr>
        <w:t xml:space="preserve"> challenges</w:t>
      </w:r>
      <w:r w:rsidR="000056D2" w:rsidRPr="00FA08A3">
        <w:rPr>
          <w:lang w:val="en-GB"/>
        </w:rPr>
        <w:t xml:space="preserve"> </w:t>
      </w:r>
      <w:r w:rsidR="00EA29EA">
        <w:rPr>
          <w:lang w:val="en-GB"/>
        </w:rPr>
        <w:t>associated with</w:t>
      </w:r>
      <w:r w:rsidR="000056D2" w:rsidRPr="00FA08A3">
        <w:rPr>
          <w:lang w:val="en-GB"/>
        </w:rPr>
        <w:t xml:space="preserve"> </w:t>
      </w:r>
      <w:proofErr w:type="spellStart"/>
      <w:r w:rsidR="000056D2" w:rsidRPr="00FA08A3">
        <w:rPr>
          <w:lang w:val="en-GB"/>
        </w:rPr>
        <w:t>AgriPV</w:t>
      </w:r>
      <w:proofErr w:type="spellEnd"/>
      <w:r w:rsidR="000056D2" w:rsidRPr="00FA08A3">
        <w:rPr>
          <w:lang w:val="en-GB"/>
        </w:rPr>
        <w:t xml:space="preserve"> design</w:t>
      </w:r>
      <w:r w:rsidR="00902F36" w:rsidRPr="00FA08A3">
        <w:rPr>
          <w:lang w:val="en-GB"/>
        </w:rPr>
        <w:t>.</w:t>
      </w:r>
      <w:r w:rsidR="00763663" w:rsidRPr="00FA08A3">
        <w:rPr>
          <w:lang w:val="en-GB"/>
        </w:rPr>
        <w:t xml:space="preserve"> </w:t>
      </w:r>
      <w:r w:rsidR="000056D2" w:rsidRPr="00FA08A3">
        <w:rPr>
          <w:lang w:val="en-GB"/>
        </w:rPr>
        <w:t xml:space="preserve">These steps are the </w:t>
      </w:r>
      <w:r w:rsidR="000056D2" w:rsidRPr="00FA08A3">
        <w:rPr>
          <w:lang w:val="en-GB"/>
        </w:rPr>
        <w:lastRenderedPageBreak/>
        <w:t>following:</w:t>
      </w:r>
    </w:p>
    <w:p w14:paraId="4B8C3A48" w14:textId="518F65E1" w:rsidR="000056D2" w:rsidRPr="00FA08A3" w:rsidRDefault="000056D2" w:rsidP="00740AF3">
      <w:pPr>
        <w:pStyle w:val="SWCBulletedList"/>
        <w:jc w:val="both"/>
        <w:rPr>
          <w:lang w:val="en-GB"/>
        </w:rPr>
      </w:pPr>
      <w:r w:rsidRPr="00FA08A3">
        <w:rPr>
          <w:lang w:val="en-GB"/>
        </w:rPr>
        <w:t>Analysis of regulatory, societal, and market framework</w:t>
      </w:r>
      <w:r w:rsidR="00BB17C5">
        <w:rPr>
          <w:lang w:val="en-GB"/>
        </w:rPr>
        <w:t>(s),</w:t>
      </w:r>
    </w:p>
    <w:p w14:paraId="34348F9B" w14:textId="26E337A1" w:rsidR="00EF317B" w:rsidRPr="00FA08A3" w:rsidRDefault="00EF317B" w:rsidP="00740AF3">
      <w:pPr>
        <w:pStyle w:val="SWCBulletedList"/>
        <w:jc w:val="both"/>
        <w:rPr>
          <w:lang w:val="en-GB"/>
        </w:rPr>
      </w:pPr>
      <w:r w:rsidRPr="00FA08A3">
        <w:rPr>
          <w:lang w:val="en-GB"/>
        </w:rPr>
        <w:t xml:space="preserve">Analysis of the impact the </w:t>
      </w:r>
      <w:proofErr w:type="spellStart"/>
      <w:r w:rsidRPr="00FA08A3">
        <w:rPr>
          <w:lang w:val="en-GB"/>
        </w:rPr>
        <w:t>AgriPV</w:t>
      </w:r>
      <w:proofErr w:type="spellEnd"/>
      <w:r w:rsidRPr="00FA08A3">
        <w:rPr>
          <w:lang w:val="en-GB"/>
        </w:rPr>
        <w:t xml:space="preserve"> </w:t>
      </w:r>
      <w:r w:rsidR="00740AF3" w:rsidRPr="00FA08A3">
        <w:rPr>
          <w:lang w:val="en-GB"/>
        </w:rPr>
        <w:t>could</w:t>
      </w:r>
      <w:r w:rsidRPr="00FA08A3">
        <w:rPr>
          <w:lang w:val="en-GB"/>
        </w:rPr>
        <w:t xml:space="preserve"> have on microclimate</w:t>
      </w:r>
      <w:r w:rsidR="00BB17C5">
        <w:rPr>
          <w:lang w:val="en-GB"/>
        </w:rPr>
        <w:t>,</w:t>
      </w:r>
    </w:p>
    <w:p w14:paraId="1DEB6F6D" w14:textId="42AE8B54" w:rsidR="000056D2" w:rsidRPr="00FA08A3" w:rsidRDefault="006640D6" w:rsidP="00740AF3">
      <w:pPr>
        <w:pStyle w:val="SWCBulletedList"/>
        <w:jc w:val="both"/>
        <w:rPr>
          <w:lang w:val="en-GB"/>
        </w:rPr>
      </w:pPr>
      <w:r w:rsidRPr="00FA08A3">
        <w:rPr>
          <w:lang w:val="en-GB"/>
        </w:rPr>
        <w:t>Identification of crop requirements</w:t>
      </w:r>
      <w:r w:rsidR="00BB17C5">
        <w:rPr>
          <w:lang w:val="en-GB"/>
        </w:rPr>
        <w:t>,</w:t>
      </w:r>
    </w:p>
    <w:p w14:paraId="67A81E87" w14:textId="13D9F878" w:rsidR="006640D6" w:rsidRPr="00FA08A3" w:rsidRDefault="006640D6" w:rsidP="00740AF3">
      <w:pPr>
        <w:pStyle w:val="SWCBulletedList"/>
        <w:jc w:val="both"/>
        <w:rPr>
          <w:lang w:val="en-GB"/>
        </w:rPr>
      </w:pPr>
      <w:r w:rsidRPr="00FA08A3">
        <w:rPr>
          <w:lang w:val="en-GB"/>
        </w:rPr>
        <w:t xml:space="preserve">Definition of a list of Key Performance Indicators for the assessment of </w:t>
      </w:r>
      <w:r w:rsidR="00BB17C5">
        <w:rPr>
          <w:lang w:val="en-GB"/>
        </w:rPr>
        <w:t>design</w:t>
      </w:r>
      <w:r w:rsidRPr="00FA08A3">
        <w:rPr>
          <w:lang w:val="en-GB"/>
        </w:rPr>
        <w:t xml:space="preserve"> performance</w:t>
      </w:r>
      <w:r w:rsidR="00BB17C5">
        <w:rPr>
          <w:lang w:val="en-GB"/>
        </w:rPr>
        <w:t>,</w:t>
      </w:r>
    </w:p>
    <w:p w14:paraId="5FC7813E" w14:textId="403345EB" w:rsidR="006640D6" w:rsidRPr="00FA08A3" w:rsidRDefault="00BB17C5" w:rsidP="00740AF3">
      <w:pPr>
        <w:pStyle w:val="SWCBulletedList"/>
        <w:jc w:val="both"/>
        <w:rPr>
          <w:lang w:val="en-GB"/>
        </w:rPr>
      </w:pPr>
      <w:r>
        <w:rPr>
          <w:lang w:val="en-GB"/>
        </w:rPr>
        <w:t>Conceptual design for a</w:t>
      </w:r>
      <w:r w:rsidR="006640D6" w:rsidRPr="00FA08A3">
        <w:rPr>
          <w:lang w:val="en-GB"/>
        </w:rPr>
        <w:t>nalysis of the optimal light-shadow balance that is beneficial for the crop</w:t>
      </w:r>
      <w:r w:rsidR="002327F9">
        <w:rPr>
          <w:lang w:val="en-GB"/>
        </w:rPr>
        <w:t>,</w:t>
      </w:r>
    </w:p>
    <w:p w14:paraId="6F5ECBBE" w14:textId="55BE9A28" w:rsidR="006640D6" w:rsidRPr="00FA08A3" w:rsidRDefault="006640D6" w:rsidP="00740AF3">
      <w:pPr>
        <w:pStyle w:val="SWCBulletedList"/>
        <w:jc w:val="both"/>
        <w:rPr>
          <w:lang w:val="en-GB"/>
        </w:rPr>
      </w:pPr>
      <w:r w:rsidRPr="00FA08A3">
        <w:rPr>
          <w:lang w:val="en-GB"/>
        </w:rPr>
        <w:t>Cost</w:t>
      </w:r>
      <w:r w:rsidR="00B35CE5">
        <w:rPr>
          <w:lang w:val="en-GB"/>
        </w:rPr>
        <w:t>-</w:t>
      </w:r>
      <w:r w:rsidRPr="00FA08A3">
        <w:rPr>
          <w:lang w:val="en-GB"/>
        </w:rPr>
        <w:t>benefit analysis to evaluate the return o</w:t>
      </w:r>
      <w:r w:rsidR="003C57D9">
        <w:rPr>
          <w:lang w:val="en-GB"/>
        </w:rPr>
        <w:t>n</w:t>
      </w:r>
      <w:r w:rsidRPr="00FA08A3">
        <w:rPr>
          <w:lang w:val="en-GB"/>
        </w:rPr>
        <w:t xml:space="preserve"> investment for the specific</w:t>
      </w:r>
      <w:r w:rsidR="002327F9">
        <w:rPr>
          <w:lang w:val="en-GB"/>
        </w:rPr>
        <w:t xml:space="preserve"> design</w:t>
      </w:r>
      <w:r w:rsidRPr="00FA08A3">
        <w:rPr>
          <w:lang w:val="en-GB"/>
        </w:rPr>
        <w:t xml:space="preserve"> project</w:t>
      </w:r>
      <w:r w:rsidR="002327F9">
        <w:rPr>
          <w:lang w:val="en-GB"/>
        </w:rPr>
        <w:t>,</w:t>
      </w:r>
    </w:p>
    <w:p w14:paraId="0BB1EE09" w14:textId="5C48591C" w:rsidR="006640D6" w:rsidRPr="00FA08A3" w:rsidRDefault="006640D6" w:rsidP="00740AF3">
      <w:pPr>
        <w:pStyle w:val="SWCBulletedList"/>
        <w:jc w:val="both"/>
        <w:rPr>
          <w:lang w:val="en-GB"/>
        </w:rPr>
      </w:pPr>
      <w:r w:rsidRPr="00FA08A3">
        <w:rPr>
          <w:lang w:val="en-GB"/>
        </w:rPr>
        <w:t xml:space="preserve">Finalization of the design and dimensioning of the </w:t>
      </w:r>
      <w:proofErr w:type="spellStart"/>
      <w:r w:rsidRPr="00FA08A3">
        <w:rPr>
          <w:lang w:val="en-GB"/>
        </w:rPr>
        <w:t>AgriPV</w:t>
      </w:r>
      <w:proofErr w:type="spellEnd"/>
      <w:r w:rsidRPr="00FA08A3">
        <w:rPr>
          <w:lang w:val="en-GB"/>
        </w:rPr>
        <w:t>.</w:t>
      </w:r>
    </w:p>
    <w:p w14:paraId="41CEED03" w14:textId="221F5EBA" w:rsidR="001F464B" w:rsidRPr="00FA08A3" w:rsidRDefault="00DD1826" w:rsidP="006D01B3">
      <w:pPr>
        <w:pStyle w:val="SWCText"/>
        <w:jc w:val="center"/>
        <w:rPr>
          <w:lang w:val="en-GB"/>
        </w:rPr>
      </w:pPr>
      <w:r w:rsidRPr="00FA08A3">
        <w:rPr>
          <w:noProof/>
          <w:lang w:val="en-GB"/>
        </w:rPr>
        <w:drawing>
          <wp:inline distT="0" distB="0" distL="0" distR="0" wp14:anchorId="5214727C" wp14:editId="5A509208">
            <wp:extent cx="5117475" cy="21045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5177149" cy="2129091"/>
                    </a:xfrm>
                    <a:prstGeom prst="rect">
                      <a:avLst/>
                    </a:prstGeom>
                  </pic:spPr>
                </pic:pic>
              </a:graphicData>
            </a:graphic>
          </wp:inline>
        </w:drawing>
      </w:r>
    </w:p>
    <w:p w14:paraId="13207F13" w14:textId="10AF3FC2" w:rsidR="00DD1826" w:rsidRPr="00FA08A3" w:rsidRDefault="00DD1826" w:rsidP="00DD1826">
      <w:pPr>
        <w:pStyle w:val="SWCTableFigureCaption"/>
        <w:rPr>
          <w:lang w:val="en-GB"/>
        </w:rPr>
      </w:pPr>
      <w:bookmarkStart w:id="5" w:name="_Hlk238461060"/>
      <w:r w:rsidRPr="00FA08A3">
        <w:rPr>
          <w:lang w:val="en-GB"/>
        </w:rPr>
        <w:t>Fig. 1: Overview of the proposed design methodology illustrating the seven main stages in the analysis</w:t>
      </w:r>
    </w:p>
    <w:bookmarkEnd w:id="5"/>
    <w:p w14:paraId="1C5D6675" w14:textId="22A52307" w:rsidR="00A55D9E" w:rsidRPr="00FA08A3" w:rsidRDefault="00A55D9E" w:rsidP="00150385">
      <w:pPr>
        <w:pStyle w:val="SWCText"/>
        <w:rPr>
          <w:lang w:val="en-GB"/>
        </w:rPr>
      </w:pPr>
      <w:r w:rsidRPr="00FA08A3">
        <w:rPr>
          <w:lang w:val="en-GB"/>
        </w:rPr>
        <w:t xml:space="preserve">It should be noted that, according to the proposed methodology, some steps are conducted only </w:t>
      </w:r>
      <w:r w:rsidR="00864A2E">
        <w:rPr>
          <w:lang w:val="en-GB"/>
        </w:rPr>
        <w:t>at</w:t>
      </w:r>
      <w:r w:rsidRPr="00FA08A3">
        <w:rPr>
          <w:lang w:val="en-GB"/>
        </w:rPr>
        <w:t xml:space="preserve"> the beginning of the analysis, whereas</w:t>
      </w:r>
      <w:r w:rsidR="00A03228">
        <w:rPr>
          <w:lang w:val="en-GB"/>
        </w:rPr>
        <w:t xml:space="preserve"> other </w:t>
      </w:r>
      <w:r w:rsidRPr="00FA08A3">
        <w:rPr>
          <w:lang w:val="en-GB"/>
        </w:rPr>
        <w:t>s</w:t>
      </w:r>
      <w:r w:rsidR="00A03228">
        <w:rPr>
          <w:lang w:val="en-GB"/>
        </w:rPr>
        <w:t>teps</w:t>
      </w:r>
      <w:r w:rsidRPr="00FA08A3">
        <w:rPr>
          <w:lang w:val="en-GB"/>
        </w:rPr>
        <w:t xml:space="preserve"> are repeated in an iterative</w:t>
      </w:r>
      <w:r w:rsidR="002327F9">
        <w:rPr>
          <w:lang w:val="en-GB"/>
        </w:rPr>
        <w:t>, feedback loop</w:t>
      </w:r>
      <w:r w:rsidRPr="00FA08A3">
        <w:rPr>
          <w:lang w:val="en-GB"/>
        </w:rPr>
        <w:t xml:space="preserve"> process to streamline the results of the </w:t>
      </w:r>
      <w:proofErr w:type="spellStart"/>
      <w:r w:rsidRPr="00FA08A3">
        <w:rPr>
          <w:lang w:val="en-GB"/>
        </w:rPr>
        <w:t>AgriPV</w:t>
      </w:r>
      <w:proofErr w:type="spellEnd"/>
      <w:r w:rsidRPr="00FA08A3">
        <w:rPr>
          <w:lang w:val="en-GB"/>
        </w:rPr>
        <w:t xml:space="preserve"> design. In this context, an example sequence could involve an initial design, a calculation of the shading effects, a cost benefit analysis, and an assessment of the KPI metrics. Based on the results</w:t>
      </w:r>
      <w:r w:rsidR="003D0217" w:rsidRPr="00FA08A3">
        <w:rPr>
          <w:lang w:val="en-GB"/>
        </w:rPr>
        <w:t xml:space="preserve"> and depending on the priorities set for the</w:t>
      </w:r>
      <w:r w:rsidR="002327F9">
        <w:rPr>
          <w:lang w:val="en-GB"/>
        </w:rPr>
        <w:t xml:space="preserve"> design</w:t>
      </w:r>
      <w:r w:rsidR="003D0217" w:rsidRPr="00FA08A3">
        <w:rPr>
          <w:lang w:val="en-GB"/>
        </w:rPr>
        <w:t xml:space="preserve"> project</w:t>
      </w:r>
      <w:r w:rsidRPr="00FA08A3">
        <w:rPr>
          <w:lang w:val="en-GB"/>
        </w:rPr>
        <w:t xml:space="preserve">, improvements </w:t>
      </w:r>
      <w:r w:rsidR="00D61E8C">
        <w:rPr>
          <w:lang w:val="en-GB"/>
        </w:rPr>
        <w:t>to</w:t>
      </w:r>
      <w:r w:rsidRPr="00FA08A3">
        <w:rPr>
          <w:lang w:val="en-GB"/>
        </w:rPr>
        <w:t xml:space="preserve"> the </w:t>
      </w:r>
      <w:proofErr w:type="spellStart"/>
      <w:r w:rsidRPr="00FA08A3">
        <w:rPr>
          <w:lang w:val="en-GB"/>
        </w:rPr>
        <w:t>AgriPV</w:t>
      </w:r>
      <w:proofErr w:type="spellEnd"/>
      <w:r w:rsidRPr="00FA08A3">
        <w:rPr>
          <w:lang w:val="en-GB"/>
        </w:rPr>
        <w:t xml:space="preserve"> design could be </w:t>
      </w:r>
      <w:r w:rsidR="00740AF3" w:rsidRPr="00FA08A3">
        <w:rPr>
          <w:lang w:val="en-GB"/>
        </w:rPr>
        <w:t>implemented</w:t>
      </w:r>
      <w:r w:rsidRPr="00FA08A3">
        <w:rPr>
          <w:lang w:val="en-GB"/>
        </w:rPr>
        <w:t xml:space="preserve"> in order to improve specific KPIs or aspects</w:t>
      </w:r>
      <w:r w:rsidR="003D0217" w:rsidRPr="00FA08A3">
        <w:rPr>
          <w:lang w:val="en-GB"/>
        </w:rPr>
        <w:t>.</w:t>
      </w:r>
      <w:r w:rsidRPr="00FA08A3">
        <w:rPr>
          <w:lang w:val="en-GB"/>
        </w:rPr>
        <w:t xml:space="preserve"> </w:t>
      </w:r>
      <w:r w:rsidR="003D0217" w:rsidRPr="00FA08A3">
        <w:rPr>
          <w:lang w:val="en-GB"/>
        </w:rPr>
        <w:t>For the sake of clarity</w:t>
      </w:r>
      <w:r w:rsidR="005221F1" w:rsidRPr="00FA08A3">
        <w:rPr>
          <w:lang w:val="en-GB"/>
        </w:rPr>
        <w:t>,</w:t>
      </w:r>
      <w:r w:rsidR="003D0217" w:rsidRPr="00FA08A3">
        <w:rPr>
          <w:lang w:val="en-GB"/>
        </w:rPr>
        <w:t xml:space="preserve"> a brief overview of each step is presented below.</w:t>
      </w:r>
    </w:p>
    <w:p w14:paraId="47563F8D" w14:textId="2093941F" w:rsidR="00A55D9E" w:rsidRPr="00FA08A3" w:rsidRDefault="008066CF" w:rsidP="00150385">
      <w:pPr>
        <w:pStyle w:val="SWCText"/>
        <w:rPr>
          <w:rFonts w:ascii="Arial" w:hAnsi="Arial"/>
          <w:bCs/>
          <w:i/>
          <w:iCs/>
          <w:szCs w:val="24"/>
          <w:lang w:val="en-GB"/>
        </w:rPr>
      </w:pPr>
      <w:bookmarkStart w:id="6" w:name="_Hlk238458605"/>
      <w:r w:rsidRPr="00FA08A3">
        <w:rPr>
          <w:rFonts w:ascii="Arial" w:hAnsi="Arial"/>
          <w:bCs/>
          <w:i/>
          <w:iCs/>
          <w:szCs w:val="24"/>
          <w:lang w:val="en-GB"/>
        </w:rPr>
        <w:t>2</w:t>
      </w:r>
      <w:r w:rsidR="00C85B7B" w:rsidRPr="00FA08A3">
        <w:rPr>
          <w:rFonts w:ascii="Arial" w:hAnsi="Arial"/>
          <w:bCs/>
          <w:i/>
          <w:iCs/>
          <w:szCs w:val="24"/>
          <w:lang w:val="en-GB"/>
        </w:rPr>
        <w:t>.1. Regulatory, societal, and market framework</w:t>
      </w:r>
    </w:p>
    <w:bookmarkEnd w:id="6"/>
    <w:p w14:paraId="03A3B89B" w14:textId="1921A1CF" w:rsidR="00DD1826" w:rsidRPr="00FA08A3" w:rsidRDefault="000056D2" w:rsidP="00150385">
      <w:pPr>
        <w:pStyle w:val="SWCText"/>
        <w:rPr>
          <w:lang w:val="en-GB"/>
        </w:rPr>
      </w:pPr>
      <w:r w:rsidRPr="00FA08A3">
        <w:rPr>
          <w:lang w:val="en-GB"/>
        </w:rPr>
        <w:t xml:space="preserve">As a first step in the feasibility analysis, the assessment of the regulatory and market framework should be conducted. This analysis helps to better understand the obstacles and opportunities related to the </w:t>
      </w:r>
      <w:proofErr w:type="spellStart"/>
      <w:r w:rsidRPr="00FA08A3">
        <w:rPr>
          <w:lang w:val="en-GB"/>
        </w:rPr>
        <w:t>AgriPV</w:t>
      </w:r>
      <w:proofErr w:type="spellEnd"/>
      <w:r w:rsidRPr="00FA08A3">
        <w:rPr>
          <w:lang w:val="en-GB"/>
        </w:rPr>
        <w:t xml:space="preserve"> project in the selected country/region of implementation. Examples of what is relevant to this step of analysis include the definition of </w:t>
      </w:r>
      <w:proofErr w:type="spellStart"/>
      <w:r w:rsidRPr="00FA08A3">
        <w:rPr>
          <w:lang w:val="en-GB"/>
        </w:rPr>
        <w:t>AgriPVs</w:t>
      </w:r>
      <w:proofErr w:type="spellEnd"/>
      <w:r w:rsidRPr="00FA08A3">
        <w:rPr>
          <w:lang w:val="en-GB"/>
        </w:rPr>
        <w:t xml:space="preserve"> according to the local legislation, remuneration schemes, policy-related priorities, funding opportunities</w:t>
      </w:r>
      <w:r w:rsidR="006D01B3" w:rsidRPr="006D01B3">
        <w:rPr>
          <w:lang w:val="en-GB"/>
        </w:rPr>
        <w:t xml:space="preserve"> </w:t>
      </w:r>
      <w:r w:rsidR="006D01B3">
        <w:rPr>
          <w:lang w:val="en-GB"/>
        </w:rPr>
        <w:t>and market dynamics including value-chain suppliers and manufacturers.</w:t>
      </w:r>
      <w:r w:rsidRPr="00FA08A3">
        <w:rPr>
          <w:lang w:val="en-GB"/>
        </w:rPr>
        <w:t xml:space="preserve"> In addition, an analysis of societal </w:t>
      </w:r>
      <w:r w:rsidR="006D01B3">
        <w:rPr>
          <w:lang w:val="en-GB"/>
        </w:rPr>
        <w:t>acceptance</w:t>
      </w:r>
      <w:r w:rsidRPr="00FA08A3">
        <w:rPr>
          <w:lang w:val="en-GB"/>
        </w:rPr>
        <w:t xml:space="preserve"> of the </w:t>
      </w:r>
      <w:proofErr w:type="spellStart"/>
      <w:r w:rsidRPr="00FA08A3">
        <w:rPr>
          <w:lang w:val="en-GB"/>
        </w:rPr>
        <w:t>AgriPV</w:t>
      </w:r>
      <w:proofErr w:type="spellEnd"/>
      <w:r w:rsidRPr="00FA08A3">
        <w:rPr>
          <w:lang w:val="en-GB"/>
        </w:rPr>
        <w:t xml:space="preserve"> could be of interest, </w:t>
      </w:r>
      <w:r w:rsidR="006D01B3" w:rsidRPr="006D01B3">
        <w:rPr>
          <w:lang w:val="en-GB"/>
        </w:rPr>
        <w:t>to upscale smaller projects and also sustain</w:t>
      </w:r>
      <w:r w:rsidR="00034A26">
        <w:rPr>
          <w:lang w:val="en-GB"/>
        </w:rPr>
        <w:t xml:space="preserve"> </w:t>
      </w:r>
      <w:r w:rsidRPr="00FA08A3">
        <w:rPr>
          <w:lang w:val="en-GB"/>
        </w:rPr>
        <w:t>large-scale projects.</w:t>
      </w:r>
    </w:p>
    <w:p w14:paraId="1CE58AB9" w14:textId="7AD10BFD" w:rsidR="00EF317B" w:rsidRPr="00FA08A3" w:rsidRDefault="008066CF" w:rsidP="00EF317B">
      <w:pPr>
        <w:pStyle w:val="SWCText"/>
        <w:rPr>
          <w:rFonts w:ascii="Arial" w:hAnsi="Arial"/>
          <w:bCs/>
          <w:i/>
          <w:iCs/>
          <w:szCs w:val="24"/>
          <w:lang w:val="en-GB"/>
        </w:rPr>
      </w:pPr>
      <w:r w:rsidRPr="00FA08A3">
        <w:rPr>
          <w:rFonts w:ascii="Arial" w:hAnsi="Arial"/>
          <w:bCs/>
          <w:i/>
          <w:iCs/>
          <w:szCs w:val="24"/>
          <w:lang w:val="en-GB"/>
        </w:rPr>
        <w:t>2</w:t>
      </w:r>
      <w:r w:rsidR="00EF317B" w:rsidRPr="00FA08A3">
        <w:rPr>
          <w:rFonts w:ascii="Arial" w:hAnsi="Arial"/>
          <w:bCs/>
          <w:i/>
          <w:iCs/>
          <w:szCs w:val="24"/>
          <w:lang w:val="en-GB"/>
        </w:rPr>
        <w:t>.2. Microclimate impact</w:t>
      </w:r>
    </w:p>
    <w:p w14:paraId="36530A56" w14:textId="78163D91" w:rsidR="00EF317B" w:rsidRPr="00FA08A3" w:rsidRDefault="00EF317B" w:rsidP="00150385">
      <w:pPr>
        <w:pStyle w:val="SWCText"/>
        <w:rPr>
          <w:lang w:val="en-GB"/>
        </w:rPr>
      </w:pPr>
      <w:r w:rsidRPr="00FA08A3">
        <w:rPr>
          <w:lang w:val="en-GB"/>
        </w:rPr>
        <w:t xml:space="preserve">One particularly important aspect of analysing an </w:t>
      </w:r>
      <w:proofErr w:type="spellStart"/>
      <w:r w:rsidRPr="00FA08A3">
        <w:rPr>
          <w:lang w:val="en-GB"/>
        </w:rPr>
        <w:t>AgriPV</w:t>
      </w:r>
      <w:proofErr w:type="spellEnd"/>
      <w:r w:rsidRPr="00FA08A3">
        <w:rPr>
          <w:lang w:val="en-GB"/>
        </w:rPr>
        <w:t xml:space="preserve"> project is the potential impact the installation has on the local environmental conditions. </w:t>
      </w:r>
      <w:r w:rsidR="00E47449" w:rsidRPr="00FA08A3">
        <w:rPr>
          <w:lang w:val="en-GB"/>
        </w:rPr>
        <w:t>C</w:t>
      </w:r>
      <w:r w:rsidRPr="00FA08A3">
        <w:rPr>
          <w:lang w:val="en-GB"/>
        </w:rPr>
        <w:t xml:space="preserve">hanges in </w:t>
      </w:r>
      <w:r w:rsidR="00034A26" w:rsidRPr="00034A26">
        <w:rPr>
          <w:lang w:val="en-GB"/>
        </w:rPr>
        <w:t>ambient environment condition</w:t>
      </w:r>
      <w:r w:rsidR="00034A26">
        <w:rPr>
          <w:lang w:val="en-GB"/>
        </w:rPr>
        <w:t xml:space="preserve"> variable</w:t>
      </w:r>
      <w:r w:rsidR="00BA7C4A">
        <w:rPr>
          <w:lang w:val="en-GB"/>
        </w:rPr>
        <w:t>s,</w:t>
      </w:r>
      <w:r w:rsidRPr="00FA08A3">
        <w:rPr>
          <w:lang w:val="en-GB"/>
        </w:rPr>
        <w:t xml:space="preserve"> such as temperature </w:t>
      </w:r>
      <w:r w:rsidR="00BA0EE0">
        <w:rPr>
          <w:lang w:val="en-GB"/>
        </w:rPr>
        <w:t xml:space="preserve">and </w:t>
      </w:r>
      <w:r w:rsidRPr="00FA08A3">
        <w:rPr>
          <w:lang w:val="en-GB"/>
        </w:rPr>
        <w:t>humidity</w:t>
      </w:r>
      <w:r w:rsidR="00BA7C4A">
        <w:rPr>
          <w:lang w:val="en-GB"/>
        </w:rPr>
        <w:t>,</w:t>
      </w:r>
      <w:r w:rsidRPr="00FA08A3">
        <w:rPr>
          <w:lang w:val="en-GB"/>
        </w:rPr>
        <w:t xml:space="preserve"> can play a crucial role in the selection of the proper design for the </w:t>
      </w:r>
      <w:proofErr w:type="spellStart"/>
      <w:r w:rsidRPr="00FA08A3">
        <w:rPr>
          <w:lang w:val="en-GB"/>
        </w:rPr>
        <w:t>AgriPV</w:t>
      </w:r>
      <w:proofErr w:type="spellEnd"/>
      <w:r w:rsidRPr="00FA08A3">
        <w:rPr>
          <w:lang w:val="en-GB"/>
        </w:rPr>
        <w:t>. Design parameters</w:t>
      </w:r>
      <w:r w:rsidR="00531421">
        <w:rPr>
          <w:lang w:val="en-GB"/>
        </w:rPr>
        <w:t>,</w:t>
      </w:r>
      <w:r w:rsidRPr="00FA08A3">
        <w:rPr>
          <w:lang w:val="en-GB"/>
        </w:rPr>
        <w:t xml:space="preserve"> such as transparency, height of installation</w:t>
      </w:r>
      <w:r w:rsidR="00531421">
        <w:rPr>
          <w:lang w:val="en-GB"/>
        </w:rPr>
        <w:t xml:space="preserve"> and</w:t>
      </w:r>
      <w:r w:rsidRPr="00FA08A3">
        <w:rPr>
          <w:lang w:val="en-GB"/>
        </w:rPr>
        <w:t xml:space="preserve"> spacing</w:t>
      </w:r>
      <w:r w:rsidR="00531421">
        <w:rPr>
          <w:lang w:val="en-GB"/>
        </w:rPr>
        <w:t xml:space="preserve"> requirements,</w:t>
      </w:r>
      <w:r w:rsidRPr="00FA08A3">
        <w:rPr>
          <w:lang w:val="en-GB"/>
        </w:rPr>
        <w:t xml:space="preserve"> can be determined through understanding the effects of the installation on the microclimate. The microclimate impact analysis can be tackled at two different levels of detailing:</w:t>
      </w:r>
    </w:p>
    <w:p w14:paraId="12E9D0D2" w14:textId="38902536" w:rsidR="00EF317B" w:rsidRPr="00FA08A3" w:rsidRDefault="00EF317B" w:rsidP="00D91DC0">
      <w:pPr>
        <w:pStyle w:val="SWCBulletedList"/>
        <w:rPr>
          <w:lang w:val="en-GB"/>
        </w:rPr>
      </w:pPr>
      <w:r w:rsidRPr="00FA08A3">
        <w:rPr>
          <w:lang w:val="en-GB"/>
        </w:rPr>
        <w:t>At high, more generic level</w:t>
      </w:r>
      <w:r w:rsidR="00E47449" w:rsidRPr="00FA08A3">
        <w:rPr>
          <w:lang w:val="en-GB"/>
        </w:rPr>
        <w:t>,</w:t>
      </w:r>
      <w:r w:rsidRPr="00FA08A3">
        <w:rPr>
          <w:lang w:val="en-GB"/>
        </w:rPr>
        <w:t xml:space="preserve"> an analysis of </w:t>
      </w:r>
      <w:proofErr w:type="spellStart"/>
      <w:r w:rsidRPr="00FA08A3">
        <w:rPr>
          <w:lang w:val="en-GB"/>
        </w:rPr>
        <w:t>AgriPVs</w:t>
      </w:r>
      <w:proofErr w:type="spellEnd"/>
      <w:r w:rsidRPr="00FA08A3">
        <w:rPr>
          <w:lang w:val="en-GB"/>
        </w:rPr>
        <w:t xml:space="preserve"> impact </w:t>
      </w:r>
      <w:r w:rsidR="005A2F3F" w:rsidRPr="00FA08A3">
        <w:rPr>
          <w:lang w:val="en-GB"/>
        </w:rPr>
        <w:t xml:space="preserve">on microclimate </w:t>
      </w:r>
      <w:r w:rsidRPr="00FA08A3">
        <w:rPr>
          <w:lang w:val="en-GB"/>
        </w:rPr>
        <w:t xml:space="preserve">can provide </w:t>
      </w:r>
      <w:r w:rsidR="005A2F3F" w:rsidRPr="00FA08A3">
        <w:rPr>
          <w:lang w:val="en-GB"/>
        </w:rPr>
        <w:t xml:space="preserve">insights regarding the potential of the installation </w:t>
      </w:r>
      <w:r w:rsidR="00E47449" w:rsidRPr="00FA08A3">
        <w:rPr>
          <w:lang w:val="en-GB"/>
        </w:rPr>
        <w:t>at</w:t>
      </w:r>
      <w:r w:rsidR="005A2F3F" w:rsidRPr="00FA08A3">
        <w:rPr>
          <w:lang w:val="en-GB"/>
        </w:rPr>
        <w:t xml:space="preserve"> a specific site.</w:t>
      </w:r>
    </w:p>
    <w:p w14:paraId="48D2A970" w14:textId="1262F5D5" w:rsidR="005A2F3F" w:rsidRPr="00FA08A3" w:rsidRDefault="005A2F3F" w:rsidP="00D91DC0">
      <w:pPr>
        <w:pStyle w:val="SWCBulletedList"/>
        <w:rPr>
          <w:lang w:val="en-GB"/>
        </w:rPr>
      </w:pPr>
      <w:r w:rsidRPr="00FA08A3">
        <w:rPr>
          <w:lang w:val="en-GB"/>
        </w:rPr>
        <w:t xml:space="preserve">A more specific assessment that takes into account the exact design characteristics of the </w:t>
      </w:r>
      <w:proofErr w:type="spellStart"/>
      <w:r w:rsidRPr="00FA08A3">
        <w:rPr>
          <w:lang w:val="en-GB"/>
        </w:rPr>
        <w:t>AgriPV</w:t>
      </w:r>
      <w:proofErr w:type="spellEnd"/>
      <w:r w:rsidRPr="00FA08A3">
        <w:rPr>
          <w:lang w:val="en-GB"/>
        </w:rPr>
        <w:t xml:space="preserve"> could also be adopted.</w:t>
      </w:r>
    </w:p>
    <w:p w14:paraId="797D955D" w14:textId="0A12392D" w:rsidR="005A2F3F" w:rsidRPr="00FA08A3" w:rsidRDefault="005A2F3F" w:rsidP="005A2F3F">
      <w:pPr>
        <w:pStyle w:val="SWCText"/>
        <w:rPr>
          <w:lang w:val="en-GB"/>
        </w:rPr>
      </w:pPr>
      <w:r w:rsidRPr="00FA08A3">
        <w:rPr>
          <w:lang w:val="en-GB"/>
        </w:rPr>
        <w:lastRenderedPageBreak/>
        <w:t>The latter approach requires knowledge of detailed</w:t>
      </w:r>
      <w:r w:rsidR="00950429">
        <w:rPr>
          <w:lang w:val="en-GB"/>
        </w:rPr>
        <w:t>,</w:t>
      </w:r>
      <w:r w:rsidRPr="00FA08A3">
        <w:rPr>
          <w:lang w:val="en-GB"/>
        </w:rPr>
        <w:t xml:space="preserve"> complex models for calculati</w:t>
      </w:r>
      <w:r w:rsidR="00BF0901">
        <w:rPr>
          <w:lang w:val="en-GB"/>
        </w:rPr>
        <w:t>ng the effects</w:t>
      </w:r>
      <w:r w:rsidRPr="00FA08A3">
        <w:rPr>
          <w:lang w:val="en-GB"/>
        </w:rPr>
        <w:t xml:space="preserve"> of an actual </w:t>
      </w:r>
      <w:proofErr w:type="spellStart"/>
      <w:r w:rsidRPr="00FA08A3">
        <w:rPr>
          <w:lang w:val="en-GB"/>
        </w:rPr>
        <w:t>AgriPV</w:t>
      </w:r>
      <w:proofErr w:type="spellEnd"/>
      <w:r w:rsidRPr="00FA08A3">
        <w:rPr>
          <w:lang w:val="en-GB"/>
        </w:rPr>
        <w:t xml:space="preserve"> setup on a crop. Based on the results of such an analysis that derive from simulations, a streamlining of the </w:t>
      </w:r>
      <w:proofErr w:type="spellStart"/>
      <w:r w:rsidRPr="00FA08A3">
        <w:rPr>
          <w:lang w:val="en-GB"/>
        </w:rPr>
        <w:t>AgriPV</w:t>
      </w:r>
      <w:proofErr w:type="spellEnd"/>
      <w:r w:rsidRPr="00FA08A3">
        <w:rPr>
          <w:lang w:val="en-GB"/>
        </w:rPr>
        <w:t xml:space="preserve"> can be achieved. In this case, the step of Microclimate Effects assessment of Fig. 1 becomes part of the iteration phase rather than the initial stage of the analysis. However, due to the complexity of this step, in the present study the microclimate impact has been </w:t>
      </w:r>
      <w:r w:rsidR="00E47449" w:rsidRPr="00FA08A3">
        <w:rPr>
          <w:lang w:val="en-GB"/>
        </w:rPr>
        <w:t>assessed</w:t>
      </w:r>
      <w:r w:rsidRPr="00FA08A3">
        <w:rPr>
          <w:lang w:val="en-GB"/>
        </w:rPr>
        <w:t xml:space="preserve"> only </w:t>
      </w:r>
      <w:r w:rsidR="00252034">
        <w:rPr>
          <w:lang w:val="en-GB"/>
        </w:rPr>
        <w:t>based on existing knowledge and not by means of dedicated simulations or measurement</w:t>
      </w:r>
      <w:r w:rsidR="00A438D7">
        <w:rPr>
          <w:lang w:val="en-GB"/>
        </w:rPr>
        <w:t>s</w:t>
      </w:r>
      <w:r w:rsidRPr="00FA08A3">
        <w:rPr>
          <w:lang w:val="en-GB"/>
        </w:rPr>
        <w:t xml:space="preserve">, providing some more general insights on the microclimate impact </w:t>
      </w:r>
      <w:proofErr w:type="spellStart"/>
      <w:r w:rsidRPr="00FA08A3">
        <w:rPr>
          <w:lang w:val="en-GB"/>
        </w:rPr>
        <w:t>AgriPVs</w:t>
      </w:r>
      <w:proofErr w:type="spellEnd"/>
      <w:r w:rsidRPr="00FA08A3">
        <w:rPr>
          <w:lang w:val="en-GB"/>
        </w:rPr>
        <w:t xml:space="preserve"> have. An overview of the most important findings </w:t>
      </w:r>
      <w:r w:rsidR="00422F03">
        <w:rPr>
          <w:lang w:val="en-GB"/>
        </w:rPr>
        <w:t>in the</w:t>
      </w:r>
      <w:r w:rsidRPr="00FA08A3">
        <w:rPr>
          <w:lang w:val="en-GB"/>
        </w:rPr>
        <w:t xml:space="preserve"> literature show</w:t>
      </w:r>
      <w:r w:rsidR="00422F03">
        <w:rPr>
          <w:lang w:val="en-GB"/>
        </w:rPr>
        <w:t>s</w:t>
      </w:r>
      <w:r w:rsidRPr="00FA08A3">
        <w:rPr>
          <w:lang w:val="en-GB"/>
        </w:rPr>
        <w:t xml:space="preserve"> that </w:t>
      </w:r>
      <w:proofErr w:type="spellStart"/>
      <w:r w:rsidRPr="00FA08A3">
        <w:rPr>
          <w:lang w:val="en-GB"/>
        </w:rPr>
        <w:t>AgriPVs</w:t>
      </w:r>
      <w:proofErr w:type="spellEnd"/>
      <w:r w:rsidRPr="00FA08A3">
        <w:rPr>
          <w:lang w:val="en-GB"/>
        </w:rPr>
        <w:t xml:space="preserve"> can impact specific environmental variables such as temperature and humidity. In general</w:t>
      </w:r>
      <w:r w:rsidR="000768E4" w:rsidRPr="00FA08A3">
        <w:rPr>
          <w:lang w:val="en-GB"/>
        </w:rPr>
        <w:t>,</w:t>
      </w:r>
      <w:r w:rsidRPr="00FA08A3">
        <w:rPr>
          <w:lang w:val="en-GB"/>
        </w:rPr>
        <w:t xml:space="preserve"> studies </w:t>
      </w:r>
      <w:r w:rsidR="000768E4" w:rsidRPr="00FA08A3">
        <w:rPr>
          <w:lang w:val="en-GB"/>
        </w:rPr>
        <w:t xml:space="preserve">(e.g., </w:t>
      </w:r>
      <w:proofErr w:type="spellStart"/>
      <w:r w:rsidR="000768E4" w:rsidRPr="00FA08A3">
        <w:rPr>
          <w:lang w:val="en-GB"/>
        </w:rPr>
        <w:t>Τrommsdorff</w:t>
      </w:r>
      <w:proofErr w:type="spellEnd"/>
      <w:r w:rsidR="000768E4" w:rsidRPr="00FA08A3">
        <w:rPr>
          <w:lang w:val="en-GB"/>
        </w:rPr>
        <w:t xml:space="preserve"> et al.</w:t>
      </w:r>
      <w:r w:rsidR="00E47449" w:rsidRPr="00FA08A3">
        <w:rPr>
          <w:lang w:val="en-GB"/>
        </w:rPr>
        <w:t>,</w:t>
      </w:r>
      <w:r w:rsidR="000768E4" w:rsidRPr="00FA08A3">
        <w:rPr>
          <w:lang w:val="en-GB"/>
        </w:rPr>
        <w:t xml:space="preserve"> 2024) </w:t>
      </w:r>
      <w:r w:rsidRPr="00FA08A3">
        <w:rPr>
          <w:lang w:val="en-GB"/>
        </w:rPr>
        <w:t xml:space="preserve">show that </w:t>
      </w:r>
      <w:proofErr w:type="spellStart"/>
      <w:r w:rsidR="000768E4" w:rsidRPr="00FA08A3">
        <w:rPr>
          <w:lang w:val="en-GB"/>
        </w:rPr>
        <w:t>AgriPVs</w:t>
      </w:r>
      <w:proofErr w:type="spellEnd"/>
      <w:r w:rsidR="000768E4" w:rsidRPr="00FA08A3">
        <w:rPr>
          <w:lang w:val="en-GB"/>
        </w:rPr>
        <w:t xml:space="preserve"> can moderate extreme temperatures during spells of heatwaves or frost, with more prominent impact in the soil than the air temperature. Furthermore, the use of </w:t>
      </w:r>
      <w:proofErr w:type="spellStart"/>
      <w:r w:rsidR="000768E4" w:rsidRPr="00FA08A3">
        <w:rPr>
          <w:lang w:val="en-GB"/>
        </w:rPr>
        <w:t>AgriPVs</w:t>
      </w:r>
      <w:proofErr w:type="spellEnd"/>
      <w:r w:rsidR="000768E4" w:rsidRPr="00FA08A3">
        <w:rPr>
          <w:lang w:val="en-GB"/>
        </w:rPr>
        <w:t xml:space="preserve"> reduces the evapotranspiration of plants resulting in lower</w:t>
      </w:r>
      <w:r w:rsidR="00AD1033">
        <w:rPr>
          <w:lang w:val="en-GB"/>
        </w:rPr>
        <w:t xml:space="preserve"> irrigation</w:t>
      </w:r>
      <w:r w:rsidR="000768E4" w:rsidRPr="00FA08A3">
        <w:rPr>
          <w:lang w:val="en-GB"/>
        </w:rPr>
        <w:t xml:space="preserve"> needs. Lastly, it should be mentioned that the proper design and installation of the </w:t>
      </w:r>
      <w:proofErr w:type="spellStart"/>
      <w:r w:rsidR="000768E4" w:rsidRPr="00FA08A3">
        <w:rPr>
          <w:lang w:val="en-GB"/>
        </w:rPr>
        <w:t>AgriPVs</w:t>
      </w:r>
      <w:proofErr w:type="spellEnd"/>
      <w:r w:rsidR="000768E4" w:rsidRPr="00FA08A3">
        <w:rPr>
          <w:lang w:val="en-GB"/>
        </w:rPr>
        <w:t xml:space="preserve">, </w:t>
      </w:r>
      <w:r w:rsidR="00E47449" w:rsidRPr="00FA08A3">
        <w:rPr>
          <w:lang w:val="en-GB"/>
        </w:rPr>
        <w:t>and</w:t>
      </w:r>
      <w:r w:rsidR="000768E4" w:rsidRPr="00FA08A3">
        <w:rPr>
          <w:lang w:val="en-GB"/>
        </w:rPr>
        <w:t xml:space="preserve"> one of the key aspects of the present study, is the use of the </w:t>
      </w:r>
      <w:proofErr w:type="spellStart"/>
      <w:r w:rsidR="000768E4" w:rsidRPr="00FA08A3">
        <w:rPr>
          <w:lang w:val="en-GB"/>
        </w:rPr>
        <w:t>AgriPV</w:t>
      </w:r>
      <w:proofErr w:type="spellEnd"/>
      <w:r w:rsidR="000768E4" w:rsidRPr="00FA08A3">
        <w:rPr>
          <w:lang w:val="en-GB"/>
        </w:rPr>
        <w:t xml:space="preserve"> in order to provide protection against extreme or severe weather events such as heavy rainfall, snowfall</w:t>
      </w:r>
      <w:r w:rsidR="00EB33C1">
        <w:rPr>
          <w:lang w:val="en-GB"/>
        </w:rPr>
        <w:t>, and</w:t>
      </w:r>
      <w:r w:rsidR="000768E4" w:rsidRPr="00FA08A3">
        <w:rPr>
          <w:lang w:val="en-GB"/>
        </w:rPr>
        <w:t xml:space="preserve"> hail. This aspect, combined with the possibility of collecting and reusing rainwater, provides a more </w:t>
      </w:r>
      <w:r w:rsidR="004F41E8">
        <w:rPr>
          <w:lang w:val="en-GB"/>
        </w:rPr>
        <w:t>agroecological</w:t>
      </w:r>
      <w:r w:rsidR="000768E4" w:rsidRPr="00FA08A3">
        <w:rPr>
          <w:lang w:val="en-GB"/>
        </w:rPr>
        <w:t xml:space="preserve"> </w:t>
      </w:r>
      <w:r w:rsidR="007D6AA6" w:rsidRPr="00FA08A3">
        <w:rPr>
          <w:lang w:val="en-GB"/>
        </w:rPr>
        <w:t xml:space="preserve">protection of the crop, which constitutes </w:t>
      </w:r>
      <w:r w:rsidR="001630EF">
        <w:rPr>
          <w:lang w:val="en-GB"/>
        </w:rPr>
        <w:t xml:space="preserve">further evidence of their </w:t>
      </w:r>
      <w:r w:rsidR="007D6AA6" w:rsidRPr="00FA08A3">
        <w:rPr>
          <w:lang w:val="en-GB"/>
        </w:rPr>
        <w:t xml:space="preserve">significant impact on </w:t>
      </w:r>
      <w:r w:rsidR="001630EF">
        <w:rPr>
          <w:lang w:val="en-GB"/>
        </w:rPr>
        <w:t xml:space="preserve">the </w:t>
      </w:r>
      <w:r w:rsidR="007D6AA6" w:rsidRPr="00FA08A3">
        <w:rPr>
          <w:lang w:val="en-GB"/>
        </w:rPr>
        <w:t xml:space="preserve">microclimate. All the positive traits of </w:t>
      </w:r>
      <w:proofErr w:type="spellStart"/>
      <w:r w:rsidR="007D6AA6" w:rsidRPr="00FA08A3">
        <w:rPr>
          <w:lang w:val="en-GB"/>
        </w:rPr>
        <w:t>AgriPVs</w:t>
      </w:r>
      <w:proofErr w:type="spellEnd"/>
      <w:r w:rsidR="007D6AA6" w:rsidRPr="00FA08A3">
        <w:rPr>
          <w:lang w:val="en-GB"/>
        </w:rPr>
        <w:t xml:space="preserve"> in this context can also lead to </w:t>
      </w:r>
      <w:r w:rsidR="00DA760B">
        <w:rPr>
          <w:lang w:val="en-GB"/>
        </w:rPr>
        <w:t xml:space="preserve">improved </w:t>
      </w:r>
      <w:r w:rsidR="007D6AA6" w:rsidRPr="00FA08A3">
        <w:rPr>
          <w:lang w:val="en-GB"/>
        </w:rPr>
        <w:t>farming conditions and subsequent crop yield quality.</w:t>
      </w:r>
    </w:p>
    <w:p w14:paraId="7311E9F0" w14:textId="026A7C6C" w:rsidR="00C85B7B" w:rsidRPr="00FA08A3" w:rsidRDefault="008066CF" w:rsidP="00C85B7B">
      <w:pPr>
        <w:pStyle w:val="SWCText"/>
        <w:rPr>
          <w:rFonts w:ascii="Arial" w:hAnsi="Arial"/>
          <w:bCs/>
          <w:i/>
          <w:iCs/>
          <w:szCs w:val="24"/>
          <w:lang w:val="en-GB"/>
        </w:rPr>
      </w:pPr>
      <w:r w:rsidRPr="00FA08A3">
        <w:rPr>
          <w:rFonts w:ascii="Arial" w:hAnsi="Arial"/>
          <w:bCs/>
          <w:i/>
          <w:iCs/>
          <w:szCs w:val="24"/>
          <w:lang w:val="en-GB"/>
        </w:rPr>
        <w:t>2</w:t>
      </w:r>
      <w:r w:rsidR="00C85B7B" w:rsidRPr="00FA08A3">
        <w:rPr>
          <w:rFonts w:ascii="Arial" w:hAnsi="Arial"/>
          <w:bCs/>
          <w:i/>
          <w:iCs/>
          <w:szCs w:val="24"/>
          <w:lang w:val="en-GB"/>
        </w:rPr>
        <w:t>.</w:t>
      </w:r>
      <w:r w:rsidR="00EF317B" w:rsidRPr="00FA08A3">
        <w:rPr>
          <w:rFonts w:ascii="Arial" w:hAnsi="Arial"/>
          <w:bCs/>
          <w:i/>
          <w:iCs/>
          <w:szCs w:val="24"/>
          <w:lang w:val="en-GB"/>
        </w:rPr>
        <w:t>3</w:t>
      </w:r>
      <w:r w:rsidR="00C85B7B" w:rsidRPr="00FA08A3">
        <w:rPr>
          <w:rFonts w:ascii="Arial" w:hAnsi="Arial"/>
          <w:bCs/>
          <w:i/>
          <w:iCs/>
          <w:szCs w:val="24"/>
          <w:lang w:val="en-GB"/>
        </w:rPr>
        <w:t>. Crop requirements</w:t>
      </w:r>
    </w:p>
    <w:p w14:paraId="1AFFBEB5" w14:textId="79BE8CA6" w:rsidR="00D361A4" w:rsidRPr="00FA08A3" w:rsidRDefault="00C85B7B" w:rsidP="00C85B7B">
      <w:pPr>
        <w:pStyle w:val="SWCText"/>
        <w:rPr>
          <w:lang w:val="en-GB"/>
        </w:rPr>
      </w:pPr>
      <w:r w:rsidRPr="00FA08A3">
        <w:rPr>
          <w:lang w:val="en-GB"/>
        </w:rPr>
        <w:t xml:space="preserve">Identifying specific crop requirements is a prerequisite for a successful and optimized </w:t>
      </w:r>
      <w:proofErr w:type="spellStart"/>
      <w:r w:rsidRPr="00FA08A3">
        <w:rPr>
          <w:lang w:val="en-GB"/>
        </w:rPr>
        <w:t>AgriPV</w:t>
      </w:r>
      <w:proofErr w:type="spellEnd"/>
      <w:r w:rsidRPr="00FA08A3">
        <w:rPr>
          <w:lang w:val="en-GB"/>
        </w:rPr>
        <w:t xml:space="preserve"> design. In the framework of this study</w:t>
      </w:r>
      <w:r w:rsidR="00E05A73">
        <w:rPr>
          <w:lang w:val="en-GB"/>
        </w:rPr>
        <w:t>,</w:t>
      </w:r>
      <w:r w:rsidRPr="00FA08A3">
        <w:rPr>
          <w:lang w:val="en-GB"/>
        </w:rPr>
        <w:t xml:space="preserve"> two types of crops, namely vineyards and peach trees</w:t>
      </w:r>
      <w:r w:rsidR="00DB2E98" w:rsidRPr="00FA08A3">
        <w:rPr>
          <w:lang w:val="en-GB"/>
        </w:rPr>
        <w:t>,</w:t>
      </w:r>
      <w:r w:rsidRPr="00FA08A3">
        <w:rPr>
          <w:lang w:val="en-GB"/>
        </w:rPr>
        <w:t xml:space="preserve"> are </w:t>
      </w:r>
      <w:r w:rsidR="00DB2E98" w:rsidRPr="00FA08A3">
        <w:rPr>
          <w:lang w:val="en-GB"/>
        </w:rPr>
        <w:t>selected</w:t>
      </w:r>
      <w:r w:rsidR="00474340" w:rsidRPr="00FA08A3">
        <w:rPr>
          <w:lang w:val="en-GB"/>
        </w:rPr>
        <w:t xml:space="preserve"> as</w:t>
      </w:r>
      <w:r w:rsidR="00DB2E98" w:rsidRPr="00FA08A3">
        <w:rPr>
          <w:lang w:val="en-GB"/>
        </w:rPr>
        <w:t xml:space="preserve"> </w:t>
      </w:r>
      <w:r w:rsidRPr="00FA08A3">
        <w:rPr>
          <w:lang w:val="en-GB"/>
        </w:rPr>
        <w:t xml:space="preserve">the crops of interest regarding key requirements. </w:t>
      </w:r>
      <w:r w:rsidR="00B44243">
        <w:rPr>
          <w:lang w:val="en-GB"/>
        </w:rPr>
        <w:t>Some</w:t>
      </w:r>
      <w:r w:rsidR="00DB2E98" w:rsidRPr="00FA08A3">
        <w:rPr>
          <w:lang w:val="en-GB"/>
        </w:rPr>
        <w:t xml:space="preserve"> crop requirements are </w:t>
      </w:r>
      <w:r w:rsidR="00B44243">
        <w:rPr>
          <w:lang w:val="en-GB"/>
        </w:rPr>
        <w:t>particular</w:t>
      </w:r>
      <w:r w:rsidR="00DB2E98" w:rsidRPr="00FA08A3">
        <w:rPr>
          <w:lang w:val="en-GB"/>
        </w:rPr>
        <w:t xml:space="preserve"> to the selected type of crop, </w:t>
      </w:r>
      <w:r w:rsidR="00B44243">
        <w:rPr>
          <w:lang w:val="en-GB"/>
        </w:rPr>
        <w:t>whereas other</w:t>
      </w:r>
      <w:r w:rsidR="00DB2E98" w:rsidRPr="00FA08A3">
        <w:rPr>
          <w:lang w:val="en-GB"/>
        </w:rPr>
        <w:t xml:space="preserve"> specific aspects can be generalized for nearly any kind of crop. A case in point is the amount of solar irradiation that reaches the plants underneath. The right balance between light and shadow for a crop can be expressed in terms of the Photosynthetically Active Radiation (PAR) and </w:t>
      </w:r>
      <w:r w:rsidR="00474340" w:rsidRPr="00FA08A3">
        <w:rPr>
          <w:lang w:val="en-GB"/>
        </w:rPr>
        <w:t>l</w:t>
      </w:r>
      <w:r w:rsidR="00DB2E98" w:rsidRPr="00FA08A3">
        <w:rPr>
          <w:lang w:val="en-GB"/>
        </w:rPr>
        <w:t xml:space="preserve">ight-saturation curves. A </w:t>
      </w:r>
      <w:r w:rsidR="00474340" w:rsidRPr="00FA08A3">
        <w:rPr>
          <w:lang w:val="en-GB"/>
        </w:rPr>
        <w:t xml:space="preserve">definition for </w:t>
      </w:r>
      <w:r w:rsidR="00DB2E98" w:rsidRPr="00FA08A3">
        <w:rPr>
          <w:lang w:val="en-GB"/>
        </w:rPr>
        <w:t xml:space="preserve">the PAR is provided in the following </w:t>
      </w:r>
      <w:r w:rsidR="00D361A4" w:rsidRPr="00FA08A3">
        <w:rPr>
          <w:lang w:val="en-GB"/>
        </w:rPr>
        <w:t xml:space="preserve">subsections. The key parameter determining the crop requirement, which is the light-saturation curve can be expressed in a generalized theoretical form as shown </w:t>
      </w:r>
      <w:r w:rsidR="00915C21" w:rsidRPr="00FA08A3">
        <w:rPr>
          <w:lang w:val="en-GB"/>
        </w:rPr>
        <w:t>on the left-hand side diagram of</w:t>
      </w:r>
      <w:r w:rsidR="00D361A4" w:rsidRPr="00FA08A3">
        <w:rPr>
          <w:lang w:val="en-GB"/>
        </w:rPr>
        <w:t xml:space="preserve"> Fig. 2</w:t>
      </w:r>
      <w:r w:rsidR="008B21AF" w:rsidRPr="00FA08A3">
        <w:rPr>
          <w:lang w:val="en-GB"/>
        </w:rPr>
        <w:t xml:space="preserve"> (</w:t>
      </w:r>
      <w:r w:rsidR="00474340" w:rsidRPr="00FA08A3">
        <w:rPr>
          <w:lang w:val="en-GB"/>
        </w:rPr>
        <w:t xml:space="preserve">Benedetti et al., 2018; </w:t>
      </w:r>
      <w:r w:rsidR="008B21AF" w:rsidRPr="00FA08A3">
        <w:rPr>
          <w:lang w:val="en-GB"/>
        </w:rPr>
        <w:t>Ghosh, 2023;</w:t>
      </w:r>
      <w:r w:rsidR="001D1BA2" w:rsidRPr="00FA08A3">
        <w:rPr>
          <w:lang w:val="en-GB"/>
        </w:rPr>
        <w:t xml:space="preserve"> Lu et al., </w:t>
      </w:r>
      <w:r w:rsidR="00716992" w:rsidRPr="00FA08A3">
        <w:rPr>
          <w:lang w:val="en-GB"/>
        </w:rPr>
        <w:t>2022</w:t>
      </w:r>
      <w:r w:rsidR="008B21AF" w:rsidRPr="00FA08A3">
        <w:rPr>
          <w:lang w:val="en-GB"/>
        </w:rPr>
        <w:t>)</w:t>
      </w:r>
      <w:r w:rsidR="00D361A4" w:rsidRPr="00FA08A3">
        <w:rPr>
          <w:lang w:val="en-GB"/>
        </w:rPr>
        <w:t>. This curve expresses the photosynthesis rate for plants and is an index of the</w:t>
      </w:r>
      <w:r w:rsidR="00E05A73">
        <w:rPr>
          <w:lang w:val="en-GB"/>
        </w:rPr>
        <w:t>ir</w:t>
      </w:r>
      <w:r w:rsidR="00D361A4" w:rsidRPr="00FA08A3">
        <w:rPr>
          <w:lang w:val="en-GB"/>
        </w:rPr>
        <w:t xml:space="preserve"> productivity and growth rate. As can be seen in the diagram, there are three basic areas, within which the photosynthesis rate changes. These are the light-limitation area with a prominent linear </w:t>
      </w:r>
      <w:r w:rsidR="008B21AF" w:rsidRPr="00FA08A3">
        <w:rPr>
          <w:lang w:val="en-GB"/>
        </w:rPr>
        <w:t>region (constant slope), the photo-saturation region in which the photosynthesis plateaus and becomes maximum (P</w:t>
      </w:r>
      <w:r w:rsidR="008B21AF" w:rsidRPr="00FA08A3">
        <w:rPr>
          <w:vertAlign w:val="subscript"/>
          <w:lang w:val="en-GB"/>
        </w:rPr>
        <w:t>max</w:t>
      </w:r>
      <w:r w:rsidR="008B21AF" w:rsidRPr="00FA08A3">
        <w:rPr>
          <w:lang w:val="en-GB"/>
        </w:rPr>
        <w:t xml:space="preserve">), and the photo-inhibition region, where further increase in the PAR levels may result in </w:t>
      </w:r>
      <w:r w:rsidR="00040E8C">
        <w:rPr>
          <w:lang w:val="en-GB"/>
        </w:rPr>
        <w:t xml:space="preserve">a </w:t>
      </w:r>
      <w:r w:rsidR="008B21AF" w:rsidRPr="00FA08A3">
        <w:rPr>
          <w:lang w:val="en-GB"/>
        </w:rPr>
        <w:t xml:space="preserve">reduction in the photosynthesis rate. </w:t>
      </w:r>
    </w:p>
    <w:p w14:paraId="00C681FE" w14:textId="15A2A9A9" w:rsidR="00C85B7B" w:rsidRPr="00FA08A3" w:rsidRDefault="00D361A4" w:rsidP="00D361A4">
      <w:pPr>
        <w:pStyle w:val="SWCText"/>
        <w:jc w:val="center"/>
        <w:rPr>
          <w:lang w:val="en-GB"/>
        </w:rPr>
      </w:pPr>
      <w:r w:rsidRPr="00FA08A3">
        <w:rPr>
          <w:noProof/>
          <w:lang w:val="en-GB"/>
        </w:rPr>
        <w:drawing>
          <wp:inline distT="0" distB="0" distL="0" distR="0" wp14:anchorId="26BA12C0" wp14:editId="7A62F7AE">
            <wp:extent cx="2844732" cy="2095036"/>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87534" cy="2126558"/>
                    </a:xfrm>
                    <a:prstGeom prst="rect">
                      <a:avLst/>
                    </a:prstGeom>
                  </pic:spPr>
                </pic:pic>
              </a:graphicData>
            </a:graphic>
          </wp:inline>
        </w:drawing>
      </w:r>
      <w:r w:rsidR="00A5765A" w:rsidRPr="00FA08A3">
        <w:rPr>
          <w:noProof/>
          <w:lang w:val="en-GB"/>
        </w:rPr>
        <w:drawing>
          <wp:inline distT="0" distB="0" distL="0" distR="0" wp14:anchorId="1C537B02" wp14:editId="0A2AF633">
            <wp:extent cx="2853983" cy="210185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73617" cy="2116310"/>
                    </a:xfrm>
                    <a:prstGeom prst="rect">
                      <a:avLst/>
                    </a:prstGeom>
                  </pic:spPr>
                </pic:pic>
              </a:graphicData>
            </a:graphic>
          </wp:inline>
        </w:drawing>
      </w:r>
    </w:p>
    <w:p w14:paraId="28C6EF35" w14:textId="1B8B5724" w:rsidR="00D361A4" w:rsidRPr="00FA08A3" w:rsidRDefault="00D361A4" w:rsidP="00D361A4">
      <w:pPr>
        <w:pStyle w:val="SWCTableFigureCaption"/>
        <w:rPr>
          <w:lang w:val="en-GB"/>
        </w:rPr>
      </w:pPr>
      <w:bookmarkStart w:id="7" w:name="_Hlk238554365"/>
      <w:r w:rsidRPr="00FA08A3">
        <w:rPr>
          <w:lang w:val="en-GB"/>
        </w:rPr>
        <w:t>Fig. 2: Generalized model of light-saturation curves</w:t>
      </w:r>
    </w:p>
    <w:bookmarkEnd w:id="7"/>
    <w:p w14:paraId="2C3D778B" w14:textId="2489CEEA" w:rsidR="00D361A4" w:rsidRPr="00FA08A3" w:rsidRDefault="000F20D5" w:rsidP="00716992">
      <w:pPr>
        <w:pStyle w:val="SWCText"/>
        <w:rPr>
          <w:lang w:val="en-GB"/>
        </w:rPr>
      </w:pPr>
      <w:r w:rsidRPr="00FA08A3">
        <w:rPr>
          <w:lang w:val="en-GB"/>
        </w:rPr>
        <w:t>Studies regarding selected crops (</w:t>
      </w:r>
      <w:r w:rsidR="00474340" w:rsidRPr="00FA08A3">
        <w:rPr>
          <w:lang w:val="en-GB"/>
        </w:rPr>
        <w:t xml:space="preserve">Greer and Weedon, 2012; </w:t>
      </w:r>
      <w:proofErr w:type="spellStart"/>
      <w:r w:rsidRPr="00FA08A3">
        <w:rPr>
          <w:lang w:val="en-GB"/>
        </w:rPr>
        <w:t>Losciale</w:t>
      </w:r>
      <w:proofErr w:type="spellEnd"/>
      <w:r w:rsidRPr="00FA08A3">
        <w:rPr>
          <w:lang w:val="en-GB"/>
        </w:rPr>
        <w:t xml:space="preserve"> et al., 2010), namely grapevines and peach trees, show that the generic photosynthesis model shown in Fig. 2 applies to actual plants where the photosynthesis rate increases within the first (light-limitation) region until it plateaus in the photo-saturation region. The exact values of the photosynthesis curves, such as P</w:t>
      </w:r>
      <w:r w:rsidRPr="00FA08A3">
        <w:rPr>
          <w:vertAlign w:val="subscript"/>
          <w:lang w:val="en-GB"/>
        </w:rPr>
        <w:t xml:space="preserve">max, </w:t>
      </w:r>
      <w:r w:rsidRPr="00FA08A3">
        <w:rPr>
          <w:lang w:val="en-GB"/>
        </w:rPr>
        <w:t>photo-saturation range, etc. depend on a number of factors, such as the ambient temperature, the growth stage of the plants, but also on the amount of sha</w:t>
      </w:r>
      <w:r w:rsidR="00E32F16" w:rsidRPr="00FA08A3">
        <w:rPr>
          <w:lang w:val="en-GB"/>
        </w:rPr>
        <w:t>d</w:t>
      </w:r>
      <w:r w:rsidRPr="00FA08A3">
        <w:rPr>
          <w:lang w:val="en-GB"/>
        </w:rPr>
        <w:t xml:space="preserve">ing. </w:t>
      </w:r>
      <w:r w:rsidR="00E32F16" w:rsidRPr="00FA08A3">
        <w:rPr>
          <w:lang w:val="en-GB"/>
        </w:rPr>
        <w:t>Regarding the response of plants in different irradiation conditions, according to studies (</w:t>
      </w:r>
      <w:proofErr w:type="spellStart"/>
      <w:r w:rsidR="00E32F16" w:rsidRPr="00FA08A3">
        <w:rPr>
          <w:lang w:val="en-GB"/>
        </w:rPr>
        <w:t>Gjindali</w:t>
      </w:r>
      <w:proofErr w:type="spellEnd"/>
      <w:r w:rsidR="00E32F16" w:rsidRPr="00FA08A3">
        <w:rPr>
          <w:lang w:val="en-GB"/>
        </w:rPr>
        <w:t xml:space="preserve"> and Johnson, 2023) </w:t>
      </w:r>
      <w:r w:rsidR="00B44243" w:rsidRPr="00FA08A3">
        <w:rPr>
          <w:lang w:val="en-GB"/>
        </w:rPr>
        <w:t>it can be seen</w:t>
      </w:r>
      <w:r w:rsidR="00B44243" w:rsidRPr="00FA08A3">
        <w:rPr>
          <w:lang w:val="en-GB"/>
        </w:rPr>
        <w:t xml:space="preserve"> </w:t>
      </w:r>
      <w:r w:rsidR="00E32F16" w:rsidRPr="00FA08A3">
        <w:rPr>
          <w:lang w:val="en-GB"/>
        </w:rPr>
        <w:t xml:space="preserve">that plants adapt their photosynthesis rate as </w:t>
      </w:r>
      <w:r w:rsidR="00602E59">
        <w:rPr>
          <w:lang w:val="en-GB"/>
        </w:rPr>
        <w:t>a</w:t>
      </w:r>
      <w:r w:rsidR="00E32F16" w:rsidRPr="00FA08A3">
        <w:rPr>
          <w:lang w:val="en-GB"/>
        </w:rPr>
        <w:t xml:space="preserve"> result of acclimati</w:t>
      </w:r>
      <w:r w:rsidR="00602E59">
        <w:rPr>
          <w:lang w:val="en-GB"/>
        </w:rPr>
        <w:t>on</w:t>
      </w:r>
      <w:r w:rsidR="00E32F16" w:rsidRPr="00FA08A3">
        <w:rPr>
          <w:lang w:val="en-GB"/>
        </w:rPr>
        <w:t xml:space="preserve"> to solar irradiation variations. This results </w:t>
      </w:r>
      <w:r w:rsidR="00E32F16" w:rsidRPr="00FA08A3">
        <w:rPr>
          <w:lang w:val="en-GB"/>
        </w:rPr>
        <w:lastRenderedPageBreak/>
        <w:t>in a modified</w:t>
      </w:r>
      <w:r w:rsidRPr="00FA08A3">
        <w:rPr>
          <w:lang w:val="en-GB"/>
        </w:rPr>
        <w:t xml:space="preserve"> </w:t>
      </w:r>
      <w:r w:rsidR="00E32F16" w:rsidRPr="00FA08A3">
        <w:rPr>
          <w:lang w:val="en-GB"/>
        </w:rPr>
        <w:t>photosynthesis curve with different levels of P</w:t>
      </w:r>
      <w:r w:rsidR="00E32F16" w:rsidRPr="00FA08A3">
        <w:rPr>
          <w:vertAlign w:val="subscript"/>
          <w:lang w:val="en-GB"/>
        </w:rPr>
        <w:t xml:space="preserve">max </w:t>
      </w:r>
      <w:r w:rsidR="00E32F16" w:rsidRPr="00FA08A3">
        <w:rPr>
          <w:vertAlign w:val="subscript"/>
          <w:lang w:val="en-GB"/>
        </w:rPr>
        <w:softHyphen/>
      </w:r>
      <w:r w:rsidR="00E32F16" w:rsidRPr="00FA08A3">
        <w:rPr>
          <w:lang w:val="en-GB"/>
        </w:rPr>
        <w:t>and photo-saturation limits</w:t>
      </w:r>
      <w:r w:rsidR="00915C21" w:rsidRPr="00FA08A3">
        <w:rPr>
          <w:lang w:val="en-GB"/>
        </w:rPr>
        <w:t xml:space="preserve"> (right-hand side diagram of Fig. 2)</w:t>
      </w:r>
      <w:r w:rsidR="00E32F16" w:rsidRPr="00FA08A3">
        <w:rPr>
          <w:lang w:val="en-GB"/>
        </w:rPr>
        <w:t>.</w:t>
      </w:r>
    </w:p>
    <w:p w14:paraId="5B7D64E8" w14:textId="4681A079" w:rsidR="00EF317B" w:rsidRPr="00FA08A3" w:rsidRDefault="008066CF" w:rsidP="00EF317B">
      <w:pPr>
        <w:pStyle w:val="SWCText"/>
        <w:rPr>
          <w:rFonts w:ascii="Arial" w:hAnsi="Arial"/>
          <w:bCs/>
          <w:i/>
          <w:iCs/>
          <w:szCs w:val="24"/>
          <w:lang w:val="en-GB"/>
        </w:rPr>
      </w:pPr>
      <w:bookmarkStart w:id="8" w:name="_Hlk238466906"/>
      <w:r w:rsidRPr="00FA08A3">
        <w:rPr>
          <w:rFonts w:ascii="Arial" w:hAnsi="Arial"/>
          <w:bCs/>
          <w:i/>
          <w:iCs/>
          <w:szCs w:val="24"/>
          <w:lang w:val="en-GB"/>
        </w:rPr>
        <w:t>2</w:t>
      </w:r>
      <w:r w:rsidR="00EF317B" w:rsidRPr="00FA08A3">
        <w:rPr>
          <w:rFonts w:ascii="Arial" w:hAnsi="Arial"/>
          <w:bCs/>
          <w:i/>
          <w:iCs/>
          <w:szCs w:val="24"/>
          <w:lang w:val="en-GB"/>
        </w:rPr>
        <w:t>.</w:t>
      </w:r>
      <w:r w:rsidR="009136C0" w:rsidRPr="00FA08A3">
        <w:rPr>
          <w:rFonts w:ascii="Arial" w:hAnsi="Arial"/>
          <w:bCs/>
          <w:i/>
          <w:iCs/>
          <w:szCs w:val="24"/>
          <w:lang w:val="en-GB"/>
        </w:rPr>
        <w:t>4</w:t>
      </w:r>
      <w:r w:rsidR="00EF317B" w:rsidRPr="00FA08A3">
        <w:rPr>
          <w:rFonts w:ascii="Arial" w:hAnsi="Arial"/>
          <w:bCs/>
          <w:i/>
          <w:iCs/>
          <w:szCs w:val="24"/>
          <w:lang w:val="en-GB"/>
        </w:rPr>
        <w:t xml:space="preserve">. </w:t>
      </w:r>
      <w:r w:rsidR="009A44FC" w:rsidRPr="00FA08A3">
        <w:rPr>
          <w:rFonts w:ascii="Arial" w:hAnsi="Arial"/>
          <w:bCs/>
          <w:i/>
          <w:iCs/>
          <w:szCs w:val="24"/>
          <w:lang w:val="en-GB"/>
        </w:rPr>
        <w:t>Key Performance Indicators</w:t>
      </w:r>
    </w:p>
    <w:p w14:paraId="3694AE21" w14:textId="66DA7497" w:rsidR="009A44FC" w:rsidRPr="00FA08A3" w:rsidRDefault="006A2EC0" w:rsidP="00EF317B">
      <w:pPr>
        <w:pStyle w:val="SWCText"/>
        <w:rPr>
          <w:lang w:val="en-GB"/>
        </w:rPr>
      </w:pPr>
      <w:r w:rsidRPr="00FA08A3">
        <w:rPr>
          <w:lang w:val="en-GB"/>
        </w:rPr>
        <w:t xml:space="preserve">When designing an </w:t>
      </w:r>
      <w:proofErr w:type="spellStart"/>
      <w:r w:rsidRPr="00FA08A3">
        <w:rPr>
          <w:lang w:val="en-GB"/>
        </w:rPr>
        <w:t>AgriPV</w:t>
      </w:r>
      <w:proofErr w:type="spellEnd"/>
      <w:r w:rsidRPr="00FA08A3">
        <w:rPr>
          <w:lang w:val="en-GB"/>
        </w:rPr>
        <w:t xml:space="preserve"> project the designer should decide on specific priorities and objectives for the installation. As mentioned in the introduction, </w:t>
      </w:r>
      <w:proofErr w:type="spellStart"/>
      <w:r w:rsidRPr="00FA08A3">
        <w:rPr>
          <w:lang w:val="en-GB"/>
        </w:rPr>
        <w:t>AgriPV</w:t>
      </w:r>
      <w:proofErr w:type="spellEnd"/>
      <w:r w:rsidRPr="00FA08A3">
        <w:rPr>
          <w:lang w:val="en-GB"/>
        </w:rPr>
        <w:t xml:space="preserve"> design</w:t>
      </w:r>
      <w:r w:rsidR="00CC47FB" w:rsidRPr="00FA08A3">
        <w:rPr>
          <w:lang w:val="en-GB"/>
        </w:rPr>
        <w:t>s</w:t>
      </w:r>
      <w:r w:rsidRPr="00FA08A3">
        <w:rPr>
          <w:lang w:val="en-GB"/>
        </w:rPr>
        <w:t xml:space="preserve"> could be classified into two approaches, the one that minimizes the</w:t>
      </w:r>
      <w:r w:rsidR="00B44243">
        <w:rPr>
          <w:lang w:val="en-GB"/>
        </w:rPr>
        <w:t xml:space="preserve"> negative</w:t>
      </w:r>
      <w:r w:rsidRPr="00FA08A3">
        <w:rPr>
          <w:lang w:val="en-GB"/>
        </w:rPr>
        <w:t xml:space="preserve"> impact on the crop underneath and the one that aims to improve specific characteristics of the crop. In either case</w:t>
      </w:r>
      <w:r w:rsidR="00CC47FB" w:rsidRPr="00FA08A3">
        <w:rPr>
          <w:lang w:val="en-GB"/>
        </w:rPr>
        <w:t>,</w:t>
      </w:r>
      <w:r w:rsidRPr="00FA08A3">
        <w:rPr>
          <w:lang w:val="en-GB"/>
        </w:rPr>
        <w:t xml:space="preserve"> the designer should select a set of parameters that can be used to assess the effectiv</w:t>
      </w:r>
      <w:r w:rsidR="009E3DF5">
        <w:rPr>
          <w:lang w:val="en-GB"/>
        </w:rPr>
        <w:t xml:space="preserve">eness </w:t>
      </w:r>
      <w:r w:rsidRPr="00FA08A3">
        <w:rPr>
          <w:lang w:val="en-GB"/>
        </w:rPr>
        <w:t xml:space="preserve">of the </w:t>
      </w:r>
      <w:proofErr w:type="spellStart"/>
      <w:r w:rsidRPr="00FA08A3">
        <w:rPr>
          <w:lang w:val="en-GB"/>
        </w:rPr>
        <w:t>AgriPV</w:t>
      </w:r>
      <w:proofErr w:type="spellEnd"/>
      <w:r w:rsidRPr="00FA08A3">
        <w:rPr>
          <w:lang w:val="en-GB"/>
        </w:rPr>
        <w:t xml:space="preserve"> in the short and long</w:t>
      </w:r>
      <w:r w:rsidR="00CC47FB" w:rsidRPr="00FA08A3">
        <w:rPr>
          <w:lang w:val="en-GB"/>
        </w:rPr>
        <w:t xml:space="preserve"> </w:t>
      </w:r>
      <w:r w:rsidR="00572686">
        <w:rPr>
          <w:lang w:val="en-GB"/>
        </w:rPr>
        <w:t>term</w:t>
      </w:r>
      <w:r w:rsidRPr="00FA08A3">
        <w:rPr>
          <w:lang w:val="en-GB"/>
        </w:rPr>
        <w:t xml:space="preserve">. These parameters, also known as Key Performance Indicators (KPIs), can be quantified by using specific target metric values that help quantify and validate the performance of the </w:t>
      </w:r>
      <w:proofErr w:type="spellStart"/>
      <w:r w:rsidRPr="00FA08A3">
        <w:rPr>
          <w:lang w:val="en-GB"/>
        </w:rPr>
        <w:t>AgriPV</w:t>
      </w:r>
      <w:proofErr w:type="spellEnd"/>
      <w:r w:rsidRPr="00FA08A3">
        <w:rPr>
          <w:lang w:val="en-GB"/>
        </w:rPr>
        <w:t xml:space="preserve">. </w:t>
      </w:r>
      <w:r w:rsidR="00CC47FB" w:rsidRPr="00FA08A3">
        <w:rPr>
          <w:lang w:val="en-GB"/>
        </w:rPr>
        <w:t>Example</w:t>
      </w:r>
      <w:r w:rsidRPr="00FA08A3">
        <w:rPr>
          <w:lang w:val="en-GB"/>
        </w:rPr>
        <w:t xml:space="preserve"> parameters that can be used include energy yield, crop yield, water savings</w:t>
      </w:r>
      <w:r w:rsidR="009E7EB8">
        <w:rPr>
          <w:lang w:val="en-GB"/>
        </w:rPr>
        <w:t xml:space="preserve">, and </w:t>
      </w:r>
      <w:r w:rsidRPr="00FA08A3">
        <w:rPr>
          <w:lang w:val="en-GB"/>
        </w:rPr>
        <w:t>payback period</w:t>
      </w:r>
      <w:r w:rsidR="00373DEC">
        <w:rPr>
          <w:lang w:val="en-GB"/>
        </w:rPr>
        <w:t>, to name a few</w:t>
      </w:r>
      <w:r w:rsidRPr="00FA08A3">
        <w:rPr>
          <w:lang w:val="en-GB"/>
        </w:rPr>
        <w:t xml:space="preserve">. </w:t>
      </w:r>
      <w:r w:rsidR="00CC47FB" w:rsidRPr="00FA08A3">
        <w:rPr>
          <w:lang w:val="en-GB"/>
        </w:rPr>
        <w:t xml:space="preserve">Specific values </w:t>
      </w:r>
      <w:r w:rsidRPr="00FA08A3">
        <w:rPr>
          <w:lang w:val="en-GB"/>
        </w:rPr>
        <w:t xml:space="preserve">can be </w:t>
      </w:r>
      <w:r w:rsidR="00CC47FB" w:rsidRPr="00FA08A3">
        <w:rPr>
          <w:lang w:val="en-GB"/>
        </w:rPr>
        <w:t>assigned</w:t>
      </w:r>
      <w:r w:rsidRPr="00FA08A3">
        <w:rPr>
          <w:lang w:val="en-GB"/>
        </w:rPr>
        <w:t xml:space="preserve"> </w:t>
      </w:r>
      <w:r w:rsidR="00CC47FB" w:rsidRPr="00FA08A3">
        <w:rPr>
          <w:lang w:val="en-GB"/>
        </w:rPr>
        <w:t>to these parameters, which</w:t>
      </w:r>
      <w:r w:rsidRPr="00FA08A3">
        <w:rPr>
          <w:lang w:val="en-GB"/>
        </w:rPr>
        <w:t xml:space="preserve"> allow for the optimal design of the </w:t>
      </w:r>
      <w:proofErr w:type="spellStart"/>
      <w:r w:rsidRPr="00FA08A3">
        <w:rPr>
          <w:lang w:val="en-GB"/>
        </w:rPr>
        <w:t>AgriPV</w:t>
      </w:r>
      <w:proofErr w:type="spellEnd"/>
      <w:r w:rsidRPr="00FA08A3">
        <w:rPr>
          <w:lang w:val="en-GB"/>
        </w:rPr>
        <w:t xml:space="preserve"> and its performance evaluation during and after the project lifetime. </w:t>
      </w:r>
    </w:p>
    <w:p w14:paraId="1DDB72B3" w14:textId="63CCFA91" w:rsidR="00813C26" w:rsidRPr="00FA08A3" w:rsidRDefault="006A2EC0" w:rsidP="00EF317B">
      <w:pPr>
        <w:pStyle w:val="SWCText"/>
        <w:rPr>
          <w:lang w:val="en-GB"/>
        </w:rPr>
      </w:pPr>
      <w:r w:rsidRPr="00FA08A3">
        <w:rPr>
          <w:lang w:val="en-GB"/>
        </w:rPr>
        <w:t xml:space="preserve">In the proposed approach, the scope of the </w:t>
      </w:r>
      <w:proofErr w:type="spellStart"/>
      <w:r w:rsidRPr="00FA08A3">
        <w:rPr>
          <w:lang w:val="en-GB"/>
        </w:rPr>
        <w:t>AgriPV</w:t>
      </w:r>
      <w:proofErr w:type="spellEnd"/>
      <w:r w:rsidRPr="00FA08A3">
        <w:rPr>
          <w:lang w:val="en-GB"/>
        </w:rPr>
        <w:t xml:space="preserve"> design </w:t>
      </w:r>
      <w:r w:rsidR="00CC47FB" w:rsidRPr="00FA08A3">
        <w:rPr>
          <w:lang w:val="en-GB"/>
        </w:rPr>
        <w:t xml:space="preserve">is </w:t>
      </w:r>
      <w:r w:rsidRPr="00FA08A3">
        <w:rPr>
          <w:lang w:val="en-GB"/>
        </w:rPr>
        <w:t xml:space="preserve">to improve specific aspects of the farming process by using state-of-the-art PV modules and supporting structures. As such, the </w:t>
      </w:r>
      <w:r w:rsidR="00813C26" w:rsidRPr="00FA08A3">
        <w:rPr>
          <w:lang w:val="en-GB"/>
        </w:rPr>
        <w:t xml:space="preserve">selected KPIs to meet the requirements and expectations </w:t>
      </w:r>
      <w:r w:rsidR="002979DE">
        <w:rPr>
          <w:lang w:val="en-GB"/>
        </w:rPr>
        <w:t>for</w:t>
      </w:r>
      <w:r w:rsidR="00813C26" w:rsidRPr="00FA08A3">
        <w:rPr>
          <w:lang w:val="en-GB"/>
        </w:rPr>
        <w:t xml:space="preserve"> the specific design are summarised in Tab. 1</w:t>
      </w:r>
      <w:r w:rsidR="005F4C8D" w:rsidRPr="00FA08A3">
        <w:rPr>
          <w:lang w:val="en-GB"/>
        </w:rPr>
        <w:t>. It should be noted that the selected target metrics for our analysis are based on the assumptions f</w:t>
      </w:r>
      <w:r w:rsidR="006A3B45" w:rsidRPr="00FA08A3">
        <w:rPr>
          <w:lang w:val="en-GB"/>
        </w:rPr>
        <w:t>or</w:t>
      </w:r>
      <w:r w:rsidR="005F4C8D" w:rsidRPr="00FA08A3">
        <w:rPr>
          <w:lang w:val="en-GB"/>
        </w:rPr>
        <w:t xml:space="preserve"> the specific target crops (peach trees</w:t>
      </w:r>
      <w:r w:rsidR="006A3B45" w:rsidRPr="00FA08A3">
        <w:rPr>
          <w:lang w:val="en-GB"/>
        </w:rPr>
        <w:t xml:space="preserve"> and grapevines) and</w:t>
      </w:r>
      <w:r w:rsidR="00CC47FB" w:rsidRPr="00FA08A3">
        <w:rPr>
          <w:lang w:val="en-GB"/>
        </w:rPr>
        <w:t>, in the more general case,</w:t>
      </w:r>
      <w:r w:rsidR="006A3B45" w:rsidRPr="00FA08A3">
        <w:rPr>
          <w:lang w:val="en-GB"/>
        </w:rPr>
        <w:t xml:space="preserve"> are defined by the special characteristics and requirements of each </w:t>
      </w:r>
      <w:proofErr w:type="spellStart"/>
      <w:r w:rsidR="00204D9A">
        <w:rPr>
          <w:lang w:val="en-GB"/>
        </w:rPr>
        <w:t>AgriPV</w:t>
      </w:r>
      <w:proofErr w:type="spellEnd"/>
      <w:r w:rsidR="00204D9A">
        <w:rPr>
          <w:lang w:val="en-GB"/>
        </w:rPr>
        <w:t xml:space="preserve"> </w:t>
      </w:r>
      <w:r w:rsidR="006A3B45" w:rsidRPr="00FA08A3">
        <w:rPr>
          <w:lang w:val="en-GB"/>
        </w:rPr>
        <w:t xml:space="preserve">project separately.  </w:t>
      </w:r>
    </w:p>
    <w:p w14:paraId="10587207" w14:textId="268F61EB" w:rsidR="00813C26" w:rsidRPr="00FA08A3" w:rsidRDefault="00813C26" w:rsidP="00813C26">
      <w:pPr>
        <w:pStyle w:val="SWCTableFigureCaption"/>
        <w:rPr>
          <w:lang w:val="en-GB"/>
        </w:rPr>
      </w:pPr>
      <w:r w:rsidRPr="00FA08A3">
        <w:rPr>
          <w:lang w:val="en-GB"/>
        </w:rPr>
        <w:t>Tab. 1: Overview of proposed KPIs</w:t>
      </w:r>
    </w:p>
    <w:tbl>
      <w:tblPr>
        <w:tblStyle w:val="TableGrid"/>
        <w:tblW w:w="0" w:type="auto"/>
        <w:jc w:val="center"/>
        <w:tblLook w:val="01E0" w:firstRow="1" w:lastRow="1" w:firstColumn="1" w:lastColumn="1" w:noHBand="0" w:noVBand="0"/>
      </w:tblPr>
      <w:tblGrid>
        <w:gridCol w:w="1129"/>
        <w:gridCol w:w="5670"/>
        <w:gridCol w:w="2107"/>
      </w:tblGrid>
      <w:tr w:rsidR="00813C26" w:rsidRPr="00FA08A3" w14:paraId="09896777" w14:textId="77777777" w:rsidTr="00813C26">
        <w:trPr>
          <w:jc w:val="center"/>
        </w:trPr>
        <w:tc>
          <w:tcPr>
            <w:tcW w:w="1129" w:type="dxa"/>
          </w:tcPr>
          <w:p w14:paraId="2FDC9770" w14:textId="2F2D5F15" w:rsidR="00813C26" w:rsidRPr="00FA08A3" w:rsidRDefault="00813C26" w:rsidP="00352FB3">
            <w:pPr>
              <w:pStyle w:val="SWCTableHeader"/>
            </w:pPr>
            <w:r w:rsidRPr="00FA08A3">
              <w:t>KPI name</w:t>
            </w:r>
          </w:p>
        </w:tc>
        <w:tc>
          <w:tcPr>
            <w:tcW w:w="5670" w:type="dxa"/>
          </w:tcPr>
          <w:p w14:paraId="3CAA7A61" w14:textId="51A786DD" w:rsidR="00813C26" w:rsidRPr="00FA08A3" w:rsidRDefault="00813C26" w:rsidP="00352FB3">
            <w:pPr>
              <w:pStyle w:val="SWCTableHeader"/>
            </w:pPr>
            <w:r w:rsidRPr="00FA08A3">
              <w:t>Description</w:t>
            </w:r>
          </w:p>
        </w:tc>
        <w:tc>
          <w:tcPr>
            <w:tcW w:w="2107" w:type="dxa"/>
          </w:tcPr>
          <w:p w14:paraId="7325BB25" w14:textId="2258B681" w:rsidR="00813C26" w:rsidRPr="00FA08A3" w:rsidRDefault="00813C26" w:rsidP="00352FB3">
            <w:pPr>
              <w:pStyle w:val="SWCTableHeader"/>
            </w:pPr>
            <w:r w:rsidRPr="00FA08A3">
              <w:t>Target metric</w:t>
            </w:r>
          </w:p>
        </w:tc>
      </w:tr>
      <w:tr w:rsidR="00813C26" w:rsidRPr="00FA08A3" w14:paraId="3B8483E3" w14:textId="77777777" w:rsidTr="00813C26">
        <w:trPr>
          <w:jc w:val="center"/>
        </w:trPr>
        <w:tc>
          <w:tcPr>
            <w:tcW w:w="1129" w:type="dxa"/>
          </w:tcPr>
          <w:p w14:paraId="7752FECB" w14:textId="18174E01" w:rsidR="00813C26" w:rsidRPr="00FA08A3" w:rsidRDefault="00813C26" w:rsidP="00813C26">
            <w:pPr>
              <w:pStyle w:val="SWCTableText"/>
            </w:pPr>
            <w:r w:rsidRPr="00FA08A3">
              <w:rPr>
                <w:sz w:val="18"/>
                <w:szCs w:val="18"/>
              </w:rPr>
              <w:t>KPI-1</w:t>
            </w:r>
          </w:p>
        </w:tc>
        <w:tc>
          <w:tcPr>
            <w:tcW w:w="5670" w:type="dxa"/>
          </w:tcPr>
          <w:p w14:paraId="4605A549" w14:textId="70697756" w:rsidR="00813C26" w:rsidRPr="00FA08A3" w:rsidRDefault="00813C26" w:rsidP="00813C26">
            <w:pPr>
              <w:pStyle w:val="SWCTableText"/>
            </w:pPr>
            <w:r w:rsidRPr="00FA08A3">
              <w:rPr>
                <w:sz w:val="18"/>
                <w:szCs w:val="18"/>
              </w:rPr>
              <w:t xml:space="preserve">Crop production index: the average annual crop production per unit of area of the designed </w:t>
            </w:r>
            <w:proofErr w:type="spellStart"/>
            <w:r w:rsidRPr="00FA08A3">
              <w:rPr>
                <w:sz w:val="18"/>
                <w:szCs w:val="18"/>
              </w:rPr>
              <w:t>AgriPV</w:t>
            </w:r>
            <w:proofErr w:type="spellEnd"/>
            <w:r w:rsidRPr="00FA08A3">
              <w:rPr>
                <w:sz w:val="18"/>
                <w:szCs w:val="18"/>
              </w:rPr>
              <w:t xml:space="preserve"> system, compared to the production of the same piece of land without the PV system.</w:t>
            </w:r>
          </w:p>
        </w:tc>
        <w:tc>
          <w:tcPr>
            <w:tcW w:w="2107" w:type="dxa"/>
          </w:tcPr>
          <w:p w14:paraId="61A2BEF4" w14:textId="3B7DD612" w:rsidR="00813C26" w:rsidRPr="00FA08A3" w:rsidRDefault="00813C26" w:rsidP="00813C26">
            <w:pPr>
              <w:pStyle w:val="SWCTableText"/>
            </w:pPr>
            <w:r w:rsidRPr="00FA08A3">
              <w:rPr>
                <w:sz w:val="18"/>
                <w:szCs w:val="18"/>
              </w:rPr>
              <w:t>&gt; 100%</w:t>
            </w:r>
          </w:p>
        </w:tc>
      </w:tr>
      <w:tr w:rsidR="00813C26" w:rsidRPr="00FA08A3" w14:paraId="0143814E" w14:textId="77777777" w:rsidTr="00813C26">
        <w:trPr>
          <w:jc w:val="center"/>
        </w:trPr>
        <w:tc>
          <w:tcPr>
            <w:tcW w:w="1129" w:type="dxa"/>
          </w:tcPr>
          <w:p w14:paraId="3BC44120" w14:textId="72120622" w:rsidR="00813C26" w:rsidRPr="00FA08A3" w:rsidRDefault="00813C26" w:rsidP="00813C26">
            <w:pPr>
              <w:pStyle w:val="SWCTableText"/>
              <w:rPr>
                <w:sz w:val="18"/>
                <w:szCs w:val="18"/>
              </w:rPr>
            </w:pPr>
            <w:r w:rsidRPr="00FA08A3">
              <w:rPr>
                <w:sz w:val="18"/>
                <w:szCs w:val="18"/>
              </w:rPr>
              <w:t>KPI-2</w:t>
            </w:r>
          </w:p>
        </w:tc>
        <w:tc>
          <w:tcPr>
            <w:tcW w:w="5670" w:type="dxa"/>
          </w:tcPr>
          <w:p w14:paraId="73033A4B" w14:textId="7FA2310D" w:rsidR="00813C26" w:rsidRPr="00FA08A3" w:rsidRDefault="00813C26" w:rsidP="00813C26">
            <w:pPr>
              <w:pStyle w:val="SWCTableText"/>
              <w:rPr>
                <w:sz w:val="18"/>
                <w:szCs w:val="18"/>
              </w:rPr>
            </w:pPr>
            <w:r w:rsidRPr="00FA08A3">
              <w:rPr>
                <w:sz w:val="18"/>
                <w:szCs w:val="18"/>
              </w:rPr>
              <w:t xml:space="preserve">Solar energy production index: the annual energy yield per ground area (in </w:t>
            </w:r>
            <w:r w:rsidR="00D91B90" w:rsidRPr="00FA08A3">
              <w:rPr>
                <w:sz w:val="18"/>
                <w:szCs w:val="18"/>
              </w:rPr>
              <w:t>MJ</w:t>
            </w:r>
            <w:r w:rsidRPr="00FA08A3">
              <w:rPr>
                <w:sz w:val="18"/>
                <w:szCs w:val="18"/>
              </w:rPr>
              <w:t>m</w:t>
            </w:r>
            <w:r w:rsidR="00D91B90" w:rsidRPr="00FA08A3">
              <w:rPr>
                <w:sz w:val="18"/>
                <w:szCs w:val="18"/>
                <w:vertAlign w:val="superscript"/>
              </w:rPr>
              <w:t>-2</w:t>
            </w:r>
            <w:r w:rsidRPr="00FA08A3">
              <w:rPr>
                <w:sz w:val="18"/>
                <w:szCs w:val="18"/>
              </w:rPr>
              <w:t xml:space="preserve"> per year) of the designed PV system compared to the value of a fixed tilt PV system designed for optimum energy yield.</w:t>
            </w:r>
          </w:p>
        </w:tc>
        <w:tc>
          <w:tcPr>
            <w:tcW w:w="2107" w:type="dxa"/>
          </w:tcPr>
          <w:p w14:paraId="5DE04EFF" w14:textId="1E47F99F" w:rsidR="00813C26" w:rsidRPr="00FA08A3" w:rsidRDefault="00813C26" w:rsidP="00813C26">
            <w:pPr>
              <w:pStyle w:val="SWCTableText"/>
              <w:rPr>
                <w:sz w:val="18"/>
                <w:szCs w:val="18"/>
              </w:rPr>
            </w:pPr>
            <w:r w:rsidRPr="00FA08A3">
              <w:rPr>
                <w:sz w:val="18"/>
                <w:szCs w:val="18"/>
              </w:rPr>
              <w:t xml:space="preserve">&gt; </w:t>
            </w:r>
            <w:r w:rsidR="00D91B90" w:rsidRPr="00FA08A3">
              <w:rPr>
                <w:sz w:val="18"/>
                <w:szCs w:val="18"/>
              </w:rPr>
              <w:t>216</w:t>
            </w:r>
          </w:p>
        </w:tc>
      </w:tr>
      <w:tr w:rsidR="00813C26" w:rsidRPr="00FA08A3" w14:paraId="309765F9" w14:textId="77777777" w:rsidTr="00813C26">
        <w:trPr>
          <w:jc w:val="center"/>
        </w:trPr>
        <w:tc>
          <w:tcPr>
            <w:tcW w:w="1129" w:type="dxa"/>
          </w:tcPr>
          <w:p w14:paraId="097C788D" w14:textId="75728E71" w:rsidR="00813C26" w:rsidRPr="00FA08A3" w:rsidRDefault="00813C26" w:rsidP="00813C26">
            <w:pPr>
              <w:pStyle w:val="SWCTableText"/>
              <w:rPr>
                <w:sz w:val="18"/>
                <w:szCs w:val="18"/>
              </w:rPr>
            </w:pPr>
            <w:r w:rsidRPr="00FA08A3">
              <w:rPr>
                <w:sz w:val="18"/>
                <w:szCs w:val="18"/>
              </w:rPr>
              <w:t>KPI-3</w:t>
            </w:r>
          </w:p>
        </w:tc>
        <w:tc>
          <w:tcPr>
            <w:tcW w:w="5670" w:type="dxa"/>
          </w:tcPr>
          <w:p w14:paraId="07297AB7" w14:textId="239AA37E" w:rsidR="00813C26" w:rsidRPr="00FA08A3" w:rsidRDefault="00813C26" w:rsidP="00813C26">
            <w:pPr>
              <w:pStyle w:val="SWCTableText"/>
              <w:rPr>
                <w:sz w:val="18"/>
                <w:szCs w:val="18"/>
              </w:rPr>
            </w:pPr>
            <w:r w:rsidRPr="00FA08A3">
              <w:rPr>
                <w:sz w:val="18"/>
                <w:szCs w:val="18"/>
              </w:rPr>
              <w:t xml:space="preserve">Cost index: the cost of installation per unit of installed power of the </w:t>
            </w:r>
            <w:proofErr w:type="spellStart"/>
            <w:r w:rsidRPr="00FA08A3">
              <w:rPr>
                <w:sz w:val="18"/>
                <w:szCs w:val="18"/>
              </w:rPr>
              <w:t>AgriPV</w:t>
            </w:r>
            <w:proofErr w:type="spellEnd"/>
            <w:r w:rsidRPr="00FA08A3">
              <w:rPr>
                <w:sz w:val="18"/>
                <w:szCs w:val="18"/>
              </w:rPr>
              <w:t xml:space="preserve"> system, compared to the cost of a conventional PV system.</w:t>
            </w:r>
          </w:p>
        </w:tc>
        <w:tc>
          <w:tcPr>
            <w:tcW w:w="2107" w:type="dxa"/>
          </w:tcPr>
          <w:p w14:paraId="5D556884" w14:textId="6ABC5042" w:rsidR="00813C26" w:rsidRPr="00FA08A3" w:rsidRDefault="00813C26" w:rsidP="00813C26">
            <w:pPr>
              <w:pStyle w:val="SWCTableText"/>
              <w:rPr>
                <w:sz w:val="18"/>
                <w:szCs w:val="18"/>
              </w:rPr>
            </w:pPr>
            <w:r w:rsidRPr="00FA08A3">
              <w:rPr>
                <w:sz w:val="18"/>
                <w:szCs w:val="18"/>
              </w:rPr>
              <w:t>&lt; 150%</w:t>
            </w:r>
          </w:p>
        </w:tc>
      </w:tr>
      <w:tr w:rsidR="00813C26" w:rsidRPr="00FA08A3" w14:paraId="04620CFC" w14:textId="77777777" w:rsidTr="00813C26">
        <w:trPr>
          <w:jc w:val="center"/>
        </w:trPr>
        <w:tc>
          <w:tcPr>
            <w:tcW w:w="1129" w:type="dxa"/>
          </w:tcPr>
          <w:p w14:paraId="0C57729D" w14:textId="3D79E190" w:rsidR="00813C26" w:rsidRPr="00FA08A3" w:rsidRDefault="00813C26" w:rsidP="00813C26">
            <w:pPr>
              <w:pStyle w:val="SWCTableText"/>
              <w:rPr>
                <w:sz w:val="18"/>
                <w:szCs w:val="18"/>
              </w:rPr>
            </w:pPr>
            <w:r w:rsidRPr="00FA08A3">
              <w:rPr>
                <w:sz w:val="18"/>
                <w:szCs w:val="18"/>
              </w:rPr>
              <w:t>KPI-4</w:t>
            </w:r>
          </w:p>
        </w:tc>
        <w:tc>
          <w:tcPr>
            <w:tcW w:w="5670" w:type="dxa"/>
          </w:tcPr>
          <w:p w14:paraId="11D4A5B7" w14:textId="07CF3199" w:rsidR="00813C26" w:rsidRPr="00FA08A3" w:rsidRDefault="00813C26" w:rsidP="00813C26">
            <w:pPr>
              <w:pStyle w:val="SWCTableText"/>
              <w:rPr>
                <w:sz w:val="18"/>
                <w:szCs w:val="18"/>
              </w:rPr>
            </w:pPr>
            <w:r w:rsidRPr="00FA08A3">
              <w:rPr>
                <w:sz w:val="18"/>
                <w:szCs w:val="18"/>
              </w:rPr>
              <w:t>Water usage decrease compared to the reference scenario.</w:t>
            </w:r>
          </w:p>
        </w:tc>
        <w:tc>
          <w:tcPr>
            <w:tcW w:w="2107" w:type="dxa"/>
          </w:tcPr>
          <w:p w14:paraId="25E60532" w14:textId="3BA5B932" w:rsidR="00813C26" w:rsidRPr="00FA08A3" w:rsidRDefault="00813C26" w:rsidP="00813C26">
            <w:pPr>
              <w:pStyle w:val="SWCTableText"/>
              <w:rPr>
                <w:sz w:val="18"/>
                <w:szCs w:val="18"/>
              </w:rPr>
            </w:pPr>
            <w:r w:rsidRPr="00FA08A3">
              <w:rPr>
                <w:sz w:val="18"/>
                <w:szCs w:val="18"/>
              </w:rPr>
              <w:t>&gt; 10%</w:t>
            </w:r>
          </w:p>
        </w:tc>
      </w:tr>
    </w:tbl>
    <w:p w14:paraId="2190B059" w14:textId="1170578D" w:rsidR="006A2EC0" w:rsidRPr="00FA08A3" w:rsidRDefault="006A2EC0" w:rsidP="00EF317B">
      <w:pPr>
        <w:pStyle w:val="SWCText"/>
        <w:rPr>
          <w:lang w:val="en-GB"/>
        </w:rPr>
      </w:pPr>
      <w:r w:rsidRPr="00FA08A3">
        <w:rPr>
          <w:lang w:val="en-GB"/>
        </w:rPr>
        <w:t xml:space="preserve">   </w:t>
      </w:r>
    </w:p>
    <w:p w14:paraId="21F8DD55" w14:textId="7AD7D255" w:rsidR="009A44FC" w:rsidRPr="00FA08A3" w:rsidRDefault="008066CF" w:rsidP="00EF317B">
      <w:pPr>
        <w:pStyle w:val="SWCText"/>
        <w:rPr>
          <w:rFonts w:ascii="Arial" w:hAnsi="Arial"/>
          <w:bCs/>
          <w:i/>
          <w:iCs/>
          <w:szCs w:val="24"/>
          <w:lang w:val="en-GB"/>
        </w:rPr>
      </w:pPr>
      <w:r w:rsidRPr="00FA08A3">
        <w:rPr>
          <w:rFonts w:ascii="Arial" w:hAnsi="Arial"/>
          <w:bCs/>
          <w:i/>
          <w:iCs/>
          <w:szCs w:val="24"/>
          <w:lang w:val="en-GB"/>
        </w:rPr>
        <w:t>2</w:t>
      </w:r>
      <w:r w:rsidR="009A44FC" w:rsidRPr="00FA08A3">
        <w:rPr>
          <w:rFonts w:ascii="Arial" w:hAnsi="Arial"/>
          <w:bCs/>
          <w:i/>
          <w:iCs/>
          <w:szCs w:val="24"/>
          <w:lang w:val="en-GB"/>
        </w:rPr>
        <w:t>.5 Light-shadow balance calculation</w:t>
      </w:r>
    </w:p>
    <w:p w14:paraId="4D9037E7" w14:textId="78319CE7" w:rsidR="000969E8" w:rsidRPr="00FA08A3" w:rsidRDefault="000969E8" w:rsidP="00EF317B">
      <w:pPr>
        <w:pStyle w:val="SWCText"/>
        <w:rPr>
          <w:lang w:val="en-GB"/>
        </w:rPr>
      </w:pPr>
      <w:r w:rsidRPr="00FA08A3">
        <w:rPr>
          <w:lang w:val="en-GB"/>
        </w:rPr>
        <w:t xml:space="preserve">One very important aspect of the design and dimensioning of the </w:t>
      </w:r>
      <w:proofErr w:type="spellStart"/>
      <w:r w:rsidRPr="00FA08A3">
        <w:rPr>
          <w:lang w:val="en-GB"/>
        </w:rPr>
        <w:t>AgriPV</w:t>
      </w:r>
      <w:proofErr w:type="spellEnd"/>
      <w:r w:rsidRPr="00FA08A3">
        <w:rPr>
          <w:lang w:val="en-GB"/>
        </w:rPr>
        <w:t xml:space="preserve"> is the calculation of </w:t>
      </w:r>
      <w:r w:rsidR="00996561">
        <w:rPr>
          <w:lang w:val="en-GB"/>
        </w:rPr>
        <w:t>the</w:t>
      </w:r>
      <w:r w:rsidRPr="00FA08A3">
        <w:rPr>
          <w:lang w:val="en-GB"/>
        </w:rPr>
        <w:t xml:space="preserve"> light-shadow balance </w:t>
      </w:r>
      <w:r w:rsidR="00996561">
        <w:rPr>
          <w:lang w:val="en-GB"/>
        </w:rPr>
        <w:t>affecting the</w:t>
      </w:r>
      <w:r w:rsidRPr="00FA08A3">
        <w:rPr>
          <w:lang w:val="en-GB"/>
        </w:rPr>
        <w:t xml:space="preserve"> crop. As was shown in the previous subsections</w:t>
      </w:r>
      <w:r w:rsidR="00CC47FB" w:rsidRPr="00FA08A3">
        <w:rPr>
          <w:lang w:val="en-GB"/>
        </w:rPr>
        <w:t>,</w:t>
      </w:r>
      <w:r w:rsidRPr="00FA08A3">
        <w:rPr>
          <w:lang w:val="en-GB"/>
        </w:rPr>
        <w:t xml:space="preserve"> the amount of solar irradiance is connected to both the growth of plants and microclimate conditions. As such, the right use of shadowing and transparency could potentially lead to specific benefits for the crop. In the proposed design, the PV modules are especially designed with selected transparency that allows specific amounts of PAR to reach the crop. However, even in the more general case, the estimation of light-shadow balance is crucial to prevent any undesired and detrimental results. </w:t>
      </w:r>
    </w:p>
    <w:p w14:paraId="4D8E951C" w14:textId="2FE5F393" w:rsidR="0002553B" w:rsidRPr="00FA08A3" w:rsidRDefault="0002553B" w:rsidP="00EF317B">
      <w:pPr>
        <w:pStyle w:val="SWCText"/>
        <w:rPr>
          <w:lang w:val="en-GB"/>
        </w:rPr>
      </w:pPr>
      <w:r w:rsidRPr="00FA08A3">
        <w:rPr>
          <w:lang w:val="en-GB"/>
        </w:rPr>
        <w:t>The key parameter to identify the specific balance is the PAR which was introduced earlier. The PAR can be defined as a fraction of the total solar irradiance given by the formula below</w:t>
      </w:r>
      <w:r w:rsidR="00552BCB" w:rsidRPr="00FA08A3">
        <w:rPr>
          <w:lang w:val="en-GB"/>
        </w:rPr>
        <w:t xml:space="preserve"> (eq.1)</w:t>
      </w:r>
      <w:r w:rsidRPr="00FA08A3">
        <w:rPr>
          <w:lang w:val="en-GB"/>
        </w:rPr>
        <w:t>:</w:t>
      </w:r>
    </w:p>
    <w:p w14:paraId="7B29FA63" w14:textId="69BA73C3" w:rsidR="000969E8" w:rsidRPr="00FA08A3" w:rsidRDefault="0002553B" w:rsidP="0002553B">
      <w:pPr>
        <w:pStyle w:val="SWCText"/>
        <w:ind w:left="720"/>
        <w:rPr>
          <w:lang w:val="en-GB"/>
        </w:rPr>
      </w:pPr>
      <m:oMath>
        <m:r>
          <w:rPr>
            <w:rFonts w:ascii="Cambria Math" w:hAnsi="Cambria Math"/>
            <w:lang w:val="en-GB"/>
          </w:rPr>
          <m:t xml:space="preserve">PAR </m:t>
        </m:r>
        <m:d>
          <m:dPr>
            <m:ctrlPr>
              <w:rPr>
                <w:rFonts w:ascii="Cambria Math" w:hAnsi="Cambria Math"/>
                <w:i/>
                <w:lang w:val="en-GB"/>
              </w:rPr>
            </m:ctrlPr>
          </m:dPr>
          <m:e>
            <m:r>
              <w:rPr>
                <w:rFonts w:ascii="Cambria Math" w:hAnsi="Cambria Math"/>
                <w:lang w:val="en-GB"/>
              </w:rPr>
              <m:t>W∙</m:t>
            </m:r>
            <m:sSup>
              <m:sSupPr>
                <m:ctrlPr>
                  <w:rPr>
                    <w:rFonts w:ascii="Cambria Math" w:hAnsi="Cambria Math"/>
                    <w:i/>
                    <w:lang w:val="en-GB"/>
                  </w:rPr>
                </m:ctrlPr>
              </m:sSupPr>
              <m:e>
                <m:r>
                  <w:rPr>
                    <w:rFonts w:ascii="Cambria Math" w:hAnsi="Cambria Math"/>
                    <w:lang w:val="en-GB"/>
                  </w:rPr>
                  <m:t>m</m:t>
                </m:r>
              </m:e>
              <m:sup>
                <m:r>
                  <w:rPr>
                    <w:rFonts w:ascii="Cambria Math" w:hAnsi="Cambria Math"/>
                    <w:lang w:val="en-GB"/>
                  </w:rPr>
                  <m:t>-2</m:t>
                </m:r>
              </m:sup>
            </m:sSup>
          </m:e>
        </m:d>
        <m:r>
          <w:rPr>
            <w:rFonts w:ascii="Cambria Math" w:hAnsi="Cambria Math"/>
            <w:lang w:val="en-GB"/>
          </w:rPr>
          <m:t>≈SR</m:t>
        </m:r>
        <m:d>
          <m:dPr>
            <m:ctrlPr>
              <w:rPr>
                <w:rFonts w:ascii="Cambria Math" w:hAnsi="Cambria Math"/>
                <w:i/>
                <w:lang w:val="en-GB"/>
              </w:rPr>
            </m:ctrlPr>
          </m:dPr>
          <m:e>
            <m:r>
              <w:rPr>
                <w:rFonts w:ascii="Cambria Math" w:hAnsi="Cambria Math"/>
                <w:lang w:val="en-GB"/>
              </w:rPr>
              <m:t>W∙</m:t>
            </m:r>
            <m:sSup>
              <m:sSupPr>
                <m:ctrlPr>
                  <w:rPr>
                    <w:rFonts w:ascii="Cambria Math" w:hAnsi="Cambria Math"/>
                    <w:i/>
                    <w:lang w:val="en-GB"/>
                  </w:rPr>
                </m:ctrlPr>
              </m:sSupPr>
              <m:e>
                <m:r>
                  <w:rPr>
                    <w:rFonts w:ascii="Cambria Math" w:hAnsi="Cambria Math"/>
                    <w:lang w:val="en-GB"/>
                  </w:rPr>
                  <m:t>m</m:t>
                </m:r>
              </m:e>
              <m:sup>
                <m:r>
                  <w:rPr>
                    <w:rFonts w:ascii="Cambria Math" w:hAnsi="Cambria Math"/>
                    <w:lang w:val="en-GB"/>
                  </w:rPr>
                  <m:t>-2</m:t>
                </m:r>
              </m:sup>
            </m:sSup>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Ratio</m:t>
            </m:r>
          </m:e>
          <m:sub>
            <m:r>
              <w:rPr>
                <w:rFonts w:ascii="Cambria Math" w:hAnsi="Cambria Math"/>
                <w:lang w:val="en-GB"/>
              </w:rPr>
              <m:t>1</m:t>
            </m:r>
          </m:sub>
        </m:sSub>
      </m:oMath>
      <w:r w:rsidRPr="00FA08A3">
        <w:rPr>
          <w:rFonts w:ascii="Arial" w:hAnsi="Arial"/>
          <w:i/>
          <w:lang w:val="en-GB"/>
        </w:rPr>
        <w:tab/>
      </w:r>
      <w:r w:rsidRPr="00FA08A3">
        <w:rPr>
          <w:rFonts w:ascii="Arial" w:hAnsi="Arial"/>
          <w:i/>
          <w:lang w:val="en-GB"/>
        </w:rPr>
        <w:tab/>
      </w:r>
      <w:r w:rsidRPr="00FA08A3">
        <w:rPr>
          <w:rFonts w:ascii="Arial" w:hAnsi="Arial"/>
          <w:i/>
          <w:lang w:val="en-GB"/>
        </w:rPr>
        <w:tab/>
      </w:r>
      <w:r w:rsidRPr="00FA08A3">
        <w:rPr>
          <w:lang w:val="en-GB"/>
        </w:rPr>
        <w:t>(eq.1)</w:t>
      </w:r>
    </w:p>
    <w:p w14:paraId="0A6E5E20" w14:textId="13D76E98" w:rsidR="0002553B" w:rsidRPr="00FA08A3" w:rsidRDefault="0002553B" w:rsidP="0002553B">
      <w:pPr>
        <w:pStyle w:val="SWCText"/>
        <w:rPr>
          <w:lang w:val="en-GB"/>
        </w:rPr>
      </w:pPr>
      <w:r w:rsidRPr="00FA08A3">
        <w:rPr>
          <w:lang w:val="en-GB"/>
        </w:rPr>
        <w:t>where SR is the solar radiation and Ratio</w:t>
      </w:r>
      <w:r w:rsidRPr="00FA08A3">
        <w:rPr>
          <w:vertAlign w:val="subscript"/>
          <w:lang w:val="en-GB"/>
        </w:rPr>
        <w:t>1</w:t>
      </w:r>
      <w:r w:rsidRPr="00FA08A3">
        <w:rPr>
          <w:lang w:val="en-GB"/>
        </w:rPr>
        <w:t xml:space="preserve"> is a coefficient usually approximated to 0.5 even though its exact value depends on the geographical location, the time of year, etc. (</w:t>
      </w:r>
      <w:proofErr w:type="spellStart"/>
      <w:r w:rsidRPr="00FA08A3">
        <w:rPr>
          <w:lang w:val="en-GB"/>
        </w:rPr>
        <w:t>Akitsua</w:t>
      </w:r>
      <w:proofErr w:type="spellEnd"/>
      <w:r w:rsidRPr="00FA08A3">
        <w:rPr>
          <w:lang w:val="en-GB"/>
        </w:rPr>
        <w:t xml:space="preserve"> et al., 2022). Also, the Photosynthetic Photon Flux Density (PPFD), </w:t>
      </w:r>
      <w:r w:rsidR="00F43B45" w:rsidRPr="00F43B45">
        <w:rPr>
          <w:lang w:val="en-GB"/>
        </w:rPr>
        <w:t xml:space="preserve">which represents the usable photon flux, can be calculated </w:t>
      </w:r>
      <w:r w:rsidRPr="00FA08A3">
        <w:rPr>
          <w:lang w:val="en-GB"/>
        </w:rPr>
        <w:t xml:space="preserve">by </w:t>
      </w:r>
      <w:r w:rsidR="00081A93" w:rsidRPr="00FA08A3">
        <w:rPr>
          <w:lang w:val="en-GB"/>
        </w:rPr>
        <w:t>the following formula</w:t>
      </w:r>
      <w:r w:rsidR="00552BCB" w:rsidRPr="00FA08A3">
        <w:rPr>
          <w:lang w:val="en-GB"/>
        </w:rPr>
        <w:t xml:space="preserve"> (eq.2)</w:t>
      </w:r>
      <w:r w:rsidR="00081A93" w:rsidRPr="00FA08A3">
        <w:rPr>
          <w:lang w:val="en-GB"/>
        </w:rPr>
        <w:t>:</w:t>
      </w:r>
    </w:p>
    <w:p w14:paraId="0121CE01" w14:textId="178113CB" w:rsidR="0002553B" w:rsidRPr="00FA08A3" w:rsidRDefault="00081A93" w:rsidP="00081A93">
      <w:pPr>
        <w:pStyle w:val="SWCText"/>
        <w:ind w:left="720"/>
        <w:rPr>
          <w:rFonts w:ascii="Arial" w:hAnsi="Arial"/>
          <w:bCs/>
          <w:iCs/>
          <w:szCs w:val="24"/>
          <w:lang w:val="en-GB"/>
        </w:rPr>
      </w:pPr>
      <m:oMath>
        <m:r>
          <w:rPr>
            <w:rFonts w:ascii="Cambria Math" w:hAnsi="Cambria Math"/>
            <w:lang w:val="en-GB"/>
          </w:rPr>
          <m:t>PPFD</m:t>
        </m:r>
        <m:d>
          <m:dPr>
            <m:ctrlPr>
              <w:rPr>
                <w:rFonts w:ascii="Cambria Math" w:hAnsi="Cambria Math"/>
                <w:i/>
                <w:lang w:val="en-GB"/>
              </w:rPr>
            </m:ctrlPr>
          </m:dPr>
          <m:e>
            <m:r>
              <w:rPr>
                <w:rFonts w:ascii="Cambria Math" w:hAnsi="Cambria Math"/>
                <w:lang w:val="en-GB"/>
              </w:rPr>
              <m:t>μmol∙</m:t>
            </m:r>
            <m:sSup>
              <m:sSupPr>
                <m:ctrlPr>
                  <w:rPr>
                    <w:rFonts w:ascii="Cambria Math" w:hAnsi="Cambria Math"/>
                    <w:i/>
                    <w:lang w:val="en-GB"/>
                  </w:rPr>
                </m:ctrlPr>
              </m:sSupPr>
              <m:e>
                <m:r>
                  <w:rPr>
                    <w:rFonts w:ascii="Cambria Math" w:hAnsi="Cambria Math"/>
                    <w:lang w:val="en-GB"/>
                  </w:rPr>
                  <m:t>m</m:t>
                </m:r>
              </m:e>
              <m:sup>
                <m:r>
                  <w:rPr>
                    <w:rFonts w:ascii="Cambria Math" w:hAnsi="Cambria Math"/>
                    <w:lang w:val="en-GB"/>
                  </w:rPr>
                  <m:t>-2</m:t>
                </m:r>
              </m:sup>
            </m:sSup>
            <m:r>
              <w:rPr>
                <w:rFonts w:ascii="Cambria Math" w:hAnsi="Cambria Math"/>
                <w:lang w:val="en-GB"/>
              </w:rPr>
              <m:t>∙</m:t>
            </m:r>
            <m:sSup>
              <m:sSupPr>
                <m:ctrlPr>
                  <w:rPr>
                    <w:rFonts w:ascii="Cambria Math" w:hAnsi="Cambria Math"/>
                    <w:i/>
                    <w:lang w:val="en-GB"/>
                  </w:rPr>
                </m:ctrlPr>
              </m:sSupPr>
              <m:e>
                <m:r>
                  <w:rPr>
                    <w:rFonts w:ascii="Cambria Math" w:hAnsi="Cambria Math"/>
                    <w:lang w:val="en-GB"/>
                  </w:rPr>
                  <m:t>s</m:t>
                </m:r>
              </m:e>
              <m:sup>
                <m:r>
                  <w:rPr>
                    <w:rFonts w:ascii="Cambria Math" w:hAnsi="Cambria Math"/>
                    <w:lang w:val="en-GB"/>
                  </w:rPr>
                  <m:t>-1</m:t>
                </m:r>
              </m:sup>
            </m:sSup>
          </m:e>
        </m:d>
        <m:r>
          <w:rPr>
            <w:rFonts w:ascii="Cambria Math" w:hAnsi="Cambria Math"/>
            <w:lang w:val="en-GB"/>
          </w:rPr>
          <m:t>=PAR</m:t>
        </m:r>
        <m:d>
          <m:dPr>
            <m:ctrlPr>
              <w:rPr>
                <w:rFonts w:ascii="Cambria Math" w:hAnsi="Cambria Math"/>
                <w:i/>
                <w:lang w:val="en-GB"/>
              </w:rPr>
            </m:ctrlPr>
          </m:dPr>
          <m:e>
            <m:r>
              <w:rPr>
                <w:rFonts w:ascii="Cambria Math" w:hAnsi="Cambria Math"/>
                <w:lang w:val="en-GB"/>
              </w:rPr>
              <m:t>W∙</m:t>
            </m:r>
            <m:sSup>
              <m:sSupPr>
                <m:ctrlPr>
                  <w:rPr>
                    <w:rFonts w:ascii="Cambria Math" w:hAnsi="Cambria Math"/>
                    <w:i/>
                    <w:lang w:val="en-GB"/>
                  </w:rPr>
                </m:ctrlPr>
              </m:sSupPr>
              <m:e>
                <m:r>
                  <w:rPr>
                    <w:rFonts w:ascii="Cambria Math" w:hAnsi="Cambria Math"/>
                    <w:lang w:val="en-GB"/>
                  </w:rPr>
                  <m:t>m</m:t>
                </m:r>
              </m:e>
              <m:sup>
                <m:r>
                  <w:rPr>
                    <w:rFonts w:ascii="Cambria Math" w:hAnsi="Cambria Math"/>
                    <w:lang w:val="en-GB"/>
                  </w:rPr>
                  <m:t>-2</m:t>
                </m:r>
              </m:sup>
            </m:sSup>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Ratio</m:t>
            </m:r>
          </m:e>
          <m:sub>
            <m:r>
              <w:rPr>
                <w:rFonts w:ascii="Cambria Math" w:hAnsi="Cambria Math"/>
                <w:lang w:val="en-GB"/>
              </w:rPr>
              <m:t>2</m:t>
            </m:r>
          </m:sub>
        </m:sSub>
      </m:oMath>
      <w:r w:rsidRPr="00FA08A3">
        <w:rPr>
          <w:rFonts w:ascii="Arial" w:hAnsi="Arial"/>
          <w:i/>
          <w:lang w:val="en-GB"/>
        </w:rPr>
        <w:tab/>
      </w:r>
      <w:r w:rsidRPr="00FA08A3">
        <w:rPr>
          <w:lang w:val="en-GB"/>
        </w:rPr>
        <w:t>(eq.2)</w:t>
      </w:r>
    </w:p>
    <w:p w14:paraId="5764F59E" w14:textId="00BF6E88" w:rsidR="00081A93" w:rsidRPr="00FA08A3" w:rsidRDefault="00081A93" w:rsidP="00EF317B">
      <w:pPr>
        <w:pStyle w:val="SWCText"/>
        <w:rPr>
          <w:lang w:val="en-GB"/>
        </w:rPr>
      </w:pPr>
      <w:r w:rsidRPr="00FA08A3">
        <w:rPr>
          <w:lang w:val="en-GB"/>
        </w:rPr>
        <w:t>with Ratio</w:t>
      </w:r>
      <w:r w:rsidRPr="00FA08A3">
        <w:rPr>
          <w:vertAlign w:val="subscript"/>
          <w:lang w:val="en-GB"/>
        </w:rPr>
        <w:t xml:space="preserve">2 </w:t>
      </w:r>
      <w:r w:rsidRPr="00FA08A3">
        <w:rPr>
          <w:lang w:val="en-GB"/>
        </w:rPr>
        <w:t xml:space="preserve">equal to 4.57 </w:t>
      </w:r>
      <w:proofErr w:type="spellStart"/>
      <w:r w:rsidRPr="00FA08A3">
        <w:rPr>
          <w:lang w:val="en-GB"/>
        </w:rPr>
        <w:t>μmol</w:t>
      </w:r>
      <w:proofErr w:type="spellEnd"/>
      <w:r w:rsidR="003816FC">
        <w:rPr>
          <w:lang w:val="en-GB"/>
        </w:rPr>
        <w:t xml:space="preserve"> </w:t>
      </w:r>
      <w:r w:rsidRPr="00FA08A3">
        <w:rPr>
          <w:lang w:val="en-GB"/>
        </w:rPr>
        <w:t>J</w:t>
      </w:r>
      <w:r w:rsidR="000E34FE" w:rsidRPr="00FA08A3">
        <w:rPr>
          <w:vertAlign w:val="superscript"/>
          <w:lang w:val="en-GB"/>
        </w:rPr>
        <w:t>-1</w:t>
      </w:r>
      <w:r w:rsidRPr="00FA08A3">
        <w:rPr>
          <w:lang w:val="en-GB"/>
        </w:rPr>
        <w:t>.</w:t>
      </w:r>
    </w:p>
    <w:p w14:paraId="52F98334" w14:textId="54905F29" w:rsidR="00081A93" w:rsidRPr="00FA08A3" w:rsidRDefault="00081A93" w:rsidP="00EF317B">
      <w:pPr>
        <w:pStyle w:val="SWCText"/>
        <w:rPr>
          <w:lang w:val="en-GB"/>
        </w:rPr>
      </w:pPr>
      <w:r w:rsidRPr="00FA08A3">
        <w:rPr>
          <w:lang w:val="en-GB"/>
        </w:rPr>
        <w:t xml:space="preserve">The amount of shading cast by the </w:t>
      </w:r>
      <w:proofErr w:type="spellStart"/>
      <w:r w:rsidRPr="00FA08A3">
        <w:rPr>
          <w:lang w:val="en-GB"/>
        </w:rPr>
        <w:t>AgriPV</w:t>
      </w:r>
      <w:proofErr w:type="spellEnd"/>
      <w:r w:rsidRPr="00FA08A3">
        <w:rPr>
          <w:lang w:val="en-GB"/>
        </w:rPr>
        <w:t xml:space="preserve"> on the crop can be evaluated as a percentage of the maximum SR if the exact position of the sun in combination with the geometry of the </w:t>
      </w:r>
      <w:proofErr w:type="spellStart"/>
      <w:r w:rsidRPr="00FA08A3">
        <w:rPr>
          <w:lang w:val="en-GB"/>
        </w:rPr>
        <w:t>AgriPV</w:t>
      </w:r>
      <w:proofErr w:type="spellEnd"/>
      <w:r w:rsidRPr="00FA08A3">
        <w:rPr>
          <w:lang w:val="en-GB"/>
        </w:rPr>
        <w:t xml:space="preserve"> are known. The solar position can be calculated for a specific geographical location by calculating the solar altitude and azimuth angles (Iqbal, 1983)</w:t>
      </w:r>
      <w:r w:rsidR="00552BCB" w:rsidRPr="00FA08A3">
        <w:rPr>
          <w:lang w:val="en-GB"/>
        </w:rPr>
        <w:t xml:space="preserve"> </w:t>
      </w:r>
      <w:r w:rsidR="00552BCB" w:rsidRPr="00FA08A3">
        <w:rPr>
          <w:lang w:val="en-GB"/>
        </w:rPr>
        <w:lastRenderedPageBreak/>
        <w:t>(eq.3 and 4)</w:t>
      </w:r>
      <w:r w:rsidRPr="00FA08A3">
        <w:rPr>
          <w:lang w:val="en-GB"/>
        </w:rPr>
        <w:t>:</w:t>
      </w:r>
    </w:p>
    <w:p w14:paraId="61D9BAD6" w14:textId="2CC7CAE8" w:rsidR="0002553B" w:rsidRPr="00FA08A3" w:rsidRDefault="00081A93" w:rsidP="00081A93">
      <w:pPr>
        <w:pStyle w:val="SWCText"/>
        <w:ind w:left="720"/>
        <w:rPr>
          <w:rFonts w:ascii="Cambria Math" w:hAnsi="Cambria Math" w:cstheme="minorBidi"/>
          <w:iCs/>
          <w:color w:val="000000" w:themeColor="text1"/>
          <w:kern w:val="24"/>
          <w:lang w:val="en-GB"/>
        </w:rPr>
      </w:pPr>
      <w:r w:rsidRPr="00FA08A3">
        <w:rPr>
          <w:lang w:val="en-GB"/>
        </w:rPr>
        <w:t xml:space="preserve"> </w:t>
      </w:r>
      <w:r w:rsidRPr="00FA08A3">
        <w:rPr>
          <w:rFonts w:ascii="Cambria Math" w:eastAsiaTheme="minorEastAsia" w:hAnsi="Cambria Math" w:cstheme="minorBidi"/>
          <w:i/>
          <w:iCs/>
          <w:color w:val="000000" w:themeColor="text1"/>
          <w:kern w:val="24"/>
          <w:lang w:val="en-GB"/>
        </w:rPr>
        <w:br/>
      </w:r>
      <m:oMath>
        <m:r>
          <w:rPr>
            <w:rFonts w:ascii="Cambria Math" w:hAnsi="Cambria Math" w:cstheme="minorBidi"/>
            <w:color w:val="000000" w:themeColor="text1"/>
            <w:kern w:val="24"/>
            <w:lang w:val="en-GB"/>
          </w:rPr>
          <m:t>sina=sinδ∙sinφ+cosδ∙cosφ∙</m:t>
        </m:r>
        <m:r>
          <m:rPr>
            <m:sty m:val="p"/>
          </m:rPr>
          <w:rPr>
            <w:rFonts w:ascii="Cambria Math" w:hAnsi="Cambria Math" w:cstheme="minorBidi"/>
            <w:color w:val="000000" w:themeColor="text1"/>
            <w:kern w:val="24"/>
            <w:lang w:val="en-GB"/>
          </w:rPr>
          <m:t>cosω</m:t>
        </m:r>
      </m:oMath>
      <w:r w:rsidRPr="00FA08A3">
        <w:rPr>
          <w:rFonts w:ascii="Cambria Math" w:eastAsiaTheme="minorEastAsia" w:hAnsi="Cambria Math" w:cstheme="minorBidi"/>
          <w:i/>
          <w:color w:val="000000" w:themeColor="text1"/>
          <w:kern w:val="24"/>
          <w:lang w:val="en-GB"/>
        </w:rPr>
        <w:tab/>
      </w:r>
      <w:r w:rsidR="00552BCB" w:rsidRPr="00FA08A3">
        <w:rPr>
          <w:rFonts w:ascii="Cambria Math" w:eastAsiaTheme="minorEastAsia" w:hAnsi="Cambria Math" w:cstheme="minorBidi"/>
          <w:iCs/>
          <w:color w:val="000000" w:themeColor="text1"/>
          <w:kern w:val="24"/>
          <w:lang w:val="en-GB"/>
        </w:rPr>
        <w:tab/>
      </w:r>
      <w:r w:rsidR="00CC47FB" w:rsidRPr="00FA08A3">
        <w:rPr>
          <w:rFonts w:ascii="Cambria Math" w:eastAsiaTheme="minorEastAsia" w:hAnsi="Cambria Math" w:cstheme="minorBidi"/>
          <w:iCs/>
          <w:color w:val="000000" w:themeColor="text1"/>
          <w:kern w:val="24"/>
          <w:lang w:val="en-GB"/>
        </w:rPr>
        <w:tab/>
      </w:r>
      <w:r w:rsidR="00552BCB" w:rsidRPr="00FA08A3">
        <w:rPr>
          <w:rFonts w:ascii="Cambria Math" w:eastAsiaTheme="minorEastAsia" w:hAnsi="Cambria Math" w:cstheme="minorBidi"/>
          <w:iCs/>
          <w:color w:val="000000" w:themeColor="text1"/>
          <w:kern w:val="24"/>
          <w:lang w:val="en-GB"/>
        </w:rPr>
        <w:t>(</w:t>
      </w:r>
      <w:r w:rsidRPr="00FA08A3">
        <w:rPr>
          <w:rFonts w:ascii="Cambria Math" w:eastAsiaTheme="minorEastAsia" w:hAnsi="Cambria Math" w:cstheme="minorBidi"/>
          <w:iCs/>
          <w:color w:val="000000" w:themeColor="text1"/>
          <w:kern w:val="24"/>
          <w:lang w:val="en-GB"/>
        </w:rPr>
        <w:t>eq.3)</w:t>
      </w:r>
      <w:r w:rsidRPr="00FA08A3">
        <w:rPr>
          <w:rFonts w:ascii="Cambria Math" w:hAnsi="Cambria Math" w:cstheme="minorBidi"/>
          <w:i/>
          <w:color w:val="000000" w:themeColor="text1"/>
          <w:kern w:val="24"/>
          <w:lang w:val="en-GB"/>
        </w:rPr>
        <w:br/>
      </w:r>
      <m:oMath>
        <m:r>
          <w:rPr>
            <w:rFonts w:ascii="Cambria Math" w:hAnsi="Cambria Math" w:cstheme="minorBidi"/>
            <w:color w:val="000000" w:themeColor="text1"/>
            <w:kern w:val="24"/>
            <w:lang w:val="en-GB"/>
          </w:rPr>
          <m:t>cosψ=</m:t>
        </m:r>
        <m:d>
          <m:dPr>
            <m:ctrlPr>
              <w:rPr>
                <w:rFonts w:ascii="Cambria Math" w:eastAsiaTheme="minorEastAsia" w:hAnsi="Cambria Math" w:cstheme="minorBidi"/>
                <w:i/>
                <w:iCs/>
                <w:color w:val="000000" w:themeColor="text1"/>
                <w:kern w:val="24"/>
                <w:lang w:val="en-GB"/>
              </w:rPr>
            </m:ctrlPr>
          </m:dPr>
          <m:e>
            <m:r>
              <w:rPr>
                <w:rFonts w:ascii="Cambria Math" w:hAnsi="Cambria Math" w:cstheme="minorBidi"/>
                <w:color w:val="000000" w:themeColor="text1"/>
                <w:kern w:val="24"/>
                <w:lang w:val="en-GB"/>
              </w:rPr>
              <m:t>sina∙sinφ-sinδ</m:t>
            </m:r>
          </m:e>
        </m:d>
        <m:r>
          <w:rPr>
            <w:rFonts w:ascii="Cambria Math" w:hAnsi="Cambria Math" w:cstheme="minorBidi"/>
            <w:color w:val="000000" w:themeColor="text1"/>
            <w:kern w:val="24"/>
            <w:lang w:val="en-GB"/>
          </w:rPr>
          <m:t>∙cosφ/cosa</m:t>
        </m:r>
      </m:oMath>
      <w:r w:rsidRPr="00FA08A3">
        <w:rPr>
          <w:rFonts w:ascii="Cambria Math" w:hAnsi="Cambria Math" w:cstheme="minorBidi"/>
          <w:i/>
          <w:color w:val="000000" w:themeColor="text1"/>
          <w:kern w:val="24"/>
          <w:lang w:val="en-GB"/>
        </w:rPr>
        <w:tab/>
      </w:r>
      <w:r w:rsidRPr="00FA08A3">
        <w:rPr>
          <w:rFonts w:ascii="Cambria Math" w:hAnsi="Cambria Math" w:cstheme="minorBidi"/>
          <w:i/>
          <w:color w:val="000000" w:themeColor="text1"/>
          <w:kern w:val="24"/>
          <w:lang w:val="en-GB"/>
        </w:rPr>
        <w:tab/>
      </w:r>
      <w:r w:rsidRPr="00FA08A3">
        <w:rPr>
          <w:rFonts w:ascii="Cambria Math" w:hAnsi="Cambria Math" w:cstheme="minorBidi"/>
          <w:i/>
          <w:color w:val="000000" w:themeColor="text1"/>
          <w:kern w:val="24"/>
          <w:lang w:val="en-GB"/>
        </w:rPr>
        <w:tab/>
      </w:r>
      <w:r w:rsidRPr="00FA08A3">
        <w:rPr>
          <w:rFonts w:ascii="Cambria Math" w:hAnsi="Cambria Math" w:cstheme="minorBidi"/>
          <w:iCs/>
          <w:color w:val="000000" w:themeColor="text1"/>
          <w:kern w:val="24"/>
          <w:lang w:val="en-GB"/>
        </w:rPr>
        <w:t>(eq.</w:t>
      </w:r>
      <w:r w:rsidR="00552BCB" w:rsidRPr="00FA08A3">
        <w:rPr>
          <w:rFonts w:ascii="Cambria Math" w:hAnsi="Cambria Math" w:cstheme="minorBidi"/>
          <w:iCs/>
          <w:color w:val="000000" w:themeColor="text1"/>
          <w:kern w:val="24"/>
          <w:lang w:val="en-GB"/>
        </w:rPr>
        <w:t>4</w:t>
      </w:r>
      <w:r w:rsidRPr="00FA08A3">
        <w:rPr>
          <w:rFonts w:ascii="Cambria Math" w:hAnsi="Cambria Math" w:cstheme="minorBidi"/>
          <w:iCs/>
          <w:color w:val="000000" w:themeColor="text1"/>
          <w:kern w:val="24"/>
          <w:lang w:val="en-GB"/>
        </w:rPr>
        <w:t>)</w:t>
      </w:r>
    </w:p>
    <w:p w14:paraId="1A4BAB1E" w14:textId="10679D16" w:rsidR="00081A93" w:rsidRPr="00FA08A3" w:rsidRDefault="00552BCB" w:rsidP="00552BCB">
      <w:pPr>
        <w:pStyle w:val="SWCText"/>
        <w:rPr>
          <w:lang w:val="en-GB"/>
        </w:rPr>
      </w:pPr>
      <w:r w:rsidRPr="00FA08A3">
        <w:rPr>
          <w:lang w:val="en-GB"/>
        </w:rPr>
        <w:t xml:space="preserve">In the above formulas </w:t>
      </w:r>
      <w:r w:rsidRPr="00FA08A3">
        <w:rPr>
          <w:i/>
          <w:iCs/>
          <w:lang w:val="en-GB"/>
        </w:rPr>
        <w:t>α</w:t>
      </w:r>
      <w:r w:rsidRPr="00FA08A3">
        <w:rPr>
          <w:lang w:val="en-GB"/>
        </w:rPr>
        <w:t xml:space="preserve"> corresponds to the solar altitude, </w:t>
      </w:r>
      <w:r w:rsidRPr="00FA08A3">
        <w:rPr>
          <w:i/>
          <w:iCs/>
          <w:lang w:val="en-GB"/>
        </w:rPr>
        <w:t>ψ</w:t>
      </w:r>
      <w:r w:rsidRPr="00FA08A3">
        <w:rPr>
          <w:lang w:val="en-GB"/>
        </w:rPr>
        <w:t xml:space="preserve"> corresponds to the azimuth angle, </w:t>
      </w:r>
      <w:r w:rsidRPr="00FA08A3">
        <w:rPr>
          <w:i/>
          <w:iCs/>
          <w:lang w:val="en-GB"/>
        </w:rPr>
        <w:t>δ</w:t>
      </w:r>
      <w:r w:rsidRPr="00FA08A3">
        <w:rPr>
          <w:lang w:val="en-GB"/>
        </w:rPr>
        <w:t xml:space="preserve"> is the solar declination, </w:t>
      </w:r>
      <w:r w:rsidRPr="00FA08A3">
        <w:rPr>
          <w:i/>
          <w:iCs/>
          <w:lang w:val="en-GB"/>
        </w:rPr>
        <w:t xml:space="preserve">φ </w:t>
      </w:r>
      <w:r w:rsidRPr="00FA08A3">
        <w:rPr>
          <w:lang w:val="en-GB"/>
        </w:rPr>
        <w:t xml:space="preserve">is the location latitude, and </w:t>
      </w:r>
      <w:r w:rsidRPr="00FA08A3">
        <w:rPr>
          <w:i/>
          <w:iCs/>
          <w:lang w:val="en-GB"/>
        </w:rPr>
        <w:t xml:space="preserve">ω </w:t>
      </w:r>
      <w:r w:rsidRPr="00FA08A3">
        <w:rPr>
          <w:lang w:val="en-GB"/>
        </w:rPr>
        <w:t xml:space="preserve">is the hour angle. Specific formulas for calculating each of the above parameters </w:t>
      </w:r>
      <w:r w:rsidR="003816FC">
        <w:rPr>
          <w:lang w:val="en-GB"/>
        </w:rPr>
        <w:t>are</w:t>
      </w:r>
      <w:r w:rsidRPr="00FA08A3">
        <w:rPr>
          <w:lang w:val="en-GB"/>
        </w:rPr>
        <w:t xml:space="preserve"> also provided in literature (Iqbal, 1983).</w:t>
      </w:r>
    </w:p>
    <w:p w14:paraId="39762F3D" w14:textId="128D010C" w:rsidR="00283220" w:rsidRPr="00FA08A3" w:rsidRDefault="00552BCB" w:rsidP="00552BCB">
      <w:pPr>
        <w:pStyle w:val="SWCText"/>
        <w:rPr>
          <w:lang w:val="en-GB"/>
        </w:rPr>
      </w:pPr>
      <w:r w:rsidRPr="00FA08A3">
        <w:rPr>
          <w:lang w:val="en-GB"/>
        </w:rPr>
        <w:t>In order to calculate the shading levels and patterns or, subsequently, the PPFD profiles on the crop one can choose among different calculation tools, based on either commercial or open-source licens</w:t>
      </w:r>
      <w:r w:rsidR="008903B1">
        <w:rPr>
          <w:lang w:val="en-GB"/>
        </w:rPr>
        <w:t>ing</w:t>
      </w:r>
      <w:r w:rsidRPr="00FA08A3">
        <w:rPr>
          <w:lang w:val="en-GB"/>
        </w:rPr>
        <w:t xml:space="preserve"> </w:t>
      </w:r>
      <w:r w:rsidR="008903B1">
        <w:rPr>
          <w:lang w:val="en-GB"/>
        </w:rPr>
        <w:t>model</w:t>
      </w:r>
      <w:r w:rsidRPr="00FA08A3">
        <w:rPr>
          <w:lang w:val="en-GB"/>
        </w:rPr>
        <w:t>. In this study, two different open-source tools were developed to facilitate the light-shadow balance calculation. The first tool is a</w:t>
      </w:r>
      <w:r w:rsidR="000E34FE" w:rsidRPr="00FA08A3">
        <w:rPr>
          <w:lang w:val="en-GB"/>
        </w:rPr>
        <w:t>n</w:t>
      </w:r>
      <w:r w:rsidRPr="00FA08A3">
        <w:rPr>
          <w:lang w:val="en-GB"/>
        </w:rPr>
        <w:t xml:space="preserve"> application based on Python </w:t>
      </w:r>
      <w:r w:rsidR="00283220" w:rsidRPr="00FA08A3">
        <w:rPr>
          <w:lang w:val="en-GB"/>
        </w:rPr>
        <w:t xml:space="preserve">(ver. 3.13) </w:t>
      </w:r>
      <w:r w:rsidRPr="00FA08A3">
        <w:rPr>
          <w:lang w:val="en-GB"/>
        </w:rPr>
        <w:t xml:space="preserve">that </w:t>
      </w:r>
      <w:r w:rsidR="008E24B6" w:rsidRPr="00FA08A3">
        <w:rPr>
          <w:lang w:val="en-GB"/>
        </w:rPr>
        <w:t>allows the calculation of the shading pattern for different locations and time of year. The specific tool is also equipped with a Graphical User Interface (GUI) to make its use easier for the public.</w:t>
      </w:r>
      <w:r w:rsidR="00283220" w:rsidRPr="00FA08A3">
        <w:rPr>
          <w:lang w:val="en-GB"/>
        </w:rPr>
        <w:t xml:space="preserve"> Fig. 3 provides an overview of the proposed </w:t>
      </w:r>
      <w:r w:rsidR="008903B1" w:rsidRPr="00FA08A3">
        <w:rPr>
          <w:lang w:val="en-GB"/>
        </w:rPr>
        <w:t>GUI</w:t>
      </w:r>
      <w:r w:rsidR="008903B1" w:rsidRPr="00FA08A3">
        <w:rPr>
          <w:lang w:val="en-GB"/>
        </w:rPr>
        <w:t xml:space="preserve"> </w:t>
      </w:r>
      <w:r w:rsidR="00283220" w:rsidRPr="00FA08A3">
        <w:rPr>
          <w:lang w:val="en-GB"/>
        </w:rPr>
        <w:t>tool, which consists of three main parts: the data input, the output regarding the solar position within a selected day, and the shadow (shaded area) pattern of a PV panel (blue rectangle</w:t>
      </w:r>
      <w:r w:rsidR="00320DDF" w:rsidRPr="00FA08A3">
        <w:rPr>
          <w:lang w:val="en-GB"/>
        </w:rPr>
        <w:t>, top view</w:t>
      </w:r>
      <w:r w:rsidR="00283220" w:rsidRPr="00FA08A3">
        <w:rPr>
          <w:lang w:val="en-GB"/>
        </w:rPr>
        <w:t xml:space="preserve">) on the ground. </w:t>
      </w:r>
    </w:p>
    <w:p w14:paraId="4AF75780" w14:textId="7F916524" w:rsidR="00552BCB" w:rsidRPr="00FA08A3" w:rsidRDefault="00283220" w:rsidP="00B35840">
      <w:pPr>
        <w:pStyle w:val="SWCText"/>
        <w:jc w:val="center"/>
        <w:rPr>
          <w:lang w:val="en-GB"/>
        </w:rPr>
      </w:pPr>
      <w:r w:rsidRPr="00FA08A3">
        <w:rPr>
          <w:noProof/>
          <w:lang w:val="en-GB"/>
        </w:rPr>
        <w:drawing>
          <wp:inline distT="0" distB="0" distL="0" distR="0" wp14:anchorId="0876FDEE" wp14:editId="57F85399">
            <wp:extent cx="5570969" cy="3272314"/>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75506" cy="3274979"/>
                    </a:xfrm>
                    <a:prstGeom prst="rect">
                      <a:avLst/>
                    </a:prstGeom>
                  </pic:spPr>
                </pic:pic>
              </a:graphicData>
            </a:graphic>
          </wp:inline>
        </w:drawing>
      </w:r>
    </w:p>
    <w:p w14:paraId="409D513E" w14:textId="7DC52832" w:rsidR="00283220" w:rsidRPr="00FA08A3" w:rsidRDefault="00283220" w:rsidP="00283220">
      <w:pPr>
        <w:pStyle w:val="SWCTableFigureCaption"/>
        <w:rPr>
          <w:lang w:val="en-GB"/>
        </w:rPr>
      </w:pPr>
      <w:bookmarkStart w:id="9" w:name="_Hlk238554976"/>
      <w:r w:rsidRPr="00FA08A3">
        <w:rPr>
          <w:lang w:val="en-GB"/>
        </w:rPr>
        <w:t>Fig. 3: Python-based tool for the calculation of light-shadow balance</w:t>
      </w:r>
    </w:p>
    <w:bookmarkEnd w:id="9"/>
    <w:p w14:paraId="1F741924" w14:textId="69DBD40A" w:rsidR="00283220" w:rsidRPr="00FA08A3" w:rsidRDefault="00283220" w:rsidP="00283220">
      <w:pPr>
        <w:pStyle w:val="SWCText"/>
        <w:rPr>
          <w:lang w:val="en-GB"/>
        </w:rPr>
      </w:pPr>
      <w:r w:rsidRPr="00FA08A3">
        <w:rPr>
          <w:lang w:val="en-GB"/>
        </w:rPr>
        <w:t xml:space="preserve">The specific tool is an open-source one, which </w:t>
      </w:r>
      <w:r w:rsidR="006F0FEF">
        <w:rPr>
          <w:lang w:val="en-GB"/>
        </w:rPr>
        <w:t>allows</w:t>
      </w:r>
      <w:r w:rsidRPr="00FA08A3">
        <w:rPr>
          <w:lang w:val="en-GB"/>
        </w:rPr>
        <w:t xml:space="preserve"> flexible use </w:t>
      </w:r>
      <w:r w:rsidR="006F0FEF">
        <w:rPr>
          <w:lang w:val="en-GB"/>
        </w:rPr>
        <w:t>through</w:t>
      </w:r>
      <w:r w:rsidRPr="00FA08A3">
        <w:rPr>
          <w:lang w:val="en-GB"/>
        </w:rPr>
        <w:t xml:space="preserve"> appropriate modif</w:t>
      </w:r>
      <w:r w:rsidR="006F0FEF">
        <w:rPr>
          <w:lang w:val="en-GB"/>
        </w:rPr>
        <w:t>ications</w:t>
      </w:r>
      <w:r w:rsidRPr="00FA08A3">
        <w:rPr>
          <w:lang w:val="en-GB"/>
        </w:rPr>
        <w:t xml:space="preserve"> of the code in Python. However, to tackle specific needs regarding the controllability of selected parameters, an additional tool was developed as a MATLAB</w:t>
      </w:r>
      <w:r w:rsidRPr="00FA08A3">
        <w:rPr>
          <w:vertAlign w:val="superscript"/>
          <w:lang w:val="en-GB"/>
        </w:rPr>
        <w:t>®</w:t>
      </w:r>
      <w:r w:rsidRPr="00FA08A3">
        <w:rPr>
          <w:lang w:val="en-GB"/>
        </w:rPr>
        <w:t>/Simulink model. This is also an open-source tool that provides flexibilit</w:t>
      </w:r>
      <w:r w:rsidR="006F0FEF">
        <w:rPr>
          <w:lang w:val="en-GB"/>
        </w:rPr>
        <w:t>y in modifying selected</w:t>
      </w:r>
      <w:r w:rsidRPr="00FA08A3">
        <w:rPr>
          <w:lang w:val="en-GB"/>
        </w:rPr>
        <w:t xml:space="preserve"> param</w:t>
      </w:r>
      <w:r w:rsidR="00320DDF" w:rsidRPr="00FA08A3">
        <w:rPr>
          <w:lang w:val="en-GB"/>
        </w:rPr>
        <w:t>e</w:t>
      </w:r>
      <w:r w:rsidRPr="00FA08A3">
        <w:rPr>
          <w:lang w:val="en-GB"/>
        </w:rPr>
        <w:t>ters</w:t>
      </w:r>
      <w:r w:rsidR="00320DDF" w:rsidRPr="00FA08A3">
        <w:rPr>
          <w:lang w:val="en-GB"/>
        </w:rPr>
        <w:t>. An indicative result of the use of the specific model is provided in Fig. 4. The diagrams of Fig. 4 show the shadow patterns for three different scenarios: on the left-hand side diagram, the shadow path is depicted by the black parallelograms. The PV panel is the red rectangle in the bottom-centre of the diagram. The shadow path corresponds to one full day, namely during summer solstice (21</w:t>
      </w:r>
      <w:r w:rsidR="00320DDF" w:rsidRPr="00FA08A3">
        <w:rPr>
          <w:vertAlign w:val="superscript"/>
          <w:lang w:val="en-GB"/>
        </w:rPr>
        <w:t>st</w:t>
      </w:r>
      <w:r w:rsidR="00320DDF" w:rsidRPr="00FA08A3">
        <w:rPr>
          <w:lang w:val="en-GB"/>
        </w:rPr>
        <w:t xml:space="preserve"> of June).</w:t>
      </w:r>
      <w:r w:rsidR="00225F3C" w:rsidRPr="00FA08A3">
        <w:rPr>
          <w:lang w:val="en-GB"/>
        </w:rPr>
        <w:t xml:space="preserve"> Similarly, the middle diagram show</w:t>
      </w:r>
      <w:r w:rsidR="00E17A86" w:rsidRPr="00FA08A3">
        <w:rPr>
          <w:lang w:val="en-GB"/>
        </w:rPr>
        <w:t>s</w:t>
      </w:r>
      <w:r w:rsidR="00225F3C" w:rsidRPr="00FA08A3">
        <w:rPr>
          <w:lang w:val="en-GB"/>
        </w:rPr>
        <w:t xml:space="preserve"> the shadow path during winter solstice. The difference in the shadow path pattern is due to the difference in the solar azimuth and altitude angles for the selected days of year. </w:t>
      </w:r>
      <w:r w:rsidR="00995487">
        <w:rPr>
          <w:lang w:val="en-GB"/>
        </w:rPr>
        <w:t xml:space="preserve">In addition to this </w:t>
      </w:r>
      <w:r w:rsidR="00225F3C" w:rsidRPr="00FA08A3">
        <w:rPr>
          <w:lang w:val="en-GB"/>
        </w:rPr>
        <w:t>specific use, the developed model allows for other more complex actions and calculations such as the change of orientation of the PV panel for a specific solar location, e.g., in the case of solar trackers.</w:t>
      </w:r>
    </w:p>
    <w:p w14:paraId="45173F3C" w14:textId="4E47D42A" w:rsidR="00225F3C" w:rsidRPr="00FA08A3" w:rsidRDefault="00225F3C" w:rsidP="00283220">
      <w:pPr>
        <w:pStyle w:val="SWCText"/>
        <w:rPr>
          <w:lang w:val="en-GB"/>
        </w:rPr>
      </w:pPr>
      <w:r w:rsidRPr="00FA08A3">
        <w:rPr>
          <w:lang w:val="en-GB"/>
        </w:rPr>
        <w:t>All in all, with the use of the proposed or other tools</w:t>
      </w:r>
      <w:r w:rsidR="001A07ED">
        <w:rPr>
          <w:lang w:val="en-GB"/>
        </w:rPr>
        <w:t>,</w:t>
      </w:r>
      <w:r w:rsidRPr="00FA08A3">
        <w:rPr>
          <w:lang w:val="en-GB"/>
        </w:rPr>
        <w:t xml:space="preserve"> designers can safely estimate potential issues with excessive or non-uniform shading on the crop and </w:t>
      </w:r>
      <w:r w:rsidR="00BB79BE">
        <w:rPr>
          <w:lang w:val="en-GB"/>
        </w:rPr>
        <w:t>refine</w:t>
      </w:r>
      <w:r w:rsidRPr="00FA08A3">
        <w:rPr>
          <w:lang w:val="en-GB"/>
        </w:rPr>
        <w:t xml:space="preserve"> the design </w:t>
      </w:r>
      <w:r w:rsidR="00BB79BE">
        <w:rPr>
          <w:lang w:val="en-GB"/>
        </w:rPr>
        <w:t>by</w:t>
      </w:r>
      <w:r w:rsidRPr="00FA08A3">
        <w:rPr>
          <w:lang w:val="en-GB"/>
        </w:rPr>
        <w:t xml:space="preserve"> selecting proper transparency and positioning of the PV panels. This is also why the use of such tools can be done in an iterati</w:t>
      </w:r>
      <w:r w:rsidR="00853365">
        <w:rPr>
          <w:lang w:val="en-GB"/>
        </w:rPr>
        <w:t>ve</w:t>
      </w:r>
      <w:r w:rsidRPr="00FA08A3">
        <w:rPr>
          <w:lang w:val="en-GB"/>
        </w:rPr>
        <w:t xml:space="preserve"> approach</w:t>
      </w:r>
      <w:r w:rsidR="00E17A86" w:rsidRPr="00FA08A3">
        <w:rPr>
          <w:lang w:val="en-GB"/>
        </w:rPr>
        <w:t>,</w:t>
      </w:r>
      <w:r w:rsidRPr="00FA08A3">
        <w:rPr>
          <w:lang w:val="en-GB"/>
        </w:rPr>
        <w:t xml:space="preserve"> where potential improvements in the design can further be tested in terms of shading effects until an optimal design is reached.</w:t>
      </w:r>
    </w:p>
    <w:p w14:paraId="4593EC98" w14:textId="0FED6EB7" w:rsidR="00283220" w:rsidRPr="00FA08A3" w:rsidRDefault="00320DDF" w:rsidP="00320DDF">
      <w:pPr>
        <w:pStyle w:val="SWCText"/>
        <w:jc w:val="center"/>
        <w:rPr>
          <w:lang w:val="en-GB"/>
        </w:rPr>
      </w:pPr>
      <w:r w:rsidRPr="00FA08A3">
        <w:rPr>
          <w:noProof/>
          <w:lang w:val="en-GB"/>
        </w:rPr>
        <w:lastRenderedPageBreak/>
        <w:drawing>
          <wp:inline distT="0" distB="0" distL="0" distR="0" wp14:anchorId="7F2925FC" wp14:editId="3FA20DE3">
            <wp:extent cx="1844225" cy="1782621"/>
            <wp:effectExtent l="19050" t="19050" r="22860" b="27305"/>
            <wp:docPr id="28" name="Picture 2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8"/>
                    <a:srcRect l="3612" t="8901" r="58556" b="24292"/>
                    <a:stretch/>
                  </pic:blipFill>
                  <pic:spPr bwMode="auto">
                    <a:xfrm>
                      <a:off x="0" y="0"/>
                      <a:ext cx="1845182" cy="178354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FA08A3">
        <w:rPr>
          <w:rFonts w:ascii="Calibri" w:hAnsi="Calibri" w:cs="Calibri"/>
          <w:noProof/>
          <w:color w:val="auto"/>
          <w:sz w:val="21"/>
          <w:szCs w:val="21"/>
          <w:lang w:val="en-GB" w:eastAsia="en-GB"/>
        </w:rPr>
        <w:drawing>
          <wp:inline distT="0" distB="0" distL="0" distR="0" wp14:anchorId="75065B88" wp14:editId="5E1FB1DF">
            <wp:extent cx="1759585" cy="1781374"/>
            <wp:effectExtent l="19050" t="19050" r="12065" b="285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7141" t="14485" r="55361" b="18092"/>
                    <a:stretch/>
                  </pic:blipFill>
                  <pic:spPr bwMode="auto">
                    <a:xfrm>
                      <a:off x="0" y="0"/>
                      <a:ext cx="1766652" cy="1788529"/>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FA08A3">
        <w:rPr>
          <w:noProof/>
          <w:lang w:val="en-GB"/>
        </w:rPr>
        <w:drawing>
          <wp:inline distT="0" distB="0" distL="0" distR="0" wp14:anchorId="0B21F270" wp14:editId="2198E0E9">
            <wp:extent cx="1808480" cy="1781175"/>
            <wp:effectExtent l="19050" t="19050" r="20320" b="28575"/>
            <wp:docPr id="27" name="Picture 2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0"/>
                    <a:srcRect l="2710" t="6327" r="60433" b="26697"/>
                    <a:stretch/>
                  </pic:blipFill>
                  <pic:spPr bwMode="auto">
                    <a:xfrm>
                      <a:off x="0" y="0"/>
                      <a:ext cx="1811030" cy="178368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09E49C0" w14:textId="41066BAD" w:rsidR="00320DDF" w:rsidRPr="00FA08A3" w:rsidRDefault="00320DDF" w:rsidP="00320DDF">
      <w:pPr>
        <w:pStyle w:val="SWCTableFigureCaption"/>
        <w:rPr>
          <w:lang w:val="en-GB"/>
        </w:rPr>
      </w:pPr>
      <w:bookmarkStart w:id="10" w:name="_Hlk238626958"/>
      <w:r w:rsidRPr="00FA08A3">
        <w:rPr>
          <w:lang w:val="en-GB"/>
        </w:rPr>
        <w:t>Fig. 4: Shadow patterns for three different scenarios: summer solstice (left), winter solstice (middle), and orientation change (right)</w:t>
      </w:r>
    </w:p>
    <w:bookmarkEnd w:id="10"/>
    <w:p w14:paraId="5C45C15B" w14:textId="36C44F19" w:rsidR="009A44FC" w:rsidRPr="00FA08A3" w:rsidRDefault="008066CF" w:rsidP="00EF317B">
      <w:pPr>
        <w:pStyle w:val="SWCText"/>
        <w:rPr>
          <w:rFonts w:ascii="Arial" w:hAnsi="Arial"/>
          <w:bCs/>
          <w:i/>
          <w:iCs/>
          <w:szCs w:val="24"/>
          <w:lang w:val="en-GB"/>
        </w:rPr>
      </w:pPr>
      <w:r w:rsidRPr="00FA08A3">
        <w:rPr>
          <w:rFonts w:ascii="Arial" w:hAnsi="Arial"/>
          <w:bCs/>
          <w:i/>
          <w:iCs/>
          <w:szCs w:val="24"/>
          <w:lang w:val="en-GB"/>
        </w:rPr>
        <w:t>2</w:t>
      </w:r>
      <w:r w:rsidR="009A44FC" w:rsidRPr="00FA08A3">
        <w:rPr>
          <w:rFonts w:ascii="Arial" w:hAnsi="Arial"/>
          <w:bCs/>
          <w:i/>
          <w:iCs/>
          <w:szCs w:val="24"/>
          <w:lang w:val="en-GB"/>
        </w:rPr>
        <w:t>.6 Cost</w:t>
      </w:r>
      <w:r w:rsidR="00FC17A9">
        <w:rPr>
          <w:rFonts w:ascii="Arial" w:hAnsi="Arial"/>
          <w:bCs/>
          <w:i/>
          <w:iCs/>
          <w:szCs w:val="24"/>
          <w:lang w:val="en-GB"/>
        </w:rPr>
        <w:t>-</w:t>
      </w:r>
      <w:r w:rsidR="009A44FC" w:rsidRPr="00FA08A3">
        <w:rPr>
          <w:rFonts w:ascii="Arial" w:hAnsi="Arial"/>
          <w:bCs/>
          <w:i/>
          <w:iCs/>
          <w:szCs w:val="24"/>
          <w:lang w:val="en-GB"/>
        </w:rPr>
        <w:t>benefit analysis</w:t>
      </w:r>
    </w:p>
    <w:p w14:paraId="070E4AF7" w14:textId="21D2AC1E" w:rsidR="009A44FC" w:rsidRPr="00FA08A3" w:rsidRDefault="007D53CE" w:rsidP="00EF317B">
      <w:pPr>
        <w:pStyle w:val="SWCText"/>
        <w:rPr>
          <w:lang w:val="en-GB"/>
        </w:rPr>
      </w:pPr>
      <w:r w:rsidRPr="00FA08A3">
        <w:rPr>
          <w:lang w:val="en-GB"/>
        </w:rPr>
        <w:t xml:space="preserve">The last </w:t>
      </w:r>
      <w:r w:rsidR="00E17A86" w:rsidRPr="00FA08A3">
        <w:rPr>
          <w:lang w:val="en-GB"/>
        </w:rPr>
        <w:t xml:space="preserve">step </w:t>
      </w:r>
      <w:r w:rsidRPr="00FA08A3">
        <w:rPr>
          <w:lang w:val="en-GB"/>
        </w:rPr>
        <w:t>in the conceptual design process is that of the cost</w:t>
      </w:r>
      <w:r w:rsidR="00FC17A9">
        <w:rPr>
          <w:lang w:val="en-GB"/>
        </w:rPr>
        <w:t>-</w:t>
      </w:r>
      <w:r w:rsidRPr="00FA08A3">
        <w:rPr>
          <w:lang w:val="en-GB"/>
        </w:rPr>
        <w:t xml:space="preserve">benefit analysis </w:t>
      </w:r>
      <w:r w:rsidR="00E17A86" w:rsidRPr="00FA08A3">
        <w:rPr>
          <w:lang w:val="en-GB"/>
        </w:rPr>
        <w:t xml:space="preserve">for </w:t>
      </w:r>
      <w:r w:rsidRPr="00FA08A3">
        <w:rPr>
          <w:lang w:val="en-GB"/>
        </w:rPr>
        <w:t xml:space="preserve">the </w:t>
      </w:r>
      <w:proofErr w:type="spellStart"/>
      <w:r w:rsidRPr="00FA08A3">
        <w:rPr>
          <w:lang w:val="en-GB"/>
        </w:rPr>
        <w:t>AgriPV</w:t>
      </w:r>
      <w:proofErr w:type="spellEnd"/>
      <w:r w:rsidRPr="00FA08A3">
        <w:rPr>
          <w:lang w:val="en-GB"/>
        </w:rPr>
        <w:t xml:space="preserve">. This is a crucial step in terms of validation or even improvement of the design. It is also the connection step between analysis and investment/commercialisation of the concept because it provides specific </w:t>
      </w:r>
      <w:r w:rsidR="00E17A86" w:rsidRPr="00FA08A3">
        <w:rPr>
          <w:lang w:val="en-GB"/>
        </w:rPr>
        <w:t>insights</w:t>
      </w:r>
      <w:r w:rsidRPr="00FA08A3">
        <w:rPr>
          <w:lang w:val="en-GB"/>
        </w:rPr>
        <w:t xml:space="preserve"> regarding capital (CAPEX) and operational (OPEX) expenditures, revenues, payback time, etc., all crucial questions that facilitate the acceptance and faster adoption of the technology by the potential users. Since </w:t>
      </w:r>
      <w:proofErr w:type="spellStart"/>
      <w:r w:rsidRPr="00FA08A3">
        <w:rPr>
          <w:lang w:val="en-GB"/>
        </w:rPr>
        <w:t>AgriPVs</w:t>
      </w:r>
      <w:proofErr w:type="spellEnd"/>
      <w:r w:rsidRPr="00FA08A3">
        <w:rPr>
          <w:lang w:val="en-GB"/>
        </w:rPr>
        <w:t xml:space="preserve"> are specially designed PV systems, the long-term expertise of designers and engineers in the cost</w:t>
      </w:r>
      <w:r w:rsidR="003B00EF">
        <w:rPr>
          <w:lang w:val="en-GB"/>
        </w:rPr>
        <w:t>-</w:t>
      </w:r>
      <w:r w:rsidRPr="00FA08A3">
        <w:rPr>
          <w:lang w:val="en-GB"/>
        </w:rPr>
        <w:t>benefit analysis of PV systems is a good starting point</w:t>
      </w:r>
      <w:r w:rsidR="00E17A86" w:rsidRPr="00FA08A3">
        <w:rPr>
          <w:lang w:val="en-GB"/>
        </w:rPr>
        <w:t xml:space="preserve"> for such an analysis</w:t>
      </w:r>
      <w:r w:rsidRPr="00FA08A3">
        <w:rPr>
          <w:lang w:val="en-GB"/>
        </w:rPr>
        <w:t xml:space="preserve">. To tackle the financial assessment of </w:t>
      </w:r>
      <w:proofErr w:type="spellStart"/>
      <w:r w:rsidRPr="00FA08A3">
        <w:rPr>
          <w:lang w:val="en-GB"/>
        </w:rPr>
        <w:t>AgriPV</w:t>
      </w:r>
      <w:proofErr w:type="spellEnd"/>
      <w:r w:rsidRPr="00FA08A3">
        <w:rPr>
          <w:lang w:val="en-GB"/>
        </w:rPr>
        <w:t xml:space="preserve"> installations, in the context of this study an open-source calculator in Python (ver. 3.13) was developed. The specific tool’s GUI is depicted in Fig. 5. </w:t>
      </w:r>
    </w:p>
    <w:p w14:paraId="48C520E4" w14:textId="6E20C2D6" w:rsidR="007D53CE" w:rsidRPr="00FA08A3" w:rsidRDefault="00CC6816" w:rsidP="00B35840">
      <w:pPr>
        <w:pStyle w:val="SWCText"/>
        <w:jc w:val="center"/>
        <w:rPr>
          <w:lang w:val="en-GB"/>
        </w:rPr>
      </w:pPr>
      <w:r w:rsidRPr="00FA08A3">
        <w:rPr>
          <w:noProof/>
          <w:lang w:val="en-GB"/>
        </w:rPr>
        <w:drawing>
          <wp:inline distT="0" distB="0" distL="0" distR="0" wp14:anchorId="5949EE9B" wp14:editId="26ADA1B1">
            <wp:extent cx="5761990" cy="3387725"/>
            <wp:effectExtent l="0" t="0" r="0" b="3175"/>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1"/>
                    <a:stretch>
                      <a:fillRect/>
                    </a:stretch>
                  </pic:blipFill>
                  <pic:spPr>
                    <a:xfrm>
                      <a:off x="0" y="0"/>
                      <a:ext cx="5761990" cy="3387725"/>
                    </a:xfrm>
                    <a:prstGeom prst="rect">
                      <a:avLst/>
                    </a:prstGeom>
                  </pic:spPr>
                </pic:pic>
              </a:graphicData>
            </a:graphic>
          </wp:inline>
        </w:drawing>
      </w:r>
    </w:p>
    <w:p w14:paraId="72CDA155" w14:textId="04A2A347" w:rsidR="00CC6816" w:rsidRPr="00FA08A3" w:rsidRDefault="00CC6816" w:rsidP="00CC6816">
      <w:pPr>
        <w:pStyle w:val="SWCTableFigureCaption"/>
        <w:rPr>
          <w:lang w:val="en-GB"/>
        </w:rPr>
      </w:pPr>
      <w:bookmarkStart w:id="11" w:name="_Hlk238629636"/>
      <w:r w:rsidRPr="00FA08A3">
        <w:rPr>
          <w:lang w:val="en-GB"/>
        </w:rPr>
        <w:t xml:space="preserve">Fig. 5: Python-based financial calculator for the assessment of </w:t>
      </w:r>
      <w:proofErr w:type="spellStart"/>
      <w:r w:rsidRPr="00FA08A3">
        <w:rPr>
          <w:lang w:val="en-GB"/>
        </w:rPr>
        <w:t>AgriPV</w:t>
      </w:r>
      <w:proofErr w:type="spellEnd"/>
      <w:r w:rsidRPr="00FA08A3">
        <w:rPr>
          <w:lang w:val="en-GB"/>
        </w:rPr>
        <w:t xml:space="preserve"> projects</w:t>
      </w:r>
    </w:p>
    <w:bookmarkEnd w:id="11"/>
    <w:p w14:paraId="3CCC02C7" w14:textId="2D04C586" w:rsidR="00864283" w:rsidRPr="00FA08A3" w:rsidRDefault="00CC6816" w:rsidP="00EF317B">
      <w:pPr>
        <w:pStyle w:val="SWCText"/>
        <w:rPr>
          <w:lang w:val="en-GB"/>
        </w:rPr>
      </w:pPr>
      <w:r w:rsidRPr="00FA08A3">
        <w:rPr>
          <w:lang w:val="en-GB"/>
        </w:rPr>
        <w:t>The development of the specific financial calculator is based on expertise from research as well as commercial applications and it provide</w:t>
      </w:r>
      <w:r w:rsidR="00E17A86" w:rsidRPr="00FA08A3">
        <w:rPr>
          <w:lang w:val="en-GB"/>
        </w:rPr>
        <w:t>s</w:t>
      </w:r>
      <w:r w:rsidRPr="00FA08A3">
        <w:rPr>
          <w:lang w:val="en-GB"/>
        </w:rPr>
        <w:t xml:space="preserve"> an estimation of the key financial indices of the project based on data that the user can manually introduce (e.g., CAPEX, OPEX, dimensioning, etc.). The tool calculates and provides results for a 20-year horizon, however, due to its open-source structure</w:t>
      </w:r>
      <w:r w:rsidR="00E17A86" w:rsidRPr="00FA08A3">
        <w:rPr>
          <w:lang w:val="en-GB"/>
        </w:rPr>
        <w:t>,</w:t>
      </w:r>
      <w:r w:rsidRPr="00FA08A3">
        <w:rPr>
          <w:lang w:val="en-GB"/>
        </w:rPr>
        <w:t xml:space="preserve"> it can be modified to incorporate longer-term calculations or even additional aspects not included in the specific version. It should be stressed that the basic version of this as well as other existing tools treat the financial assessment of </w:t>
      </w:r>
      <w:proofErr w:type="spellStart"/>
      <w:r w:rsidRPr="00FA08A3">
        <w:rPr>
          <w:lang w:val="en-GB"/>
        </w:rPr>
        <w:t>AgriPV</w:t>
      </w:r>
      <w:proofErr w:type="spellEnd"/>
      <w:r w:rsidRPr="00FA08A3">
        <w:rPr>
          <w:lang w:val="en-GB"/>
        </w:rPr>
        <w:t xml:space="preserve"> projects as standard PV projects due to the predictability in specific aspects of the PV parts (energy yield, degradation, maintenance, tariffs, etc.). However, the impact of the specific </w:t>
      </w:r>
      <w:proofErr w:type="spellStart"/>
      <w:r w:rsidRPr="00FA08A3">
        <w:rPr>
          <w:lang w:val="en-GB"/>
        </w:rPr>
        <w:t>AgriPV</w:t>
      </w:r>
      <w:proofErr w:type="spellEnd"/>
      <w:r w:rsidRPr="00FA08A3">
        <w:rPr>
          <w:lang w:val="en-GB"/>
        </w:rPr>
        <w:t xml:space="preserve"> design on other crucial aspects</w:t>
      </w:r>
      <w:r w:rsidR="00E17A86" w:rsidRPr="00FA08A3">
        <w:rPr>
          <w:lang w:val="en-GB"/>
        </w:rPr>
        <w:t>,</w:t>
      </w:r>
      <w:r w:rsidRPr="00FA08A3">
        <w:rPr>
          <w:lang w:val="en-GB"/>
        </w:rPr>
        <w:t xml:space="preserve"> such as the water usage reduction, as well as potential crop yield improvement and increase, call for financial assessments which include these additional </w:t>
      </w:r>
      <w:r w:rsidRPr="00FA08A3">
        <w:rPr>
          <w:lang w:val="en-GB"/>
        </w:rPr>
        <w:lastRenderedPageBreak/>
        <w:t xml:space="preserve">aspects. The main challenge regarding modelling the financial impact on these additional aspects is the high degree of uncertainty still existing in modelling those quantities. Unlike statistical models for </w:t>
      </w:r>
      <w:r w:rsidR="00864283" w:rsidRPr="00FA08A3">
        <w:rPr>
          <w:lang w:val="en-GB"/>
        </w:rPr>
        <w:t>the PV energy production</w:t>
      </w:r>
      <w:r w:rsidR="00E17A86" w:rsidRPr="00FA08A3">
        <w:rPr>
          <w:lang w:val="en-GB"/>
        </w:rPr>
        <w:t>,</w:t>
      </w:r>
      <w:r w:rsidR="00864283" w:rsidRPr="00FA08A3">
        <w:rPr>
          <w:lang w:val="en-GB"/>
        </w:rPr>
        <w:t xml:space="preserve"> that are well established and accepted globally, estimating the amount of crop yield and/or water savings each year is not straightforward. An example model for the revenues from </w:t>
      </w:r>
      <w:r w:rsidR="0059494C">
        <w:rPr>
          <w:lang w:val="en-GB"/>
        </w:rPr>
        <w:t>an</w:t>
      </w:r>
      <w:r w:rsidR="00864283" w:rsidRPr="00FA08A3">
        <w:rPr>
          <w:lang w:val="en-GB"/>
        </w:rPr>
        <w:t xml:space="preserve"> </w:t>
      </w:r>
      <w:proofErr w:type="spellStart"/>
      <w:r w:rsidR="00864283" w:rsidRPr="00FA08A3">
        <w:rPr>
          <w:lang w:val="en-GB"/>
        </w:rPr>
        <w:t>AgriPV</w:t>
      </w:r>
      <w:proofErr w:type="spellEnd"/>
      <w:r w:rsidR="00864283" w:rsidRPr="00FA08A3">
        <w:rPr>
          <w:lang w:val="en-GB"/>
        </w:rPr>
        <w:t xml:space="preserve"> project could be formulated in the simplified equation below (eq.5):</w:t>
      </w:r>
    </w:p>
    <w:p w14:paraId="7A0F44F6" w14:textId="71DE69C9" w:rsidR="00864283" w:rsidRPr="00FA08A3" w:rsidRDefault="00864283" w:rsidP="00864283">
      <w:pPr>
        <w:pStyle w:val="SWCText"/>
        <w:ind w:left="720"/>
        <w:rPr>
          <w:lang w:val="en-GB"/>
        </w:rPr>
      </w:pPr>
      <m:oMath>
        <m:r>
          <w:rPr>
            <w:rFonts w:ascii="Cambria Math" w:hAnsi="Cambria Math"/>
            <w:color w:val="auto"/>
            <w:lang w:val="en-GB"/>
          </w:rPr>
          <m:t>Cash_flow(t)=</m:t>
        </m:r>
        <m:nary>
          <m:naryPr>
            <m:chr m:val="∑"/>
            <m:limLoc m:val="undOvr"/>
            <m:grow m:val="1"/>
            <m:supHide m:val="1"/>
            <m:ctrlPr>
              <w:rPr>
                <w:rFonts w:ascii="Cambria Math" w:hAnsi="Cambria Math"/>
                <w:i/>
                <w:sz w:val="24"/>
                <w:szCs w:val="24"/>
                <w:lang w:val="en-GB"/>
              </w:rPr>
            </m:ctrlPr>
          </m:naryPr>
          <m:sub>
            <m:r>
              <w:rPr>
                <w:rFonts w:ascii="Cambria Math" w:hAnsi="Cambria Math"/>
                <w:color w:val="auto"/>
                <w:lang w:val="en-GB"/>
              </w:rPr>
              <m:t>year i</m:t>
            </m:r>
          </m:sub>
          <m:sup/>
          <m:e>
            <m:d>
              <m:dPr>
                <m:ctrlPr>
                  <w:rPr>
                    <w:rFonts w:ascii="Cambria Math" w:hAnsi="Cambria Math"/>
                    <w:i/>
                    <w:sz w:val="24"/>
                    <w:szCs w:val="24"/>
                    <w:lang w:val="en-GB"/>
                  </w:rPr>
                </m:ctrlPr>
              </m:dPr>
              <m:e>
                <m:sSub>
                  <m:sSubPr>
                    <m:ctrlPr>
                      <w:rPr>
                        <w:rFonts w:ascii="Cambria Math" w:hAnsi="Cambria Math"/>
                        <w:i/>
                        <w:sz w:val="24"/>
                        <w:szCs w:val="24"/>
                        <w:lang w:val="en-GB"/>
                      </w:rPr>
                    </m:ctrlPr>
                  </m:sSubPr>
                  <m:e>
                    <m:r>
                      <w:rPr>
                        <w:rFonts w:ascii="Cambria Math" w:hAnsi="Cambria Math"/>
                        <w:color w:val="auto"/>
                        <w:lang w:val="en-GB"/>
                      </w:rPr>
                      <m:t>ER</m:t>
                    </m:r>
                  </m:e>
                  <m:sub>
                    <m:r>
                      <w:rPr>
                        <w:rFonts w:ascii="Cambria Math" w:hAnsi="Cambria Math"/>
                        <w:color w:val="auto"/>
                        <w:lang w:val="en-GB"/>
                      </w:rPr>
                      <m:t>i</m:t>
                    </m:r>
                  </m:sub>
                </m:sSub>
                <m:r>
                  <w:rPr>
                    <w:rFonts w:ascii="Cambria Math" w:hAnsi="Cambria Math"/>
                    <w:color w:val="auto"/>
                    <w:lang w:val="en-GB"/>
                  </w:rPr>
                  <m:t>+</m:t>
                </m:r>
                <m:sSub>
                  <m:sSubPr>
                    <m:ctrlPr>
                      <w:rPr>
                        <w:rFonts w:ascii="Cambria Math" w:hAnsi="Cambria Math"/>
                        <w:i/>
                        <w:sz w:val="24"/>
                        <w:szCs w:val="24"/>
                        <w:lang w:val="en-GB"/>
                      </w:rPr>
                    </m:ctrlPr>
                  </m:sSubPr>
                  <m:e>
                    <m:r>
                      <w:rPr>
                        <w:rFonts w:ascii="Cambria Math" w:hAnsi="Cambria Math"/>
                        <w:color w:val="auto"/>
                        <w:lang w:val="en-GB"/>
                      </w:rPr>
                      <m:t>WSR</m:t>
                    </m:r>
                  </m:e>
                  <m:sub>
                    <m:r>
                      <w:rPr>
                        <w:rFonts w:ascii="Cambria Math" w:hAnsi="Cambria Math"/>
                        <w:color w:val="auto"/>
                        <w:lang w:val="en-GB"/>
                      </w:rPr>
                      <m:t>i</m:t>
                    </m:r>
                  </m:sub>
                </m:sSub>
                <m:r>
                  <w:rPr>
                    <w:rFonts w:ascii="Cambria Math" w:hAnsi="Cambria Math"/>
                    <w:color w:val="auto"/>
                    <w:lang w:val="en-GB"/>
                  </w:rPr>
                  <m:t>+</m:t>
                </m:r>
                <m:sSub>
                  <m:sSubPr>
                    <m:ctrlPr>
                      <w:rPr>
                        <w:rFonts w:ascii="Cambria Math" w:hAnsi="Cambria Math"/>
                        <w:i/>
                        <w:sz w:val="24"/>
                        <w:szCs w:val="24"/>
                        <w:lang w:val="en-GB"/>
                      </w:rPr>
                    </m:ctrlPr>
                  </m:sSubPr>
                  <m:e>
                    <m:r>
                      <w:rPr>
                        <w:rFonts w:ascii="Cambria Math" w:hAnsi="Cambria Math"/>
                        <w:color w:val="auto"/>
                        <w:lang w:val="en-GB"/>
                      </w:rPr>
                      <m:t>CYR</m:t>
                    </m:r>
                  </m:e>
                  <m:sub>
                    <m:r>
                      <w:rPr>
                        <w:rFonts w:ascii="Cambria Math" w:hAnsi="Cambria Math"/>
                        <w:color w:val="auto"/>
                        <w:lang w:val="en-GB"/>
                      </w:rPr>
                      <m:t>i</m:t>
                    </m:r>
                  </m:sub>
                </m:sSub>
                <m:r>
                  <w:rPr>
                    <w:rFonts w:ascii="Cambria Math" w:hAnsi="Cambria Math"/>
                    <w:color w:val="auto"/>
                    <w:lang w:val="en-GB"/>
                  </w:rPr>
                  <m:t>-</m:t>
                </m:r>
                <m:sSub>
                  <m:sSubPr>
                    <m:ctrlPr>
                      <w:rPr>
                        <w:rFonts w:ascii="Cambria Math" w:hAnsi="Cambria Math"/>
                        <w:i/>
                        <w:sz w:val="24"/>
                        <w:szCs w:val="24"/>
                        <w:lang w:val="en-GB"/>
                      </w:rPr>
                    </m:ctrlPr>
                  </m:sSubPr>
                  <m:e>
                    <m:r>
                      <w:rPr>
                        <w:rFonts w:ascii="Cambria Math" w:hAnsi="Cambria Math"/>
                        <w:color w:val="auto"/>
                        <w:lang w:val="en-GB"/>
                      </w:rPr>
                      <m:t>OPEX</m:t>
                    </m:r>
                  </m:e>
                  <m:sub>
                    <m:r>
                      <w:rPr>
                        <w:rFonts w:ascii="Cambria Math" w:hAnsi="Cambria Math"/>
                        <w:color w:val="auto"/>
                        <w:lang w:val="en-GB"/>
                      </w:rPr>
                      <m:t>i</m:t>
                    </m:r>
                  </m:sub>
                </m:sSub>
              </m:e>
            </m:d>
            <m:r>
              <w:rPr>
                <w:rFonts w:ascii="Cambria Math" w:hAnsi="Cambria Math"/>
                <w:color w:val="auto"/>
                <w:lang w:val="en-GB"/>
              </w:rPr>
              <m:t>-CAPEX</m:t>
            </m:r>
          </m:e>
        </m:nary>
      </m:oMath>
      <w:r w:rsidRPr="00FA08A3">
        <w:rPr>
          <w:sz w:val="24"/>
          <w:szCs w:val="24"/>
          <w:lang w:val="en-GB"/>
        </w:rPr>
        <w:tab/>
      </w:r>
      <w:r w:rsidRPr="00FA08A3">
        <w:rPr>
          <w:szCs w:val="20"/>
          <w:lang w:val="en-GB"/>
        </w:rPr>
        <w:t>(eq.5)</w:t>
      </w:r>
    </w:p>
    <w:p w14:paraId="47056088" w14:textId="2B56F5FB" w:rsidR="00864283" w:rsidRPr="00FA08A3" w:rsidRDefault="00864283" w:rsidP="00EF317B">
      <w:pPr>
        <w:pStyle w:val="SWCText"/>
        <w:rPr>
          <w:lang w:val="en-GB"/>
        </w:rPr>
      </w:pPr>
      <w:r w:rsidRPr="00FA08A3">
        <w:rPr>
          <w:lang w:val="en-GB"/>
        </w:rPr>
        <w:t xml:space="preserve">In eq. 5 the cash flow at a specific time of the project (year </w:t>
      </w:r>
      <w:proofErr w:type="spellStart"/>
      <w:r w:rsidRPr="00FA08A3">
        <w:rPr>
          <w:lang w:val="en-GB"/>
        </w:rPr>
        <w:t>i</w:t>
      </w:r>
      <w:proofErr w:type="spellEnd"/>
      <w:r w:rsidRPr="00FA08A3">
        <w:rPr>
          <w:lang w:val="en-GB"/>
        </w:rPr>
        <w:t>) could be calculated by taking into account the energy yield revenues (ER) but also revenues arising from water savings (WSR) and improved crop yield (CYR). Such a formula could be used to estimate the payback period as well as the total cash flows at the project’s end</w:t>
      </w:r>
      <w:r w:rsidR="00E17A86" w:rsidRPr="00FA08A3">
        <w:rPr>
          <w:lang w:val="en-GB"/>
        </w:rPr>
        <w:t xml:space="preserve"> </w:t>
      </w:r>
      <w:r w:rsidRPr="00FA08A3">
        <w:rPr>
          <w:lang w:val="en-GB"/>
        </w:rPr>
        <w:t>of</w:t>
      </w:r>
      <w:r w:rsidR="00E17A86" w:rsidRPr="00FA08A3">
        <w:rPr>
          <w:lang w:val="en-GB"/>
        </w:rPr>
        <w:t xml:space="preserve"> </w:t>
      </w:r>
      <w:r w:rsidRPr="00FA08A3">
        <w:rPr>
          <w:lang w:val="en-GB"/>
        </w:rPr>
        <w:t>life. Despite its importance, the</w:t>
      </w:r>
      <w:r w:rsidR="00B35840" w:rsidRPr="00FA08A3">
        <w:rPr>
          <w:lang w:val="en-GB"/>
        </w:rPr>
        <w:t xml:space="preserve"> approach followed in the present analysis does not take into account revenues other than the ones connected to energy generation.</w:t>
      </w:r>
    </w:p>
    <w:p w14:paraId="4E5B2BBE" w14:textId="22912B21" w:rsidR="009A44FC" w:rsidRPr="00FA08A3" w:rsidRDefault="009A44FC" w:rsidP="009A44FC">
      <w:pPr>
        <w:pStyle w:val="SWCHeading1"/>
        <w:rPr>
          <w:lang w:val="en-GB"/>
        </w:rPr>
      </w:pPr>
      <w:bookmarkStart w:id="12" w:name="_Hlk238638371"/>
      <w:bookmarkEnd w:id="8"/>
      <w:r w:rsidRPr="00FA08A3">
        <w:rPr>
          <w:lang w:val="en-GB"/>
        </w:rPr>
        <w:t xml:space="preserve">Design of the </w:t>
      </w:r>
      <w:proofErr w:type="spellStart"/>
      <w:r w:rsidRPr="00FA08A3">
        <w:rPr>
          <w:lang w:val="en-GB"/>
        </w:rPr>
        <w:t>AgriPV</w:t>
      </w:r>
      <w:proofErr w:type="spellEnd"/>
    </w:p>
    <w:bookmarkEnd w:id="12"/>
    <w:p w14:paraId="045E7DDC" w14:textId="3D052729" w:rsidR="00B35840" w:rsidRPr="00FA08A3" w:rsidRDefault="00B35840" w:rsidP="000E34FE">
      <w:pPr>
        <w:spacing w:line="276" w:lineRule="auto"/>
        <w:jc w:val="both"/>
        <w:rPr>
          <w:color w:val="000000"/>
          <w:sz w:val="20"/>
          <w:szCs w:val="22"/>
          <w:lang w:val="en-GB"/>
        </w:rPr>
      </w:pPr>
      <w:r w:rsidRPr="00FA08A3">
        <w:rPr>
          <w:color w:val="000000"/>
          <w:sz w:val="20"/>
          <w:szCs w:val="22"/>
          <w:lang w:val="en-GB"/>
        </w:rPr>
        <w:t xml:space="preserve">The use of the previously presented methodology aims at identifying specific design characteristics for the </w:t>
      </w:r>
      <w:proofErr w:type="spellStart"/>
      <w:r w:rsidR="00DD4DB2" w:rsidRPr="00FA08A3">
        <w:rPr>
          <w:color w:val="000000"/>
          <w:sz w:val="20"/>
          <w:szCs w:val="22"/>
          <w:lang w:val="en-GB"/>
        </w:rPr>
        <w:t>AgriPV</w:t>
      </w:r>
      <w:proofErr w:type="spellEnd"/>
      <w:r w:rsidR="00DD4DB2" w:rsidRPr="00FA08A3">
        <w:rPr>
          <w:color w:val="000000"/>
          <w:sz w:val="20"/>
          <w:szCs w:val="22"/>
          <w:lang w:val="en-GB"/>
        </w:rPr>
        <w:t xml:space="preserve"> setup. It should be noted that due to the diversity of crop requirements and </w:t>
      </w:r>
      <w:r w:rsidR="00E17A86" w:rsidRPr="00FA08A3">
        <w:rPr>
          <w:color w:val="000000"/>
          <w:sz w:val="20"/>
          <w:szCs w:val="22"/>
          <w:lang w:val="en-GB"/>
        </w:rPr>
        <w:t xml:space="preserve">the </w:t>
      </w:r>
      <w:r w:rsidR="00DD4DB2" w:rsidRPr="00FA08A3">
        <w:rPr>
          <w:color w:val="000000"/>
          <w:sz w:val="20"/>
          <w:szCs w:val="22"/>
          <w:lang w:val="en-GB"/>
        </w:rPr>
        <w:t>large number of involved parameters, the proposed design is not a unique one but rather a more generic approach that is tailor</w:t>
      </w:r>
      <w:r w:rsidR="00E17A86" w:rsidRPr="00FA08A3">
        <w:rPr>
          <w:color w:val="000000"/>
          <w:sz w:val="20"/>
          <w:szCs w:val="22"/>
          <w:lang w:val="en-GB"/>
        </w:rPr>
        <w:t>ed</w:t>
      </w:r>
      <w:r w:rsidR="00DD4DB2" w:rsidRPr="00FA08A3">
        <w:rPr>
          <w:color w:val="000000"/>
          <w:sz w:val="20"/>
          <w:szCs w:val="22"/>
          <w:lang w:val="en-GB"/>
        </w:rPr>
        <w:t xml:space="preserve"> to the specific project needs. </w:t>
      </w:r>
      <w:r w:rsidR="008E27EE" w:rsidRPr="00FA08A3">
        <w:rPr>
          <w:color w:val="000000"/>
          <w:sz w:val="20"/>
          <w:szCs w:val="22"/>
          <w:lang w:val="en-GB"/>
        </w:rPr>
        <w:t>There are two core parts in the proposed design</w:t>
      </w:r>
      <w:r w:rsidR="00E17A86" w:rsidRPr="00FA08A3">
        <w:rPr>
          <w:color w:val="000000"/>
          <w:sz w:val="20"/>
          <w:szCs w:val="22"/>
          <w:lang w:val="en-GB"/>
        </w:rPr>
        <w:t>,</w:t>
      </w:r>
      <w:r w:rsidR="008E27EE" w:rsidRPr="00FA08A3">
        <w:rPr>
          <w:color w:val="000000"/>
          <w:sz w:val="20"/>
          <w:szCs w:val="22"/>
          <w:lang w:val="en-GB"/>
        </w:rPr>
        <w:t xml:space="preserve"> </w:t>
      </w:r>
      <w:r w:rsidR="00E17A86" w:rsidRPr="00FA08A3">
        <w:rPr>
          <w:color w:val="000000"/>
          <w:sz w:val="20"/>
          <w:szCs w:val="22"/>
          <w:lang w:val="en-GB"/>
        </w:rPr>
        <w:t>which</w:t>
      </w:r>
      <w:r w:rsidR="008E27EE" w:rsidRPr="00FA08A3">
        <w:rPr>
          <w:color w:val="000000"/>
          <w:sz w:val="20"/>
          <w:szCs w:val="22"/>
          <w:lang w:val="en-GB"/>
        </w:rPr>
        <w:t xml:space="preserve"> include the specially designed PV modules and support structures. More details regarding their characteristics follow. It is worth noting that</w:t>
      </w:r>
      <w:r w:rsidR="00603334" w:rsidRPr="00FA08A3">
        <w:rPr>
          <w:color w:val="000000"/>
          <w:sz w:val="20"/>
          <w:szCs w:val="22"/>
          <w:lang w:val="en-GB"/>
        </w:rPr>
        <w:t xml:space="preserve"> both parts </w:t>
      </w:r>
      <w:r w:rsidR="00603334">
        <w:rPr>
          <w:color w:val="000000"/>
          <w:sz w:val="20"/>
          <w:szCs w:val="22"/>
          <w:lang w:val="en-GB"/>
        </w:rPr>
        <w:t xml:space="preserve">of </w:t>
      </w:r>
      <w:r w:rsidR="008E27EE" w:rsidRPr="00FA08A3">
        <w:rPr>
          <w:color w:val="000000"/>
          <w:sz w:val="20"/>
          <w:szCs w:val="22"/>
          <w:lang w:val="en-GB"/>
        </w:rPr>
        <w:t xml:space="preserve">the specific </w:t>
      </w:r>
      <w:r w:rsidR="00916F1B">
        <w:rPr>
          <w:color w:val="000000"/>
          <w:sz w:val="20"/>
          <w:szCs w:val="22"/>
          <w:lang w:val="en-GB"/>
        </w:rPr>
        <w:t xml:space="preserve">project </w:t>
      </w:r>
      <w:r w:rsidR="008E27EE" w:rsidRPr="00FA08A3">
        <w:rPr>
          <w:color w:val="000000"/>
          <w:sz w:val="20"/>
          <w:szCs w:val="22"/>
          <w:lang w:val="en-GB"/>
        </w:rPr>
        <w:t xml:space="preserve">design are commercially available products provided by </w:t>
      </w:r>
      <w:proofErr w:type="spellStart"/>
      <w:r w:rsidR="008E27EE" w:rsidRPr="00FA08A3">
        <w:rPr>
          <w:color w:val="000000"/>
          <w:sz w:val="20"/>
          <w:szCs w:val="22"/>
          <w:lang w:val="en-GB"/>
        </w:rPr>
        <w:t>Brite</w:t>
      </w:r>
      <w:proofErr w:type="spellEnd"/>
      <w:r w:rsidR="008E27EE" w:rsidRPr="00FA08A3">
        <w:rPr>
          <w:color w:val="000000"/>
          <w:sz w:val="20"/>
          <w:szCs w:val="22"/>
          <w:lang w:val="en-GB"/>
        </w:rPr>
        <w:t xml:space="preserve"> Hellas SA. </w:t>
      </w:r>
      <w:r w:rsidR="00603334" w:rsidRPr="00603334">
        <w:rPr>
          <w:color w:val="000000"/>
          <w:sz w:val="20"/>
          <w:szCs w:val="22"/>
          <w:lang w:val="en-GB"/>
        </w:rPr>
        <w:t xml:space="preserve">The capacities of the industry partner </w:t>
      </w:r>
      <w:proofErr w:type="spellStart"/>
      <w:r w:rsidR="00603334" w:rsidRPr="00603334">
        <w:rPr>
          <w:color w:val="000000"/>
          <w:sz w:val="20"/>
          <w:szCs w:val="22"/>
          <w:lang w:val="en-GB"/>
        </w:rPr>
        <w:t>Brite</w:t>
      </w:r>
      <w:proofErr w:type="spellEnd"/>
      <w:r w:rsidR="00603334" w:rsidRPr="00603334">
        <w:rPr>
          <w:color w:val="000000"/>
          <w:sz w:val="20"/>
          <w:szCs w:val="22"/>
          <w:lang w:val="en-GB"/>
        </w:rPr>
        <w:t xml:space="preserve"> Hellas SA have helped develop the new design modules and its characteristics. The new </w:t>
      </w:r>
      <w:proofErr w:type="spellStart"/>
      <w:r w:rsidR="00603334" w:rsidRPr="00603334">
        <w:rPr>
          <w:color w:val="000000"/>
          <w:sz w:val="20"/>
          <w:szCs w:val="22"/>
          <w:lang w:val="en-GB"/>
        </w:rPr>
        <w:t>AgriPV</w:t>
      </w:r>
      <w:proofErr w:type="spellEnd"/>
      <w:r w:rsidR="00603334" w:rsidRPr="00603334">
        <w:rPr>
          <w:color w:val="000000"/>
          <w:sz w:val="20"/>
          <w:szCs w:val="22"/>
          <w:lang w:val="en-GB"/>
        </w:rPr>
        <w:t xml:space="preserve"> design under the </w:t>
      </w:r>
      <w:proofErr w:type="spellStart"/>
      <w:r w:rsidR="00603334" w:rsidRPr="00603334">
        <w:rPr>
          <w:color w:val="000000"/>
          <w:sz w:val="20"/>
          <w:szCs w:val="22"/>
          <w:lang w:val="en-GB"/>
        </w:rPr>
        <w:t>SolarHub</w:t>
      </w:r>
      <w:proofErr w:type="spellEnd"/>
      <w:r w:rsidR="00603334" w:rsidRPr="00603334">
        <w:rPr>
          <w:color w:val="000000"/>
          <w:sz w:val="20"/>
          <w:szCs w:val="22"/>
          <w:lang w:val="en-GB"/>
        </w:rPr>
        <w:t xml:space="preserve"> project has expanded the </w:t>
      </w:r>
      <w:r w:rsidR="00603334" w:rsidRPr="00603334">
        <w:rPr>
          <w:color w:val="000000"/>
          <w:sz w:val="20"/>
          <w:szCs w:val="22"/>
          <w:lang w:val="en-GB"/>
        </w:rPr>
        <w:t>knowledgeability</w:t>
      </w:r>
      <w:r w:rsidR="00603334" w:rsidRPr="00603334">
        <w:rPr>
          <w:color w:val="000000"/>
          <w:sz w:val="20"/>
          <w:szCs w:val="22"/>
          <w:lang w:val="en-GB"/>
        </w:rPr>
        <w:t xml:space="preserve"> of the semi-transparent </w:t>
      </w:r>
      <w:proofErr w:type="spellStart"/>
      <w:r w:rsidR="00603334" w:rsidRPr="00603334">
        <w:rPr>
          <w:color w:val="000000"/>
          <w:sz w:val="20"/>
          <w:szCs w:val="22"/>
          <w:lang w:val="en-GB"/>
        </w:rPr>
        <w:t>AgriPV</w:t>
      </w:r>
      <w:proofErr w:type="spellEnd"/>
      <w:r w:rsidR="00603334" w:rsidRPr="00603334">
        <w:rPr>
          <w:color w:val="000000"/>
          <w:sz w:val="20"/>
          <w:szCs w:val="22"/>
          <w:lang w:val="en-GB"/>
        </w:rPr>
        <w:t xml:space="preserve"> technology and the products are commercially available by </w:t>
      </w:r>
      <w:proofErr w:type="spellStart"/>
      <w:r w:rsidR="00603334" w:rsidRPr="00603334">
        <w:rPr>
          <w:color w:val="000000"/>
          <w:sz w:val="20"/>
          <w:szCs w:val="22"/>
          <w:lang w:val="en-GB"/>
        </w:rPr>
        <w:t>Brite</w:t>
      </w:r>
      <w:proofErr w:type="spellEnd"/>
      <w:r w:rsidR="00603334" w:rsidRPr="00603334">
        <w:rPr>
          <w:color w:val="000000"/>
          <w:sz w:val="20"/>
          <w:szCs w:val="22"/>
          <w:lang w:val="en-GB"/>
        </w:rPr>
        <w:t xml:space="preserve"> Hellas SA and have been tested in several demonstration sites.</w:t>
      </w:r>
    </w:p>
    <w:p w14:paraId="3C837B2F" w14:textId="77777777" w:rsidR="008E27EE" w:rsidRPr="00FA08A3" w:rsidRDefault="008E27EE" w:rsidP="008E27EE">
      <w:pPr>
        <w:pStyle w:val="SWCText"/>
        <w:rPr>
          <w:rFonts w:ascii="Arial" w:hAnsi="Arial"/>
          <w:bCs/>
          <w:i/>
          <w:iCs/>
          <w:szCs w:val="24"/>
          <w:lang w:val="en-GB"/>
        </w:rPr>
      </w:pPr>
    </w:p>
    <w:p w14:paraId="00742F36" w14:textId="7CB650A5" w:rsidR="008E27EE" w:rsidRPr="00FA08A3" w:rsidRDefault="008E27EE" w:rsidP="008E27EE">
      <w:pPr>
        <w:pStyle w:val="SWCText"/>
        <w:rPr>
          <w:rFonts w:ascii="Arial" w:hAnsi="Arial"/>
          <w:bCs/>
          <w:i/>
          <w:iCs/>
          <w:szCs w:val="24"/>
          <w:lang w:val="en-GB"/>
        </w:rPr>
      </w:pPr>
      <w:bookmarkStart w:id="13" w:name="_Hlk238636251"/>
      <w:r w:rsidRPr="00FA08A3">
        <w:rPr>
          <w:rFonts w:ascii="Arial" w:hAnsi="Arial"/>
          <w:bCs/>
          <w:i/>
          <w:iCs/>
          <w:szCs w:val="24"/>
          <w:lang w:val="en-GB"/>
        </w:rPr>
        <w:t xml:space="preserve">3.1 </w:t>
      </w:r>
      <w:r w:rsidR="00BC054F" w:rsidRPr="00FA08A3">
        <w:rPr>
          <w:rFonts w:ascii="Arial" w:hAnsi="Arial"/>
          <w:bCs/>
          <w:i/>
          <w:iCs/>
          <w:szCs w:val="24"/>
          <w:lang w:val="en-GB"/>
        </w:rPr>
        <w:t>Semi-transparent</w:t>
      </w:r>
      <w:r w:rsidRPr="00FA08A3">
        <w:rPr>
          <w:rFonts w:ascii="Arial" w:hAnsi="Arial"/>
          <w:bCs/>
          <w:i/>
          <w:iCs/>
          <w:szCs w:val="24"/>
          <w:lang w:val="en-GB"/>
        </w:rPr>
        <w:t xml:space="preserve"> PV modules</w:t>
      </w:r>
    </w:p>
    <w:bookmarkEnd w:id="13"/>
    <w:p w14:paraId="4DD2642F" w14:textId="2919442A" w:rsidR="008E27EE" w:rsidRPr="00FA08A3" w:rsidRDefault="008E27EE" w:rsidP="008E27EE">
      <w:pPr>
        <w:pStyle w:val="SWCText"/>
        <w:rPr>
          <w:color w:val="auto"/>
          <w:szCs w:val="20"/>
          <w:lang w:val="en-GB"/>
        </w:rPr>
      </w:pPr>
      <w:r w:rsidRPr="00FA08A3">
        <w:rPr>
          <w:color w:val="auto"/>
          <w:szCs w:val="20"/>
          <w:lang w:val="en-GB"/>
        </w:rPr>
        <w:t>In the present approach, in order to achieve the optimal desired outcome</w:t>
      </w:r>
      <w:r w:rsidR="00E17A86" w:rsidRPr="00FA08A3">
        <w:rPr>
          <w:color w:val="auto"/>
          <w:szCs w:val="20"/>
          <w:lang w:val="en-GB"/>
        </w:rPr>
        <w:t>, a</w:t>
      </w:r>
      <w:r w:rsidRPr="00FA08A3">
        <w:rPr>
          <w:color w:val="auto"/>
          <w:szCs w:val="20"/>
          <w:lang w:val="en-GB"/>
        </w:rPr>
        <w:t xml:space="preserve"> special type of </w:t>
      </w:r>
      <w:r w:rsidR="00767F92" w:rsidRPr="00FA08A3">
        <w:rPr>
          <w:color w:val="auto"/>
          <w:szCs w:val="20"/>
          <w:lang w:val="en-GB"/>
        </w:rPr>
        <w:t xml:space="preserve">PV modules is proposed. </w:t>
      </w:r>
      <w:r w:rsidR="00E26F64">
        <w:rPr>
          <w:color w:val="auto"/>
          <w:szCs w:val="20"/>
          <w:lang w:val="en-GB"/>
        </w:rPr>
        <w:t>A k</w:t>
      </w:r>
      <w:r w:rsidR="00767F92" w:rsidRPr="00FA08A3">
        <w:rPr>
          <w:color w:val="auto"/>
          <w:szCs w:val="20"/>
          <w:lang w:val="en-GB"/>
        </w:rPr>
        <w:t xml:space="preserve">ey characteristic of these modules it </w:t>
      </w:r>
      <w:r w:rsidR="00254C11">
        <w:rPr>
          <w:color w:val="auto"/>
          <w:szCs w:val="20"/>
          <w:lang w:val="en-GB"/>
        </w:rPr>
        <w:t>their</w:t>
      </w:r>
      <w:r w:rsidR="00767F92" w:rsidRPr="00FA08A3">
        <w:rPr>
          <w:color w:val="auto"/>
          <w:szCs w:val="20"/>
          <w:lang w:val="en-GB"/>
        </w:rPr>
        <w:t xml:space="preserve"> transparency, which is configurable during manufacturing to the desired levels, depending </w:t>
      </w:r>
      <w:r w:rsidR="00E17A86" w:rsidRPr="00FA08A3">
        <w:rPr>
          <w:color w:val="auto"/>
          <w:szCs w:val="20"/>
          <w:lang w:val="en-GB"/>
        </w:rPr>
        <w:t>on</w:t>
      </w:r>
      <w:r w:rsidR="00767F92" w:rsidRPr="00FA08A3">
        <w:rPr>
          <w:color w:val="auto"/>
          <w:szCs w:val="20"/>
          <w:lang w:val="en-GB"/>
        </w:rPr>
        <w:t xml:space="preserve"> the application. The core idea behind this transparency is combining standard, high-performance, </w:t>
      </w:r>
      <w:r w:rsidR="00E17A86" w:rsidRPr="00FA08A3">
        <w:rPr>
          <w:color w:val="auto"/>
          <w:szCs w:val="20"/>
          <w:lang w:val="en-GB"/>
        </w:rPr>
        <w:t xml:space="preserve">and </w:t>
      </w:r>
      <w:r w:rsidR="00767F92" w:rsidRPr="00FA08A3">
        <w:rPr>
          <w:color w:val="auto"/>
          <w:szCs w:val="20"/>
          <w:lang w:val="en-GB"/>
        </w:rPr>
        <w:t>affordable PV cells (mono-crystalline Si) in conjunction with standard or special types of glass panes in a configuration such as the one shown in Fig. 6.</w:t>
      </w:r>
    </w:p>
    <w:p w14:paraId="4B132823" w14:textId="1C88DA8D" w:rsidR="00767F92" w:rsidRPr="00FA08A3" w:rsidRDefault="00767F92" w:rsidP="00767F92">
      <w:pPr>
        <w:pStyle w:val="SWCText"/>
        <w:jc w:val="center"/>
        <w:rPr>
          <w:color w:val="auto"/>
          <w:szCs w:val="20"/>
          <w:lang w:val="en-GB"/>
        </w:rPr>
      </w:pPr>
      <w:r w:rsidRPr="00FA08A3">
        <w:rPr>
          <w:noProof/>
          <w:lang w:val="en-GB"/>
        </w:rPr>
        <w:drawing>
          <wp:inline distT="0" distB="0" distL="0" distR="0" wp14:anchorId="49351A08" wp14:editId="605C3C34">
            <wp:extent cx="2381250" cy="21717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81250" cy="2171700"/>
                    </a:xfrm>
                    <a:prstGeom prst="rect">
                      <a:avLst/>
                    </a:prstGeom>
                  </pic:spPr>
                </pic:pic>
              </a:graphicData>
            </a:graphic>
          </wp:inline>
        </w:drawing>
      </w:r>
    </w:p>
    <w:p w14:paraId="2225C1C8" w14:textId="4B2BF5EE" w:rsidR="00767F92" w:rsidRPr="00FA08A3" w:rsidRDefault="00767F92" w:rsidP="00767F92">
      <w:pPr>
        <w:pStyle w:val="SWCTableFigureCaption"/>
        <w:rPr>
          <w:lang w:val="en-GB"/>
        </w:rPr>
      </w:pPr>
      <w:bookmarkStart w:id="14" w:name="_Hlk238630170"/>
      <w:r w:rsidRPr="00FA08A3">
        <w:rPr>
          <w:lang w:val="en-GB"/>
        </w:rPr>
        <w:t>Fig. 6: Indicative arrangement of c-Si PV cells in order to achieve specific transparency</w:t>
      </w:r>
    </w:p>
    <w:bookmarkEnd w:id="14"/>
    <w:p w14:paraId="673FB4A6" w14:textId="1DF4F405" w:rsidR="008E27EE" w:rsidRPr="00FA08A3" w:rsidRDefault="00767F92" w:rsidP="00E17A86">
      <w:pPr>
        <w:spacing w:line="276" w:lineRule="auto"/>
        <w:jc w:val="both"/>
        <w:rPr>
          <w:lang w:val="en-GB"/>
        </w:rPr>
      </w:pPr>
      <w:r w:rsidRPr="00FA08A3">
        <w:rPr>
          <w:sz w:val="20"/>
          <w:szCs w:val="20"/>
          <w:lang w:val="en-GB"/>
        </w:rPr>
        <w:t>The</w:t>
      </w:r>
      <w:r w:rsidRPr="00FA08A3">
        <w:rPr>
          <w:lang w:val="en-GB"/>
        </w:rPr>
        <w:t xml:space="preserve"> </w:t>
      </w:r>
      <w:r w:rsidRPr="00FA08A3">
        <w:rPr>
          <w:sz w:val="20"/>
          <w:szCs w:val="20"/>
          <w:lang w:val="en-GB"/>
        </w:rPr>
        <w:t xml:space="preserve">transparency in the example of Fig. 6 is obtained by properly spacing </w:t>
      </w:r>
      <w:r w:rsidR="00C55D29">
        <w:rPr>
          <w:sz w:val="20"/>
          <w:szCs w:val="20"/>
          <w:lang w:val="en-GB"/>
        </w:rPr>
        <w:t>the PV over the</w:t>
      </w:r>
      <w:r w:rsidRPr="00FA08A3">
        <w:rPr>
          <w:sz w:val="20"/>
          <w:szCs w:val="20"/>
          <w:lang w:val="en-GB"/>
        </w:rPr>
        <w:t xml:space="preserve"> glass pane, leaving a specific portion of it uncovered. In this configuration, the area occupied by the PV cells is called</w:t>
      </w:r>
      <w:r w:rsidR="00A2412B">
        <w:rPr>
          <w:sz w:val="20"/>
          <w:szCs w:val="20"/>
          <w:lang w:val="en-GB"/>
        </w:rPr>
        <w:t xml:space="preserve"> the</w:t>
      </w:r>
      <w:r w:rsidRPr="00FA08A3">
        <w:rPr>
          <w:sz w:val="20"/>
          <w:szCs w:val="20"/>
          <w:lang w:val="en-GB"/>
        </w:rPr>
        <w:t xml:space="preserve"> active area</w:t>
      </w:r>
      <w:r w:rsidR="00E17A86" w:rsidRPr="00FA08A3">
        <w:rPr>
          <w:sz w:val="20"/>
          <w:szCs w:val="20"/>
          <w:lang w:val="en-GB"/>
        </w:rPr>
        <w:t>,</w:t>
      </w:r>
      <w:r w:rsidRPr="00FA08A3">
        <w:rPr>
          <w:sz w:val="20"/>
          <w:szCs w:val="20"/>
          <w:lang w:val="en-GB"/>
        </w:rPr>
        <w:t xml:space="preserve"> </w:t>
      </w:r>
      <w:r w:rsidR="005118C7">
        <w:rPr>
          <w:sz w:val="20"/>
          <w:szCs w:val="20"/>
          <w:lang w:val="en-GB"/>
        </w:rPr>
        <w:t>since</w:t>
      </w:r>
      <w:r w:rsidRPr="00FA08A3">
        <w:rPr>
          <w:sz w:val="20"/>
          <w:szCs w:val="20"/>
          <w:lang w:val="en-GB"/>
        </w:rPr>
        <w:t xml:space="preserve"> it is </w:t>
      </w:r>
      <w:r w:rsidR="005118C7" w:rsidRPr="00FA08A3">
        <w:rPr>
          <w:sz w:val="20"/>
          <w:szCs w:val="20"/>
          <w:lang w:val="en-GB"/>
        </w:rPr>
        <w:t xml:space="preserve">the PV module </w:t>
      </w:r>
      <w:r w:rsidRPr="00FA08A3">
        <w:rPr>
          <w:sz w:val="20"/>
          <w:szCs w:val="20"/>
          <w:lang w:val="en-GB"/>
        </w:rPr>
        <w:t xml:space="preserve">part that contributes to energy production. The glass pane in the proposed approach is </w:t>
      </w:r>
      <w:r w:rsidR="00E17A86" w:rsidRPr="00FA08A3">
        <w:rPr>
          <w:sz w:val="20"/>
          <w:szCs w:val="20"/>
          <w:lang w:val="en-GB"/>
        </w:rPr>
        <w:t xml:space="preserve">made of </w:t>
      </w:r>
      <w:r w:rsidRPr="00FA08A3">
        <w:rPr>
          <w:sz w:val="20"/>
          <w:szCs w:val="20"/>
          <w:lang w:val="en-GB"/>
        </w:rPr>
        <w:t>either standard or special-type glass. The latter is covered with a layer of nano-coating that modifies some transparency characteristics in order to exploit more parts of the light spectrum.</w:t>
      </w:r>
      <w:r w:rsidR="000E41A9" w:rsidRPr="00FA08A3">
        <w:rPr>
          <w:sz w:val="20"/>
          <w:szCs w:val="20"/>
          <w:lang w:val="en-GB"/>
        </w:rPr>
        <w:t xml:space="preserve"> In Fig. 7 an example of </w:t>
      </w:r>
      <w:r w:rsidR="000E41A9" w:rsidRPr="00FA08A3">
        <w:rPr>
          <w:sz w:val="20"/>
          <w:szCs w:val="20"/>
          <w:lang w:val="en-GB"/>
        </w:rPr>
        <w:lastRenderedPageBreak/>
        <w:t>commercially available PV modules with the</w:t>
      </w:r>
      <w:r w:rsidR="000E46DC" w:rsidRPr="00FA08A3">
        <w:rPr>
          <w:sz w:val="20"/>
          <w:szCs w:val="20"/>
          <w:lang w:val="en-GB"/>
        </w:rPr>
        <w:t>ir</w:t>
      </w:r>
      <w:r w:rsidR="000E41A9" w:rsidRPr="00FA08A3">
        <w:rPr>
          <w:sz w:val="20"/>
          <w:szCs w:val="20"/>
          <w:lang w:val="en-GB"/>
        </w:rPr>
        <w:t xml:space="preserve"> transparency profile is provided.</w:t>
      </w:r>
      <w:r w:rsidR="000E46DC" w:rsidRPr="00FA08A3">
        <w:rPr>
          <w:sz w:val="20"/>
          <w:szCs w:val="20"/>
          <w:lang w:val="en-GB"/>
        </w:rPr>
        <w:t xml:space="preserve"> The specific module is of approximately 50% transparency (i.e., half of it is the active area), and produces a peak </w:t>
      </w:r>
      <w:r w:rsidR="00431CC4" w:rsidRPr="00FA08A3">
        <w:rPr>
          <w:sz w:val="20"/>
          <w:szCs w:val="20"/>
          <w:lang w:val="en-GB"/>
        </w:rPr>
        <w:t xml:space="preserve">power of 250 W. The specific model can be equipped either with standard (plain) or solar (nano-coating) glass, with very similar transmittance profiles as the right-hand side diagram of Fig. 7 shows. </w:t>
      </w:r>
      <w:r w:rsidR="000E41A9" w:rsidRPr="00FA08A3">
        <w:rPr>
          <w:sz w:val="20"/>
          <w:szCs w:val="20"/>
          <w:lang w:val="en-GB"/>
        </w:rPr>
        <w:t xml:space="preserve"> </w:t>
      </w:r>
      <w:r w:rsidR="00125696" w:rsidRPr="00FA08A3">
        <w:rPr>
          <w:sz w:val="20"/>
          <w:szCs w:val="20"/>
          <w:lang w:val="en-GB"/>
        </w:rPr>
        <w:t xml:space="preserve">The special impact of the nano-coating on the transmittance is separately illustrated in Fig. </w:t>
      </w:r>
      <w:r w:rsidR="00DA3CC5" w:rsidRPr="00FA08A3">
        <w:rPr>
          <w:sz w:val="20"/>
          <w:szCs w:val="20"/>
          <w:lang w:val="en-GB"/>
        </w:rPr>
        <w:t>8,</w:t>
      </w:r>
      <w:r w:rsidR="00125696" w:rsidRPr="00FA08A3">
        <w:rPr>
          <w:sz w:val="20"/>
          <w:szCs w:val="20"/>
          <w:lang w:val="en-GB"/>
        </w:rPr>
        <w:t xml:space="preserve"> </w:t>
      </w:r>
      <w:r w:rsidR="00DA3CC5" w:rsidRPr="00FA08A3">
        <w:rPr>
          <w:sz w:val="20"/>
          <w:szCs w:val="20"/>
          <w:lang w:val="en-GB"/>
        </w:rPr>
        <w:t>which</w:t>
      </w:r>
      <w:r w:rsidR="00125696" w:rsidRPr="00FA08A3">
        <w:rPr>
          <w:sz w:val="20"/>
          <w:szCs w:val="20"/>
          <w:lang w:val="en-GB"/>
        </w:rPr>
        <w:t xml:space="preserve"> depicts the behaviour of the material as a filter and amplifier for specific wavelengths. </w:t>
      </w:r>
      <w:r w:rsidRPr="00FA08A3">
        <w:rPr>
          <w:lang w:val="en-GB"/>
        </w:rPr>
        <w:t xml:space="preserve"> </w:t>
      </w:r>
    </w:p>
    <w:p w14:paraId="4F12CB35" w14:textId="0DC57C88" w:rsidR="00B35840" w:rsidRPr="00FA08A3" w:rsidRDefault="000E41A9" w:rsidP="000E41A9">
      <w:pPr>
        <w:jc w:val="center"/>
        <w:rPr>
          <w:lang w:val="en-GB"/>
        </w:rPr>
      </w:pPr>
      <w:r w:rsidRPr="00FA08A3">
        <w:rPr>
          <w:noProof/>
          <w:sz w:val="20"/>
          <w:szCs w:val="20"/>
          <w:lang w:val="en-GB"/>
        </w:rPr>
        <w:drawing>
          <wp:inline distT="0" distB="0" distL="0" distR="0" wp14:anchorId="4D79E3AE" wp14:editId="7B5E9DD5">
            <wp:extent cx="1835150" cy="2609850"/>
            <wp:effectExtent l="0" t="0" r="0" b="0"/>
            <wp:docPr id="1874169405" name="Picture 3"/>
            <wp:cNvGraphicFramePr/>
            <a:graphic xmlns:a="http://schemas.openxmlformats.org/drawingml/2006/main">
              <a:graphicData uri="http://schemas.openxmlformats.org/drawingml/2006/picture">
                <pic:pic xmlns:pic="http://schemas.openxmlformats.org/drawingml/2006/picture">
                  <pic:nvPicPr>
                    <pic:cNvPr id="1874169405" name="Picture 3"/>
                    <pic:cNvPicPr/>
                  </pic:nvPicPr>
                  <pic:blipFill rotWithShape="1">
                    <a:blip r:embed="rId23" cstate="print">
                      <a:extLst>
                        <a:ext uri="{28A0092B-C50C-407E-A947-70E740481C1C}">
                          <a14:useLocalDpi xmlns:a14="http://schemas.microsoft.com/office/drawing/2010/main" val="0"/>
                        </a:ext>
                      </a:extLst>
                    </a:blip>
                    <a:srcRect t="867" b="-869"/>
                    <a:stretch/>
                  </pic:blipFill>
                  <pic:spPr bwMode="auto">
                    <a:xfrm>
                      <a:off x="0" y="0"/>
                      <a:ext cx="1835422" cy="2610237"/>
                    </a:xfrm>
                    <a:prstGeom prst="rect">
                      <a:avLst/>
                    </a:prstGeom>
                    <a:noFill/>
                    <a:ln>
                      <a:noFill/>
                    </a:ln>
                    <a:extLst>
                      <a:ext uri="{53640926-AAD7-44D8-BBD7-CCE9431645EC}">
                        <a14:shadowObscured xmlns:a14="http://schemas.microsoft.com/office/drawing/2010/main"/>
                      </a:ext>
                    </a:extLst>
                  </pic:spPr>
                </pic:pic>
              </a:graphicData>
            </a:graphic>
          </wp:inline>
        </w:drawing>
      </w:r>
      <w:r w:rsidRPr="00FA08A3">
        <w:rPr>
          <w:noProof/>
          <w:lang w:val="en-GB"/>
        </w:rPr>
        <w:drawing>
          <wp:inline distT="0" distB="0" distL="0" distR="0" wp14:anchorId="1C6D169F" wp14:editId="15F1A29B">
            <wp:extent cx="3409950" cy="2673350"/>
            <wp:effectExtent l="0" t="0" r="0" b="0"/>
            <wp:docPr id="148911614" name="Εικόνα 1"/>
            <wp:cNvGraphicFramePr/>
            <a:graphic xmlns:a="http://schemas.openxmlformats.org/drawingml/2006/main">
              <a:graphicData uri="http://schemas.openxmlformats.org/drawingml/2006/picture">
                <pic:pic xmlns:pic="http://schemas.openxmlformats.org/drawingml/2006/picture">
                  <pic:nvPicPr>
                    <pic:cNvPr id="148911614" name="Εικόνα 1"/>
                    <pic:cNvPicPr/>
                  </pic:nvPicPr>
                  <pic:blipFill rotWithShape="1">
                    <a:blip r:embed="rId24">
                      <a:extLst>
                        <a:ext uri="{28A0092B-C50C-407E-A947-70E740481C1C}">
                          <a14:useLocalDpi xmlns:a14="http://schemas.microsoft.com/office/drawing/2010/main" val="0"/>
                        </a:ext>
                      </a:extLst>
                    </a:blip>
                    <a:srcRect l="50857" t="15273" r="3229" b="59097"/>
                    <a:stretch/>
                  </pic:blipFill>
                  <pic:spPr bwMode="auto">
                    <a:xfrm>
                      <a:off x="0" y="0"/>
                      <a:ext cx="3409950" cy="2673350"/>
                    </a:xfrm>
                    <a:prstGeom prst="rect">
                      <a:avLst/>
                    </a:prstGeom>
                    <a:noFill/>
                    <a:ln>
                      <a:noFill/>
                    </a:ln>
                    <a:extLst>
                      <a:ext uri="{53640926-AAD7-44D8-BBD7-CCE9431645EC}">
                        <a14:shadowObscured xmlns:a14="http://schemas.microsoft.com/office/drawing/2010/main"/>
                      </a:ext>
                    </a:extLst>
                  </pic:spPr>
                </pic:pic>
              </a:graphicData>
            </a:graphic>
          </wp:inline>
        </w:drawing>
      </w:r>
    </w:p>
    <w:p w14:paraId="0B458956" w14:textId="623409DB" w:rsidR="000E41A9" w:rsidRPr="00FA08A3" w:rsidRDefault="000E41A9" w:rsidP="000E41A9">
      <w:pPr>
        <w:pStyle w:val="SWCTableFigureCaption"/>
        <w:rPr>
          <w:lang w:val="en-GB"/>
        </w:rPr>
      </w:pPr>
      <w:r w:rsidRPr="00FA08A3">
        <w:rPr>
          <w:lang w:val="en-GB"/>
        </w:rPr>
        <w:t>Fig. 7: Example of commercially available PV modules and transmittance profile</w:t>
      </w:r>
    </w:p>
    <w:p w14:paraId="016B0335" w14:textId="10F84BFD" w:rsidR="00125696" w:rsidRPr="00FA08A3" w:rsidRDefault="00125696" w:rsidP="000E41A9">
      <w:pPr>
        <w:pStyle w:val="SWCTableFigureCaption"/>
        <w:rPr>
          <w:lang w:val="en-GB"/>
        </w:rPr>
      </w:pPr>
      <w:r w:rsidRPr="00FA08A3">
        <w:rPr>
          <w:noProof/>
          <w:lang w:val="en-GB"/>
        </w:rPr>
        <w:drawing>
          <wp:inline distT="0" distB="0" distL="0" distR="0" wp14:anchorId="2087EAC6" wp14:editId="78E387DF">
            <wp:extent cx="4989008" cy="32321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25" cstate="print">
                      <a:extLst>
                        <a:ext uri="{28A0092B-C50C-407E-A947-70E740481C1C}">
                          <a14:useLocalDpi xmlns:a14="http://schemas.microsoft.com/office/drawing/2010/main" val="0"/>
                        </a:ext>
                      </a:extLst>
                    </a:blip>
                    <a:srcRect l="5539" t="9047" b="5278"/>
                    <a:stretch/>
                  </pic:blipFill>
                  <pic:spPr bwMode="auto">
                    <a:xfrm>
                      <a:off x="0" y="0"/>
                      <a:ext cx="5046489" cy="3269389"/>
                    </a:xfrm>
                    <a:prstGeom prst="rect">
                      <a:avLst/>
                    </a:prstGeom>
                    <a:ln>
                      <a:noFill/>
                    </a:ln>
                    <a:extLst>
                      <a:ext uri="{53640926-AAD7-44D8-BBD7-CCE9431645EC}">
                        <a14:shadowObscured xmlns:a14="http://schemas.microsoft.com/office/drawing/2010/main"/>
                      </a:ext>
                    </a:extLst>
                  </pic:spPr>
                </pic:pic>
              </a:graphicData>
            </a:graphic>
          </wp:inline>
        </w:drawing>
      </w:r>
    </w:p>
    <w:p w14:paraId="58A980B6" w14:textId="5A92AB6B" w:rsidR="00125696" w:rsidRPr="00FA08A3" w:rsidRDefault="00125696" w:rsidP="00125696">
      <w:pPr>
        <w:pStyle w:val="SWCTableFigureCaption"/>
        <w:rPr>
          <w:lang w:val="en-GB"/>
        </w:rPr>
      </w:pPr>
      <w:bookmarkStart w:id="15" w:name="_Hlk238636594"/>
      <w:r w:rsidRPr="00FA08A3">
        <w:rPr>
          <w:lang w:val="en-GB"/>
        </w:rPr>
        <w:t>Fig. 8: Modification of visible spectrum with the use of selected nano-coating</w:t>
      </w:r>
    </w:p>
    <w:p w14:paraId="65C89A99" w14:textId="0DDFD215" w:rsidR="00BC054F" w:rsidRPr="00FA08A3" w:rsidRDefault="00BC054F" w:rsidP="00BC054F">
      <w:pPr>
        <w:pStyle w:val="SWCText"/>
        <w:rPr>
          <w:rFonts w:ascii="Arial" w:hAnsi="Arial"/>
          <w:bCs/>
          <w:i/>
          <w:iCs/>
          <w:szCs w:val="24"/>
          <w:lang w:val="en-GB"/>
        </w:rPr>
      </w:pPr>
      <w:bookmarkStart w:id="16" w:name="_Hlk238637045"/>
      <w:bookmarkEnd w:id="15"/>
      <w:r w:rsidRPr="00FA08A3">
        <w:rPr>
          <w:rFonts w:ascii="Arial" w:hAnsi="Arial"/>
          <w:bCs/>
          <w:i/>
          <w:iCs/>
          <w:szCs w:val="24"/>
          <w:lang w:val="en-GB"/>
        </w:rPr>
        <w:t>3.2 Elevated support structures</w:t>
      </w:r>
    </w:p>
    <w:bookmarkEnd w:id="16"/>
    <w:p w14:paraId="35879EFD" w14:textId="50FC28A3" w:rsidR="00683802" w:rsidRPr="00FA08A3" w:rsidRDefault="00BC054F" w:rsidP="00BC054F">
      <w:pPr>
        <w:pStyle w:val="SWCText"/>
        <w:rPr>
          <w:lang w:val="en-GB"/>
        </w:rPr>
      </w:pPr>
      <w:r w:rsidRPr="00FA08A3">
        <w:rPr>
          <w:lang w:val="en-GB"/>
        </w:rPr>
        <w:t xml:space="preserve">The second key element of the proposed </w:t>
      </w:r>
      <w:proofErr w:type="spellStart"/>
      <w:r w:rsidRPr="00FA08A3">
        <w:rPr>
          <w:lang w:val="en-GB"/>
        </w:rPr>
        <w:t>AgriPV</w:t>
      </w:r>
      <w:proofErr w:type="spellEnd"/>
      <w:r w:rsidRPr="00FA08A3">
        <w:rPr>
          <w:lang w:val="en-GB"/>
        </w:rPr>
        <w:t xml:space="preserve"> design is the support structure that accommodates the PV modules. Given the assumption of use with trees (peach trees and grapevines)</w:t>
      </w:r>
      <w:r w:rsidR="00DA3CC5" w:rsidRPr="00FA08A3">
        <w:rPr>
          <w:lang w:val="en-GB"/>
        </w:rPr>
        <w:t>,</w:t>
      </w:r>
      <w:r w:rsidRPr="00FA08A3">
        <w:rPr>
          <w:lang w:val="en-GB"/>
        </w:rPr>
        <w:t xml:space="preserve"> it becomes obvious that the support structure should meet some specific requirements in terms of dimensioning. Similar to the PV modules, there is not one unique type of supporting structure but a more generic design </w:t>
      </w:r>
      <w:r w:rsidR="00DA3CC5" w:rsidRPr="00FA08A3">
        <w:rPr>
          <w:lang w:val="en-GB"/>
        </w:rPr>
        <w:t>tailored</w:t>
      </w:r>
      <w:r w:rsidRPr="00FA08A3">
        <w:rPr>
          <w:lang w:val="en-GB"/>
        </w:rPr>
        <w:t xml:space="preserve"> to the specific project needs. One example of a variant of the structure can be seen in Fig. 9. The dimensions in the specific diagram are in mm and indicate the sufficient distancing and elevation of the structure to not </w:t>
      </w:r>
      <w:r w:rsidR="005B34CC">
        <w:rPr>
          <w:lang w:val="en-GB"/>
        </w:rPr>
        <w:t>hinder</w:t>
      </w:r>
      <w:r w:rsidRPr="00FA08A3">
        <w:rPr>
          <w:lang w:val="en-GB"/>
        </w:rPr>
        <w:t xml:space="preserve"> the farming process</w:t>
      </w:r>
      <w:r w:rsidR="00DA3CC5" w:rsidRPr="00FA08A3">
        <w:rPr>
          <w:lang w:val="en-GB"/>
        </w:rPr>
        <w:t>,</w:t>
      </w:r>
      <w:r w:rsidRPr="00FA08A3">
        <w:rPr>
          <w:lang w:val="en-GB"/>
        </w:rPr>
        <w:t xml:space="preserve"> </w:t>
      </w:r>
      <w:r w:rsidR="00DA3CC5" w:rsidRPr="00FA08A3">
        <w:rPr>
          <w:lang w:val="en-GB"/>
        </w:rPr>
        <w:t xml:space="preserve">which </w:t>
      </w:r>
      <w:r w:rsidRPr="00FA08A3">
        <w:rPr>
          <w:lang w:val="en-GB"/>
        </w:rPr>
        <w:t xml:space="preserve">involves unimpeded movement of personnel and machinery as well as growth of trees. The specific support structure is </w:t>
      </w:r>
      <w:r w:rsidRPr="00FA08A3">
        <w:rPr>
          <w:lang w:val="en-GB"/>
        </w:rPr>
        <w:lastRenderedPageBreak/>
        <w:t>specially designed to withstand extreme weather events including strong wind, snowfall, etc. while i</w:t>
      </w:r>
      <w:r w:rsidR="00DA3CC5" w:rsidRPr="00FA08A3">
        <w:rPr>
          <w:lang w:val="en-GB"/>
        </w:rPr>
        <w:t>t</w:t>
      </w:r>
      <w:r w:rsidRPr="00FA08A3">
        <w:rPr>
          <w:lang w:val="en-GB"/>
        </w:rPr>
        <w:t xml:space="preserve"> i</w:t>
      </w:r>
      <w:r w:rsidR="00DA3CC5" w:rsidRPr="00FA08A3">
        <w:rPr>
          <w:lang w:val="en-GB"/>
        </w:rPr>
        <w:t>s</w:t>
      </w:r>
      <w:r w:rsidRPr="00FA08A3">
        <w:rPr>
          <w:lang w:val="en-GB"/>
        </w:rPr>
        <w:t xml:space="preserve"> often equipped with parts that allow for the collection of rainwater for irrigation. </w:t>
      </w:r>
      <w:r w:rsidR="00683802" w:rsidRPr="00FA08A3">
        <w:rPr>
          <w:lang w:val="en-GB"/>
        </w:rPr>
        <w:t>The generic support structure designs have been developed in consultation with farmers and agronomists in order to take into account the needs and insights provided by the specific group</w:t>
      </w:r>
      <w:r w:rsidR="00DA3CC5" w:rsidRPr="00FA08A3">
        <w:rPr>
          <w:lang w:val="en-GB"/>
        </w:rPr>
        <w:t>s</w:t>
      </w:r>
      <w:r w:rsidR="00683802" w:rsidRPr="00FA08A3">
        <w:rPr>
          <w:lang w:val="en-GB"/>
        </w:rPr>
        <w:t xml:space="preserve"> of users.</w:t>
      </w:r>
    </w:p>
    <w:p w14:paraId="3BBFF5A4" w14:textId="25F28A34" w:rsidR="00BC054F" w:rsidRPr="00FA08A3" w:rsidRDefault="00BC054F" w:rsidP="00683802">
      <w:pPr>
        <w:pStyle w:val="SWCText"/>
        <w:jc w:val="center"/>
        <w:rPr>
          <w:lang w:val="en-GB"/>
        </w:rPr>
      </w:pPr>
      <w:r w:rsidRPr="00FA08A3">
        <w:rPr>
          <w:noProof/>
          <w:lang w:val="en-GB"/>
        </w:rPr>
        <w:drawing>
          <wp:inline distT="0" distB="0" distL="0" distR="0" wp14:anchorId="64ACC29B" wp14:editId="3E793795">
            <wp:extent cx="4337050" cy="2774950"/>
            <wp:effectExtent l="0" t="0" r="6350" b="6350"/>
            <wp:docPr id="8" name="object 4"/>
            <wp:cNvGraphicFramePr/>
            <a:graphic xmlns:a="http://schemas.openxmlformats.org/drawingml/2006/main">
              <a:graphicData uri="http://schemas.openxmlformats.org/drawingml/2006/picture">
                <pic:pic xmlns:pic="http://schemas.openxmlformats.org/drawingml/2006/picture">
                  <pic:nvPicPr>
                    <pic:cNvPr id="4" name="object 4"/>
                    <pic:cNvPicPr/>
                  </pic:nvPicPr>
                  <pic:blipFill rotWithShape="1">
                    <a:blip r:embed="rId26" cstate="print"/>
                    <a:srcRect t="2552" b="1"/>
                    <a:stretch/>
                  </pic:blipFill>
                  <pic:spPr bwMode="auto">
                    <a:xfrm>
                      <a:off x="0" y="0"/>
                      <a:ext cx="4354230" cy="2785942"/>
                    </a:xfrm>
                    <a:prstGeom prst="rect">
                      <a:avLst/>
                    </a:prstGeom>
                    <a:ln>
                      <a:noFill/>
                    </a:ln>
                    <a:extLst>
                      <a:ext uri="{53640926-AAD7-44D8-BBD7-CCE9431645EC}">
                        <a14:shadowObscured xmlns:a14="http://schemas.microsoft.com/office/drawing/2010/main"/>
                      </a:ext>
                    </a:extLst>
                  </pic:spPr>
                </pic:pic>
              </a:graphicData>
            </a:graphic>
          </wp:inline>
        </w:drawing>
      </w:r>
    </w:p>
    <w:p w14:paraId="09AF2CFF" w14:textId="3C6B0ABF" w:rsidR="00BC054F" w:rsidRPr="00FA08A3" w:rsidRDefault="00BC054F" w:rsidP="00BC054F">
      <w:pPr>
        <w:pStyle w:val="SWCTableFigureCaption"/>
        <w:rPr>
          <w:lang w:val="en-GB"/>
        </w:rPr>
      </w:pPr>
      <w:bookmarkStart w:id="17" w:name="_Hlk238637418"/>
      <w:r w:rsidRPr="00FA08A3">
        <w:rPr>
          <w:lang w:val="en-GB"/>
        </w:rPr>
        <w:t xml:space="preserve">Fig. 9: Example of proposed supporting structure for use in tree-crop </w:t>
      </w:r>
      <w:proofErr w:type="spellStart"/>
      <w:r w:rsidRPr="00FA08A3">
        <w:rPr>
          <w:lang w:val="en-GB"/>
        </w:rPr>
        <w:t>AgriPVs</w:t>
      </w:r>
      <w:proofErr w:type="spellEnd"/>
    </w:p>
    <w:bookmarkEnd w:id="17"/>
    <w:p w14:paraId="0DE3FC13" w14:textId="5BDDC9CE" w:rsidR="00683802" w:rsidRPr="00FA08A3" w:rsidRDefault="00683802" w:rsidP="00683802">
      <w:pPr>
        <w:pStyle w:val="SWCText"/>
        <w:rPr>
          <w:rFonts w:ascii="Arial" w:hAnsi="Arial"/>
          <w:bCs/>
          <w:i/>
          <w:iCs/>
          <w:szCs w:val="24"/>
          <w:lang w:val="en-GB"/>
        </w:rPr>
      </w:pPr>
      <w:r w:rsidRPr="00FA08A3">
        <w:rPr>
          <w:rFonts w:ascii="Arial" w:hAnsi="Arial"/>
          <w:bCs/>
          <w:i/>
          <w:iCs/>
          <w:szCs w:val="24"/>
          <w:lang w:val="en-GB"/>
        </w:rPr>
        <w:t>3.3 Selected pilot examples</w:t>
      </w:r>
    </w:p>
    <w:p w14:paraId="09403AE1" w14:textId="5EB44EA4" w:rsidR="00683802" w:rsidRPr="00FA08A3" w:rsidRDefault="00683802" w:rsidP="00683802">
      <w:pPr>
        <w:pStyle w:val="SWCText"/>
        <w:rPr>
          <w:lang w:val="en-GB"/>
        </w:rPr>
      </w:pPr>
      <w:r w:rsidRPr="00FA08A3">
        <w:rPr>
          <w:lang w:val="en-GB"/>
        </w:rPr>
        <w:t xml:space="preserve">The </w:t>
      </w:r>
      <w:proofErr w:type="spellStart"/>
      <w:r w:rsidRPr="00FA08A3">
        <w:rPr>
          <w:lang w:val="en-GB"/>
        </w:rPr>
        <w:t>AgriPV</w:t>
      </w:r>
      <w:proofErr w:type="spellEnd"/>
      <w:r w:rsidRPr="00FA08A3">
        <w:rPr>
          <w:lang w:val="en-GB"/>
        </w:rPr>
        <w:t xml:space="preserve"> design described earlier constitutes a commercially available solution and specific projects have been </w:t>
      </w:r>
      <w:r w:rsidR="00110FDE">
        <w:rPr>
          <w:lang w:val="en-GB"/>
        </w:rPr>
        <w:t>installed</w:t>
      </w:r>
      <w:r w:rsidRPr="00FA08A3">
        <w:rPr>
          <w:lang w:val="en-GB"/>
        </w:rPr>
        <w:t xml:space="preserve"> in the area of Northern Greece </w:t>
      </w:r>
      <w:r w:rsidR="00110FDE">
        <w:rPr>
          <w:lang w:val="en-GB"/>
        </w:rPr>
        <w:t>using this design</w:t>
      </w:r>
      <w:r w:rsidRPr="00FA08A3">
        <w:rPr>
          <w:lang w:val="en-GB"/>
        </w:rPr>
        <w:t xml:space="preserve">. </w:t>
      </w:r>
      <w:r w:rsidR="00F74325" w:rsidRPr="00FA08A3">
        <w:rPr>
          <w:lang w:val="en-GB"/>
        </w:rPr>
        <w:t>Fig. 10 illustrate</w:t>
      </w:r>
      <w:r w:rsidR="00504B6E" w:rsidRPr="00FA08A3">
        <w:rPr>
          <w:lang w:val="en-GB"/>
        </w:rPr>
        <w:t>s</w:t>
      </w:r>
      <w:r w:rsidR="00F74325" w:rsidRPr="00FA08A3">
        <w:rPr>
          <w:lang w:val="en-GB"/>
        </w:rPr>
        <w:t xml:space="preserve"> two indicative pilots. On the left</w:t>
      </w:r>
      <w:r w:rsidR="00504B6E" w:rsidRPr="00FA08A3">
        <w:rPr>
          <w:lang w:val="en-GB"/>
        </w:rPr>
        <w:t>,</w:t>
      </w:r>
      <w:r w:rsidR="00F74325" w:rsidRPr="00FA08A3">
        <w:rPr>
          <w:lang w:val="en-GB"/>
        </w:rPr>
        <w:t xml:space="preserve"> an installation with peach trees in the area of </w:t>
      </w:r>
      <w:proofErr w:type="spellStart"/>
      <w:r w:rsidR="00F74325" w:rsidRPr="00FA08A3">
        <w:rPr>
          <w:lang w:val="en-GB"/>
        </w:rPr>
        <w:t>Veria</w:t>
      </w:r>
      <w:proofErr w:type="spellEnd"/>
      <w:r w:rsidR="00F74325" w:rsidRPr="00FA08A3">
        <w:rPr>
          <w:lang w:val="en-GB"/>
        </w:rPr>
        <w:t>,</w:t>
      </w:r>
      <w:r w:rsidR="00BD0518">
        <w:rPr>
          <w:lang w:val="en-GB"/>
        </w:rPr>
        <w:t xml:space="preserve"> </w:t>
      </w:r>
      <w:r w:rsidR="00F74325" w:rsidRPr="00FA08A3">
        <w:rPr>
          <w:lang w:val="en-GB"/>
        </w:rPr>
        <w:t>Greece, can be seen. The specific</w:t>
      </w:r>
      <w:r w:rsidR="00145913" w:rsidRPr="00FA08A3">
        <w:rPr>
          <w:lang w:val="en-GB"/>
        </w:rPr>
        <w:t xml:space="preserve"> project is an 80</w:t>
      </w:r>
      <w:r w:rsidR="00504B6E" w:rsidRPr="00FA08A3">
        <w:rPr>
          <w:lang w:val="en-GB"/>
        </w:rPr>
        <w:t>-</w:t>
      </w:r>
      <w:r w:rsidR="00145913" w:rsidRPr="00FA08A3">
        <w:rPr>
          <w:lang w:val="en-GB"/>
        </w:rPr>
        <w:t xml:space="preserve">kW system. </w:t>
      </w:r>
    </w:p>
    <w:p w14:paraId="6610D1EC" w14:textId="7BB17D98" w:rsidR="00683802" w:rsidRPr="00FA08A3" w:rsidRDefault="00F74325" w:rsidP="00683802">
      <w:pPr>
        <w:pStyle w:val="SWCText"/>
        <w:rPr>
          <w:lang w:val="en-GB"/>
        </w:rPr>
      </w:pPr>
      <w:r w:rsidRPr="00FA08A3">
        <w:rPr>
          <w:noProof/>
          <w:lang w:val="en-GB"/>
        </w:rPr>
        <w:drawing>
          <wp:anchor distT="0" distB="0" distL="114300" distR="114300" simplePos="0" relativeHeight="251658240" behindDoc="0" locked="0" layoutInCell="1" allowOverlap="1" wp14:anchorId="6DF64DA9" wp14:editId="2275EAC6">
            <wp:simplePos x="0" y="0"/>
            <wp:positionH relativeFrom="column">
              <wp:posOffset>2643505</wp:posOffset>
            </wp:positionH>
            <wp:positionV relativeFrom="paragraph">
              <wp:posOffset>5715</wp:posOffset>
            </wp:positionV>
            <wp:extent cx="3067050" cy="1724025"/>
            <wp:effectExtent l="0" t="0" r="0" b="9525"/>
            <wp:wrapNone/>
            <wp:docPr id="601930679" name="Εικόνα 60193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930679" name="Εικόνα 601930679"/>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67050"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683802" w:rsidRPr="00FA08A3">
        <w:rPr>
          <w:noProof/>
          <w:lang w:val="en-GB"/>
        </w:rPr>
        <w:drawing>
          <wp:anchor distT="0" distB="0" distL="114300" distR="114300" simplePos="0" relativeHeight="251659264" behindDoc="0" locked="0" layoutInCell="1" allowOverlap="1" wp14:anchorId="5C177B98" wp14:editId="7899CD4E">
            <wp:simplePos x="0" y="0"/>
            <wp:positionH relativeFrom="column">
              <wp:posOffset>2636520</wp:posOffset>
            </wp:positionH>
            <wp:positionV relativeFrom="paragraph">
              <wp:posOffset>1748155</wp:posOffset>
            </wp:positionV>
            <wp:extent cx="3048351" cy="1714500"/>
            <wp:effectExtent l="0" t="0" r="0" b="0"/>
            <wp:wrapNone/>
            <wp:docPr id="50766876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68769" name="Εικόνα 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48351"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683802" w:rsidRPr="00FA08A3">
        <w:rPr>
          <w:noProof/>
          <w:lang w:val="en-GB"/>
        </w:rPr>
        <w:drawing>
          <wp:inline distT="0" distB="0" distL="0" distR="0" wp14:anchorId="0C3C7BDE" wp14:editId="3D759806">
            <wp:extent cx="2588778" cy="3454400"/>
            <wp:effectExtent l="0" t="0" r="2540" b="0"/>
            <wp:docPr id="21"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Εικόνα 20"/>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97141" cy="3465559"/>
                    </a:xfrm>
                    <a:prstGeom prst="rect">
                      <a:avLst/>
                    </a:prstGeom>
                    <a:noFill/>
                    <a:ln>
                      <a:noFill/>
                    </a:ln>
                  </pic:spPr>
                </pic:pic>
              </a:graphicData>
            </a:graphic>
          </wp:inline>
        </w:drawing>
      </w:r>
    </w:p>
    <w:p w14:paraId="1AFAC615" w14:textId="1DB8A9F4" w:rsidR="00683802" w:rsidRPr="00FA08A3" w:rsidRDefault="00683802" w:rsidP="00683802">
      <w:pPr>
        <w:pStyle w:val="SWCTableFigureCaption"/>
        <w:rPr>
          <w:lang w:val="en-GB"/>
        </w:rPr>
      </w:pPr>
      <w:r w:rsidRPr="00FA08A3">
        <w:rPr>
          <w:lang w:val="en-GB"/>
        </w:rPr>
        <w:t xml:space="preserve">Fig. 10: Pilot installations in Greece with the use of the proposed </w:t>
      </w:r>
      <w:proofErr w:type="spellStart"/>
      <w:r w:rsidRPr="00FA08A3">
        <w:rPr>
          <w:lang w:val="en-GB"/>
        </w:rPr>
        <w:t>AgriPV</w:t>
      </w:r>
      <w:proofErr w:type="spellEnd"/>
      <w:r w:rsidRPr="00FA08A3">
        <w:rPr>
          <w:lang w:val="en-GB"/>
        </w:rPr>
        <w:t xml:space="preserve"> design</w:t>
      </w:r>
    </w:p>
    <w:p w14:paraId="3B12FC35" w14:textId="7989955B" w:rsidR="00683802" w:rsidRPr="00FA08A3" w:rsidRDefault="00145913" w:rsidP="00683802">
      <w:pPr>
        <w:pStyle w:val="SWCText"/>
        <w:rPr>
          <w:lang w:val="en-GB"/>
        </w:rPr>
      </w:pPr>
      <w:r w:rsidRPr="00FA08A3">
        <w:rPr>
          <w:lang w:val="en-GB"/>
        </w:rPr>
        <w:t xml:space="preserve">Likewise, the two pictures on the right-hand side illustrate another pilot installation in the area of </w:t>
      </w:r>
      <w:proofErr w:type="spellStart"/>
      <w:r w:rsidRPr="00FA08A3">
        <w:rPr>
          <w:lang w:val="en-GB"/>
        </w:rPr>
        <w:t>Kilkis</w:t>
      </w:r>
      <w:proofErr w:type="spellEnd"/>
      <w:r w:rsidRPr="00FA08A3">
        <w:rPr>
          <w:lang w:val="en-GB"/>
        </w:rPr>
        <w:t xml:space="preserve">, Greece. The specific </w:t>
      </w:r>
      <w:proofErr w:type="spellStart"/>
      <w:r w:rsidRPr="00FA08A3">
        <w:rPr>
          <w:lang w:val="en-GB"/>
        </w:rPr>
        <w:t>AgriPV</w:t>
      </w:r>
      <w:proofErr w:type="spellEnd"/>
      <w:r w:rsidRPr="00FA08A3">
        <w:rPr>
          <w:lang w:val="en-GB"/>
        </w:rPr>
        <w:t xml:space="preserve"> is installed above a vineyard </w:t>
      </w:r>
      <w:r w:rsidR="00110FDE">
        <w:rPr>
          <w:lang w:val="en-GB"/>
        </w:rPr>
        <w:t>with an installed power of</w:t>
      </w:r>
      <w:r w:rsidRPr="00FA08A3">
        <w:rPr>
          <w:lang w:val="en-GB"/>
        </w:rPr>
        <w:t xml:space="preserve"> 50 kW.</w:t>
      </w:r>
      <w:r w:rsidR="000E25A7" w:rsidRPr="00FA08A3">
        <w:rPr>
          <w:lang w:val="en-GB"/>
        </w:rPr>
        <w:t xml:space="preserve"> It is worth mentioning as </w:t>
      </w:r>
      <w:r w:rsidR="00504B6E" w:rsidRPr="00FA08A3">
        <w:rPr>
          <w:lang w:val="en-GB"/>
        </w:rPr>
        <w:t>the</w:t>
      </w:r>
      <w:r w:rsidR="000E25A7" w:rsidRPr="00FA08A3">
        <w:rPr>
          <w:lang w:val="en-GB"/>
        </w:rPr>
        <w:t xml:space="preserve"> main takeaway for the two pilots that the total installation cost is around 700 €</w:t>
      </w:r>
      <w:r w:rsidR="00110FDE">
        <w:rPr>
          <w:lang w:val="en-GB"/>
        </w:rPr>
        <w:t xml:space="preserve"> </w:t>
      </w:r>
      <w:r w:rsidR="000E25A7" w:rsidRPr="00FA08A3">
        <w:rPr>
          <w:lang w:val="en-GB"/>
        </w:rPr>
        <w:t>kW</w:t>
      </w:r>
      <w:r w:rsidR="000E34FE" w:rsidRPr="00FA08A3">
        <w:rPr>
          <w:vertAlign w:val="superscript"/>
          <w:lang w:val="en-GB"/>
        </w:rPr>
        <w:t>-1</w:t>
      </w:r>
      <w:r w:rsidR="000E25A7" w:rsidRPr="00FA08A3">
        <w:rPr>
          <w:lang w:val="en-GB"/>
        </w:rPr>
        <w:t>,</w:t>
      </w:r>
      <w:r w:rsidR="00504B6E" w:rsidRPr="00FA08A3">
        <w:rPr>
          <w:lang w:val="en-GB"/>
        </w:rPr>
        <w:t xml:space="preserve"> a strong indication of the </w:t>
      </w:r>
      <w:r w:rsidR="00504B6E" w:rsidRPr="00FA08A3">
        <w:rPr>
          <w:lang w:val="en-GB"/>
        </w:rPr>
        <w:lastRenderedPageBreak/>
        <w:t>technology</w:t>
      </w:r>
      <w:r w:rsidR="00110FDE">
        <w:rPr>
          <w:lang w:val="en-GB"/>
        </w:rPr>
        <w:t>’s</w:t>
      </w:r>
      <w:r w:rsidR="00504B6E" w:rsidRPr="00FA08A3">
        <w:rPr>
          <w:lang w:val="en-GB"/>
        </w:rPr>
        <w:t xml:space="preserve"> affordability, </w:t>
      </w:r>
      <w:r w:rsidR="000E25A7" w:rsidRPr="00FA08A3">
        <w:rPr>
          <w:lang w:val="en-GB"/>
        </w:rPr>
        <w:t xml:space="preserve">in line with the foreseen projections for the costs of </w:t>
      </w:r>
      <w:proofErr w:type="spellStart"/>
      <w:r w:rsidR="000E25A7" w:rsidRPr="00FA08A3">
        <w:rPr>
          <w:lang w:val="en-GB"/>
        </w:rPr>
        <w:t>AgriPVs</w:t>
      </w:r>
      <w:proofErr w:type="spellEnd"/>
      <w:r w:rsidR="00504B6E" w:rsidRPr="00FA08A3">
        <w:rPr>
          <w:lang w:val="en-GB"/>
        </w:rPr>
        <w:t xml:space="preserve"> (</w:t>
      </w:r>
      <w:proofErr w:type="spellStart"/>
      <w:r w:rsidR="00504B6E" w:rsidRPr="00FA08A3">
        <w:rPr>
          <w:lang w:val="en-GB"/>
        </w:rPr>
        <w:t>Kost</w:t>
      </w:r>
      <w:proofErr w:type="spellEnd"/>
      <w:r w:rsidR="00504B6E" w:rsidRPr="00FA08A3">
        <w:rPr>
          <w:lang w:val="en-GB"/>
        </w:rPr>
        <w:t xml:space="preserve"> et al., 2024)</w:t>
      </w:r>
      <w:r w:rsidR="000E25A7" w:rsidRPr="00FA08A3">
        <w:rPr>
          <w:lang w:val="en-GB"/>
        </w:rPr>
        <w:t>.</w:t>
      </w:r>
    </w:p>
    <w:p w14:paraId="0E7BFBD4" w14:textId="53F31BCE" w:rsidR="000E25A7" w:rsidRPr="00FA08A3" w:rsidRDefault="000E25A7" w:rsidP="000E25A7">
      <w:pPr>
        <w:pStyle w:val="SWCHeading1"/>
        <w:rPr>
          <w:lang w:val="en-GB"/>
        </w:rPr>
      </w:pPr>
      <w:r w:rsidRPr="00FA08A3">
        <w:rPr>
          <w:lang w:val="en-GB"/>
        </w:rPr>
        <w:t>Discussion and conclusions</w:t>
      </w:r>
    </w:p>
    <w:p w14:paraId="412843A9" w14:textId="39A707FC" w:rsidR="00CD37D1" w:rsidRDefault="00927A0C" w:rsidP="00CD37D1">
      <w:pPr>
        <w:spacing w:after="120" w:line="276" w:lineRule="auto"/>
        <w:jc w:val="both"/>
        <w:rPr>
          <w:sz w:val="20"/>
          <w:szCs w:val="20"/>
          <w:lang w:val="en-GB"/>
        </w:rPr>
      </w:pPr>
      <w:r w:rsidRPr="00FA08A3">
        <w:rPr>
          <w:sz w:val="20"/>
          <w:szCs w:val="20"/>
          <w:lang w:val="en-GB"/>
        </w:rPr>
        <w:t xml:space="preserve">The specific study presents an analysis regarding the potential of the </w:t>
      </w:r>
      <w:proofErr w:type="spellStart"/>
      <w:r w:rsidRPr="00FA08A3">
        <w:rPr>
          <w:sz w:val="20"/>
          <w:szCs w:val="20"/>
          <w:lang w:val="en-GB"/>
        </w:rPr>
        <w:t>AgriPV</w:t>
      </w:r>
      <w:proofErr w:type="spellEnd"/>
      <w:r w:rsidRPr="00FA08A3">
        <w:rPr>
          <w:sz w:val="20"/>
          <w:szCs w:val="20"/>
          <w:lang w:val="en-GB"/>
        </w:rPr>
        <w:t xml:space="preserve"> technology</w:t>
      </w:r>
      <w:r w:rsidR="007E77D0" w:rsidRPr="00FA08A3">
        <w:rPr>
          <w:sz w:val="20"/>
          <w:szCs w:val="20"/>
          <w:lang w:val="en-GB"/>
        </w:rPr>
        <w:t xml:space="preserve"> in rural and peri-urban areas</w:t>
      </w:r>
      <w:r w:rsidRPr="00FA08A3">
        <w:rPr>
          <w:sz w:val="20"/>
          <w:szCs w:val="20"/>
          <w:lang w:val="en-GB"/>
        </w:rPr>
        <w:t>.</w:t>
      </w:r>
      <w:r w:rsidR="007E77D0" w:rsidRPr="00FA08A3">
        <w:rPr>
          <w:sz w:val="20"/>
          <w:szCs w:val="20"/>
          <w:lang w:val="en-GB"/>
        </w:rPr>
        <w:t xml:space="preserve"> It is divided into three parts, one assessing the recent developments in the sector, with emphasis </w:t>
      </w:r>
      <w:r w:rsidR="00991347">
        <w:rPr>
          <w:sz w:val="20"/>
          <w:szCs w:val="20"/>
          <w:lang w:val="en-GB"/>
        </w:rPr>
        <w:t>o</w:t>
      </w:r>
      <w:r w:rsidR="007E77D0" w:rsidRPr="00FA08A3">
        <w:rPr>
          <w:sz w:val="20"/>
          <w:szCs w:val="20"/>
          <w:lang w:val="en-GB"/>
        </w:rPr>
        <w:t xml:space="preserve">n dual use of PVs in the agri-food sector, one presenting a high-level methodological approach in order to properly design an </w:t>
      </w:r>
      <w:proofErr w:type="spellStart"/>
      <w:r w:rsidR="007E77D0" w:rsidRPr="00FA08A3">
        <w:rPr>
          <w:sz w:val="20"/>
          <w:szCs w:val="20"/>
          <w:lang w:val="en-GB"/>
        </w:rPr>
        <w:t>AgriPV</w:t>
      </w:r>
      <w:proofErr w:type="spellEnd"/>
      <w:r w:rsidR="007E77D0" w:rsidRPr="00FA08A3">
        <w:rPr>
          <w:sz w:val="20"/>
          <w:szCs w:val="20"/>
          <w:lang w:val="en-GB"/>
        </w:rPr>
        <w:t xml:space="preserve"> project, wh</w:t>
      </w:r>
      <w:r w:rsidR="002C22B9">
        <w:rPr>
          <w:sz w:val="20"/>
          <w:szCs w:val="20"/>
          <w:lang w:val="en-GB"/>
        </w:rPr>
        <w:t>ile</w:t>
      </w:r>
      <w:r w:rsidR="007E77D0" w:rsidRPr="00FA08A3">
        <w:rPr>
          <w:sz w:val="20"/>
          <w:szCs w:val="20"/>
          <w:lang w:val="en-GB"/>
        </w:rPr>
        <w:t xml:space="preserve"> the last part of the study refers to specific state-of-the-art designs of </w:t>
      </w:r>
      <w:proofErr w:type="spellStart"/>
      <w:r w:rsidR="007E77D0" w:rsidRPr="00FA08A3">
        <w:rPr>
          <w:sz w:val="20"/>
          <w:szCs w:val="20"/>
          <w:lang w:val="en-GB"/>
        </w:rPr>
        <w:t>AgriPV</w:t>
      </w:r>
      <w:proofErr w:type="spellEnd"/>
      <w:r w:rsidR="007E77D0" w:rsidRPr="00FA08A3">
        <w:rPr>
          <w:sz w:val="20"/>
          <w:szCs w:val="20"/>
          <w:lang w:val="en-GB"/>
        </w:rPr>
        <w:t xml:space="preserve"> components (semi-transparent PV modules and specially designed support structures).</w:t>
      </w:r>
    </w:p>
    <w:p w14:paraId="55F2E099" w14:textId="0B947E7B" w:rsidR="00927A0C" w:rsidRPr="00FA08A3" w:rsidRDefault="000E25A7" w:rsidP="00CD37D1">
      <w:pPr>
        <w:spacing w:after="120" w:line="276" w:lineRule="auto"/>
        <w:jc w:val="both"/>
        <w:rPr>
          <w:sz w:val="20"/>
          <w:szCs w:val="20"/>
          <w:lang w:val="en-GB"/>
        </w:rPr>
      </w:pPr>
      <w:r w:rsidRPr="00FA08A3">
        <w:rPr>
          <w:sz w:val="20"/>
          <w:szCs w:val="20"/>
          <w:lang w:val="en-GB"/>
        </w:rPr>
        <w:t xml:space="preserve">The proposed technology combines numerous benefits of different sectors, particularly the energy generation </w:t>
      </w:r>
      <w:r w:rsidR="002843F2">
        <w:rPr>
          <w:sz w:val="20"/>
          <w:szCs w:val="20"/>
          <w:lang w:val="en-GB"/>
        </w:rPr>
        <w:t>and</w:t>
      </w:r>
      <w:r w:rsidRPr="00FA08A3">
        <w:rPr>
          <w:sz w:val="20"/>
          <w:szCs w:val="20"/>
          <w:lang w:val="en-GB"/>
        </w:rPr>
        <w:t xml:space="preserve"> agri-food </w:t>
      </w:r>
      <w:r w:rsidR="002843F2">
        <w:rPr>
          <w:sz w:val="20"/>
          <w:szCs w:val="20"/>
          <w:lang w:val="en-GB"/>
        </w:rPr>
        <w:t>production</w:t>
      </w:r>
      <w:r w:rsidRPr="00FA08A3">
        <w:rPr>
          <w:sz w:val="20"/>
          <w:szCs w:val="20"/>
          <w:lang w:val="en-GB"/>
        </w:rPr>
        <w:t xml:space="preserve">. Despite its novelty and complexity, the feasibility of the proposed technology is evident through the popularity it is gaining as the installed pilots suggest. In parallel, research in the specific area is </w:t>
      </w:r>
      <w:r w:rsidR="00504B6E" w:rsidRPr="00FA08A3">
        <w:rPr>
          <w:sz w:val="20"/>
          <w:szCs w:val="20"/>
          <w:lang w:val="en-GB"/>
        </w:rPr>
        <w:t>underway</w:t>
      </w:r>
      <w:r w:rsidRPr="00FA08A3">
        <w:rPr>
          <w:sz w:val="20"/>
          <w:szCs w:val="20"/>
          <w:lang w:val="en-GB"/>
        </w:rPr>
        <w:t xml:space="preserve"> in order to provide more optimized and cost-effective solutions. Therefore, the specific technolog</w:t>
      </w:r>
      <w:r w:rsidR="00927A0C" w:rsidRPr="00FA08A3">
        <w:rPr>
          <w:sz w:val="20"/>
          <w:szCs w:val="20"/>
          <w:lang w:val="en-GB"/>
        </w:rPr>
        <w:t>y’s potential</w:t>
      </w:r>
      <w:r w:rsidRPr="00FA08A3">
        <w:rPr>
          <w:sz w:val="20"/>
          <w:szCs w:val="20"/>
          <w:lang w:val="en-GB"/>
        </w:rPr>
        <w:t xml:space="preserve"> is not only limited to farming but it </w:t>
      </w:r>
      <w:r w:rsidR="00D96F03">
        <w:rPr>
          <w:sz w:val="20"/>
          <w:szCs w:val="20"/>
          <w:lang w:val="en-GB"/>
        </w:rPr>
        <w:t>may have application</w:t>
      </w:r>
      <w:r w:rsidR="00927A0C" w:rsidRPr="00FA08A3">
        <w:rPr>
          <w:sz w:val="20"/>
          <w:szCs w:val="20"/>
          <w:lang w:val="en-GB"/>
        </w:rPr>
        <w:t xml:space="preserve"> </w:t>
      </w:r>
      <w:r w:rsidRPr="00FA08A3">
        <w:rPr>
          <w:sz w:val="20"/>
          <w:szCs w:val="20"/>
          <w:lang w:val="en-GB"/>
        </w:rPr>
        <w:t>in other areas as well. The example of biodiversity preservation</w:t>
      </w:r>
      <w:r w:rsidR="00927A0C" w:rsidRPr="00FA08A3">
        <w:rPr>
          <w:sz w:val="20"/>
          <w:szCs w:val="20"/>
          <w:lang w:val="en-GB"/>
        </w:rPr>
        <w:t xml:space="preserve"> mentioned in the introduction (Walston et al., 2022) is a case in point. In addition, similar designs could potentially be used in peri-urban areas for the combined use of farming and landscape preservation.  Furthermore, the development of new products such as semi-transparent PV modules with selective nano-coating and other state-of-the-art characteristic</w:t>
      </w:r>
      <w:r w:rsidR="00504B6E" w:rsidRPr="00FA08A3">
        <w:rPr>
          <w:sz w:val="20"/>
          <w:szCs w:val="20"/>
          <w:lang w:val="en-GB"/>
        </w:rPr>
        <w:t>s</w:t>
      </w:r>
      <w:r w:rsidR="00927A0C" w:rsidRPr="00FA08A3">
        <w:rPr>
          <w:sz w:val="20"/>
          <w:szCs w:val="20"/>
          <w:lang w:val="en-GB"/>
        </w:rPr>
        <w:t xml:space="preserve"> could play a crucial role in other application areas such as in BIPV, where similar requirements for transparency and microclimate creation are expected.</w:t>
      </w:r>
    </w:p>
    <w:p w14:paraId="2BEEEA77" w14:textId="232B575F" w:rsidR="007E77D0" w:rsidRPr="00FA08A3" w:rsidRDefault="00927A0C" w:rsidP="00CD37D1">
      <w:pPr>
        <w:spacing w:after="120" w:line="276" w:lineRule="auto"/>
        <w:jc w:val="both"/>
        <w:rPr>
          <w:sz w:val="20"/>
          <w:szCs w:val="20"/>
          <w:lang w:val="en-GB"/>
        </w:rPr>
      </w:pPr>
      <w:r w:rsidRPr="00FA08A3">
        <w:rPr>
          <w:sz w:val="20"/>
          <w:szCs w:val="20"/>
          <w:lang w:val="en-GB"/>
        </w:rPr>
        <w:t xml:space="preserve">In </w:t>
      </w:r>
      <w:r w:rsidR="007E77D0" w:rsidRPr="00FA08A3">
        <w:rPr>
          <w:sz w:val="20"/>
          <w:szCs w:val="20"/>
          <w:lang w:val="en-GB"/>
        </w:rPr>
        <w:t xml:space="preserve">the analysis for the design of an </w:t>
      </w:r>
      <w:proofErr w:type="spellStart"/>
      <w:r w:rsidR="007E77D0" w:rsidRPr="00FA08A3">
        <w:rPr>
          <w:sz w:val="20"/>
          <w:szCs w:val="20"/>
          <w:lang w:val="en-GB"/>
        </w:rPr>
        <w:t>AgriPV</w:t>
      </w:r>
      <w:proofErr w:type="spellEnd"/>
      <w:r w:rsidR="007E77D0" w:rsidRPr="00FA08A3">
        <w:rPr>
          <w:sz w:val="20"/>
          <w:szCs w:val="20"/>
          <w:lang w:val="en-GB"/>
        </w:rPr>
        <w:t xml:space="preserve"> project</w:t>
      </w:r>
      <w:r w:rsidR="00D96F03">
        <w:rPr>
          <w:sz w:val="20"/>
          <w:szCs w:val="20"/>
          <w:lang w:val="en-GB"/>
        </w:rPr>
        <w:t>, the analysis shows</w:t>
      </w:r>
      <w:r w:rsidR="007E77D0" w:rsidRPr="00FA08A3">
        <w:rPr>
          <w:sz w:val="20"/>
          <w:szCs w:val="20"/>
          <w:lang w:val="en-GB"/>
        </w:rPr>
        <w:t xml:space="preserve"> that a diversity of aspects and parameters should be taken into account including regulatory, market, financial, societal, and technological aspects. All of these should be assessed during the initial and design stages in order to produce an optimize</w:t>
      </w:r>
      <w:r w:rsidR="00504B6E" w:rsidRPr="00FA08A3">
        <w:rPr>
          <w:sz w:val="20"/>
          <w:szCs w:val="20"/>
          <w:lang w:val="en-GB"/>
        </w:rPr>
        <w:t>d</w:t>
      </w:r>
      <w:r w:rsidR="007E77D0" w:rsidRPr="00FA08A3">
        <w:rPr>
          <w:sz w:val="20"/>
          <w:szCs w:val="20"/>
          <w:lang w:val="en-GB"/>
        </w:rPr>
        <w:t xml:space="preserve"> result. </w:t>
      </w:r>
      <w:r w:rsidR="007736BC">
        <w:rPr>
          <w:sz w:val="20"/>
          <w:szCs w:val="20"/>
          <w:lang w:val="en-GB"/>
        </w:rPr>
        <w:t>Usually, t</w:t>
      </w:r>
      <w:r w:rsidR="007E77D0" w:rsidRPr="00FA08A3">
        <w:rPr>
          <w:sz w:val="20"/>
          <w:szCs w:val="20"/>
          <w:lang w:val="en-GB"/>
        </w:rPr>
        <w:t>he analysis requires the use of software tools for calculations. Among different options, the present study proposes the use of open-source tools</w:t>
      </w:r>
      <w:r w:rsidR="007736BC">
        <w:rPr>
          <w:sz w:val="20"/>
          <w:szCs w:val="20"/>
          <w:lang w:val="en-GB"/>
        </w:rPr>
        <w:t>,</w:t>
      </w:r>
      <w:r w:rsidR="007E77D0" w:rsidRPr="00FA08A3">
        <w:rPr>
          <w:sz w:val="20"/>
          <w:szCs w:val="20"/>
          <w:lang w:val="en-GB"/>
        </w:rPr>
        <w:t xml:space="preserve"> </w:t>
      </w:r>
      <w:r w:rsidR="007736BC">
        <w:rPr>
          <w:sz w:val="20"/>
          <w:szCs w:val="20"/>
          <w:lang w:val="en-GB"/>
        </w:rPr>
        <w:t>which</w:t>
      </w:r>
      <w:r w:rsidR="007E77D0" w:rsidRPr="00FA08A3">
        <w:rPr>
          <w:sz w:val="20"/>
          <w:szCs w:val="20"/>
          <w:lang w:val="en-GB"/>
        </w:rPr>
        <w:t xml:space="preserve"> enable better understanding and knowledge transfer for back-of-the-envelope estimations, and</w:t>
      </w:r>
      <w:r w:rsidR="007736BC">
        <w:rPr>
          <w:sz w:val="20"/>
          <w:szCs w:val="20"/>
          <w:lang w:val="en-GB"/>
        </w:rPr>
        <w:t>,</w:t>
      </w:r>
      <w:r w:rsidR="007E77D0" w:rsidRPr="00FA08A3">
        <w:rPr>
          <w:sz w:val="20"/>
          <w:szCs w:val="20"/>
          <w:lang w:val="en-GB"/>
        </w:rPr>
        <w:t xml:space="preserve"> combined with more specialized tools</w:t>
      </w:r>
      <w:r w:rsidR="007736BC">
        <w:rPr>
          <w:sz w:val="20"/>
          <w:szCs w:val="20"/>
          <w:lang w:val="en-GB"/>
        </w:rPr>
        <w:t>,</w:t>
      </w:r>
      <w:r w:rsidR="007E77D0" w:rsidRPr="00FA08A3">
        <w:rPr>
          <w:sz w:val="20"/>
          <w:szCs w:val="20"/>
          <w:lang w:val="en-GB"/>
        </w:rPr>
        <w:t xml:space="preserve"> could produce optimal results. </w:t>
      </w:r>
      <w:r w:rsidR="00721EFF">
        <w:rPr>
          <w:sz w:val="20"/>
          <w:szCs w:val="20"/>
          <w:lang w:val="en-GB"/>
        </w:rPr>
        <w:t>T</w:t>
      </w:r>
      <w:r w:rsidR="007E77D0" w:rsidRPr="00FA08A3">
        <w:rPr>
          <w:sz w:val="20"/>
          <w:szCs w:val="20"/>
          <w:lang w:val="en-GB"/>
        </w:rPr>
        <w:t>he selection of appropriate KPIs</w:t>
      </w:r>
      <w:r w:rsidR="00721EFF">
        <w:rPr>
          <w:sz w:val="20"/>
          <w:szCs w:val="20"/>
          <w:lang w:val="en-GB"/>
        </w:rPr>
        <w:t xml:space="preserve"> plays an important role</w:t>
      </w:r>
      <w:r w:rsidR="007E77D0" w:rsidRPr="00FA08A3">
        <w:rPr>
          <w:sz w:val="20"/>
          <w:szCs w:val="20"/>
          <w:lang w:val="en-GB"/>
        </w:rPr>
        <w:t xml:space="preserve">, which help in quantifying the design in terms of target values. </w:t>
      </w:r>
    </w:p>
    <w:p w14:paraId="307EA02E" w14:textId="0DA578A2" w:rsidR="000E25A7" w:rsidRPr="00FA08A3" w:rsidRDefault="007E77D0" w:rsidP="00CD37D1">
      <w:pPr>
        <w:spacing w:line="276" w:lineRule="auto"/>
        <w:jc w:val="both"/>
        <w:rPr>
          <w:sz w:val="20"/>
          <w:szCs w:val="20"/>
          <w:lang w:val="en-GB"/>
        </w:rPr>
      </w:pPr>
      <w:r w:rsidRPr="00FA08A3">
        <w:rPr>
          <w:sz w:val="20"/>
          <w:szCs w:val="20"/>
          <w:lang w:val="en-GB"/>
        </w:rPr>
        <w:t xml:space="preserve">Lastly, specific technological designs were presented in the form of state-of-the-art semi-transparent PV modules and support structures. </w:t>
      </w:r>
      <w:r w:rsidR="00C0007C">
        <w:rPr>
          <w:sz w:val="20"/>
          <w:szCs w:val="20"/>
          <w:lang w:val="en-GB"/>
        </w:rPr>
        <w:t>T</w:t>
      </w:r>
      <w:r w:rsidRPr="00FA08A3">
        <w:rPr>
          <w:sz w:val="20"/>
          <w:szCs w:val="20"/>
          <w:lang w:val="en-GB"/>
        </w:rPr>
        <w:t>he</w:t>
      </w:r>
      <w:r w:rsidR="00A174D1" w:rsidRPr="00FA08A3">
        <w:rPr>
          <w:sz w:val="20"/>
          <w:szCs w:val="20"/>
          <w:lang w:val="en-GB"/>
        </w:rPr>
        <w:t xml:space="preserve"> presented components </w:t>
      </w:r>
      <w:r w:rsidR="00C0007C">
        <w:rPr>
          <w:sz w:val="20"/>
          <w:szCs w:val="20"/>
          <w:lang w:val="en-GB"/>
        </w:rPr>
        <w:t xml:space="preserve">and implementation uniquely expand </w:t>
      </w:r>
      <w:r w:rsidR="00A174D1" w:rsidRPr="00FA08A3">
        <w:rPr>
          <w:sz w:val="20"/>
          <w:szCs w:val="20"/>
          <w:lang w:val="en-GB"/>
        </w:rPr>
        <w:t xml:space="preserve">theoretical designs </w:t>
      </w:r>
      <w:r w:rsidR="00C0007C">
        <w:rPr>
          <w:sz w:val="20"/>
          <w:szCs w:val="20"/>
          <w:lang w:val="en-GB"/>
        </w:rPr>
        <w:t xml:space="preserve">and have </w:t>
      </w:r>
      <w:r w:rsidR="00A174D1" w:rsidRPr="00FA08A3">
        <w:rPr>
          <w:sz w:val="20"/>
          <w:szCs w:val="20"/>
          <w:lang w:val="en-GB"/>
        </w:rPr>
        <w:t xml:space="preserve">already </w:t>
      </w:r>
      <w:r w:rsidR="00C0007C">
        <w:rPr>
          <w:sz w:val="20"/>
          <w:szCs w:val="20"/>
          <w:lang w:val="en-GB"/>
        </w:rPr>
        <w:t>become</w:t>
      </w:r>
      <w:r w:rsidR="00A174D1" w:rsidRPr="00FA08A3">
        <w:rPr>
          <w:sz w:val="20"/>
          <w:szCs w:val="20"/>
          <w:lang w:val="en-GB"/>
        </w:rPr>
        <w:t xml:space="preserve"> commercial </w:t>
      </w:r>
      <w:r w:rsidR="00F625B3">
        <w:rPr>
          <w:sz w:val="20"/>
          <w:szCs w:val="20"/>
          <w:lang w:val="en-GB"/>
        </w:rPr>
        <w:t xml:space="preserve">value with </w:t>
      </w:r>
      <w:r w:rsidR="00A174D1" w:rsidRPr="00FA08A3">
        <w:rPr>
          <w:sz w:val="20"/>
          <w:szCs w:val="20"/>
          <w:lang w:val="en-GB"/>
        </w:rPr>
        <w:t>selected pilots show</w:t>
      </w:r>
      <w:r w:rsidR="00F625B3">
        <w:rPr>
          <w:sz w:val="20"/>
          <w:szCs w:val="20"/>
          <w:lang w:val="en-GB"/>
        </w:rPr>
        <w:t>casing</w:t>
      </w:r>
      <w:r w:rsidR="00A174D1" w:rsidRPr="00FA08A3">
        <w:rPr>
          <w:sz w:val="20"/>
          <w:szCs w:val="20"/>
          <w:lang w:val="en-GB"/>
        </w:rPr>
        <w:t xml:space="preserve"> their feasibility in terms of installation, operation, and cost.</w:t>
      </w:r>
    </w:p>
    <w:p w14:paraId="75243DDE" w14:textId="0FEC9D75" w:rsidR="00552BCB" w:rsidRPr="00FA08A3" w:rsidRDefault="00552BCB" w:rsidP="00552BCB">
      <w:pPr>
        <w:pStyle w:val="SWCHeading1"/>
        <w:rPr>
          <w:lang w:val="en-GB"/>
        </w:rPr>
      </w:pPr>
      <w:r w:rsidRPr="00FA08A3">
        <w:rPr>
          <w:lang w:val="en-GB"/>
        </w:rPr>
        <w:t>Acknowledgement</w:t>
      </w:r>
    </w:p>
    <w:p w14:paraId="3F3BB1C5" w14:textId="215DAF04" w:rsidR="004C70A2" w:rsidRPr="00FA08A3" w:rsidRDefault="004C70A2" w:rsidP="004C70A2">
      <w:pPr>
        <w:spacing w:before="120" w:line="276" w:lineRule="auto"/>
        <w:jc w:val="both"/>
        <w:rPr>
          <w:color w:val="000000"/>
          <w:sz w:val="20"/>
          <w:szCs w:val="22"/>
          <w:lang w:val="en-GB"/>
        </w:rPr>
      </w:pPr>
      <w:r>
        <w:rPr>
          <w:color w:val="000000"/>
          <w:sz w:val="20"/>
          <w:szCs w:val="22"/>
          <w:lang w:val="en-GB"/>
        </w:rPr>
        <w:t xml:space="preserve">The </w:t>
      </w:r>
      <w:proofErr w:type="spellStart"/>
      <w:r w:rsidRPr="00FA08A3">
        <w:rPr>
          <w:color w:val="000000"/>
          <w:sz w:val="20"/>
          <w:szCs w:val="22"/>
          <w:lang w:val="en-GB"/>
        </w:rPr>
        <w:t>SolarHub</w:t>
      </w:r>
      <w:proofErr w:type="spellEnd"/>
      <w:r w:rsidRPr="00FA08A3">
        <w:rPr>
          <w:color w:val="000000"/>
          <w:sz w:val="20"/>
          <w:szCs w:val="22"/>
          <w:lang w:val="en-GB"/>
        </w:rPr>
        <w:t xml:space="preserve"> project </w:t>
      </w:r>
      <w:r>
        <w:rPr>
          <w:color w:val="000000"/>
          <w:sz w:val="20"/>
          <w:szCs w:val="22"/>
          <w:lang w:val="en-GB"/>
        </w:rPr>
        <w:t>(</w:t>
      </w:r>
      <w:r w:rsidRPr="00FA08A3">
        <w:rPr>
          <w:color w:val="000000"/>
          <w:sz w:val="20"/>
          <w:szCs w:val="22"/>
          <w:lang w:val="en-GB"/>
        </w:rPr>
        <w:t>Grant Agreement No. 101086110</w:t>
      </w:r>
      <w:r>
        <w:rPr>
          <w:color w:val="000000"/>
          <w:sz w:val="20"/>
          <w:szCs w:val="22"/>
          <w:lang w:val="en-GB"/>
        </w:rPr>
        <w:t xml:space="preserve">) has been funded by the European Union under </w:t>
      </w:r>
      <w:r w:rsidRPr="00FA08A3">
        <w:rPr>
          <w:color w:val="000000"/>
          <w:sz w:val="20"/>
          <w:szCs w:val="22"/>
          <w:lang w:val="en-GB"/>
        </w:rPr>
        <w:t>the HORIZON</w:t>
      </w:r>
      <w:r>
        <w:rPr>
          <w:color w:val="000000"/>
          <w:sz w:val="20"/>
          <w:szCs w:val="22"/>
          <w:lang w:val="en-GB"/>
        </w:rPr>
        <w:t>-WIDERA-EXCELLENCE HUBS</w:t>
      </w:r>
      <w:r w:rsidRPr="00FA08A3">
        <w:rPr>
          <w:color w:val="000000"/>
          <w:sz w:val="20"/>
          <w:szCs w:val="22"/>
          <w:lang w:val="en-GB"/>
        </w:rPr>
        <w:t xml:space="preserve"> P</w:t>
      </w:r>
      <w:r>
        <w:rPr>
          <w:color w:val="000000"/>
          <w:sz w:val="20"/>
          <w:szCs w:val="22"/>
          <w:lang w:val="en-GB"/>
        </w:rPr>
        <w:t>rogramme to support widening excellence.</w:t>
      </w:r>
      <w:r w:rsidRPr="00886B99">
        <w:rPr>
          <w:color w:val="000000"/>
          <w:sz w:val="20"/>
          <w:szCs w:val="22"/>
          <w:lang w:val="en-GB"/>
        </w:rPr>
        <w:t xml:space="preserve"> </w:t>
      </w:r>
      <w:r w:rsidRPr="00FA08A3">
        <w:rPr>
          <w:color w:val="000000"/>
          <w:sz w:val="20"/>
          <w:szCs w:val="22"/>
          <w:lang w:val="en-GB"/>
        </w:rPr>
        <w:t>Th</w:t>
      </w:r>
      <w:r>
        <w:rPr>
          <w:color w:val="000000"/>
          <w:sz w:val="20"/>
          <w:szCs w:val="22"/>
          <w:lang w:val="en-GB"/>
        </w:rPr>
        <w:t xml:space="preserve">is </w:t>
      </w:r>
      <w:r w:rsidRPr="00FA08A3">
        <w:rPr>
          <w:color w:val="000000"/>
          <w:sz w:val="20"/>
          <w:szCs w:val="22"/>
          <w:lang w:val="en-GB"/>
        </w:rPr>
        <w:t>work</w:t>
      </w:r>
      <w:r>
        <w:rPr>
          <w:color w:val="000000"/>
          <w:sz w:val="20"/>
          <w:szCs w:val="22"/>
          <w:lang w:val="en-GB"/>
        </w:rPr>
        <w:t xml:space="preserve"> is based on the R&amp;I activities for </w:t>
      </w:r>
      <w:proofErr w:type="spellStart"/>
      <w:r>
        <w:rPr>
          <w:color w:val="000000"/>
          <w:sz w:val="20"/>
          <w:szCs w:val="22"/>
          <w:lang w:val="en-GB"/>
        </w:rPr>
        <w:t>AgriPV</w:t>
      </w:r>
      <w:proofErr w:type="spellEnd"/>
      <w:r>
        <w:rPr>
          <w:color w:val="000000"/>
          <w:sz w:val="20"/>
          <w:szCs w:val="22"/>
          <w:lang w:val="en-GB"/>
        </w:rPr>
        <w:t xml:space="preserve"> design</w:t>
      </w:r>
      <w:r w:rsidRPr="00FA08A3">
        <w:rPr>
          <w:color w:val="000000"/>
          <w:sz w:val="20"/>
          <w:szCs w:val="22"/>
          <w:lang w:val="en-GB"/>
        </w:rPr>
        <w:t xml:space="preserve"> </w:t>
      </w:r>
      <w:r>
        <w:rPr>
          <w:color w:val="000000"/>
          <w:sz w:val="20"/>
          <w:szCs w:val="22"/>
          <w:lang w:val="en-GB"/>
        </w:rPr>
        <w:t xml:space="preserve">carried out under the </w:t>
      </w:r>
      <w:proofErr w:type="spellStart"/>
      <w:r>
        <w:rPr>
          <w:color w:val="000000"/>
          <w:sz w:val="20"/>
          <w:szCs w:val="22"/>
          <w:lang w:val="en-GB"/>
        </w:rPr>
        <w:t>SolarHub</w:t>
      </w:r>
      <w:proofErr w:type="spellEnd"/>
      <w:r>
        <w:rPr>
          <w:color w:val="000000"/>
          <w:sz w:val="20"/>
          <w:szCs w:val="22"/>
          <w:lang w:val="en-GB"/>
        </w:rPr>
        <w:t xml:space="preserve"> project.</w:t>
      </w:r>
    </w:p>
    <w:p w14:paraId="104EACE1" w14:textId="77777777" w:rsidR="00DC5C8F" w:rsidRPr="00FA08A3" w:rsidRDefault="00DC5C8F" w:rsidP="00DC5C8F">
      <w:pPr>
        <w:pStyle w:val="SWCHeading1"/>
        <w:rPr>
          <w:lang w:val="en-GB"/>
        </w:rPr>
      </w:pPr>
      <w:r w:rsidRPr="00FA08A3">
        <w:rPr>
          <w:lang w:val="en-GB"/>
        </w:rPr>
        <w:t xml:space="preserve">References </w:t>
      </w:r>
    </w:p>
    <w:p w14:paraId="0EB621BA" w14:textId="795BBFDA" w:rsidR="00B61B1E" w:rsidRPr="00FA08A3" w:rsidRDefault="00B61B1E" w:rsidP="00CD37D1">
      <w:pPr>
        <w:pStyle w:val="SWCText"/>
        <w:rPr>
          <w:lang w:val="en-GB"/>
        </w:rPr>
      </w:pPr>
      <w:proofErr w:type="spellStart"/>
      <w:r w:rsidRPr="00FA08A3">
        <w:rPr>
          <w:lang w:val="en-GB"/>
        </w:rPr>
        <w:t>Akitsua</w:t>
      </w:r>
      <w:proofErr w:type="spellEnd"/>
      <w:r w:rsidRPr="00FA08A3">
        <w:rPr>
          <w:lang w:val="en-GB"/>
        </w:rPr>
        <w:t xml:space="preserve"> T. K., </w:t>
      </w:r>
      <w:proofErr w:type="spellStart"/>
      <w:r w:rsidRPr="00FA08A3">
        <w:rPr>
          <w:lang w:val="en-GB"/>
        </w:rPr>
        <w:t>Nasahara</w:t>
      </w:r>
      <w:proofErr w:type="spellEnd"/>
      <w:r w:rsidRPr="00FA08A3">
        <w:rPr>
          <w:lang w:val="en-GB"/>
        </w:rPr>
        <w:t xml:space="preserve"> K. N., </w:t>
      </w:r>
      <w:proofErr w:type="spellStart"/>
      <w:r w:rsidRPr="00FA08A3">
        <w:rPr>
          <w:lang w:val="en-GB"/>
        </w:rPr>
        <w:t>Ijima</w:t>
      </w:r>
      <w:proofErr w:type="spellEnd"/>
      <w:r w:rsidRPr="00FA08A3">
        <w:rPr>
          <w:lang w:val="en-GB"/>
        </w:rPr>
        <w:t xml:space="preserve"> O., Hirose Y., Ide R., Takagi K., </w:t>
      </w:r>
      <w:proofErr w:type="spellStart"/>
      <w:r w:rsidRPr="00FA08A3">
        <w:rPr>
          <w:lang w:val="en-GB"/>
        </w:rPr>
        <w:t>Kume</w:t>
      </w:r>
      <w:proofErr w:type="spellEnd"/>
      <w:r w:rsidRPr="00FA08A3">
        <w:rPr>
          <w:lang w:val="en-GB"/>
        </w:rPr>
        <w:t xml:space="preserve"> A., 2022. The variability and seasonality in the ratio of photosynthetically active radiation to solar radiation: A simple empirical model of the ratio. International Journal of Applied Earth Observations and Geoinformation. 108, (</w:t>
      </w:r>
      <w:hyperlink r:id="rId30" w:history="1">
        <w:r w:rsidRPr="00FA08A3">
          <w:rPr>
            <w:rStyle w:val="Hyperlink"/>
            <w:lang w:val="en-GB"/>
          </w:rPr>
          <w:t>https://doi.org/10.1016/j.jag.2022.102724</w:t>
        </w:r>
      </w:hyperlink>
      <w:r w:rsidRPr="00FA08A3">
        <w:rPr>
          <w:rStyle w:val="Hyperlink"/>
          <w:lang w:val="en-GB"/>
        </w:rPr>
        <w:t>)</w:t>
      </w:r>
      <w:r w:rsidRPr="00FA08A3">
        <w:rPr>
          <w:lang w:val="en-GB"/>
        </w:rPr>
        <w:t xml:space="preserve"> </w:t>
      </w:r>
    </w:p>
    <w:p w14:paraId="26BD9CF1" w14:textId="2E131E11" w:rsidR="008740C0" w:rsidRPr="00FA08A3" w:rsidRDefault="00B61B1E" w:rsidP="00CD37D1">
      <w:pPr>
        <w:spacing w:after="120" w:line="276" w:lineRule="auto"/>
        <w:jc w:val="both"/>
        <w:rPr>
          <w:sz w:val="20"/>
          <w:szCs w:val="20"/>
          <w:lang w:val="en-GB"/>
        </w:rPr>
      </w:pPr>
      <w:r w:rsidRPr="00FA08A3">
        <w:rPr>
          <w:sz w:val="20"/>
          <w:szCs w:val="20"/>
          <w:lang w:val="en-GB"/>
        </w:rPr>
        <w:t xml:space="preserve">Benedetti, M., </w:t>
      </w:r>
      <w:proofErr w:type="spellStart"/>
      <w:r w:rsidRPr="00FA08A3">
        <w:rPr>
          <w:sz w:val="20"/>
          <w:szCs w:val="20"/>
          <w:lang w:val="en-GB"/>
        </w:rPr>
        <w:t>Vecchi</w:t>
      </w:r>
      <w:proofErr w:type="spellEnd"/>
      <w:r w:rsidRPr="00FA08A3">
        <w:rPr>
          <w:sz w:val="20"/>
          <w:szCs w:val="20"/>
          <w:lang w:val="en-GB"/>
        </w:rPr>
        <w:t xml:space="preserve">, V., </w:t>
      </w:r>
      <w:proofErr w:type="spellStart"/>
      <w:r w:rsidRPr="00FA08A3">
        <w:rPr>
          <w:sz w:val="20"/>
          <w:szCs w:val="20"/>
          <w:lang w:val="en-GB"/>
        </w:rPr>
        <w:t>Barera</w:t>
      </w:r>
      <w:proofErr w:type="spellEnd"/>
      <w:r w:rsidRPr="00FA08A3">
        <w:rPr>
          <w:sz w:val="20"/>
          <w:szCs w:val="20"/>
          <w:lang w:val="en-GB"/>
        </w:rPr>
        <w:t xml:space="preserve">, S., </w:t>
      </w:r>
      <w:proofErr w:type="spellStart"/>
      <w:r w:rsidRPr="00FA08A3">
        <w:rPr>
          <w:sz w:val="20"/>
          <w:szCs w:val="20"/>
          <w:lang w:val="en-GB"/>
        </w:rPr>
        <w:t>Dall’Osto</w:t>
      </w:r>
      <w:proofErr w:type="spellEnd"/>
      <w:r w:rsidRPr="00FA08A3">
        <w:rPr>
          <w:sz w:val="20"/>
          <w:szCs w:val="20"/>
          <w:lang w:val="en-GB"/>
        </w:rPr>
        <w:t xml:space="preserve">, L., 2018. Biomass from microalgae: The potential of domestication towards sustainable </w:t>
      </w:r>
      <w:proofErr w:type="spellStart"/>
      <w:r w:rsidRPr="00FA08A3">
        <w:rPr>
          <w:sz w:val="20"/>
          <w:szCs w:val="20"/>
          <w:lang w:val="en-GB"/>
        </w:rPr>
        <w:t>biofactories</w:t>
      </w:r>
      <w:proofErr w:type="spellEnd"/>
      <w:r w:rsidRPr="00FA08A3">
        <w:rPr>
          <w:sz w:val="20"/>
          <w:szCs w:val="20"/>
          <w:lang w:val="en-GB"/>
        </w:rPr>
        <w:t>. Microbial Cell Factories, 17. (</w:t>
      </w:r>
      <w:hyperlink r:id="rId31" w:history="1">
        <w:r w:rsidRPr="00FA08A3">
          <w:rPr>
            <w:rStyle w:val="Hyperlink"/>
            <w:sz w:val="20"/>
            <w:szCs w:val="20"/>
            <w:lang w:val="en-GB"/>
          </w:rPr>
          <w:t>https://doi.org/10.1186/s12934-018-1019-3</w:t>
        </w:r>
      </w:hyperlink>
      <w:r w:rsidRPr="00FA08A3">
        <w:rPr>
          <w:sz w:val="20"/>
          <w:szCs w:val="20"/>
          <w:lang w:val="en-GB"/>
        </w:rPr>
        <w:t>)</w:t>
      </w:r>
    </w:p>
    <w:p w14:paraId="01C9D367" w14:textId="737068BB" w:rsidR="00B61B1E" w:rsidRPr="00CD37D1" w:rsidRDefault="008740C0" w:rsidP="00CD37D1">
      <w:pPr>
        <w:spacing w:after="120" w:line="276" w:lineRule="auto"/>
        <w:jc w:val="both"/>
        <w:rPr>
          <w:sz w:val="20"/>
          <w:szCs w:val="20"/>
          <w:lang w:val="en-GB"/>
        </w:rPr>
      </w:pPr>
      <w:proofErr w:type="spellStart"/>
      <w:r w:rsidRPr="00FA08A3">
        <w:rPr>
          <w:sz w:val="20"/>
          <w:szCs w:val="20"/>
          <w:lang w:val="en-GB"/>
        </w:rPr>
        <w:t>Chatzipanagi</w:t>
      </w:r>
      <w:proofErr w:type="spellEnd"/>
      <w:r w:rsidRPr="00FA08A3">
        <w:rPr>
          <w:sz w:val="20"/>
          <w:szCs w:val="20"/>
          <w:lang w:val="en-GB"/>
        </w:rPr>
        <w:t>, A., Taylor, N., Jaeger-</w:t>
      </w:r>
      <w:proofErr w:type="spellStart"/>
      <w:r w:rsidRPr="00FA08A3">
        <w:rPr>
          <w:sz w:val="20"/>
          <w:szCs w:val="20"/>
          <w:lang w:val="en-GB"/>
        </w:rPr>
        <w:t>Waldau</w:t>
      </w:r>
      <w:proofErr w:type="spellEnd"/>
      <w:r w:rsidRPr="00FA08A3">
        <w:rPr>
          <w:sz w:val="20"/>
          <w:szCs w:val="20"/>
          <w:lang w:val="en-GB"/>
        </w:rPr>
        <w:t>, A., 2023. Overview of the Potential and Challenges for Agri-Photovoltaics in the European Union, Joint Research Centre, Luxemburg. (</w:t>
      </w:r>
      <w:hyperlink r:id="rId32" w:history="1">
        <w:r w:rsidRPr="00FA08A3">
          <w:rPr>
            <w:rStyle w:val="Hyperlink"/>
            <w:sz w:val="20"/>
            <w:szCs w:val="20"/>
            <w:lang w:val="en-GB"/>
          </w:rPr>
          <w:t>https://doi.org/10.2760/208702</w:t>
        </w:r>
      </w:hyperlink>
      <w:r w:rsidRPr="00FA08A3">
        <w:rPr>
          <w:sz w:val="20"/>
          <w:szCs w:val="20"/>
          <w:lang w:val="en-GB"/>
        </w:rPr>
        <w:t>)</w:t>
      </w:r>
    </w:p>
    <w:p w14:paraId="14F1E4A4" w14:textId="3A6EBDE1" w:rsidR="00B61B1E" w:rsidRPr="00FA08A3" w:rsidRDefault="00DC5C8F" w:rsidP="00CD37D1">
      <w:pPr>
        <w:autoSpaceDE w:val="0"/>
        <w:autoSpaceDN w:val="0"/>
        <w:adjustRightInd w:val="0"/>
        <w:spacing w:after="120" w:line="276" w:lineRule="auto"/>
        <w:jc w:val="both"/>
        <w:rPr>
          <w:color w:val="000000"/>
          <w:sz w:val="20"/>
          <w:szCs w:val="22"/>
          <w:lang w:val="en-GB"/>
        </w:rPr>
      </w:pPr>
      <w:r w:rsidRPr="00FA08A3">
        <w:rPr>
          <w:color w:val="000000"/>
          <w:sz w:val="20"/>
          <w:szCs w:val="22"/>
          <w:lang w:val="en-GB"/>
        </w:rPr>
        <w:t>European Commission, 2018</w:t>
      </w:r>
      <w:r w:rsidR="001A50A7" w:rsidRPr="00FA08A3">
        <w:rPr>
          <w:color w:val="000000"/>
          <w:sz w:val="20"/>
          <w:szCs w:val="22"/>
          <w:lang w:val="en-GB"/>
        </w:rPr>
        <w:t>.</w:t>
      </w:r>
      <w:r w:rsidRPr="00FA08A3">
        <w:rPr>
          <w:color w:val="000000"/>
          <w:sz w:val="20"/>
          <w:szCs w:val="22"/>
          <w:lang w:val="en-GB"/>
        </w:rPr>
        <w:t xml:space="preserve"> DIRECTIVE (EU) 2018/2001 OF THE EUROPEAN PARLIAMENT AND OF THE COUNCIL of 11 December 2018 on the promotion of the use of energy from renewable sources</w:t>
      </w:r>
      <w:r w:rsidR="001A50A7" w:rsidRPr="00FA08A3">
        <w:rPr>
          <w:color w:val="000000"/>
          <w:sz w:val="20"/>
          <w:szCs w:val="22"/>
          <w:lang w:val="en-GB"/>
        </w:rPr>
        <w:t>, Official Journal of the European Union</w:t>
      </w:r>
      <w:r w:rsidRPr="00FA08A3">
        <w:rPr>
          <w:color w:val="000000"/>
          <w:sz w:val="20"/>
          <w:szCs w:val="22"/>
          <w:lang w:val="en-GB"/>
        </w:rPr>
        <w:t xml:space="preserve">. </w:t>
      </w:r>
    </w:p>
    <w:p w14:paraId="26A27462" w14:textId="2DCA1120" w:rsidR="00B61B1E" w:rsidRPr="00FA08A3" w:rsidRDefault="00B61B1E" w:rsidP="00CD37D1">
      <w:pPr>
        <w:autoSpaceDE w:val="0"/>
        <w:autoSpaceDN w:val="0"/>
        <w:adjustRightInd w:val="0"/>
        <w:spacing w:after="120" w:line="276" w:lineRule="auto"/>
        <w:jc w:val="both"/>
        <w:rPr>
          <w:color w:val="000000"/>
          <w:sz w:val="20"/>
          <w:szCs w:val="22"/>
          <w:lang w:val="en-GB"/>
        </w:rPr>
      </w:pPr>
      <w:r w:rsidRPr="00FA08A3">
        <w:rPr>
          <w:color w:val="000000"/>
          <w:sz w:val="20"/>
          <w:szCs w:val="22"/>
          <w:lang w:val="en-GB"/>
        </w:rPr>
        <w:lastRenderedPageBreak/>
        <w:t>European Commission: Directorate-General for Climate Action, 2019. Going climate-neutral by 2050 – A strategic long-term vision for a prosperous, modern, competitive and climate-neutral EU economy, Publications Office. (</w:t>
      </w:r>
      <w:hyperlink r:id="rId33" w:history="1">
        <w:r w:rsidRPr="00FA08A3">
          <w:rPr>
            <w:rStyle w:val="Hyperlink"/>
            <w:sz w:val="20"/>
            <w:szCs w:val="22"/>
            <w:lang w:val="en-GB"/>
          </w:rPr>
          <w:t>https://data.europa.eu/doi/10.2834/02074</w:t>
        </w:r>
      </w:hyperlink>
      <w:r w:rsidRPr="00FA08A3">
        <w:rPr>
          <w:rStyle w:val="Hyperlink"/>
          <w:sz w:val="20"/>
          <w:szCs w:val="22"/>
          <w:lang w:val="en-GB"/>
        </w:rPr>
        <w:t>)</w:t>
      </w:r>
    </w:p>
    <w:p w14:paraId="4C323A31" w14:textId="764B7B2C" w:rsidR="00B61B1E" w:rsidRPr="00FA08A3" w:rsidRDefault="00B61B1E" w:rsidP="00CD37D1">
      <w:pPr>
        <w:autoSpaceDE w:val="0"/>
        <w:autoSpaceDN w:val="0"/>
        <w:adjustRightInd w:val="0"/>
        <w:spacing w:after="120" w:line="276" w:lineRule="auto"/>
        <w:jc w:val="both"/>
        <w:rPr>
          <w:color w:val="000000"/>
          <w:sz w:val="20"/>
          <w:szCs w:val="22"/>
          <w:lang w:val="en-GB"/>
        </w:rPr>
      </w:pPr>
      <w:r w:rsidRPr="00FA08A3">
        <w:rPr>
          <w:color w:val="000000"/>
          <w:sz w:val="20"/>
          <w:szCs w:val="22"/>
          <w:lang w:val="en-GB"/>
        </w:rPr>
        <w:t>European Commission, 2020. Stepping up Europe’s 2030 climate ambition, Investing in a climate-neutral future for the benefit of our people, Brussels.</w:t>
      </w:r>
    </w:p>
    <w:p w14:paraId="7E483A61" w14:textId="1F75690B" w:rsidR="00B61B1E" w:rsidRPr="00FA08A3" w:rsidRDefault="00B61B1E" w:rsidP="00CD37D1">
      <w:pPr>
        <w:pStyle w:val="SWCText"/>
        <w:rPr>
          <w:lang w:val="en-GB"/>
        </w:rPr>
      </w:pPr>
      <w:r w:rsidRPr="00FA08A3">
        <w:rPr>
          <w:lang w:val="en-GB"/>
        </w:rPr>
        <w:t>Fernandez-</w:t>
      </w:r>
      <w:proofErr w:type="spellStart"/>
      <w:r w:rsidRPr="00FA08A3">
        <w:rPr>
          <w:lang w:val="en-GB"/>
        </w:rPr>
        <w:t>Solas</w:t>
      </w:r>
      <w:proofErr w:type="spellEnd"/>
      <w:r w:rsidRPr="00FA08A3">
        <w:rPr>
          <w:lang w:val="en-GB"/>
        </w:rPr>
        <w:t>, A., Fernandez-</w:t>
      </w:r>
      <w:proofErr w:type="spellStart"/>
      <w:r w:rsidRPr="00FA08A3">
        <w:rPr>
          <w:lang w:val="en-GB"/>
        </w:rPr>
        <w:t>Ocana</w:t>
      </w:r>
      <w:proofErr w:type="spellEnd"/>
      <w:r w:rsidRPr="00FA08A3">
        <w:rPr>
          <w:lang w:val="en-GB"/>
        </w:rPr>
        <w:t xml:space="preserve">, A. M., </w:t>
      </w:r>
      <w:proofErr w:type="spellStart"/>
      <w:r w:rsidRPr="00FA08A3">
        <w:rPr>
          <w:lang w:val="en-GB"/>
        </w:rPr>
        <w:t>Almonacid</w:t>
      </w:r>
      <w:proofErr w:type="spellEnd"/>
      <w:r w:rsidRPr="00FA08A3">
        <w:rPr>
          <w:lang w:val="en-GB"/>
        </w:rPr>
        <w:t xml:space="preserve">, F., Fernandez, E. F., 2023. Potential of </w:t>
      </w:r>
      <w:proofErr w:type="spellStart"/>
      <w:r w:rsidRPr="00FA08A3">
        <w:rPr>
          <w:lang w:val="en-GB"/>
        </w:rPr>
        <w:t>agrivoltaics</w:t>
      </w:r>
      <w:proofErr w:type="spellEnd"/>
      <w:r w:rsidRPr="00FA08A3">
        <w:rPr>
          <w:lang w:val="en-GB"/>
        </w:rPr>
        <w:t xml:space="preserve"> systems into olive groves in the Mediterranean region. Elsevier, Applied Energy. 352. (</w:t>
      </w:r>
      <w:hyperlink r:id="rId34" w:history="1">
        <w:r w:rsidRPr="00FA08A3">
          <w:rPr>
            <w:rStyle w:val="Hyperlink"/>
            <w:lang w:val="en-GB"/>
          </w:rPr>
          <w:t>https://doi.org/10.1016/j.apenergy.2023.121988</w:t>
        </w:r>
      </w:hyperlink>
      <w:r w:rsidRPr="00FA08A3">
        <w:rPr>
          <w:lang w:val="en-GB"/>
        </w:rPr>
        <w:t xml:space="preserve">) </w:t>
      </w:r>
    </w:p>
    <w:p w14:paraId="46A8C986" w14:textId="4E293F7C" w:rsidR="00DC5C8F" w:rsidRPr="00FA08A3" w:rsidRDefault="00B61B1E" w:rsidP="00CD37D1">
      <w:pPr>
        <w:autoSpaceDE w:val="0"/>
        <w:autoSpaceDN w:val="0"/>
        <w:adjustRightInd w:val="0"/>
        <w:spacing w:after="120" w:line="276" w:lineRule="auto"/>
        <w:jc w:val="both"/>
        <w:rPr>
          <w:color w:val="000000"/>
          <w:sz w:val="20"/>
          <w:szCs w:val="22"/>
          <w:lang w:val="en-GB"/>
        </w:rPr>
      </w:pPr>
      <w:proofErr w:type="spellStart"/>
      <w:r w:rsidRPr="00FA08A3">
        <w:rPr>
          <w:color w:val="000000"/>
          <w:sz w:val="20"/>
          <w:szCs w:val="22"/>
          <w:lang w:val="en-GB"/>
        </w:rPr>
        <w:t>Foroutanfar</w:t>
      </w:r>
      <w:proofErr w:type="spellEnd"/>
      <w:r w:rsidRPr="00FA08A3">
        <w:rPr>
          <w:color w:val="000000"/>
          <w:sz w:val="20"/>
          <w:szCs w:val="22"/>
          <w:lang w:val="en-GB"/>
        </w:rPr>
        <w:t xml:space="preserve">, F., </w:t>
      </w:r>
      <w:proofErr w:type="spellStart"/>
      <w:r w:rsidRPr="00FA08A3">
        <w:rPr>
          <w:color w:val="000000"/>
          <w:sz w:val="20"/>
          <w:szCs w:val="22"/>
          <w:lang w:val="en-GB"/>
        </w:rPr>
        <w:t>Tejedor</w:t>
      </w:r>
      <w:proofErr w:type="spellEnd"/>
      <w:r w:rsidRPr="00FA08A3">
        <w:rPr>
          <w:color w:val="000000"/>
          <w:sz w:val="20"/>
          <w:szCs w:val="22"/>
          <w:lang w:val="en-GB"/>
        </w:rPr>
        <w:t>, B., Casals, M., 2025. Rethinking BIPVs: Evaluating the thermal trade-offs of building-integrated photovoltaics. Elsevier, Energy &amp; Buildings. 348. (</w:t>
      </w:r>
      <w:hyperlink r:id="rId35" w:history="1">
        <w:r w:rsidRPr="00FA08A3">
          <w:rPr>
            <w:rStyle w:val="Hyperlink"/>
            <w:sz w:val="20"/>
            <w:szCs w:val="22"/>
            <w:lang w:val="en-GB"/>
          </w:rPr>
          <w:t>https://doi.org/10.1016/j.enbuild.2025.116451</w:t>
        </w:r>
      </w:hyperlink>
      <w:r w:rsidRPr="00FA08A3">
        <w:rPr>
          <w:color w:val="000000"/>
          <w:sz w:val="20"/>
          <w:szCs w:val="22"/>
          <w:lang w:val="en-GB"/>
        </w:rPr>
        <w:t>)</w:t>
      </w:r>
    </w:p>
    <w:p w14:paraId="35408234" w14:textId="76BB7710" w:rsidR="00B61B1E" w:rsidRPr="00FA08A3" w:rsidRDefault="00B61B1E" w:rsidP="00CD37D1">
      <w:pPr>
        <w:spacing w:after="120" w:line="276" w:lineRule="auto"/>
        <w:jc w:val="both"/>
        <w:rPr>
          <w:sz w:val="20"/>
          <w:szCs w:val="20"/>
          <w:lang w:val="en-GB"/>
        </w:rPr>
      </w:pPr>
      <w:r w:rsidRPr="00FA08A3">
        <w:rPr>
          <w:sz w:val="20"/>
          <w:szCs w:val="20"/>
          <w:lang w:val="en-GB"/>
        </w:rPr>
        <w:t>Ghosh, A., 2023. Nexus between agriculture and photovoltaics (</w:t>
      </w:r>
      <w:proofErr w:type="spellStart"/>
      <w:r w:rsidRPr="00FA08A3">
        <w:rPr>
          <w:sz w:val="20"/>
          <w:szCs w:val="20"/>
          <w:lang w:val="en-GB"/>
        </w:rPr>
        <w:t>agrivoltaics</w:t>
      </w:r>
      <w:proofErr w:type="spellEnd"/>
      <w:r w:rsidRPr="00FA08A3">
        <w:rPr>
          <w:sz w:val="20"/>
          <w:szCs w:val="20"/>
          <w:lang w:val="en-GB"/>
        </w:rPr>
        <w:t xml:space="preserve">, </w:t>
      </w:r>
      <w:proofErr w:type="spellStart"/>
      <w:r w:rsidRPr="00FA08A3">
        <w:rPr>
          <w:sz w:val="20"/>
          <w:szCs w:val="20"/>
          <w:lang w:val="en-GB"/>
        </w:rPr>
        <w:t>agriphotovoltaics</w:t>
      </w:r>
      <w:proofErr w:type="spellEnd"/>
      <w:r w:rsidRPr="00FA08A3">
        <w:rPr>
          <w:sz w:val="20"/>
          <w:szCs w:val="20"/>
          <w:lang w:val="en-GB"/>
        </w:rPr>
        <w:t>) for sustainable development goal: A review. Elsevier, Solar Energy. 266. (</w:t>
      </w:r>
      <w:hyperlink r:id="rId36" w:history="1">
        <w:r w:rsidRPr="00FA08A3">
          <w:rPr>
            <w:rStyle w:val="Hyperlink"/>
            <w:sz w:val="20"/>
            <w:szCs w:val="20"/>
            <w:lang w:val="en-GB"/>
          </w:rPr>
          <w:t>https://doi.org/10.1016/j.solener.2023.112146</w:t>
        </w:r>
      </w:hyperlink>
      <w:r w:rsidRPr="00FA08A3">
        <w:rPr>
          <w:sz w:val="20"/>
          <w:szCs w:val="20"/>
          <w:lang w:val="en-GB"/>
        </w:rPr>
        <w:t xml:space="preserve">) </w:t>
      </w:r>
    </w:p>
    <w:p w14:paraId="66739EAB" w14:textId="3679B903" w:rsidR="00F629FF" w:rsidRPr="00FA08A3" w:rsidRDefault="00B61B1E" w:rsidP="00CD37D1">
      <w:pPr>
        <w:pStyle w:val="SWCText"/>
        <w:rPr>
          <w:lang w:val="en-GB"/>
        </w:rPr>
      </w:pPr>
      <w:r w:rsidRPr="00FA08A3">
        <w:rPr>
          <w:lang w:val="en-GB"/>
        </w:rPr>
        <w:t>Greer. D. H., Weedon M. M., 2012. Modelling photosynthetic responses to temperature of grapevine (Vitis vinifera cv. Semillon) leaves on vines grown in a hot climate. Plant, Cell and Environment. 35, 1050–1064, (</w:t>
      </w:r>
      <w:hyperlink r:id="rId37" w:history="1">
        <w:r w:rsidRPr="00FA08A3">
          <w:rPr>
            <w:rStyle w:val="Hyperlink"/>
            <w:lang w:val="en-GB"/>
          </w:rPr>
          <w:t>https://doi.org/10.1111/j.1365-3040.2011.02471.x</w:t>
        </w:r>
      </w:hyperlink>
      <w:r w:rsidRPr="00FA08A3">
        <w:rPr>
          <w:rStyle w:val="Hyperlink"/>
          <w:lang w:val="en-GB"/>
        </w:rPr>
        <w:t>)</w:t>
      </w:r>
      <w:r w:rsidRPr="00FA08A3">
        <w:rPr>
          <w:lang w:val="en-GB"/>
        </w:rPr>
        <w:t xml:space="preserve"> </w:t>
      </w:r>
    </w:p>
    <w:p w14:paraId="6955AFF7" w14:textId="33A0AF81" w:rsidR="00DC5C8F" w:rsidRPr="00FA08A3" w:rsidRDefault="00DC5C8F" w:rsidP="00CD37D1">
      <w:pPr>
        <w:autoSpaceDE w:val="0"/>
        <w:autoSpaceDN w:val="0"/>
        <w:adjustRightInd w:val="0"/>
        <w:spacing w:after="120" w:line="276" w:lineRule="auto"/>
        <w:jc w:val="both"/>
        <w:rPr>
          <w:color w:val="000000"/>
          <w:sz w:val="20"/>
          <w:szCs w:val="22"/>
          <w:lang w:val="en-GB"/>
        </w:rPr>
      </w:pPr>
      <w:proofErr w:type="spellStart"/>
      <w:r w:rsidRPr="00FA08A3">
        <w:rPr>
          <w:color w:val="000000"/>
          <w:sz w:val="20"/>
          <w:szCs w:val="22"/>
          <w:lang w:val="en-GB"/>
        </w:rPr>
        <w:t>Hatziargyriou</w:t>
      </w:r>
      <w:proofErr w:type="spellEnd"/>
      <w:r w:rsidRPr="00FA08A3">
        <w:rPr>
          <w:color w:val="000000"/>
          <w:sz w:val="20"/>
          <w:szCs w:val="22"/>
          <w:lang w:val="en-GB"/>
        </w:rPr>
        <w:t xml:space="preserve"> </w:t>
      </w:r>
      <w:r w:rsidR="00B61B1E" w:rsidRPr="00FA08A3">
        <w:rPr>
          <w:color w:val="000000"/>
          <w:sz w:val="20"/>
          <w:szCs w:val="22"/>
          <w:lang w:val="en-GB"/>
        </w:rPr>
        <w:t xml:space="preserve">N., </w:t>
      </w:r>
      <w:r w:rsidRPr="00FA08A3">
        <w:rPr>
          <w:color w:val="000000"/>
          <w:sz w:val="20"/>
          <w:szCs w:val="22"/>
          <w:lang w:val="en-GB"/>
        </w:rPr>
        <w:t>et al., 2014. Microgrids-Architectures and Control</w:t>
      </w:r>
      <w:r w:rsidR="001A50A7" w:rsidRPr="00FA08A3">
        <w:rPr>
          <w:color w:val="000000"/>
          <w:sz w:val="20"/>
          <w:szCs w:val="22"/>
          <w:lang w:val="en-GB"/>
        </w:rPr>
        <w:t>,</w:t>
      </w:r>
      <w:r w:rsidRPr="00FA08A3">
        <w:rPr>
          <w:color w:val="000000"/>
          <w:sz w:val="20"/>
          <w:szCs w:val="22"/>
          <w:lang w:val="en-GB"/>
        </w:rPr>
        <w:t xml:space="preserve"> John Wiley and Sons Ltd., West Sussex, UK.</w:t>
      </w:r>
    </w:p>
    <w:p w14:paraId="3FB8D9D9" w14:textId="7409B639" w:rsidR="00F629FF" w:rsidRPr="00FA08A3" w:rsidRDefault="00B61B1E" w:rsidP="00CD37D1">
      <w:pPr>
        <w:pStyle w:val="SWCText"/>
        <w:rPr>
          <w:lang w:val="en-GB"/>
        </w:rPr>
      </w:pPr>
      <w:bookmarkStart w:id="18" w:name="_Ref231636637"/>
      <w:r w:rsidRPr="00FA08A3">
        <w:rPr>
          <w:lang w:val="en-GB"/>
        </w:rPr>
        <w:t xml:space="preserve">Iqbal, M., 1983.An introduction to solar radiation, Academic Press Canada, Don Mills, Ontario. </w:t>
      </w:r>
      <w:bookmarkEnd w:id="18"/>
    </w:p>
    <w:p w14:paraId="36CD2BDB" w14:textId="4F89C9A6" w:rsidR="00F629FF" w:rsidRPr="00FA08A3" w:rsidRDefault="00B61B1E" w:rsidP="00CD37D1">
      <w:pPr>
        <w:pStyle w:val="SWCText"/>
        <w:rPr>
          <w:lang w:val="en-GB"/>
        </w:rPr>
      </w:pPr>
      <w:bookmarkStart w:id="19" w:name="_Hlk238731719"/>
      <w:proofErr w:type="spellStart"/>
      <w:r w:rsidRPr="00FA08A3">
        <w:rPr>
          <w:lang w:val="en-GB"/>
        </w:rPr>
        <w:t>Kost</w:t>
      </w:r>
      <w:proofErr w:type="spellEnd"/>
      <w:r w:rsidRPr="00FA08A3">
        <w:rPr>
          <w:lang w:val="en-GB"/>
        </w:rPr>
        <w:t xml:space="preserve"> C., et al., 2024</w:t>
      </w:r>
      <w:bookmarkEnd w:id="19"/>
      <w:r w:rsidRPr="00FA08A3">
        <w:rPr>
          <w:lang w:val="en-GB"/>
        </w:rPr>
        <w:t>. Levelized Cost of Electricity – Renewable Energy Technologies, Fraunhofer ISE, Freiburg. (</w:t>
      </w:r>
      <w:hyperlink r:id="rId38" w:history="1">
        <w:r w:rsidRPr="00FA08A3">
          <w:rPr>
            <w:rStyle w:val="Hyperlink"/>
            <w:lang w:val="en-GB"/>
          </w:rPr>
          <w:t>https://www.ise.fraunhofer.de/en/publications/studies/cost-of-electricity.html</w:t>
        </w:r>
      </w:hyperlink>
      <w:r w:rsidRPr="00FA08A3">
        <w:rPr>
          <w:lang w:val="en-GB"/>
        </w:rPr>
        <w:t xml:space="preserve">) </w:t>
      </w:r>
    </w:p>
    <w:p w14:paraId="2D690B23" w14:textId="1ECC2637" w:rsidR="00B61B1E" w:rsidRPr="00FA08A3" w:rsidRDefault="00B61B1E" w:rsidP="00CD37D1">
      <w:pPr>
        <w:pStyle w:val="SWCText"/>
        <w:rPr>
          <w:lang w:val="en-GB"/>
        </w:rPr>
      </w:pPr>
      <w:proofErr w:type="spellStart"/>
      <w:r w:rsidRPr="00FA08A3">
        <w:rPr>
          <w:lang w:val="en-GB"/>
        </w:rPr>
        <w:t>Losciale</w:t>
      </w:r>
      <w:proofErr w:type="spellEnd"/>
      <w:r w:rsidRPr="00FA08A3">
        <w:rPr>
          <w:lang w:val="en-GB"/>
        </w:rPr>
        <w:t xml:space="preserve"> P., Chow W. S., Corelli </w:t>
      </w:r>
      <w:proofErr w:type="spellStart"/>
      <w:r w:rsidRPr="00FA08A3">
        <w:rPr>
          <w:lang w:val="en-GB"/>
        </w:rPr>
        <w:t>Grappadelli</w:t>
      </w:r>
      <w:proofErr w:type="spellEnd"/>
      <w:r w:rsidRPr="00FA08A3">
        <w:rPr>
          <w:lang w:val="en-GB"/>
        </w:rPr>
        <w:t xml:space="preserve"> L., 2010. Modulating the light environment with the peach ‘asymmetric orchard’: effects on gas exchange performances, photoprotection, and photoinhibition. Journal of Experimental Botany. 61, 1177–1192. </w:t>
      </w:r>
    </w:p>
    <w:p w14:paraId="3C17891B" w14:textId="5E19CCA1" w:rsidR="00B61B1E" w:rsidRPr="00CD37D1" w:rsidRDefault="00B61B1E" w:rsidP="00CD37D1">
      <w:pPr>
        <w:spacing w:after="120" w:line="276" w:lineRule="auto"/>
        <w:jc w:val="both"/>
        <w:rPr>
          <w:sz w:val="20"/>
          <w:szCs w:val="20"/>
          <w:lang w:val="en-GB"/>
        </w:rPr>
      </w:pPr>
      <w:r w:rsidRPr="00FA08A3">
        <w:rPr>
          <w:sz w:val="20"/>
          <w:szCs w:val="20"/>
          <w:lang w:val="en-GB"/>
        </w:rPr>
        <w:t xml:space="preserve">Lu, S.M., </w:t>
      </w:r>
      <w:proofErr w:type="spellStart"/>
      <w:r w:rsidRPr="00FA08A3">
        <w:rPr>
          <w:sz w:val="20"/>
          <w:szCs w:val="20"/>
          <w:lang w:val="en-GB"/>
        </w:rPr>
        <w:t>Zainali</w:t>
      </w:r>
      <w:proofErr w:type="spellEnd"/>
      <w:r w:rsidRPr="00FA08A3">
        <w:rPr>
          <w:sz w:val="20"/>
          <w:szCs w:val="20"/>
          <w:lang w:val="en-GB"/>
        </w:rPr>
        <w:t xml:space="preserve">, S., </w:t>
      </w:r>
      <w:proofErr w:type="spellStart"/>
      <w:r w:rsidRPr="00FA08A3">
        <w:rPr>
          <w:sz w:val="20"/>
          <w:szCs w:val="20"/>
          <w:lang w:val="en-GB"/>
        </w:rPr>
        <w:t>Stridh</w:t>
      </w:r>
      <w:proofErr w:type="spellEnd"/>
      <w:r w:rsidRPr="00FA08A3">
        <w:rPr>
          <w:sz w:val="20"/>
          <w:szCs w:val="20"/>
          <w:lang w:val="en-GB"/>
        </w:rPr>
        <w:t xml:space="preserve">, B., </w:t>
      </w:r>
      <w:proofErr w:type="spellStart"/>
      <w:r w:rsidRPr="00FA08A3">
        <w:rPr>
          <w:sz w:val="20"/>
          <w:szCs w:val="20"/>
          <w:lang w:val="en-GB"/>
        </w:rPr>
        <w:t>Avelin</w:t>
      </w:r>
      <w:proofErr w:type="spellEnd"/>
      <w:r w:rsidRPr="00FA08A3">
        <w:rPr>
          <w:sz w:val="20"/>
          <w:szCs w:val="20"/>
          <w:lang w:val="en-GB"/>
        </w:rPr>
        <w:t xml:space="preserve">, A., </w:t>
      </w:r>
      <w:proofErr w:type="spellStart"/>
      <w:r w:rsidRPr="00FA08A3">
        <w:rPr>
          <w:sz w:val="20"/>
          <w:szCs w:val="20"/>
          <w:lang w:val="en-GB"/>
        </w:rPr>
        <w:t>Amaducci</w:t>
      </w:r>
      <w:proofErr w:type="spellEnd"/>
      <w:r w:rsidRPr="00FA08A3">
        <w:rPr>
          <w:sz w:val="20"/>
          <w:szCs w:val="20"/>
          <w:lang w:val="en-GB"/>
        </w:rPr>
        <w:t xml:space="preserve">, S., </w:t>
      </w:r>
      <w:proofErr w:type="spellStart"/>
      <w:r w:rsidRPr="00FA08A3">
        <w:rPr>
          <w:sz w:val="20"/>
          <w:szCs w:val="20"/>
          <w:lang w:val="en-GB"/>
        </w:rPr>
        <w:t>Colauzzi</w:t>
      </w:r>
      <w:proofErr w:type="spellEnd"/>
      <w:r w:rsidRPr="00FA08A3">
        <w:rPr>
          <w:sz w:val="20"/>
          <w:szCs w:val="20"/>
          <w:lang w:val="en-GB"/>
        </w:rPr>
        <w:t xml:space="preserve">, M., Campana, P. E., 2022. Photosynthetically active radiation decomposition models for </w:t>
      </w:r>
      <w:proofErr w:type="spellStart"/>
      <w:r w:rsidRPr="00FA08A3">
        <w:rPr>
          <w:sz w:val="20"/>
          <w:szCs w:val="20"/>
          <w:lang w:val="en-GB"/>
        </w:rPr>
        <w:t>agrivoltaic</w:t>
      </w:r>
      <w:proofErr w:type="spellEnd"/>
      <w:r w:rsidRPr="00FA08A3">
        <w:rPr>
          <w:sz w:val="20"/>
          <w:szCs w:val="20"/>
          <w:lang w:val="en-GB"/>
        </w:rPr>
        <w:t xml:space="preserve"> systems applications. Elsevier, Solar Energy. 244, 536–549. </w:t>
      </w:r>
      <w:hyperlink r:id="rId39" w:history="1">
        <w:r w:rsidRPr="00FA08A3">
          <w:rPr>
            <w:rStyle w:val="Hyperlink"/>
            <w:sz w:val="20"/>
            <w:szCs w:val="20"/>
            <w:lang w:val="en-GB"/>
          </w:rPr>
          <w:t>https://doi.org/10.1016/j.solener.2022.05.046</w:t>
        </w:r>
      </w:hyperlink>
      <w:r w:rsidRPr="00FA08A3">
        <w:rPr>
          <w:sz w:val="20"/>
          <w:szCs w:val="20"/>
          <w:lang w:val="en-GB"/>
        </w:rPr>
        <w:t xml:space="preserve">. </w:t>
      </w:r>
    </w:p>
    <w:p w14:paraId="1ECCEF39" w14:textId="521DD8FA" w:rsidR="00B61B1E" w:rsidRPr="00FA08A3" w:rsidRDefault="00B61B1E" w:rsidP="00CD37D1">
      <w:pPr>
        <w:pStyle w:val="SWCText"/>
        <w:rPr>
          <w:lang w:val="en-GB"/>
        </w:rPr>
      </w:pPr>
      <w:r w:rsidRPr="00FA08A3">
        <w:rPr>
          <w:lang w:val="en-GB"/>
        </w:rPr>
        <w:t xml:space="preserve">Mehta, K., </w:t>
      </w:r>
      <w:proofErr w:type="spellStart"/>
      <w:r w:rsidRPr="00FA08A3">
        <w:rPr>
          <w:lang w:val="en-GB"/>
        </w:rPr>
        <w:t>Zörner</w:t>
      </w:r>
      <w:proofErr w:type="spellEnd"/>
      <w:r w:rsidRPr="00FA08A3">
        <w:rPr>
          <w:lang w:val="en-GB"/>
        </w:rPr>
        <w:t>, W., 2025. Optimizing Agri-PV System: Systematic Methodology to Assess Key Design Parameters. MDPI Energies. 18, 3877. (</w:t>
      </w:r>
      <w:hyperlink r:id="rId40" w:history="1">
        <w:r w:rsidRPr="00FA08A3">
          <w:rPr>
            <w:rStyle w:val="Hyperlink"/>
            <w:lang w:val="en-GB"/>
          </w:rPr>
          <w:t>https://doi.org/10.3390/en18143877</w:t>
        </w:r>
      </w:hyperlink>
      <w:r w:rsidRPr="00FA08A3">
        <w:rPr>
          <w:lang w:val="en-GB"/>
        </w:rPr>
        <w:t xml:space="preserve">)   </w:t>
      </w:r>
    </w:p>
    <w:p w14:paraId="4034384D" w14:textId="36D2DABA" w:rsidR="009C0419" w:rsidRPr="00FA08A3" w:rsidRDefault="00B61B1E" w:rsidP="00CD37D1">
      <w:pPr>
        <w:autoSpaceDE w:val="0"/>
        <w:autoSpaceDN w:val="0"/>
        <w:adjustRightInd w:val="0"/>
        <w:spacing w:after="120" w:line="276" w:lineRule="auto"/>
        <w:jc w:val="both"/>
        <w:rPr>
          <w:color w:val="000000"/>
          <w:sz w:val="20"/>
          <w:szCs w:val="22"/>
          <w:lang w:val="en-GB"/>
        </w:rPr>
      </w:pPr>
      <w:r w:rsidRPr="00FA08A3">
        <w:rPr>
          <w:color w:val="000000"/>
          <w:sz w:val="20"/>
          <w:szCs w:val="22"/>
          <w:lang w:val="en-GB"/>
        </w:rPr>
        <w:t xml:space="preserve">Rikos, E., </w:t>
      </w:r>
      <w:proofErr w:type="spellStart"/>
      <w:r w:rsidRPr="00FA08A3">
        <w:rPr>
          <w:color w:val="000000"/>
          <w:sz w:val="20"/>
          <w:szCs w:val="22"/>
          <w:lang w:val="en-GB"/>
        </w:rPr>
        <w:t>Nikoletatos</w:t>
      </w:r>
      <w:proofErr w:type="spellEnd"/>
      <w:r w:rsidRPr="00FA08A3">
        <w:rPr>
          <w:color w:val="000000"/>
          <w:sz w:val="20"/>
          <w:szCs w:val="22"/>
          <w:lang w:val="en-GB"/>
        </w:rPr>
        <w:t xml:space="preserve">, J., Kanopoulos, N., </w:t>
      </w:r>
      <w:proofErr w:type="spellStart"/>
      <w:r w:rsidRPr="00FA08A3">
        <w:rPr>
          <w:color w:val="000000"/>
          <w:sz w:val="20"/>
          <w:szCs w:val="22"/>
          <w:lang w:val="en-GB"/>
        </w:rPr>
        <w:t>Kuzyaka</w:t>
      </w:r>
      <w:proofErr w:type="spellEnd"/>
      <w:r w:rsidRPr="00FA08A3">
        <w:rPr>
          <w:color w:val="000000"/>
          <w:sz w:val="20"/>
          <w:szCs w:val="22"/>
          <w:lang w:val="en-GB"/>
        </w:rPr>
        <w:t xml:space="preserve">, D., </w:t>
      </w:r>
      <w:proofErr w:type="spellStart"/>
      <w:r w:rsidRPr="00FA08A3">
        <w:rPr>
          <w:color w:val="000000"/>
          <w:sz w:val="20"/>
          <w:szCs w:val="22"/>
          <w:lang w:val="en-GB"/>
        </w:rPr>
        <w:t>Theodoulidis</w:t>
      </w:r>
      <w:proofErr w:type="spellEnd"/>
      <w:r w:rsidRPr="00FA08A3">
        <w:rPr>
          <w:color w:val="000000"/>
          <w:sz w:val="20"/>
          <w:szCs w:val="22"/>
          <w:lang w:val="en-GB"/>
        </w:rPr>
        <w:t xml:space="preserve">, S., 2024. Systematic Design Approach Towards Optimizing Agri-PV Systems in Tree Crops: The Case of </w:t>
      </w:r>
      <w:proofErr w:type="spellStart"/>
      <w:r w:rsidRPr="00FA08A3">
        <w:rPr>
          <w:color w:val="000000"/>
          <w:sz w:val="20"/>
          <w:szCs w:val="22"/>
          <w:lang w:val="en-GB"/>
        </w:rPr>
        <w:t>SolarHub</w:t>
      </w:r>
      <w:proofErr w:type="spellEnd"/>
      <w:r w:rsidRPr="00FA08A3">
        <w:rPr>
          <w:color w:val="000000"/>
          <w:sz w:val="20"/>
          <w:szCs w:val="22"/>
          <w:lang w:val="en-GB"/>
        </w:rPr>
        <w:t xml:space="preserve">. IEEE, </w:t>
      </w:r>
      <w:proofErr w:type="spellStart"/>
      <w:r w:rsidRPr="00FA08A3">
        <w:rPr>
          <w:color w:val="000000"/>
          <w:sz w:val="20"/>
          <w:szCs w:val="22"/>
          <w:lang w:val="en-GB"/>
        </w:rPr>
        <w:t>SyNERGY</w:t>
      </w:r>
      <w:proofErr w:type="spellEnd"/>
      <w:r w:rsidRPr="00FA08A3">
        <w:rPr>
          <w:color w:val="000000"/>
          <w:sz w:val="20"/>
          <w:szCs w:val="22"/>
          <w:lang w:val="en-GB"/>
        </w:rPr>
        <w:t xml:space="preserve"> MED 2024.  Limassol, Cyprus. (</w:t>
      </w:r>
      <w:hyperlink r:id="rId41" w:history="1">
        <w:r w:rsidRPr="00FA08A3">
          <w:rPr>
            <w:color w:val="000000"/>
            <w:sz w:val="20"/>
            <w:szCs w:val="20"/>
            <w:lang w:val="en-GB"/>
          </w:rPr>
          <w:t>https://doi.org/10.1109/SyNERGYMED62435.2024.10799489</w:t>
        </w:r>
      </w:hyperlink>
      <w:r w:rsidRPr="00FA08A3">
        <w:rPr>
          <w:color w:val="000000"/>
          <w:sz w:val="20"/>
          <w:szCs w:val="22"/>
          <w:lang w:val="en-GB"/>
        </w:rPr>
        <w:t>)</w:t>
      </w:r>
      <w:r w:rsidR="00F629FF" w:rsidRPr="00FA08A3">
        <w:rPr>
          <w:color w:val="000000"/>
          <w:sz w:val="20"/>
          <w:szCs w:val="22"/>
          <w:lang w:val="en-GB"/>
        </w:rPr>
        <w:t xml:space="preserve"> </w:t>
      </w:r>
      <w:r w:rsidRPr="00FA08A3">
        <w:rPr>
          <w:color w:val="000000"/>
          <w:sz w:val="20"/>
          <w:szCs w:val="22"/>
          <w:lang w:val="en-GB"/>
        </w:rPr>
        <w:t xml:space="preserve">   </w:t>
      </w:r>
    </w:p>
    <w:p w14:paraId="76369FEF" w14:textId="6F29EF6B" w:rsidR="00F629FF" w:rsidRPr="00FA08A3" w:rsidRDefault="00DC5C8F" w:rsidP="00CD37D1">
      <w:pPr>
        <w:autoSpaceDE w:val="0"/>
        <w:autoSpaceDN w:val="0"/>
        <w:adjustRightInd w:val="0"/>
        <w:spacing w:after="120" w:line="276" w:lineRule="auto"/>
        <w:jc w:val="both"/>
        <w:rPr>
          <w:color w:val="000000"/>
          <w:sz w:val="20"/>
          <w:szCs w:val="22"/>
          <w:lang w:val="en-GB"/>
        </w:rPr>
      </w:pPr>
      <w:proofErr w:type="spellStart"/>
      <w:r w:rsidRPr="00FA08A3">
        <w:rPr>
          <w:color w:val="000000"/>
          <w:sz w:val="20"/>
          <w:szCs w:val="22"/>
          <w:lang w:val="en-GB"/>
        </w:rPr>
        <w:t>Trela</w:t>
      </w:r>
      <w:proofErr w:type="spellEnd"/>
      <w:r w:rsidRPr="00FA08A3">
        <w:rPr>
          <w:color w:val="000000"/>
          <w:sz w:val="20"/>
          <w:szCs w:val="22"/>
          <w:lang w:val="en-GB"/>
        </w:rPr>
        <w:t xml:space="preserve">, M., </w:t>
      </w:r>
      <w:proofErr w:type="spellStart"/>
      <w:r w:rsidRPr="00FA08A3">
        <w:rPr>
          <w:color w:val="000000"/>
          <w:sz w:val="20"/>
          <w:szCs w:val="22"/>
          <w:lang w:val="en-GB"/>
        </w:rPr>
        <w:t>Dubel</w:t>
      </w:r>
      <w:proofErr w:type="spellEnd"/>
      <w:r w:rsidRPr="00FA08A3">
        <w:rPr>
          <w:color w:val="000000"/>
          <w:sz w:val="20"/>
          <w:szCs w:val="22"/>
          <w:lang w:val="en-GB"/>
        </w:rPr>
        <w:t>, A., 2022. Net-Metering vs. Net-Billing from the Investors Perspective—Impacts of Changes in RES Financing in Poland on the Profitability of a Joint Photovoltaic Panels and Heat Pump System. MDPI Energies. 15, 227. (</w:t>
      </w:r>
      <w:hyperlink r:id="rId42" w:history="1">
        <w:r w:rsidRPr="00FA08A3">
          <w:rPr>
            <w:rStyle w:val="Hyperlink"/>
            <w:sz w:val="20"/>
            <w:szCs w:val="22"/>
            <w:lang w:val="en-GB"/>
          </w:rPr>
          <w:t>https://doi.org/10.3390/en15010227</w:t>
        </w:r>
      </w:hyperlink>
      <w:r w:rsidRPr="00FA08A3">
        <w:rPr>
          <w:color w:val="000000"/>
          <w:sz w:val="20"/>
          <w:szCs w:val="22"/>
          <w:lang w:val="en-GB"/>
        </w:rPr>
        <w:t>)</w:t>
      </w:r>
    </w:p>
    <w:p w14:paraId="45B6825A" w14:textId="7FDD30CE" w:rsidR="00F629FF" w:rsidRPr="00CD37D1" w:rsidRDefault="00F629FF" w:rsidP="00CD37D1">
      <w:pPr>
        <w:pStyle w:val="SWCText"/>
        <w:rPr>
          <w:color w:val="0000FF"/>
          <w:u w:val="single"/>
          <w:lang w:val="en-GB"/>
        </w:rPr>
      </w:pPr>
      <w:bookmarkStart w:id="20" w:name="_Hlk238468037"/>
      <w:proofErr w:type="spellStart"/>
      <w:r w:rsidRPr="00FA08A3">
        <w:rPr>
          <w:lang w:val="en-GB"/>
        </w:rPr>
        <w:t>Τrommsdorff</w:t>
      </w:r>
      <w:proofErr w:type="spellEnd"/>
      <w:r w:rsidRPr="00FA08A3">
        <w:rPr>
          <w:lang w:val="en-GB"/>
        </w:rPr>
        <w:t xml:space="preserve"> Μ., et al</w:t>
      </w:r>
      <w:bookmarkEnd w:id="20"/>
      <w:r w:rsidRPr="00FA08A3">
        <w:rPr>
          <w:lang w:val="en-GB"/>
        </w:rPr>
        <w:t xml:space="preserve">., 2024. </w:t>
      </w:r>
      <w:proofErr w:type="spellStart"/>
      <w:r w:rsidRPr="00FA08A3">
        <w:rPr>
          <w:lang w:val="en-GB"/>
        </w:rPr>
        <w:t>Agrivoltaics</w:t>
      </w:r>
      <w:proofErr w:type="spellEnd"/>
      <w:r w:rsidRPr="00FA08A3">
        <w:rPr>
          <w:lang w:val="en-GB"/>
        </w:rPr>
        <w:t>: Opportunities for Agriculture and the Energy Transition- A Guideline for Germany, Fraunhofer ISE, Freiburg. (</w:t>
      </w:r>
      <w:hyperlink r:id="rId43" w:history="1">
        <w:r w:rsidRPr="00FA08A3">
          <w:rPr>
            <w:rStyle w:val="Hyperlink"/>
            <w:lang w:val="en-GB"/>
          </w:rPr>
          <w:t>https://www.ise.fraunhofer.de/en/publications/studies/agrivoltaics-opportunities-for-agriculture-and-the-energy-transition.html</w:t>
        </w:r>
      </w:hyperlink>
      <w:r w:rsidRPr="00FA08A3">
        <w:rPr>
          <w:rStyle w:val="Hyperlink"/>
          <w:lang w:val="en-GB"/>
        </w:rPr>
        <w:t>)</w:t>
      </w:r>
    </w:p>
    <w:p w14:paraId="6F83A94A" w14:textId="52F443E3" w:rsidR="00DC5C8F" w:rsidRPr="00FA08A3" w:rsidRDefault="00F629FF" w:rsidP="00CD37D1">
      <w:pPr>
        <w:autoSpaceDE w:val="0"/>
        <w:autoSpaceDN w:val="0"/>
        <w:adjustRightInd w:val="0"/>
        <w:spacing w:after="120" w:line="276" w:lineRule="auto"/>
        <w:jc w:val="both"/>
        <w:rPr>
          <w:color w:val="000000"/>
          <w:sz w:val="20"/>
          <w:szCs w:val="22"/>
          <w:lang w:val="en-GB"/>
        </w:rPr>
      </w:pPr>
      <w:r w:rsidRPr="00FA08A3">
        <w:rPr>
          <w:color w:val="000000"/>
          <w:sz w:val="20"/>
          <w:szCs w:val="22"/>
          <w:lang w:val="en-GB"/>
        </w:rPr>
        <w:t xml:space="preserve">Walston, L. J., Barley, T., Bhandari, I., Campbell, B., McCall, J., Hartmann, H. M., Dolezal, A. G., 2022. Opportunities for </w:t>
      </w:r>
      <w:proofErr w:type="spellStart"/>
      <w:r w:rsidRPr="00FA08A3">
        <w:rPr>
          <w:color w:val="000000"/>
          <w:sz w:val="20"/>
          <w:szCs w:val="22"/>
          <w:lang w:val="en-GB"/>
        </w:rPr>
        <w:t>agrivoltaic</w:t>
      </w:r>
      <w:proofErr w:type="spellEnd"/>
      <w:r w:rsidRPr="00FA08A3">
        <w:rPr>
          <w:color w:val="000000"/>
          <w:sz w:val="20"/>
          <w:szCs w:val="22"/>
          <w:lang w:val="en-GB"/>
        </w:rPr>
        <w:t xml:space="preserve"> systems to achieve synergistic food-energy-environmental needs and address sustainability goals. Frontiers in Sustainable Food Systems, 6. (</w:t>
      </w:r>
      <w:hyperlink r:id="rId44" w:history="1">
        <w:r w:rsidRPr="00FA08A3">
          <w:rPr>
            <w:rStyle w:val="Hyperlink"/>
            <w:sz w:val="20"/>
            <w:szCs w:val="22"/>
            <w:lang w:val="en-GB"/>
          </w:rPr>
          <w:t>https://doi.org/10.3389/fsufs.2022.932018</w:t>
        </w:r>
      </w:hyperlink>
      <w:r w:rsidRPr="00FA08A3">
        <w:rPr>
          <w:color w:val="000000"/>
          <w:sz w:val="20"/>
          <w:szCs w:val="22"/>
          <w:lang w:val="en-GB"/>
        </w:rPr>
        <w:t xml:space="preserve">) </w:t>
      </w:r>
    </w:p>
    <w:p w14:paraId="72B087EF" w14:textId="1A97F73B" w:rsidR="00F629FF" w:rsidRPr="00FA08A3" w:rsidRDefault="00F629FF" w:rsidP="00CD37D1">
      <w:pPr>
        <w:autoSpaceDE w:val="0"/>
        <w:autoSpaceDN w:val="0"/>
        <w:adjustRightInd w:val="0"/>
        <w:spacing w:after="120" w:line="276" w:lineRule="auto"/>
        <w:jc w:val="both"/>
        <w:rPr>
          <w:color w:val="000000"/>
          <w:sz w:val="20"/>
          <w:szCs w:val="22"/>
          <w:lang w:val="en-GB"/>
        </w:rPr>
      </w:pPr>
      <w:r w:rsidRPr="00FA08A3">
        <w:rPr>
          <w:color w:val="000000"/>
          <w:sz w:val="20"/>
          <w:szCs w:val="22"/>
          <w:lang w:val="en-GB"/>
        </w:rPr>
        <w:t xml:space="preserve">Widmer, J., Christ, B., </w:t>
      </w:r>
      <w:proofErr w:type="spellStart"/>
      <w:r w:rsidRPr="00FA08A3">
        <w:rPr>
          <w:color w:val="000000"/>
          <w:sz w:val="20"/>
          <w:szCs w:val="22"/>
          <w:lang w:val="en-GB"/>
        </w:rPr>
        <w:t>Grenz</w:t>
      </w:r>
      <w:proofErr w:type="spellEnd"/>
      <w:r w:rsidRPr="00FA08A3">
        <w:rPr>
          <w:color w:val="000000"/>
          <w:sz w:val="20"/>
          <w:szCs w:val="22"/>
          <w:lang w:val="en-GB"/>
        </w:rPr>
        <w:t xml:space="preserve">, J., Norgrove, L., 2024. </w:t>
      </w:r>
      <w:proofErr w:type="spellStart"/>
      <w:r w:rsidRPr="00FA08A3">
        <w:rPr>
          <w:color w:val="000000"/>
          <w:sz w:val="20"/>
          <w:szCs w:val="22"/>
          <w:lang w:val="en-GB"/>
        </w:rPr>
        <w:t>Agrivoltaics</w:t>
      </w:r>
      <w:proofErr w:type="spellEnd"/>
      <w:r w:rsidRPr="00FA08A3">
        <w:rPr>
          <w:color w:val="000000"/>
          <w:sz w:val="20"/>
          <w:szCs w:val="22"/>
          <w:lang w:val="en-GB"/>
        </w:rPr>
        <w:t>, a promising new tool for electricity and food production: A systematic review. Elsevier, Renewable and Sustainable Energy Reviews. 192. (</w:t>
      </w:r>
      <w:hyperlink r:id="rId45" w:history="1">
        <w:r w:rsidRPr="00FA08A3">
          <w:rPr>
            <w:rStyle w:val="Hyperlink"/>
            <w:sz w:val="20"/>
            <w:szCs w:val="22"/>
            <w:lang w:val="en-GB"/>
          </w:rPr>
          <w:t>https://doi.org/10.1016/j.rser.2023.114277</w:t>
        </w:r>
      </w:hyperlink>
      <w:r w:rsidRPr="00FA08A3">
        <w:rPr>
          <w:color w:val="000000"/>
          <w:sz w:val="20"/>
          <w:szCs w:val="22"/>
          <w:lang w:val="en-GB"/>
        </w:rPr>
        <w:t xml:space="preserve">) </w:t>
      </w:r>
    </w:p>
    <w:p w14:paraId="549F3009" w14:textId="4ECBFDDE" w:rsidR="003D17D8" w:rsidRPr="00034A26" w:rsidRDefault="00DC5C8F" w:rsidP="00034A26">
      <w:pPr>
        <w:autoSpaceDE w:val="0"/>
        <w:autoSpaceDN w:val="0"/>
        <w:adjustRightInd w:val="0"/>
        <w:spacing w:after="120" w:line="276" w:lineRule="auto"/>
        <w:jc w:val="both"/>
        <w:rPr>
          <w:color w:val="000000"/>
          <w:sz w:val="20"/>
          <w:szCs w:val="22"/>
          <w:lang w:val="en-GB"/>
        </w:rPr>
      </w:pPr>
      <w:proofErr w:type="spellStart"/>
      <w:r w:rsidRPr="00FA08A3">
        <w:rPr>
          <w:color w:val="000000"/>
          <w:sz w:val="20"/>
          <w:szCs w:val="22"/>
          <w:lang w:val="en-GB"/>
        </w:rPr>
        <w:t>Zainali</w:t>
      </w:r>
      <w:proofErr w:type="spellEnd"/>
      <w:r w:rsidRPr="00FA08A3">
        <w:rPr>
          <w:color w:val="000000"/>
          <w:sz w:val="20"/>
          <w:szCs w:val="22"/>
          <w:lang w:val="en-GB"/>
        </w:rPr>
        <w:t xml:space="preserve">, S., </w:t>
      </w:r>
      <w:r w:rsidR="00A37345" w:rsidRPr="00FA08A3">
        <w:rPr>
          <w:color w:val="000000"/>
          <w:sz w:val="20"/>
          <w:szCs w:val="22"/>
          <w:lang w:val="en-GB"/>
        </w:rPr>
        <w:t xml:space="preserve">et al., </w:t>
      </w:r>
      <w:r w:rsidRPr="00FA08A3">
        <w:rPr>
          <w:color w:val="000000"/>
          <w:sz w:val="20"/>
          <w:szCs w:val="22"/>
          <w:lang w:val="en-GB"/>
        </w:rPr>
        <w:t xml:space="preserve">2025. Modelling, simulation, and optimisation of </w:t>
      </w:r>
      <w:proofErr w:type="spellStart"/>
      <w:r w:rsidRPr="00FA08A3">
        <w:rPr>
          <w:color w:val="000000"/>
          <w:sz w:val="20"/>
          <w:szCs w:val="22"/>
          <w:lang w:val="en-GB"/>
        </w:rPr>
        <w:t>agrivoltaic</w:t>
      </w:r>
      <w:proofErr w:type="spellEnd"/>
      <w:r w:rsidRPr="00FA08A3">
        <w:rPr>
          <w:color w:val="000000"/>
          <w:sz w:val="20"/>
          <w:szCs w:val="22"/>
          <w:lang w:val="en-GB"/>
        </w:rPr>
        <w:t xml:space="preserve"> systems: a comprehensive review. Elsevier, Applied Energy. 386. (</w:t>
      </w:r>
      <w:hyperlink r:id="rId46" w:history="1">
        <w:r w:rsidRPr="00FA08A3">
          <w:rPr>
            <w:rStyle w:val="Hyperlink"/>
            <w:sz w:val="20"/>
            <w:szCs w:val="22"/>
            <w:lang w:val="en-GB"/>
          </w:rPr>
          <w:t>https://doi.org/10.1016/j.apenergy.2025.125558</w:t>
        </w:r>
      </w:hyperlink>
      <w:r w:rsidRPr="00FA08A3">
        <w:rPr>
          <w:color w:val="000000"/>
          <w:sz w:val="20"/>
          <w:szCs w:val="22"/>
          <w:lang w:val="en-GB"/>
        </w:rPr>
        <w:t xml:space="preserve">) </w:t>
      </w:r>
    </w:p>
    <w:sectPr w:rsidR="003D17D8" w:rsidRPr="00034A26" w:rsidSect="000E25A7">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1E1CF" w14:textId="77777777" w:rsidR="00DC79C0" w:rsidRDefault="00DC79C0">
      <w:r>
        <w:separator/>
      </w:r>
    </w:p>
  </w:endnote>
  <w:endnote w:type="continuationSeparator" w:id="0">
    <w:p w14:paraId="650124BB" w14:textId="77777777" w:rsidR="00DC79C0" w:rsidRDefault="00DC7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973ED" w14:textId="77777777" w:rsidR="00DC79C0" w:rsidRDefault="00DC79C0">
      <w:r>
        <w:separator/>
      </w:r>
    </w:p>
  </w:footnote>
  <w:footnote w:type="continuationSeparator" w:id="0">
    <w:p w14:paraId="3C591D4E" w14:textId="77777777" w:rsidR="00DC79C0" w:rsidRDefault="00DC7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0B5A45"/>
    <w:multiLevelType w:val="multilevel"/>
    <w:tmpl w:val="AC2E08B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63F5455"/>
    <w:multiLevelType w:val="hybridMultilevel"/>
    <w:tmpl w:val="2BC21418"/>
    <w:lvl w:ilvl="0" w:tplc="ACD262A0">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15:restartNumberingAfterBreak="0">
    <w:nsid w:val="0F74122B"/>
    <w:multiLevelType w:val="hybridMultilevel"/>
    <w:tmpl w:val="915AD2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2EFC341F"/>
    <w:multiLevelType w:val="hybridMultilevel"/>
    <w:tmpl w:val="A65E14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5" w15:restartNumberingAfterBreak="0">
    <w:nsid w:val="386AB0C6"/>
    <w:multiLevelType w:val="hybridMultilevel"/>
    <w:tmpl w:val="939D18B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2"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95B4941"/>
    <w:multiLevelType w:val="hybridMultilevel"/>
    <w:tmpl w:val="323A3CCE"/>
    <w:lvl w:ilvl="0" w:tplc="5730603C">
      <w:start w:val="3"/>
      <w:numFmt w:val="bullet"/>
      <w:lvlText w:val=""/>
      <w:lvlJc w:val="left"/>
      <w:pPr>
        <w:ind w:left="1130" w:hanging="360"/>
      </w:pPr>
      <w:rPr>
        <w:rFonts w:ascii="Wingdings" w:eastAsia="Times New Roman" w:hAnsi="Wingdings" w:cs="Times New Roman" w:hint="default"/>
      </w:rPr>
    </w:lvl>
    <w:lvl w:ilvl="1" w:tplc="04080003" w:tentative="1">
      <w:start w:val="1"/>
      <w:numFmt w:val="bullet"/>
      <w:lvlText w:val="o"/>
      <w:lvlJc w:val="left"/>
      <w:pPr>
        <w:ind w:left="1850" w:hanging="360"/>
      </w:pPr>
      <w:rPr>
        <w:rFonts w:ascii="Courier New" w:hAnsi="Courier New" w:cs="Courier New" w:hint="default"/>
      </w:rPr>
    </w:lvl>
    <w:lvl w:ilvl="2" w:tplc="04080005" w:tentative="1">
      <w:start w:val="1"/>
      <w:numFmt w:val="bullet"/>
      <w:lvlText w:val=""/>
      <w:lvlJc w:val="left"/>
      <w:pPr>
        <w:ind w:left="2570" w:hanging="360"/>
      </w:pPr>
      <w:rPr>
        <w:rFonts w:ascii="Wingdings" w:hAnsi="Wingdings" w:hint="default"/>
      </w:rPr>
    </w:lvl>
    <w:lvl w:ilvl="3" w:tplc="04080001" w:tentative="1">
      <w:start w:val="1"/>
      <w:numFmt w:val="bullet"/>
      <w:lvlText w:val=""/>
      <w:lvlJc w:val="left"/>
      <w:pPr>
        <w:ind w:left="3290" w:hanging="360"/>
      </w:pPr>
      <w:rPr>
        <w:rFonts w:ascii="Symbol" w:hAnsi="Symbol" w:hint="default"/>
      </w:rPr>
    </w:lvl>
    <w:lvl w:ilvl="4" w:tplc="04080003" w:tentative="1">
      <w:start w:val="1"/>
      <w:numFmt w:val="bullet"/>
      <w:lvlText w:val="o"/>
      <w:lvlJc w:val="left"/>
      <w:pPr>
        <w:ind w:left="4010" w:hanging="360"/>
      </w:pPr>
      <w:rPr>
        <w:rFonts w:ascii="Courier New" w:hAnsi="Courier New" w:cs="Courier New" w:hint="default"/>
      </w:rPr>
    </w:lvl>
    <w:lvl w:ilvl="5" w:tplc="04080005" w:tentative="1">
      <w:start w:val="1"/>
      <w:numFmt w:val="bullet"/>
      <w:lvlText w:val=""/>
      <w:lvlJc w:val="left"/>
      <w:pPr>
        <w:ind w:left="4730" w:hanging="360"/>
      </w:pPr>
      <w:rPr>
        <w:rFonts w:ascii="Wingdings" w:hAnsi="Wingdings" w:hint="default"/>
      </w:rPr>
    </w:lvl>
    <w:lvl w:ilvl="6" w:tplc="04080001" w:tentative="1">
      <w:start w:val="1"/>
      <w:numFmt w:val="bullet"/>
      <w:lvlText w:val=""/>
      <w:lvlJc w:val="left"/>
      <w:pPr>
        <w:ind w:left="5450" w:hanging="360"/>
      </w:pPr>
      <w:rPr>
        <w:rFonts w:ascii="Symbol" w:hAnsi="Symbol" w:hint="default"/>
      </w:rPr>
    </w:lvl>
    <w:lvl w:ilvl="7" w:tplc="04080003" w:tentative="1">
      <w:start w:val="1"/>
      <w:numFmt w:val="bullet"/>
      <w:lvlText w:val="o"/>
      <w:lvlJc w:val="left"/>
      <w:pPr>
        <w:ind w:left="6170" w:hanging="360"/>
      </w:pPr>
      <w:rPr>
        <w:rFonts w:ascii="Courier New" w:hAnsi="Courier New" w:cs="Courier New" w:hint="default"/>
      </w:rPr>
    </w:lvl>
    <w:lvl w:ilvl="8" w:tplc="04080005" w:tentative="1">
      <w:start w:val="1"/>
      <w:numFmt w:val="bullet"/>
      <w:lvlText w:val=""/>
      <w:lvlJc w:val="left"/>
      <w:pPr>
        <w:ind w:left="6890" w:hanging="360"/>
      </w:pPr>
      <w:rPr>
        <w:rFonts w:ascii="Wingdings" w:hAnsi="Wingdings" w:hint="default"/>
      </w:rPr>
    </w:lvl>
  </w:abstractNum>
  <w:abstractNum w:abstractNumId="24" w15:restartNumberingAfterBreak="0">
    <w:nsid w:val="5DA415EB"/>
    <w:multiLevelType w:val="hybridMultilevel"/>
    <w:tmpl w:val="358489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40279AF"/>
    <w:multiLevelType w:val="hybridMultilevel"/>
    <w:tmpl w:val="5BD69E1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8"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9" w15:restartNumberingAfterBreak="0">
    <w:nsid w:val="6E382777"/>
    <w:multiLevelType w:val="hybridMultilevel"/>
    <w:tmpl w:val="674089D0"/>
    <w:lvl w:ilvl="0" w:tplc="0408000B">
      <w:start w:val="3"/>
      <w:numFmt w:val="bullet"/>
      <w:lvlText w:val=""/>
      <w:lvlJc w:val="left"/>
      <w:pPr>
        <w:ind w:left="720" w:hanging="360"/>
      </w:pPr>
      <w:rPr>
        <w:rFonts w:ascii="Wingdings" w:eastAsia="Times New Roman" w:hAnsi="Wingding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6"/>
  </w:num>
  <w:num w:numId="3">
    <w:abstractNumId w:val="14"/>
  </w:num>
  <w:num w:numId="4">
    <w:abstractNumId w:val="30"/>
  </w:num>
  <w:num w:numId="5">
    <w:abstractNumId w:val="4"/>
  </w:num>
  <w:num w:numId="6">
    <w:abstractNumId w:val="3"/>
  </w:num>
  <w:num w:numId="7">
    <w:abstractNumId w:val="0"/>
  </w:num>
  <w:num w:numId="8">
    <w:abstractNumId w:val="2"/>
  </w:num>
  <w:num w:numId="9">
    <w:abstractNumId w:val="1"/>
  </w:num>
  <w:num w:numId="10">
    <w:abstractNumId w:val="9"/>
  </w:num>
  <w:num w:numId="11">
    <w:abstractNumId w:val="25"/>
  </w:num>
  <w:num w:numId="12">
    <w:abstractNumId w:val="19"/>
  </w:num>
  <w:num w:numId="13">
    <w:abstractNumId w:val="9"/>
    <w:lvlOverride w:ilvl="0">
      <w:startOverride w:val="1"/>
    </w:lvlOverride>
  </w:num>
  <w:num w:numId="14">
    <w:abstractNumId w:val="22"/>
  </w:num>
  <w:num w:numId="15">
    <w:abstractNumId w:val="10"/>
  </w:num>
  <w:num w:numId="16">
    <w:abstractNumId w:val="18"/>
  </w:num>
  <w:num w:numId="17">
    <w:abstractNumId w:val="21"/>
  </w:num>
  <w:num w:numId="18">
    <w:abstractNumId w:val="27"/>
  </w:num>
  <w:num w:numId="19">
    <w:abstractNumId w:val="13"/>
  </w:num>
  <w:num w:numId="20">
    <w:abstractNumId w:val="11"/>
  </w:num>
  <w:num w:numId="21">
    <w:abstractNumId w:val="17"/>
  </w:num>
  <w:num w:numId="22">
    <w:abstractNumId w:val="26"/>
  </w:num>
  <w:num w:numId="23">
    <w:abstractNumId w:val="20"/>
  </w:num>
  <w:num w:numId="24">
    <w:abstractNumId w:val="28"/>
  </w:num>
  <w:num w:numId="25">
    <w:abstractNumId w:val="8"/>
  </w:num>
  <w:num w:numId="26">
    <w:abstractNumId w:val="7"/>
  </w:num>
  <w:num w:numId="27">
    <w:abstractNumId w:val="25"/>
    <w:lvlOverride w:ilvl="0">
      <w:startOverride w:val="1"/>
    </w:lvlOverride>
  </w:num>
  <w:num w:numId="28">
    <w:abstractNumId w:val="25"/>
    <w:lvlOverride w:ilvl="0">
      <w:startOverride w:val="1"/>
    </w:lvlOverride>
  </w:num>
  <w:num w:numId="29">
    <w:abstractNumId w:val="25"/>
    <w:lvlOverride w:ilvl="0">
      <w:startOverride w:val="1"/>
    </w:lvlOverride>
  </w:num>
  <w:num w:numId="30">
    <w:abstractNumId w:val="25"/>
    <w:lvlOverride w:ilvl="0">
      <w:startOverride w:val="1"/>
    </w:lvlOverride>
  </w:num>
  <w:num w:numId="31">
    <w:abstractNumId w:val="24"/>
  </w:num>
  <w:num w:numId="32">
    <w:abstractNumId w:val="15"/>
  </w:num>
  <w:num w:numId="33">
    <w:abstractNumId w:val="12"/>
  </w:num>
  <w:num w:numId="34">
    <w:abstractNumId w:val="25"/>
    <w:lvlOverride w:ilvl="0">
      <w:startOverride w:val="1"/>
    </w:lvlOverride>
  </w:num>
  <w:num w:numId="35">
    <w:abstractNumId w:val="29"/>
  </w:num>
  <w:num w:numId="36">
    <w:abstractNumId w:val="23"/>
  </w:num>
  <w:num w:numId="37">
    <w:abstractNumId w:val="6"/>
  </w:num>
  <w:num w:numId="38">
    <w:abstractNumId w:val="14"/>
  </w:num>
  <w:num w:numId="39">
    <w:abstractNumId w:val="14"/>
  </w:num>
  <w:num w:numId="40">
    <w:abstractNumId w:val="25"/>
    <w:lvlOverride w:ilvl="0">
      <w:startOverride w:val="1"/>
    </w:lvlOverride>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3666"/>
    <w:rsid w:val="00003FCD"/>
    <w:rsid w:val="00005037"/>
    <w:rsid w:val="000056D2"/>
    <w:rsid w:val="000067DB"/>
    <w:rsid w:val="00010262"/>
    <w:rsid w:val="0002379F"/>
    <w:rsid w:val="0002553B"/>
    <w:rsid w:val="00031F13"/>
    <w:rsid w:val="00034A26"/>
    <w:rsid w:val="00040B98"/>
    <w:rsid w:val="00040E8C"/>
    <w:rsid w:val="0004149E"/>
    <w:rsid w:val="0004235D"/>
    <w:rsid w:val="0005003E"/>
    <w:rsid w:val="000533E4"/>
    <w:rsid w:val="000534F5"/>
    <w:rsid w:val="00053E02"/>
    <w:rsid w:val="00055DB9"/>
    <w:rsid w:val="00057B5E"/>
    <w:rsid w:val="00066B26"/>
    <w:rsid w:val="00066F72"/>
    <w:rsid w:val="000678AC"/>
    <w:rsid w:val="000712A1"/>
    <w:rsid w:val="00074DBF"/>
    <w:rsid w:val="000768E4"/>
    <w:rsid w:val="00077EBF"/>
    <w:rsid w:val="00081A93"/>
    <w:rsid w:val="00092ED5"/>
    <w:rsid w:val="000969E8"/>
    <w:rsid w:val="000A0ADB"/>
    <w:rsid w:val="000A1CC8"/>
    <w:rsid w:val="000A30A5"/>
    <w:rsid w:val="000A36B5"/>
    <w:rsid w:val="000A52A1"/>
    <w:rsid w:val="000B04BE"/>
    <w:rsid w:val="000B09B5"/>
    <w:rsid w:val="000B1F4D"/>
    <w:rsid w:val="000C2344"/>
    <w:rsid w:val="000C6099"/>
    <w:rsid w:val="000C6638"/>
    <w:rsid w:val="000D64B9"/>
    <w:rsid w:val="000D6E1A"/>
    <w:rsid w:val="000E1855"/>
    <w:rsid w:val="000E25A7"/>
    <w:rsid w:val="000E34FE"/>
    <w:rsid w:val="000E41A9"/>
    <w:rsid w:val="000E46DC"/>
    <w:rsid w:val="000E6CBA"/>
    <w:rsid w:val="000F20D5"/>
    <w:rsid w:val="000F739B"/>
    <w:rsid w:val="000F7DD2"/>
    <w:rsid w:val="0010501A"/>
    <w:rsid w:val="001103A5"/>
    <w:rsid w:val="00110FDE"/>
    <w:rsid w:val="0011572C"/>
    <w:rsid w:val="00115D3B"/>
    <w:rsid w:val="0012132C"/>
    <w:rsid w:val="00125696"/>
    <w:rsid w:val="00127744"/>
    <w:rsid w:val="0013222F"/>
    <w:rsid w:val="00136177"/>
    <w:rsid w:val="00145913"/>
    <w:rsid w:val="00150385"/>
    <w:rsid w:val="0015090D"/>
    <w:rsid w:val="00150B42"/>
    <w:rsid w:val="00155FB8"/>
    <w:rsid w:val="00157CE5"/>
    <w:rsid w:val="00162A47"/>
    <w:rsid w:val="00162F75"/>
    <w:rsid w:val="001630EF"/>
    <w:rsid w:val="001647D2"/>
    <w:rsid w:val="00166C42"/>
    <w:rsid w:val="00176EF6"/>
    <w:rsid w:val="001904A7"/>
    <w:rsid w:val="0019232E"/>
    <w:rsid w:val="00194E9A"/>
    <w:rsid w:val="001968B5"/>
    <w:rsid w:val="001969B9"/>
    <w:rsid w:val="001A07ED"/>
    <w:rsid w:val="001A117A"/>
    <w:rsid w:val="001A50A7"/>
    <w:rsid w:val="001A775B"/>
    <w:rsid w:val="001A7F40"/>
    <w:rsid w:val="001B13D6"/>
    <w:rsid w:val="001B6BCF"/>
    <w:rsid w:val="001B7B01"/>
    <w:rsid w:val="001C3A3D"/>
    <w:rsid w:val="001C63A2"/>
    <w:rsid w:val="001D0384"/>
    <w:rsid w:val="001D1BA2"/>
    <w:rsid w:val="001D4912"/>
    <w:rsid w:val="001E07A9"/>
    <w:rsid w:val="001E2B93"/>
    <w:rsid w:val="001F1AAA"/>
    <w:rsid w:val="001F2881"/>
    <w:rsid w:val="001F464B"/>
    <w:rsid w:val="00204D9A"/>
    <w:rsid w:val="00205626"/>
    <w:rsid w:val="00206116"/>
    <w:rsid w:val="00212628"/>
    <w:rsid w:val="0022299B"/>
    <w:rsid w:val="00222F4C"/>
    <w:rsid w:val="00225724"/>
    <w:rsid w:val="00225F3C"/>
    <w:rsid w:val="002327F9"/>
    <w:rsid w:val="002331FE"/>
    <w:rsid w:val="00243214"/>
    <w:rsid w:val="002470B2"/>
    <w:rsid w:val="00247A55"/>
    <w:rsid w:val="00252034"/>
    <w:rsid w:val="00254C11"/>
    <w:rsid w:val="002550D4"/>
    <w:rsid w:val="002647A0"/>
    <w:rsid w:val="00266E47"/>
    <w:rsid w:val="00270E75"/>
    <w:rsid w:val="0027288C"/>
    <w:rsid w:val="00273341"/>
    <w:rsid w:val="002763E0"/>
    <w:rsid w:val="00281D0B"/>
    <w:rsid w:val="00283220"/>
    <w:rsid w:val="002843F2"/>
    <w:rsid w:val="002972D1"/>
    <w:rsid w:val="002979DE"/>
    <w:rsid w:val="002A04A9"/>
    <w:rsid w:val="002A39BB"/>
    <w:rsid w:val="002B1139"/>
    <w:rsid w:val="002B417A"/>
    <w:rsid w:val="002B7DDF"/>
    <w:rsid w:val="002C089D"/>
    <w:rsid w:val="002C101B"/>
    <w:rsid w:val="002C22B9"/>
    <w:rsid w:val="002C68AD"/>
    <w:rsid w:val="002D322C"/>
    <w:rsid w:val="002D4864"/>
    <w:rsid w:val="002E5D62"/>
    <w:rsid w:val="002F1386"/>
    <w:rsid w:val="002F1D87"/>
    <w:rsid w:val="002F6B87"/>
    <w:rsid w:val="00303345"/>
    <w:rsid w:val="0031685E"/>
    <w:rsid w:val="00320DDF"/>
    <w:rsid w:val="003357AC"/>
    <w:rsid w:val="00353D07"/>
    <w:rsid w:val="0035638A"/>
    <w:rsid w:val="003605B9"/>
    <w:rsid w:val="00362122"/>
    <w:rsid w:val="00364A52"/>
    <w:rsid w:val="00365424"/>
    <w:rsid w:val="00373DEC"/>
    <w:rsid w:val="00373F97"/>
    <w:rsid w:val="0037406D"/>
    <w:rsid w:val="00374216"/>
    <w:rsid w:val="003816FC"/>
    <w:rsid w:val="0038545D"/>
    <w:rsid w:val="003869E8"/>
    <w:rsid w:val="00387077"/>
    <w:rsid w:val="00391288"/>
    <w:rsid w:val="00393777"/>
    <w:rsid w:val="00395E5A"/>
    <w:rsid w:val="00395F5E"/>
    <w:rsid w:val="0039742D"/>
    <w:rsid w:val="003A3A38"/>
    <w:rsid w:val="003A7DB9"/>
    <w:rsid w:val="003B00EF"/>
    <w:rsid w:val="003B2055"/>
    <w:rsid w:val="003C0806"/>
    <w:rsid w:val="003C18DE"/>
    <w:rsid w:val="003C1B31"/>
    <w:rsid w:val="003C28AB"/>
    <w:rsid w:val="003C2B1A"/>
    <w:rsid w:val="003C39C6"/>
    <w:rsid w:val="003C57D9"/>
    <w:rsid w:val="003C7E95"/>
    <w:rsid w:val="003D0217"/>
    <w:rsid w:val="003D0C22"/>
    <w:rsid w:val="003D17D8"/>
    <w:rsid w:val="003D4B23"/>
    <w:rsid w:val="003D6941"/>
    <w:rsid w:val="003E1E1C"/>
    <w:rsid w:val="003F0403"/>
    <w:rsid w:val="003F5B99"/>
    <w:rsid w:val="004019FD"/>
    <w:rsid w:val="00403E6A"/>
    <w:rsid w:val="004053B5"/>
    <w:rsid w:val="0040615A"/>
    <w:rsid w:val="00411E29"/>
    <w:rsid w:val="004127FA"/>
    <w:rsid w:val="00415672"/>
    <w:rsid w:val="0042033E"/>
    <w:rsid w:val="00422F03"/>
    <w:rsid w:val="00431CC4"/>
    <w:rsid w:val="004326DA"/>
    <w:rsid w:val="004357AD"/>
    <w:rsid w:val="004464E0"/>
    <w:rsid w:val="00453296"/>
    <w:rsid w:val="004647A1"/>
    <w:rsid w:val="00467DFD"/>
    <w:rsid w:val="00474340"/>
    <w:rsid w:val="00476879"/>
    <w:rsid w:val="00483249"/>
    <w:rsid w:val="00490F10"/>
    <w:rsid w:val="00493C81"/>
    <w:rsid w:val="00494006"/>
    <w:rsid w:val="004A14C9"/>
    <w:rsid w:val="004A3506"/>
    <w:rsid w:val="004B0CD4"/>
    <w:rsid w:val="004B501B"/>
    <w:rsid w:val="004C39AD"/>
    <w:rsid w:val="004C4EE9"/>
    <w:rsid w:val="004C6535"/>
    <w:rsid w:val="004C70A2"/>
    <w:rsid w:val="004D0CA0"/>
    <w:rsid w:val="004E5D79"/>
    <w:rsid w:val="004F41E8"/>
    <w:rsid w:val="004F4904"/>
    <w:rsid w:val="004F4E3F"/>
    <w:rsid w:val="004F5FF9"/>
    <w:rsid w:val="00500640"/>
    <w:rsid w:val="00500D7D"/>
    <w:rsid w:val="00504B6E"/>
    <w:rsid w:val="005067AC"/>
    <w:rsid w:val="005118C7"/>
    <w:rsid w:val="00514890"/>
    <w:rsid w:val="0051584D"/>
    <w:rsid w:val="00521A24"/>
    <w:rsid w:val="005221F1"/>
    <w:rsid w:val="0053048D"/>
    <w:rsid w:val="00531421"/>
    <w:rsid w:val="00532138"/>
    <w:rsid w:val="0053532A"/>
    <w:rsid w:val="005404F1"/>
    <w:rsid w:val="00544D85"/>
    <w:rsid w:val="00550776"/>
    <w:rsid w:val="00552BCB"/>
    <w:rsid w:val="00556004"/>
    <w:rsid w:val="00566460"/>
    <w:rsid w:val="0057075C"/>
    <w:rsid w:val="005721F8"/>
    <w:rsid w:val="00572686"/>
    <w:rsid w:val="005836C7"/>
    <w:rsid w:val="00587B8A"/>
    <w:rsid w:val="0059494C"/>
    <w:rsid w:val="005A2F3F"/>
    <w:rsid w:val="005B34CC"/>
    <w:rsid w:val="005B3E86"/>
    <w:rsid w:val="005B6F55"/>
    <w:rsid w:val="005C0705"/>
    <w:rsid w:val="005C2E9C"/>
    <w:rsid w:val="005C78EC"/>
    <w:rsid w:val="005D1066"/>
    <w:rsid w:val="005D3805"/>
    <w:rsid w:val="005D5CF6"/>
    <w:rsid w:val="005E04EA"/>
    <w:rsid w:val="005E0D7D"/>
    <w:rsid w:val="005E325C"/>
    <w:rsid w:val="005E7208"/>
    <w:rsid w:val="005F106F"/>
    <w:rsid w:val="005F4C8D"/>
    <w:rsid w:val="005F5115"/>
    <w:rsid w:val="00600784"/>
    <w:rsid w:val="00602E59"/>
    <w:rsid w:val="00603334"/>
    <w:rsid w:val="00607C4E"/>
    <w:rsid w:val="00613AF9"/>
    <w:rsid w:val="0061732F"/>
    <w:rsid w:val="0062257E"/>
    <w:rsid w:val="00625BC2"/>
    <w:rsid w:val="00626B25"/>
    <w:rsid w:val="00627E34"/>
    <w:rsid w:val="006309AA"/>
    <w:rsid w:val="00633473"/>
    <w:rsid w:val="006379BD"/>
    <w:rsid w:val="0064403B"/>
    <w:rsid w:val="006459BD"/>
    <w:rsid w:val="006500EC"/>
    <w:rsid w:val="00652071"/>
    <w:rsid w:val="00652D7E"/>
    <w:rsid w:val="00653551"/>
    <w:rsid w:val="0065563B"/>
    <w:rsid w:val="006640D6"/>
    <w:rsid w:val="00665471"/>
    <w:rsid w:val="006722C6"/>
    <w:rsid w:val="00683802"/>
    <w:rsid w:val="00692D7F"/>
    <w:rsid w:val="006A0AE2"/>
    <w:rsid w:val="006A2EC0"/>
    <w:rsid w:val="006A2F10"/>
    <w:rsid w:val="006A3B45"/>
    <w:rsid w:val="006A77D0"/>
    <w:rsid w:val="006B3D49"/>
    <w:rsid w:val="006B4C9F"/>
    <w:rsid w:val="006C60ED"/>
    <w:rsid w:val="006C756C"/>
    <w:rsid w:val="006D01B3"/>
    <w:rsid w:val="006D19E1"/>
    <w:rsid w:val="006D4A96"/>
    <w:rsid w:val="006F0FEF"/>
    <w:rsid w:val="006F3259"/>
    <w:rsid w:val="006F5B85"/>
    <w:rsid w:val="00702AE0"/>
    <w:rsid w:val="00716992"/>
    <w:rsid w:val="007174DA"/>
    <w:rsid w:val="00721EFF"/>
    <w:rsid w:val="00722B51"/>
    <w:rsid w:val="00725ED2"/>
    <w:rsid w:val="007400DF"/>
    <w:rsid w:val="00740AF3"/>
    <w:rsid w:val="00743381"/>
    <w:rsid w:val="00747E99"/>
    <w:rsid w:val="007535ED"/>
    <w:rsid w:val="0075406E"/>
    <w:rsid w:val="00756702"/>
    <w:rsid w:val="00762EA3"/>
    <w:rsid w:val="00763663"/>
    <w:rsid w:val="00767F92"/>
    <w:rsid w:val="007736BC"/>
    <w:rsid w:val="007763CB"/>
    <w:rsid w:val="007804A7"/>
    <w:rsid w:val="00786134"/>
    <w:rsid w:val="007908F6"/>
    <w:rsid w:val="007954D9"/>
    <w:rsid w:val="007A4C79"/>
    <w:rsid w:val="007A7952"/>
    <w:rsid w:val="007B0BDB"/>
    <w:rsid w:val="007B33DF"/>
    <w:rsid w:val="007C1632"/>
    <w:rsid w:val="007C36EF"/>
    <w:rsid w:val="007C6BDE"/>
    <w:rsid w:val="007D0678"/>
    <w:rsid w:val="007D1C2C"/>
    <w:rsid w:val="007D53CE"/>
    <w:rsid w:val="007D6AA6"/>
    <w:rsid w:val="007E7634"/>
    <w:rsid w:val="007E77D0"/>
    <w:rsid w:val="00800E25"/>
    <w:rsid w:val="00801634"/>
    <w:rsid w:val="0080537B"/>
    <w:rsid w:val="008066CF"/>
    <w:rsid w:val="00807DBA"/>
    <w:rsid w:val="00813C26"/>
    <w:rsid w:val="008219CF"/>
    <w:rsid w:val="008314FC"/>
    <w:rsid w:val="00834062"/>
    <w:rsid w:val="00837104"/>
    <w:rsid w:val="00840E8F"/>
    <w:rsid w:val="0084100F"/>
    <w:rsid w:val="00844F36"/>
    <w:rsid w:val="00845AE3"/>
    <w:rsid w:val="00853365"/>
    <w:rsid w:val="00864283"/>
    <w:rsid w:val="00864A2E"/>
    <w:rsid w:val="0087241B"/>
    <w:rsid w:val="008740C0"/>
    <w:rsid w:val="00883C08"/>
    <w:rsid w:val="008903B1"/>
    <w:rsid w:val="00893500"/>
    <w:rsid w:val="008A0437"/>
    <w:rsid w:val="008A3A66"/>
    <w:rsid w:val="008A7984"/>
    <w:rsid w:val="008B21AF"/>
    <w:rsid w:val="008B618F"/>
    <w:rsid w:val="008D18F0"/>
    <w:rsid w:val="008D44C5"/>
    <w:rsid w:val="008D7E85"/>
    <w:rsid w:val="008E19FF"/>
    <w:rsid w:val="008E24B6"/>
    <w:rsid w:val="008E27EE"/>
    <w:rsid w:val="008E53FF"/>
    <w:rsid w:val="008F249D"/>
    <w:rsid w:val="008F4831"/>
    <w:rsid w:val="008F54F8"/>
    <w:rsid w:val="009011AA"/>
    <w:rsid w:val="009015EF"/>
    <w:rsid w:val="00902F36"/>
    <w:rsid w:val="00904774"/>
    <w:rsid w:val="00906CC3"/>
    <w:rsid w:val="009136C0"/>
    <w:rsid w:val="00915C21"/>
    <w:rsid w:val="00916F1B"/>
    <w:rsid w:val="00917D56"/>
    <w:rsid w:val="00927A0C"/>
    <w:rsid w:val="00931C9D"/>
    <w:rsid w:val="00931FF9"/>
    <w:rsid w:val="00933A00"/>
    <w:rsid w:val="00933BFD"/>
    <w:rsid w:val="00941691"/>
    <w:rsid w:val="00942AED"/>
    <w:rsid w:val="00944570"/>
    <w:rsid w:val="00944E25"/>
    <w:rsid w:val="00950429"/>
    <w:rsid w:val="00951C1D"/>
    <w:rsid w:val="00953F15"/>
    <w:rsid w:val="009642AB"/>
    <w:rsid w:val="00976A7F"/>
    <w:rsid w:val="00982BCB"/>
    <w:rsid w:val="00991347"/>
    <w:rsid w:val="00993F03"/>
    <w:rsid w:val="0099435F"/>
    <w:rsid w:val="00995487"/>
    <w:rsid w:val="00996561"/>
    <w:rsid w:val="00996BC5"/>
    <w:rsid w:val="009A44FC"/>
    <w:rsid w:val="009A6D34"/>
    <w:rsid w:val="009B4816"/>
    <w:rsid w:val="009C0419"/>
    <w:rsid w:val="009C1BA8"/>
    <w:rsid w:val="009C2D0D"/>
    <w:rsid w:val="009C3492"/>
    <w:rsid w:val="009C49C6"/>
    <w:rsid w:val="009C5AA4"/>
    <w:rsid w:val="009C742A"/>
    <w:rsid w:val="009D02D4"/>
    <w:rsid w:val="009D2858"/>
    <w:rsid w:val="009D60E3"/>
    <w:rsid w:val="009E0D67"/>
    <w:rsid w:val="009E3DF5"/>
    <w:rsid w:val="009E4985"/>
    <w:rsid w:val="009E7EB8"/>
    <w:rsid w:val="009F16C5"/>
    <w:rsid w:val="009F2078"/>
    <w:rsid w:val="009F3E11"/>
    <w:rsid w:val="009F3FC4"/>
    <w:rsid w:val="009F6AF8"/>
    <w:rsid w:val="009F6E78"/>
    <w:rsid w:val="009F7A4B"/>
    <w:rsid w:val="009F7C7E"/>
    <w:rsid w:val="00A01148"/>
    <w:rsid w:val="00A03228"/>
    <w:rsid w:val="00A06B64"/>
    <w:rsid w:val="00A174D1"/>
    <w:rsid w:val="00A2412B"/>
    <w:rsid w:val="00A31DC5"/>
    <w:rsid w:val="00A37345"/>
    <w:rsid w:val="00A40C81"/>
    <w:rsid w:val="00A436CD"/>
    <w:rsid w:val="00A438D7"/>
    <w:rsid w:val="00A5180B"/>
    <w:rsid w:val="00A55D9E"/>
    <w:rsid w:val="00A55E36"/>
    <w:rsid w:val="00A5765A"/>
    <w:rsid w:val="00A6457C"/>
    <w:rsid w:val="00A8188E"/>
    <w:rsid w:val="00A8223C"/>
    <w:rsid w:val="00A847D1"/>
    <w:rsid w:val="00A8757B"/>
    <w:rsid w:val="00A92044"/>
    <w:rsid w:val="00A9727D"/>
    <w:rsid w:val="00AA16B9"/>
    <w:rsid w:val="00AA47DC"/>
    <w:rsid w:val="00AB4945"/>
    <w:rsid w:val="00AB5A10"/>
    <w:rsid w:val="00AB624E"/>
    <w:rsid w:val="00AC0FDE"/>
    <w:rsid w:val="00AC2C09"/>
    <w:rsid w:val="00AC3482"/>
    <w:rsid w:val="00AC6B6F"/>
    <w:rsid w:val="00AD1033"/>
    <w:rsid w:val="00AE11FC"/>
    <w:rsid w:val="00AE6354"/>
    <w:rsid w:val="00AE7573"/>
    <w:rsid w:val="00AF155C"/>
    <w:rsid w:val="00AF15AF"/>
    <w:rsid w:val="00AF6EB4"/>
    <w:rsid w:val="00B01141"/>
    <w:rsid w:val="00B02E33"/>
    <w:rsid w:val="00B04CF2"/>
    <w:rsid w:val="00B12803"/>
    <w:rsid w:val="00B214A1"/>
    <w:rsid w:val="00B21A6E"/>
    <w:rsid w:val="00B22D5C"/>
    <w:rsid w:val="00B263F0"/>
    <w:rsid w:val="00B2716E"/>
    <w:rsid w:val="00B31661"/>
    <w:rsid w:val="00B32703"/>
    <w:rsid w:val="00B35840"/>
    <w:rsid w:val="00B35CE5"/>
    <w:rsid w:val="00B44243"/>
    <w:rsid w:val="00B47522"/>
    <w:rsid w:val="00B5097B"/>
    <w:rsid w:val="00B534D5"/>
    <w:rsid w:val="00B54313"/>
    <w:rsid w:val="00B60B5F"/>
    <w:rsid w:val="00B61B1E"/>
    <w:rsid w:val="00B64291"/>
    <w:rsid w:val="00B6496F"/>
    <w:rsid w:val="00B8064D"/>
    <w:rsid w:val="00B80F06"/>
    <w:rsid w:val="00B827C6"/>
    <w:rsid w:val="00B84CEB"/>
    <w:rsid w:val="00B86327"/>
    <w:rsid w:val="00B93F09"/>
    <w:rsid w:val="00BA0EE0"/>
    <w:rsid w:val="00BA23FC"/>
    <w:rsid w:val="00BA75E7"/>
    <w:rsid w:val="00BA7C4A"/>
    <w:rsid w:val="00BB1390"/>
    <w:rsid w:val="00BB17C5"/>
    <w:rsid w:val="00BB79BE"/>
    <w:rsid w:val="00BC054F"/>
    <w:rsid w:val="00BC738E"/>
    <w:rsid w:val="00BD0518"/>
    <w:rsid w:val="00BD0576"/>
    <w:rsid w:val="00BE50D0"/>
    <w:rsid w:val="00BF042C"/>
    <w:rsid w:val="00BF0901"/>
    <w:rsid w:val="00BF14E5"/>
    <w:rsid w:val="00BF16FE"/>
    <w:rsid w:val="00C0007C"/>
    <w:rsid w:val="00C012F5"/>
    <w:rsid w:val="00C068BC"/>
    <w:rsid w:val="00C17081"/>
    <w:rsid w:val="00C20A85"/>
    <w:rsid w:val="00C27FD4"/>
    <w:rsid w:val="00C365E2"/>
    <w:rsid w:val="00C44EFB"/>
    <w:rsid w:val="00C55264"/>
    <w:rsid w:val="00C55D29"/>
    <w:rsid w:val="00C6695C"/>
    <w:rsid w:val="00C66E69"/>
    <w:rsid w:val="00C84F40"/>
    <w:rsid w:val="00C85B7B"/>
    <w:rsid w:val="00C87F86"/>
    <w:rsid w:val="00C97946"/>
    <w:rsid w:val="00CA4F91"/>
    <w:rsid w:val="00CA7ABB"/>
    <w:rsid w:val="00CB3956"/>
    <w:rsid w:val="00CB57E5"/>
    <w:rsid w:val="00CB71FB"/>
    <w:rsid w:val="00CB7EE8"/>
    <w:rsid w:val="00CC0BDA"/>
    <w:rsid w:val="00CC3B0C"/>
    <w:rsid w:val="00CC445A"/>
    <w:rsid w:val="00CC47FB"/>
    <w:rsid w:val="00CC6816"/>
    <w:rsid w:val="00CD2F0C"/>
    <w:rsid w:val="00CD37D1"/>
    <w:rsid w:val="00CD41FE"/>
    <w:rsid w:val="00CD4EFC"/>
    <w:rsid w:val="00CE432C"/>
    <w:rsid w:val="00CE473F"/>
    <w:rsid w:val="00CE6DBB"/>
    <w:rsid w:val="00CF2B1E"/>
    <w:rsid w:val="00D02612"/>
    <w:rsid w:val="00D0520C"/>
    <w:rsid w:val="00D1429C"/>
    <w:rsid w:val="00D14555"/>
    <w:rsid w:val="00D17DCC"/>
    <w:rsid w:val="00D31359"/>
    <w:rsid w:val="00D32EF0"/>
    <w:rsid w:val="00D34665"/>
    <w:rsid w:val="00D35E52"/>
    <w:rsid w:val="00D361A4"/>
    <w:rsid w:val="00D36FA6"/>
    <w:rsid w:val="00D41594"/>
    <w:rsid w:val="00D41E9A"/>
    <w:rsid w:val="00D53F31"/>
    <w:rsid w:val="00D5584D"/>
    <w:rsid w:val="00D61E8C"/>
    <w:rsid w:val="00D62269"/>
    <w:rsid w:val="00D62EDC"/>
    <w:rsid w:val="00D63D44"/>
    <w:rsid w:val="00D91B90"/>
    <w:rsid w:val="00D91DC0"/>
    <w:rsid w:val="00D93F64"/>
    <w:rsid w:val="00D9521E"/>
    <w:rsid w:val="00D96F03"/>
    <w:rsid w:val="00D976DC"/>
    <w:rsid w:val="00DA244B"/>
    <w:rsid w:val="00DA3CC5"/>
    <w:rsid w:val="00DA760B"/>
    <w:rsid w:val="00DA7F88"/>
    <w:rsid w:val="00DB2E98"/>
    <w:rsid w:val="00DB52E7"/>
    <w:rsid w:val="00DC0318"/>
    <w:rsid w:val="00DC5C8F"/>
    <w:rsid w:val="00DC79C0"/>
    <w:rsid w:val="00DD1826"/>
    <w:rsid w:val="00DD1D5F"/>
    <w:rsid w:val="00DD4DB2"/>
    <w:rsid w:val="00DD7CDB"/>
    <w:rsid w:val="00DE0269"/>
    <w:rsid w:val="00E012C5"/>
    <w:rsid w:val="00E023A9"/>
    <w:rsid w:val="00E05A73"/>
    <w:rsid w:val="00E07D1B"/>
    <w:rsid w:val="00E1006D"/>
    <w:rsid w:val="00E17A86"/>
    <w:rsid w:val="00E218E2"/>
    <w:rsid w:val="00E23FEE"/>
    <w:rsid w:val="00E26F64"/>
    <w:rsid w:val="00E32F16"/>
    <w:rsid w:val="00E4017B"/>
    <w:rsid w:val="00E417ED"/>
    <w:rsid w:val="00E44FEC"/>
    <w:rsid w:val="00E47449"/>
    <w:rsid w:val="00E53F82"/>
    <w:rsid w:val="00E548A7"/>
    <w:rsid w:val="00E56DBB"/>
    <w:rsid w:val="00E57E49"/>
    <w:rsid w:val="00E61C50"/>
    <w:rsid w:val="00E65D4A"/>
    <w:rsid w:val="00E7237D"/>
    <w:rsid w:val="00E8752A"/>
    <w:rsid w:val="00E917F8"/>
    <w:rsid w:val="00E9249A"/>
    <w:rsid w:val="00EA29EA"/>
    <w:rsid w:val="00EA34C6"/>
    <w:rsid w:val="00EA38B5"/>
    <w:rsid w:val="00EA50D7"/>
    <w:rsid w:val="00EA56BF"/>
    <w:rsid w:val="00EB33C1"/>
    <w:rsid w:val="00EB6776"/>
    <w:rsid w:val="00EC3533"/>
    <w:rsid w:val="00EC35EE"/>
    <w:rsid w:val="00ED7123"/>
    <w:rsid w:val="00EE40FA"/>
    <w:rsid w:val="00EF2F33"/>
    <w:rsid w:val="00EF317B"/>
    <w:rsid w:val="00EF596C"/>
    <w:rsid w:val="00F0298C"/>
    <w:rsid w:val="00F0333F"/>
    <w:rsid w:val="00F07750"/>
    <w:rsid w:val="00F10047"/>
    <w:rsid w:val="00F30A77"/>
    <w:rsid w:val="00F3720F"/>
    <w:rsid w:val="00F4393F"/>
    <w:rsid w:val="00F43B45"/>
    <w:rsid w:val="00F46A3A"/>
    <w:rsid w:val="00F5375D"/>
    <w:rsid w:val="00F5454E"/>
    <w:rsid w:val="00F625B3"/>
    <w:rsid w:val="00F629FF"/>
    <w:rsid w:val="00F715C3"/>
    <w:rsid w:val="00F718BD"/>
    <w:rsid w:val="00F74325"/>
    <w:rsid w:val="00F75B3A"/>
    <w:rsid w:val="00F77F3D"/>
    <w:rsid w:val="00F80507"/>
    <w:rsid w:val="00F83CD3"/>
    <w:rsid w:val="00F85F61"/>
    <w:rsid w:val="00F95487"/>
    <w:rsid w:val="00F95DEF"/>
    <w:rsid w:val="00FA08A3"/>
    <w:rsid w:val="00FA1553"/>
    <w:rsid w:val="00FA4DF8"/>
    <w:rsid w:val="00FB45FB"/>
    <w:rsid w:val="00FC09A1"/>
    <w:rsid w:val="00FC1374"/>
    <w:rsid w:val="00FC1781"/>
    <w:rsid w:val="00FC17A9"/>
    <w:rsid w:val="00FC244F"/>
    <w:rsid w:val="00FC453B"/>
    <w:rsid w:val="00FD79DA"/>
    <w:rsid w:val="00FE2ADC"/>
    <w:rsid w:val="00FE5997"/>
    <w:rsid w:val="00FF0950"/>
    <w:rsid w:val="00FF2AB8"/>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character" w:styleId="UnresolvedMention">
    <w:name w:val="Unresolved Mention"/>
    <w:basedOn w:val="DefaultParagraphFont"/>
    <w:uiPriority w:val="99"/>
    <w:semiHidden/>
    <w:unhideWhenUsed/>
    <w:rsid w:val="00D9521E"/>
    <w:rPr>
      <w:color w:val="605E5C"/>
      <w:shd w:val="clear" w:color="auto" w:fill="E1DFDD"/>
    </w:rPr>
  </w:style>
  <w:style w:type="paragraph" w:styleId="ListParagraph">
    <w:name w:val="List Paragraph"/>
    <w:basedOn w:val="Normal"/>
    <w:uiPriority w:val="34"/>
    <w:rsid w:val="00B21A6E"/>
    <w:pPr>
      <w:ind w:left="720"/>
      <w:contextualSpacing/>
    </w:pPr>
  </w:style>
  <w:style w:type="character" w:styleId="FollowedHyperlink">
    <w:name w:val="FollowedHyperlink"/>
    <w:basedOn w:val="DefaultParagraphFont"/>
    <w:uiPriority w:val="99"/>
    <w:semiHidden/>
    <w:unhideWhenUsed/>
    <w:rsid w:val="007169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ande.eryilmaz@odtugunam.org" TargetMode="External"/><Relationship Id="rId18" Type="http://schemas.openxmlformats.org/officeDocument/2006/relationships/image" Target="media/image5.png"/><Relationship Id="rId26" Type="http://schemas.openxmlformats.org/officeDocument/2006/relationships/image" Target="media/image13.jpg"/><Relationship Id="rId39" Type="http://schemas.openxmlformats.org/officeDocument/2006/relationships/hyperlink" Target="https://doi.org/10.1016/j.solener.2022.05.046" TargetMode="External"/><Relationship Id="rId21" Type="http://schemas.openxmlformats.org/officeDocument/2006/relationships/image" Target="media/image8.png"/><Relationship Id="rId34" Type="http://schemas.openxmlformats.org/officeDocument/2006/relationships/hyperlink" Target="https://doi.org/10.1016/j.apenergy.2023.121988" TargetMode="External"/><Relationship Id="rId42" Type="http://schemas.openxmlformats.org/officeDocument/2006/relationships/hyperlink" Target="https://doi.org/10.3390/en15010227"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akagia@cres.gr" TargetMode="External"/><Relationship Id="rId24" Type="http://schemas.openxmlformats.org/officeDocument/2006/relationships/image" Target="media/image11.jpeg"/><Relationship Id="rId32" Type="http://schemas.openxmlformats.org/officeDocument/2006/relationships/hyperlink" Target="https://doi.org/10.2760/208702" TargetMode="External"/><Relationship Id="rId37" Type="http://schemas.openxmlformats.org/officeDocument/2006/relationships/hyperlink" Target="https://doi.org/10.1111/j.1365-3040.2011.02471.x" TargetMode="External"/><Relationship Id="rId40" Type="http://schemas.openxmlformats.org/officeDocument/2006/relationships/hyperlink" Target="https://doi.org/10.3390/en18143877" TargetMode="External"/><Relationship Id="rId45" Type="http://schemas.openxmlformats.org/officeDocument/2006/relationships/hyperlink" Target="https://doi.org/10.1016/j.rser.2023.114277"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hyperlink" Target="https://doi.org/10.1016/j.solener.2023.112146" TargetMode="External"/><Relationship Id="rId10" Type="http://schemas.openxmlformats.org/officeDocument/2006/relationships/hyperlink" Target="mailto:duygu.kuzyaka@odtugunam.org" TargetMode="External"/><Relationship Id="rId19" Type="http://schemas.openxmlformats.org/officeDocument/2006/relationships/image" Target="media/image6.png"/><Relationship Id="rId31" Type="http://schemas.openxmlformats.org/officeDocument/2006/relationships/hyperlink" Target="https://doi.org/10.1186/s12934-018-1019-3" TargetMode="External"/><Relationship Id="rId44" Type="http://schemas.openxmlformats.org/officeDocument/2006/relationships/hyperlink" Target="https://doi.org/10.3389/fsufs.2022.932018" TargetMode="External"/><Relationship Id="rId4" Type="http://schemas.openxmlformats.org/officeDocument/2006/relationships/settings" Target="settings.xml"/><Relationship Id="rId9" Type="http://schemas.openxmlformats.org/officeDocument/2006/relationships/hyperlink" Target="mailto:nkanopoulos@britesolar.com"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hyperlink" Target="https://doi.org/10.1016/j.jag.2022.102724" TargetMode="External"/><Relationship Id="rId35" Type="http://schemas.openxmlformats.org/officeDocument/2006/relationships/hyperlink" Target="https://doi.org/10.1016/j.enbuild.2025.116451" TargetMode="External"/><Relationship Id="rId43" Type="http://schemas.openxmlformats.org/officeDocument/2006/relationships/hyperlink" Target="https://www.ise.fraunhofer.de/en/publications/studies/agrivoltaics-opportunities-for-agriculture-and-the-energy-transition.html" TargetMode="External"/><Relationship Id="rId48" Type="http://schemas.openxmlformats.org/officeDocument/2006/relationships/theme" Target="theme/theme1.xml"/><Relationship Id="rId8" Type="http://schemas.openxmlformats.org/officeDocument/2006/relationships/hyperlink" Target="mailto:vrikos@cres.gr" TargetMode="External"/><Relationship Id="rId3" Type="http://schemas.openxmlformats.org/officeDocument/2006/relationships/styles" Target="styles.xml"/><Relationship Id="rId12" Type="http://schemas.openxmlformats.org/officeDocument/2006/relationships/hyperlink" Target="mailto:drosou@cres.gr"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s://data.europa.eu/doi/10.2834/02074" TargetMode="External"/><Relationship Id="rId38" Type="http://schemas.openxmlformats.org/officeDocument/2006/relationships/hyperlink" Target="https://www.ise.fraunhofer.de/en/publications/studies/cost-of-electricity.html" TargetMode="External"/><Relationship Id="rId46" Type="http://schemas.openxmlformats.org/officeDocument/2006/relationships/hyperlink" Target="https://doi.org/10.1016/j.apenergy.2025.125558" TargetMode="External"/><Relationship Id="rId20" Type="http://schemas.openxmlformats.org/officeDocument/2006/relationships/image" Target="media/image7.png"/><Relationship Id="rId41" Type="http://schemas.openxmlformats.org/officeDocument/2006/relationships/hyperlink" Target="https://doi.org/10.1109/SyNERGYMED62435.2024.1079948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12</Pages>
  <Words>6527</Words>
  <Characters>35250</Characters>
  <Application>Microsoft Office Word</Application>
  <DocSecurity>0</DocSecurity>
  <Lines>293</Lines>
  <Paragraphs>83</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41694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Evangelos Rikos</cp:lastModifiedBy>
  <cp:revision>127</cp:revision>
  <cp:lastPrinted>2023-02-22T18:40:00Z</cp:lastPrinted>
  <dcterms:created xsi:type="dcterms:W3CDTF">2026-09-02T05:47:00Z</dcterms:created>
  <dcterms:modified xsi:type="dcterms:W3CDTF">2026-09-02T07:53:00Z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