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8A7B8B" w:rsidRDefault="004053B5" w:rsidP="00B32703">
      <w:pPr>
        <w:pStyle w:val="SWCTitle"/>
        <w:rPr>
          <w:sz w:val="28"/>
          <w:szCs w:val="28"/>
          <w:lang w:val="en-GB"/>
        </w:rPr>
      </w:pPr>
      <w:r w:rsidRPr="008A7B8B">
        <w:rPr>
          <w:sz w:val="28"/>
          <w:szCs w:val="28"/>
          <w:lang w:val="en-GB"/>
        </w:rPr>
        <w:t>EuroSun</w:t>
      </w:r>
      <w:r w:rsidR="00FC1781" w:rsidRPr="008A7B8B">
        <w:rPr>
          <w:sz w:val="28"/>
          <w:szCs w:val="28"/>
          <w:lang w:val="en-GB"/>
        </w:rPr>
        <w:t>202</w:t>
      </w:r>
      <w:r w:rsidR="00FA4DF8" w:rsidRPr="008A7B8B">
        <w:rPr>
          <w:sz w:val="28"/>
          <w:szCs w:val="28"/>
          <w:lang w:val="en-GB"/>
        </w:rPr>
        <w:t>6</w:t>
      </w:r>
    </w:p>
    <w:p w14:paraId="7142D0DC" w14:textId="6DB05451" w:rsidR="00D32EF0" w:rsidRPr="008A7B8B" w:rsidRDefault="0020508B" w:rsidP="0020508B">
      <w:pPr>
        <w:pStyle w:val="SWCTitle"/>
        <w:rPr>
          <w:sz w:val="28"/>
          <w:szCs w:val="28"/>
          <w:lang w:val="en-GB"/>
        </w:rPr>
      </w:pPr>
      <w:r w:rsidRPr="0020508B">
        <w:rPr>
          <w:sz w:val="28"/>
          <w:szCs w:val="28"/>
          <w:lang w:val="en-GB"/>
        </w:rPr>
        <w:t>AN EVIDENCE-BOUND WORKFLOW FOR FLOATING PHOTOVOLTAIC</w:t>
      </w:r>
      <w:r>
        <w:rPr>
          <w:sz w:val="28"/>
          <w:szCs w:val="28"/>
          <w:lang w:val="en-GB"/>
        </w:rPr>
        <w:t xml:space="preserve"> </w:t>
      </w:r>
      <w:r w:rsidRPr="0020508B">
        <w:rPr>
          <w:sz w:val="28"/>
          <w:szCs w:val="28"/>
          <w:lang w:val="en-GB"/>
        </w:rPr>
        <w:t>SCREENING ONLAKES: APPLICATION TO LAC DU</w:t>
      </w:r>
      <w:r w:rsidR="008A7B8B">
        <w:rPr>
          <w:sz w:val="28"/>
          <w:szCs w:val="28"/>
          <w:lang w:val="en-GB"/>
        </w:rPr>
        <w:t xml:space="preserve"> </w:t>
      </w:r>
      <w:r w:rsidRPr="0020508B">
        <w:rPr>
          <w:sz w:val="28"/>
          <w:szCs w:val="28"/>
          <w:lang w:val="en-GB"/>
        </w:rPr>
        <w:t>BOURGET, FRANCE</w:t>
      </w:r>
    </w:p>
    <w:p w14:paraId="4B3249DD" w14:textId="404712F0" w:rsidR="0C3545CD" w:rsidRPr="008A7B8B" w:rsidRDefault="0C3545CD" w:rsidP="0C3545CD">
      <w:pPr>
        <w:pStyle w:val="SWCTitle"/>
        <w:spacing w:before="0" w:after="0"/>
        <w:jc w:val="left"/>
        <w:rPr>
          <w:rFonts w:ascii="Times New Roman" w:hAnsi="Times New Roman"/>
          <w:b w:val="0"/>
          <w:sz w:val="20"/>
          <w:szCs w:val="20"/>
          <w:lang w:val="en-GB"/>
        </w:rPr>
      </w:pPr>
    </w:p>
    <w:p w14:paraId="5850DC36" w14:textId="3719A70E" w:rsidR="006B3D49" w:rsidRPr="008A7B8B" w:rsidRDefault="000932F5" w:rsidP="000932F5">
      <w:pPr>
        <w:pStyle w:val="SWCTitle"/>
        <w:spacing w:before="0" w:after="0"/>
        <w:jc w:val="left"/>
        <w:rPr>
          <w:rFonts w:ascii="Times New Roman" w:hAnsi="Times New Roman"/>
          <w:b w:val="0"/>
          <w:sz w:val="20"/>
          <w:szCs w:val="20"/>
          <w:lang w:val="en-GB"/>
        </w:rPr>
      </w:pPr>
      <w:r w:rsidRPr="000932F5">
        <w:rPr>
          <w:rFonts w:ascii="Times New Roman" w:hAnsi="Times New Roman"/>
          <w:b w:val="0"/>
          <w:sz w:val="20"/>
          <w:szCs w:val="20"/>
          <w:lang w:val="en-GB"/>
        </w:rPr>
        <w:t>Hosam Mahmod</w:t>
      </w:r>
      <w:r w:rsidRPr="008A7B8B">
        <w:rPr>
          <w:rFonts w:ascii="Times New Roman" w:hAnsi="Times New Roman"/>
          <w:b w:val="0"/>
          <w:sz w:val="20"/>
          <w:szCs w:val="20"/>
          <w:vertAlign w:val="superscript"/>
          <w:lang w:val="en-GB"/>
        </w:rPr>
        <w:t>1</w:t>
      </w:r>
      <w:r w:rsidRPr="000932F5">
        <w:rPr>
          <w:rFonts w:ascii="Times New Roman" w:hAnsi="Times New Roman"/>
          <w:b w:val="0"/>
          <w:color w:val="auto"/>
          <w:lang w:val="en-GB"/>
        </w:rPr>
        <w:t xml:space="preserve"> </w:t>
      </w:r>
      <w:r w:rsidRPr="008A7B8B">
        <w:rPr>
          <w:rFonts w:ascii="Times New Roman" w:hAnsi="Times New Roman"/>
          <w:b w:val="0"/>
          <w:sz w:val="20"/>
          <w:szCs w:val="20"/>
          <w:lang w:val="en-GB"/>
        </w:rPr>
        <w:t>(corresponding author)</w:t>
      </w:r>
      <w:r w:rsidR="0C3545CD" w:rsidRPr="008A7B8B">
        <w:rPr>
          <w:rFonts w:ascii="Times New Roman" w:hAnsi="Times New Roman"/>
          <w:b w:val="0"/>
          <w:sz w:val="20"/>
          <w:szCs w:val="20"/>
          <w:lang w:val="en-GB"/>
        </w:rPr>
        <w:t xml:space="preserve">, </w:t>
      </w:r>
      <w:r w:rsidRPr="000932F5">
        <w:rPr>
          <w:rFonts w:ascii="Times New Roman" w:hAnsi="Times New Roman"/>
          <w:b w:val="0"/>
          <w:sz w:val="20"/>
          <w:szCs w:val="20"/>
          <w:lang w:val="en-GB"/>
        </w:rPr>
        <w:t>Christophe Ménézo</w:t>
      </w:r>
      <w:r w:rsidRPr="00F25E99">
        <w:rPr>
          <w:rFonts w:ascii="Times New Roman" w:hAnsi="Times New Roman"/>
          <w:b w:val="0"/>
          <w:sz w:val="20"/>
          <w:szCs w:val="20"/>
          <w:vertAlign w:val="superscript"/>
          <w:lang w:val="en-GB"/>
        </w:rPr>
        <w:t>1</w:t>
      </w:r>
      <w:r w:rsidR="0C3545CD" w:rsidRPr="008A7B8B">
        <w:rPr>
          <w:rFonts w:ascii="Times New Roman" w:hAnsi="Times New Roman"/>
          <w:b w:val="0"/>
          <w:sz w:val="20"/>
          <w:szCs w:val="20"/>
          <w:lang w:val="en-GB"/>
        </w:rPr>
        <w:t xml:space="preserve"> 2, </w:t>
      </w:r>
      <w:r w:rsidRPr="000932F5">
        <w:rPr>
          <w:rFonts w:ascii="Times New Roman" w:hAnsi="Times New Roman"/>
          <w:b w:val="0"/>
          <w:sz w:val="20"/>
          <w:szCs w:val="20"/>
          <w:lang w:val="en-GB"/>
        </w:rPr>
        <w:t>Martin Thebault</w:t>
      </w:r>
      <w:r w:rsidRPr="00F25E99">
        <w:rPr>
          <w:rFonts w:ascii="Times New Roman" w:hAnsi="Times New Roman"/>
          <w:b w:val="0"/>
          <w:sz w:val="20"/>
          <w:szCs w:val="20"/>
          <w:vertAlign w:val="superscript"/>
          <w:lang w:val="en-GB"/>
        </w:rPr>
        <w:t>1</w:t>
      </w:r>
      <w:r w:rsidR="0C3545CD" w:rsidRPr="008A7B8B">
        <w:rPr>
          <w:rFonts w:ascii="Times New Roman" w:hAnsi="Times New Roman"/>
          <w:b w:val="0"/>
          <w:sz w:val="20"/>
          <w:szCs w:val="20"/>
          <w:lang w:val="en-GB"/>
        </w:rPr>
        <w:t xml:space="preserve"> 3</w:t>
      </w:r>
      <w:r>
        <w:rPr>
          <w:rFonts w:ascii="Times New Roman" w:hAnsi="Times New Roman"/>
          <w:b w:val="0"/>
          <w:sz w:val="20"/>
          <w:szCs w:val="20"/>
          <w:lang w:val="en-GB"/>
        </w:rPr>
        <w:t xml:space="preserve">, </w:t>
      </w:r>
      <w:r w:rsidRPr="000932F5">
        <w:rPr>
          <w:rFonts w:ascii="Times New Roman" w:hAnsi="Times New Roman"/>
          <w:b w:val="0"/>
          <w:sz w:val="20"/>
          <w:szCs w:val="20"/>
          <w:lang w:val="en-GB"/>
        </w:rPr>
        <w:t>Ahmed Elagami</w:t>
      </w:r>
      <w:r>
        <w:rPr>
          <w:rFonts w:ascii="Times New Roman" w:hAnsi="Times New Roman"/>
          <w:b w:val="0"/>
          <w:sz w:val="20"/>
          <w:szCs w:val="20"/>
          <w:vertAlign w:val="superscript"/>
          <w:lang w:val="en-GB"/>
        </w:rPr>
        <w:t>2</w:t>
      </w:r>
      <w:r w:rsidRPr="00F25E99">
        <w:rPr>
          <w:rFonts w:ascii="Times New Roman" w:hAnsi="Times New Roman"/>
          <w:b w:val="0"/>
          <w:sz w:val="20"/>
          <w:szCs w:val="20"/>
          <w:lang w:val="en-GB"/>
        </w:rPr>
        <w:t xml:space="preserve"> </w:t>
      </w:r>
      <w:r>
        <w:rPr>
          <w:rFonts w:ascii="Times New Roman" w:hAnsi="Times New Roman"/>
          <w:b w:val="0"/>
          <w:sz w:val="20"/>
          <w:szCs w:val="20"/>
          <w:lang w:val="en-GB"/>
        </w:rPr>
        <w:t>4</w:t>
      </w:r>
    </w:p>
    <w:p w14:paraId="311CE447" w14:textId="36A23495" w:rsidR="006B3D49" w:rsidRDefault="006B3D49" w:rsidP="000932F5">
      <w:pPr>
        <w:pStyle w:val="SWCTitle"/>
        <w:spacing w:before="0" w:after="0"/>
        <w:jc w:val="left"/>
        <w:rPr>
          <w:rFonts w:ascii="Times New Roman" w:hAnsi="Times New Roman"/>
          <w:b w:val="0"/>
          <w:sz w:val="20"/>
          <w:szCs w:val="22"/>
          <w:lang w:val="fr-FR"/>
        </w:rPr>
      </w:pPr>
      <w:proofErr w:type="gramStart"/>
      <w:r w:rsidRPr="008A7B8B">
        <w:rPr>
          <w:rFonts w:ascii="Times New Roman" w:hAnsi="Times New Roman"/>
          <w:b w:val="0"/>
          <w:sz w:val="20"/>
          <w:szCs w:val="22"/>
          <w:lang w:val="fr-FR"/>
        </w:rPr>
        <w:t>Affiliations</w:t>
      </w:r>
      <w:r w:rsidR="000932F5" w:rsidRPr="008A7B8B">
        <w:rPr>
          <w:rFonts w:ascii="Times New Roman" w:hAnsi="Times New Roman"/>
          <w:b w:val="0"/>
          <w:sz w:val="20"/>
          <w:szCs w:val="22"/>
          <w:lang w:val="fr-FR"/>
        </w:rPr>
        <w:t>:</w:t>
      </w:r>
      <w:proofErr w:type="gramEnd"/>
      <w:r w:rsidR="000932F5" w:rsidRPr="008A7B8B">
        <w:rPr>
          <w:rFonts w:ascii="Times New Roman" w:hAnsi="Times New Roman"/>
          <w:b w:val="0"/>
          <w:sz w:val="20"/>
          <w:szCs w:val="22"/>
          <w:lang w:val="fr-FR"/>
        </w:rPr>
        <w:t xml:space="preserve"> </w:t>
      </w:r>
      <w:r w:rsidR="000932F5">
        <w:rPr>
          <w:rFonts w:ascii="Times New Roman" w:hAnsi="Times New Roman"/>
          <w:b w:val="0"/>
          <w:sz w:val="20"/>
          <w:szCs w:val="22"/>
          <w:vertAlign w:val="superscript"/>
          <w:lang w:val="fr-FR"/>
        </w:rPr>
        <w:t xml:space="preserve">1 </w:t>
      </w:r>
      <w:r w:rsidR="000932F5" w:rsidRPr="008A7B8B">
        <w:rPr>
          <w:rFonts w:ascii="Times New Roman" w:hAnsi="Times New Roman"/>
          <w:b w:val="0"/>
          <w:sz w:val="20"/>
          <w:szCs w:val="22"/>
          <w:lang w:val="fr-FR"/>
        </w:rPr>
        <w:t xml:space="preserve">Solar </w:t>
      </w:r>
      <w:proofErr w:type="spellStart"/>
      <w:r w:rsidR="000932F5" w:rsidRPr="008A7B8B">
        <w:rPr>
          <w:rFonts w:ascii="Times New Roman" w:hAnsi="Times New Roman"/>
          <w:b w:val="0"/>
          <w:sz w:val="20"/>
          <w:szCs w:val="22"/>
          <w:lang w:val="fr-FR"/>
        </w:rPr>
        <w:t>Academy</w:t>
      </w:r>
      <w:proofErr w:type="spellEnd"/>
      <w:r w:rsidR="000932F5" w:rsidRPr="008A7B8B">
        <w:rPr>
          <w:rFonts w:ascii="Times New Roman" w:hAnsi="Times New Roman"/>
          <w:b w:val="0"/>
          <w:sz w:val="20"/>
          <w:szCs w:val="22"/>
          <w:lang w:val="fr-FR"/>
        </w:rPr>
        <w:t xml:space="preserve">, Université Savoie Mont Blanc, Le Bourget-du-Lac, </w:t>
      </w:r>
      <w:r w:rsidR="000932F5">
        <w:rPr>
          <w:rFonts w:ascii="Times New Roman" w:hAnsi="Times New Roman"/>
          <w:b w:val="0"/>
          <w:sz w:val="20"/>
          <w:szCs w:val="22"/>
          <w:lang w:val="fr-FR"/>
        </w:rPr>
        <w:t>France</w:t>
      </w:r>
    </w:p>
    <w:p w14:paraId="2D141E4E" w14:textId="6F0B8B84" w:rsidR="000932F5" w:rsidRPr="008A7B8B" w:rsidRDefault="000932F5" w:rsidP="008A7B8B">
      <w:pPr>
        <w:pStyle w:val="SWCTitle"/>
        <w:spacing w:before="0" w:after="0"/>
        <w:ind w:left="720"/>
        <w:jc w:val="left"/>
        <w:rPr>
          <w:rFonts w:ascii="Times New Roman" w:hAnsi="Times New Roman"/>
          <w:b w:val="0"/>
          <w:sz w:val="20"/>
          <w:szCs w:val="22"/>
          <w:lang w:val="en-GB"/>
        </w:rPr>
      </w:pPr>
      <w:r w:rsidRPr="008A7B8B">
        <w:rPr>
          <w:rFonts w:ascii="Times New Roman" w:hAnsi="Times New Roman"/>
          <w:b w:val="0"/>
          <w:sz w:val="20"/>
          <w:szCs w:val="22"/>
          <w:lang w:val="fr-FR"/>
        </w:rPr>
        <w:t xml:space="preserve">      </w:t>
      </w:r>
      <w:r w:rsidRPr="008A7B8B">
        <w:rPr>
          <w:rFonts w:ascii="Times New Roman" w:hAnsi="Times New Roman"/>
          <w:b w:val="0"/>
          <w:sz w:val="20"/>
          <w:szCs w:val="22"/>
          <w:vertAlign w:val="superscript"/>
          <w:lang w:val="en-GB"/>
        </w:rPr>
        <w:t xml:space="preserve">2 </w:t>
      </w:r>
      <w:r w:rsidR="007C7EE3">
        <w:rPr>
          <w:rFonts w:ascii="Times New Roman" w:hAnsi="Times New Roman"/>
          <w:b w:val="0"/>
          <w:sz w:val="20"/>
          <w:szCs w:val="22"/>
          <w:lang w:val="en-GB"/>
        </w:rPr>
        <w:t xml:space="preserve">Faculty of Informatics, </w:t>
      </w:r>
      <w:r w:rsidR="0098525C" w:rsidRPr="008A7B8B">
        <w:rPr>
          <w:rFonts w:ascii="Times New Roman" w:hAnsi="Times New Roman"/>
          <w:b w:val="0"/>
          <w:sz w:val="20"/>
          <w:szCs w:val="22"/>
          <w:lang w:val="en-GB"/>
        </w:rPr>
        <w:t>Eötvös Loránd University</w:t>
      </w:r>
      <w:r w:rsidRPr="008A7B8B">
        <w:rPr>
          <w:rFonts w:ascii="Times New Roman" w:hAnsi="Times New Roman"/>
          <w:b w:val="0"/>
          <w:sz w:val="20"/>
          <w:szCs w:val="22"/>
          <w:lang w:val="en-GB"/>
        </w:rPr>
        <w:t xml:space="preserve">, </w:t>
      </w:r>
      <w:r w:rsidR="0098525C" w:rsidRPr="0098525C">
        <w:rPr>
          <w:rFonts w:ascii="Times New Roman" w:hAnsi="Times New Roman"/>
          <w:b w:val="0"/>
          <w:sz w:val="20"/>
          <w:szCs w:val="22"/>
          <w:lang w:val="en-GB"/>
        </w:rPr>
        <w:t>Budapest</w:t>
      </w:r>
      <w:r w:rsidRPr="008A7B8B">
        <w:rPr>
          <w:rFonts w:ascii="Times New Roman" w:hAnsi="Times New Roman"/>
          <w:b w:val="0"/>
          <w:sz w:val="20"/>
          <w:szCs w:val="22"/>
          <w:lang w:val="en-GB"/>
        </w:rPr>
        <w:t xml:space="preserve">, </w:t>
      </w:r>
      <w:r w:rsidR="0098525C" w:rsidRPr="008A7B8B">
        <w:rPr>
          <w:rFonts w:ascii="Times New Roman" w:hAnsi="Times New Roman"/>
          <w:b w:val="0"/>
          <w:sz w:val="20"/>
          <w:szCs w:val="22"/>
          <w:lang w:val="en-GB"/>
        </w:rPr>
        <w:t>Hungary</w:t>
      </w:r>
    </w:p>
    <w:p w14:paraId="18FA38F1" w14:textId="259A8448" w:rsidR="006B3D49" w:rsidRPr="008A7B8B" w:rsidRDefault="0098525C" w:rsidP="00E917F8">
      <w:pPr>
        <w:pStyle w:val="SWCTitle"/>
        <w:spacing w:before="0" w:after="0"/>
        <w:jc w:val="left"/>
        <w:rPr>
          <w:rFonts w:ascii="Times New Roman" w:hAnsi="Times New Roman"/>
          <w:b w:val="0"/>
          <w:sz w:val="20"/>
          <w:szCs w:val="22"/>
          <w:lang w:val="en-GB"/>
        </w:rPr>
      </w:pPr>
      <w:r w:rsidRPr="0098525C">
        <w:rPr>
          <w:rFonts w:ascii="Times New Roman" w:hAnsi="Times New Roman"/>
          <w:b w:val="0"/>
          <w:sz w:val="20"/>
          <w:szCs w:val="22"/>
          <w:lang w:val="en-GB"/>
        </w:rPr>
        <w:t>Corresponding author</w:t>
      </w:r>
      <w:r>
        <w:rPr>
          <w:rFonts w:ascii="Times New Roman" w:hAnsi="Times New Roman"/>
          <w:b w:val="0"/>
          <w:sz w:val="20"/>
          <w:szCs w:val="22"/>
          <w:lang w:val="en-GB"/>
        </w:rPr>
        <w:t xml:space="preserve">’s </w:t>
      </w:r>
      <w:r w:rsidR="006B3D49" w:rsidRPr="008A7B8B">
        <w:rPr>
          <w:rFonts w:ascii="Times New Roman" w:hAnsi="Times New Roman"/>
          <w:b w:val="0"/>
          <w:sz w:val="20"/>
          <w:szCs w:val="22"/>
          <w:lang w:val="en-GB"/>
        </w:rPr>
        <w:t>Email</w:t>
      </w:r>
      <w:r>
        <w:rPr>
          <w:rFonts w:ascii="Times New Roman" w:hAnsi="Times New Roman"/>
          <w:b w:val="0"/>
          <w:sz w:val="20"/>
          <w:szCs w:val="22"/>
          <w:lang w:val="en-GB"/>
        </w:rPr>
        <w:t xml:space="preserve">: </w:t>
      </w:r>
      <w:r w:rsidRPr="0098525C">
        <w:rPr>
          <w:rFonts w:ascii="Times New Roman" w:hAnsi="Times New Roman"/>
          <w:b w:val="0"/>
          <w:sz w:val="20"/>
          <w:szCs w:val="22"/>
          <w:lang w:val="en-GB"/>
        </w:rPr>
        <w:t>hosam.mahmod@etu.univ-smb.fr</w:t>
      </w:r>
    </w:p>
    <w:p w14:paraId="3A7DF4B5" w14:textId="6F51DBA9" w:rsidR="001A775B" w:rsidRPr="008A7B8B" w:rsidRDefault="0C3545CD" w:rsidP="0C3545CD">
      <w:pPr>
        <w:pStyle w:val="SWCSummary"/>
        <w:pBdr>
          <w:bottom w:val="single" w:sz="6" w:space="1" w:color="auto"/>
        </w:pBdr>
        <w:rPr>
          <w:lang w:val="en-GB"/>
        </w:rPr>
      </w:pPr>
      <w:r w:rsidRPr="008A7B8B">
        <w:rPr>
          <w:lang w:val="en-GB"/>
        </w:rPr>
        <w:t>Summary</w:t>
      </w:r>
    </w:p>
    <w:p w14:paraId="5AB3A3E7" w14:textId="064D9DA2" w:rsidR="00DB52E7" w:rsidRPr="008A7B8B" w:rsidRDefault="00DF1431" w:rsidP="00DF1431">
      <w:pPr>
        <w:pStyle w:val="SWCText"/>
        <w:pBdr>
          <w:bottom w:val="single" w:sz="6" w:space="1" w:color="auto"/>
        </w:pBdr>
        <w:rPr>
          <w:i/>
          <w:iCs/>
          <w:lang w:val="en-GB"/>
        </w:rPr>
      </w:pPr>
      <w:r w:rsidRPr="005B3651">
        <w:rPr>
          <w:lang w:val="en-GB"/>
        </w:rPr>
        <w:t xml:space="preserve">Floating photovoltaic (FPV) systems are expanding </w:t>
      </w:r>
      <w:proofErr w:type="gramStart"/>
      <w:r w:rsidRPr="005B3651">
        <w:rPr>
          <w:lang w:val="en-GB"/>
        </w:rPr>
        <w:t>as a way to</w:t>
      </w:r>
      <w:proofErr w:type="gramEnd"/>
      <w:r w:rsidRPr="005B3651">
        <w:rPr>
          <w:lang w:val="en-GB"/>
        </w:rPr>
        <w:t xml:space="preserve"> increase renewable electricity production without using additional land. However, evaluating FPV on lakes requires more than estimating photovoltaic yield. Changes in surface radiation and near-surface wind may affect lake temperature, vertical mixing, stratification, evaporation, and water quality. These effects are difficult to assess because they depend on lake characteristics, FPV coverage, system design, and the quality of the available local evidence. This paper presents an evidence-bound research software workflow for integrating lake observations, hydrometeorological data, lake-temperature modelling, FPV sensitivity scenarios, and photovoltaic energy calculations. The workflow was tested using Lac du Bourget, France, which has long-term observations of water temperature, oxygen, chemistry, phytoplankton, chlorophyll, transparency, and primary production, together with hydrological and meteorological records. The General Lake Model was evaluated at Point B using withheld observations and a separate no-refit 2015–2017 run. The later evaluation produced a pooled temperature RMSE of 0.534 °C, while the upper 0–5 m had an RMSE of 1.429 °C. FPV scenarios from 1% to 30% coverage were then simulated using transferred shading and wind-reduction parameters. At 30% central coverage, the model produced approximately −1.50 °C surface-temperature change, −0.82 °C volume-weighted change, and 27 fewer stratified days. PVGIS and </w:t>
      </w:r>
      <w:proofErr w:type="spellStart"/>
      <w:r w:rsidRPr="005B3651">
        <w:rPr>
          <w:lang w:val="en-GB"/>
        </w:rPr>
        <w:t>PySAM</w:t>
      </w:r>
      <w:proofErr w:type="spellEnd"/>
      <w:r w:rsidRPr="005B3651">
        <w:rPr>
          <w:lang w:val="en-GB"/>
        </w:rPr>
        <w:t xml:space="preserve"> annual energy estimates differed by 0.046%, confirming calculation consistency rather than independent yield accuracy. The results demonstrate the value of the workflow for reproducible FPV screening. The analysis also identifies the limits of model-based prediction, including the absence of local FPV measurements, validated evaporation suppression, causal ecological and methane assessments, and construction-grade engineering </w:t>
      </w:r>
      <w:proofErr w:type="spellStart"/>
      <w:r w:rsidRPr="005B3651">
        <w:rPr>
          <w:lang w:val="en-GB"/>
        </w:rPr>
        <w:t>data.</w:t>
      </w:r>
      <w:r w:rsidRPr="008A7B8B">
        <w:rPr>
          <w:i/>
          <w:iCs/>
          <w:lang w:val="en-GB"/>
        </w:rPr>
        <w:t>K</w:t>
      </w:r>
      <w:r w:rsidR="00DB52E7" w:rsidRPr="008A7B8B">
        <w:rPr>
          <w:i/>
          <w:iCs/>
          <w:lang w:val="en-GB"/>
        </w:rPr>
        <w:t>eywords</w:t>
      </w:r>
      <w:proofErr w:type="spellEnd"/>
      <w:r w:rsidRPr="008A7B8B">
        <w:rPr>
          <w:i/>
          <w:iCs/>
          <w:lang w:val="en-GB"/>
        </w:rPr>
        <w:t>: Floating photovoltaic, Lac du Bourget, lake thermal modelling, General Lake Model, FPV sensitivity analysis, lake stratification, evaporation, reproducible screening</w:t>
      </w:r>
      <w:r w:rsidRPr="005B3651">
        <w:rPr>
          <w:i/>
          <w:iCs/>
          <w:lang w:val="en-GB"/>
        </w:rPr>
        <w:t>.</w:t>
      </w:r>
    </w:p>
    <w:p w14:paraId="01458796" w14:textId="13409B77" w:rsidR="00FA4DF8" w:rsidRPr="008A7B8B" w:rsidRDefault="002C089D" w:rsidP="00DF1431">
      <w:pPr>
        <w:pStyle w:val="SWCText"/>
        <w:pBdr>
          <w:bottom w:val="single" w:sz="6" w:space="1" w:color="auto"/>
        </w:pBdr>
        <w:rPr>
          <w:i/>
          <w:iCs/>
          <w:lang w:val="en-GB"/>
        </w:rPr>
      </w:pPr>
      <w:r w:rsidRPr="008A7B8B">
        <w:rPr>
          <w:i/>
          <w:iCs/>
          <w:lang w:val="en-GB"/>
        </w:rPr>
        <w:t>Field of application for the findings:</w:t>
      </w:r>
      <w:r w:rsidR="00DF1431" w:rsidRPr="008A7B8B">
        <w:rPr>
          <w:color w:val="auto"/>
          <w:sz w:val="24"/>
          <w:szCs w:val="24"/>
          <w:lang w:val="en-GB"/>
        </w:rPr>
        <w:t xml:space="preserve"> </w:t>
      </w:r>
      <w:r w:rsidR="00DF1431" w:rsidRPr="008A7B8B">
        <w:rPr>
          <w:i/>
          <w:iCs/>
          <w:lang w:val="en-GB"/>
        </w:rPr>
        <w:t>Floating photovoltaic planning, renewable-energy assessment, and environmental screening of inland lakes using thermal, hydrological, and ecological evidence.</w:t>
      </w:r>
    </w:p>
    <w:p w14:paraId="185A319D" w14:textId="465B04EF" w:rsidR="002C089D" w:rsidRPr="008A7B8B" w:rsidRDefault="00CC3B0C" w:rsidP="00DF1431">
      <w:pPr>
        <w:pStyle w:val="SWCText"/>
        <w:pBdr>
          <w:bottom w:val="single" w:sz="6" w:space="1" w:color="auto"/>
        </w:pBdr>
        <w:rPr>
          <w:i/>
          <w:iCs/>
          <w:lang w:val="en-GB"/>
        </w:rPr>
      </w:pPr>
      <w:r w:rsidRPr="008A7B8B">
        <w:rPr>
          <w:i/>
          <w:iCs/>
          <w:lang w:val="en-GB"/>
        </w:rPr>
        <w:t>Addressed audience:</w:t>
      </w:r>
      <w:r w:rsidR="00DF1431" w:rsidRPr="008A7B8B">
        <w:rPr>
          <w:color w:val="auto"/>
          <w:sz w:val="24"/>
          <w:szCs w:val="24"/>
          <w:lang w:val="en-GB"/>
        </w:rPr>
        <w:t xml:space="preserve"> </w:t>
      </w:r>
      <w:r w:rsidR="00DF1431" w:rsidRPr="008A7B8B">
        <w:rPr>
          <w:i/>
          <w:iCs/>
          <w:lang w:val="en-GB"/>
        </w:rPr>
        <w:t>Researchers in solar energy and limnology, FPV developers, lake and water-resource managers, environmental authorities, and engineers conducting early-stage FPV feasibility studies.</w:t>
      </w:r>
    </w:p>
    <w:p w14:paraId="399F2D0B" w14:textId="3DC3AE55" w:rsidR="00AD15BD" w:rsidRPr="008A7B8B" w:rsidRDefault="0C3545CD" w:rsidP="00223709">
      <w:pPr>
        <w:pStyle w:val="SWCHeading1"/>
        <w:rPr>
          <w:lang w:val="en-GB"/>
        </w:rPr>
      </w:pPr>
      <w:r w:rsidRPr="008A7B8B">
        <w:rPr>
          <w:lang w:val="en-GB"/>
        </w:rPr>
        <w:t>Introduction</w:t>
      </w:r>
    </w:p>
    <w:p w14:paraId="05E0AC12" w14:textId="4518B5B3" w:rsidR="00AD15BD" w:rsidRPr="005B3651" w:rsidRDefault="00AD15BD" w:rsidP="00AD15BD">
      <w:pPr>
        <w:pStyle w:val="SWCText"/>
        <w:rPr>
          <w:lang w:val="en-GB"/>
        </w:rPr>
      </w:pPr>
      <w:r w:rsidRPr="005B3651">
        <w:rPr>
          <w:lang w:val="en-GB"/>
        </w:rPr>
        <w:t xml:space="preserve">Floating photovoltaic (FPV) systems are expanding </w:t>
      </w:r>
      <w:proofErr w:type="gramStart"/>
      <w:r w:rsidRPr="005B3651">
        <w:rPr>
          <w:lang w:val="en-GB"/>
        </w:rPr>
        <w:t>as a way to</w:t>
      </w:r>
      <w:proofErr w:type="gramEnd"/>
      <w:r w:rsidRPr="005B3651">
        <w:rPr>
          <w:lang w:val="en-GB"/>
        </w:rPr>
        <w:t xml:space="preserve"> increase renewable electricity generation while using water surfaces instead of additional land. Their potential benefits include electricity production, possible reductions in evaporation, and, in some cases, reduced exposure of water bodies to climate-induced warming. However, the environmental response of an FPV system depends strongly on the characteristics of the host water body and on the design and coverage of the installation (</w:t>
      </w:r>
      <w:hyperlink w:anchor="Ref1" w:history="1">
        <w:r w:rsidRPr="000A35A8">
          <w:rPr>
            <w:rStyle w:val="Hyperlink"/>
            <w:lang w:val="en-GB"/>
          </w:rPr>
          <w:t>Exley et al., 2025</w:t>
        </w:r>
      </w:hyperlink>
      <w:r w:rsidRPr="005B3651">
        <w:rPr>
          <w:lang w:val="en-GB"/>
        </w:rPr>
        <w:t>).</w:t>
      </w:r>
    </w:p>
    <w:p w14:paraId="1735EDB5" w14:textId="01ED62D5" w:rsidR="00AD15BD" w:rsidRPr="005B3651" w:rsidRDefault="00AD15BD" w:rsidP="00AD15BD">
      <w:pPr>
        <w:pStyle w:val="SWCText"/>
        <w:rPr>
          <w:lang w:val="en-GB"/>
        </w:rPr>
      </w:pPr>
      <w:r w:rsidRPr="005B3651">
        <w:rPr>
          <w:lang w:val="en-GB"/>
        </w:rPr>
        <w:t>A lake is not simply a platform for photovoltaic modules. FPV structures can reduce incoming solar radiation and near-surface wind, changing the surface energy balance and the physical exchange between the atmosphere and the water. These changes may affect surface temperature, vertical mixing, thermocline depth, stratification duration, and evaporation (</w:t>
      </w:r>
      <w:hyperlink w:anchor="Ref2" w:history="1">
        <w:r w:rsidRPr="000A35A8">
          <w:rPr>
            <w:rStyle w:val="Hyperlink"/>
            <w:lang w:val="en-GB"/>
          </w:rPr>
          <w:t>Ilgen et al., 2023</w:t>
        </w:r>
      </w:hyperlink>
      <w:r w:rsidRPr="005B3651">
        <w:rPr>
          <w:lang w:val="en-GB"/>
        </w:rPr>
        <w:t xml:space="preserve">). The consequences may also extend to water quality and ecology. For example, recent field observations in a shallow reservoir associated FPV coverage with changes in benthic </w:t>
      </w:r>
      <w:r w:rsidRPr="005B3651">
        <w:rPr>
          <w:lang w:val="en-GB"/>
        </w:rPr>
        <w:lastRenderedPageBreak/>
        <w:t>algae and cyanobacteria, showing that ecological responses cannot be inferred from energy production alone (</w:t>
      </w:r>
      <w:hyperlink w:anchor="Ref3" w:history="1">
        <w:r w:rsidRPr="00B1611A">
          <w:rPr>
            <w:rStyle w:val="Hyperlink"/>
            <w:lang w:val="en-GB"/>
          </w:rPr>
          <w:t>Sandrini et al., 2025</w:t>
        </w:r>
      </w:hyperlink>
      <w:r w:rsidRPr="005B3651">
        <w:rPr>
          <w:lang w:val="en-GB"/>
        </w:rPr>
        <w:t>).</w:t>
      </w:r>
    </w:p>
    <w:p w14:paraId="0AECF0F4" w14:textId="6DCB6C58" w:rsidR="00AD15BD" w:rsidRPr="005B3651" w:rsidRDefault="00AD15BD" w:rsidP="00AD15BD">
      <w:pPr>
        <w:pStyle w:val="SWCText"/>
        <w:rPr>
          <w:lang w:val="en-GB"/>
        </w:rPr>
      </w:pPr>
      <w:r w:rsidRPr="005B3651">
        <w:rPr>
          <w:lang w:val="en-GB"/>
        </w:rPr>
        <w:t xml:space="preserve">Previous studies have used numerical lake models to examine the effects of FPV coverage on temperature, stratification, evaporation, and water quality. </w:t>
      </w:r>
      <w:hyperlink w:anchor="Ref2" w:history="1">
        <w:r w:rsidRPr="000A35A8">
          <w:rPr>
            <w:rStyle w:val="Hyperlink"/>
            <w:lang w:val="en-GB"/>
          </w:rPr>
          <w:t>Ilgen et al. (2023)</w:t>
        </w:r>
      </w:hyperlink>
      <w:r w:rsidRPr="005B3651">
        <w:rPr>
          <w:lang w:val="en-GB"/>
        </w:rPr>
        <w:t xml:space="preserve"> combined field observations and the General Lake Model (</w:t>
      </w:r>
      <w:hyperlink w:anchor="Ref16" w:history="1">
        <w:r w:rsidRPr="00EB35FF">
          <w:rPr>
            <w:rStyle w:val="Hyperlink"/>
            <w:lang w:val="en-GB"/>
          </w:rPr>
          <w:t>GLM</w:t>
        </w:r>
      </w:hyperlink>
      <w:r w:rsidRPr="005B3651">
        <w:rPr>
          <w:lang w:val="en-GB"/>
        </w:rPr>
        <w:t>) to investigate FPV-related changes in lake temperature and stratification. The study measured reductions in irradiance and near-surface wind beneath and around the FPV system, then represented these effects in model scenarios. Other modelling work has shown that the response to FPV coverage can vary with season, climate conditions, and the amount of surface covered (</w:t>
      </w:r>
      <w:hyperlink w:anchor="Ref1" w:history="1">
        <w:r w:rsidRPr="000A35A8">
          <w:rPr>
            <w:rStyle w:val="Hyperlink"/>
            <w:lang w:val="en-GB"/>
          </w:rPr>
          <w:t>Exley et al., 2025</w:t>
        </w:r>
      </w:hyperlink>
      <w:r w:rsidRPr="005B3651">
        <w:rPr>
          <w:lang w:val="en-GB"/>
        </w:rPr>
        <w:t>). Evaporation studies have also shown that coverage ratio is important, while the effects of layout, orientation, wind, and plant geometry remain dependent on the modelling assumptions and require further validation (</w:t>
      </w:r>
      <w:proofErr w:type="spellStart"/>
      <w:r w:rsidR="00B1611A">
        <w:rPr>
          <w:lang w:val="en-GB"/>
        </w:rPr>
        <w:fldChar w:fldCharType="begin"/>
      </w:r>
      <w:r w:rsidR="00B1611A">
        <w:rPr>
          <w:lang w:val="en-GB"/>
        </w:rPr>
        <w:instrText>HYPERLINK  \l "Ref4"</w:instrText>
      </w:r>
      <w:r w:rsidR="00B1611A">
        <w:rPr>
          <w:lang w:val="en-GB"/>
        </w:rPr>
      </w:r>
      <w:r w:rsidR="00B1611A">
        <w:rPr>
          <w:lang w:val="en-GB"/>
        </w:rPr>
        <w:fldChar w:fldCharType="separate"/>
      </w:r>
      <w:r w:rsidRPr="00B1611A">
        <w:rPr>
          <w:rStyle w:val="Hyperlink"/>
          <w:lang w:val="en-GB"/>
        </w:rPr>
        <w:t>Berlioux</w:t>
      </w:r>
      <w:proofErr w:type="spellEnd"/>
      <w:r w:rsidRPr="00B1611A">
        <w:rPr>
          <w:rStyle w:val="Hyperlink"/>
          <w:lang w:val="en-GB"/>
        </w:rPr>
        <w:t xml:space="preserve"> et al., 2025</w:t>
      </w:r>
      <w:r w:rsidR="00B1611A">
        <w:rPr>
          <w:lang w:val="en-GB"/>
        </w:rPr>
        <w:fldChar w:fldCharType="end"/>
      </w:r>
      <w:r w:rsidRPr="005B3651">
        <w:rPr>
          <w:lang w:val="en-GB"/>
        </w:rPr>
        <w:t>).</w:t>
      </w:r>
    </w:p>
    <w:p w14:paraId="3EE47CF5" w14:textId="77777777" w:rsidR="00AD15BD" w:rsidRPr="005B3651" w:rsidRDefault="00AD15BD" w:rsidP="00AD15BD">
      <w:pPr>
        <w:pStyle w:val="SWCText"/>
        <w:rPr>
          <w:lang w:val="en-GB"/>
        </w:rPr>
      </w:pPr>
      <w:r w:rsidRPr="005B3651">
        <w:rPr>
          <w:lang w:val="en-GB"/>
        </w:rPr>
        <w:t>These studies demonstrate the value of modelling, but they also reveal an important methodological problem. The field does not lack individual models. GLM can simulate lake thermal and hydrological behaviour, while other tools can estimate photovoltaic production or calculate physical lake diagnostics. The practical gap is the lack of an integrated, evidence-bound workflow that connects local observations, data-quality control, lake-model evaluation, transferred FPV parameters, energy calculations, and explicit limits on the claims that can be made. This gap is especially important when results from one lake are transferred to another lake without local FPV measurements.</w:t>
      </w:r>
    </w:p>
    <w:p w14:paraId="5E9AA54F" w14:textId="77777777" w:rsidR="00AD15BD" w:rsidRPr="005B3651" w:rsidRDefault="00AD15BD" w:rsidP="00AD15BD">
      <w:pPr>
        <w:pStyle w:val="SWCText"/>
        <w:rPr>
          <w:lang w:val="en-GB"/>
        </w:rPr>
      </w:pPr>
      <w:r w:rsidRPr="005B3651">
        <w:rPr>
          <w:lang w:val="en-GB"/>
        </w:rPr>
        <w:t>Lac du Bourget provides a suitable case study for addressing this problem. It is supported by long-term observations of temperature, oxygen, chemistry, phytoplankton, chlorophyll, transparency, and primary production, together with lake-level, tributary-flow, meteorological, and published thermal-model evidence. These data allow FPV scenarios to be evaluated against an existing observational record rather than against a generic or completely unmeasured lake.</w:t>
      </w:r>
    </w:p>
    <w:p w14:paraId="6DC4AD86" w14:textId="537EE8FA" w:rsidR="00AD15BD" w:rsidRPr="005B3651" w:rsidRDefault="00AD15BD" w:rsidP="005B3651">
      <w:pPr>
        <w:pStyle w:val="SWCText"/>
        <w:rPr>
          <w:lang w:val="en-GB"/>
        </w:rPr>
      </w:pPr>
      <w:r w:rsidRPr="005B3651">
        <w:rPr>
          <w:lang w:val="en-GB"/>
        </w:rPr>
        <w:t xml:space="preserve">This paper presents and tests a reproducible research software workflow for evidence-bound FPV screening at Lac du Bourget. The workflow integrates public and supplied observations, quality control, the GLM open-water temperature model, transferred FPV shading and wind-reduction scenarios, </w:t>
      </w:r>
      <w:r w:rsidR="005B3651" w:rsidRPr="008A7B8B">
        <w:rPr>
          <w:lang w:val="en-GB"/>
        </w:rPr>
        <w:t>a retained but unpromoted evaporation diagnostic</w:t>
      </w:r>
      <w:r w:rsidRPr="005B3651">
        <w:rPr>
          <w:lang w:val="en-GB"/>
        </w:rPr>
        <w:t>, and photovoltaic energy calculations. The study evaluates the performance of the open-water thermal model and examines the simulated response to different FPV coverage levels. It does not attempt to define a universal optimum or present transferred scenario results as measured Bourget impacts. Instead, it identifies which conclusions are supported by the available evidence and which require local environmental measurements or engineering investigations.</w:t>
      </w:r>
    </w:p>
    <w:p w14:paraId="378F0C31" w14:textId="11043608" w:rsidR="00D32EF0" w:rsidRPr="008A7B8B" w:rsidRDefault="00223709" w:rsidP="00223709">
      <w:pPr>
        <w:pStyle w:val="SWCHeading1"/>
        <w:rPr>
          <w:lang w:val="en-GB"/>
        </w:rPr>
      </w:pPr>
      <w:r w:rsidRPr="008A7B8B">
        <w:rPr>
          <w:lang w:val="en-GB"/>
        </w:rPr>
        <w:t>Aim and scope</w:t>
      </w:r>
    </w:p>
    <w:p w14:paraId="67100514" w14:textId="53E45284" w:rsidR="005B3651" w:rsidRPr="005B3651" w:rsidRDefault="005B3651" w:rsidP="005B3651">
      <w:pPr>
        <w:pStyle w:val="SWCText"/>
        <w:rPr>
          <w:lang w:val="en-GB"/>
        </w:rPr>
      </w:pPr>
      <w:r w:rsidRPr="005B3651">
        <w:rPr>
          <w:lang w:val="en-GB"/>
        </w:rPr>
        <w:t>This case study aims to develop a software model that can acquire evidence from real public, supplied observations and observed-data inventory for Lac du Bourget to be normalized and replayed with source level provenance, then analyse, classify and calibrate those data into findings, then finally evaluate and run bounded screening scenarios to stand on those findings quality, missing gaps and needed data packages to close those gaps; to be given to the user as an initial FPV screening aid. It does not mean that the proposed FPV project is environmentally approved, technically designed, financeable, or authorized.</w:t>
      </w:r>
    </w:p>
    <w:p w14:paraId="7CCD7B18" w14:textId="77777777" w:rsidR="005B3651" w:rsidRDefault="005B3651" w:rsidP="005B3651">
      <w:pPr>
        <w:pStyle w:val="SWCText"/>
        <w:rPr>
          <w:lang w:val="en-GB"/>
        </w:rPr>
      </w:pPr>
      <w:r w:rsidRPr="005B3651">
        <w:rPr>
          <w:lang w:val="en-GB"/>
        </w:rPr>
        <w:t>This paper introduces the FPV software workflow and its first conformance lake together, because neither is meaningful alone. A claim-limiting architecture that has never been run against real observations is untested, and a single-lake model result without a stated evidence boundary is not transferable. The workflow spans eleven scientific domains; geometry, morphology, thermal physics, photovoltaic energy, evaporation, water quality, ecology, carbon and methane, metocean loading, mooring and geotechnics, and economics of which only a subset can be supported by the evidence currently available for Lac du Bourget. Which domains return results and which return refusals is itself reported as a result in Section 4.6.</w:t>
      </w:r>
    </w:p>
    <w:p w14:paraId="15F7DE49" w14:textId="7F1230AC" w:rsidR="005B3651" w:rsidRPr="005B3651" w:rsidRDefault="005B3651" w:rsidP="005B3651">
      <w:pPr>
        <w:pStyle w:val="SWCHeading1"/>
      </w:pPr>
      <w:r w:rsidRPr="005B3651">
        <w:t>Methodology</w:t>
      </w:r>
    </w:p>
    <w:p w14:paraId="699B29C1" w14:textId="3E08216E" w:rsidR="00954171" w:rsidRDefault="00215826" w:rsidP="00215826">
      <w:pPr>
        <w:pStyle w:val="SWCText"/>
        <w:rPr>
          <w:rFonts w:asciiTheme="minorBidi" w:hAnsiTheme="minorBidi" w:cstheme="minorBidi"/>
          <w:i/>
          <w:iCs/>
          <w:lang w:val="en-GB"/>
        </w:rPr>
      </w:pPr>
      <w:r w:rsidRPr="00215826">
        <w:rPr>
          <w:rFonts w:asciiTheme="minorBidi" w:hAnsiTheme="minorBidi" w:cstheme="minorBidi"/>
          <w:i/>
          <w:iCs/>
          <w:lang w:val="en-GB"/>
        </w:rPr>
        <w:t>3.</w:t>
      </w:r>
      <w:r>
        <w:rPr>
          <w:rFonts w:asciiTheme="minorBidi" w:hAnsiTheme="minorBidi" w:cstheme="minorBidi"/>
          <w:i/>
          <w:iCs/>
          <w:lang w:val="en-GB"/>
        </w:rPr>
        <w:t>1</w:t>
      </w:r>
      <w:r w:rsidRPr="00215826">
        <w:rPr>
          <w:rFonts w:asciiTheme="minorBidi" w:hAnsiTheme="minorBidi" w:cstheme="minorBidi"/>
          <w:i/>
          <w:iCs/>
          <w:lang w:val="en-GB"/>
        </w:rPr>
        <w:t>.</w:t>
      </w:r>
      <w:r>
        <w:rPr>
          <w:rFonts w:asciiTheme="minorBidi" w:hAnsiTheme="minorBidi" w:cstheme="minorBidi"/>
          <w:i/>
          <w:iCs/>
          <w:lang w:val="en-GB"/>
        </w:rPr>
        <w:t xml:space="preserve"> </w:t>
      </w:r>
      <w:r w:rsidR="00954171" w:rsidRPr="00954171">
        <w:rPr>
          <w:rFonts w:asciiTheme="minorBidi" w:hAnsiTheme="minorBidi" w:cstheme="minorBidi"/>
          <w:i/>
          <w:iCs/>
          <w:lang w:val="en-GB"/>
        </w:rPr>
        <w:t>Workflow architecture</w:t>
      </w:r>
    </w:p>
    <w:p w14:paraId="6BF9FA8B" w14:textId="77777777" w:rsidR="00B931BD" w:rsidRPr="00B931BD" w:rsidRDefault="00B931BD" w:rsidP="00B931BD">
      <w:pPr>
        <w:pStyle w:val="SWCText"/>
        <w:rPr>
          <w:lang w:val="en-GB"/>
        </w:rPr>
      </w:pPr>
      <w:r w:rsidRPr="00B931BD">
        <w:rPr>
          <w:lang w:val="en-GB"/>
        </w:rPr>
        <w:t xml:space="preserve">The workflow is organised as four planes bound by a single evidence contract. Source plugins acquire observations </w:t>
      </w:r>
      <w:r w:rsidRPr="00B931BD">
        <w:rPr>
          <w:lang w:val="en-GB"/>
        </w:rPr>
        <w:lastRenderedPageBreak/>
        <w:t xml:space="preserve">from public and supplied providers and preserve the original response bytes. Lake packs bind site-specific knowledge: canonical identity and aliases, shoreline geometry, gauge and tributary identifiers, provider mappings, coordinate and datum transformations, accepted parameter sets, and validation datasets. Topic plugins hold scientific methods that remain independently replaceable, so that a missing dataset in one domain does not block an unrelated domain. Mature external engines perform the numerical work wherever a maintained implementation exists. </w:t>
      </w:r>
    </w:p>
    <w:p w14:paraId="700D9670" w14:textId="77777777" w:rsidR="00B931BD" w:rsidRPr="00B931BD" w:rsidRDefault="00B931BD" w:rsidP="00B931BD">
      <w:pPr>
        <w:pStyle w:val="SWCText"/>
        <w:rPr>
          <w:lang w:val="en-GB"/>
        </w:rPr>
      </w:pPr>
      <w:r w:rsidRPr="00B931BD">
        <w:rPr>
          <w:lang w:val="en-GB"/>
        </w:rPr>
        <w:t>The execution boundary between languages is explicit: typed orchestration, schemas and resource policy in TypeScript produce an immutable request with content-addressed inputs; a pinned Python or compiled numerical core executes it; the returned artefact is verified against its schema and digest; and only then does it become a claim-bounded result. A research agent may discover sources, explain gaps, stage captures and propose adapters, but it cannot manufacture observations, bypass validation, or promote a candidate plugin. Deterministic gates make that decision.</w:t>
      </w:r>
    </w:p>
    <w:p w14:paraId="55C0AA55" w14:textId="1EA54151" w:rsidR="005B3651" w:rsidRDefault="00B931BD" w:rsidP="005B3651">
      <w:pPr>
        <w:pStyle w:val="SWCText"/>
        <w:rPr>
          <w:lang w:val="en-GB"/>
        </w:rPr>
      </w:pPr>
      <w:r w:rsidRPr="00B931BD">
        <w:rPr>
          <w:lang w:val="en-GB"/>
        </w:rPr>
        <w:t xml:space="preserve">The current registry contains the plugins, of which performing data acquiring and simulations execution. The scientific register contains the active methods and </w:t>
      </w:r>
      <w:proofErr w:type="gramStart"/>
      <w:r w:rsidRPr="00B931BD">
        <w:rPr>
          <w:lang w:val="en-GB"/>
        </w:rPr>
        <w:t>pinned</w:t>
      </w:r>
      <w:proofErr w:type="gramEnd"/>
      <w:r w:rsidRPr="00B931BD">
        <w:rPr>
          <w:lang w:val="en-GB"/>
        </w:rPr>
        <w:t xml:space="preserve"> upstream interfaces, selected from a research inventory of candidate equations and coefficients from research sources. </w:t>
      </w:r>
      <w:hyperlink w:anchor="Fig1" w:history="1">
        <w:r w:rsidRPr="00431A1F">
          <w:rPr>
            <w:rStyle w:val="Hyperlink"/>
            <w:lang w:val="en-GB"/>
          </w:rPr>
          <w:t>Figure [1]</w:t>
        </w:r>
      </w:hyperlink>
      <w:r w:rsidRPr="00B931BD">
        <w:rPr>
          <w:lang w:val="en-GB"/>
        </w:rPr>
        <w:t xml:space="preserve"> shows the resulting evidence lineage: literature or search discovery never enters a model directly; the original response is captured and hashed, normalised under explicit quality rules, executed by a pinned method, and exported with its claim level attached.</w:t>
      </w:r>
    </w:p>
    <w:p w14:paraId="045263E2" w14:textId="13345E77" w:rsidR="00C5709F" w:rsidRDefault="00215826" w:rsidP="00215826">
      <w:pPr>
        <w:pStyle w:val="SWCText"/>
        <w:rPr>
          <w:rFonts w:asciiTheme="minorBidi" w:hAnsiTheme="minorBidi" w:cstheme="minorBidi"/>
          <w:i/>
          <w:iCs/>
          <w:lang w:val="en-GB"/>
        </w:rPr>
      </w:pPr>
      <w:r w:rsidRPr="00215826">
        <w:rPr>
          <w:rFonts w:asciiTheme="minorBidi" w:hAnsiTheme="minorBidi" w:cstheme="minorBidi"/>
          <w:i/>
          <w:iCs/>
          <w:lang w:val="en-GB"/>
        </w:rPr>
        <w:t>3.2.</w:t>
      </w:r>
      <w:r>
        <w:rPr>
          <w:rFonts w:asciiTheme="minorBidi" w:hAnsiTheme="minorBidi" w:cstheme="minorBidi"/>
          <w:i/>
          <w:iCs/>
          <w:lang w:val="en-GB"/>
        </w:rPr>
        <w:t xml:space="preserve"> </w:t>
      </w:r>
      <w:r w:rsidR="00C5709F" w:rsidRPr="00C5709F">
        <w:rPr>
          <w:rFonts w:asciiTheme="minorBidi" w:hAnsiTheme="minorBidi" w:cstheme="minorBidi"/>
          <w:i/>
          <w:iCs/>
          <w:lang w:val="en-GB"/>
        </w:rPr>
        <w:t>Evidence model and the claim ceiling</w:t>
      </w:r>
    </w:p>
    <w:p w14:paraId="60456800" w14:textId="77777777" w:rsidR="00C5709F" w:rsidRPr="00C5709F" w:rsidRDefault="00C5709F" w:rsidP="00C5709F">
      <w:pPr>
        <w:pStyle w:val="SWCText"/>
        <w:rPr>
          <w:lang w:val="en-GB"/>
        </w:rPr>
      </w:pPr>
      <w:r w:rsidRPr="00C5709F">
        <w:rPr>
          <w:lang w:val="en-GB"/>
        </w:rPr>
        <w:t xml:space="preserve">Every value entering the workflow carries exactly one evidence class: Observed, Derived, Estimated, Transferred, User-supplied, or Unknown. Every result </w:t>
      </w:r>
      <w:proofErr w:type="gramStart"/>
      <w:r w:rsidRPr="00C5709F">
        <w:rPr>
          <w:lang w:val="en-GB"/>
        </w:rPr>
        <w:t>carries</w:t>
      </w:r>
      <w:proofErr w:type="gramEnd"/>
      <w:r w:rsidRPr="00C5709F">
        <w:rPr>
          <w:lang w:val="en-GB"/>
        </w:rPr>
        <w:t xml:space="preserve"> one of seven ordered claim levels: inventory, descriptive, screening, temporally validated, transferred scenario, site validated, and engineering ready.</w:t>
      </w:r>
    </w:p>
    <w:p w14:paraId="61B3B5EB" w14:textId="14F6B5A0" w:rsidR="00C5709F" w:rsidRPr="00C5709F" w:rsidRDefault="00C5709F" w:rsidP="00C5709F">
      <w:pPr>
        <w:pStyle w:val="SWCText"/>
        <w:rPr>
          <w:lang w:val="en-GB"/>
        </w:rPr>
      </w:pPr>
      <w:r w:rsidRPr="00C5709F">
        <w:rPr>
          <w:lang w:val="en-GB"/>
        </w:rPr>
        <w:t xml:space="preserve">The two are joined by a single deterministic rule. For a result computed by a method of ceiling </w:t>
      </w:r>
      <w:proofErr w:type="spellStart"/>
      <w:r w:rsidRPr="008A7B8B">
        <w:rPr>
          <w:i/>
          <w:iCs/>
          <w:lang w:val="en-GB"/>
        </w:rPr>
        <w:t>Lmethod</w:t>
      </w:r>
      <w:proofErr w:type="spellEnd"/>
      <w:r w:rsidRPr="00C5709F">
        <w:rPr>
          <w:lang w:val="en-GB"/>
        </w:rPr>
        <w:t xml:space="preserve"> from </w:t>
      </w:r>
      <w:r w:rsidRPr="008A7B8B">
        <w:rPr>
          <w:i/>
          <w:iCs/>
          <w:lang w:val="en-GB"/>
        </w:rPr>
        <w:t>n</w:t>
      </w:r>
      <w:r w:rsidRPr="00C5709F">
        <w:rPr>
          <w:lang w:val="en-GB"/>
        </w:rPr>
        <w:t xml:space="preserve"> inputs of levels </w:t>
      </w:r>
      <w:proofErr w:type="spellStart"/>
      <w:proofErr w:type="gramStart"/>
      <w:r w:rsidRPr="008A7B8B">
        <w:rPr>
          <w:i/>
          <w:iCs/>
          <w:lang w:val="en-GB"/>
        </w:rPr>
        <w:t>Linput,i</w:t>
      </w:r>
      <w:proofErr w:type="spellEnd"/>
      <w:proofErr w:type="gramEnd"/>
      <w:r w:rsidRPr="00C5709F">
        <w:rPr>
          <w:lang w:val="en-GB"/>
        </w:rPr>
        <w:t>, and a missing required input produces a refused result rather than a default value. A result can therefore never be stronger than its weakest input, and no choice of wording can raise it. Equation (1) is the methodological core of the workflow: it is what prevents a qualified engine from lending its own credibility to unqualified data.</w:t>
      </w:r>
    </w:p>
    <w:p w14:paraId="7F94AED3" w14:textId="72CCDD98" w:rsidR="005B3651" w:rsidRDefault="00C5709F" w:rsidP="00C5709F">
      <w:pPr>
        <w:pStyle w:val="SWCText"/>
        <w:rPr>
          <w:lang w:val="en-GB"/>
        </w:rPr>
      </w:pPr>
      <w:r w:rsidRPr="00C5709F">
        <w:rPr>
          <w:lang w:val="en-GB"/>
        </w:rPr>
        <w:t>Validation is treated as a seven-level hierarchy rather than a binary state: (L0) unit, dimensional, property and regression tests; (L1) parity against published results or a second mature implementation; (L2) calibration and withheld-profile evaluation within one lake; (L3) expanded temporal evaluation without refitting; (L4) independent-lake validation against measured covered and control FPV observations; and (L5) engineering verification with specialist review. The present study reaches level (L3).</w:t>
      </w:r>
    </w:p>
    <w:p w14:paraId="6A628196" w14:textId="42AEE83C" w:rsidR="00C5709F" w:rsidRDefault="00215826" w:rsidP="00434A35">
      <w:pPr>
        <w:pStyle w:val="SWCText"/>
        <w:rPr>
          <w:lang w:val="en-GB"/>
        </w:rPr>
      </w:pPr>
      <w:r w:rsidRPr="00215826">
        <w:rPr>
          <w:rFonts w:asciiTheme="minorBidi" w:hAnsiTheme="minorBidi" w:cstheme="minorBidi"/>
          <w:i/>
          <w:iCs/>
          <w:lang w:val="en-GB"/>
        </w:rPr>
        <w:t>3.</w:t>
      </w:r>
      <w:r>
        <w:rPr>
          <w:rFonts w:asciiTheme="minorBidi" w:hAnsiTheme="minorBidi" w:cstheme="minorBidi"/>
          <w:i/>
          <w:iCs/>
          <w:lang w:val="en-GB"/>
        </w:rPr>
        <w:t>3</w:t>
      </w:r>
      <w:r w:rsidRPr="00215826">
        <w:rPr>
          <w:rFonts w:asciiTheme="minorBidi" w:hAnsiTheme="minorBidi" w:cstheme="minorBidi"/>
          <w:i/>
          <w:iCs/>
          <w:lang w:val="en-GB"/>
        </w:rPr>
        <w:t>.</w:t>
      </w:r>
      <w:r>
        <w:rPr>
          <w:rFonts w:asciiTheme="minorBidi" w:hAnsiTheme="minorBidi" w:cstheme="minorBidi"/>
          <w:i/>
          <w:iCs/>
          <w:lang w:val="en-GB"/>
        </w:rPr>
        <w:t xml:space="preserve"> </w:t>
      </w:r>
      <w:r w:rsidR="00434A35" w:rsidRPr="00434A35">
        <w:rPr>
          <w:rFonts w:asciiTheme="minorBidi" w:hAnsiTheme="minorBidi" w:cstheme="minorBidi"/>
          <w:i/>
          <w:iCs/>
          <w:lang w:val="en-GB"/>
        </w:rPr>
        <w:t>Acquisition, provenance and quality control</w:t>
      </w:r>
    </w:p>
    <w:p w14:paraId="6A26EDDD" w14:textId="77777777" w:rsidR="00434A35" w:rsidRPr="00434A35" w:rsidRDefault="00434A35" w:rsidP="00434A35">
      <w:pPr>
        <w:pStyle w:val="SWCText"/>
        <w:rPr>
          <w:lang w:val="en-GB"/>
        </w:rPr>
      </w:pPr>
      <w:r w:rsidRPr="00434A35">
        <w:rPr>
          <w:lang w:val="en-GB"/>
        </w:rPr>
        <w:t xml:space="preserve">The accepted acquisition run captured 82 hash-bound artefacts. For each, the request, the raw response bytes, the source URL, the provider metadata, the SHA-256 digest, the normalised file and a completion matrix are retained. Five supplied observational archives were preserved byte-for-byte and normalised into seven analytical views; normalisation records encoding, delimiter, column names, units, platform identity, date range, row count, missingness, duplicates and repairs. Only the normalised research artefact is committed, and the report manifest binds it to its canonical run identifier. </w:t>
      </w:r>
    </w:p>
    <w:p w14:paraId="72801731" w14:textId="70B4F1E4" w:rsidR="00434A35" w:rsidRPr="00434A35" w:rsidRDefault="00434A35" w:rsidP="00434A35">
      <w:pPr>
        <w:pStyle w:val="SWCText"/>
        <w:rPr>
          <w:lang w:val="en-GB"/>
        </w:rPr>
      </w:pPr>
      <w:r w:rsidRPr="00434A35">
        <w:rPr>
          <w:lang w:val="en-GB"/>
        </w:rPr>
        <w:t xml:space="preserve">Quality gates are deterministic and are recorded </w:t>
      </w:r>
      <w:proofErr w:type="gramStart"/>
      <w:r w:rsidRPr="00434A35">
        <w:rPr>
          <w:lang w:val="en-GB"/>
        </w:rPr>
        <w:t>whether or not</w:t>
      </w:r>
      <w:proofErr w:type="gramEnd"/>
      <w:r w:rsidRPr="00434A35">
        <w:rPr>
          <w:lang w:val="en-GB"/>
        </w:rPr>
        <w:t xml:space="preserve"> they fire. In the Lac du Bourget </w:t>
      </w:r>
      <w:proofErr w:type="gramStart"/>
      <w:r w:rsidRPr="00434A35">
        <w:rPr>
          <w:lang w:val="en-GB"/>
        </w:rPr>
        <w:t>intake</w:t>
      </w:r>
      <w:proofErr w:type="gramEnd"/>
      <w:r w:rsidRPr="00434A35">
        <w:rPr>
          <w:lang w:val="en-GB"/>
        </w:rPr>
        <w:t xml:space="preserve"> they quarantined 6 336 corrected-oxygen rows exhibiting a field anomaly and 8 raw oxygen rows, flagged 14 negative chlorophyll values and 3 negative photosynthetically active radiation values, and applied 2 structural parser repairs to archived bytes that were themselves left unchanged. No temperature value fell outside (0 – 40 °C) and no depth outside</w:t>
      </w:r>
      <w:r>
        <w:rPr>
          <w:lang w:val="en-GB"/>
        </w:rPr>
        <w:t xml:space="preserve"> </w:t>
      </w:r>
      <w:r w:rsidRPr="00434A35">
        <w:rPr>
          <w:lang w:val="en-GB"/>
        </w:rPr>
        <w:t>(0 – 200 m). Access credentials for authenticated providers are read from environment variables and are never written into logs, commands, receipts or reports.</w:t>
      </w:r>
    </w:p>
    <w:p w14:paraId="14414A15" w14:textId="2D74078F" w:rsidR="00C5709F" w:rsidRDefault="00434A35" w:rsidP="00434A35">
      <w:pPr>
        <w:pStyle w:val="SWCText"/>
        <w:rPr>
          <w:lang w:val="en-GB"/>
        </w:rPr>
      </w:pPr>
      <w:r w:rsidRPr="00434A35">
        <w:rPr>
          <w:lang w:val="en-GB"/>
        </w:rPr>
        <w:t xml:space="preserve">The clean run downloaded all raw captures rather than satisfying requests from an offline fixture as shown in </w:t>
      </w:r>
      <w:hyperlink w:anchor="Tab1" w:history="1">
        <w:r w:rsidRPr="00431A1F">
          <w:rPr>
            <w:rStyle w:val="Hyperlink"/>
            <w:lang w:val="en-GB"/>
          </w:rPr>
          <w:t>Table [1]</w:t>
        </w:r>
      </w:hyperlink>
      <w:r w:rsidRPr="00434A35">
        <w:rPr>
          <w:lang w:val="en-GB"/>
        </w:rPr>
        <w:t xml:space="preserve">. Public hydrology comes from </w:t>
      </w:r>
      <w:hyperlink w:anchor="Ref6" w:history="1">
        <w:r w:rsidRPr="00B1611A">
          <w:rPr>
            <w:rStyle w:val="Hyperlink"/>
            <w:lang w:val="en-GB"/>
          </w:rPr>
          <w:t>HydroPortail</w:t>
        </w:r>
      </w:hyperlink>
      <w:r w:rsidRPr="00434A35">
        <w:rPr>
          <w:lang w:val="en-GB"/>
        </w:rPr>
        <w:t xml:space="preserve"> and </w:t>
      </w:r>
      <w:hyperlink w:anchor="Ref7" w:history="1">
        <w:r w:rsidRPr="00B1611A">
          <w:rPr>
            <w:rStyle w:val="Hyperlink"/>
            <w:lang w:val="en-GB"/>
          </w:rPr>
          <w:t>Hub’Eau</w:t>
        </w:r>
      </w:hyperlink>
      <w:r w:rsidRPr="00434A35">
        <w:rPr>
          <w:lang w:val="en-GB"/>
        </w:rPr>
        <w:t xml:space="preserve">; hourly forcing comes from </w:t>
      </w:r>
      <w:hyperlink w:anchor="Ref8" w:history="1">
        <w:r w:rsidRPr="00B1611A">
          <w:rPr>
            <w:rStyle w:val="Hyperlink"/>
            <w:lang w:val="en-GB"/>
          </w:rPr>
          <w:t>Météo-France</w:t>
        </w:r>
      </w:hyperlink>
      <w:r w:rsidRPr="00434A35">
        <w:rPr>
          <w:lang w:val="en-GB"/>
        </w:rPr>
        <w:t xml:space="preserve">. The PoC also captures the official 2022 </w:t>
      </w:r>
      <w:hyperlink w:anchor="Ref9" w:history="1">
        <w:r w:rsidRPr="00B1611A">
          <w:rPr>
            <w:rStyle w:val="Hyperlink"/>
            <w:lang w:val="en-GB"/>
          </w:rPr>
          <w:t>lake surveillance report</w:t>
        </w:r>
      </w:hyperlink>
      <w:r w:rsidRPr="00434A35">
        <w:rPr>
          <w:lang w:val="en-GB"/>
        </w:rPr>
        <w:t xml:space="preserve">, </w:t>
      </w:r>
      <w:hyperlink w:anchor="Ref10" w:history="1">
        <w:r w:rsidRPr="00EB35FF">
          <w:rPr>
            <w:rStyle w:val="Hyperlink"/>
            <w:lang w:val="en-GB"/>
          </w:rPr>
          <w:t>BRGM</w:t>
        </w:r>
      </w:hyperlink>
      <w:r w:rsidRPr="00434A35">
        <w:rPr>
          <w:lang w:val="en-GB"/>
        </w:rPr>
        <w:t xml:space="preserve"> </w:t>
      </w:r>
      <w:proofErr w:type="spellStart"/>
      <w:r w:rsidRPr="00434A35">
        <w:rPr>
          <w:lang w:val="en-GB"/>
        </w:rPr>
        <w:t>geoservice</w:t>
      </w:r>
      <w:proofErr w:type="spellEnd"/>
      <w:r w:rsidRPr="00434A35">
        <w:rPr>
          <w:lang w:val="en-GB"/>
        </w:rPr>
        <w:t xml:space="preserve"> evidence, and persistent identifiers or authoritative pages for the research datasets.</w:t>
      </w:r>
    </w:p>
    <w:p w14:paraId="0E5C784E" w14:textId="1307701A" w:rsidR="00434A35" w:rsidRDefault="00215826" w:rsidP="00434A35">
      <w:pPr>
        <w:pStyle w:val="SWCText"/>
        <w:rPr>
          <w:lang w:val="en-GB"/>
        </w:rPr>
      </w:pPr>
      <w:r w:rsidRPr="00215826">
        <w:rPr>
          <w:rFonts w:asciiTheme="minorBidi" w:hAnsiTheme="minorBidi" w:cstheme="minorBidi"/>
          <w:i/>
          <w:iCs/>
          <w:lang w:val="en-GB"/>
        </w:rPr>
        <w:t>3.</w:t>
      </w:r>
      <w:r>
        <w:rPr>
          <w:rFonts w:asciiTheme="minorBidi" w:hAnsiTheme="minorBidi" w:cstheme="minorBidi"/>
          <w:i/>
          <w:iCs/>
          <w:lang w:val="en-GB"/>
        </w:rPr>
        <w:t>4</w:t>
      </w:r>
      <w:r w:rsidRPr="00215826">
        <w:rPr>
          <w:rFonts w:asciiTheme="minorBidi" w:hAnsiTheme="minorBidi" w:cstheme="minorBidi"/>
          <w:i/>
          <w:iCs/>
          <w:lang w:val="en-GB"/>
        </w:rPr>
        <w:t>.</w:t>
      </w:r>
      <w:r>
        <w:rPr>
          <w:rFonts w:asciiTheme="minorBidi" w:hAnsiTheme="minorBidi" w:cstheme="minorBidi"/>
          <w:i/>
          <w:iCs/>
          <w:lang w:val="en-GB"/>
        </w:rPr>
        <w:t xml:space="preserve"> </w:t>
      </w:r>
      <w:r w:rsidR="00434A35" w:rsidRPr="00434A35">
        <w:rPr>
          <w:rFonts w:asciiTheme="minorBidi" w:hAnsiTheme="minorBidi" w:cstheme="minorBidi"/>
          <w:i/>
          <w:iCs/>
          <w:lang w:val="en-GB"/>
        </w:rPr>
        <w:t>Scientific modules and imported open-source software</w:t>
      </w:r>
    </w:p>
    <w:p w14:paraId="3EAAADFA" w14:textId="61407E9D" w:rsidR="00434A35" w:rsidRPr="00434A35" w:rsidRDefault="00434A35" w:rsidP="00434A35">
      <w:pPr>
        <w:pStyle w:val="SWCText"/>
        <w:rPr>
          <w:lang w:val="en-GB"/>
        </w:rPr>
      </w:pPr>
      <w:r w:rsidRPr="00434A35">
        <w:rPr>
          <w:lang w:val="en-GB"/>
        </w:rPr>
        <w:lastRenderedPageBreak/>
        <w:t xml:space="preserve">The workflow deliberately reuses maintained scientific software wherever one </w:t>
      </w:r>
      <w:proofErr w:type="gramStart"/>
      <w:r w:rsidRPr="00434A35">
        <w:rPr>
          <w:lang w:val="en-GB"/>
        </w:rPr>
        <w:t>exists, and</w:t>
      </w:r>
      <w:proofErr w:type="gramEnd"/>
      <w:r w:rsidRPr="00434A35">
        <w:rPr>
          <w:lang w:val="en-GB"/>
        </w:rPr>
        <w:t xml:space="preserve"> implements locally only what is specific to the evidence contract. </w:t>
      </w:r>
      <w:hyperlink w:anchor="Tab2" w:history="1">
        <w:r w:rsidRPr="00431A1F">
          <w:rPr>
            <w:rStyle w:val="Hyperlink"/>
            <w:lang w:val="en-GB"/>
          </w:rPr>
          <w:t>Table 2</w:t>
        </w:r>
      </w:hyperlink>
      <w:r w:rsidRPr="00434A35">
        <w:rPr>
          <w:lang w:val="en-GB"/>
        </w:rPr>
        <w:t xml:space="preserve"> lists every module, whether its </w:t>
      </w:r>
      <w:proofErr w:type="spellStart"/>
      <w:r w:rsidRPr="00434A35">
        <w:rPr>
          <w:lang w:val="en-GB"/>
        </w:rPr>
        <w:t>numerics</w:t>
      </w:r>
      <w:proofErr w:type="spellEnd"/>
      <w:r w:rsidRPr="00434A35">
        <w:rPr>
          <w:lang w:val="en-GB"/>
        </w:rPr>
        <w:t xml:space="preserve"> are implemented locally or delegated to a pinned upstream engine, and the claim ceiling the module can reach at Lac du Bourget with currently available evidence. </w:t>
      </w:r>
    </w:p>
    <w:p w14:paraId="7838C1EE" w14:textId="34E1162E" w:rsidR="00434A35" w:rsidRDefault="00434A35" w:rsidP="00434A35">
      <w:pPr>
        <w:pStyle w:val="SWCText"/>
        <w:rPr>
          <w:lang w:val="en-GB"/>
        </w:rPr>
      </w:pPr>
      <w:r w:rsidRPr="00434A35">
        <w:rPr>
          <w:lang w:val="en-GB"/>
        </w:rPr>
        <w:t>Lake physics, reference evapotranspiration, mooring, photovoltaic performance, numerical finance and multi objective optimisation all reuse qualified upstream implementations. Geometry, evidence governance, scenario assembly and result contracts are implemented locally. This division is deliberate: it limits the volume of unverified custom numerical code, and it makes every scientific result attributable to a citable, versioned method.</w:t>
      </w:r>
    </w:p>
    <w:p w14:paraId="2C06FFD6" w14:textId="0F67F0CD" w:rsidR="00434A35" w:rsidRDefault="00215826" w:rsidP="00555FC0">
      <w:pPr>
        <w:pStyle w:val="SWCText"/>
        <w:rPr>
          <w:lang w:val="en-GB"/>
        </w:rPr>
      </w:pPr>
      <w:r w:rsidRPr="00215826">
        <w:rPr>
          <w:rFonts w:asciiTheme="minorBidi" w:hAnsiTheme="minorBidi" w:cstheme="minorBidi"/>
          <w:i/>
          <w:iCs/>
          <w:lang w:val="en-GB"/>
        </w:rPr>
        <w:t>3.</w:t>
      </w:r>
      <w:r>
        <w:rPr>
          <w:rFonts w:asciiTheme="minorBidi" w:hAnsiTheme="minorBidi" w:cstheme="minorBidi"/>
          <w:i/>
          <w:iCs/>
          <w:lang w:val="en-GB"/>
        </w:rPr>
        <w:t>5</w:t>
      </w:r>
      <w:r w:rsidRPr="00215826">
        <w:rPr>
          <w:rFonts w:asciiTheme="minorBidi" w:hAnsiTheme="minorBidi" w:cstheme="minorBidi"/>
          <w:i/>
          <w:iCs/>
          <w:lang w:val="en-GB"/>
        </w:rPr>
        <w:t>.</w:t>
      </w:r>
      <w:r>
        <w:rPr>
          <w:rFonts w:asciiTheme="minorBidi" w:hAnsiTheme="minorBidi" w:cstheme="minorBidi"/>
          <w:i/>
          <w:iCs/>
          <w:lang w:val="en-GB"/>
        </w:rPr>
        <w:t xml:space="preserve"> </w:t>
      </w:r>
      <w:r w:rsidR="00555FC0" w:rsidRPr="00555FC0">
        <w:rPr>
          <w:rFonts w:asciiTheme="minorBidi" w:hAnsiTheme="minorBidi" w:cstheme="minorBidi"/>
          <w:i/>
          <w:iCs/>
          <w:lang w:val="en-GB"/>
        </w:rPr>
        <w:t>Lake thermal model configuration</w:t>
      </w:r>
    </w:p>
    <w:p w14:paraId="58928055" w14:textId="79AD54E6" w:rsidR="00555FC0" w:rsidRPr="00555FC0" w:rsidRDefault="00555FC0" w:rsidP="00555FC0">
      <w:pPr>
        <w:pStyle w:val="SWCText"/>
        <w:rPr>
          <w:lang w:val="en-GB"/>
        </w:rPr>
      </w:pPr>
      <w:r w:rsidRPr="00555FC0">
        <w:rPr>
          <w:lang w:val="en-GB"/>
        </w:rPr>
        <w:t xml:space="preserve">Lake physics is executed by the official General Lake Model, version 3.3.3, through the </w:t>
      </w:r>
      <w:hyperlink w:anchor="Ref16" w:history="1">
        <w:proofErr w:type="spellStart"/>
        <w:r w:rsidRPr="00623B1F">
          <w:rPr>
            <w:rStyle w:val="Hyperlink"/>
            <w:lang w:val="en-GB"/>
          </w:rPr>
          <w:t>glm-py</w:t>
        </w:r>
        <w:proofErr w:type="spellEnd"/>
        <w:r w:rsidRPr="00623B1F">
          <w:rPr>
            <w:rStyle w:val="Hyperlink"/>
            <w:lang w:val="en-GB"/>
          </w:rPr>
          <w:t xml:space="preserve"> 0.5.0</w:t>
        </w:r>
      </w:hyperlink>
      <w:r w:rsidRPr="00555FC0">
        <w:rPr>
          <w:lang w:val="en-GB"/>
        </w:rPr>
        <w:t xml:space="preserve"> interface. GLM is a one-dimensional layered model of surface heat exchange, vertical mixing, hydrology and lake dynamics. It is not reimplemented; the compiled binary is pinned by digest.</w:t>
      </w:r>
    </w:p>
    <w:p w14:paraId="07521F90" w14:textId="09198F1A" w:rsidR="00555FC0" w:rsidRPr="00555FC0" w:rsidRDefault="00555FC0" w:rsidP="00555FC0">
      <w:pPr>
        <w:pStyle w:val="SWCText"/>
        <w:rPr>
          <w:lang w:val="en-GB"/>
        </w:rPr>
      </w:pPr>
      <w:r w:rsidRPr="00555FC0">
        <w:rPr>
          <w:lang w:val="en-GB"/>
        </w:rPr>
        <w:t xml:space="preserve">Model inputs are assembled from the captured observational temperature profiles, hourly meteorological observations, radiation joined from a global reanalysis product, three tributary discharge series, and a volume conserving screening hypsography of the form </w:t>
      </w:r>
      <w:hyperlink w:anchor="eq2" w:history="1">
        <w:r w:rsidRPr="007C7EE3">
          <w:rPr>
            <w:rStyle w:val="Hyperlink"/>
            <w:lang w:val="en-GB"/>
          </w:rPr>
          <w:t>equation (2)</w:t>
        </w:r>
      </w:hyperlink>
      <w:r w:rsidRPr="00555FC0">
        <w:rPr>
          <w:lang w:val="en-GB"/>
        </w:rPr>
        <w:t xml:space="preserve">, where </w:t>
      </w:r>
      <w:r w:rsidRPr="008A7B8B">
        <w:rPr>
          <w:i/>
          <w:iCs/>
          <w:lang w:val="en-GB"/>
        </w:rPr>
        <w:t>A(z)</w:t>
      </w:r>
      <w:r w:rsidRPr="00555FC0">
        <w:rPr>
          <w:lang w:val="en-GB"/>
        </w:rPr>
        <w:t xml:space="preserve"> is the horizontal area at depth </w:t>
      </w:r>
      <w:r w:rsidRPr="008A7B8B">
        <w:rPr>
          <w:i/>
          <w:iCs/>
          <w:lang w:val="en-GB"/>
        </w:rPr>
        <w:t>z</w:t>
      </w:r>
      <w:r w:rsidRPr="00555FC0">
        <w:rPr>
          <w:lang w:val="en-GB"/>
        </w:rPr>
        <w:t xml:space="preserve">, </w:t>
      </w:r>
      <w:r w:rsidRPr="008A7B8B">
        <w:rPr>
          <w:i/>
          <w:iCs/>
          <w:lang w:val="en-GB"/>
        </w:rPr>
        <w:t>A</w:t>
      </w:r>
      <w:r w:rsidRPr="008A7B8B">
        <w:rPr>
          <w:i/>
          <w:iCs/>
          <w:vertAlign w:val="subscript"/>
          <w:lang w:val="en-GB"/>
        </w:rPr>
        <w:t>0</w:t>
      </w:r>
      <w:r w:rsidRPr="00555FC0">
        <w:rPr>
          <w:lang w:val="en-GB"/>
        </w:rPr>
        <w:t xml:space="preserve"> the surface area, </w:t>
      </w:r>
      <w:proofErr w:type="spellStart"/>
      <w:r w:rsidRPr="008A7B8B">
        <w:rPr>
          <w:i/>
          <w:iCs/>
          <w:lang w:val="en-GB"/>
        </w:rPr>
        <w:t>z</w:t>
      </w:r>
      <w:r w:rsidRPr="008A7B8B">
        <w:rPr>
          <w:i/>
          <w:iCs/>
          <w:vertAlign w:val="subscript"/>
          <w:lang w:val="en-GB"/>
        </w:rPr>
        <w:t>max</w:t>
      </w:r>
      <w:proofErr w:type="spellEnd"/>
      <w:r w:rsidRPr="00555FC0">
        <w:rPr>
          <w:lang w:val="en-GB"/>
        </w:rPr>
        <w:t xml:space="preserve"> the maximum depth and </w:t>
      </w:r>
      <w:r w:rsidRPr="008A7B8B">
        <w:rPr>
          <w:i/>
          <w:iCs/>
          <w:lang w:val="en-GB"/>
        </w:rPr>
        <w:t>V</w:t>
      </w:r>
      <w:r w:rsidRPr="00555FC0">
        <w:rPr>
          <w:lang w:val="en-GB"/>
        </w:rPr>
        <w:t xml:space="preserve"> the lake volume. With the published values </w:t>
      </w:r>
      <w:r w:rsidRPr="008A7B8B">
        <w:rPr>
          <w:i/>
          <w:iCs/>
          <w:lang w:val="en-GB"/>
        </w:rPr>
        <w:t>A</w:t>
      </w:r>
      <w:r w:rsidRPr="008A7B8B">
        <w:rPr>
          <w:i/>
          <w:iCs/>
          <w:vertAlign w:val="subscript"/>
          <w:lang w:val="en-GB"/>
        </w:rPr>
        <w:t>0</w:t>
      </w:r>
      <w:r w:rsidRPr="00555FC0">
        <w:rPr>
          <w:lang w:val="en-GB"/>
        </w:rPr>
        <w:t xml:space="preserve"> = 44.5 km</w:t>
      </w:r>
      <w:r w:rsidRPr="008A7B8B">
        <w:rPr>
          <w:vertAlign w:val="superscript"/>
          <w:lang w:val="en-GB"/>
        </w:rPr>
        <w:t>2</w:t>
      </w:r>
      <w:r w:rsidRPr="00555FC0">
        <w:rPr>
          <w:lang w:val="en-GB"/>
        </w:rPr>
        <w:t xml:space="preserve">, </w:t>
      </w:r>
      <w:proofErr w:type="spellStart"/>
      <w:r w:rsidRPr="008A7B8B">
        <w:rPr>
          <w:i/>
          <w:iCs/>
          <w:lang w:val="en-GB"/>
        </w:rPr>
        <w:t>z</w:t>
      </w:r>
      <w:r w:rsidRPr="008A7B8B">
        <w:rPr>
          <w:i/>
          <w:iCs/>
          <w:vertAlign w:val="subscript"/>
          <w:lang w:val="en-GB"/>
        </w:rPr>
        <w:t>max</w:t>
      </w:r>
      <w:proofErr w:type="spellEnd"/>
      <w:r w:rsidRPr="00555FC0">
        <w:rPr>
          <w:lang w:val="en-GB"/>
        </w:rPr>
        <w:t xml:space="preserve"> = 147 m and </w:t>
      </w:r>
      <w:r w:rsidRPr="008A7B8B">
        <w:rPr>
          <w:i/>
          <w:iCs/>
          <w:lang w:val="en-GB"/>
        </w:rPr>
        <w:t>V</w:t>
      </w:r>
      <w:r w:rsidRPr="00555FC0">
        <w:rPr>
          <w:lang w:val="en-GB"/>
        </w:rPr>
        <w:t xml:space="preserve"> = 3.6km</w:t>
      </w:r>
      <w:r w:rsidRPr="008A7B8B">
        <w:rPr>
          <w:vertAlign w:val="superscript"/>
          <w:lang w:val="en-GB"/>
        </w:rPr>
        <w:t>3</w:t>
      </w:r>
      <w:r w:rsidRPr="00555FC0">
        <w:rPr>
          <w:lang w:val="en-GB"/>
        </w:rPr>
        <w:t xml:space="preserve">, </w:t>
      </w:r>
      <w:hyperlink w:anchor="eq2" w:history="1">
        <w:r w:rsidRPr="0098525C">
          <w:rPr>
            <w:rStyle w:val="Hyperlink"/>
            <w:lang w:val="en-GB"/>
          </w:rPr>
          <w:t>Eq. (2)</w:t>
        </w:r>
      </w:hyperlink>
      <w:r w:rsidRPr="00555FC0">
        <w:rPr>
          <w:lang w:val="en-GB"/>
        </w:rPr>
        <w:t xml:space="preserve"> gives </w:t>
      </w:r>
      <w:r w:rsidRPr="008A7B8B">
        <w:rPr>
          <w:i/>
          <w:iCs/>
          <w:lang w:val="en-GB"/>
        </w:rPr>
        <w:t>p</w:t>
      </w:r>
      <w:r w:rsidRPr="00555FC0">
        <w:rPr>
          <w:lang w:val="en-GB"/>
        </w:rPr>
        <w:t xml:space="preserve"> = 0.817083 and a mean depth of 80.899 m. The curve integrates to the published volume by construction, but it contains no local lakebed geometry, slope or obstruction information, and it is therefore recorded as </w:t>
      </w:r>
      <w:r w:rsidRPr="008A7B8B">
        <w:rPr>
          <w:i/>
          <w:iCs/>
          <w:lang w:val="en-GB"/>
        </w:rPr>
        <w:t>Estimated</w:t>
      </w:r>
      <w:r w:rsidRPr="00555FC0">
        <w:rPr>
          <w:lang w:val="en-GB"/>
        </w:rPr>
        <w:t xml:space="preserve"> rather than </w:t>
      </w:r>
      <w:proofErr w:type="gramStart"/>
      <w:r w:rsidRPr="008A7B8B">
        <w:rPr>
          <w:i/>
          <w:iCs/>
          <w:lang w:val="en-GB"/>
        </w:rPr>
        <w:t>Observed</w:t>
      </w:r>
      <w:proofErr w:type="gramEnd"/>
      <w:r w:rsidRPr="00555FC0">
        <w:rPr>
          <w:lang w:val="en-GB"/>
        </w:rPr>
        <w:t xml:space="preserve">. Section 4.7 quantifies the consequence. </w:t>
      </w:r>
    </w:p>
    <w:p w14:paraId="1D6D60B3" w14:textId="3C5F6890" w:rsidR="00555FC0" w:rsidRDefault="00555FC0" w:rsidP="00555FC0">
      <w:pPr>
        <w:pStyle w:val="SWCText"/>
        <w:rPr>
          <w:lang w:val="en-GB"/>
        </w:rPr>
      </w:pPr>
      <w:r w:rsidRPr="00555FC0">
        <w:rPr>
          <w:lang w:val="en-GB"/>
        </w:rPr>
        <w:t>Two boundary conditions require explicit statement. No observed exchange through the lake’s navigable canal exists within the 2010</w:t>
      </w:r>
      <w:r>
        <w:rPr>
          <w:lang w:val="en-GB"/>
        </w:rPr>
        <w:t xml:space="preserve"> </w:t>
      </w:r>
      <w:r w:rsidRPr="00555FC0">
        <w:rPr>
          <w:lang w:val="en-GB"/>
        </w:rPr>
        <w:t>–</w:t>
      </w:r>
      <w:r>
        <w:rPr>
          <w:lang w:val="en-GB"/>
        </w:rPr>
        <w:t xml:space="preserve"> </w:t>
      </w:r>
      <w:r w:rsidRPr="00555FC0">
        <w:rPr>
          <w:lang w:val="en-GB"/>
        </w:rPr>
        <w:t xml:space="preserve">2013 model window, so outflow is balanced against observed tributary inflow and declared a model boundary rather than an observation; the model cannot validate canal dynamics. Tributary inflow temperature is derived from a seven-day air-temperature proxy and is labelled </w:t>
      </w:r>
      <w:r w:rsidRPr="008A7B8B">
        <w:rPr>
          <w:i/>
          <w:iCs/>
          <w:lang w:val="en-GB"/>
        </w:rPr>
        <w:t>Estimated</w:t>
      </w:r>
      <w:r w:rsidRPr="00555FC0">
        <w:rPr>
          <w:lang w:val="en-GB"/>
        </w:rPr>
        <w:t>.</w:t>
      </w:r>
    </w:p>
    <w:p w14:paraId="243837F3" w14:textId="3ACA2E6A" w:rsidR="00555FC0" w:rsidRDefault="00C65EFC" w:rsidP="006D1339">
      <w:pPr>
        <w:pStyle w:val="SWCText"/>
        <w:rPr>
          <w:lang w:val="en-GB"/>
        </w:rPr>
      </w:pPr>
      <w:r w:rsidRPr="00215826">
        <w:rPr>
          <w:rFonts w:asciiTheme="minorBidi" w:hAnsiTheme="minorBidi" w:cstheme="minorBidi"/>
          <w:i/>
          <w:iCs/>
          <w:lang w:val="en-GB"/>
        </w:rPr>
        <w:t>3.</w:t>
      </w:r>
      <w:r>
        <w:rPr>
          <w:rFonts w:asciiTheme="minorBidi" w:hAnsiTheme="minorBidi" w:cstheme="minorBidi"/>
          <w:i/>
          <w:iCs/>
          <w:lang w:val="en-GB"/>
        </w:rPr>
        <w:t>6</w:t>
      </w:r>
      <w:r w:rsidRPr="00215826">
        <w:rPr>
          <w:rFonts w:asciiTheme="minorBidi" w:hAnsiTheme="minorBidi" w:cstheme="minorBidi"/>
          <w:i/>
          <w:iCs/>
          <w:lang w:val="en-GB"/>
        </w:rPr>
        <w:t>.</w:t>
      </w:r>
      <w:r>
        <w:rPr>
          <w:rFonts w:asciiTheme="minorBidi" w:hAnsiTheme="minorBidi" w:cstheme="minorBidi"/>
          <w:i/>
          <w:iCs/>
          <w:lang w:val="en-GB"/>
        </w:rPr>
        <w:t xml:space="preserve"> </w:t>
      </w:r>
      <w:r w:rsidR="006D1339" w:rsidRPr="006D1339">
        <w:rPr>
          <w:rFonts w:asciiTheme="minorBidi" w:hAnsiTheme="minorBidi" w:cstheme="minorBidi"/>
          <w:i/>
          <w:iCs/>
          <w:lang w:val="en-GB"/>
        </w:rPr>
        <w:t>Representation of FPV coverage</w:t>
      </w:r>
    </w:p>
    <w:p w14:paraId="7DCEE090" w14:textId="272E7A7B" w:rsidR="006D1339" w:rsidRPr="006D1339" w:rsidRDefault="006D1339" w:rsidP="006D1339">
      <w:pPr>
        <w:pStyle w:val="SWCText"/>
        <w:rPr>
          <w:lang w:val="en-GB"/>
        </w:rPr>
      </w:pPr>
      <w:r w:rsidRPr="006D1339">
        <w:rPr>
          <w:lang w:val="en-GB"/>
        </w:rPr>
        <w:t xml:space="preserve">FPV coverage is represented as a modification of two surface forcing terms. For a coverage fraction </w:t>
      </w:r>
      <w:r w:rsidRPr="00C75837">
        <w:rPr>
          <w:i/>
          <w:iCs/>
          <w:lang w:val="en-GB"/>
        </w:rPr>
        <w:t>f</w:t>
      </w:r>
      <w:r w:rsidRPr="006D1339">
        <w:rPr>
          <w:lang w:val="en-GB"/>
        </w:rPr>
        <w:t xml:space="preserve">, an irradiance reduction </w:t>
      </w:r>
      <w:proofErr w:type="spellStart"/>
      <w:r w:rsidRPr="008A7B8B">
        <w:rPr>
          <w:i/>
          <w:iCs/>
          <w:lang w:val="en-GB"/>
        </w:rPr>
        <w:t>r</w:t>
      </w:r>
      <w:r w:rsidRPr="008A7B8B">
        <w:rPr>
          <w:i/>
          <w:iCs/>
          <w:vertAlign w:val="subscript"/>
          <w:lang w:val="en-GB"/>
        </w:rPr>
        <w:t>SW</w:t>
      </w:r>
      <w:proofErr w:type="spellEnd"/>
      <w:r w:rsidRPr="006D1339">
        <w:rPr>
          <w:lang w:val="en-GB"/>
        </w:rPr>
        <w:t xml:space="preserve"> and a wind reduction </w:t>
      </w:r>
      <w:r w:rsidRPr="00C75837">
        <w:rPr>
          <w:i/>
          <w:iCs/>
          <w:lang w:val="en-GB"/>
        </w:rPr>
        <w:t>r</w:t>
      </w:r>
      <w:r w:rsidRPr="00C75837">
        <w:rPr>
          <w:i/>
          <w:iCs/>
          <w:vertAlign w:val="subscript"/>
          <w:lang w:val="en-GB"/>
        </w:rPr>
        <w:t>u</w:t>
      </w:r>
      <w:r w:rsidRPr="006D1339">
        <w:rPr>
          <w:lang w:val="en-GB"/>
        </w:rPr>
        <w:t xml:space="preserve"> measured beneath an existing FPV array, where </w:t>
      </w:r>
      <w:r w:rsidRPr="008A7B8B">
        <w:rPr>
          <w:i/>
          <w:iCs/>
          <w:lang w:val="en-GB"/>
        </w:rPr>
        <w:t>SW</w:t>
      </w:r>
      <w:r w:rsidRPr="006D1339">
        <w:rPr>
          <w:lang w:val="en-GB"/>
        </w:rPr>
        <w:t xml:space="preserve"> and </w:t>
      </w:r>
      <w:r w:rsidRPr="008A7B8B">
        <w:rPr>
          <w:i/>
          <w:iCs/>
          <w:lang w:val="en-GB"/>
        </w:rPr>
        <w:t>u</w:t>
      </w:r>
      <w:r w:rsidRPr="006D1339">
        <w:rPr>
          <w:lang w:val="en-GB"/>
        </w:rPr>
        <w:t xml:space="preserve"> are the open-water short wave irradiance and wind speed, and </w:t>
      </w:r>
      <w:proofErr w:type="spellStart"/>
      <w:r w:rsidRPr="008A7B8B">
        <w:rPr>
          <w:i/>
          <w:iCs/>
          <w:lang w:val="en-GB"/>
        </w:rPr>
        <w:t>k</w:t>
      </w:r>
      <w:r w:rsidRPr="008A7B8B">
        <w:rPr>
          <w:i/>
          <w:iCs/>
          <w:vertAlign w:val="subscript"/>
          <w:lang w:val="en-GB"/>
        </w:rPr>
        <w:t>SW</w:t>
      </w:r>
      <w:proofErr w:type="spellEnd"/>
      <w:r w:rsidRPr="006D1339">
        <w:rPr>
          <w:lang w:val="en-GB"/>
        </w:rPr>
        <w:t xml:space="preserve"> and </w:t>
      </w:r>
      <w:proofErr w:type="spellStart"/>
      <w:r w:rsidRPr="008A7B8B">
        <w:rPr>
          <w:i/>
          <w:iCs/>
          <w:lang w:val="en-GB"/>
        </w:rPr>
        <w:t>k</w:t>
      </w:r>
      <w:r w:rsidRPr="008A7B8B">
        <w:rPr>
          <w:i/>
          <w:iCs/>
          <w:vertAlign w:val="subscript"/>
          <w:lang w:val="en-GB"/>
        </w:rPr>
        <w:t>u</w:t>
      </w:r>
      <w:proofErr w:type="spellEnd"/>
      <w:r w:rsidRPr="006D1339">
        <w:rPr>
          <w:lang w:val="en-GB"/>
        </w:rPr>
        <w:t xml:space="preserve"> are the calibrated forcing factors. </w:t>
      </w:r>
      <w:hyperlink w:anchor="Tab3" w:history="1">
        <w:r w:rsidRPr="00431A1F">
          <w:rPr>
            <w:rStyle w:val="Hyperlink"/>
            <w:lang w:val="en-GB"/>
          </w:rPr>
          <w:t>Table 3</w:t>
        </w:r>
      </w:hyperlink>
      <w:r w:rsidRPr="006D1339">
        <w:rPr>
          <w:lang w:val="en-GB"/>
        </w:rPr>
        <w:t xml:space="preserve"> lists every coefficient with its evidence class (eq. </w:t>
      </w:r>
      <w:hyperlink w:anchor="eq3" w:history="1">
        <w:r w:rsidRPr="007C7EE3">
          <w:rPr>
            <w:rStyle w:val="Hyperlink"/>
            <w:lang w:val="en-GB"/>
          </w:rPr>
          <w:t>3</w:t>
        </w:r>
      </w:hyperlink>
      <w:r w:rsidRPr="006D1339">
        <w:rPr>
          <w:lang w:val="en-GB"/>
        </w:rPr>
        <w:t xml:space="preserve">, </w:t>
      </w:r>
      <w:hyperlink w:anchor="eq4" w:history="1">
        <w:r w:rsidRPr="007C7EE3">
          <w:rPr>
            <w:rStyle w:val="Hyperlink"/>
            <w:lang w:val="en-GB"/>
          </w:rPr>
          <w:t>4</w:t>
        </w:r>
      </w:hyperlink>
      <w:r w:rsidRPr="006D1339">
        <w:rPr>
          <w:lang w:val="en-GB"/>
        </w:rPr>
        <w:t>).</w:t>
      </w:r>
    </w:p>
    <w:p w14:paraId="0489FDCF" w14:textId="5AC82405" w:rsidR="006D1339" w:rsidRPr="006D1339" w:rsidRDefault="006D1339" w:rsidP="006D1339">
      <w:pPr>
        <w:pStyle w:val="SWCText"/>
        <w:rPr>
          <w:lang w:val="en-GB"/>
        </w:rPr>
      </w:pPr>
      <w:r w:rsidRPr="006D1339">
        <w:rPr>
          <w:lang w:val="en-GB"/>
        </w:rPr>
        <w:t>The central transfer uses a 73% reduction in broad band global horizontal irradiance over 0.3</w:t>
      </w:r>
      <w:r>
        <w:rPr>
          <w:lang w:val="en-GB"/>
        </w:rPr>
        <w:t xml:space="preserve"> </w:t>
      </w:r>
      <w:r w:rsidRPr="006D1339">
        <w:rPr>
          <w:lang w:val="en-GB"/>
        </w:rPr>
        <w:t>–</w:t>
      </w:r>
      <w:r>
        <w:rPr>
          <w:lang w:val="en-GB"/>
        </w:rPr>
        <w:t xml:space="preserve"> </w:t>
      </w:r>
      <w:r w:rsidRPr="006D1339">
        <w:rPr>
          <w:lang w:val="en-GB"/>
        </w:rPr>
        <w:t>2.8 µm and a 23% reduction in near-surface wind, measured beneath and around the Lake Maiwald FPV system by</w:t>
      </w:r>
      <w:r w:rsidR="007E32A8">
        <w:rPr>
          <w:lang w:val="en-GB"/>
        </w:rPr>
        <w:t xml:space="preserve"> </w:t>
      </w:r>
      <w:hyperlink w:anchor="Ref2" w:history="1">
        <w:r w:rsidR="007E32A8" w:rsidRPr="000A35A8">
          <w:rPr>
            <w:rStyle w:val="Hyperlink"/>
            <w:lang w:val="en-GB"/>
          </w:rPr>
          <w:t>Ilgen et al. (2023)</w:t>
        </w:r>
      </w:hyperlink>
      <w:r w:rsidRPr="006D1339">
        <w:rPr>
          <w:lang w:val="en-GB"/>
        </w:rPr>
        <w:t>. The irradiance coefficient is a broad band quantity and is not a photo synthetically active radiation coefficient. The 2026 author correction to that paper changes the printed form of two equations while confirming that the published results were computed with the corrected form</w:t>
      </w:r>
      <w:r w:rsidR="007E32A8">
        <w:rPr>
          <w:lang w:val="en-GB"/>
        </w:rPr>
        <w:t xml:space="preserve"> (</w:t>
      </w:r>
      <w:hyperlink w:anchor="Ref5" w:history="1">
        <w:r w:rsidR="007E32A8" w:rsidRPr="00B1611A">
          <w:rPr>
            <w:rStyle w:val="Hyperlink"/>
            <w:lang w:val="en-GB"/>
          </w:rPr>
          <w:t>Ilgen et al., 2026</w:t>
        </w:r>
      </w:hyperlink>
      <w:r w:rsidR="007E32A8" w:rsidRPr="005B3651">
        <w:rPr>
          <w:lang w:val="en-GB"/>
        </w:rPr>
        <w:t>)</w:t>
      </w:r>
      <w:r w:rsidRPr="006D1339">
        <w:rPr>
          <w:lang w:val="en-GB"/>
        </w:rPr>
        <w:t xml:space="preserve">. The transfer remains a transfer: Lac du Bourget has no equivalent covered and control measurement. </w:t>
      </w:r>
    </w:p>
    <w:p w14:paraId="3CDAADAA" w14:textId="5D69D308" w:rsidR="006D1339" w:rsidRPr="006D1339" w:rsidRDefault="006D1339" w:rsidP="006D1339">
      <w:pPr>
        <w:pStyle w:val="SWCText"/>
        <w:rPr>
          <w:lang w:val="en-GB"/>
        </w:rPr>
      </w:pPr>
      <w:r w:rsidRPr="006D1339">
        <w:rPr>
          <w:lang w:val="en-GB"/>
        </w:rPr>
        <w:t xml:space="preserve">Equations </w:t>
      </w:r>
      <w:hyperlink w:anchor="eq3" w:history="1">
        <w:r w:rsidRPr="007C7EE3">
          <w:rPr>
            <w:rStyle w:val="Hyperlink"/>
            <w:lang w:val="en-GB"/>
          </w:rPr>
          <w:t>(3)</w:t>
        </w:r>
      </w:hyperlink>
      <w:r w:rsidRPr="006D1339">
        <w:rPr>
          <w:lang w:val="en-GB"/>
        </w:rPr>
        <w:t xml:space="preserve"> and </w:t>
      </w:r>
      <w:hyperlink w:anchor="eq4" w:history="1">
        <w:r w:rsidRPr="007C7EE3">
          <w:rPr>
            <w:rStyle w:val="Hyperlink"/>
            <w:lang w:val="en-GB"/>
          </w:rPr>
          <w:t>(4)</w:t>
        </w:r>
      </w:hyperlink>
      <w:r w:rsidRPr="006D1339">
        <w:rPr>
          <w:lang w:val="en-GB"/>
        </w:rPr>
        <w:t xml:space="preserve"> modify two terms of the surface energy balance. </w:t>
      </w:r>
      <w:hyperlink w:anchor="Tab4" w:history="1">
        <w:r w:rsidRPr="00431A1F">
          <w:rPr>
            <w:rStyle w:val="Hyperlink"/>
            <w:lang w:val="en-GB"/>
          </w:rPr>
          <w:t>Table 4</w:t>
        </w:r>
      </w:hyperlink>
      <w:r w:rsidRPr="006D1339">
        <w:rPr>
          <w:lang w:val="en-GB"/>
        </w:rPr>
        <w:t xml:space="preserve"> states which terms respond to coverage in this </w:t>
      </w:r>
      <w:proofErr w:type="gramStart"/>
      <w:r w:rsidRPr="006D1339">
        <w:rPr>
          <w:lang w:val="en-GB"/>
        </w:rPr>
        <w:t>experiment</w:t>
      </w:r>
      <w:proofErr w:type="gramEnd"/>
      <w:r w:rsidRPr="006D1339">
        <w:rPr>
          <w:lang w:val="en-GB"/>
        </w:rPr>
        <w:t xml:space="preserve"> and which do not.</w:t>
      </w:r>
    </w:p>
    <w:p w14:paraId="074FB21E" w14:textId="2C4526D4" w:rsidR="00555FC0" w:rsidRDefault="006D1339" w:rsidP="006D1339">
      <w:pPr>
        <w:pStyle w:val="SWCText"/>
        <w:rPr>
          <w:lang w:val="en-GB"/>
        </w:rPr>
      </w:pPr>
      <w:r w:rsidRPr="006D1339">
        <w:rPr>
          <w:lang w:val="en-GB"/>
        </w:rPr>
        <w:t>A matched 30% run confirms that the wind pathway is active: adding the transferred wind reduction changes the shading-only surface response. Horizontal patchiness and sky-view geometry are likewise not represented. The resulting temperatures therefore cannot be interpreted as a complete FPV surface energy balance.</w:t>
      </w:r>
    </w:p>
    <w:p w14:paraId="3DD3EE65" w14:textId="4DAED1E4" w:rsidR="006D1339" w:rsidRDefault="00C65EFC" w:rsidP="006D4C04">
      <w:pPr>
        <w:pStyle w:val="SWCText"/>
        <w:rPr>
          <w:lang w:val="en-GB"/>
        </w:rPr>
      </w:pPr>
      <w:r w:rsidRPr="00215826">
        <w:rPr>
          <w:rFonts w:asciiTheme="minorBidi" w:hAnsiTheme="minorBidi" w:cstheme="minorBidi"/>
          <w:i/>
          <w:iCs/>
          <w:lang w:val="en-GB"/>
        </w:rPr>
        <w:t>3.</w:t>
      </w:r>
      <w:r>
        <w:rPr>
          <w:rFonts w:asciiTheme="minorBidi" w:hAnsiTheme="minorBidi" w:cstheme="minorBidi"/>
          <w:i/>
          <w:iCs/>
          <w:lang w:val="en-GB"/>
        </w:rPr>
        <w:t>7</w:t>
      </w:r>
      <w:r w:rsidRPr="00215826">
        <w:rPr>
          <w:rFonts w:asciiTheme="minorBidi" w:hAnsiTheme="minorBidi" w:cstheme="minorBidi"/>
          <w:i/>
          <w:iCs/>
          <w:lang w:val="en-GB"/>
        </w:rPr>
        <w:t>.</w:t>
      </w:r>
      <w:r>
        <w:rPr>
          <w:rFonts w:asciiTheme="minorBidi" w:hAnsiTheme="minorBidi" w:cstheme="minorBidi"/>
          <w:i/>
          <w:iCs/>
          <w:lang w:val="en-GB"/>
        </w:rPr>
        <w:t xml:space="preserve"> </w:t>
      </w:r>
      <w:r w:rsidR="006D4C04" w:rsidRPr="006D4C04">
        <w:rPr>
          <w:rFonts w:asciiTheme="minorBidi" w:hAnsiTheme="minorBidi" w:cstheme="minorBidi"/>
          <w:i/>
          <w:iCs/>
          <w:lang w:val="en-GB"/>
        </w:rPr>
        <w:t>Evaluation design and metrics</w:t>
      </w:r>
    </w:p>
    <w:p w14:paraId="68D50C1F" w14:textId="63534789" w:rsidR="006D4C04" w:rsidRPr="006D4C04" w:rsidRDefault="006D4C04" w:rsidP="006D4C04">
      <w:pPr>
        <w:pStyle w:val="SWCText"/>
        <w:rPr>
          <w:lang w:val="en-GB"/>
        </w:rPr>
      </w:pPr>
      <w:r w:rsidRPr="006D4C04">
        <w:rPr>
          <w:lang w:val="en-GB"/>
        </w:rPr>
        <w:t xml:space="preserve">For modelled values Mi and observed values Oi on a common date and depth grid, with errors </w:t>
      </w:r>
      <w:proofErr w:type="spellStart"/>
      <w:r w:rsidRPr="008A7B8B">
        <w:rPr>
          <w:i/>
          <w:iCs/>
          <w:lang w:val="en-GB"/>
        </w:rPr>
        <w:t>e</w:t>
      </w:r>
      <w:r w:rsidRPr="008A7B8B">
        <w:rPr>
          <w:i/>
          <w:iCs/>
          <w:vertAlign w:val="subscript"/>
          <w:lang w:val="en-GB"/>
        </w:rPr>
        <w:t>i</w:t>
      </w:r>
      <w:proofErr w:type="spellEnd"/>
      <w:r w:rsidRPr="008A7B8B">
        <w:rPr>
          <w:i/>
          <w:iCs/>
          <w:lang w:val="en-GB"/>
        </w:rPr>
        <w:t xml:space="preserve"> = M</w:t>
      </w:r>
      <w:r w:rsidRPr="008A7B8B">
        <w:rPr>
          <w:i/>
          <w:iCs/>
          <w:vertAlign w:val="subscript"/>
          <w:lang w:val="en-GB"/>
        </w:rPr>
        <w:t>i</w:t>
      </w:r>
      <w:r w:rsidRPr="008A7B8B">
        <w:rPr>
          <w:i/>
          <w:iCs/>
          <w:lang w:val="en-GB"/>
        </w:rPr>
        <w:t xml:space="preserve"> − O</w:t>
      </w:r>
      <w:r w:rsidRPr="008A7B8B">
        <w:rPr>
          <w:i/>
          <w:iCs/>
          <w:vertAlign w:val="subscript"/>
          <w:lang w:val="en-GB"/>
        </w:rPr>
        <w:t>i</w:t>
      </w:r>
      <w:r w:rsidRPr="006D4C04">
        <w:rPr>
          <w:lang w:val="en-GB"/>
        </w:rPr>
        <w:t xml:space="preserve"> over </w:t>
      </w:r>
      <w:r w:rsidRPr="008A7B8B">
        <w:rPr>
          <w:i/>
          <w:iCs/>
          <w:lang w:val="en-GB"/>
        </w:rPr>
        <w:t>n</w:t>
      </w:r>
      <w:r w:rsidRPr="006D4C04">
        <w:rPr>
          <w:lang w:val="en-GB"/>
        </w:rPr>
        <w:t xml:space="preserve"> comparisons, (</w:t>
      </w:r>
      <w:hyperlink w:anchor="eq5" w:history="1">
        <w:r w:rsidRPr="007C7EE3">
          <w:rPr>
            <w:rStyle w:val="Hyperlink"/>
            <w:lang w:val="en-GB"/>
          </w:rPr>
          <w:t>eq. 5</w:t>
        </w:r>
      </w:hyperlink>
      <w:r w:rsidRPr="006D4C04">
        <w:rPr>
          <w:lang w:val="en-GB"/>
        </w:rPr>
        <w:t>). Errors are additionally reported over disjoint half-open depth strata ([0, 20], [20, 40], [40, 100] and [</w:t>
      </w:r>
      <w:proofErr w:type="gramStart"/>
      <w:r w:rsidRPr="006D4C04">
        <w:rPr>
          <w:lang w:val="en-GB"/>
        </w:rPr>
        <w:t>100,∞</w:t>
      </w:r>
      <w:proofErr w:type="gramEnd"/>
      <w:r w:rsidRPr="006D4C04">
        <w:rPr>
          <w:lang w:val="en-GB"/>
        </w:rPr>
        <w:t xml:space="preserve">]) m. For strata of size </w:t>
      </w:r>
      <w:proofErr w:type="spellStart"/>
      <w:r w:rsidRPr="006D4C04">
        <w:rPr>
          <w:lang w:val="en-GB"/>
        </w:rPr>
        <w:t>nj</w:t>
      </w:r>
      <w:proofErr w:type="spellEnd"/>
      <w:r w:rsidRPr="006D4C04">
        <w:rPr>
          <w:lang w:val="en-GB"/>
        </w:rPr>
        <w:t xml:space="preserve"> and error </w:t>
      </w:r>
      <w:proofErr w:type="spellStart"/>
      <w:r w:rsidRPr="008A7B8B">
        <w:rPr>
          <w:i/>
          <w:iCs/>
          <w:lang w:val="en-GB"/>
        </w:rPr>
        <w:t>RMSE</w:t>
      </w:r>
      <w:r w:rsidRPr="008A7B8B">
        <w:rPr>
          <w:i/>
          <w:iCs/>
          <w:vertAlign w:val="subscript"/>
          <w:lang w:val="en-GB"/>
        </w:rPr>
        <w:t>j</w:t>
      </w:r>
      <w:proofErr w:type="spellEnd"/>
      <w:r w:rsidRPr="006D4C04">
        <w:rPr>
          <w:lang w:val="en-GB"/>
        </w:rPr>
        <w:t>, (</w:t>
      </w:r>
      <w:hyperlink w:anchor="eq6" w:history="1">
        <w:r w:rsidRPr="007C7EE3">
          <w:rPr>
            <w:rStyle w:val="Hyperlink"/>
            <w:lang w:val="en-GB"/>
          </w:rPr>
          <w:t>eq. 6</w:t>
        </w:r>
      </w:hyperlink>
      <w:r w:rsidRPr="006D4C04">
        <w:rPr>
          <w:lang w:val="en-GB"/>
        </w:rPr>
        <w:t>) which provides an arithmetic check that the strata partition the comparison set exactly and reproduce the pooled error. Temperature differences are reported in °C; for differences this is numerically identical to K.</w:t>
      </w:r>
    </w:p>
    <w:p w14:paraId="503EFB78" w14:textId="77777777" w:rsidR="006D4C04" w:rsidRPr="006D4C04" w:rsidRDefault="006D4C04" w:rsidP="006D4C04">
      <w:pPr>
        <w:pStyle w:val="SWCText"/>
        <w:rPr>
          <w:lang w:val="en-GB"/>
        </w:rPr>
      </w:pPr>
      <w:r w:rsidRPr="006D4C04">
        <w:rPr>
          <w:lang w:val="en-GB"/>
        </w:rPr>
        <w:t xml:space="preserve">The evaluation protocol was fixed before calibration. The simulation is initialised from an observed profile on 2010-08-04. Three parameters — wind factor, shortwave factor and light extinction — are calibrated by deterministic differential evolution against two profiles, on 2011-08-10 and 2012-08-08. A profile on 2013-08 06 </w:t>
      </w:r>
      <w:r w:rsidRPr="006D4C04">
        <w:rPr>
          <w:lang w:val="en-GB"/>
        </w:rPr>
        <w:lastRenderedPageBreak/>
        <w:t>is withheld from the optimiser and used as the first evaluation. A further 96 profile dates inside the same continuous simulation, none seen by the optimiser, are then compared without any refitting. Finally, a separate reinitialised run covering 2015-06-10 to 2017-12-12 is evaluated on 56 further dates, again without refitting. All comparisons use a 1 m depth grid.</w:t>
      </w:r>
    </w:p>
    <w:p w14:paraId="30A73361" w14:textId="1B420E40" w:rsidR="006D1339" w:rsidRDefault="006D4C04" w:rsidP="006D4C04">
      <w:pPr>
        <w:pStyle w:val="SWCText"/>
        <w:rPr>
          <w:lang w:val="en-GB"/>
        </w:rPr>
      </w:pPr>
      <w:r w:rsidRPr="006D4C04">
        <w:rPr>
          <w:lang w:val="en-GB"/>
        </w:rPr>
        <w:t>Acceptance thresholds were declared in advance: RMSE ≤ 2.5 °C, r ≥ 0.85, NSE ≥ 0.70 and |bias| ≤ 1.5 °C. These are internal screening thresholds for the present decision, not a universal definition of model validity.</w:t>
      </w:r>
    </w:p>
    <w:p w14:paraId="7359B069" w14:textId="5098FE69" w:rsidR="006D4C04" w:rsidRDefault="00C65EFC" w:rsidP="00215826">
      <w:pPr>
        <w:pStyle w:val="SWCText"/>
        <w:rPr>
          <w:lang w:val="en-GB"/>
        </w:rPr>
      </w:pPr>
      <w:r w:rsidRPr="00215826">
        <w:rPr>
          <w:rFonts w:asciiTheme="minorBidi" w:hAnsiTheme="minorBidi" w:cstheme="minorBidi"/>
          <w:i/>
          <w:iCs/>
          <w:lang w:val="en-GB"/>
        </w:rPr>
        <w:t>3.</w:t>
      </w:r>
      <w:r>
        <w:rPr>
          <w:rFonts w:asciiTheme="minorBidi" w:hAnsiTheme="minorBidi" w:cstheme="minorBidi"/>
          <w:i/>
          <w:iCs/>
          <w:lang w:val="en-GB"/>
        </w:rPr>
        <w:t>8</w:t>
      </w:r>
      <w:r w:rsidRPr="00215826">
        <w:rPr>
          <w:rFonts w:asciiTheme="minorBidi" w:hAnsiTheme="minorBidi" w:cstheme="minorBidi"/>
          <w:i/>
          <w:iCs/>
          <w:lang w:val="en-GB"/>
        </w:rPr>
        <w:t>.</w:t>
      </w:r>
      <w:r>
        <w:rPr>
          <w:rFonts w:asciiTheme="minorBidi" w:hAnsiTheme="minorBidi" w:cstheme="minorBidi"/>
          <w:i/>
          <w:iCs/>
          <w:lang w:val="en-GB"/>
        </w:rPr>
        <w:t xml:space="preserve"> </w:t>
      </w:r>
      <w:r w:rsidR="00215826" w:rsidRPr="00215826">
        <w:rPr>
          <w:rFonts w:asciiTheme="minorBidi" w:hAnsiTheme="minorBidi" w:cstheme="minorBidi"/>
          <w:i/>
          <w:iCs/>
          <w:lang w:val="en-GB"/>
        </w:rPr>
        <w:t>Photovoltaic energy and scenario differencing</w:t>
      </w:r>
    </w:p>
    <w:p w14:paraId="32634464" w14:textId="4E9C42C4" w:rsidR="00215826" w:rsidRPr="00215826" w:rsidRDefault="00215826" w:rsidP="00215826">
      <w:pPr>
        <w:pStyle w:val="SWCText"/>
        <w:rPr>
          <w:lang w:val="en-GB"/>
        </w:rPr>
      </w:pPr>
      <w:r w:rsidRPr="00215826">
        <w:rPr>
          <w:lang w:val="en-GB"/>
        </w:rPr>
        <w:t xml:space="preserve">Scenario effects are reported as differences against the corresponding </w:t>
      </w:r>
      <w:proofErr w:type="gramStart"/>
      <w:r w:rsidRPr="00215826">
        <w:rPr>
          <w:lang w:val="en-GB"/>
        </w:rPr>
        <w:t>open-water</w:t>
      </w:r>
      <w:proofErr w:type="gramEnd"/>
      <w:r w:rsidRPr="00215826">
        <w:rPr>
          <w:lang w:val="en-GB"/>
        </w:rPr>
        <w:t xml:space="preserve"> run, (</w:t>
      </w:r>
      <w:hyperlink w:anchor="eq7" w:history="1">
        <w:r w:rsidRPr="007C7EE3">
          <w:rPr>
            <w:rStyle w:val="Hyperlink"/>
            <w:lang w:val="en-GB"/>
          </w:rPr>
          <w:t>eq. 7</w:t>
        </w:r>
      </w:hyperlink>
      <w:r w:rsidRPr="00215826">
        <w:rPr>
          <w:lang w:val="en-GB"/>
        </w:rPr>
        <w:t xml:space="preserve">) so that every reported FPV quantity is a difference between two runs of the same configuration rather than an absolute prediction. </w:t>
      </w:r>
    </w:p>
    <w:p w14:paraId="4D9D48CF" w14:textId="735947FF" w:rsidR="006D4C04" w:rsidRDefault="00215826" w:rsidP="00215826">
      <w:pPr>
        <w:pStyle w:val="SWCText"/>
        <w:rPr>
          <w:lang w:val="en-GB"/>
        </w:rPr>
      </w:pPr>
      <w:r w:rsidRPr="00215826">
        <w:rPr>
          <w:lang w:val="en-GB"/>
        </w:rPr>
        <w:t>Photovoltaic yield is calculated for a declared horizontal-plane crystalline-silicon reference system using the PVGIS 5 non-interactive service</w:t>
      </w:r>
      <w:r w:rsidR="007E32A8">
        <w:rPr>
          <w:lang w:val="en-GB"/>
        </w:rPr>
        <w:t xml:space="preserve"> (</w:t>
      </w:r>
      <w:hyperlink w:anchor="Ref13" w:history="1">
        <w:r w:rsidR="007E32A8" w:rsidRPr="007C7EE3">
          <w:rPr>
            <w:rStyle w:val="Hyperlink"/>
            <w:lang w:val="en-GB"/>
          </w:rPr>
          <w:t>Huld et al., 2012</w:t>
        </w:r>
      </w:hyperlink>
      <w:proofErr w:type="gramStart"/>
      <w:r w:rsidR="007E32A8">
        <w:rPr>
          <w:lang w:val="en-GB"/>
        </w:rPr>
        <w:t>)</w:t>
      </w:r>
      <w:r w:rsidRPr="00215826">
        <w:rPr>
          <w:lang w:val="en-GB"/>
        </w:rPr>
        <w:t>, and</w:t>
      </w:r>
      <w:proofErr w:type="gramEnd"/>
      <w:r w:rsidRPr="00215826">
        <w:rPr>
          <w:lang w:val="en-GB"/>
        </w:rPr>
        <w:t xml:space="preserve"> independently recomputed with </w:t>
      </w:r>
      <w:proofErr w:type="spellStart"/>
      <w:r w:rsidRPr="00215826">
        <w:rPr>
          <w:lang w:val="en-GB"/>
        </w:rPr>
        <w:t>PySAM</w:t>
      </w:r>
      <w:proofErr w:type="spellEnd"/>
      <w:r w:rsidRPr="00215826">
        <w:rPr>
          <w:lang w:val="en-GB"/>
        </w:rPr>
        <w:t xml:space="preserve"> using the </w:t>
      </w:r>
      <w:proofErr w:type="spellStart"/>
      <w:r w:rsidRPr="00215826">
        <w:rPr>
          <w:lang w:val="en-GB"/>
        </w:rPr>
        <w:t>PVWatts</w:t>
      </w:r>
      <w:proofErr w:type="spellEnd"/>
      <w:r w:rsidRPr="00215826">
        <w:rPr>
          <w:lang w:val="en-GB"/>
        </w:rPr>
        <w:t xml:space="preserve"> v5 model </w:t>
      </w:r>
      <w:r w:rsidR="007E32A8">
        <w:rPr>
          <w:lang w:val="en-GB"/>
        </w:rPr>
        <w:t>(</w:t>
      </w:r>
      <w:hyperlink w:anchor="Ref14" w:history="1">
        <w:r w:rsidR="007E32A8" w:rsidRPr="00EB35FF">
          <w:rPr>
            <w:rStyle w:val="Hyperlink"/>
            <w:lang w:val="en-GB"/>
          </w:rPr>
          <w:t>Dobos, 2014</w:t>
        </w:r>
      </w:hyperlink>
      <w:r w:rsidR="007E32A8">
        <w:rPr>
          <w:lang w:val="en-GB"/>
        </w:rPr>
        <w:t>)</w:t>
      </w:r>
      <w:r w:rsidRPr="00215826">
        <w:rPr>
          <w:lang w:val="en-GB"/>
        </w:rPr>
        <w:t xml:space="preserve"> on the same input, with a 10% gross-error ceiling. No FPV cooling uplift is applied to the yield. The coupling from modelled water surface temperature to module operating temperature and hence to conversion efficiency is not implemented in the present register, so this energy module reports an open-water screening yield.</w:t>
      </w:r>
    </w:p>
    <w:p w14:paraId="7ACB7BC7" w14:textId="4C62ACD2" w:rsidR="00215826" w:rsidRPr="005B3651" w:rsidRDefault="00215826" w:rsidP="00215826">
      <w:pPr>
        <w:pStyle w:val="SWCHeading1"/>
      </w:pPr>
      <w:r>
        <w:t>Results</w:t>
      </w:r>
    </w:p>
    <w:p w14:paraId="30EE128D" w14:textId="2B9FFE6B" w:rsidR="00C65EFC" w:rsidRDefault="00C65EFC" w:rsidP="00C65EFC">
      <w:pPr>
        <w:pStyle w:val="SWCText"/>
        <w:rPr>
          <w:rFonts w:asciiTheme="minorBidi" w:hAnsiTheme="minorBidi" w:cstheme="minorBidi"/>
          <w:i/>
          <w:iCs/>
          <w:lang w:val="en-GB"/>
        </w:rPr>
      </w:pPr>
      <w:r w:rsidRPr="00C65EFC">
        <w:rPr>
          <w:lang w:val="en-GB"/>
        </w:rPr>
        <w:t xml:space="preserve">Lac du Bourget is a deep, warm </w:t>
      </w:r>
      <w:proofErr w:type="spellStart"/>
      <w:r w:rsidRPr="00C65EFC">
        <w:rPr>
          <w:lang w:val="en-GB"/>
        </w:rPr>
        <w:t>monomictic</w:t>
      </w:r>
      <w:proofErr w:type="spellEnd"/>
      <w:r w:rsidRPr="00C65EFC">
        <w:rPr>
          <w:lang w:val="en-GB"/>
        </w:rPr>
        <w:t xml:space="preserve"> peri-alpine lake in Savoie, France. The observational core of this study is the long-term monitoring station Point B (5.86◦E, 45.75583◦N).</w:t>
      </w:r>
    </w:p>
    <w:p w14:paraId="41E391A5" w14:textId="127F18FB" w:rsidR="006D4C04" w:rsidRDefault="00C65EFC" w:rsidP="006D4C04">
      <w:pPr>
        <w:pStyle w:val="SWCText"/>
        <w:rPr>
          <w:lang w:val="en-GB"/>
        </w:rPr>
      </w:pPr>
      <w:r>
        <w:rPr>
          <w:rFonts w:asciiTheme="minorBidi" w:hAnsiTheme="minorBidi" w:cstheme="minorBidi"/>
          <w:i/>
          <w:iCs/>
          <w:lang w:val="en-GB"/>
        </w:rPr>
        <w:t>4</w:t>
      </w:r>
      <w:r w:rsidRPr="008A7B8B">
        <w:rPr>
          <w:rFonts w:asciiTheme="minorBidi" w:hAnsiTheme="minorBidi" w:cstheme="minorBidi"/>
          <w:i/>
          <w:iCs/>
          <w:lang w:val="en-GB"/>
        </w:rPr>
        <w:t>.</w:t>
      </w:r>
      <w:r>
        <w:rPr>
          <w:rFonts w:asciiTheme="minorBidi" w:hAnsiTheme="minorBidi" w:cstheme="minorBidi"/>
          <w:i/>
          <w:iCs/>
          <w:lang w:val="en-GB"/>
        </w:rPr>
        <w:t>1</w:t>
      </w:r>
      <w:r w:rsidRPr="008A7B8B">
        <w:rPr>
          <w:rFonts w:asciiTheme="minorBidi" w:hAnsiTheme="minorBidi" w:cstheme="minorBidi"/>
          <w:i/>
          <w:iCs/>
          <w:lang w:val="en-GB"/>
        </w:rPr>
        <w:t>. Photovoltaic energy and scenario differencing</w:t>
      </w:r>
    </w:p>
    <w:p w14:paraId="241189DD" w14:textId="15DA7D60" w:rsidR="00B701D1" w:rsidRPr="00B701D1" w:rsidRDefault="00B701D1" w:rsidP="007E32A8">
      <w:pPr>
        <w:pStyle w:val="SWCText"/>
        <w:rPr>
          <w:lang w:val="en-GB"/>
        </w:rPr>
      </w:pPr>
      <w:hyperlink w:anchor="Tab1" w:history="1">
        <w:r w:rsidRPr="00431A1F">
          <w:rPr>
            <w:rStyle w:val="Hyperlink"/>
            <w:lang w:val="en-GB"/>
          </w:rPr>
          <w:t>Table 1</w:t>
        </w:r>
      </w:hyperlink>
      <w:r w:rsidRPr="00B701D1">
        <w:rPr>
          <w:lang w:val="en-GB"/>
        </w:rPr>
        <w:t xml:space="preserve"> lists the datasets used and the role each plays. Observations from the lake observatory are used under their published terms of use </w:t>
      </w:r>
      <w:r w:rsidR="007E32A8">
        <w:rPr>
          <w:lang w:val="en-GB"/>
        </w:rPr>
        <w:t>(</w:t>
      </w:r>
      <w:hyperlink w:anchor="Ref11" w:history="1">
        <w:r w:rsidR="007E32A8" w:rsidRPr="00EB35FF">
          <w:rPr>
            <w:rStyle w:val="Hyperlink"/>
            <w:lang w:val="en-GB"/>
          </w:rPr>
          <w:t>Rimet et al., 2020</w:t>
        </w:r>
      </w:hyperlink>
      <w:r w:rsidR="007E32A8">
        <w:rPr>
          <w:lang w:val="en-GB"/>
        </w:rPr>
        <w:t>)</w:t>
      </w:r>
      <w:r w:rsidRPr="00B701D1">
        <w:rPr>
          <w:lang w:val="en-GB"/>
        </w:rPr>
        <w:t>; no restricted raw data are reproduced here. The regional export contributes 312 net-new temperature observations at Point B for 2024–2025, spanning 0.1 to</w:t>
      </w:r>
      <w:r>
        <w:rPr>
          <w:lang w:val="en-GB"/>
        </w:rPr>
        <w:t xml:space="preserve"> </w:t>
      </w:r>
      <w:r w:rsidRPr="00B701D1">
        <w:rPr>
          <w:lang w:val="en-GB"/>
        </w:rPr>
        <w:t>142.1</w:t>
      </w:r>
      <w:r>
        <w:rPr>
          <w:lang w:val="en-GB"/>
        </w:rPr>
        <w:t xml:space="preserve"> </w:t>
      </w:r>
      <w:r w:rsidRPr="00B701D1">
        <w:rPr>
          <w:lang w:val="en-GB"/>
        </w:rPr>
        <w:t>m; a</w:t>
      </w:r>
      <w:r>
        <w:rPr>
          <w:lang w:val="en-GB"/>
        </w:rPr>
        <w:t xml:space="preserve"> </w:t>
      </w:r>
      <w:r w:rsidRPr="00B701D1">
        <w:rPr>
          <w:lang w:val="en-GB"/>
        </w:rPr>
        <w:t>52-row profile republished from the observatory archive was identified and counted once.</w:t>
      </w:r>
    </w:p>
    <w:p w14:paraId="4FE2BC39" w14:textId="77777777" w:rsidR="00B701D1" w:rsidRPr="00B701D1" w:rsidRDefault="00B701D1" w:rsidP="00B701D1">
      <w:pPr>
        <w:pStyle w:val="SWCText"/>
        <w:rPr>
          <w:lang w:val="en-GB"/>
        </w:rPr>
      </w:pPr>
      <w:r w:rsidRPr="008A7B8B">
        <w:rPr>
          <w:rFonts w:asciiTheme="minorBidi" w:hAnsiTheme="minorBidi" w:cstheme="minorBidi"/>
          <w:i/>
          <w:iCs/>
          <w:lang w:val="en-GB"/>
        </w:rPr>
        <w:t>4.2. Thermal model evaluation</w:t>
      </w:r>
    </w:p>
    <w:p w14:paraId="0E9640E6" w14:textId="3AA219D6" w:rsidR="00431A1F" w:rsidRDefault="00B701D1" w:rsidP="00431A1F">
      <w:pPr>
        <w:pStyle w:val="SWCText"/>
        <w:rPr>
          <w:lang w:val="en-GB"/>
        </w:rPr>
      </w:pPr>
      <w:hyperlink w:anchor="Tab5" w:history="1">
        <w:r w:rsidRPr="00431A1F">
          <w:rPr>
            <w:rStyle w:val="Hyperlink"/>
            <w:lang w:val="en-GB"/>
          </w:rPr>
          <w:t>Table 5</w:t>
        </w:r>
      </w:hyperlink>
      <w:r w:rsidRPr="00B701D1">
        <w:rPr>
          <w:lang w:val="en-GB"/>
        </w:rPr>
        <w:t xml:space="preserve"> reports the four evaluation stages in the order they were executed. </w:t>
      </w:r>
      <w:r w:rsidR="00431A1F" w:rsidRPr="00431A1F">
        <w:rPr>
          <w:lang w:val="en-GB"/>
        </w:rPr>
        <w:t>Over the</w:t>
      </w:r>
      <w:r w:rsidR="00431A1F">
        <w:rPr>
          <w:lang w:val="en-GB"/>
        </w:rPr>
        <w:t xml:space="preserve"> </w:t>
      </w:r>
      <w:r w:rsidR="00431A1F" w:rsidRPr="00431A1F">
        <w:rPr>
          <w:lang w:val="en-GB"/>
        </w:rPr>
        <w:t>96-date set the</w:t>
      </w:r>
      <w:r w:rsidR="00431A1F">
        <w:rPr>
          <w:lang w:val="en-GB"/>
        </w:rPr>
        <w:t xml:space="preserve"> </w:t>
      </w:r>
      <w:r w:rsidR="00431A1F" w:rsidRPr="00431A1F">
        <w:rPr>
          <w:lang w:val="en-GB"/>
        </w:rPr>
        <w:t>model gives</w:t>
      </w:r>
      <w:r w:rsidR="00431A1F">
        <w:rPr>
          <w:lang w:val="en-GB"/>
        </w:rPr>
        <w:t xml:space="preserve"> </w:t>
      </w:r>
      <w:r w:rsidR="00431A1F" w:rsidRPr="008A7B8B">
        <w:rPr>
          <w:i/>
          <w:iCs/>
          <w:lang w:val="en-GB"/>
        </w:rPr>
        <w:t>MAE</w:t>
      </w:r>
      <w:r w:rsidR="00431A1F">
        <w:rPr>
          <w:lang w:val="en-GB"/>
        </w:rPr>
        <w:t xml:space="preserve"> </w:t>
      </w:r>
      <w:r w:rsidR="00431A1F" w:rsidRPr="00431A1F">
        <w:rPr>
          <w:lang w:val="en-GB"/>
        </w:rPr>
        <w:t xml:space="preserve">0.337 </w:t>
      </w:r>
      <w:r w:rsidR="00431A1F">
        <w:rPr>
          <w:lang w:val="en-GB"/>
        </w:rPr>
        <w:t>°</w:t>
      </w:r>
      <w:r w:rsidR="00431A1F" w:rsidRPr="00431A1F">
        <w:rPr>
          <w:lang w:val="en-GB"/>
        </w:rPr>
        <w:t xml:space="preserve">C, </w:t>
      </w:r>
      <w:r w:rsidR="00431A1F" w:rsidRPr="008A7B8B">
        <w:rPr>
          <w:i/>
          <w:iCs/>
          <w:lang w:val="en-GB"/>
        </w:rPr>
        <w:t>bias</w:t>
      </w:r>
      <w:r w:rsidR="00431A1F">
        <w:rPr>
          <w:lang w:val="en-GB"/>
        </w:rPr>
        <w:t xml:space="preserve"> </w:t>
      </w:r>
      <w:r w:rsidR="00431A1F" w:rsidRPr="00431A1F">
        <w:rPr>
          <w:lang w:val="en-GB"/>
        </w:rPr>
        <w:t xml:space="preserve">−0.171 ◦C, </w:t>
      </w:r>
      <w:r w:rsidR="00431A1F" w:rsidRPr="008A7B8B">
        <w:rPr>
          <w:i/>
          <w:iCs/>
          <w:lang w:val="en-GB"/>
        </w:rPr>
        <w:t>r</w:t>
      </w:r>
      <w:r w:rsidR="00431A1F">
        <w:rPr>
          <w:lang w:val="en-GB"/>
        </w:rPr>
        <w:t xml:space="preserve"> </w:t>
      </w:r>
      <w:r w:rsidR="00431A1F" w:rsidRPr="00431A1F">
        <w:rPr>
          <w:lang w:val="en-GB"/>
        </w:rPr>
        <w:t>=</w:t>
      </w:r>
      <w:r w:rsidR="00431A1F">
        <w:rPr>
          <w:lang w:val="en-GB"/>
        </w:rPr>
        <w:t xml:space="preserve"> </w:t>
      </w:r>
      <w:r w:rsidR="00431A1F" w:rsidRPr="00431A1F">
        <w:rPr>
          <w:lang w:val="en-GB"/>
        </w:rPr>
        <w:t>0.984</w:t>
      </w:r>
      <w:r w:rsidR="00431A1F">
        <w:rPr>
          <w:lang w:val="en-GB"/>
        </w:rPr>
        <w:t xml:space="preserve"> </w:t>
      </w:r>
      <w:r w:rsidR="00431A1F" w:rsidRPr="00431A1F">
        <w:rPr>
          <w:lang w:val="en-GB"/>
        </w:rPr>
        <w:t>and</w:t>
      </w:r>
      <w:r w:rsidR="00431A1F">
        <w:rPr>
          <w:lang w:val="en-GB"/>
        </w:rPr>
        <w:t xml:space="preserve"> </w:t>
      </w:r>
      <w:r w:rsidR="00431A1F" w:rsidRPr="008A7B8B">
        <w:rPr>
          <w:i/>
          <w:iCs/>
          <w:lang w:val="en-GB"/>
        </w:rPr>
        <w:t>NSE</w:t>
      </w:r>
      <w:r w:rsidR="00431A1F">
        <w:rPr>
          <w:lang w:val="en-GB"/>
        </w:rPr>
        <w:t xml:space="preserve"> </w:t>
      </w:r>
      <w:r w:rsidR="00431A1F" w:rsidRPr="00431A1F">
        <w:rPr>
          <w:lang w:val="en-GB"/>
        </w:rPr>
        <w:t>0.965,</w:t>
      </w:r>
      <w:r w:rsidR="00431A1F">
        <w:rPr>
          <w:lang w:val="en-GB"/>
        </w:rPr>
        <w:t xml:space="preserve"> </w:t>
      </w:r>
      <w:r w:rsidR="00431A1F" w:rsidRPr="00431A1F">
        <w:rPr>
          <w:lang w:val="en-GB"/>
        </w:rPr>
        <w:t>with a</w:t>
      </w:r>
      <w:r w:rsidR="00431A1F">
        <w:rPr>
          <w:lang w:val="en-GB"/>
        </w:rPr>
        <w:t xml:space="preserve"> </w:t>
      </w:r>
      <w:r w:rsidR="00431A1F" w:rsidRPr="00431A1F">
        <w:rPr>
          <w:lang w:val="en-GB"/>
        </w:rPr>
        <w:t>date-weighted</w:t>
      </w:r>
      <w:r w:rsidR="00431A1F">
        <w:rPr>
          <w:lang w:val="en-GB"/>
        </w:rPr>
        <w:t xml:space="preserve"> </w:t>
      </w:r>
      <w:r w:rsidR="00431A1F" w:rsidRPr="008A7B8B">
        <w:rPr>
          <w:i/>
          <w:iCs/>
          <w:lang w:val="en-GB"/>
        </w:rPr>
        <w:t>RMSE</w:t>
      </w:r>
      <w:r w:rsidR="00431A1F">
        <w:rPr>
          <w:lang w:val="en-GB"/>
        </w:rPr>
        <w:t xml:space="preserve"> </w:t>
      </w:r>
      <w:r w:rsidR="00431A1F" w:rsidRPr="00431A1F">
        <w:rPr>
          <w:lang w:val="en-GB"/>
        </w:rPr>
        <w:t>of</w:t>
      </w:r>
      <w:r w:rsidR="00431A1F">
        <w:rPr>
          <w:lang w:val="en-GB"/>
        </w:rPr>
        <w:t xml:space="preserve"> </w:t>
      </w:r>
      <w:r w:rsidR="00431A1F" w:rsidRPr="00431A1F">
        <w:rPr>
          <w:lang w:val="en-GB"/>
        </w:rPr>
        <w:t>0.647</w:t>
      </w:r>
      <w:r w:rsidR="00431A1F">
        <w:rPr>
          <w:lang w:val="en-GB"/>
        </w:rPr>
        <w:t xml:space="preserve"> °</w:t>
      </w:r>
      <w:r w:rsidR="00431A1F" w:rsidRPr="00431A1F">
        <w:rPr>
          <w:lang w:val="en-GB"/>
        </w:rPr>
        <w:t>C.</w:t>
      </w:r>
      <w:r w:rsidR="00431A1F">
        <w:rPr>
          <w:lang w:val="en-GB"/>
        </w:rPr>
        <w:t xml:space="preserve"> </w:t>
      </w:r>
      <w:r w:rsidR="00431A1F" w:rsidRPr="00431A1F">
        <w:rPr>
          <w:lang w:val="en-GB"/>
        </w:rPr>
        <w:t>All four</w:t>
      </w:r>
      <w:r w:rsidR="00431A1F">
        <w:rPr>
          <w:lang w:val="en-GB"/>
        </w:rPr>
        <w:t xml:space="preserve"> </w:t>
      </w:r>
      <w:r w:rsidR="00431A1F" w:rsidRPr="00431A1F">
        <w:rPr>
          <w:lang w:val="en-GB"/>
        </w:rPr>
        <w:t>predeclared</w:t>
      </w:r>
      <w:r w:rsidR="00431A1F">
        <w:rPr>
          <w:lang w:val="en-GB"/>
        </w:rPr>
        <w:t xml:space="preserve"> </w:t>
      </w:r>
      <w:r w:rsidR="00431A1F" w:rsidRPr="00431A1F">
        <w:rPr>
          <w:lang w:val="en-GB"/>
        </w:rPr>
        <w:t>thresholds</w:t>
      </w:r>
      <w:r w:rsidR="00431A1F">
        <w:rPr>
          <w:lang w:val="en-GB"/>
        </w:rPr>
        <w:t xml:space="preserve"> </w:t>
      </w:r>
      <w:r w:rsidR="00431A1F" w:rsidRPr="00431A1F">
        <w:rPr>
          <w:lang w:val="en-GB"/>
        </w:rPr>
        <w:t>are</w:t>
      </w:r>
      <w:r w:rsidR="00431A1F">
        <w:rPr>
          <w:lang w:val="en-GB"/>
        </w:rPr>
        <w:t xml:space="preserve"> </w:t>
      </w:r>
      <w:r w:rsidR="00431A1F" w:rsidRPr="00431A1F">
        <w:rPr>
          <w:lang w:val="en-GB"/>
        </w:rPr>
        <w:t>cleared, the tightest</w:t>
      </w:r>
      <w:r w:rsidR="00431A1F">
        <w:rPr>
          <w:lang w:val="en-GB"/>
        </w:rPr>
        <w:t xml:space="preserve"> </w:t>
      </w:r>
      <w:r w:rsidR="00431A1F" w:rsidRPr="00431A1F">
        <w:rPr>
          <w:lang w:val="en-GB"/>
        </w:rPr>
        <w:t>being</w:t>
      </w:r>
      <w:r w:rsidR="00431A1F">
        <w:rPr>
          <w:lang w:val="en-GB"/>
        </w:rPr>
        <w:t xml:space="preserve"> </w:t>
      </w:r>
      <w:r w:rsidR="00431A1F" w:rsidRPr="00431A1F">
        <w:rPr>
          <w:lang w:val="en-GB"/>
        </w:rPr>
        <w:t>bias</w:t>
      </w:r>
      <w:r w:rsidR="00431A1F">
        <w:rPr>
          <w:lang w:val="en-GB"/>
        </w:rPr>
        <w:t xml:space="preserve"> </w:t>
      </w:r>
      <w:r w:rsidR="00431A1F" w:rsidRPr="00431A1F">
        <w:rPr>
          <w:lang w:val="en-GB"/>
        </w:rPr>
        <w:t>at approximately</w:t>
      </w:r>
      <w:r w:rsidR="00431A1F">
        <w:rPr>
          <w:lang w:val="en-GB"/>
        </w:rPr>
        <w:t xml:space="preserve"> </w:t>
      </w:r>
      <w:r w:rsidR="00431A1F" w:rsidRPr="00431A1F">
        <w:rPr>
          <w:lang w:val="en-GB"/>
        </w:rPr>
        <w:t>11%</w:t>
      </w:r>
      <w:r w:rsidR="00431A1F">
        <w:rPr>
          <w:lang w:val="en-GB"/>
        </w:rPr>
        <w:t xml:space="preserve"> </w:t>
      </w:r>
      <w:r w:rsidR="00431A1F" w:rsidRPr="00431A1F">
        <w:rPr>
          <w:lang w:val="en-GB"/>
        </w:rPr>
        <w:t>of</w:t>
      </w:r>
      <w:r w:rsidR="00431A1F">
        <w:rPr>
          <w:lang w:val="en-GB"/>
        </w:rPr>
        <w:t xml:space="preserve"> </w:t>
      </w:r>
      <w:r w:rsidR="00431A1F" w:rsidRPr="00431A1F">
        <w:rPr>
          <w:lang w:val="en-GB"/>
        </w:rPr>
        <w:t>its</w:t>
      </w:r>
      <w:r w:rsidR="00431A1F">
        <w:rPr>
          <w:lang w:val="en-GB"/>
        </w:rPr>
        <w:t xml:space="preserve"> </w:t>
      </w:r>
      <w:r w:rsidR="00431A1F" w:rsidRPr="00431A1F">
        <w:rPr>
          <w:lang w:val="en-GB"/>
        </w:rPr>
        <w:t>allowance. The</w:t>
      </w:r>
      <w:r w:rsidR="00431A1F">
        <w:rPr>
          <w:lang w:val="en-GB"/>
        </w:rPr>
        <w:t xml:space="preserve"> </w:t>
      </w:r>
      <w:r w:rsidR="00431A1F" w:rsidRPr="00431A1F">
        <w:rPr>
          <w:lang w:val="en-GB"/>
        </w:rPr>
        <w:t>calibration</w:t>
      </w:r>
      <w:r w:rsidR="00431A1F">
        <w:rPr>
          <w:lang w:val="en-GB"/>
        </w:rPr>
        <w:t xml:space="preserve"> </w:t>
      </w:r>
      <w:r w:rsidR="00431A1F" w:rsidRPr="00431A1F">
        <w:rPr>
          <w:lang w:val="en-GB"/>
        </w:rPr>
        <w:t>row</w:t>
      </w:r>
      <w:r w:rsidR="00431A1F">
        <w:rPr>
          <w:lang w:val="en-GB"/>
        </w:rPr>
        <w:t xml:space="preserve"> </w:t>
      </w:r>
      <w:r w:rsidR="00431A1F" w:rsidRPr="00431A1F">
        <w:rPr>
          <w:lang w:val="en-GB"/>
        </w:rPr>
        <w:t>establishes</w:t>
      </w:r>
      <w:r w:rsidR="00431A1F">
        <w:rPr>
          <w:lang w:val="en-GB"/>
        </w:rPr>
        <w:t xml:space="preserve"> </w:t>
      </w:r>
      <w:r w:rsidR="00431A1F" w:rsidRPr="00431A1F">
        <w:rPr>
          <w:lang w:val="en-GB"/>
        </w:rPr>
        <w:t>nothing</w:t>
      </w:r>
      <w:r w:rsidR="00431A1F">
        <w:rPr>
          <w:lang w:val="en-GB"/>
        </w:rPr>
        <w:t xml:space="preserve"> </w:t>
      </w:r>
      <w:r w:rsidR="00431A1F" w:rsidRPr="00431A1F">
        <w:rPr>
          <w:lang w:val="en-GB"/>
        </w:rPr>
        <w:t>on</w:t>
      </w:r>
      <w:r w:rsidR="00431A1F">
        <w:rPr>
          <w:lang w:val="en-GB"/>
        </w:rPr>
        <w:t xml:space="preserve"> </w:t>
      </w:r>
      <w:r w:rsidR="00431A1F" w:rsidRPr="00431A1F">
        <w:rPr>
          <w:lang w:val="en-GB"/>
        </w:rPr>
        <w:t>its</w:t>
      </w:r>
      <w:r w:rsidR="00431A1F">
        <w:rPr>
          <w:lang w:val="en-GB"/>
        </w:rPr>
        <w:t xml:space="preserve"> </w:t>
      </w:r>
      <w:r w:rsidR="00431A1F" w:rsidRPr="00431A1F">
        <w:rPr>
          <w:lang w:val="en-GB"/>
        </w:rPr>
        <w:t>own; the</w:t>
      </w:r>
      <w:r w:rsidR="00431A1F">
        <w:rPr>
          <w:lang w:val="en-GB"/>
        </w:rPr>
        <w:t xml:space="preserve"> </w:t>
      </w:r>
      <w:r w:rsidR="00431A1F" w:rsidRPr="00431A1F">
        <w:rPr>
          <w:lang w:val="en-GB"/>
        </w:rPr>
        <w:t>evidence</w:t>
      </w:r>
      <w:r w:rsidR="00431A1F">
        <w:rPr>
          <w:lang w:val="en-GB"/>
        </w:rPr>
        <w:t xml:space="preserve"> </w:t>
      </w:r>
      <w:r w:rsidR="00431A1F" w:rsidRPr="00431A1F">
        <w:rPr>
          <w:lang w:val="en-GB"/>
        </w:rPr>
        <w:t>lies</w:t>
      </w:r>
      <w:r w:rsidR="00431A1F">
        <w:rPr>
          <w:lang w:val="en-GB"/>
        </w:rPr>
        <w:t xml:space="preserve"> </w:t>
      </w:r>
      <w:r w:rsidR="00431A1F" w:rsidRPr="00431A1F">
        <w:rPr>
          <w:lang w:val="en-GB"/>
        </w:rPr>
        <w:t>in the</w:t>
      </w:r>
      <w:r w:rsidR="00431A1F">
        <w:rPr>
          <w:lang w:val="en-GB"/>
        </w:rPr>
        <w:t xml:space="preserve"> </w:t>
      </w:r>
      <w:r w:rsidR="00431A1F" w:rsidRPr="00431A1F">
        <w:rPr>
          <w:lang w:val="en-GB"/>
        </w:rPr>
        <w:t>two</w:t>
      </w:r>
      <w:r w:rsidR="00431A1F">
        <w:rPr>
          <w:lang w:val="en-GB"/>
        </w:rPr>
        <w:t xml:space="preserve"> </w:t>
      </w:r>
      <w:r w:rsidR="00431A1F" w:rsidRPr="00431A1F">
        <w:rPr>
          <w:lang w:val="en-GB"/>
        </w:rPr>
        <w:t>stages</w:t>
      </w:r>
      <w:r w:rsidR="00431A1F">
        <w:rPr>
          <w:lang w:val="en-GB"/>
        </w:rPr>
        <w:t xml:space="preserve"> </w:t>
      </w:r>
      <w:r w:rsidR="00431A1F" w:rsidRPr="00431A1F">
        <w:rPr>
          <w:lang w:val="en-GB"/>
        </w:rPr>
        <w:t>where</w:t>
      </w:r>
      <w:r w:rsidR="00431A1F">
        <w:rPr>
          <w:lang w:val="en-GB"/>
        </w:rPr>
        <w:t xml:space="preserve"> </w:t>
      </w:r>
      <w:r w:rsidR="00431A1F" w:rsidRPr="00431A1F">
        <w:rPr>
          <w:lang w:val="en-GB"/>
        </w:rPr>
        <w:t>no</w:t>
      </w:r>
      <w:r w:rsidR="00431A1F">
        <w:rPr>
          <w:lang w:val="en-GB"/>
        </w:rPr>
        <w:t xml:space="preserve"> </w:t>
      </w:r>
      <w:r w:rsidR="00431A1F" w:rsidRPr="00431A1F">
        <w:rPr>
          <w:lang w:val="en-GB"/>
        </w:rPr>
        <w:t>parameter</w:t>
      </w:r>
      <w:r w:rsidR="00431A1F">
        <w:rPr>
          <w:lang w:val="en-GB"/>
        </w:rPr>
        <w:t xml:space="preserve"> </w:t>
      </w:r>
      <w:r w:rsidR="00431A1F" w:rsidRPr="00431A1F">
        <w:rPr>
          <w:lang w:val="en-GB"/>
        </w:rPr>
        <w:t>was</w:t>
      </w:r>
      <w:r w:rsidR="00431A1F">
        <w:rPr>
          <w:lang w:val="en-GB"/>
        </w:rPr>
        <w:t xml:space="preserve"> </w:t>
      </w:r>
      <w:r w:rsidR="00431A1F" w:rsidRPr="00431A1F">
        <w:rPr>
          <w:lang w:val="en-GB"/>
        </w:rPr>
        <w:t>re-adjusted.</w:t>
      </w:r>
      <w:r w:rsidR="00431A1F">
        <w:rPr>
          <w:lang w:val="en-GB"/>
        </w:rPr>
        <w:t xml:space="preserve"> </w:t>
      </w:r>
      <w:hyperlink w:anchor="Fig2" w:history="1">
        <w:r w:rsidR="00431A1F" w:rsidRPr="0020508B">
          <w:rPr>
            <w:rStyle w:val="Hyperlink"/>
            <w:lang w:val="en-GB"/>
          </w:rPr>
          <w:t>Figure 2</w:t>
        </w:r>
      </w:hyperlink>
      <w:r w:rsidR="00431A1F">
        <w:rPr>
          <w:lang w:val="en-GB"/>
        </w:rPr>
        <w:t xml:space="preserve"> </w:t>
      </w:r>
      <w:r w:rsidR="00431A1F" w:rsidRPr="00431A1F">
        <w:rPr>
          <w:lang w:val="en-GB"/>
        </w:rPr>
        <w:t>shows</w:t>
      </w:r>
      <w:r w:rsidR="00431A1F">
        <w:rPr>
          <w:lang w:val="en-GB"/>
        </w:rPr>
        <w:t xml:space="preserve"> </w:t>
      </w:r>
      <w:r w:rsidR="00431A1F" w:rsidRPr="00431A1F">
        <w:rPr>
          <w:lang w:val="en-GB"/>
        </w:rPr>
        <w:t>modelled</w:t>
      </w:r>
      <w:r w:rsidR="00431A1F">
        <w:rPr>
          <w:lang w:val="en-GB"/>
        </w:rPr>
        <w:t xml:space="preserve"> </w:t>
      </w:r>
      <w:r w:rsidR="00431A1F" w:rsidRPr="00431A1F">
        <w:rPr>
          <w:lang w:val="en-GB"/>
        </w:rPr>
        <w:t>against</w:t>
      </w:r>
      <w:r w:rsidR="00431A1F">
        <w:rPr>
          <w:lang w:val="en-GB"/>
        </w:rPr>
        <w:t xml:space="preserve"> </w:t>
      </w:r>
      <w:r w:rsidR="00431A1F" w:rsidRPr="00431A1F">
        <w:rPr>
          <w:lang w:val="en-GB"/>
        </w:rPr>
        <w:t>observed</w:t>
      </w:r>
      <w:r w:rsidR="00431A1F">
        <w:rPr>
          <w:lang w:val="en-GB"/>
        </w:rPr>
        <w:t xml:space="preserve"> </w:t>
      </w:r>
      <w:r w:rsidR="00431A1F" w:rsidRPr="00431A1F">
        <w:rPr>
          <w:lang w:val="en-GB"/>
        </w:rPr>
        <w:t>temperature</w:t>
      </w:r>
      <w:r w:rsidR="00431A1F">
        <w:rPr>
          <w:lang w:val="en-GB"/>
        </w:rPr>
        <w:t xml:space="preserve"> </w:t>
      </w:r>
      <w:r w:rsidR="00431A1F" w:rsidRPr="00431A1F">
        <w:rPr>
          <w:lang w:val="en-GB"/>
        </w:rPr>
        <w:t>and the</w:t>
      </w:r>
      <w:r w:rsidR="00431A1F">
        <w:rPr>
          <w:lang w:val="en-GB"/>
        </w:rPr>
        <w:t xml:space="preserve"> </w:t>
      </w:r>
      <w:r w:rsidR="00431A1F" w:rsidRPr="00431A1F">
        <w:rPr>
          <w:lang w:val="en-GB"/>
        </w:rPr>
        <w:t>distribution</w:t>
      </w:r>
      <w:r w:rsidR="00431A1F">
        <w:rPr>
          <w:lang w:val="en-GB"/>
        </w:rPr>
        <w:t xml:space="preserve"> </w:t>
      </w:r>
      <w:r w:rsidR="00431A1F" w:rsidRPr="00431A1F">
        <w:rPr>
          <w:lang w:val="en-GB"/>
        </w:rPr>
        <w:t>of</w:t>
      </w:r>
      <w:r w:rsidR="00431A1F">
        <w:rPr>
          <w:lang w:val="en-GB"/>
        </w:rPr>
        <w:t xml:space="preserve"> </w:t>
      </w:r>
      <w:r w:rsidR="00431A1F" w:rsidRPr="00431A1F">
        <w:rPr>
          <w:lang w:val="en-GB"/>
        </w:rPr>
        <w:t>whole-profile</w:t>
      </w:r>
      <w:r w:rsidR="00431A1F">
        <w:rPr>
          <w:lang w:val="en-GB"/>
        </w:rPr>
        <w:t xml:space="preserve"> </w:t>
      </w:r>
      <w:r w:rsidR="00431A1F" w:rsidRPr="00431A1F">
        <w:rPr>
          <w:lang w:val="en-GB"/>
        </w:rPr>
        <w:t>error</w:t>
      </w:r>
      <w:r w:rsidR="00431A1F">
        <w:rPr>
          <w:lang w:val="en-GB"/>
        </w:rPr>
        <w:t xml:space="preserve"> </w:t>
      </w:r>
      <w:r w:rsidR="00431A1F" w:rsidRPr="00431A1F">
        <w:rPr>
          <w:lang w:val="en-GB"/>
        </w:rPr>
        <w:t>against</w:t>
      </w:r>
      <w:r w:rsidR="00431A1F">
        <w:rPr>
          <w:lang w:val="en-GB"/>
        </w:rPr>
        <w:t xml:space="preserve"> </w:t>
      </w:r>
      <w:r w:rsidR="00431A1F" w:rsidRPr="00431A1F">
        <w:rPr>
          <w:lang w:val="en-GB"/>
        </w:rPr>
        <w:t>the</w:t>
      </w:r>
      <w:r w:rsidR="00431A1F">
        <w:rPr>
          <w:lang w:val="en-GB"/>
        </w:rPr>
        <w:t xml:space="preserve"> </w:t>
      </w:r>
      <w:r w:rsidR="00431A1F" w:rsidRPr="00431A1F">
        <w:rPr>
          <w:lang w:val="en-GB"/>
        </w:rPr>
        <w:t>acceptance</w:t>
      </w:r>
      <w:r w:rsidR="00431A1F">
        <w:rPr>
          <w:lang w:val="en-GB"/>
        </w:rPr>
        <w:t xml:space="preserve"> </w:t>
      </w:r>
      <w:r w:rsidR="00431A1F" w:rsidRPr="00431A1F">
        <w:rPr>
          <w:lang w:val="en-GB"/>
        </w:rPr>
        <w:t>threshold.</w:t>
      </w:r>
      <w:r w:rsidR="00431A1F">
        <w:rPr>
          <w:lang w:val="en-GB"/>
        </w:rPr>
        <w:t xml:space="preserve"> </w:t>
      </w:r>
    </w:p>
    <w:p w14:paraId="62235817" w14:textId="69B2E208" w:rsidR="00215826" w:rsidRDefault="00B701D1" w:rsidP="00431A1F">
      <w:pPr>
        <w:pStyle w:val="SWCText"/>
        <w:rPr>
          <w:lang w:val="en-GB"/>
        </w:rPr>
      </w:pPr>
      <w:r w:rsidRPr="00B701D1">
        <w:rPr>
          <w:lang w:val="en-GB"/>
        </w:rPr>
        <w:t xml:space="preserve">An independent, model-free reference was also computed. Pairing four 2024 profiles with four 2025 profiles by meteorological season, and interpolating only within observed reference-depth support, gives 142 comparisons with a pooled RMSE of 1.143 </w:t>
      </w:r>
      <w:r>
        <w:rPr>
          <w:lang w:val="en-GB"/>
        </w:rPr>
        <w:t>°</w:t>
      </w:r>
      <w:r w:rsidRPr="00B701D1">
        <w:rPr>
          <w:lang w:val="en-GB"/>
        </w:rPr>
        <w:t xml:space="preserve">C, MAE 0.603 </w:t>
      </w:r>
      <w:r>
        <w:rPr>
          <w:lang w:val="en-GB"/>
        </w:rPr>
        <w:t>°</w:t>
      </w:r>
      <w:r w:rsidRPr="00B701D1">
        <w:rPr>
          <w:lang w:val="en-GB"/>
        </w:rPr>
        <w:t xml:space="preserve">C, bias −0.055 </w:t>
      </w:r>
      <w:r>
        <w:rPr>
          <w:lang w:val="en-GB"/>
        </w:rPr>
        <w:t>°</w:t>
      </w:r>
      <w:r w:rsidRPr="00B701D1">
        <w:rPr>
          <w:lang w:val="en-GB"/>
        </w:rPr>
        <w:t>C, r</w:t>
      </w:r>
      <w:r>
        <w:rPr>
          <w:lang w:val="en-GB"/>
        </w:rPr>
        <w:t xml:space="preserve"> </w:t>
      </w:r>
      <w:r w:rsidRPr="00B701D1">
        <w:rPr>
          <w:lang w:val="en-GB"/>
        </w:rPr>
        <w:t>=</w:t>
      </w:r>
      <w:r>
        <w:rPr>
          <w:lang w:val="en-GB"/>
        </w:rPr>
        <w:t xml:space="preserve"> </w:t>
      </w:r>
      <w:r w:rsidRPr="00B701D1">
        <w:rPr>
          <w:lang w:val="en-GB"/>
        </w:rPr>
        <w:t xml:space="preserve">0.975, and a 0–5 m RMSE of 1.591 </w:t>
      </w:r>
      <w:r>
        <w:rPr>
          <w:lang w:val="en-GB"/>
        </w:rPr>
        <w:t>°</w:t>
      </w:r>
      <w:r w:rsidRPr="00B701D1">
        <w:rPr>
          <w:lang w:val="en-GB"/>
        </w:rPr>
        <w:t xml:space="preserve">C. A deterministic whole-profile boots trap over 4096 resamples gives a descriptive pooled-RMSE interval of 0.483–1.561 </w:t>
      </w:r>
      <w:r>
        <w:rPr>
          <w:lang w:val="en-GB"/>
        </w:rPr>
        <w:t>°</w:t>
      </w:r>
      <w:r w:rsidRPr="00B701D1">
        <w:rPr>
          <w:lang w:val="en-GB"/>
        </w:rPr>
        <w:t>C. This is a seasonal profile-persistence baseline, not a validation of GLM; its value is that it independently places the observational surface variability at Point B on the same order as the modelled surface error.</w:t>
      </w:r>
    </w:p>
    <w:p w14:paraId="789ECD75" w14:textId="710B02E9" w:rsidR="00C06336" w:rsidRPr="00C06336" w:rsidRDefault="00C06336" w:rsidP="00C06336">
      <w:pPr>
        <w:pStyle w:val="SWCText"/>
        <w:rPr>
          <w:lang w:val="en-GB"/>
        </w:rPr>
      </w:pPr>
      <w:r w:rsidRPr="008A7B8B">
        <w:rPr>
          <w:rFonts w:asciiTheme="minorBidi" w:hAnsiTheme="minorBidi" w:cstheme="minorBidi"/>
          <w:i/>
          <w:iCs/>
          <w:lang w:val="en-GB"/>
        </w:rPr>
        <w:t>4.3</w:t>
      </w:r>
      <w:r w:rsidR="009B153B">
        <w:rPr>
          <w:rFonts w:asciiTheme="minorBidi" w:hAnsiTheme="minorBidi" w:cstheme="minorBidi"/>
          <w:i/>
          <w:iCs/>
          <w:lang w:val="en-GB"/>
        </w:rPr>
        <w:t>.</w:t>
      </w:r>
      <w:r w:rsidRPr="008A7B8B">
        <w:rPr>
          <w:rFonts w:asciiTheme="minorBidi" w:hAnsiTheme="minorBidi" w:cstheme="minorBidi"/>
          <w:i/>
          <w:iCs/>
          <w:lang w:val="en-GB"/>
        </w:rPr>
        <w:t xml:space="preserve"> Depth-resolved error</w:t>
      </w:r>
    </w:p>
    <w:p w14:paraId="3F20F57C" w14:textId="4A71ECA6" w:rsidR="00B701D1" w:rsidRDefault="00C06336" w:rsidP="00C06336">
      <w:pPr>
        <w:pStyle w:val="SWCText"/>
        <w:rPr>
          <w:lang w:val="en-GB"/>
        </w:rPr>
      </w:pPr>
      <w:hyperlink w:anchor="Tab6" w:history="1">
        <w:r w:rsidRPr="00431A1F">
          <w:rPr>
            <w:rStyle w:val="Hyperlink"/>
            <w:lang w:val="en-GB"/>
          </w:rPr>
          <w:t>Table 6</w:t>
        </w:r>
      </w:hyperlink>
      <w:r w:rsidRPr="00C06336">
        <w:rPr>
          <w:lang w:val="en-GB"/>
        </w:rPr>
        <w:t xml:space="preserve"> decomposes the 96-date evaluation by depth. The pooled error is dominated by deep water, which is thermally quiescent throughout the year and correspondingly easy to reproduce. Only about 4% of the comparisons lie in the upper 5 m — the only layer on which an FPV array acts — and there the error is approximately twelve times larger than below 100 m. Reporting a single pooled RMSE would therefore substantially overstate the model’s skill for the question this study asks. This decomposition is in expensive to compute and, in the authors’ view, should accompany any lake-model result that is used to support a surface-forcing conclusion.</w:t>
      </w:r>
    </w:p>
    <w:p w14:paraId="66C560BD" w14:textId="3FE09E14" w:rsidR="00C06336" w:rsidRPr="00C06336" w:rsidRDefault="00C06336" w:rsidP="00C06336">
      <w:pPr>
        <w:pStyle w:val="SWCText"/>
        <w:rPr>
          <w:lang w:val="en-GB"/>
        </w:rPr>
      </w:pPr>
      <w:r w:rsidRPr="008A7B8B">
        <w:rPr>
          <w:rFonts w:asciiTheme="minorBidi" w:hAnsiTheme="minorBidi" w:cstheme="minorBidi"/>
          <w:i/>
          <w:iCs/>
          <w:lang w:val="en-GB"/>
        </w:rPr>
        <w:t>4.4</w:t>
      </w:r>
      <w:r w:rsidR="009B153B">
        <w:rPr>
          <w:rFonts w:asciiTheme="minorBidi" w:hAnsiTheme="minorBidi" w:cstheme="minorBidi"/>
          <w:i/>
          <w:iCs/>
          <w:lang w:val="en-GB"/>
        </w:rPr>
        <w:t>.</w:t>
      </w:r>
      <w:r w:rsidRPr="008A7B8B">
        <w:rPr>
          <w:rFonts w:asciiTheme="minorBidi" w:hAnsiTheme="minorBidi" w:cstheme="minorBidi"/>
          <w:i/>
          <w:iCs/>
          <w:lang w:val="en-GB"/>
        </w:rPr>
        <w:t xml:space="preserve"> FPV coverage scenarios</w:t>
      </w:r>
    </w:p>
    <w:p w14:paraId="63D0922A" w14:textId="42C5A51B" w:rsidR="00C06336" w:rsidRDefault="00C06336" w:rsidP="00C06336">
      <w:pPr>
        <w:pStyle w:val="SWCText"/>
        <w:rPr>
          <w:lang w:val="en-GB"/>
        </w:rPr>
      </w:pPr>
      <w:r w:rsidRPr="00C06336">
        <w:rPr>
          <w:lang w:val="en-GB"/>
        </w:rPr>
        <w:t xml:space="preserve">Low, central and high shielding bands were run for every integer coverage from 1% to 30%, producing 90 GLM simulations. </w:t>
      </w:r>
      <w:hyperlink w:anchor="Tab7" w:history="1">
        <w:r w:rsidRPr="00431A1F">
          <w:rPr>
            <w:rStyle w:val="Hyperlink"/>
            <w:lang w:val="en-GB"/>
          </w:rPr>
          <w:t>Table 7</w:t>
        </w:r>
      </w:hyperlink>
      <w:r w:rsidRPr="00C06336">
        <w:rPr>
          <w:lang w:val="en-GB"/>
        </w:rPr>
        <w:t xml:space="preserve"> gives the central results at selected coverages and </w:t>
      </w:r>
      <w:hyperlink w:anchor="Fig3" w:history="1">
        <w:r w:rsidRPr="00431A1F">
          <w:rPr>
            <w:rStyle w:val="Hyperlink"/>
            <w:lang w:val="en-GB"/>
          </w:rPr>
          <w:t>Figure 3</w:t>
        </w:r>
      </w:hyperlink>
      <w:r w:rsidRPr="00C06336">
        <w:rPr>
          <w:lang w:val="en-GB"/>
        </w:rPr>
        <w:t xml:space="preserve"> shows the full bands. The 30% </w:t>
      </w:r>
      <w:r w:rsidRPr="00C06336">
        <w:rPr>
          <w:lang w:val="en-GB"/>
        </w:rPr>
        <w:lastRenderedPageBreak/>
        <w:t>endpoint corresponds to13.35 km</w:t>
      </w:r>
      <w:r w:rsidRPr="008A7B8B">
        <w:rPr>
          <w:vertAlign w:val="superscript"/>
          <w:lang w:val="en-GB"/>
        </w:rPr>
        <w:t>2</w:t>
      </w:r>
      <w:r w:rsidRPr="00C06336">
        <w:rPr>
          <w:lang w:val="en-GB"/>
        </w:rPr>
        <w:t xml:space="preserve"> of whole-lake surface. It is a model stress test and not a proposed, permitted or buildable footprint; no exclusion analysis has been performed. The response is nonlinear across the range, so the bands should not be interpolated to coverages outside those simulated.</w:t>
      </w:r>
    </w:p>
    <w:p w14:paraId="09EFF053" w14:textId="02D60C9F" w:rsidR="00C06336" w:rsidRPr="00C06336" w:rsidRDefault="00C06336" w:rsidP="00C06336">
      <w:pPr>
        <w:pStyle w:val="SWCText"/>
        <w:rPr>
          <w:lang w:val="en-GB"/>
        </w:rPr>
      </w:pPr>
      <w:r w:rsidRPr="008A7B8B">
        <w:rPr>
          <w:rFonts w:asciiTheme="minorBidi" w:hAnsiTheme="minorBidi" w:cstheme="minorBidi"/>
          <w:i/>
          <w:iCs/>
          <w:lang w:val="en-GB"/>
        </w:rPr>
        <w:t>4.5</w:t>
      </w:r>
      <w:r w:rsidR="009B153B">
        <w:rPr>
          <w:rFonts w:asciiTheme="minorBidi" w:hAnsiTheme="minorBidi" w:cstheme="minorBidi"/>
          <w:i/>
          <w:iCs/>
          <w:lang w:val="en-GB"/>
        </w:rPr>
        <w:t>.</w:t>
      </w:r>
      <w:r w:rsidRPr="008A7B8B">
        <w:rPr>
          <w:rFonts w:asciiTheme="minorBidi" w:hAnsiTheme="minorBidi" w:cstheme="minorBidi"/>
          <w:i/>
          <w:iCs/>
          <w:lang w:val="en-GB"/>
        </w:rPr>
        <w:t xml:space="preserve"> Photovoltaic energy</w:t>
      </w:r>
    </w:p>
    <w:p w14:paraId="0D055240" w14:textId="58D8C449" w:rsidR="00C06336" w:rsidRDefault="00C06336" w:rsidP="00C06336">
      <w:pPr>
        <w:pStyle w:val="SWCText"/>
        <w:rPr>
          <w:lang w:val="en-GB"/>
        </w:rPr>
      </w:pPr>
      <w:r w:rsidRPr="00C06336">
        <w:rPr>
          <w:lang w:val="en-GB"/>
        </w:rPr>
        <w:t>For the declared horizontal-plane reference system, PVGIS gives a specific yield of 1088.471 kWh kWp</w:t>
      </w:r>
      <w:r w:rsidRPr="008A7B8B">
        <w:rPr>
          <w:vertAlign w:val="superscript"/>
          <w:lang w:val="en-GB"/>
        </w:rPr>
        <w:t>−1</w:t>
      </w:r>
      <w:r w:rsidRPr="00C06336">
        <w:rPr>
          <w:lang w:val="en-GB"/>
        </w:rPr>
        <w:t xml:space="preserve"> yr</w:t>
      </w:r>
      <w:r w:rsidRPr="008A7B8B">
        <w:rPr>
          <w:vertAlign w:val="superscript"/>
          <w:lang w:val="en-GB"/>
        </w:rPr>
        <w:t>−1</w:t>
      </w:r>
      <w:r w:rsidRPr="00C06336">
        <w:rPr>
          <w:lang w:val="en-GB"/>
        </w:rPr>
        <w:t xml:space="preserve"> and </w:t>
      </w:r>
      <w:proofErr w:type="spellStart"/>
      <w:r w:rsidRPr="00C06336">
        <w:rPr>
          <w:lang w:val="en-GB"/>
        </w:rPr>
        <w:t>PySAM</w:t>
      </w:r>
      <w:proofErr w:type="spellEnd"/>
      <w:r w:rsidRPr="00C06336">
        <w:rPr>
          <w:lang w:val="en-GB"/>
        </w:rPr>
        <w:t xml:space="preserve"> 1088.967 kWh kWp</w:t>
      </w:r>
      <w:r w:rsidRPr="008A7B8B">
        <w:rPr>
          <w:vertAlign w:val="superscript"/>
          <w:lang w:val="en-GB"/>
        </w:rPr>
        <w:t>−1</w:t>
      </w:r>
      <w:r w:rsidRPr="00C06336">
        <w:rPr>
          <w:lang w:val="en-GB"/>
        </w:rPr>
        <w:t>yr</w:t>
      </w:r>
      <w:r w:rsidRPr="008A7B8B">
        <w:rPr>
          <w:vertAlign w:val="superscript"/>
          <w:lang w:val="en-GB"/>
        </w:rPr>
        <w:t>−1</w:t>
      </w:r>
      <w:r w:rsidRPr="00C06336">
        <w:rPr>
          <w:lang w:val="en-GB"/>
        </w:rPr>
        <w:t>, an annual relative difference of 0.046% against the</w:t>
      </w:r>
      <w:r>
        <w:rPr>
          <w:lang w:val="en-GB"/>
        </w:rPr>
        <w:t xml:space="preserve"> </w:t>
      </w:r>
      <w:r w:rsidRPr="00C06336">
        <w:rPr>
          <w:lang w:val="en-GB"/>
        </w:rPr>
        <w:t>10% acceptance ceiling, with a maximum monthly difference of 7.902%. Both engines consume the same irradiance input, so this agreement demonstrates consistency of units, time handling and implementation between two independent codebases. It is not an independent validation of yield accuracy, and it contains no FPV-specific gain (</w:t>
      </w:r>
      <w:hyperlink w:anchor="Fig4" w:history="1">
        <w:r w:rsidRPr="00431A1F">
          <w:rPr>
            <w:rStyle w:val="Hyperlink"/>
            <w:lang w:val="en-GB"/>
          </w:rPr>
          <w:t>Fig. 4</w:t>
        </w:r>
      </w:hyperlink>
      <w:r w:rsidRPr="00C06336">
        <w:rPr>
          <w:lang w:val="en-GB"/>
        </w:rPr>
        <w:t>).</w:t>
      </w:r>
    </w:p>
    <w:p w14:paraId="31F3155B" w14:textId="077ECB9C" w:rsidR="000A20A4" w:rsidRPr="000A20A4" w:rsidRDefault="000A20A4" w:rsidP="000A20A4">
      <w:pPr>
        <w:pStyle w:val="SWCText"/>
        <w:rPr>
          <w:lang w:val="en-GB"/>
        </w:rPr>
      </w:pPr>
      <w:r w:rsidRPr="008A7B8B">
        <w:rPr>
          <w:rFonts w:asciiTheme="minorBidi" w:hAnsiTheme="minorBidi" w:cstheme="minorBidi"/>
          <w:i/>
          <w:iCs/>
          <w:lang w:val="en-GB"/>
        </w:rPr>
        <w:t>4.6. Module outcomes</w:t>
      </w:r>
    </w:p>
    <w:p w14:paraId="55871C2C" w14:textId="2EE3CB91" w:rsidR="000A20A4" w:rsidRPr="000A20A4" w:rsidRDefault="000A20A4" w:rsidP="000A20A4">
      <w:pPr>
        <w:pStyle w:val="SWCText"/>
        <w:rPr>
          <w:lang w:val="en-GB"/>
        </w:rPr>
      </w:pPr>
      <w:r w:rsidRPr="000A20A4">
        <w:rPr>
          <w:lang w:val="en-GB"/>
        </w:rPr>
        <w:t xml:space="preserve">The workflow executes every registered module for every lake. A module that cannot be supported by compatible local evidence returns a refusal naming the missing role, rather than a number derived from defaults. </w:t>
      </w:r>
      <w:hyperlink w:anchor="Tab8" w:history="1">
        <w:r w:rsidRPr="00431A1F">
          <w:rPr>
            <w:rStyle w:val="Hyperlink"/>
            <w:lang w:val="en-GB"/>
          </w:rPr>
          <w:t>Table 8</w:t>
        </w:r>
      </w:hyperlink>
      <w:r w:rsidRPr="000A20A4">
        <w:rPr>
          <w:lang w:val="en-GB"/>
        </w:rPr>
        <w:t xml:space="preserve"> reports the outcome for each domain.</w:t>
      </w:r>
    </w:p>
    <w:p w14:paraId="2195B84C" w14:textId="11D70E63" w:rsidR="00B701D1" w:rsidRDefault="000A20A4" w:rsidP="000A20A4">
      <w:pPr>
        <w:pStyle w:val="SWCText"/>
        <w:rPr>
          <w:lang w:val="en-GB"/>
        </w:rPr>
      </w:pPr>
      <w:r w:rsidRPr="000A20A4">
        <w:rPr>
          <w:lang w:val="en-GB"/>
        </w:rPr>
        <w:t xml:space="preserve">Six of the twelve domains return refusals. That is the claim ceiling of </w:t>
      </w:r>
      <w:hyperlink w:anchor="eq1" w:history="1">
        <w:r w:rsidRPr="0020508B">
          <w:rPr>
            <w:rStyle w:val="Hyperlink"/>
            <w:lang w:val="en-GB"/>
          </w:rPr>
          <w:t>Eq. (1)</w:t>
        </w:r>
      </w:hyperlink>
      <w:r w:rsidRPr="000A20A4">
        <w:rPr>
          <w:lang w:val="en-GB"/>
        </w:rPr>
        <w:t xml:space="preserve"> operating as designed. The value of the refusal is that it is specific: in each case the missing dataset, its owner class and its acceptance criteria are named, so the cost of removing the limitation can be estimated rather than guessed.</w:t>
      </w:r>
    </w:p>
    <w:p w14:paraId="5A54AE04" w14:textId="7ECED808" w:rsidR="000A20A4" w:rsidRPr="000A20A4" w:rsidRDefault="000A20A4" w:rsidP="000A20A4">
      <w:pPr>
        <w:pStyle w:val="SWCText"/>
        <w:rPr>
          <w:lang w:val="en-GB"/>
        </w:rPr>
      </w:pPr>
      <w:r w:rsidRPr="008A7B8B">
        <w:rPr>
          <w:rFonts w:asciiTheme="minorBidi" w:hAnsiTheme="minorBidi" w:cstheme="minorBidi"/>
          <w:i/>
          <w:iCs/>
          <w:lang w:val="en-GB"/>
        </w:rPr>
        <w:t>4.7. Morphology reconciliation</w:t>
      </w:r>
    </w:p>
    <w:p w14:paraId="7DA4BC52" w14:textId="4C5CFEFD" w:rsidR="000A20A4" w:rsidRPr="000A20A4" w:rsidRDefault="000A20A4" w:rsidP="000A20A4">
      <w:pPr>
        <w:pStyle w:val="SWCText"/>
        <w:rPr>
          <w:lang w:val="en-GB"/>
        </w:rPr>
      </w:pPr>
      <w:r w:rsidRPr="000A20A4">
        <w:rPr>
          <w:lang w:val="en-GB"/>
        </w:rPr>
        <w:t xml:space="preserve">The measured 145-row depth–area table for the lake was obtained after the simulations reported above were completed. It was reconciled against the analytical curve of </w:t>
      </w:r>
      <w:hyperlink w:anchor="eq2" w:history="1">
        <w:r w:rsidRPr="0020508B">
          <w:rPr>
            <w:rStyle w:val="Hyperlink"/>
            <w:lang w:val="en-GB"/>
          </w:rPr>
          <w:t>Eq. (2)</w:t>
        </w:r>
      </w:hyperlink>
      <w:r w:rsidRPr="000A20A4">
        <w:rPr>
          <w:lang w:val="en-GB"/>
        </w:rPr>
        <w:t xml:space="preserve"> in </w:t>
      </w:r>
      <w:hyperlink w:anchor="Tab9" w:history="1">
        <w:r w:rsidRPr="00431A1F">
          <w:rPr>
            <w:rStyle w:val="Hyperlink"/>
            <w:lang w:val="en-GB"/>
          </w:rPr>
          <w:t>Table 9</w:t>
        </w:r>
      </w:hyperlink>
      <w:r w:rsidRPr="000A20A4">
        <w:rPr>
          <w:lang w:val="en-GB"/>
        </w:rPr>
        <w:t xml:space="preserve"> without merging the two, because the survey provenance, horizontal and vertical datum and reference water level are not yet documented, and an undocumented table cannot be promoted above Estimated.</w:t>
      </w:r>
    </w:p>
    <w:p w14:paraId="2E2A8106" w14:textId="773AF7A3" w:rsidR="000A20A4" w:rsidRDefault="000A20A4" w:rsidP="000A20A4">
      <w:pPr>
        <w:pStyle w:val="SWCText"/>
        <w:rPr>
          <w:lang w:val="en-GB"/>
        </w:rPr>
      </w:pPr>
      <w:r w:rsidRPr="000A20A4">
        <w:rPr>
          <w:lang w:val="en-GB"/>
        </w:rPr>
        <w:t xml:space="preserve">The volumes agree to within 1.4%, confirming that the volume-conserving construction achieved its stated purpose. The shape does not agree as well. The analytical curve overestimates horizontal area by up to approximately 9% between 5 and 20 m depth, and underestimates it below 60 m. Because a thicker, larger modelled surface layer has greater heat capacity, the surface response to a given change in surface forcing is expected to be damped; the FPV sensitivities in </w:t>
      </w:r>
      <w:hyperlink w:anchor="Tab7" w:history="1">
        <w:r w:rsidRPr="00431A1F">
          <w:rPr>
            <w:rStyle w:val="Hyperlink"/>
            <w:lang w:val="en-GB"/>
          </w:rPr>
          <w:t>Table 7</w:t>
        </w:r>
      </w:hyperlink>
      <w:r w:rsidRPr="000A20A4">
        <w:rPr>
          <w:lang w:val="en-GB"/>
        </w:rPr>
        <w:t xml:space="preserve"> are therefore likely to be conservative. Re-running the evaluation and the scenario set with the measured curve and frozen parameters is a structural sensitivity test requiring no new data, and it is the first item of further work.</w:t>
      </w:r>
    </w:p>
    <w:p w14:paraId="5497CE1F" w14:textId="1263F0A6" w:rsidR="00117AFB" w:rsidRPr="00117AFB" w:rsidRDefault="00117AFB" w:rsidP="00117AFB">
      <w:pPr>
        <w:pStyle w:val="SWCHeading1"/>
      </w:pPr>
      <w:r w:rsidRPr="00117AFB">
        <w:t>Discussion and limitations</w:t>
      </w:r>
    </w:p>
    <w:p w14:paraId="1BB87855" w14:textId="77777777" w:rsidR="00717DBC" w:rsidRPr="00717DBC" w:rsidRDefault="00717DBC" w:rsidP="00717DBC">
      <w:pPr>
        <w:pStyle w:val="SWCText"/>
        <w:rPr>
          <w:lang w:val="en-GB"/>
        </w:rPr>
      </w:pPr>
      <w:r w:rsidRPr="008A7B8B">
        <w:rPr>
          <w:rFonts w:asciiTheme="minorBidi" w:hAnsiTheme="minorBidi" w:cstheme="minorBidi"/>
          <w:i/>
          <w:iCs/>
          <w:lang w:val="en-GB"/>
        </w:rPr>
        <w:t>5.1. The modelled signal is smaller than the error of the model producing it</w:t>
      </w:r>
    </w:p>
    <w:p w14:paraId="0EED146C" w14:textId="098E25F6" w:rsidR="00717DBC" w:rsidRPr="00717DBC" w:rsidRDefault="00717DBC" w:rsidP="00717DBC">
      <w:pPr>
        <w:pStyle w:val="SWCText"/>
        <w:rPr>
          <w:lang w:val="en-GB"/>
        </w:rPr>
      </w:pPr>
      <w:r w:rsidRPr="00717DBC">
        <w:rPr>
          <w:lang w:val="en-GB"/>
        </w:rPr>
        <w:t xml:space="preserve">Section 4.3 established that the relevant error scale for an FPV question is the upper-water error, 1.699 </w:t>
      </w:r>
      <w:r>
        <w:rPr>
          <w:lang w:val="en-GB"/>
        </w:rPr>
        <w:t>°</w:t>
      </w:r>
      <w:r w:rsidRPr="00717DBC">
        <w:rPr>
          <w:lang w:val="en-GB"/>
        </w:rPr>
        <w:t xml:space="preserve">C over the 96-date evaluation, and not the pooled error of 0.635 </w:t>
      </w:r>
      <w:r>
        <w:rPr>
          <w:lang w:val="en-GB"/>
        </w:rPr>
        <w:t>°</w:t>
      </w:r>
      <w:r w:rsidRPr="00717DBC">
        <w:rPr>
          <w:lang w:val="en-GB"/>
        </w:rPr>
        <w:t xml:space="preserve">C. Comparing the central modelled surface responses in </w:t>
      </w:r>
      <w:hyperlink w:anchor="Tab7" w:history="1">
        <w:r w:rsidRPr="00431A1F">
          <w:rPr>
            <w:rStyle w:val="Hyperlink"/>
            <w:lang w:val="en-GB"/>
          </w:rPr>
          <w:t>Table 7</w:t>
        </w:r>
      </w:hyperlink>
      <w:r w:rsidRPr="00717DBC">
        <w:rPr>
          <w:lang w:val="en-GB"/>
        </w:rPr>
        <w:t xml:space="preserve"> against that scale gives ratios of 0.279 at 10% coverage and 0.882 at 30% coverage. At every coverage simulated, the modelled effect is smaller than the model’s own error in the layer where the effect occurs.</w:t>
      </w:r>
    </w:p>
    <w:p w14:paraId="383527E9" w14:textId="77777777" w:rsidR="00717DBC" w:rsidRPr="00717DBC" w:rsidRDefault="00717DBC" w:rsidP="00717DBC">
      <w:pPr>
        <w:pStyle w:val="SWCText"/>
        <w:rPr>
          <w:lang w:val="en-GB"/>
        </w:rPr>
      </w:pPr>
      <w:r w:rsidRPr="00717DBC">
        <w:rPr>
          <w:lang w:val="en-GB"/>
        </w:rPr>
        <w:t>The FPV outputs of this study are therefore bounded model diagnostics, not detected effects at Lac du Bourget. They rank coverage scenarios consistently and monotonically, which is the purpose of a screening study, but they do not constitute a predictive magnitude for this or any other lake.</w:t>
      </w:r>
    </w:p>
    <w:p w14:paraId="6A48E3B8" w14:textId="77777777" w:rsidR="00717DBC" w:rsidRPr="00717DBC" w:rsidRDefault="00717DBC" w:rsidP="00717DBC">
      <w:pPr>
        <w:pStyle w:val="SWCText"/>
        <w:rPr>
          <w:lang w:val="en-GB"/>
        </w:rPr>
      </w:pPr>
      <w:r w:rsidRPr="00717DBC">
        <w:rPr>
          <w:lang w:val="en-GB"/>
        </w:rPr>
        <w:t>We suggest this comparison should be reported routinely. It is inexpensive, it requires only results the study has already computed, and it distinguishes a screening ranking from a physical prediction. A pooled error statistic cannot support that distinction, because in a deep lake it is dominated by depths at which no FPV mechanism operates.</w:t>
      </w:r>
    </w:p>
    <w:p w14:paraId="0954EE07" w14:textId="77777777" w:rsidR="00717DBC" w:rsidRPr="00717DBC" w:rsidRDefault="00717DBC" w:rsidP="00717DBC">
      <w:pPr>
        <w:pStyle w:val="SWCText"/>
        <w:rPr>
          <w:lang w:val="en-GB"/>
        </w:rPr>
      </w:pPr>
      <w:r w:rsidRPr="008A7B8B">
        <w:rPr>
          <w:rFonts w:asciiTheme="minorBidi" w:hAnsiTheme="minorBidi" w:cstheme="minorBidi"/>
          <w:i/>
          <w:iCs/>
          <w:lang w:val="en-GB"/>
        </w:rPr>
        <w:t>5.2. Transferred coefficients</w:t>
      </w:r>
    </w:p>
    <w:p w14:paraId="1A3C3067" w14:textId="2E97F7B6" w:rsidR="00717DBC" w:rsidRPr="00717DBC" w:rsidRDefault="00717DBC" w:rsidP="00717DBC">
      <w:pPr>
        <w:pStyle w:val="SWCText"/>
        <w:rPr>
          <w:lang w:val="en-GB"/>
        </w:rPr>
      </w:pPr>
      <w:r w:rsidRPr="00717DBC">
        <w:rPr>
          <w:lang w:val="en-GB"/>
        </w:rPr>
        <w:t xml:space="preserve">The central coefficients </w:t>
      </w:r>
      <w:proofErr w:type="spellStart"/>
      <w:r w:rsidRPr="008A7B8B">
        <w:rPr>
          <w:i/>
          <w:iCs/>
          <w:lang w:val="en-GB"/>
        </w:rPr>
        <w:t>r</w:t>
      </w:r>
      <w:r w:rsidRPr="008A7B8B">
        <w:rPr>
          <w:i/>
          <w:iCs/>
          <w:vertAlign w:val="subscript"/>
          <w:lang w:val="en-GB"/>
        </w:rPr>
        <w:t>SW</w:t>
      </w:r>
      <w:proofErr w:type="spellEnd"/>
      <w:r w:rsidRPr="008A7B8B">
        <w:rPr>
          <w:i/>
          <w:iCs/>
          <w:lang w:val="en-GB"/>
        </w:rPr>
        <w:t xml:space="preserve"> </w:t>
      </w:r>
      <w:r w:rsidRPr="00717DBC">
        <w:rPr>
          <w:lang w:val="en-GB"/>
        </w:rPr>
        <w:t xml:space="preserve">= 0.73 and </w:t>
      </w:r>
      <w:r w:rsidRPr="008A7B8B">
        <w:rPr>
          <w:i/>
          <w:iCs/>
          <w:lang w:val="en-GB"/>
        </w:rPr>
        <w:t>r</w:t>
      </w:r>
      <w:r w:rsidRPr="008A7B8B">
        <w:rPr>
          <w:i/>
          <w:iCs/>
          <w:vertAlign w:val="subscript"/>
          <w:lang w:val="en-GB"/>
        </w:rPr>
        <w:t>u</w:t>
      </w:r>
      <w:r w:rsidRPr="00717DBC">
        <w:rPr>
          <w:lang w:val="en-GB"/>
        </w:rPr>
        <w:t xml:space="preserve"> = 0.23 were measured at a single small German lake</w:t>
      </w:r>
      <w:r w:rsidR="00452B5F" w:rsidRPr="00452B5F">
        <w:rPr>
          <w:lang w:val="en-GB"/>
        </w:rPr>
        <w:t xml:space="preserve"> </w:t>
      </w:r>
      <w:r w:rsidR="00452B5F">
        <w:rPr>
          <w:lang w:val="en-GB"/>
        </w:rPr>
        <w:t>(</w:t>
      </w:r>
      <w:hyperlink w:anchor="Ref2" w:history="1">
        <w:r w:rsidR="00452B5F" w:rsidRPr="000A35A8">
          <w:rPr>
            <w:rStyle w:val="Hyperlink"/>
            <w:lang w:val="en-GB"/>
          </w:rPr>
          <w:t>Ilgen et al., 2023</w:t>
        </w:r>
      </w:hyperlink>
      <w:r w:rsidR="00452B5F" w:rsidRPr="005B3651">
        <w:rPr>
          <w:lang w:val="en-GB"/>
        </w:rPr>
        <w:t>)</w:t>
      </w:r>
      <w:r w:rsidRPr="00717DBC">
        <w:rPr>
          <w:lang w:val="en-GB"/>
        </w:rPr>
        <w:t>. Array geometry, module height above water, fetch, and atmospheric stability all influence them, and none of those conditions is reproduced at Lac du Bourget. The low and high bands exist precisely because a single transferred value would misrepresent the state of knowledge.</w:t>
      </w:r>
    </w:p>
    <w:p w14:paraId="12199931" w14:textId="77777777" w:rsidR="00717DBC" w:rsidRPr="00717DBC" w:rsidRDefault="00717DBC" w:rsidP="00717DBC">
      <w:pPr>
        <w:pStyle w:val="SWCText"/>
        <w:rPr>
          <w:lang w:val="en-GB"/>
        </w:rPr>
      </w:pPr>
      <w:r w:rsidRPr="00717DBC">
        <w:rPr>
          <w:lang w:val="en-GB"/>
        </w:rPr>
        <w:lastRenderedPageBreak/>
        <w:t>Normalising by nominal coverage, the central Bourget diagnostic is approximately 5.62 times stronger than the annual mean surface change reported at Lake Maiwald. We do not resolve this discrepancy here. The responses are nonlinear in coverage, and the two lakes differ by more than two orders of magnitude in area and by an order of magnitude in depth, so a per-percent normalisation is not expected to be conserved. It is reported because it is the only quantitative comparison against field evidence that the present configuration permits.</w:t>
      </w:r>
    </w:p>
    <w:p w14:paraId="7B16A1FF" w14:textId="77777777" w:rsidR="00717DBC" w:rsidRPr="00717DBC" w:rsidRDefault="00717DBC" w:rsidP="00717DBC">
      <w:pPr>
        <w:pStyle w:val="SWCText"/>
        <w:rPr>
          <w:lang w:val="en-GB"/>
        </w:rPr>
      </w:pPr>
      <w:r w:rsidRPr="008A7B8B">
        <w:rPr>
          <w:rFonts w:asciiTheme="minorBidi" w:hAnsiTheme="minorBidi" w:cstheme="minorBidi"/>
          <w:i/>
          <w:iCs/>
          <w:lang w:val="en-GB"/>
        </w:rPr>
        <w:t>5.3. Comparison with published one-dimensional work</w:t>
      </w:r>
    </w:p>
    <w:p w14:paraId="2E51B27E" w14:textId="72DC8A03" w:rsidR="00717DBC" w:rsidRPr="00717DBC" w:rsidRDefault="00452B5F" w:rsidP="00717DBC">
      <w:pPr>
        <w:pStyle w:val="SWCText"/>
        <w:rPr>
          <w:lang w:val="en-GB"/>
        </w:rPr>
      </w:pPr>
      <w:r>
        <w:rPr>
          <w:lang w:val="en-GB"/>
        </w:rPr>
        <w:t>A</w:t>
      </w:r>
      <w:r w:rsidR="00717DBC" w:rsidRPr="00717DBC">
        <w:rPr>
          <w:lang w:val="en-GB"/>
        </w:rPr>
        <w:t xml:space="preserve">pplied GLM to the same lake and reported epilimnion RMSE values of 4.02 </w:t>
      </w:r>
      <w:r w:rsidR="00717DBC">
        <w:rPr>
          <w:lang w:val="en-GB"/>
        </w:rPr>
        <w:t>°</w:t>
      </w:r>
      <w:r w:rsidR="00717DBC" w:rsidRPr="00717DBC">
        <w:rPr>
          <w:lang w:val="en-GB"/>
        </w:rPr>
        <w:t xml:space="preserve">C over a ten-year window and 4.59 </w:t>
      </w:r>
      <w:r w:rsidR="00717DBC">
        <w:rPr>
          <w:lang w:val="en-GB"/>
        </w:rPr>
        <w:t>°</w:t>
      </w:r>
      <w:r w:rsidR="00717DBC" w:rsidRPr="00717DBC">
        <w:rPr>
          <w:lang w:val="en-GB"/>
        </w:rPr>
        <w:t xml:space="preserve">C over a thirty-seven-year window, against full-profile values of 1.74 and 1.67 </w:t>
      </w:r>
      <w:r w:rsidR="00717DBC">
        <w:rPr>
          <w:lang w:val="en-GB"/>
        </w:rPr>
        <w:t>°</w:t>
      </w:r>
      <w:r w:rsidR="00717DBC" w:rsidRPr="00717DBC">
        <w:rPr>
          <w:lang w:val="en-GB"/>
        </w:rPr>
        <w:t>C.</w:t>
      </w:r>
    </w:p>
    <w:p w14:paraId="0F39532F" w14:textId="77777777" w:rsidR="00717DBC" w:rsidRPr="00717DBC" w:rsidRDefault="00717DBC" w:rsidP="00717DBC">
      <w:pPr>
        <w:pStyle w:val="SWCText"/>
        <w:rPr>
          <w:lang w:val="en-GB"/>
        </w:rPr>
      </w:pPr>
      <w:r w:rsidRPr="00717DBC">
        <w:rPr>
          <w:lang w:val="en-GB"/>
        </w:rPr>
        <w:t>This is not a parity test and not a ranking. The evaluation periods, observation sets, forcing datasets, calibration objectives and the depth definition of “surface” all differ, and the smaller errors reported here reflect a different and much shorter protocol rather than a better model. The transferable observation is the pattern common to both studies and to operational one-dimensional implementations of this lake: upper-water error greatly exceeds pooled error. That pattern is structural. A single vertical column cannot represent wind set-up, internal wave activity, or contrast between basins, and these are precisely the processes that govern the surface layer of a long, narrow, deep lake.</w:t>
      </w:r>
    </w:p>
    <w:p w14:paraId="2538E986" w14:textId="77777777" w:rsidR="00717DBC" w:rsidRPr="00717DBC" w:rsidRDefault="00717DBC" w:rsidP="00717DBC">
      <w:pPr>
        <w:pStyle w:val="SWCText"/>
        <w:rPr>
          <w:lang w:val="en-GB"/>
        </w:rPr>
      </w:pPr>
      <w:r w:rsidRPr="008A7B8B">
        <w:rPr>
          <w:rFonts w:asciiTheme="minorBidi" w:hAnsiTheme="minorBidi" w:cstheme="minorBidi"/>
          <w:i/>
          <w:iCs/>
          <w:lang w:val="en-GB"/>
        </w:rPr>
        <w:t>5.4. Structural limitations</w:t>
      </w:r>
    </w:p>
    <w:p w14:paraId="13637D0B" w14:textId="563ED96A" w:rsidR="00717DBC" w:rsidRPr="00717DBC" w:rsidRDefault="00717DBC" w:rsidP="00717DBC">
      <w:pPr>
        <w:pStyle w:val="SWCText"/>
        <w:rPr>
          <w:lang w:val="en-GB"/>
        </w:rPr>
      </w:pPr>
      <w:r w:rsidRPr="00717DBC">
        <w:rPr>
          <w:lang w:val="en-GB"/>
        </w:rPr>
        <w:t xml:space="preserve">Five limitations bound every result reported above. First, morphology is an analytical curve preserving published volume, with no local lakebed geometry; Section 4.7 now quantifies the resulting area error. Second, no observed canal exchange exists in the model window, so outflow is balanced against tributary inflow and declared a boundary; the canal reverses direction — in the 2025 record, flow was directed toward the lake on 46 days and away on 317 — so a boundary that cannot reverse omits a real physical process. Third, the calibration is not identifiable: three parameters were fitted on two dates, wind, shortwave and extinction compensate for one another, and the accepted values lie near the search bounds, which is why objective envelopes rather than confidence intervals are published. Fourth, tributary inflow temperature is an air-temperature proxy. Fifth, four surface-flux terms are absent, as declared in </w:t>
      </w:r>
      <w:hyperlink w:anchor="Tab4" w:history="1">
        <w:r w:rsidRPr="00431A1F">
          <w:rPr>
            <w:rStyle w:val="Hyperlink"/>
            <w:lang w:val="en-GB"/>
          </w:rPr>
          <w:t>Table 4</w:t>
        </w:r>
      </w:hyperlink>
      <w:r w:rsidRPr="00717DBC">
        <w:rPr>
          <w:lang w:val="en-GB"/>
        </w:rPr>
        <w:t>.</w:t>
      </w:r>
    </w:p>
    <w:p w14:paraId="6AC0CDC9" w14:textId="77777777" w:rsidR="00717DBC" w:rsidRPr="00717DBC" w:rsidRDefault="00717DBC" w:rsidP="00717DBC">
      <w:pPr>
        <w:pStyle w:val="SWCText"/>
        <w:rPr>
          <w:lang w:val="en-GB"/>
        </w:rPr>
      </w:pPr>
      <w:r w:rsidRPr="008A7B8B">
        <w:rPr>
          <w:rFonts w:asciiTheme="minorBidi" w:hAnsiTheme="minorBidi" w:cstheme="minorBidi"/>
          <w:i/>
          <w:iCs/>
          <w:lang w:val="en-GB"/>
        </w:rPr>
        <w:t>5.5. Missing field evidence, and what can be done instead</w:t>
      </w:r>
    </w:p>
    <w:p w14:paraId="01A37A1B" w14:textId="77777777" w:rsidR="00717DBC" w:rsidRPr="00717DBC" w:rsidRDefault="00717DBC" w:rsidP="00717DBC">
      <w:pPr>
        <w:pStyle w:val="SWCText"/>
        <w:rPr>
          <w:lang w:val="en-GB"/>
        </w:rPr>
      </w:pPr>
      <w:r w:rsidRPr="00717DBC">
        <w:rPr>
          <w:lang w:val="en-GB"/>
        </w:rPr>
        <w:t>No covered and control measurement exists at Lac du Bourget, and none can be obtained retrospectively: the lake has never carried a floating photovoltaic array. This is a permanent constraint on any study of this site, not a temporary gap in acquisition.</w:t>
      </w:r>
    </w:p>
    <w:p w14:paraId="7790085D" w14:textId="5502C828" w:rsidR="00717DBC" w:rsidRPr="00717DBC" w:rsidRDefault="00717DBC" w:rsidP="00717DBC">
      <w:pPr>
        <w:pStyle w:val="SWCText"/>
        <w:rPr>
          <w:lang w:val="en-GB"/>
        </w:rPr>
      </w:pPr>
      <w:r w:rsidRPr="00717DBC">
        <w:rPr>
          <w:lang w:val="en-GB"/>
        </w:rPr>
        <w:t xml:space="preserve">Two substitutions are available and neither has yet been performed. The first is to validate the transfer function rather than the lake, by applying </w:t>
      </w:r>
      <w:proofErr w:type="spellStart"/>
      <w:r w:rsidRPr="00717DBC">
        <w:rPr>
          <w:lang w:val="en-GB"/>
        </w:rPr>
        <w:t>Eqs</w:t>
      </w:r>
      <w:proofErr w:type="spellEnd"/>
      <w:r w:rsidRPr="00717DBC">
        <w:rPr>
          <w:lang w:val="en-GB"/>
        </w:rPr>
        <w:t xml:space="preserve">. </w:t>
      </w:r>
      <w:hyperlink w:anchor="eq3" w:history="1">
        <w:r w:rsidRPr="0020508B">
          <w:rPr>
            <w:rStyle w:val="Hyperlink"/>
            <w:lang w:val="en-GB"/>
          </w:rPr>
          <w:t>(3)</w:t>
        </w:r>
      </w:hyperlink>
      <w:r w:rsidRPr="00717DBC">
        <w:rPr>
          <w:lang w:val="en-GB"/>
        </w:rPr>
        <w:t xml:space="preserve"> and </w:t>
      </w:r>
      <w:hyperlink w:anchor="eq4" w:history="1">
        <w:r w:rsidRPr="0020508B">
          <w:rPr>
            <w:rStyle w:val="Hyperlink"/>
            <w:lang w:val="en-GB"/>
          </w:rPr>
          <w:t>(4)</w:t>
        </w:r>
      </w:hyperlink>
      <w:r w:rsidRPr="00717DBC">
        <w:rPr>
          <w:lang w:val="en-GB"/>
        </w:rPr>
        <w:t xml:space="preserve"> unchanged to lakes for which paired covered and control thermal measurements have been published and reporting the resulting transferability error. Care is required, since the lake supplying the central coefficients cannot also serve as their validation. The second is a </w:t>
      </w:r>
      <w:proofErr w:type="gramStart"/>
      <w:r w:rsidRPr="00717DBC">
        <w:rPr>
          <w:lang w:val="en-GB"/>
        </w:rPr>
        <w:t>small instrumented</w:t>
      </w:r>
      <w:proofErr w:type="gramEnd"/>
      <w:r w:rsidRPr="00717DBC">
        <w:rPr>
          <w:lang w:val="en-GB"/>
        </w:rPr>
        <w:t xml:space="preserve"> raft with paired thermistor strings beneath and away from the cover, which would not resolve a lake-scale response but would directly constrain the four absent surface-flux terms that currently bound the result.</w:t>
      </w:r>
    </w:p>
    <w:p w14:paraId="6DF92481" w14:textId="77777777" w:rsidR="008A7B8B" w:rsidRDefault="00717DBC" w:rsidP="008A7B8B">
      <w:pPr>
        <w:pStyle w:val="SWCText"/>
        <w:rPr>
          <w:rFonts w:asciiTheme="minorBidi" w:hAnsiTheme="minorBidi" w:cstheme="minorBidi"/>
          <w:i/>
          <w:iCs/>
          <w:lang w:val="en-GB"/>
        </w:rPr>
      </w:pPr>
      <w:r w:rsidRPr="008A7B8B">
        <w:rPr>
          <w:rFonts w:asciiTheme="minorBidi" w:hAnsiTheme="minorBidi" w:cstheme="minorBidi"/>
          <w:i/>
          <w:iCs/>
          <w:lang w:val="en-GB"/>
        </w:rPr>
        <w:t>5.6. Refusals as a reported result</w:t>
      </w:r>
    </w:p>
    <w:p w14:paraId="160C4151" w14:textId="12C0152D" w:rsidR="008A7B8B" w:rsidRPr="008A7B8B" w:rsidRDefault="00717DBC" w:rsidP="008A7B8B">
      <w:pPr>
        <w:pStyle w:val="SWCText"/>
        <w:rPr>
          <w:lang w:val="en-GB"/>
        </w:rPr>
      </w:pPr>
      <w:r w:rsidRPr="008A7B8B">
        <w:rPr>
          <w:lang w:val="en-GB"/>
        </w:rPr>
        <w:t xml:space="preserve">Six of twelve domains in </w:t>
      </w:r>
      <w:hyperlink w:anchor="Tab8" w:history="1">
        <w:r w:rsidRPr="008A7B8B">
          <w:rPr>
            <w:lang w:val="en-GB"/>
          </w:rPr>
          <w:t>Table 8</w:t>
        </w:r>
      </w:hyperlink>
      <w:r w:rsidRPr="008A7B8B">
        <w:rPr>
          <w:lang w:val="en-GB"/>
        </w:rPr>
        <w:t xml:space="preserve"> return refusals. We report them deliberately. An FPV pre-feasibility study that returns twelve numbers, of which seven rest on undocumented defaults, is less useful to a developer, a regulator or a lake manager than one that returns five bounded numbers and seven named data requirements. The refusals also make the cost of proceeding estimable: each names a dataset, an owner class and an acceptance criterion</w:t>
      </w:r>
      <w:r w:rsidRPr="008A7B8B">
        <w:rPr>
          <w:b/>
          <w:lang w:val="en-GB"/>
        </w:rPr>
        <w:t>.</w:t>
      </w:r>
    </w:p>
    <w:p w14:paraId="20ECF5AB" w14:textId="45B39948" w:rsidR="00117AFB" w:rsidRPr="008A7B8B" w:rsidRDefault="00117AFB" w:rsidP="00117AFB">
      <w:pPr>
        <w:pStyle w:val="SWCHeading1"/>
        <w:rPr>
          <w:rFonts w:ascii="Times New Roman" w:hAnsi="Times New Roman"/>
          <w:b w:val="0"/>
          <w:szCs w:val="22"/>
          <w:lang w:val="en-GB"/>
        </w:rPr>
      </w:pPr>
      <w:r w:rsidRPr="008A7B8B">
        <w:t>Conclusion</w:t>
      </w:r>
    </w:p>
    <w:p w14:paraId="4A201F42" w14:textId="6168317E" w:rsidR="00760D06" w:rsidRPr="00760D06" w:rsidRDefault="00760D06" w:rsidP="00760D06">
      <w:pPr>
        <w:pStyle w:val="SWCText"/>
        <w:rPr>
          <w:lang w:val="en-GB"/>
        </w:rPr>
      </w:pPr>
      <w:r w:rsidRPr="00760D06">
        <w:rPr>
          <w:lang w:val="en-GB"/>
        </w:rPr>
        <w:t xml:space="preserve">This paper has presented a reproducible, evidence-bound workflow for floating photovoltaic screening on lakes, and its first end-to-end application. Three elements are transferable beyond the case study. The claim ceiling of </w:t>
      </w:r>
      <w:hyperlink w:anchor="eq1" w:history="1">
        <w:r w:rsidRPr="0020508B">
          <w:rPr>
            <w:rStyle w:val="Hyperlink"/>
            <w:lang w:val="en-GB"/>
          </w:rPr>
          <w:t>Eq. (1)</w:t>
        </w:r>
      </w:hyperlink>
      <w:r w:rsidRPr="00760D06">
        <w:rPr>
          <w:lang w:val="en-GB"/>
        </w:rPr>
        <w:t xml:space="preserve"> prevents a qualified engine from lending credibility to unqualified inputs and converts missing data into an explicit refusal. The surface-flux contract of </w:t>
      </w:r>
      <w:hyperlink w:anchor="Tab4" w:history="1">
        <w:r w:rsidRPr="00431A1F">
          <w:rPr>
            <w:rStyle w:val="Hyperlink"/>
            <w:lang w:val="en-GB"/>
          </w:rPr>
          <w:t>Table 4</w:t>
        </w:r>
      </w:hyperlink>
      <w:r w:rsidRPr="00760D06">
        <w:rPr>
          <w:lang w:val="en-GB"/>
        </w:rPr>
        <w:t xml:space="preserve"> publishes the mechanisms a coverage experiment does not represent, alongside those it does. The depth-resolved comparison of Section 5.1 tests whether a modelled FPV signal exceeds the error of the model producing it, at the depth where the effect occurs.</w:t>
      </w:r>
    </w:p>
    <w:p w14:paraId="4D5C0550" w14:textId="77777777" w:rsidR="00760D06" w:rsidRPr="00760D06" w:rsidRDefault="00760D06" w:rsidP="00760D06">
      <w:pPr>
        <w:pStyle w:val="SWCText"/>
        <w:rPr>
          <w:lang w:val="en-GB"/>
        </w:rPr>
      </w:pPr>
      <w:r w:rsidRPr="00760D06">
        <w:rPr>
          <w:lang w:val="en-GB"/>
        </w:rPr>
        <w:lastRenderedPageBreak/>
        <w:t xml:space="preserve">For Lac du Bourget, the open-water thermal model reached level (L3) of the six-level validation hierarchy, passing four predeclared thresholds across two evaluation stages in which no parameter was re-adjusted. The FPV coverage scenarios rank consistently but do not exceed the model’s own </w:t>
      </w:r>
      <w:proofErr w:type="gramStart"/>
      <w:r w:rsidRPr="00760D06">
        <w:rPr>
          <w:lang w:val="en-GB"/>
        </w:rPr>
        <w:t>upper-water</w:t>
      </w:r>
      <w:proofErr w:type="gramEnd"/>
      <w:r w:rsidRPr="00760D06">
        <w:rPr>
          <w:lang w:val="en-GB"/>
        </w:rPr>
        <w:t xml:space="preserve"> </w:t>
      </w:r>
      <w:proofErr w:type="gramStart"/>
      <w:r w:rsidRPr="00760D06">
        <w:rPr>
          <w:lang w:val="en-GB"/>
        </w:rPr>
        <w:t>error, and</w:t>
      </w:r>
      <w:proofErr w:type="gramEnd"/>
      <w:r w:rsidRPr="00760D06">
        <w:rPr>
          <w:lang w:val="en-GB"/>
        </w:rPr>
        <w:t xml:space="preserve"> are reported as bounded diagnostics. Six of twelve scientific domains returned refusals with named missing evidence.</w:t>
      </w:r>
    </w:p>
    <w:p w14:paraId="106237C6" w14:textId="5E449BD6" w:rsidR="00117AFB" w:rsidRDefault="00760D06" w:rsidP="00760D06">
      <w:pPr>
        <w:pStyle w:val="SWCText"/>
        <w:rPr>
          <w:lang w:val="en-GB"/>
        </w:rPr>
      </w:pPr>
      <w:r w:rsidRPr="00760D06">
        <w:rPr>
          <w:lang w:val="en-GB"/>
        </w:rPr>
        <w:t>Three next steps follow directly. Re-running the evaluation with the measured depth–area table and frozen parameters is a structural sensitivity test that requires no new data. Validating the transfer function against lakes with published covered and control measurements would place an external error bound on the FPV response. Beyond both, level (L5) of the hierarchy — a paired covered and control field campaign — remains the only route to a measured FPV effect at any specific lake.</w:t>
      </w:r>
    </w:p>
    <w:p w14:paraId="5DBEDE36" w14:textId="784FCA24" w:rsidR="0061433E" w:rsidRPr="00117AFB" w:rsidRDefault="0061433E" w:rsidP="0061433E">
      <w:pPr>
        <w:pStyle w:val="SWCHeading1"/>
      </w:pPr>
      <w:r>
        <w:t>Acknowledgement</w:t>
      </w:r>
    </w:p>
    <w:p w14:paraId="65FDCE05" w14:textId="24E10812" w:rsidR="0061433E" w:rsidRPr="00215826" w:rsidRDefault="0020508B" w:rsidP="0020508B">
      <w:pPr>
        <w:pStyle w:val="SWCText"/>
        <w:rPr>
          <w:lang w:val="en-GB"/>
        </w:rPr>
      </w:pPr>
      <w:r w:rsidRPr="0020508B">
        <w:rPr>
          <w:lang w:val="en-GB"/>
        </w:rPr>
        <w:t>I</w:t>
      </w:r>
      <w:r>
        <w:rPr>
          <w:lang w:val="en-GB"/>
        </w:rPr>
        <w:t xml:space="preserve"> would like to</w:t>
      </w:r>
      <w:r w:rsidRPr="0020508B">
        <w:rPr>
          <w:lang w:val="en-GB"/>
        </w:rPr>
        <w:t xml:space="preserve"> thank my supervisors Dr. Christophe Ménézo, Head of the LOCIE laboratory, and Dr. Martin Thebault, Research Scientist at CNRS and LOCIE, for supervising and guiding my work throughout the year and in particular during my internship at LOCIE; and Eng. Ahmed Elagami, software engineer, for his substantial help in building the code. This work was done within the framework of Solar Academy Graduate School, grant ANR-18-EURE-0016. Observational data for Lac du Bourget were made available by the Observatory on </w:t>
      </w:r>
      <w:proofErr w:type="spellStart"/>
      <w:r w:rsidRPr="0020508B">
        <w:rPr>
          <w:lang w:val="en-GB"/>
        </w:rPr>
        <w:t>LAkes</w:t>
      </w:r>
      <w:proofErr w:type="spellEnd"/>
      <w:r w:rsidRPr="0020508B">
        <w:rPr>
          <w:lang w:val="en-GB"/>
        </w:rPr>
        <w:t xml:space="preserve"> (OLA) information system, INRAE, under its published terms of use, and I am grateful to the OLA team for their help in providing them.</w:t>
      </w:r>
      <w:r w:rsidR="0074556B">
        <w:rPr>
          <w:lang w:val="en-GB"/>
        </w:rPr>
        <w:t xml:space="preserve"> Lastly, for all the researchers behind the open-sourced codes and data, thank you sincerely.</w:t>
      </w:r>
    </w:p>
    <w:p w14:paraId="3D83E22A" w14:textId="77777777" w:rsidR="003E1E1C" w:rsidRPr="00117AFB" w:rsidRDefault="00A5180B" w:rsidP="0061433E">
      <w:pPr>
        <w:pStyle w:val="SWCHeading1"/>
      </w:pPr>
      <w:r w:rsidRPr="00117AFB">
        <w:t>Tables, figures, equations, and lists</w:t>
      </w:r>
    </w:p>
    <w:p w14:paraId="07882D6B" w14:textId="70FEE837" w:rsidR="00D32EF0" w:rsidRPr="005B3651" w:rsidRDefault="00B9209A" w:rsidP="009F7C7E">
      <w:pPr>
        <w:pStyle w:val="SWCHeading11"/>
      </w:pPr>
      <w:r>
        <w:t>8</w:t>
      </w:r>
      <w:r w:rsidR="0084100F" w:rsidRPr="005B3651">
        <w:t xml:space="preserve">.1. </w:t>
      </w:r>
      <w:r w:rsidR="00FE2ADC" w:rsidRPr="005B3651">
        <w:t>Tables</w:t>
      </w:r>
    </w:p>
    <w:p w14:paraId="3E20EE4F" w14:textId="64E225D2" w:rsidR="003C39C6" w:rsidRPr="008A7B8B" w:rsidRDefault="003C39C6" w:rsidP="0096603D">
      <w:pPr>
        <w:pStyle w:val="SWCTableFigureCaption"/>
        <w:rPr>
          <w:lang w:val="en-GB"/>
        </w:rPr>
      </w:pPr>
      <w:bookmarkStart w:id="0" w:name="Tab1"/>
      <w:r w:rsidRPr="008A7B8B">
        <w:rPr>
          <w:lang w:val="en-GB"/>
        </w:rPr>
        <w:t xml:space="preserve">Tab. 1: </w:t>
      </w:r>
      <w:r w:rsidR="00B30E23" w:rsidRPr="00B30E23">
        <w:rPr>
          <w:lang w:val="en-GB"/>
        </w:rPr>
        <w:t>Observational</w:t>
      </w:r>
      <w:r w:rsidR="00B30E23">
        <w:rPr>
          <w:lang w:val="en-GB"/>
        </w:rPr>
        <w:t xml:space="preserve"> </w:t>
      </w:r>
      <w:r w:rsidR="00B30E23" w:rsidRPr="00B30E23">
        <w:rPr>
          <w:lang w:val="en-GB"/>
        </w:rPr>
        <w:t>evidence</w:t>
      </w:r>
      <w:r w:rsidR="00B30E23">
        <w:rPr>
          <w:lang w:val="en-GB"/>
        </w:rPr>
        <w:t xml:space="preserve"> </w:t>
      </w:r>
      <w:r w:rsidR="00B30E23" w:rsidRPr="00B30E23">
        <w:rPr>
          <w:lang w:val="en-GB"/>
        </w:rPr>
        <w:t>used</w:t>
      </w:r>
      <w:r w:rsidR="00B30E23">
        <w:rPr>
          <w:lang w:val="en-GB"/>
        </w:rPr>
        <w:t xml:space="preserve"> </w:t>
      </w:r>
      <w:r w:rsidR="00B30E23" w:rsidRPr="00B30E23">
        <w:rPr>
          <w:lang w:val="en-GB"/>
        </w:rPr>
        <w:t>in</w:t>
      </w:r>
      <w:r w:rsidR="00B30E23">
        <w:rPr>
          <w:lang w:val="en-GB"/>
        </w:rPr>
        <w:t xml:space="preserve"> </w:t>
      </w:r>
      <w:r w:rsidR="00B30E23" w:rsidRPr="00B30E23">
        <w:rPr>
          <w:lang w:val="en-GB"/>
        </w:rPr>
        <w:t>this</w:t>
      </w:r>
      <w:r w:rsidR="00B30E23">
        <w:rPr>
          <w:lang w:val="en-GB"/>
        </w:rPr>
        <w:t xml:space="preserve"> </w:t>
      </w:r>
      <w:r w:rsidR="00B30E23" w:rsidRPr="00B30E23">
        <w:rPr>
          <w:lang w:val="en-GB"/>
        </w:rPr>
        <w:t>study,</w:t>
      </w:r>
      <w:r w:rsidR="00B30E23">
        <w:rPr>
          <w:lang w:val="en-GB"/>
        </w:rPr>
        <w:t xml:space="preserve"> </w:t>
      </w:r>
      <w:r w:rsidR="00B30E23" w:rsidRPr="00B30E23">
        <w:rPr>
          <w:lang w:val="en-GB"/>
        </w:rPr>
        <w:t>with</w:t>
      </w:r>
      <w:r w:rsidR="00B30E23">
        <w:rPr>
          <w:lang w:val="en-GB"/>
        </w:rPr>
        <w:t xml:space="preserve"> </w:t>
      </w:r>
      <w:r w:rsidR="00B30E23" w:rsidRPr="00B30E23">
        <w:rPr>
          <w:lang w:val="en-GB"/>
        </w:rPr>
        <w:t>source</w:t>
      </w:r>
      <w:r w:rsidR="00B30E23">
        <w:rPr>
          <w:lang w:val="en-GB"/>
        </w:rPr>
        <w:t xml:space="preserve"> and records dates.</w:t>
      </w:r>
      <w:bookmarkEnd w:id="0"/>
    </w:p>
    <w:tbl>
      <w:tblPr>
        <w:tblStyle w:val="TableGrid"/>
        <w:tblW w:w="0" w:type="auto"/>
        <w:jc w:val="center"/>
        <w:tblLook w:val="01E0" w:firstRow="1" w:lastRow="1" w:firstColumn="1" w:lastColumn="1" w:noHBand="0" w:noVBand="0"/>
      </w:tblPr>
      <w:tblGrid>
        <w:gridCol w:w="2968"/>
        <w:gridCol w:w="2969"/>
        <w:gridCol w:w="2969"/>
      </w:tblGrid>
      <w:tr w:rsidR="006309AA" w:rsidRPr="005B3651" w14:paraId="58415D3C" w14:textId="77777777">
        <w:trPr>
          <w:jc w:val="center"/>
        </w:trPr>
        <w:tc>
          <w:tcPr>
            <w:tcW w:w="2968" w:type="dxa"/>
          </w:tcPr>
          <w:p w14:paraId="10630F3D" w14:textId="0185ACD8" w:rsidR="006309AA" w:rsidRPr="005B3651" w:rsidRDefault="00821584" w:rsidP="00F715C3">
            <w:pPr>
              <w:pStyle w:val="SWCTableHeader"/>
            </w:pPr>
            <w:r w:rsidRPr="00821584">
              <w:t>Evidence</w:t>
            </w:r>
          </w:p>
        </w:tc>
        <w:tc>
          <w:tcPr>
            <w:tcW w:w="2969" w:type="dxa"/>
          </w:tcPr>
          <w:p w14:paraId="6E414DF6" w14:textId="77777777" w:rsidR="00821584" w:rsidRDefault="00821584" w:rsidP="00821584">
            <w:pPr>
              <w:pStyle w:val="SWCTableHeader"/>
            </w:pPr>
            <w:r>
              <w:t>Original measurement or</w:t>
            </w:r>
          </w:p>
          <w:p w14:paraId="434C5606" w14:textId="286E4C13" w:rsidR="006309AA" w:rsidRPr="005B3651" w:rsidRDefault="00821584" w:rsidP="00821584">
            <w:pPr>
              <w:pStyle w:val="SWCTableHeader"/>
            </w:pPr>
            <w:r>
              <w:t>source representation</w:t>
            </w:r>
          </w:p>
        </w:tc>
        <w:tc>
          <w:tcPr>
            <w:tcW w:w="2969" w:type="dxa"/>
          </w:tcPr>
          <w:p w14:paraId="628D0D3A" w14:textId="08525A11" w:rsidR="006309AA" w:rsidRPr="005B3651" w:rsidRDefault="00821584" w:rsidP="00F715C3">
            <w:pPr>
              <w:pStyle w:val="SWCTableHeader"/>
            </w:pPr>
            <w:r w:rsidRPr="00821584">
              <w:t>Records</w:t>
            </w:r>
          </w:p>
        </w:tc>
      </w:tr>
      <w:tr w:rsidR="006309AA" w:rsidRPr="005B3651" w14:paraId="79EBD9A3" w14:textId="77777777">
        <w:trPr>
          <w:jc w:val="center"/>
        </w:trPr>
        <w:tc>
          <w:tcPr>
            <w:tcW w:w="2968" w:type="dxa"/>
          </w:tcPr>
          <w:p w14:paraId="5EA2A79A" w14:textId="77A720A1" w:rsidR="006309AA" w:rsidRPr="005B3651" w:rsidRDefault="00821584" w:rsidP="00F715C3">
            <w:pPr>
              <w:pStyle w:val="SWCTableText"/>
            </w:pPr>
            <w:r w:rsidRPr="00821584">
              <w:t>Lake level</w:t>
            </w:r>
          </w:p>
        </w:tc>
        <w:tc>
          <w:tcPr>
            <w:tcW w:w="2969" w:type="dxa"/>
          </w:tcPr>
          <w:p w14:paraId="2104B2DD" w14:textId="58CCA541" w:rsidR="006309AA" w:rsidRPr="005B3651" w:rsidRDefault="00821584" w:rsidP="00821584">
            <w:pPr>
              <w:pStyle w:val="SWCTableText"/>
            </w:pPr>
            <w:hyperlink w:anchor="Ref6" w:history="1">
              <w:r w:rsidRPr="00B1611A">
                <w:rPr>
                  <w:rStyle w:val="Hyperlink"/>
                </w:rPr>
                <w:t>HydroPortail</w:t>
              </w:r>
            </w:hyperlink>
            <w:r w:rsidRPr="00821584">
              <w:t xml:space="preserve"> hourly gauge series</w:t>
            </w:r>
            <w:r>
              <w:t>.</w:t>
            </w:r>
          </w:p>
        </w:tc>
        <w:tc>
          <w:tcPr>
            <w:tcW w:w="2969" w:type="dxa"/>
          </w:tcPr>
          <w:p w14:paraId="4C4E7BAF" w14:textId="01484488" w:rsidR="006309AA" w:rsidRPr="005B3651" w:rsidRDefault="00821584" w:rsidP="00821584">
            <w:pPr>
              <w:pStyle w:val="SWCTableText"/>
            </w:pPr>
            <w:r w:rsidRPr="00821584">
              <w:t>66977</w:t>
            </w:r>
            <w:r>
              <w:t xml:space="preserve"> </w:t>
            </w:r>
            <w:r w:rsidRPr="00821584">
              <w:t>hourly lake levels from 2019</w:t>
            </w:r>
            <w:r>
              <w:t>.</w:t>
            </w:r>
          </w:p>
        </w:tc>
      </w:tr>
      <w:tr w:rsidR="00821584" w:rsidRPr="005B3651" w14:paraId="109BC099" w14:textId="77777777">
        <w:trPr>
          <w:jc w:val="center"/>
        </w:trPr>
        <w:tc>
          <w:tcPr>
            <w:tcW w:w="2968" w:type="dxa"/>
          </w:tcPr>
          <w:p w14:paraId="181A7078" w14:textId="701F584E" w:rsidR="00821584" w:rsidRPr="005B3651" w:rsidRDefault="00821584" w:rsidP="00821584">
            <w:pPr>
              <w:pStyle w:val="SWCTableText"/>
            </w:pPr>
            <w:r w:rsidRPr="00821584">
              <w:t>Tributary discharge</w:t>
            </w:r>
          </w:p>
        </w:tc>
        <w:tc>
          <w:tcPr>
            <w:tcW w:w="2969" w:type="dxa"/>
          </w:tcPr>
          <w:p w14:paraId="4959733A" w14:textId="0FCA9697" w:rsidR="00821584" w:rsidRPr="005B3651" w:rsidRDefault="00821584" w:rsidP="00821584">
            <w:pPr>
              <w:pStyle w:val="SWCTableText"/>
            </w:pPr>
            <w:r w:rsidRPr="00821584">
              <w:t>Official daily mean discharge (</w:t>
            </w:r>
            <w:proofErr w:type="spellStart"/>
            <w:r w:rsidRPr="00821584">
              <w:t>Q</w:t>
            </w:r>
            <w:r w:rsidRPr="008A7B8B">
              <w:rPr>
                <w:vertAlign w:val="subscript"/>
              </w:rPr>
              <w:t>mnJ</w:t>
            </w:r>
            <w:proofErr w:type="spellEnd"/>
            <w:r w:rsidRPr="00821584">
              <w:t xml:space="preserve">) for </w:t>
            </w:r>
            <w:proofErr w:type="spellStart"/>
            <w:r w:rsidRPr="00821584">
              <w:t>Leysse</w:t>
            </w:r>
            <w:proofErr w:type="spellEnd"/>
            <w:r w:rsidRPr="00821584">
              <w:t xml:space="preserve">, </w:t>
            </w:r>
            <w:proofErr w:type="spellStart"/>
            <w:r w:rsidRPr="00821584">
              <w:t>Sierroz</w:t>
            </w:r>
            <w:proofErr w:type="spellEnd"/>
            <w:r w:rsidRPr="00821584">
              <w:t>, and Tillet, preserving station revisions and m</w:t>
            </w:r>
            <w:r w:rsidRPr="008A7B8B">
              <w:rPr>
                <w:vertAlign w:val="superscript"/>
              </w:rPr>
              <w:t>3</w:t>
            </w:r>
            <w:r w:rsidRPr="00821584">
              <w:t xml:space="preserve"> s</w:t>
            </w:r>
            <w:r w:rsidRPr="008A7B8B">
              <w:rPr>
                <w:vertAlign w:val="superscript"/>
              </w:rPr>
              <w:t>−1</w:t>
            </w:r>
            <w:r w:rsidRPr="00821584">
              <w:t>.</w:t>
            </w:r>
          </w:p>
        </w:tc>
        <w:tc>
          <w:tcPr>
            <w:tcW w:w="2969" w:type="dxa"/>
          </w:tcPr>
          <w:p w14:paraId="07A6446D" w14:textId="428E509B" w:rsidR="00821584" w:rsidRPr="005B3651" w:rsidRDefault="0096603D" w:rsidP="0096603D">
            <w:pPr>
              <w:pStyle w:val="SWCTableText"/>
            </w:pPr>
            <w:r w:rsidRPr="0096603D">
              <w:t xml:space="preserve">8377 daily Sierroz, </w:t>
            </w:r>
            <w:proofErr w:type="spellStart"/>
            <w:r w:rsidRPr="0096603D">
              <w:t>Leysse</w:t>
            </w:r>
            <w:proofErr w:type="spellEnd"/>
            <w:r w:rsidRPr="0096603D">
              <w:t>, and Tillet observations for 2010–2017</w:t>
            </w:r>
            <w:r>
              <w:t>.</w:t>
            </w:r>
          </w:p>
        </w:tc>
      </w:tr>
      <w:tr w:rsidR="00821584" w:rsidRPr="005B3651" w14:paraId="61AB198C" w14:textId="77777777">
        <w:trPr>
          <w:jc w:val="center"/>
        </w:trPr>
        <w:tc>
          <w:tcPr>
            <w:tcW w:w="2968" w:type="dxa"/>
          </w:tcPr>
          <w:p w14:paraId="653FC665" w14:textId="5C068AED" w:rsidR="00821584" w:rsidRPr="005B3651" w:rsidRDefault="00821584" w:rsidP="00821584">
            <w:pPr>
              <w:pStyle w:val="SWCTableText"/>
            </w:pPr>
            <w:r w:rsidRPr="00821584">
              <w:t>Canal exchange</w:t>
            </w:r>
          </w:p>
        </w:tc>
        <w:tc>
          <w:tcPr>
            <w:tcW w:w="2969" w:type="dxa"/>
          </w:tcPr>
          <w:p w14:paraId="5AAB0B7F" w14:textId="5896CFCC" w:rsidR="00821584" w:rsidRPr="005B3651" w:rsidRDefault="00821584" w:rsidP="00821584">
            <w:pPr>
              <w:pStyle w:val="SWCTableText"/>
            </w:pPr>
            <w:r w:rsidRPr="00821584">
              <w:t xml:space="preserve">Signed daily Canal de </w:t>
            </w:r>
            <w:proofErr w:type="spellStart"/>
            <w:r w:rsidRPr="00821584">
              <w:t>Savières</w:t>
            </w:r>
            <w:proofErr w:type="spellEnd"/>
            <w:r w:rsidRPr="00821584">
              <w:t xml:space="preserve"> discharge</w:t>
            </w:r>
            <w:r>
              <w:t>.</w:t>
            </w:r>
          </w:p>
        </w:tc>
        <w:tc>
          <w:tcPr>
            <w:tcW w:w="2969" w:type="dxa"/>
          </w:tcPr>
          <w:p w14:paraId="6EE4FC2C" w14:textId="190813F9" w:rsidR="00821584" w:rsidRPr="005B3651" w:rsidRDefault="0096603D" w:rsidP="0096603D">
            <w:pPr>
              <w:pStyle w:val="SWCTableText"/>
            </w:pPr>
            <w:r w:rsidRPr="0096603D">
              <w:t>363 daily observations</w:t>
            </w:r>
            <w:r>
              <w:t xml:space="preserve"> </w:t>
            </w:r>
            <w:r w:rsidRPr="0096603D">
              <w:t>2025 series</w:t>
            </w:r>
            <w:r>
              <w:t>.</w:t>
            </w:r>
          </w:p>
        </w:tc>
      </w:tr>
      <w:tr w:rsidR="00821584" w:rsidRPr="005B3651" w14:paraId="7C9E9424" w14:textId="77777777">
        <w:trPr>
          <w:jc w:val="center"/>
        </w:trPr>
        <w:tc>
          <w:tcPr>
            <w:tcW w:w="2968" w:type="dxa"/>
          </w:tcPr>
          <w:p w14:paraId="0724B445" w14:textId="54A032A3" w:rsidR="00821584" w:rsidRPr="005B3651" w:rsidRDefault="00821584" w:rsidP="00821584">
            <w:pPr>
              <w:pStyle w:val="SWCTableText"/>
            </w:pPr>
            <w:r w:rsidRPr="00821584">
              <w:t>Meteorology</w:t>
            </w:r>
          </w:p>
        </w:tc>
        <w:tc>
          <w:tcPr>
            <w:tcW w:w="2969" w:type="dxa"/>
          </w:tcPr>
          <w:p w14:paraId="2624616E" w14:textId="37AA8A5B" w:rsidR="00821584" w:rsidRPr="005B3651" w:rsidRDefault="00821584" w:rsidP="00821584">
            <w:pPr>
              <w:pStyle w:val="SWCTableText"/>
            </w:pPr>
            <w:hyperlink w:anchor="Ref8" w:history="1">
              <w:r w:rsidRPr="00B1611A">
                <w:rPr>
                  <w:rStyle w:val="Hyperlink"/>
                </w:rPr>
                <w:t>Météo-France</w:t>
              </w:r>
            </w:hyperlink>
            <w:r w:rsidRPr="00821584">
              <w:t xml:space="preserve"> hourly station observations with native provider quality fields</w:t>
            </w:r>
            <w:r>
              <w:t>.</w:t>
            </w:r>
          </w:p>
        </w:tc>
        <w:tc>
          <w:tcPr>
            <w:tcW w:w="2969" w:type="dxa"/>
          </w:tcPr>
          <w:p w14:paraId="5CBA92CC" w14:textId="29BBFDD6" w:rsidR="00821584" w:rsidRPr="005B3651" w:rsidRDefault="0096603D" w:rsidP="0096603D">
            <w:pPr>
              <w:pStyle w:val="SWCTableText"/>
            </w:pPr>
            <w:r w:rsidRPr="0096603D">
              <w:t xml:space="preserve">145832 hourly </w:t>
            </w:r>
            <w:hyperlink w:anchor="Ref8" w:history="1">
              <w:r w:rsidRPr="00B1611A">
                <w:rPr>
                  <w:rStyle w:val="Hyperlink"/>
                </w:rPr>
                <w:t>Météo-France</w:t>
              </w:r>
            </w:hyperlink>
            <w:r w:rsidRPr="0096603D">
              <w:t xml:space="preserve"> observations from 2010 onward</w:t>
            </w:r>
            <w:r>
              <w:t>.</w:t>
            </w:r>
          </w:p>
        </w:tc>
      </w:tr>
      <w:tr w:rsidR="00B30E23" w:rsidRPr="005B3651" w14:paraId="584CDB26" w14:textId="77777777">
        <w:trPr>
          <w:jc w:val="center"/>
        </w:trPr>
        <w:tc>
          <w:tcPr>
            <w:tcW w:w="2968" w:type="dxa"/>
          </w:tcPr>
          <w:p w14:paraId="36FFC17A" w14:textId="43B97FE2" w:rsidR="00B30E23" w:rsidRPr="00821584" w:rsidRDefault="00B30E23" w:rsidP="00B30E23">
            <w:pPr>
              <w:pStyle w:val="SWCTableText"/>
            </w:pPr>
            <w:r w:rsidRPr="00B30E23">
              <w:t>Radiation</w:t>
            </w:r>
          </w:p>
        </w:tc>
        <w:tc>
          <w:tcPr>
            <w:tcW w:w="2969" w:type="dxa"/>
          </w:tcPr>
          <w:p w14:paraId="0CAE3007" w14:textId="7E450E04" w:rsidR="00B30E23" w:rsidRPr="00821584" w:rsidRDefault="00B30E23" w:rsidP="00B30E23">
            <w:pPr>
              <w:pStyle w:val="SWCTableText"/>
            </w:pPr>
            <w:r w:rsidRPr="00B30E23">
              <w:t>NASA</w:t>
            </w:r>
            <w:r>
              <w:t xml:space="preserve"> </w:t>
            </w:r>
            <w:r w:rsidRPr="00B30E23">
              <w:t>POWER</w:t>
            </w:r>
            <w:r>
              <w:t xml:space="preserve">; </w:t>
            </w:r>
            <w:r w:rsidRPr="00B30E23">
              <w:t>shortwave</w:t>
            </w:r>
            <w:r>
              <w:t xml:space="preserve"> </w:t>
            </w:r>
            <w:r w:rsidRPr="00B30E23">
              <w:t>forcing</w:t>
            </w:r>
          </w:p>
        </w:tc>
        <w:tc>
          <w:tcPr>
            <w:tcW w:w="2969" w:type="dxa"/>
          </w:tcPr>
          <w:p w14:paraId="117533B2" w14:textId="1755DB95" w:rsidR="00B30E23" w:rsidRPr="0096603D" w:rsidRDefault="00B30E23" w:rsidP="00B30E23">
            <w:pPr>
              <w:pStyle w:val="SWCTableText"/>
            </w:pPr>
            <w:r w:rsidRPr="00B30E23">
              <w:t>Joined</w:t>
            </w:r>
            <w:r>
              <w:t xml:space="preserve"> </w:t>
            </w:r>
            <w:r w:rsidRPr="00B30E23">
              <w:t>series</w:t>
            </w:r>
            <w:r>
              <w:t>.</w:t>
            </w:r>
          </w:p>
        </w:tc>
      </w:tr>
      <w:tr w:rsidR="00B30E23" w:rsidRPr="005B3651" w14:paraId="0414E22E" w14:textId="77777777">
        <w:trPr>
          <w:jc w:val="center"/>
        </w:trPr>
        <w:tc>
          <w:tcPr>
            <w:tcW w:w="2968" w:type="dxa"/>
          </w:tcPr>
          <w:p w14:paraId="4DEAE8A3" w14:textId="395E9D9C" w:rsidR="00B30E23" w:rsidRPr="00B30E23" w:rsidRDefault="00B30E23" w:rsidP="00B30E23">
            <w:pPr>
              <w:pStyle w:val="SWCTableText"/>
            </w:pPr>
            <w:r w:rsidRPr="00B30E23">
              <w:t>Sonde</w:t>
            </w:r>
            <w:r>
              <w:t xml:space="preserve"> </w:t>
            </w:r>
            <w:r w:rsidRPr="00B30E23">
              <w:t>profiles</w:t>
            </w:r>
          </w:p>
        </w:tc>
        <w:tc>
          <w:tcPr>
            <w:tcW w:w="2969" w:type="dxa"/>
          </w:tcPr>
          <w:p w14:paraId="47EBA575" w14:textId="636ED330" w:rsidR="00B30E23" w:rsidRPr="00B30E23" w:rsidRDefault="00B30E23" w:rsidP="00B30E23">
            <w:pPr>
              <w:pStyle w:val="SWCTableText"/>
            </w:pPr>
            <w:hyperlink w:anchor="Ref11" w:history="1">
              <w:r w:rsidRPr="00EB35FF">
                <w:rPr>
                  <w:rStyle w:val="Hyperlink"/>
                </w:rPr>
                <w:t>OLA</w:t>
              </w:r>
            </w:hyperlink>
            <w:r>
              <w:t xml:space="preserve"> </w:t>
            </w:r>
            <w:r w:rsidRPr="00B30E23">
              <w:t>initial,</w:t>
            </w:r>
            <w:r>
              <w:t xml:space="preserve"> </w:t>
            </w:r>
            <w:r w:rsidRPr="00B30E23">
              <w:t>calibration</w:t>
            </w:r>
            <w:r>
              <w:t xml:space="preserve"> </w:t>
            </w:r>
            <w:r w:rsidRPr="00B30E23">
              <w:t>and</w:t>
            </w:r>
            <w:r>
              <w:t xml:space="preserve"> </w:t>
            </w:r>
            <w:r w:rsidRPr="00B30E23">
              <w:t>withheld profiles</w:t>
            </w:r>
          </w:p>
        </w:tc>
        <w:tc>
          <w:tcPr>
            <w:tcW w:w="2969" w:type="dxa"/>
          </w:tcPr>
          <w:p w14:paraId="36375717" w14:textId="0986743C" w:rsidR="00B30E23" w:rsidRPr="00B30E23" w:rsidRDefault="00B30E23" w:rsidP="00B30E23">
            <w:pPr>
              <w:pStyle w:val="SWCTableText"/>
            </w:pPr>
            <w:r w:rsidRPr="00B30E23">
              <w:t>215147</w:t>
            </w:r>
            <w:r>
              <w:t xml:space="preserve"> </w:t>
            </w:r>
            <w:r w:rsidRPr="00B30E23">
              <w:t>/</w:t>
            </w:r>
            <w:r>
              <w:t xml:space="preserve"> </w:t>
            </w:r>
            <w:r w:rsidRPr="00B30E23">
              <w:t>1071 dates</w:t>
            </w:r>
          </w:p>
        </w:tc>
      </w:tr>
      <w:tr w:rsidR="00821584" w:rsidRPr="005B3651" w14:paraId="3F11AD47" w14:textId="77777777">
        <w:trPr>
          <w:jc w:val="center"/>
        </w:trPr>
        <w:tc>
          <w:tcPr>
            <w:tcW w:w="2968" w:type="dxa"/>
          </w:tcPr>
          <w:p w14:paraId="27DCC745" w14:textId="6EAA8E95" w:rsidR="00821584" w:rsidRPr="005B3651" w:rsidRDefault="00821584" w:rsidP="00821584">
            <w:pPr>
              <w:pStyle w:val="SWCTableText"/>
            </w:pPr>
            <w:r w:rsidRPr="00821584">
              <w:t>Public temperature profiles</w:t>
            </w:r>
          </w:p>
        </w:tc>
        <w:tc>
          <w:tcPr>
            <w:tcW w:w="2969" w:type="dxa"/>
          </w:tcPr>
          <w:p w14:paraId="5BD5576A" w14:textId="2FCA34BB" w:rsidR="00821584" w:rsidRPr="005B3651" w:rsidRDefault="00821584" w:rsidP="00821584">
            <w:pPr>
              <w:pStyle w:val="SWCTableText"/>
            </w:pPr>
            <w:hyperlink w:anchor="Ref11" w:history="1">
              <w:r w:rsidRPr="00EB35FF">
                <w:rPr>
                  <w:rStyle w:val="Hyperlink"/>
                </w:rPr>
                <w:t>OLA</w:t>
              </w:r>
            </w:hyperlink>
            <w:r w:rsidRPr="00821584">
              <w:t xml:space="preserve"> deposited depth/temperature rows with dataset identifier and upstream checksum.</w:t>
            </w:r>
          </w:p>
        </w:tc>
        <w:tc>
          <w:tcPr>
            <w:tcW w:w="2969" w:type="dxa"/>
          </w:tcPr>
          <w:p w14:paraId="228763F0" w14:textId="03C1FCDE" w:rsidR="00821584" w:rsidRPr="005B3651" w:rsidRDefault="0096603D" w:rsidP="0096603D">
            <w:pPr>
              <w:pStyle w:val="SWCTableText"/>
            </w:pPr>
            <w:r w:rsidRPr="0096603D">
              <w:t>20936 public full-depth temperature observations</w:t>
            </w:r>
            <w:r>
              <w:t>.</w:t>
            </w:r>
          </w:p>
        </w:tc>
      </w:tr>
      <w:tr w:rsidR="00821584" w:rsidRPr="005B3651" w14:paraId="64331413" w14:textId="77777777">
        <w:trPr>
          <w:jc w:val="center"/>
        </w:trPr>
        <w:tc>
          <w:tcPr>
            <w:tcW w:w="2968" w:type="dxa"/>
          </w:tcPr>
          <w:p w14:paraId="052397A5" w14:textId="393C1FEF" w:rsidR="00821584" w:rsidRPr="005B3651" w:rsidRDefault="00821584" w:rsidP="00821584">
            <w:pPr>
              <w:pStyle w:val="SWCTableText"/>
            </w:pPr>
            <w:r w:rsidRPr="00821584">
              <w:t>Surface temperature</w:t>
            </w:r>
          </w:p>
        </w:tc>
        <w:tc>
          <w:tcPr>
            <w:tcW w:w="2969" w:type="dxa"/>
          </w:tcPr>
          <w:p w14:paraId="417D5082" w14:textId="18373A88" w:rsidR="00821584" w:rsidRPr="005B3651" w:rsidRDefault="00821584" w:rsidP="00821584">
            <w:pPr>
              <w:pStyle w:val="SWCTableText"/>
            </w:pPr>
            <w:hyperlink w:anchor="Ref11" w:history="1">
              <w:r w:rsidRPr="00EB35FF">
                <w:rPr>
                  <w:rStyle w:val="Hyperlink"/>
                </w:rPr>
                <w:t>OLA</w:t>
              </w:r>
            </w:hyperlink>
            <w:r w:rsidRPr="00821584">
              <w:t xml:space="preserve"> deposited time series.</w:t>
            </w:r>
          </w:p>
        </w:tc>
        <w:tc>
          <w:tcPr>
            <w:tcW w:w="2969" w:type="dxa"/>
          </w:tcPr>
          <w:p w14:paraId="7F867492" w14:textId="78BA3069" w:rsidR="00821584" w:rsidRPr="005B3651" w:rsidRDefault="0096603D" w:rsidP="0096603D">
            <w:pPr>
              <w:pStyle w:val="SWCTableText"/>
            </w:pPr>
            <w:r w:rsidRPr="0096603D">
              <w:t>687 surface-temperature observations</w:t>
            </w:r>
            <w:r>
              <w:t>.</w:t>
            </w:r>
          </w:p>
        </w:tc>
      </w:tr>
      <w:tr w:rsidR="00821584" w:rsidRPr="005B3651" w14:paraId="098CFB8F" w14:textId="77777777">
        <w:trPr>
          <w:jc w:val="center"/>
        </w:trPr>
        <w:tc>
          <w:tcPr>
            <w:tcW w:w="2968" w:type="dxa"/>
          </w:tcPr>
          <w:p w14:paraId="125A34C7" w14:textId="05C451BE" w:rsidR="00821584" w:rsidRPr="005B3651" w:rsidRDefault="00821584" w:rsidP="00821584">
            <w:pPr>
              <w:pStyle w:val="SWCTableText"/>
            </w:pPr>
            <w:r w:rsidRPr="00821584">
              <w:t>Chemistry and zooplankton</w:t>
            </w:r>
          </w:p>
        </w:tc>
        <w:tc>
          <w:tcPr>
            <w:tcW w:w="2969" w:type="dxa"/>
          </w:tcPr>
          <w:p w14:paraId="29A7735C" w14:textId="388D566E" w:rsidR="00821584" w:rsidRPr="005B3651" w:rsidRDefault="00821584" w:rsidP="00821584">
            <w:pPr>
              <w:pStyle w:val="SWCTableText"/>
            </w:pPr>
            <w:r w:rsidRPr="00821584">
              <w:t xml:space="preserve">Original </w:t>
            </w:r>
            <w:hyperlink w:anchor="Ref11" w:history="1">
              <w:r w:rsidRPr="00EB35FF">
                <w:rPr>
                  <w:rStyle w:val="Hyperlink"/>
                </w:rPr>
                <w:t>OLA</w:t>
              </w:r>
            </w:hyperlink>
            <w:r w:rsidRPr="00821584">
              <w:t xml:space="preserve"> workbook fields and units</w:t>
            </w:r>
            <w:r>
              <w:t>.</w:t>
            </w:r>
          </w:p>
        </w:tc>
        <w:tc>
          <w:tcPr>
            <w:tcW w:w="2969" w:type="dxa"/>
          </w:tcPr>
          <w:p w14:paraId="18016BB0" w14:textId="053D755B" w:rsidR="00821584" w:rsidRPr="005B3651" w:rsidRDefault="0096603D" w:rsidP="0096603D">
            <w:pPr>
              <w:pStyle w:val="SWCTableText"/>
            </w:pPr>
            <w:r w:rsidRPr="0096603D">
              <w:t>2139 public chemistry observations and 11268 zooplankton observations</w:t>
            </w:r>
            <w:r>
              <w:t>.</w:t>
            </w:r>
          </w:p>
        </w:tc>
      </w:tr>
      <w:tr w:rsidR="00821584" w:rsidRPr="005B3651" w14:paraId="2E10734B" w14:textId="77777777">
        <w:trPr>
          <w:jc w:val="center"/>
        </w:trPr>
        <w:tc>
          <w:tcPr>
            <w:tcW w:w="2968" w:type="dxa"/>
          </w:tcPr>
          <w:p w14:paraId="1EA02D7D" w14:textId="5E833705" w:rsidR="00821584" w:rsidRPr="005B3651" w:rsidRDefault="00821584" w:rsidP="00821584">
            <w:pPr>
              <w:pStyle w:val="SWCTableText"/>
            </w:pPr>
            <w:r w:rsidRPr="00821584">
              <w:t>Regional geology</w:t>
            </w:r>
          </w:p>
        </w:tc>
        <w:tc>
          <w:tcPr>
            <w:tcW w:w="2969" w:type="dxa"/>
          </w:tcPr>
          <w:p w14:paraId="01FDDDB2" w14:textId="69665925" w:rsidR="00821584" w:rsidRPr="005B3651" w:rsidRDefault="00821584" w:rsidP="00821584">
            <w:pPr>
              <w:pStyle w:val="SWCTableText"/>
            </w:pPr>
            <w:hyperlink w:anchor="Ref10" w:history="1">
              <w:r w:rsidRPr="00EB35FF">
                <w:rPr>
                  <w:rStyle w:val="Hyperlink"/>
                </w:rPr>
                <w:t>BRGM</w:t>
              </w:r>
            </w:hyperlink>
            <w:r w:rsidRPr="00821584">
              <w:t xml:space="preserve"> </w:t>
            </w:r>
            <w:proofErr w:type="spellStart"/>
            <w:r w:rsidRPr="00821584">
              <w:t>geoservice</w:t>
            </w:r>
            <w:proofErr w:type="spellEnd"/>
            <w:r w:rsidRPr="00821584">
              <w:t xml:space="preserve"> features</w:t>
            </w:r>
            <w:r>
              <w:t>.</w:t>
            </w:r>
          </w:p>
        </w:tc>
        <w:tc>
          <w:tcPr>
            <w:tcW w:w="2969" w:type="dxa"/>
          </w:tcPr>
          <w:p w14:paraId="032E9B82" w14:textId="6EA8C491" w:rsidR="00821584" w:rsidRPr="005B3651" w:rsidRDefault="0096603D" w:rsidP="0096603D">
            <w:pPr>
              <w:pStyle w:val="SWCTableText"/>
            </w:pPr>
            <w:r w:rsidRPr="0096603D">
              <w:t xml:space="preserve">729 </w:t>
            </w:r>
            <w:proofErr w:type="gramStart"/>
            <w:r w:rsidRPr="0096603D">
              <w:t>regional</w:t>
            </w:r>
            <w:proofErr w:type="gramEnd"/>
            <w:r w:rsidRPr="0096603D">
              <w:t xml:space="preserve"> </w:t>
            </w:r>
            <w:hyperlink w:anchor="Ref10" w:history="1">
              <w:r w:rsidRPr="00EB35FF">
                <w:rPr>
                  <w:rStyle w:val="Hyperlink"/>
                </w:rPr>
                <w:t>BRGM</w:t>
              </w:r>
            </w:hyperlink>
            <w:r w:rsidRPr="0096603D">
              <w:t xml:space="preserve"> features</w:t>
            </w:r>
            <w:r>
              <w:t>.</w:t>
            </w:r>
          </w:p>
        </w:tc>
      </w:tr>
      <w:tr w:rsidR="00821584" w:rsidRPr="005B3651" w14:paraId="331FF198" w14:textId="77777777">
        <w:trPr>
          <w:jc w:val="center"/>
        </w:trPr>
        <w:tc>
          <w:tcPr>
            <w:tcW w:w="2968" w:type="dxa"/>
          </w:tcPr>
          <w:p w14:paraId="38A68DE2" w14:textId="4E360CAB" w:rsidR="00821584" w:rsidRPr="005B3651" w:rsidRDefault="00821584" w:rsidP="00821584">
            <w:pPr>
              <w:pStyle w:val="SWCTableText"/>
            </w:pPr>
            <w:proofErr w:type="spellStart"/>
            <w:r w:rsidRPr="00821584">
              <w:t>Hydroacoustics</w:t>
            </w:r>
            <w:proofErr w:type="spellEnd"/>
          </w:p>
        </w:tc>
        <w:tc>
          <w:tcPr>
            <w:tcW w:w="2969" w:type="dxa"/>
          </w:tcPr>
          <w:p w14:paraId="689DE9BF" w14:textId="7FE74D30" w:rsidR="00821584" w:rsidRPr="005B3651" w:rsidRDefault="00821584" w:rsidP="00821584">
            <w:pPr>
              <w:pStyle w:val="SWCTableText"/>
            </w:pPr>
            <w:r w:rsidRPr="00821584">
              <w:t>Downloadable file inventory with identifiers, sizes, and source links.</w:t>
            </w:r>
          </w:p>
        </w:tc>
        <w:tc>
          <w:tcPr>
            <w:tcW w:w="2969" w:type="dxa"/>
          </w:tcPr>
          <w:p w14:paraId="0D1D2BA4" w14:textId="41DE6817" w:rsidR="00821584" w:rsidRPr="005B3651" w:rsidRDefault="0096603D" w:rsidP="0096603D">
            <w:pPr>
              <w:pStyle w:val="SWCTableText"/>
            </w:pPr>
            <w:r w:rsidRPr="0096603D">
              <w:t>102 downloadable hydroacoustic files</w:t>
            </w:r>
            <w:r>
              <w:t>.</w:t>
            </w:r>
          </w:p>
        </w:tc>
      </w:tr>
      <w:tr w:rsidR="00B30E23" w:rsidRPr="005B3651" w14:paraId="61B8E677" w14:textId="77777777">
        <w:trPr>
          <w:jc w:val="center"/>
        </w:trPr>
        <w:tc>
          <w:tcPr>
            <w:tcW w:w="2968" w:type="dxa"/>
          </w:tcPr>
          <w:p w14:paraId="04CF3DE1" w14:textId="0B30FEB5" w:rsidR="00B30E23" w:rsidRPr="00821584" w:rsidRDefault="00B30E23" w:rsidP="00B30E23">
            <w:pPr>
              <w:pStyle w:val="SWCTableText"/>
            </w:pPr>
            <w:r w:rsidRPr="00B30E23">
              <w:lastRenderedPageBreak/>
              <w:t>Regional</w:t>
            </w:r>
            <w:r>
              <w:t xml:space="preserve"> </w:t>
            </w:r>
            <w:r w:rsidRPr="00B30E23">
              <w:t>water-quality</w:t>
            </w:r>
            <w:r>
              <w:t xml:space="preserve"> </w:t>
            </w:r>
            <w:r w:rsidRPr="00B30E23">
              <w:t>export</w:t>
            </w:r>
          </w:p>
        </w:tc>
        <w:tc>
          <w:tcPr>
            <w:tcW w:w="2969" w:type="dxa"/>
          </w:tcPr>
          <w:p w14:paraId="1D85975D" w14:textId="59F1E0AA" w:rsidR="00B30E23" w:rsidRPr="00821584" w:rsidRDefault="00B30E23" w:rsidP="00B30E23">
            <w:pPr>
              <w:pStyle w:val="SWCTableText"/>
            </w:pPr>
            <w:proofErr w:type="spellStart"/>
            <w:r w:rsidRPr="00B30E23">
              <w:t>Naïades</w:t>
            </w:r>
            <w:proofErr w:type="spellEnd"/>
            <w:r>
              <w:t xml:space="preserve"> </w:t>
            </w:r>
            <w:r w:rsidRPr="00B30E23">
              <w:t>tributary</w:t>
            </w:r>
            <w:r>
              <w:t xml:space="preserve"> </w:t>
            </w:r>
            <w:r w:rsidRPr="00B30E23">
              <w:t>profiles</w:t>
            </w:r>
            <w:r>
              <w:t>.</w:t>
            </w:r>
          </w:p>
        </w:tc>
        <w:tc>
          <w:tcPr>
            <w:tcW w:w="2969" w:type="dxa"/>
          </w:tcPr>
          <w:p w14:paraId="290C8E39" w14:textId="044AB4FB" w:rsidR="00B30E23" w:rsidRPr="0096603D" w:rsidRDefault="00B30E23" w:rsidP="00B30E23">
            <w:pPr>
              <w:pStyle w:val="SWCTableText"/>
            </w:pPr>
            <w:r w:rsidRPr="00B30E23">
              <w:t>527718→ 99280</w:t>
            </w:r>
            <w:r>
              <w:t xml:space="preserve"> of </w:t>
            </w:r>
            <w:r w:rsidRPr="00B30E23">
              <w:t>2024–2025</w:t>
            </w:r>
            <w:r>
              <w:t xml:space="preserve"> </w:t>
            </w:r>
            <w:r w:rsidRPr="00B30E23">
              <w:t>profiles</w:t>
            </w:r>
            <w:r>
              <w:t>.</w:t>
            </w:r>
          </w:p>
        </w:tc>
      </w:tr>
      <w:tr w:rsidR="00821584" w:rsidRPr="005B3651" w14:paraId="667588F3" w14:textId="77777777">
        <w:trPr>
          <w:jc w:val="center"/>
        </w:trPr>
        <w:tc>
          <w:tcPr>
            <w:tcW w:w="2968" w:type="dxa"/>
          </w:tcPr>
          <w:p w14:paraId="221EF929" w14:textId="1081A835" w:rsidR="00821584" w:rsidRPr="005B3651" w:rsidRDefault="00821584" w:rsidP="00821584">
            <w:pPr>
              <w:pStyle w:val="SWCTableText"/>
            </w:pPr>
            <w:r w:rsidRPr="00821584">
              <w:t>Hypsography metadata</w:t>
            </w:r>
          </w:p>
        </w:tc>
        <w:tc>
          <w:tcPr>
            <w:tcW w:w="2969" w:type="dxa"/>
          </w:tcPr>
          <w:p w14:paraId="19496FFD" w14:textId="38AAC1D3" w:rsidR="00821584" w:rsidRPr="005B3651" w:rsidRDefault="00821584" w:rsidP="00821584">
            <w:pPr>
              <w:pStyle w:val="SWCTableText"/>
            </w:pPr>
            <w:r w:rsidRPr="00821584">
              <w:t>FEMC documents exactly 145 depth/area rows and their units</w:t>
            </w:r>
            <w:r>
              <w:t>.</w:t>
            </w:r>
          </w:p>
        </w:tc>
        <w:tc>
          <w:tcPr>
            <w:tcW w:w="2969" w:type="dxa"/>
          </w:tcPr>
          <w:p w14:paraId="315A0B70" w14:textId="47345025" w:rsidR="00821584" w:rsidRPr="005B3651" w:rsidRDefault="0096603D" w:rsidP="0096603D">
            <w:pPr>
              <w:pStyle w:val="SWCTableText"/>
            </w:pPr>
            <w:r w:rsidRPr="0096603D">
              <w:t>145-row FEMC depth/area dataset</w:t>
            </w:r>
            <w:r>
              <w:t>.</w:t>
            </w:r>
          </w:p>
        </w:tc>
      </w:tr>
    </w:tbl>
    <w:p w14:paraId="139AEF09" w14:textId="4C7A1B73" w:rsidR="008D5E74" w:rsidRPr="00F25E99" w:rsidRDefault="008D5E74" w:rsidP="00F023FE">
      <w:pPr>
        <w:pStyle w:val="SWCTableFigureCaption"/>
        <w:rPr>
          <w:lang w:val="en-GB"/>
        </w:rPr>
      </w:pPr>
      <w:bookmarkStart w:id="1" w:name="Tab2"/>
      <w:r w:rsidRPr="00F25E99">
        <w:rPr>
          <w:lang w:val="en-GB"/>
        </w:rPr>
        <w:t xml:space="preserve">Tab. </w:t>
      </w:r>
      <w:r>
        <w:rPr>
          <w:lang w:val="en-GB"/>
        </w:rPr>
        <w:t>2</w:t>
      </w:r>
      <w:r w:rsidRPr="00F25E99">
        <w:rPr>
          <w:lang w:val="en-GB"/>
        </w:rPr>
        <w:t xml:space="preserve">: </w:t>
      </w:r>
      <w:r w:rsidR="00F023FE" w:rsidRPr="00F023FE">
        <w:rPr>
          <w:lang w:val="en-GB"/>
        </w:rPr>
        <w:t>Scientific modules, implementation status,</w:t>
      </w:r>
      <w:r w:rsidR="00F023FE">
        <w:rPr>
          <w:lang w:val="en-GB"/>
        </w:rPr>
        <w:t xml:space="preserve"> and</w:t>
      </w:r>
      <w:r w:rsidR="00F023FE" w:rsidRPr="00F023FE">
        <w:rPr>
          <w:lang w:val="en-GB"/>
        </w:rPr>
        <w:t xml:space="preserve"> pinned upstream software at Lac du Bourget. “Delegated” means the numerical work is performed by the named external engine at the stated version pin.</w:t>
      </w:r>
      <w:bookmarkEnd w:id="1"/>
    </w:p>
    <w:tbl>
      <w:tblPr>
        <w:tblStyle w:val="TableGrid"/>
        <w:tblW w:w="0" w:type="auto"/>
        <w:jc w:val="center"/>
        <w:tblLook w:val="01E0" w:firstRow="1" w:lastRow="1" w:firstColumn="1" w:lastColumn="1" w:noHBand="0" w:noVBand="0"/>
      </w:tblPr>
      <w:tblGrid>
        <w:gridCol w:w="2968"/>
        <w:gridCol w:w="2969"/>
        <w:gridCol w:w="2969"/>
      </w:tblGrid>
      <w:tr w:rsidR="008D5E74" w:rsidRPr="005B3651" w14:paraId="7BCFC767" w14:textId="77777777" w:rsidTr="00F25E99">
        <w:trPr>
          <w:jc w:val="center"/>
        </w:trPr>
        <w:tc>
          <w:tcPr>
            <w:tcW w:w="2968" w:type="dxa"/>
          </w:tcPr>
          <w:p w14:paraId="39D0F22E" w14:textId="0CD31928" w:rsidR="008D5E74" w:rsidRPr="005B3651" w:rsidRDefault="008D5E74" w:rsidP="008D5E74">
            <w:pPr>
              <w:pStyle w:val="SWCTableHeader"/>
            </w:pPr>
            <w:r w:rsidRPr="008D5E74">
              <w:t>Module</w:t>
            </w:r>
          </w:p>
        </w:tc>
        <w:tc>
          <w:tcPr>
            <w:tcW w:w="2969" w:type="dxa"/>
          </w:tcPr>
          <w:p w14:paraId="122EFDF2" w14:textId="0A2AD047" w:rsidR="008D5E74" w:rsidRPr="005B3651" w:rsidRDefault="008D5E74" w:rsidP="00F25E99">
            <w:pPr>
              <w:pStyle w:val="SWCTableHeader"/>
            </w:pPr>
            <w:r w:rsidRPr="008D5E74">
              <w:t>Implementation</w:t>
            </w:r>
          </w:p>
        </w:tc>
        <w:tc>
          <w:tcPr>
            <w:tcW w:w="2969" w:type="dxa"/>
          </w:tcPr>
          <w:p w14:paraId="2FD0E436" w14:textId="17977C49" w:rsidR="008D5E74" w:rsidRPr="005B3651" w:rsidRDefault="008D5E74" w:rsidP="008D5E74">
            <w:pPr>
              <w:pStyle w:val="SWCTableHeader"/>
            </w:pPr>
            <w:r w:rsidRPr="008D5E74">
              <w:t>Upstream engine and version pin</w:t>
            </w:r>
          </w:p>
        </w:tc>
      </w:tr>
      <w:tr w:rsidR="008D5E74" w:rsidRPr="005B3651" w14:paraId="2678EE74" w14:textId="77777777" w:rsidTr="00F25E99">
        <w:trPr>
          <w:jc w:val="center"/>
        </w:trPr>
        <w:tc>
          <w:tcPr>
            <w:tcW w:w="2968" w:type="dxa"/>
          </w:tcPr>
          <w:p w14:paraId="35E43005" w14:textId="3010CF26" w:rsidR="008D5E74" w:rsidRPr="008A7B8B" w:rsidRDefault="008D5E74" w:rsidP="008D5E74">
            <w:pPr>
              <w:pStyle w:val="SWCTableHeader"/>
              <w:rPr>
                <w:b w:val="0"/>
                <w:bCs w:val="0"/>
              </w:rPr>
            </w:pPr>
            <w:r w:rsidRPr="008A7B8B">
              <w:rPr>
                <w:b w:val="0"/>
                <w:bCs w:val="0"/>
              </w:rPr>
              <w:t>Lake geometry</w:t>
            </w:r>
          </w:p>
        </w:tc>
        <w:tc>
          <w:tcPr>
            <w:tcW w:w="2969" w:type="dxa"/>
          </w:tcPr>
          <w:p w14:paraId="0E130517" w14:textId="3595C789" w:rsidR="008D5E74" w:rsidRPr="008A7B8B" w:rsidRDefault="008D5E74" w:rsidP="008D5E74">
            <w:pPr>
              <w:pStyle w:val="SWCTableHeader"/>
              <w:rPr>
                <w:b w:val="0"/>
                <w:bCs w:val="0"/>
              </w:rPr>
            </w:pPr>
            <w:r w:rsidRPr="008A7B8B">
              <w:rPr>
                <w:b w:val="0"/>
                <w:bCs w:val="0"/>
              </w:rPr>
              <w:t>local</w:t>
            </w:r>
          </w:p>
        </w:tc>
        <w:tc>
          <w:tcPr>
            <w:tcW w:w="2969" w:type="dxa"/>
          </w:tcPr>
          <w:p w14:paraId="0AB6EB98" w14:textId="7EEF9EBD" w:rsidR="008D5E74" w:rsidRPr="008A7B8B" w:rsidRDefault="004B6A1A" w:rsidP="004B6A1A">
            <w:pPr>
              <w:pStyle w:val="SWCTableHeader"/>
              <w:rPr>
                <w:b w:val="0"/>
                <w:bCs w:val="0"/>
              </w:rPr>
            </w:pPr>
            <w:hyperlink w:anchor="Ref12" w:history="1">
              <w:r w:rsidRPr="00EB35FF">
                <w:rPr>
                  <w:rStyle w:val="Hyperlink"/>
                  <w:b w:val="0"/>
                  <w:bCs w:val="0"/>
                </w:rPr>
                <w:t>JPL spherical-polygon algorithm</w:t>
              </w:r>
            </w:hyperlink>
          </w:p>
        </w:tc>
      </w:tr>
      <w:tr w:rsidR="008D5E74" w:rsidRPr="005B3651" w14:paraId="66CC6C38" w14:textId="77777777" w:rsidTr="00F25E99">
        <w:trPr>
          <w:jc w:val="center"/>
        </w:trPr>
        <w:tc>
          <w:tcPr>
            <w:tcW w:w="2968" w:type="dxa"/>
          </w:tcPr>
          <w:p w14:paraId="741A5F97" w14:textId="15594128" w:rsidR="008D5E74" w:rsidRPr="008A7B8B" w:rsidRDefault="008D5E74" w:rsidP="008D5E74">
            <w:pPr>
              <w:pStyle w:val="SWCTableHeader"/>
              <w:rPr>
                <w:b w:val="0"/>
                <w:bCs w:val="0"/>
              </w:rPr>
            </w:pPr>
            <w:r w:rsidRPr="008A7B8B">
              <w:rPr>
                <w:b w:val="0"/>
                <w:bCs w:val="0"/>
              </w:rPr>
              <w:t>Coverage and layout</w:t>
            </w:r>
          </w:p>
        </w:tc>
        <w:tc>
          <w:tcPr>
            <w:tcW w:w="2969" w:type="dxa"/>
          </w:tcPr>
          <w:p w14:paraId="32D211DA" w14:textId="22A9F98B" w:rsidR="008D5E74" w:rsidRPr="008A7B8B" w:rsidRDefault="008D5E74" w:rsidP="008D5E74">
            <w:pPr>
              <w:pStyle w:val="SWCTableHeader"/>
              <w:rPr>
                <w:b w:val="0"/>
                <w:bCs w:val="0"/>
              </w:rPr>
            </w:pPr>
            <w:r w:rsidRPr="008A7B8B">
              <w:rPr>
                <w:b w:val="0"/>
                <w:bCs w:val="0"/>
              </w:rPr>
              <w:t>local</w:t>
            </w:r>
          </w:p>
        </w:tc>
        <w:tc>
          <w:tcPr>
            <w:tcW w:w="2969" w:type="dxa"/>
          </w:tcPr>
          <w:p w14:paraId="4003A48C" w14:textId="4FC252C9" w:rsidR="008D5E74" w:rsidRPr="008A7B8B" w:rsidRDefault="004B6A1A" w:rsidP="004B6A1A">
            <w:pPr>
              <w:pStyle w:val="SWCTableHeader"/>
              <w:rPr>
                <w:b w:val="0"/>
                <w:bCs w:val="0"/>
              </w:rPr>
            </w:pPr>
            <w:r w:rsidRPr="004B6A1A">
              <w:rPr>
                <w:b w:val="0"/>
                <w:bCs w:val="0"/>
              </w:rPr>
              <w:t>—</w:t>
            </w:r>
          </w:p>
        </w:tc>
      </w:tr>
      <w:tr w:rsidR="008D5E74" w:rsidRPr="008A7B8B" w14:paraId="2F7505EE" w14:textId="77777777" w:rsidTr="00F25E99">
        <w:trPr>
          <w:jc w:val="center"/>
        </w:trPr>
        <w:tc>
          <w:tcPr>
            <w:tcW w:w="2968" w:type="dxa"/>
          </w:tcPr>
          <w:p w14:paraId="2207920E" w14:textId="4C303614" w:rsidR="008D5E74" w:rsidRPr="008A7B8B" w:rsidRDefault="008D5E74" w:rsidP="008D5E74">
            <w:pPr>
              <w:pStyle w:val="SWCTableHeader"/>
              <w:rPr>
                <w:b w:val="0"/>
                <w:bCs w:val="0"/>
              </w:rPr>
            </w:pPr>
            <w:r w:rsidRPr="008A7B8B">
              <w:rPr>
                <w:b w:val="0"/>
                <w:bCs w:val="0"/>
              </w:rPr>
              <w:t>Photovoltaic energy</w:t>
            </w:r>
          </w:p>
        </w:tc>
        <w:tc>
          <w:tcPr>
            <w:tcW w:w="2969" w:type="dxa"/>
          </w:tcPr>
          <w:p w14:paraId="177AE447" w14:textId="0B01D8B2" w:rsidR="008D5E74" w:rsidRPr="008A7B8B" w:rsidRDefault="008D5E74" w:rsidP="008D5E74">
            <w:pPr>
              <w:pStyle w:val="SWCTableHeader"/>
              <w:rPr>
                <w:b w:val="0"/>
                <w:bCs w:val="0"/>
              </w:rPr>
            </w:pPr>
            <w:r w:rsidRPr="008A7B8B">
              <w:rPr>
                <w:b w:val="0"/>
                <w:bCs w:val="0"/>
              </w:rPr>
              <w:t>delegated</w:t>
            </w:r>
          </w:p>
        </w:tc>
        <w:tc>
          <w:tcPr>
            <w:tcW w:w="2969" w:type="dxa"/>
          </w:tcPr>
          <w:p w14:paraId="60942C51" w14:textId="27993299" w:rsidR="008D5E74" w:rsidRPr="008A7B8B" w:rsidRDefault="00EB35FF" w:rsidP="004B6A1A">
            <w:pPr>
              <w:pStyle w:val="SWCTableHeader"/>
              <w:rPr>
                <w:b w:val="0"/>
                <w:bCs w:val="0"/>
                <w:lang w:val="fr-FR"/>
              </w:rPr>
            </w:pPr>
            <w:hyperlink w:anchor="Ref13" w:history="1">
              <w:r w:rsidR="004B6A1A" w:rsidRPr="008A7B8B">
                <w:rPr>
                  <w:rStyle w:val="Hyperlink"/>
                  <w:lang w:val="fr-FR"/>
                </w:rPr>
                <w:t>PVGIS 5</w:t>
              </w:r>
            </w:hyperlink>
            <w:r w:rsidR="004B6A1A" w:rsidRPr="008A7B8B">
              <w:rPr>
                <w:b w:val="0"/>
                <w:bCs w:val="0"/>
                <w:lang w:val="fr-FR"/>
              </w:rPr>
              <w:t xml:space="preserve"> non-interactive </w:t>
            </w:r>
            <w:proofErr w:type="gramStart"/>
            <w:r w:rsidR="004B6A1A" w:rsidRPr="008A7B8B">
              <w:rPr>
                <w:b w:val="0"/>
                <w:bCs w:val="0"/>
                <w:lang w:val="fr-FR"/>
              </w:rPr>
              <w:t>service;</w:t>
            </w:r>
            <w:proofErr w:type="gramEnd"/>
            <w:r w:rsidR="004B6A1A" w:rsidRPr="008A7B8B">
              <w:rPr>
                <w:b w:val="0"/>
                <w:bCs w:val="0"/>
                <w:lang w:val="fr-FR"/>
              </w:rPr>
              <w:t xml:space="preserve"> </w:t>
            </w:r>
            <w:proofErr w:type="spellStart"/>
            <w:r w:rsidR="004B6A1A" w:rsidRPr="008A7B8B">
              <w:rPr>
                <w:b w:val="0"/>
                <w:bCs w:val="0"/>
                <w:lang w:val="fr-FR"/>
              </w:rPr>
              <w:t>PySAM</w:t>
            </w:r>
            <w:proofErr w:type="spellEnd"/>
            <w:r w:rsidR="004B6A1A" w:rsidRPr="008A7B8B">
              <w:rPr>
                <w:b w:val="0"/>
                <w:bCs w:val="0"/>
                <w:lang w:val="fr-FR"/>
              </w:rPr>
              <w:t xml:space="preserve"> / </w:t>
            </w:r>
            <w:hyperlink w:anchor="Ref14" w:history="1">
              <w:proofErr w:type="spellStart"/>
              <w:r w:rsidR="004B6A1A" w:rsidRPr="008A7B8B">
                <w:rPr>
                  <w:rStyle w:val="Hyperlink"/>
                  <w:lang w:val="fr-FR"/>
                </w:rPr>
                <w:t>PVWatts</w:t>
              </w:r>
              <w:proofErr w:type="spellEnd"/>
            </w:hyperlink>
            <w:r w:rsidR="004B6A1A" w:rsidRPr="008A7B8B">
              <w:rPr>
                <w:b w:val="0"/>
                <w:bCs w:val="0"/>
                <w:lang w:val="fr-FR"/>
              </w:rPr>
              <w:t xml:space="preserve"> v5</w:t>
            </w:r>
          </w:p>
        </w:tc>
      </w:tr>
      <w:tr w:rsidR="008D5E74" w:rsidRPr="005B3651" w14:paraId="2B8030D5" w14:textId="77777777" w:rsidTr="00F25E99">
        <w:trPr>
          <w:jc w:val="center"/>
        </w:trPr>
        <w:tc>
          <w:tcPr>
            <w:tcW w:w="2968" w:type="dxa"/>
          </w:tcPr>
          <w:p w14:paraId="4C02E985" w14:textId="1FC4ADA7" w:rsidR="008D5E74" w:rsidRPr="008A7B8B" w:rsidRDefault="008D5E74" w:rsidP="008D5E74">
            <w:pPr>
              <w:pStyle w:val="SWCTableHeader"/>
              <w:rPr>
                <w:b w:val="0"/>
                <w:bCs w:val="0"/>
              </w:rPr>
            </w:pPr>
            <w:r w:rsidRPr="008A7B8B">
              <w:rPr>
                <w:b w:val="0"/>
                <w:bCs w:val="0"/>
              </w:rPr>
              <w:t>Evaporation</w:t>
            </w:r>
          </w:p>
        </w:tc>
        <w:tc>
          <w:tcPr>
            <w:tcW w:w="2969" w:type="dxa"/>
          </w:tcPr>
          <w:p w14:paraId="26C57194" w14:textId="4FAB4C08" w:rsidR="008D5E74" w:rsidRPr="008A7B8B" w:rsidRDefault="008D5E74" w:rsidP="008D5E74">
            <w:pPr>
              <w:pStyle w:val="SWCTableHeader"/>
              <w:rPr>
                <w:b w:val="0"/>
                <w:bCs w:val="0"/>
              </w:rPr>
            </w:pPr>
            <w:r w:rsidRPr="008A7B8B">
              <w:rPr>
                <w:b w:val="0"/>
                <w:bCs w:val="0"/>
              </w:rPr>
              <w:t>delegated + local</w:t>
            </w:r>
          </w:p>
        </w:tc>
        <w:tc>
          <w:tcPr>
            <w:tcW w:w="2969" w:type="dxa"/>
          </w:tcPr>
          <w:p w14:paraId="7FA30192" w14:textId="19D238F8" w:rsidR="008D5E74" w:rsidRPr="008A7B8B" w:rsidRDefault="00F023FE" w:rsidP="00F023FE">
            <w:pPr>
              <w:pStyle w:val="SWCTableHeader"/>
              <w:rPr>
                <w:b w:val="0"/>
                <w:bCs w:val="0"/>
              </w:rPr>
            </w:pPr>
            <w:hyperlink w:anchor="Ref15" w:history="1">
              <w:proofErr w:type="spellStart"/>
              <w:r w:rsidRPr="00EB35FF">
                <w:rPr>
                  <w:rStyle w:val="Hyperlink"/>
                  <w:b w:val="0"/>
                  <w:bCs w:val="0"/>
                </w:rPr>
                <w:t>pyet</w:t>
              </w:r>
              <w:proofErr w:type="spellEnd"/>
              <w:r w:rsidRPr="00EB35FF">
                <w:rPr>
                  <w:rStyle w:val="Hyperlink"/>
                  <w:b w:val="0"/>
                  <w:bCs w:val="0"/>
                </w:rPr>
                <w:t xml:space="preserve"> v1.3.1</w:t>
              </w:r>
            </w:hyperlink>
            <w:r w:rsidRPr="00F023FE">
              <w:rPr>
                <w:b w:val="0"/>
                <w:bCs w:val="0"/>
              </w:rPr>
              <w:t>, FAO-56 method</w:t>
            </w:r>
          </w:p>
        </w:tc>
      </w:tr>
      <w:tr w:rsidR="008D5E74" w:rsidRPr="005B3651" w14:paraId="748AC49E" w14:textId="77777777" w:rsidTr="00F25E99">
        <w:trPr>
          <w:jc w:val="center"/>
        </w:trPr>
        <w:tc>
          <w:tcPr>
            <w:tcW w:w="2968" w:type="dxa"/>
          </w:tcPr>
          <w:p w14:paraId="45FB6789" w14:textId="4AE8163F" w:rsidR="008D5E74" w:rsidRPr="008A7B8B" w:rsidRDefault="008D5E74" w:rsidP="008D5E74">
            <w:pPr>
              <w:pStyle w:val="SWCTableHeader"/>
              <w:rPr>
                <w:b w:val="0"/>
                <w:bCs w:val="0"/>
              </w:rPr>
            </w:pPr>
            <w:r w:rsidRPr="008A7B8B">
              <w:rPr>
                <w:b w:val="0"/>
                <w:bCs w:val="0"/>
              </w:rPr>
              <w:t>Lake thermal physics</w:t>
            </w:r>
          </w:p>
        </w:tc>
        <w:tc>
          <w:tcPr>
            <w:tcW w:w="2969" w:type="dxa"/>
          </w:tcPr>
          <w:p w14:paraId="58BFC4E4" w14:textId="7FB53AD1" w:rsidR="008D5E74" w:rsidRPr="008A7B8B" w:rsidRDefault="008D5E74" w:rsidP="008D5E74">
            <w:pPr>
              <w:pStyle w:val="SWCTableHeader"/>
              <w:rPr>
                <w:b w:val="0"/>
                <w:bCs w:val="0"/>
              </w:rPr>
            </w:pPr>
            <w:r w:rsidRPr="008A7B8B">
              <w:rPr>
                <w:b w:val="0"/>
                <w:bCs w:val="0"/>
              </w:rPr>
              <w:t>delegated</w:t>
            </w:r>
          </w:p>
        </w:tc>
        <w:tc>
          <w:tcPr>
            <w:tcW w:w="2969" w:type="dxa"/>
          </w:tcPr>
          <w:p w14:paraId="4FF13BAA" w14:textId="6A9E9AD6" w:rsidR="008D5E74" w:rsidRPr="008A7B8B" w:rsidRDefault="00F023FE" w:rsidP="00F023FE">
            <w:pPr>
              <w:pStyle w:val="SWCTableHeader"/>
              <w:rPr>
                <w:b w:val="0"/>
                <w:bCs w:val="0"/>
              </w:rPr>
            </w:pPr>
            <w:hyperlink w:anchor="Ref16" w:history="1">
              <w:r w:rsidRPr="00623B1F">
                <w:rPr>
                  <w:rStyle w:val="Hyperlink"/>
                  <w:b w:val="0"/>
                  <w:bCs w:val="0"/>
                </w:rPr>
                <w:t xml:space="preserve">GLM 3.3.3 via </w:t>
              </w:r>
              <w:proofErr w:type="spellStart"/>
              <w:r w:rsidRPr="00623B1F">
                <w:rPr>
                  <w:rStyle w:val="Hyperlink"/>
                  <w:b w:val="0"/>
                  <w:bCs w:val="0"/>
                </w:rPr>
                <w:t>glm-py</w:t>
              </w:r>
              <w:proofErr w:type="spellEnd"/>
              <w:r w:rsidRPr="00623B1F">
                <w:rPr>
                  <w:rStyle w:val="Hyperlink"/>
                  <w:b w:val="0"/>
                  <w:bCs w:val="0"/>
                </w:rPr>
                <w:t xml:space="preserve"> 0.5.0</w:t>
              </w:r>
            </w:hyperlink>
          </w:p>
        </w:tc>
      </w:tr>
      <w:tr w:rsidR="008D5E74" w:rsidRPr="005B3651" w14:paraId="73C2D283" w14:textId="77777777" w:rsidTr="00F25E99">
        <w:trPr>
          <w:jc w:val="center"/>
        </w:trPr>
        <w:tc>
          <w:tcPr>
            <w:tcW w:w="2968" w:type="dxa"/>
          </w:tcPr>
          <w:p w14:paraId="2116EF0C" w14:textId="34825C7B" w:rsidR="008D5E74" w:rsidRPr="008A7B8B" w:rsidRDefault="008D5E74" w:rsidP="008D5E74">
            <w:pPr>
              <w:pStyle w:val="SWCTableHeader"/>
              <w:rPr>
                <w:b w:val="0"/>
                <w:bCs w:val="0"/>
              </w:rPr>
            </w:pPr>
            <w:r w:rsidRPr="008A7B8B">
              <w:rPr>
                <w:b w:val="0"/>
                <w:bCs w:val="0"/>
              </w:rPr>
              <w:t>FPV thermal forcing</w:t>
            </w:r>
          </w:p>
        </w:tc>
        <w:tc>
          <w:tcPr>
            <w:tcW w:w="2969" w:type="dxa"/>
          </w:tcPr>
          <w:p w14:paraId="07DD638C" w14:textId="2F853A9C" w:rsidR="008D5E74" w:rsidRPr="008A7B8B" w:rsidRDefault="008D5E74" w:rsidP="008D5E74">
            <w:pPr>
              <w:pStyle w:val="SWCTableHeader"/>
              <w:rPr>
                <w:b w:val="0"/>
                <w:bCs w:val="0"/>
              </w:rPr>
            </w:pPr>
            <w:r w:rsidRPr="008A7B8B">
              <w:rPr>
                <w:b w:val="0"/>
                <w:bCs w:val="0"/>
              </w:rPr>
              <w:t>local</w:t>
            </w:r>
          </w:p>
        </w:tc>
        <w:tc>
          <w:tcPr>
            <w:tcW w:w="2969" w:type="dxa"/>
          </w:tcPr>
          <w:p w14:paraId="5340B093" w14:textId="4B7E301C" w:rsidR="008D5E74" w:rsidRPr="008A7B8B" w:rsidRDefault="00F023FE" w:rsidP="00F023FE">
            <w:pPr>
              <w:pStyle w:val="SWCTableHeader"/>
              <w:rPr>
                <w:b w:val="0"/>
                <w:bCs w:val="0"/>
              </w:rPr>
            </w:pPr>
            <w:r w:rsidRPr="00F023FE">
              <w:rPr>
                <w:b w:val="0"/>
                <w:bCs w:val="0"/>
              </w:rPr>
              <w:t>coefficients transferred from</w:t>
            </w:r>
            <w:r w:rsidR="00B86FC8">
              <w:rPr>
                <w:b w:val="0"/>
                <w:bCs w:val="0"/>
              </w:rPr>
              <w:t xml:space="preserve"> </w:t>
            </w:r>
            <w:hyperlink w:anchor="Ref1" w:history="1">
              <w:r w:rsidR="00B86FC8" w:rsidRPr="00B86FC8">
                <w:rPr>
                  <w:rStyle w:val="Hyperlink"/>
                  <w:b w:val="0"/>
                  <w:bCs w:val="0"/>
                </w:rPr>
                <w:t>(Ilgen et al., 2023)</w:t>
              </w:r>
            </w:hyperlink>
          </w:p>
        </w:tc>
      </w:tr>
      <w:tr w:rsidR="008D5E74" w:rsidRPr="005B3651" w14:paraId="56DBF53D" w14:textId="77777777" w:rsidTr="00F25E99">
        <w:trPr>
          <w:jc w:val="center"/>
        </w:trPr>
        <w:tc>
          <w:tcPr>
            <w:tcW w:w="2968" w:type="dxa"/>
          </w:tcPr>
          <w:p w14:paraId="6CA3AB9E" w14:textId="6FB63A0D" w:rsidR="008D5E74" w:rsidRPr="008A7B8B" w:rsidRDefault="008D5E74" w:rsidP="008D5E74">
            <w:pPr>
              <w:pStyle w:val="SWCTableHeader"/>
              <w:rPr>
                <w:b w:val="0"/>
                <w:bCs w:val="0"/>
              </w:rPr>
            </w:pPr>
            <w:r w:rsidRPr="008A7B8B">
              <w:rPr>
                <w:b w:val="0"/>
                <w:bCs w:val="0"/>
              </w:rPr>
              <w:t>Validation metrics</w:t>
            </w:r>
          </w:p>
        </w:tc>
        <w:tc>
          <w:tcPr>
            <w:tcW w:w="2969" w:type="dxa"/>
          </w:tcPr>
          <w:p w14:paraId="5DFBCCF9" w14:textId="41557CF4" w:rsidR="008D5E74" w:rsidRPr="008A7B8B" w:rsidRDefault="002A7868" w:rsidP="002A7868">
            <w:pPr>
              <w:pStyle w:val="SWCTableHeader"/>
              <w:rPr>
                <w:b w:val="0"/>
                <w:bCs w:val="0"/>
              </w:rPr>
            </w:pPr>
            <w:r w:rsidRPr="00F25E99">
              <w:rPr>
                <w:b w:val="0"/>
                <w:bCs w:val="0"/>
              </w:rPr>
              <w:t xml:space="preserve"> local</w:t>
            </w:r>
          </w:p>
        </w:tc>
        <w:tc>
          <w:tcPr>
            <w:tcW w:w="2969" w:type="dxa"/>
          </w:tcPr>
          <w:p w14:paraId="1FF360F9" w14:textId="39CC7DDD" w:rsidR="008D5E74" w:rsidRPr="008A7B8B" w:rsidRDefault="00F023FE" w:rsidP="00F023FE">
            <w:pPr>
              <w:pStyle w:val="SWCTableHeader"/>
              <w:rPr>
                <w:b w:val="0"/>
                <w:bCs w:val="0"/>
              </w:rPr>
            </w:pPr>
            <w:hyperlink w:anchor="Ref17" w:history="1">
              <w:r w:rsidRPr="00B86FC8">
                <w:rPr>
                  <w:rStyle w:val="Hyperlink"/>
                  <w:b w:val="0"/>
                  <w:bCs w:val="0"/>
                </w:rPr>
                <w:t>Nash–Sutcliffe efficiency</w:t>
              </w:r>
            </w:hyperlink>
          </w:p>
        </w:tc>
      </w:tr>
      <w:tr w:rsidR="008D5E74" w:rsidRPr="005B3651" w14:paraId="77B13286" w14:textId="77777777" w:rsidTr="00F25E99">
        <w:trPr>
          <w:jc w:val="center"/>
        </w:trPr>
        <w:tc>
          <w:tcPr>
            <w:tcW w:w="2968" w:type="dxa"/>
          </w:tcPr>
          <w:p w14:paraId="4162DBAE" w14:textId="3EC1CA04" w:rsidR="008D5E74" w:rsidRPr="008A7B8B" w:rsidRDefault="008D5E74" w:rsidP="008D5E74">
            <w:pPr>
              <w:pStyle w:val="SWCTableHeader"/>
              <w:rPr>
                <w:b w:val="0"/>
                <w:bCs w:val="0"/>
              </w:rPr>
            </w:pPr>
            <w:r w:rsidRPr="008A7B8B">
              <w:rPr>
                <w:b w:val="0"/>
                <w:bCs w:val="0"/>
              </w:rPr>
              <w:t>Water quality, ecology, methane</w:t>
            </w:r>
          </w:p>
        </w:tc>
        <w:tc>
          <w:tcPr>
            <w:tcW w:w="2969" w:type="dxa"/>
          </w:tcPr>
          <w:p w14:paraId="08926E0B" w14:textId="50433FD2" w:rsidR="008D5E74" w:rsidRPr="008A7B8B" w:rsidRDefault="002A7868" w:rsidP="002A7868">
            <w:pPr>
              <w:pStyle w:val="SWCTableHeader"/>
              <w:rPr>
                <w:b w:val="0"/>
                <w:bCs w:val="0"/>
              </w:rPr>
            </w:pPr>
            <w:r w:rsidRPr="00F25E99">
              <w:rPr>
                <w:b w:val="0"/>
                <w:bCs w:val="0"/>
              </w:rPr>
              <w:t xml:space="preserve"> interface pinned, not executed here</w:t>
            </w:r>
          </w:p>
        </w:tc>
        <w:tc>
          <w:tcPr>
            <w:tcW w:w="2969" w:type="dxa"/>
          </w:tcPr>
          <w:p w14:paraId="74944893" w14:textId="6B71CA12" w:rsidR="008D5E74" w:rsidRPr="008A7B8B" w:rsidRDefault="00F023FE" w:rsidP="00F023FE">
            <w:pPr>
              <w:pStyle w:val="SWCTableHeader"/>
              <w:rPr>
                <w:b w:val="0"/>
                <w:bCs w:val="0"/>
              </w:rPr>
            </w:pPr>
            <w:hyperlink w:anchor="Ref18" w:history="1">
              <w:r w:rsidRPr="00B86FC8">
                <w:rPr>
                  <w:rStyle w:val="Hyperlink"/>
                  <w:b w:val="0"/>
                  <w:bCs w:val="0"/>
                </w:rPr>
                <w:t>GLM-AED</w:t>
              </w:r>
            </w:hyperlink>
          </w:p>
        </w:tc>
      </w:tr>
      <w:tr w:rsidR="008D5E74" w:rsidRPr="005B3651" w14:paraId="43CC3C1A" w14:textId="77777777" w:rsidTr="00F25E99">
        <w:trPr>
          <w:jc w:val="center"/>
        </w:trPr>
        <w:tc>
          <w:tcPr>
            <w:tcW w:w="2968" w:type="dxa"/>
          </w:tcPr>
          <w:p w14:paraId="29051B90" w14:textId="21EF2B1E" w:rsidR="008D5E74" w:rsidRPr="008A7B8B" w:rsidRDefault="008D5E74" w:rsidP="008D5E74">
            <w:pPr>
              <w:pStyle w:val="SWCTableHeader"/>
              <w:rPr>
                <w:b w:val="0"/>
                <w:bCs w:val="0"/>
              </w:rPr>
            </w:pPr>
            <w:r w:rsidRPr="008A7B8B">
              <w:rPr>
                <w:b w:val="0"/>
                <w:bCs w:val="0"/>
              </w:rPr>
              <w:t>Mooring</w:t>
            </w:r>
          </w:p>
        </w:tc>
        <w:tc>
          <w:tcPr>
            <w:tcW w:w="2969" w:type="dxa"/>
          </w:tcPr>
          <w:p w14:paraId="43FF35E2" w14:textId="3F8959D7" w:rsidR="008D5E74" w:rsidRPr="008A7B8B" w:rsidRDefault="002A7868" w:rsidP="00F25E99">
            <w:pPr>
              <w:pStyle w:val="SWCTableHeader"/>
              <w:rPr>
                <w:b w:val="0"/>
                <w:bCs w:val="0"/>
              </w:rPr>
            </w:pPr>
            <w:r w:rsidRPr="002A7868">
              <w:rPr>
                <w:b w:val="0"/>
                <w:bCs w:val="0"/>
              </w:rPr>
              <w:t>interface pinned, single line only</w:t>
            </w:r>
          </w:p>
        </w:tc>
        <w:tc>
          <w:tcPr>
            <w:tcW w:w="2969" w:type="dxa"/>
          </w:tcPr>
          <w:p w14:paraId="30C2FF63" w14:textId="1FA78971" w:rsidR="008D5E74" w:rsidRPr="008A7B8B" w:rsidRDefault="00F023FE" w:rsidP="00F023FE">
            <w:pPr>
              <w:pStyle w:val="SWCTableHeader"/>
              <w:rPr>
                <w:b w:val="0"/>
                <w:bCs w:val="0"/>
              </w:rPr>
            </w:pPr>
            <w:hyperlink w:anchor="Ref19" w:history="1">
              <w:r w:rsidRPr="00B86FC8">
                <w:rPr>
                  <w:rStyle w:val="Hyperlink"/>
                  <w:b w:val="0"/>
                  <w:bCs w:val="0"/>
                </w:rPr>
                <w:t>MoorPy</w:t>
              </w:r>
            </w:hyperlink>
          </w:p>
        </w:tc>
      </w:tr>
      <w:tr w:rsidR="008D5E74" w:rsidRPr="005B3651" w14:paraId="440FEC92" w14:textId="77777777" w:rsidTr="00F25E99">
        <w:trPr>
          <w:jc w:val="center"/>
        </w:trPr>
        <w:tc>
          <w:tcPr>
            <w:tcW w:w="2968" w:type="dxa"/>
          </w:tcPr>
          <w:p w14:paraId="6E24455F" w14:textId="6C424140" w:rsidR="008D5E74" w:rsidRPr="008A7B8B" w:rsidRDefault="008D5E74" w:rsidP="008D5E74">
            <w:pPr>
              <w:pStyle w:val="SWCTableHeader"/>
              <w:rPr>
                <w:b w:val="0"/>
                <w:bCs w:val="0"/>
              </w:rPr>
            </w:pPr>
            <w:r w:rsidRPr="008A7B8B">
              <w:rPr>
                <w:b w:val="0"/>
                <w:bCs w:val="0"/>
              </w:rPr>
              <w:t>Economics and decision</w:t>
            </w:r>
            <w:r w:rsidR="002A7868">
              <w:rPr>
                <w:b w:val="0"/>
                <w:bCs w:val="0"/>
              </w:rPr>
              <w:t xml:space="preserve"> </w:t>
            </w:r>
          </w:p>
        </w:tc>
        <w:tc>
          <w:tcPr>
            <w:tcW w:w="2969" w:type="dxa"/>
          </w:tcPr>
          <w:p w14:paraId="00864999" w14:textId="16DAE958" w:rsidR="008D5E74" w:rsidRPr="008A7B8B" w:rsidRDefault="004B6A1A" w:rsidP="004B6A1A">
            <w:pPr>
              <w:pStyle w:val="SWCTableHeader"/>
              <w:rPr>
                <w:b w:val="0"/>
                <w:bCs w:val="0"/>
              </w:rPr>
            </w:pPr>
            <w:r w:rsidRPr="004B6A1A">
              <w:rPr>
                <w:b w:val="0"/>
                <w:bCs w:val="0"/>
              </w:rPr>
              <w:t>local + delegated</w:t>
            </w:r>
          </w:p>
        </w:tc>
        <w:tc>
          <w:tcPr>
            <w:tcW w:w="2969" w:type="dxa"/>
          </w:tcPr>
          <w:p w14:paraId="3AC21E44" w14:textId="25936B1F" w:rsidR="008D5E74" w:rsidRPr="008A7B8B" w:rsidRDefault="00F023FE" w:rsidP="00F023FE">
            <w:pPr>
              <w:pStyle w:val="SWCTableHeader"/>
              <w:rPr>
                <w:b w:val="0"/>
                <w:bCs w:val="0"/>
              </w:rPr>
            </w:pPr>
            <w:proofErr w:type="spellStart"/>
            <w:r w:rsidRPr="00F023FE">
              <w:rPr>
                <w:b w:val="0"/>
                <w:bCs w:val="0"/>
              </w:rPr>
              <w:t>numpy</w:t>
            </w:r>
            <w:proofErr w:type="spellEnd"/>
            <w:r w:rsidRPr="00F023FE">
              <w:rPr>
                <w:b w:val="0"/>
                <w:bCs w:val="0"/>
              </w:rPr>
              <w:t xml:space="preserve">-financial 1.0.0; </w:t>
            </w:r>
            <w:hyperlink w:anchor="Ref20" w:history="1">
              <w:proofErr w:type="spellStart"/>
              <w:r w:rsidRPr="00B86FC8">
                <w:rPr>
                  <w:rStyle w:val="Hyperlink"/>
                  <w:b w:val="0"/>
                  <w:bCs w:val="0"/>
                </w:rPr>
                <w:t>pymoo</w:t>
              </w:r>
              <w:proofErr w:type="spellEnd"/>
              <w:r w:rsidRPr="00B86FC8">
                <w:rPr>
                  <w:rStyle w:val="Hyperlink"/>
                  <w:b w:val="0"/>
                  <w:bCs w:val="0"/>
                </w:rPr>
                <w:t xml:space="preserve"> 0.6.1.5</w:t>
              </w:r>
            </w:hyperlink>
          </w:p>
        </w:tc>
      </w:tr>
      <w:tr w:rsidR="004B6A1A" w:rsidRPr="005B3651" w14:paraId="067E484B" w14:textId="77777777" w:rsidTr="00F25E99">
        <w:trPr>
          <w:jc w:val="center"/>
        </w:trPr>
        <w:tc>
          <w:tcPr>
            <w:tcW w:w="2968" w:type="dxa"/>
          </w:tcPr>
          <w:p w14:paraId="27D4B3A0" w14:textId="26D50819" w:rsidR="004B6A1A" w:rsidRPr="004B6A1A" w:rsidRDefault="004B6A1A" w:rsidP="008D5E74">
            <w:pPr>
              <w:pStyle w:val="SWCTableHeader"/>
              <w:rPr>
                <w:b w:val="0"/>
                <w:bCs w:val="0"/>
              </w:rPr>
            </w:pPr>
            <w:r w:rsidRPr="00F25E99">
              <w:rPr>
                <w:b w:val="0"/>
                <w:bCs w:val="0"/>
              </w:rPr>
              <w:t>Evidence governance</w:t>
            </w:r>
          </w:p>
        </w:tc>
        <w:tc>
          <w:tcPr>
            <w:tcW w:w="2969" w:type="dxa"/>
          </w:tcPr>
          <w:p w14:paraId="25FBB700" w14:textId="358D7E5F" w:rsidR="004B6A1A" w:rsidRPr="004B6A1A" w:rsidRDefault="004B6A1A" w:rsidP="004B6A1A">
            <w:pPr>
              <w:pStyle w:val="SWCTableHeader"/>
              <w:rPr>
                <w:b w:val="0"/>
                <w:bCs w:val="0"/>
              </w:rPr>
            </w:pPr>
            <w:r w:rsidRPr="004B6A1A">
              <w:rPr>
                <w:b w:val="0"/>
                <w:bCs w:val="0"/>
              </w:rPr>
              <w:t>local</w:t>
            </w:r>
          </w:p>
        </w:tc>
        <w:tc>
          <w:tcPr>
            <w:tcW w:w="2969" w:type="dxa"/>
          </w:tcPr>
          <w:p w14:paraId="44A8457B" w14:textId="2A6DFCFD" w:rsidR="004B6A1A" w:rsidRPr="004B6A1A" w:rsidRDefault="00F023FE" w:rsidP="00F023FE">
            <w:pPr>
              <w:pStyle w:val="SWCTableHeader"/>
              <w:rPr>
                <w:b w:val="0"/>
                <w:bCs w:val="0"/>
              </w:rPr>
            </w:pPr>
            <w:r w:rsidRPr="00F023FE">
              <w:rPr>
                <w:b w:val="0"/>
                <w:bCs w:val="0"/>
              </w:rPr>
              <w:t xml:space="preserve">weakest-dependency rule, </w:t>
            </w:r>
            <w:hyperlink w:anchor="eq1" w:history="1">
              <w:r w:rsidRPr="0020508B">
                <w:rPr>
                  <w:rStyle w:val="Hyperlink"/>
                  <w:b w:val="0"/>
                  <w:bCs w:val="0"/>
                </w:rPr>
                <w:t>Eq. (1)</w:t>
              </w:r>
            </w:hyperlink>
          </w:p>
        </w:tc>
      </w:tr>
    </w:tbl>
    <w:p w14:paraId="3F4BD8C3" w14:textId="11FCF24A" w:rsidR="00843FDB" w:rsidRPr="00F25E99" w:rsidRDefault="00843FDB" w:rsidP="00843FDB">
      <w:pPr>
        <w:pStyle w:val="SWCTableFigureCaption"/>
        <w:rPr>
          <w:lang w:val="en-GB"/>
        </w:rPr>
      </w:pPr>
      <w:bookmarkStart w:id="2" w:name="Tab3"/>
      <w:r w:rsidRPr="00F25E99">
        <w:rPr>
          <w:lang w:val="en-GB"/>
        </w:rPr>
        <w:t xml:space="preserve">Tab. </w:t>
      </w:r>
      <w:r w:rsidR="00FB1104">
        <w:rPr>
          <w:lang w:val="en-GB"/>
        </w:rPr>
        <w:t>3</w:t>
      </w:r>
      <w:r w:rsidRPr="00F25E99">
        <w:rPr>
          <w:lang w:val="en-GB"/>
        </w:rPr>
        <w:t xml:space="preserve">: </w:t>
      </w:r>
      <w:r w:rsidR="00FB1104" w:rsidRPr="00FB1104">
        <w:rPr>
          <w:lang w:val="en-GB"/>
        </w:rPr>
        <w:t>Coefficients used in the Lac du Bourget analysis, with evidence class and origin. Bold values are the central case; the outer values define the low and high screening bands.</w:t>
      </w:r>
      <w:bookmarkEnd w:id="2"/>
    </w:p>
    <w:tbl>
      <w:tblPr>
        <w:tblStyle w:val="TableGrid"/>
        <w:tblW w:w="0" w:type="auto"/>
        <w:jc w:val="center"/>
        <w:tblLook w:val="01E0" w:firstRow="1" w:lastRow="1" w:firstColumn="1" w:lastColumn="1" w:noHBand="0" w:noVBand="0"/>
      </w:tblPr>
      <w:tblGrid>
        <w:gridCol w:w="2597"/>
        <w:gridCol w:w="2173"/>
        <w:gridCol w:w="1999"/>
        <w:gridCol w:w="2295"/>
      </w:tblGrid>
      <w:tr w:rsidR="00FB1104" w:rsidRPr="005B3651" w14:paraId="4A279E87" w14:textId="77777777" w:rsidTr="008A7B8B">
        <w:trPr>
          <w:jc w:val="center"/>
        </w:trPr>
        <w:tc>
          <w:tcPr>
            <w:tcW w:w="2597" w:type="dxa"/>
          </w:tcPr>
          <w:p w14:paraId="5BC77DF1" w14:textId="12FF6D84" w:rsidR="00FB1104" w:rsidRPr="005B3651" w:rsidRDefault="00FB1104" w:rsidP="00FB1104">
            <w:pPr>
              <w:pStyle w:val="SWCTableHeader"/>
            </w:pPr>
            <w:r w:rsidRPr="00FB1104">
              <w:t>Symbol</w:t>
            </w:r>
            <w:r>
              <w:t xml:space="preserve"> </w:t>
            </w:r>
            <w:r w:rsidRPr="00FB1104">
              <w:t>and</w:t>
            </w:r>
            <w:r>
              <w:t xml:space="preserve"> </w:t>
            </w:r>
            <w:r w:rsidRPr="00FB1104">
              <w:t>meaning</w:t>
            </w:r>
          </w:p>
        </w:tc>
        <w:tc>
          <w:tcPr>
            <w:tcW w:w="2173" w:type="dxa"/>
          </w:tcPr>
          <w:p w14:paraId="0F375CDF" w14:textId="555B3713" w:rsidR="00FB1104" w:rsidRPr="005B3651" w:rsidRDefault="00FB1104" w:rsidP="00FB1104">
            <w:pPr>
              <w:pStyle w:val="SWCTableHeader"/>
            </w:pPr>
            <w:r w:rsidRPr="00FB1104">
              <w:t>Value</w:t>
            </w:r>
          </w:p>
        </w:tc>
        <w:tc>
          <w:tcPr>
            <w:tcW w:w="1999" w:type="dxa"/>
          </w:tcPr>
          <w:p w14:paraId="751AADCE" w14:textId="2619C9C8" w:rsidR="00FB1104" w:rsidRPr="008D5E74" w:rsidRDefault="00FB1104" w:rsidP="00FB1104">
            <w:pPr>
              <w:pStyle w:val="SWCTableHeader"/>
            </w:pPr>
            <w:r w:rsidRPr="00FB1104">
              <w:t>Evidence</w:t>
            </w:r>
            <w:r>
              <w:t xml:space="preserve"> </w:t>
            </w:r>
            <w:r w:rsidRPr="00FB1104">
              <w:t>class</w:t>
            </w:r>
          </w:p>
        </w:tc>
        <w:tc>
          <w:tcPr>
            <w:tcW w:w="2295" w:type="dxa"/>
          </w:tcPr>
          <w:p w14:paraId="59F29414" w14:textId="21B58ED6" w:rsidR="00FB1104" w:rsidRPr="005B3651" w:rsidRDefault="00FB1104" w:rsidP="00FB1104">
            <w:pPr>
              <w:pStyle w:val="SWCTableHeader"/>
            </w:pPr>
            <w:r w:rsidRPr="00FB1104">
              <w:t>Origin</w:t>
            </w:r>
          </w:p>
        </w:tc>
      </w:tr>
      <w:tr w:rsidR="00FB1104" w:rsidRPr="005B3651" w14:paraId="51B16AC0" w14:textId="77777777" w:rsidTr="008A7B8B">
        <w:trPr>
          <w:jc w:val="center"/>
        </w:trPr>
        <w:tc>
          <w:tcPr>
            <w:tcW w:w="2597" w:type="dxa"/>
          </w:tcPr>
          <w:p w14:paraId="6CF98405" w14:textId="4F169628" w:rsidR="00FB1104" w:rsidRPr="00F25E99" w:rsidRDefault="00FB1104" w:rsidP="00FB1104">
            <w:pPr>
              <w:pStyle w:val="SWCTableHeader"/>
              <w:rPr>
                <w:b w:val="0"/>
                <w:bCs w:val="0"/>
              </w:rPr>
            </w:pPr>
            <w:proofErr w:type="spellStart"/>
            <w:r w:rsidRPr="008A7B8B">
              <w:rPr>
                <w:b w:val="0"/>
                <w:bCs w:val="0"/>
                <w:i/>
                <w:iCs/>
              </w:rPr>
              <w:t>k</w:t>
            </w:r>
            <w:r w:rsidRPr="008A7B8B">
              <w:rPr>
                <w:b w:val="0"/>
                <w:bCs w:val="0"/>
                <w:i/>
                <w:iCs/>
                <w:vertAlign w:val="subscript"/>
              </w:rPr>
              <w:t>u</w:t>
            </w:r>
            <w:proofErr w:type="spellEnd"/>
            <w:r w:rsidRPr="00FB1104">
              <w:rPr>
                <w:b w:val="0"/>
                <w:bCs w:val="0"/>
              </w:rPr>
              <w:t>,</w:t>
            </w:r>
            <w:r>
              <w:rPr>
                <w:b w:val="0"/>
                <w:bCs w:val="0"/>
              </w:rPr>
              <w:t xml:space="preserve"> </w:t>
            </w:r>
            <w:r w:rsidR="002248F7">
              <w:rPr>
                <w:b w:val="0"/>
                <w:bCs w:val="0"/>
              </w:rPr>
              <w:t>W</w:t>
            </w:r>
            <w:r w:rsidR="002248F7" w:rsidRPr="00FB1104">
              <w:rPr>
                <w:b w:val="0"/>
                <w:bCs w:val="0"/>
              </w:rPr>
              <w:t>ind</w:t>
            </w:r>
            <w:r w:rsidR="002248F7">
              <w:rPr>
                <w:b w:val="0"/>
                <w:bCs w:val="0"/>
              </w:rPr>
              <w:t xml:space="preserve"> </w:t>
            </w:r>
            <w:r w:rsidRPr="00FB1104">
              <w:rPr>
                <w:b w:val="0"/>
                <w:bCs w:val="0"/>
              </w:rPr>
              <w:t>factor</w:t>
            </w:r>
          </w:p>
        </w:tc>
        <w:tc>
          <w:tcPr>
            <w:tcW w:w="2173" w:type="dxa"/>
          </w:tcPr>
          <w:p w14:paraId="3B4AB1FF" w14:textId="03DC9D60" w:rsidR="00FB1104" w:rsidRPr="00F25E99" w:rsidRDefault="00FB1104" w:rsidP="00FB1104">
            <w:pPr>
              <w:pStyle w:val="SWCTableHeader"/>
              <w:rPr>
                <w:b w:val="0"/>
                <w:bCs w:val="0"/>
              </w:rPr>
            </w:pPr>
            <w:r w:rsidRPr="00FB1104">
              <w:rPr>
                <w:b w:val="0"/>
                <w:bCs w:val="0"/>
              </w:rPr>
              <w:t>0.721817</w:t>
            </w:r>
          </w:p>
        </w:tc>
        <w:tc>
          <w:tcPr>
            <w:tcW w:w="1999" w:type="dxa"/>
          </w:tcPr>
          <w:p w14:paraId="2FFA8BF7" w14:textId="34F09844" w:rsidR="00FB1104" w:rsidRPr="004B6A1A" w:rsidRDefault="00FB1104" w:rsidP="00FB1104">
            <w:pPr>
              <w:pStyle w:val="SWCTableHeader"/>
              <w:rPr>
                <w:b w:val="0"/>
                <w:bCs w:val="0"/>
              </w:rPr>
            </w:pPr>
            <w:r w:rsidRPr="00FB1104">
              <w:rPr>
                <w:b w:val="0"/>
                <w:bCs w:val="0"/>
              </w:rPr>
              <w:t>Derived</w:t>
            </w:r>
            <w:r>
              <w:rPr>
                <w:b w:val="0"/>
                <w:bCs w:val="0"/>
              </w:rPr>
              <w:t xml:space="preserve"> </w:t>
            </w:r>
            <w:r w:rsidRPr="00FB1104">
              <w:rPr>
                <w:b w:val="0"/>
                <w:bCs w:val="0"/>
              </w:rPr>
              <w:t>(calibrated)</w:t>
            </w:r>
          </w:p>
        </w:tc>
        <w:tc>
          <w:tcPr>
            <w:tcW w:w="2295" w:type="dxa"/>
          </w:tcPr>
          <w:p w14:paraId="3B9B58FB" w14:textId="3E685BFB" w:rsidR="00FB1104" w:rsidRPr="00F25E99" w:rsidRDefault="00FB1104" w:rsidP="00FB1104">
            <w:pPr>
              <w:pStyle w:val="SWCTableHeader"/>
              <w:rPr>
                <w:b w:val="0"/>
                <w:bCs w:val="0"/>
              </w:rPr>
            </w:pPr>
            <w:r w:rsidRPr="00FB1104">
              <w:rPr>
                <w:b w:val="0"/>
                <w:bCs w:val="0"/>
              </w:rPr>
              <w:t>This</w:t>
            </w:r>
            <w:r>
              <w:rPr>
                <w:b w:val="0"/>
                <w:bCs w:val="0"/>
              </w:rPr>
              <w:t xml:space="preserve"> </w:t>
            </w:r>
            <w:r w:rsidRPr="00FB1104">
              <w:rPr>
                <w:b w:val="0"/>
                <w:bCs w:val="0"/>
              </w:rPr>
              <w:t>study</w:t>
            </w:r>
          </w:p>
        </w:tc>
      </w:tr>
      <w:tr w:rsidR="00FB1104" w:rsidRPr="005B3651" w14:paraId="2CE60F22" w14:textId="77777777" w:rsidTr="00FB1104">
        <w:trPr>
          <w:jc w:val="center"/>
        </w:trPr>
        <w:tc>
          <w:tcPr>
            <w:tcW w:w="2597" w:type="dxa"/>
          </w:tcPr>
          <w:p w14:paraId="70F110D3" w14:textId="50577F58" w:rsidR="00FB1104" w:rsidRPr="00FB1104" w:rsidRDefault="00FB1104" w:rsidP="00FB1104">
            <w:pPr>
              <w:pStyle w:val="SWCTableHeader"/>
              <w:rPr>
                <w:b w:val="0"/>
                <w:bCs w:val="0"/>
              </w:rPr>
            </w:pPr>
            <w:proofErr w:type="spellStart"/>
            <w:r w:rsidRPr="008A7B8B">
              <w:rPr>
                <w:b w:val="0"/>
                <w:bCs w:val="0"/>
                <w:i/>
                <w:iCs/>
              </w:rPr>
              <w:t>k</w:t>
            </w:r>
            <w:r w:rsidRPr="008A7B8B">
              <w:rPr>
                <w:b w:val="0"/>
                <w:bCs w:val="0"/>
                <w:i/>
                <w:iCs/>
                <w:vertAlign w:val="subscript"/>
              </w:rPr>
              <w:t>SW</w:t>
            </w:r>
            <w:proofErr w:type="spellEnd"/>
            <w:r>
              <w:rPr>
                <w:b w:val="0"/>
                <w:bCs w:val="0"/>
              </w:rPr>
              <w:t xml:space="preserve">, </w:t>
            </w:r>
            <w:r w:rsidR="002248F7">
              <w:rPr>
                <w:b w:val="0"/>
                <w:bCs w:val="0"/>
              </w:rPr>
              <w:t>S</w:t>
            </w:r>
            <w:r w:rsidRPr="00FB1104">
              <w:rPr>
                <w:b w:val="0"/>
                <w:bCs w:val="0"/>
              </w:rPr>
              <w:t>hortwave</w:t>
            </w:r>
            <w:r>
              <w:rPr>
                <w:b w:val="0"/>
                <w:bCs w:val="0"/>
              </w:rPr>
              <w:t xml:space="preserve"> </w:t>
            </w:r>
            <w:r w:rsidRPr="00FB1104">
              <w:rPr>
                <w:b w:val="0"/>
                <w:bCs w:val="0"/>
              </w:rPr>
              <w:t>factor</w:t>
            </w:r>
          </w:p>
        </w:tc>
        <w:tc>
          <w:tcPr>
            <w:tcW w:w="2173" w:type="dxa"/>
          </w:tcPr>
          <w:p w14:paraId="6B1F638A" w14:textId="6FA4BC75" w:rsidR="00FB1104" w:rsidRPr="00FB1104" w:rsidRDefault="00FB1104" w:rsidP="00FB1104">
            <w:pPr>
              <w:pStyle w:val="SWCTableHeader"/>
              <w:rPr>
                <w:b w:val="0"/>
                <w:bCs w:val="0"/>
              </w:rPr>
            </w:pPr>
            <w:r w:rsidRPr="00FB1104">
              <w:rPr>
                <w:b w:val="0"/>
                <w:bCs w:val="0"/>
              </w:rPr>
              <w:t>0.770660</w:t>
            </w:r>
          </w:p>
        </w:tc>
        <w:tc>
          <w:tcPr>
            <w:tcW w:w="1999" w:type="dxa"/>
          </w:tcPr>
          <w:p w14:paraId="2E3A8CC3" w14:textId="24C9CA19" w:rsidR="00FB1104" w:rsidRPr="00FB1104" w:rsidRDefault="00FB1104" w:rsidP="00FB1104">
            <w:pPr>
              <w:pStyle w:val="SWCTableHeader"/>
              <w:rPr>
                <w:b w:val="0"/>
                <w:bCs w:val="0"/>
              </w:rPr>
            </w:pPr>
            <w:r w:rsidRPr="00FB1104">
              <w:rPr>
                <w:b w:val="0"/>
                <w:bCs w:val="0"/>
              </w:rPr>
              <w:t>Derived</w:t>
            </w:r>
            <w:r>
              <w:rPr>
                <w:b w:val="0"/>
                <w:bCs w:val="0"/>
              </w:rPr>
              <w:t xml:space="preserve"> </w:t>
            </w:r>
            <w:r w:rsidRPr="00FB1104">
              <w:rPr>
                <w:b w:val="0"/>
                <w:bCs w:val="0"/>
              </w:rPr>
              <w:t>(calibrated)</w:t>
            </w:r>
          </w:p>
        </w:tc>
        <w:tc>
          <w:tcPr>
            <w:tcW w:w="2295" w:type="dxa"/>
          </w:tcPr>
          <w:p w14:paraId="1736D069" w14:textId="2051C5D7" w:rsidR="00FB1104" w:rsidRPr="00FB1104" w:rsidRDefault="00FB1104" w:rsidP="00FB1104">
            <w:pPr>
              <w:pStyle w:val="SWCTableHeader"/>
              <w:rPr>
                <w:b w:val="0"/>
                <w:bCs w:val="0"/>
              </w:rPr>
            </w:pPr>
            <w:r w:rsidRPr="00FB1104">
              <w:rPr>
                <w:b w:val="0"/>
                <w:bCs w:val="0"/>
              </w:rPr>
              <w:t>This</w:t>
            </w:r>
            <w:r>
              <w:rPr>
                <w:b w:val="0"/>
                <w:bCs w:val="0"/>
              </w:rPr>
              <w:t xml:space="preserve"> </w:t>
            </w:r>
            <w:r w:rsidRPr="00FB1104">
              <w:rPr>
                <w:b w:val="0"/>
                <w:bCs w:val="0"/>
              </w:rPr>
              <w:t>study</w:t>
            </w:r>
          </w:p>
        </w:tc>
      </w:tr>
      <w:tr w:rsidR="00FB1104" w:rsidRPr="005B3651" w14:paraId="1BA230B6" w14:textId="77777777" w:rsidTr="00FB1104">
        <w:trPr>
          <w:jc w:val="center"/>
        </w:trPr>
        <w:tc>
          <w:tcPr>
            <w:tcW w:w="2597" w:type="dxa"/>
          </w:tcPr>
          <w:p w14:paraId="37AAA176" w14:textId="67ED0675" w:rsidR="00FB1104" w:rsidRPr="00FB1104" w:rsidRDefault="00FB1104" w:rsidP="00FB1104">
            <w:pPr>
              <w:pStyle w:val="SWCTableHeader"/>
              <w:rPr>
                <w:b w:val="0"/>
                <w:bCs w:val="0"/>
              </w:rPr>
            </w:pPr>
            <w:r w:rsidRPr="00FB1104">
              <w:rPr>
                <w:b w:val="0"/>
                <w:bCs w:val="0"/>
              </w:rPr>
              <w:t>Light</w:t>
            </w:r>
            <w:r>
              <w:rPr>
                <w:b w:val="0"/>
                <w:bCs w:val="0"/>
              </w:rPr>
              <w:t xml:space="preserve"> </w:t>
            </w:r>
            <w:r w:rsidRPr="00FB1104">
              <w:rPr>
                <w:b w:val="0"/>
                <w:bCs w:val="0"/>
              </w:rPr>
              <w:t>extinction</w:t>
            </w:r>
          </w:p>
        </w:tc>
        <w:tc>
          <w:tcPr>
            <w:tcW w:w="2173" w:type="dxa"/>
          </w:tcPr>
          <w:p w14:paraId="2800FA18" w14:textId="14A35BF6" w:rsidR="00FB1104" w:rsidRPr="00FB1104" w:rsidRDefault="00FB1104" w:rsidP="00FB1104">
            <w:pPr>
              <w:pStyle w:val="SWCTableHeader"/>
              <w:rPr>
                <w:b w:val="0"/>
                <w:bCs w:val="0"/>
              </w:rPr>
            </w:pPr>
            <w:r w:rsidRPr="00FB1104">
              <w:rPr>
                <w:b w:val="0"/>
                <w:bCs w:val="0"/>
              </w:rPr>
              <w:t>0.131947</w:t>
            </w:r>
            <w:r>
              <w:rPr>
                <w:b w:val="0"/>
                <w:bCs w:val="0"/>
              </w:rPr>
              <w:t xml:space="preserve"> </w:t>
            </w:r>
            <w:r w:rsidRPr="00FB1104">
              <w:rPr>
                <w:b w:val="0"/>
                <w:bCs w:val="0"/>
              </w:rPr>
              <w:t>m</w:t>
            </w:r>
            <w:r w:rsidRPr="008A7B8B">
              <w:rPr>
                <w:b w:val="0"/>
                <w:bCs w:val="0"/>
                <w:vertAlign w:val="superscript"/>
              </w:rPr>
              <w:t>−1</w:t>
            </w:r>
          </w:p>
        </w:tc>
        <w:tc>
          <w:tcPr>
            <w:tcW w:w="1999" w:type="dxa"/>
          </w:tcPr>
          <w:p w14:paraId="48873679" w14:textId="66F3BD7A" w:rsidR="00FB1104" w:rsidRPr="00FB1104" w:rsidRDefault="00FB1104" w:rsidP="00FB1104">
            <w:pPr>
              <w:pStyle w:val="SWCTableHeader"/>
              <w:rPr>
                <w:b w:val="0"/>
                <w:bCs w:val="0"/>
              </w:rPr>
            </w:pPr>
            <w:r w:rsidRPr="00FB1104">
              <w:rPr>
                <w:b w:val="0"/>
                <w:bCs w:val="0"/>
              </w:rPr>
              <w:t>Derived</w:t>
            </w:r>
            <w:r>
              <w:rPr>
                <w:b w:val="0"/>
                <w:bCs w:val="0"/>
              </w:rPr>
              <w:t xml:space="preserve"> </w:t>
            </w:r>
            <w:r w:rsidRPr="00FB1104">
              <w:rPr>
                <w:b w:val="0"/>
                <w:bCs w:val="0"/>
              </w:rPr>
              <w:t>(calibrated)</w:t>
            </w:r>
          </w:p>
        </w:tc>
        <w:tc>
          <w:tcPr>
            <w:tcW w:w="2295" w:type="dxa"/>
          </w:tcPr>
          <w:p w14:paraId="06418BF0" w14:textId="387E543D" w:rsidR="00FB1104" w:rsidRPr="00FB1104" w:rsidRDefault="00FB1104" w:rsidP="00FB1104">
            <w:pPr>
              <w:pStyle w:val="SWCTableHeader"/>
              <w:rPr>
                <w:b w:val="0"/>
                <w:bCs w:val="0"/>
              </w:rPr>
            </w:pPr>
            <w:r w:rsidRPr="00FB1104">
              <w:rPr>
                <w:b w:val="0"/>
                <w:bCs w:val="0"/>
              </w:rPr>
              <w:t>This</w:t>
            </w:r>
            <w:r>
              <w:rPr>
                <w:b w:val="0"/>
                <w:bCs w:val="0"/>
              </w:rPr>
              <w:t xml:space="preserve"> </w:t>
            </w:r>
            <w:r w:rsidRPr="00FB1104">
              <w:rPr>
                <w:b w:val="0"/>
                <w:bCs w:val="0"/>
              </w:rPr>
              <w:t>study</w:t>
            </w:r>
          </w:p>
        </w:tc>
      </w:tr>
      <w:tr w:rsidR="00FB1104" w:rsidRPr="005B3651" w14:paraId="46959244" w14:textId="77777777" w:rsidTr="00FB1104">
        <w:trPr>
          <w:jc w:val="center"/>
        </w:trPr>
        <w:tc>
          <w:tcPr>
            <w:tcW w:w="2597" w:type="dxa"/>
          </w:tcPr>
          <w:p w14:paraId="475A683F" w14:textId="6B59A12D" w:rsidR="00FB1104" w:rsidRPr="00FB1104" w:rsidRDefault="00FB1104" w:rsidP="00FB1104">
            <w:pPr>
              <w:pStyle w:val="SWCTableHeader"/>
              <w:rPr>
                <w:b w:val="0"/>
                <w:bCs w:val="0"/>
              </w:rPr>
            </w:pPr>
            <w:proofErr w:type="spellStart"/>
            <w:r w:rsidRPr="008A7B8B">
              <w:rPr>
                <w:b w:val="0"/>
                <w:bCs w:val="0"/>
                <w:i/>
                <w:iCs/>
              </w:rPr>
              <w:t>r</w:t>
            </w:r>
            <w:r w:rsidRPr="008A7B8B">
              <w:rPr>
                <w:b w:val="0"/>
                <w:bCs w:val="0"/>
                <w:i/>
                <w:iCs/>
                <w:vertAlign w:val="subscript"/>
              </w:rPr>
              <w:t>SW</w:t>
            </w:r>
            <w:proofErr w:type="spellEnd"/>
            <w:r>
              <w:rPr>
                <w:b w:val="0"/>
                <w:bCs w:val="0"/>
              </w:rPr>
              <w:t xml:space="preserve"> </w:t>
            </w:r>
            <w:r w:rsidRPr="00FB1104">
              <w:rPr>
                <w:b w:val="0"/>
                <w:bCs w:val="0"/>
              </w:rPr>
              <w:t>Irradiance</w:t>
            </w:r>
            <w:r>
              <w:rPr>
                <w:b w:val="0"/>
                <w:bCs w:val="0"/>
              </w:rPr>
              <w:t xml:space="preserve"> </w:t>
            </w:r>
            <w:r w:rsidRPr="00FB1104">
              <w:rPr>
                <w:b w:val="0"/>
                <w:bCs w:val="0"/>
              </w:rPr>
              <w:t>reduction</w:t>
            </w:r>
          </w:p>
        </w:tc>
        <w:tc>
          <w:tcPr>
            <w:tcW w:w="2173" w:type="dxa"/>
          </w:tcPr>
          <w:p w14:paraId="725E0A55" w14:textId="50D7E338" w:rsidR="00FB1104" w:rsidRPr="00FB1104" w:rsidRDefault="00FB1104" w:rsidP="00FB1104">
            <w:pPr>
              <w:pStyle w:val="SWCTableHeader"/>
              <w:rPr>
                <w:b w:val="0"/>
                <w:bCs w:val="0"/>
              </w:rPr>
            </w:pPr>
            <w:r w:rsidRPr="00FB1104">
              <w:rPr>
                <w:b w:val="0"/>
                <w:bCs w:val="0"/>
              </w:rPr>
              <w:t>0.50</w:t>
            </w:r>
            <w:r>
              <w:rPr>
                <w:b w:val="0"/>
                <w:bCs w:val="0"/>
              </w:rPr>
              <w:t xml:space="preserve"> </w:t>
            </w:r>
            <w:r w:rsidRPr="00FB1104">
              <w:rPr>
                <w:b w:val="0"/>
                <w:bCs w:val="0"/>
              </w:rPr>
              <w:t>/</w:t>
            </w:r>
            <w:r>
              <w:rPr>
                <w:b w:val="0"/>
                <w:bCs w:val="0"/>
              </w:rPr>
              <w:t xml:space="preserve"> </w:t>
            </w:r>
            <w:r w:rsidRPr="008A7B8B">
              <w:t>0.73</w:t>
            </w:r>
            <w:r>
              <w:rPr>
                <w:b w:val="0"/>
                <w:bCs w:val="0"/>
              </w:rPr>
              <w:t xml:space="preserve"> </w:t>
            </w:r>
            <w:r w:rsidRPr="00FB1104">
              <w:rPr>
                <w:b w:val="0"/>
                <w:bCs w:val="0"/>
              </w:rPr>
              <w:t>/</w:t>
            </w:r>
            <w:r>
              <w:rPr>
                <w:b w:val="0"/>
                <w:bCs w:val="0"/>
              </w:rPr>
              <w:t xml:space="preserve"> </w:t>
            </w:r>
            <w:r w:rsidRPr="00FB1104">
              <w:rPr>
                <w:b w:val="0"/>
                <w:bCs w:val="0"/>
              </w:rPr>
              <w:t>0.90</w:t>
            </w:r>
          </w:p>
        </w:tc>
        <w:tc>
          <w:tcPr>
            <w:tcW w:w="1999" w:type="dxa"/>
          </w:tcPr>
          <w:p w14:paraId="1CBF49BB" w14:textId="28D878A4" w:rsidR="00FB1104" w:rsidRPr="008A7B8B" w:rsidRDefault="00FB1104" w:rsidP="00FB1104">
            <w:pPr>
              <w:pStyle w:val="SWCTableHeader"/>
            </w:pPr>
            <w:r w:rsidRPr="008A7B8B">
              <w:t>Transferred</w:t>
            </w:r>
          </w:p>
        </w:tc>
        <w:tc>
          <w:tcPr>
            <w:tcW w:w="2295" w:type="dxa"/>
          </w:tcPr>
          <w:p w14:paraId="717C3F4E" w14:textId="77777777" w:rsidR="00FB1104" w:rsidRPr="00FB1104" w:rsidRDefault="00FB1104" w:rsidP="00FB1104">
            <w:pPr>
              <w:pStyle w:val="SWCTableHeader"/>
              <w:rPr>
                <w:b w:val="0"/>
                <w:bCs w:val="0"/>
              </w:rPr>
            </w:pPr>
          </w:p>
        </w:tc>
      </w:tr>
      <w:tr w:rsidR="00FB1104" w:rsidRPr="005B3651" w14:paraId="00CA2913" w14:textId="77777777" w:rsidTr="00FB1104">
        <w:trPr>
          <w:jc w:val="center"/>
        </w:trPr>
        <w:tc>
          <w:tcPr>
            <w:tcW w:w="2597" w:type="dxa"/>
          </w:tcPr>
          <w:p w14:paraId="3EA08AB4" w14:textId="4676E058" w:rsidR="00FB1104" w:rsidRPr="00FB1104" w:rsidRDefault="002248F7" w:rsidP="002248F7">
            <w:pPr>
              <w:pStyle w:val="SWCTableHeader"/>
              <w:rPr>
                <w:b w:val="0"/>
                <w:bCs w:val="0"/>
              </w:rPr>
            </w:pPr>
            <w:r w:rsidRPr="008A7B8B">
              <w:rPr>
                <w:b w:val="0"/>
                <w:bCs w:val="0"/>
                <w:i/>
                <w:iCs/>
              </w:rPr>
              <w:t>r</w:t>
            </w:r>
            <w:r w:rsidRPr="008A7B8B">
              <w:rPr>
                <w:b w:val="0"/>
                <w:bCs w:val="0"/>
                <w:i/>
                <w:iCs/>
                <w:vertAlign w:val="subscript"/>
              </w:rPr>
              <w:t>u</w:t>
            </w:r>
            <w:r>
              <w:rPr>
                <w:b w:val="0"/>
                <w:bCs w:val="0"/>
              </w:rPr>
              <w:t>, W</w:t>
            </w:r>
            <w:r w:rsidRPr="002248F7">
              <w:rPr>
                <w:b w:val="0"/>
                <w:bCs w:val="0"/>
              </w:rPr>
              <w:t>ind</w:t>
            </w:r>
            <w:r>
              <w:rPr>
                <w:b w:val="0"/>
                <w:bCs w:val="0"/>
              </w:rPr>
              <w:t xml:space="preserve"> </w:t>
            </w:r>
            <w:r w:rsidRPr="002248F7">
              <w:rPr>
                <w:b w:val="0"/>
                <w:bCs w:val="0"/>
              </w:rPr>
              <w:t>reduction</w:t>
            </w:r>
          </w:p>
        </w:tc>
        <w:tc>
          <w:tcPr>
            <w:tcW w:w="2173" w:type="dxa"/>
          </w:tcPr>
          <w:p w14:paraId="2FF5ED97" w14:textId="615F27D7" w:rsidR="00FB1104" w:rsidRPr="00FB1104" w:rsidRDefault="002248F7" w:rsidP="002248F7">
            <w:pPr>
              <w:pStyle w:val="SWCTableHeader"/>
              <w:rPr>
                <w:b w:val="0"/>
                <w:bCs w:val="0"/>
              </w:rPr>
            </w:pPr>
            <w:r w:rsidRPr="002248F7">
              <w:rPr>
                <w:b w:val="0"/>
                <w:bCs w:val="0"/>
              </w:rPr>
              <w:t>0.00</w:t>
            </w:r>
            <w:r>
              <w:rPr>
                <w:b w:val="0"/>
                <w:bCs w:val="0"/>
              </w:rPr>
              <w:t xml:space="preserve"> </w:t>
            </w:r>
            <w:r w:rsidRPr="002248F7">
              <w:rPr>
                <w:b w:val="0"/>
                <w:bCs w:val="0"/>
              </w:rPr>
              <w:t>/</w:t>
            </w:r>
            <w:r>
              <w:rPr>
                <w:b w:val="0"/>
                <w:bCs w:val="0"/>
              </w:rPr>
              <w:t xml:space="preserve"> </w:t>
            </w:r>
            <w:r w:rsidRPr="008A7B8B">
              <w:t>0.23</w:t>
            </w:r>
            <w:r>
              <w:rPr>
                <w:b w:val="0"/>
                <w:bCs w:val="0"/>
              </w:rPr>
              <w:t xml:space="preserve"> </w:t>
            </w:r>
            <w:r w:rsidRPr="002248F7">
              <w:rPr>
                <w:b w:val="0"/>
                <w:bCs w:val="0"/>
              </w:rPr>
              <w:t>/</w:t>
            </w:r>
            <w:r>
              <w:rPr>
                <w:b w:val="0"/>
                <w:bCs w:val="0"/>
              </w:rPr>
              <w:t xml:space="preserve"> </w:t>
            </w:r>
            <w:r w:rsidRPr="002248F7">
              <w:rPr>
                <w:b w:val="0"/>
                <w:bCs w:val="0"/>
              </w:rPr>
              <w:t>0.50</w:t>
            </w:r>
          </w:p>
        </w:tc>
        <w:tc>
          <w:tcPr>
            <w:tcW w:w="1999" w:type="dxa"/>
          </w:tcPr>
          <w:p w14:paraId="08A8774D" w14:textId="2BE6415B" w:rsidR="00FB1104" w:rsidRPr="00FB1104" w:rsidRDefault="002248F7" w:rsidP="00FB1104">
            <w:pPr>
              <w:pStyle w:val="SWCTableHeader"/>
              <w:rPr>
                <w:b w:val="0"/>
                <w:bCs w:val="0"/>
              </w:rPr>
            </w:pPr>
            <w:r w:rsidRPr="00F25E99">
              <w:t>Transferred</w:t>
            </w:r>
          </w:p>
        </w:tc>
        <w:tc>
          <w:tcPr>
            <w:tcW w:w="2295" w:type="dxa"/>
          </w:tcPr>
          <w:p w14:paraId="41F5765A" w14:textId="77777777" w:rsidR="00FB1104" w:rsidRPr="00FB1104" w:rsidRDefault="00FB1104" w:rsidP="00FB1104">
            <w:pPr>
              <w:pStyle w:val="SWCTableHeader"/>
              <w:rPr>
                <w:b w:val="0"/>
                <w:bCs w:val="0"/>
              </w:rPr>
            </w:pPr>
          </w:p>
        </w:tc>
      </w:tr>
      <w:tr w:rsidR="00FB1104" w:rsidRPr="005B3651" w14:paraId="13827184" w14:textId="77777777" w:rsidTr="00FB1104">
        <w:trPr>
          <w:jc w:val="center"/>
        </w:trPr>
        <w:tc>
          <w:tcPr>
            <w:tcW w:w="2597" w:type="dxa"/>
          </w:tcPr>
          <w:p w14:paraId="525F5429" w14:textId="4D2A9C44" w:rsidR="00FB1104" w:rsidRPr="00FB1104" w:rsidRDefault="002248F7" w:rsidP="002248F7">
            <w:pPr>
              <w:pStyle w:val="SWCTableHeader"/>
              <w:rPr>
                <w:b w:val="0"/>
                <w:bCs w:val="0"/>
              </w:rPr>
            </w:pPr>
            <w:r w:rsidRPr="008A7B8B">
              <w:rPr>
                <w:b w:val="0"/>
                <w:bCs w:val="0"/>
                <w:i/>
                <w:iCs/>
              </w:rPr>
              <w:t>f</w:t>
            </w:r>
            <w:r w:rsidRPr="002248F7">
              <w:rPr>
                <w:b w:val="0"/>
                <w:bCs w:val="0"/>
              </w:rPr>
              <w:t>,</w:t>
            </w:r>
            <w:r>
              <w:rPr>
                <w:b w:val="0"/>
                <w:bCs w:val="0"/>
              </w:rPr>
              <w:t xml:space="preserve"> C</w:t>
            </w:r>
            <w:r w:rsidRPr="002248F7">
              <w:rPr>
                <w:b w:val="0"/>
                <w:bCs w:val="0"/>
              </w:rPr>
              <w:t>overage</w:t>
            </w:r>
            <w:r>
              <w:rPr>
                <w:b w:val="0"/>
                <w:bCs w:val="0"/>
              </w:rPr>
              <w:t xml:space="preserve"> </w:t>
            </w:r>
            <w:r w:rsidRPr="002248F7">
              <w:rPr>
                <w:b w:val="0"/>
                <w:bCs w:val="0"/>
              </w:rPr>
              <w:t>fraction</w:t>
            </w:r>
          </w:p>
        </w:tc>
        <w:tc>
          <w:tcPr>
            <w:tcW w:w="2173" w:type="dxa"/>
          </w:tcPr>
          <w:p w14:paraId="2E2C7FD0" w14:textId="67BA17DE" w:rsidR="00FB1104" w:rsidRPr="00FB1104" w:rsidRDefault="002248F7" w:rsidP="002248F7">
            <w:pPr>
              <w:pStyle w:val="SWCTableHeader"/>
              <w:rPr>
                <w:b w:val="0"/>
                <w:bCs w:val="0"/>
              </w:rPr>
            </w:pPr>
            <w:r w:rsidRPr="002248F7">
              <w:rPr>
                <w:b w:val="0"/>
                <w:bCs w:val="0"/>
              </w:rPr>
              <w:t>0.01</w:t>
            </w:r>
            <w:r>
              <w:rPr>
                <w:b w:val="0"/>
                <w:bCs w:val="0"/>
              </w:rPr>
              <w:t xml:space="preserve"> </w:t>
            </w:r>
            <w:r w:rsidRPr="002248F7">
              <w:rPr>
                <w:b w:val="0"/>
                <w:bCs w:val="0"/>
              </w:rPr>
              <w:t>–</w:t>
            </w:r>
            <w:r>
              <w:rPr>
                <w:b w:val="0"/>
                <w:bCs w:val="0"/>
              </w:rPr>
              <w:t xml:space="preserve"> </w:t>
            </w:r>
            <w:r w:rsidRPr="002248F7">
              <w:rPr>
                <w:b w:val="0"/>
                <w:bCs w:val="0"/>
              </w:rPr>
              <w:t>0.30</w:t>
            </w:r>
          </w:p>
        </w:tc>
        <w:tc>
          <w:tcPr>
            <w:tcW w:w="1999" w:type="dxa"/>
          </w:tcPr>
          <w:p w14:paraId="7C301D02" w14:textId="7E884981" w:rsidR="00FB1104" w:rsidRPr="00FB1104" w:rsidRDefault="002248F7" w:rsidP="002248F7">
            <w:pPr>
              <w:pStyle w:val="SWCTableHeader"/>
              <w:rPr>
                <w:b w:val="0"/>
                <w:bCs w:val="0"/>
              </w:rPr>
            </w:pPr>
            <w:r w:rsidRPr="002248F7">
              <w:rPr>
                <w:b w:val="0"/>
                <w:bCs w:val="0"/>
              </w:rPr>
              <w:t>User-supplied</w:t>
            </w:r>
          </w:p>
        </w:tc>
        <w:tc>
          <w:tcPr>
            <w:tcW w:w="2295" w:type="dxa"/>
          </w:tcPr>
          <w:p w14:paraId="5CD5DCBF" w14:textId="7910648D" w:rsidR="00FB1104" w:rsidRPr="00FB1104" w:rsidRDefault="002248F7" w:rsidP="002248F7">
            <w:pPr>
              <w:pStyle w:val="SWCTableHeader"/>
              <w:rPr>
                <w:b w:val="0"/>
                <w:bCs w:val="0"/>
              </w:rPr>
            </w:pPr>
            <w:r w:rsidRPr="002248F7">
              <w:rPr>
                <w:b w:val="0"/>
                <w:bCs w:val="0"/>
              </w:rPr>
              <w:t>Scenario</w:t>
            </w:r>
            <w:r>
              <w:rPr>
                <w:b w:val="0"/>
                <w:bCs w:val="0"/>
              </w:rPr>
              <w:t xml:space="preserve"> </w:t>
            </w:r>
            <w:r w:rsidRPr="002248F7">
              <w:rPr>
                <w:b w:val="0"/>
                <w:bCs w:val="0"/>
              </w:rPr>
              <w:t>control</w:t>
            </w:r>
          </w:p>
        </w:tc>
      </w:tr>
      <w:tr w:rsidR="00FB1104" w:rsidRPr="005B3651" w14:paraId="1D27D389" w14:textId="77777777" w:rsidTr="00FB1104">
        <w:trPr>
          <w:jc w:val="center"/>
        </w:trPr>
        <w:tc>
          <w:tcPr>
            <w:tcW w:w="2597" w:type="dxa"/>
          </w:tcPr>
          <w:p w14:paraId="78A885C7" w14:textId="32C2408C" w:rsidR="00FB1104" w:rsidRPr="00FB1104" w:rsidRDefault="002248F7" w:rsidP="002248F7">
            <w:pPr>
              <w:pStyle w:val="SWCTableHeader"/>
              <w:rPr>
                <w:b w:val="0"/>
                <w:bCs w:val="0"/>
              </w:rPr>
            </w:pPr>
            <w:r w:rsidRPr="008A7B8B">
              <w:rPr>
                <w:b w:val="0"/>
                <w:bCs w:val="0"/>
                <w:i/>
                <w:iCs/>
              </w:rPr>
              <w:t>p</w:t>
            </w:r>
            <w:r>
              <w:rPr>
                <w:b w:val="0"/>
                <w:bCs w:val="0"/>
              </w:rPr>
              <w:t xml:space="preserve">, </w:t>
            </w:r>
            <w:r w:rsidRPr="002248F7">
              <w:rPr>
                <w:b w:val="0"/>
                <w:bCs w:val="0"/>
              </w:rPr>
              <w:t>Hypsographic</w:t>
            </w:r>
            <w:r>
              <w:rPr>
                <w:b w:val="0"/>
                <w:bCs w:val="0"/>
              </w:rPr>
              <w:t xml:space="preserve"> </w:t>
            </w:r>
            <w:r w:rsidRPr="002248F7">
              <w:rPr>
                <w:b w:val="0"/>
                <w:bCs w:val="0"/>
              </w:rPr>
              <w:t>exponent</w:t>
            </w:r>
          </w:p>
        </w:tc>
        <w:tc>
          <w:tcPr>
            <w:tcW w:w="2173" w:type="dxa"/>
          </w:tcPr>
          <w:p w14:paraId="742122F8" w14:textId="48EFC318" w:rsidR="00FB1104" w:rsidRPr="00FB1104" w:rsidRDefault="002248F7" w:rsidP="002248F7">
            <w:pPr>
              <w:pStyle w:val="SWCTableHeader"/>
              <w:rPr>
                <w:b w:val="0"/>
                <w:bCs w:val="0"/>
              </w:rPr>
            </w:pPr>
            <w:r w:rsidRPr="002248F7">
              <w:rPr>
                <w:b w:val="0"/>
                <w:bCs w:val="0"/>
              </w:rPr>
              <w:t>0.817083</w:t>
            </w:r>
          </w:p>
        </w:tc>
        <w:tc>
          <w:tcPr>
            <w:tcW w:w="1999" w:type="dxa"/>
          </w:tcPr>
          <w:p w14:paraId="364771B7" w14:textId="439BC983" w:rsidR="00FB1104" w:rsidRPr="00FB1104" w:rsidRDefault="002248F7" w:rsidP="002248F7">
            <w:pPr>
              <w:pStyle w:val="SWCTableHeader"/>
              <w:rPr>
                <w:b w:val="0"/>
                <w:bCs w:val="0"/>
              </w:rPr>
            </w:pPr>
            <w:r w:rsidRPr="002248F7">
              <w:rPr>
                <w:b w:val="0"/>
                <w:bCs w:val="0"/>
              </w:rPr>
              <w:t>Estimated</w:t>
            </w:r>
          </w:p>
        </w:tc>
        <w:tc>
          <w:tcPr>
            <w:tcW w:w="2295" w:type="dxa"/>
          </w:tcPr>
          <w:p w14:paraId="6DE2496D" w14:textId="599ED03E" w:rsidR="00FB1104" w:rsidRPr="00FB1104" w:rsidRDefault="002248F7" w:rsidP="002248F7">
            <w:pPr>
              <w:pStyle w:val="SWCTableHeader"/>
              <w:rPr>
                <w:b w:val="0"/>
                <w:bCs w:val="0"/>
              </w:rPr>
            </w:pPr>
            <w:hyperlink w:anchor="eq2" w:history="1">
              <w:r w:rsidRPr="0020508B">
                <w:rPr>
                  <w:rStyle w:val="Hyperlink"/>
                  <w:b w:val="0"/>
                  <w:bCs w:val="0"/>
                </w:rPr>
                <w:t>Eq. (2)</w:t>
              </w:r>
            </w:hyperlink>
          </w:p>
        </w:tc>
      </w:tr>
    </w:tbl>
    <w:p w14:paraId="1C713D11" w14:textId="1F6AA079" w:rsidR="009A1F9D" w:rsidRPr="00F25E99" w:rsidRDefault="009A1F9D" w:rsidP="009A1F9D">
      <w:pPr>
        <w:pStyle w:val="SWCTableFigureCaption"/>
        <w:rPr>
          <w:lang w:val="en-GB"/>
        </w:rPr>
      </w:pPr>
      <w:bookmarkStart w:id="3" w:name="Tab4"/>
      <w:r w:rsidRPr="00F25E99">
        <w:rPr>
          <w:lang w:val="en-GB"/>
        </w:rPr>
        <w:t xml:space="preserve">Tab. </w:t>
      </w:r>
      <w:r>
        <w:rPr>
          <w:lang w:val="en-GB"/>
        </w:rPr>
        <w:t>4</w:t>
      </w:r>
      <w:r w:rsidRPr="00F25E99">
        <w:rPr>
          <w:lang w:val="en-GB"/>
        </w:rPr>
        <w:t xml:space="preserve">: </w:t>
      </w:r>
      <w:r w:rsidRPr="00F83099">
        <w:t>Surface-flux</w:t>
      </w:r>
      <w:r>
        <w:t xml:space="preserve"> </w:t>
      </w:r>
      <w:r w:rsidRPr="00F83099">
        <w:t>contract</w:t>
      </w:r>
      <w:r>
        <w:t xml:space="preserve"> </w:t>
      </w:r>
      <w:r w:rsidRPr="00F83099">
        <w:t>for</w:t>
      </w:r>
      <w:r>
        <w:t xml:space="preserve"> </w:t>
      </w:r>
      <w:r w:rsidRPr="00F83099">
        <w:t>the</w:t>
      </w:r>
      <w:r>
        <w:t xml:space="preserve"> </w:t>
      </w:r>
      <w:r w:rsidRPr="00F83099">
        <w:t>FPV</w:t>
      </w:r>
      <w:r>
        <w:t xml:space="preserve"> </w:t>
      </w:r>
      <w:r w:rsidRPr="00F83099">
        <w:t>experiment. “Absent”</w:t>
      </w:r>
      <w:r>
        <w:t xml:space="preserve"> </w:t>
      </w:r>
      <w:r w:rsidRPr="00F83099">
        <w:t>means</w:t>
      </w:r>
      <w:r>
        <w:t xml:space="preserve"> </w:t>
      </w:r>
      <w:r w:rsidRPr="00F83099">
        <w:t>the</w:t>
      </w:r>
      <w:r>
        <w:t xml:space="preserve"> </w:t>
      </w:r>
      <w:r w:rsidRPr="00F83099">
        <w:t>experiment</w:t>
      </w:r>
      <w:r>
        <w:t xml:space="preserve"> </w:t>
      </w:r>
      <w:r w:rsidRPr="00F83099">
        <w:t>does</w:t>
      </w:r>
      <w:r>
        <w:t xml:space="preserve"> </w:t>
      </w:r>
      <w:r w:rsidRPr="00F83099">
        <w:t>not</w:t>
      </w:r>
      <w:r>
        <w:t xml:space="preserve"> </w:t>
      </w:r>
      <w:r w:rsidRPr="00F83099">
        <w:t>represent</w:t>
      </w:r>
      <w:r>
        <w:t xml:space="preserve"> </w:t>
      </w:r>
      <w:r w:rsidRPr="00F83099">
        <w:t>that</w:t>
      </w:r>
      <w:r>
        <w:t xml:space="preserve"> </w:t>
      </w:r>
      <w:r w:rsidRPr="00F83099">
        <w:t>mechanism;</w:t>
      </w:r>
      <w:r>
        <w:t xml:space="preserve"> </w:t>
      </w:r>
      <w:r w:rsidRPr="00F83099">
        <w:t>it</w:t>
      </w:r>
      <w:r>
        <w:t xml:space="preserve"> </w:t>
      </w:r>
      <w:r w:rsidRPr="00F83099">
        <w:t>is</w:t>
      </w:r>
      <w:r>
        <w:t xml:space="preserve"> </w:t>
      </w:r>
      <w:r w:rsidRPr="00F83099">
        <w:t>not</w:t>
      </w:r>
      <w:r>
        <w:t xml:space="preserve"> </w:t>
      </w:r>
      <w:r w:rsidRPr="00F83099">
        <w:t xml:space="preserve">silently </w:t>
      </w:r>
      <w:r>
        <w:t xml:space="preserve">assumed to </w:t>
      </w:r>
      <w:r w:rsidRPr="00F83099">
        <w:t>be</w:t>
      </w:r>
      <w:r>
        <w:t xml:space="preserve"> </w:t>
      </w:r>
      <w:r w:rsidRPr="00F83099">
        <w:t>negligible.</w:t>
      </w:r>
      <w:bookmarkEnd w:id="3"/>
    </w:p>
    <w:tbl>
      <w:tblPr>
        <w:tblStyle w:val="TableGrid"/>
        <w:tblW w:w="0" w:type="auto"/>
        <w:jc w:val="center"/>
        <w:tblLook w:val="01E0" w:firstRow="1" w:lastRow="1" w:firstColumn="1" w:lastColumn="1" w:noHBand="0" w:noVBand="0"/>
      </w:tblPr>
      <w:tblGrid>
        <w:gridCol w:w="2968"/>
        <w:gridCol w:w="2969"/>
        <w:gridCol w:w="2969"/>
      </w:tblGrid>
      <w:tr w:rsidR="009A1F9D" w:rsidRPr="005B3651" w14:paraId="6BC5852F" w14:textId="77777777" w:rsidTr="00F25E99">
        <w:trPr>
          <w:jc w:val="center"/>
        </w:trPr>
        <w:tc>
          <w:tcPr>
            <w:tcW w:w="2968" w:type="dxa"/>
          </w:tcPr>
          <w:p w14:paraId="76E41938" w14:textId="23DE85A1" w:rsidR="009A1F9D" w:rsidRPr="005B3651" w:rsidRDefault="009A1F9D" w:rsidP="009A1F9D">
            <w:pPr>
              <w:pStyle w:val="SWCTableHeader"/>
            </w:pPr>
            <w:r w:rsidRPr="009A1F9D">
              <w:t>Surface</w:t>
            </w:r>
            <w:r>
              <w:t xml:space="preserve"> </w:t>
            </w:r>
            <w:r w:rsidRPr="009A1F9D">
              <w:t>term</w:t>
            </w:r>
          </w:p>
        </w:tc>
        <w:tc>
          <w:tcPr>
            <w:tcW w:w="2969" w:type="dxa"/>
          </w:tcPr>
          <w:p w14:paraId="27A8773A" w14:textId="4E9621D5" w:rsidR="009A1F9D" w:rsidRPr="005B3651" w:rsidRDefault="009A1F9D" w:rsidP="009A1F9D">
            <w:pPr>
              <w:pStyle w:val="SWCTableHeader"/>
            </w:pPr>
            <w:r w:rsidRPr="009A1F9D">
              <w:t>Coverage</w:t>
            </w:r>
            <w:r>
              <w:t xml:space="preserve"> </w:t>
            </w:r>
            <w:r w:rsidRPr="009A1F9D">
              <w:t>effect</w:t>
            </w:r>
          </w:p>
        </w:tc>
        <w:tc>
          <w:tcPr>
            <w:tcW w:w="2969" w:type="dxa"/>
          </w:tcPr>
          <w:p w14:paraId="04F2A58B" w14:textId="489D4AF0" w:rsidR="009A1F9D" w:rsidRPr="005B3651" w:rsidRDefault="0017109A" w:rsidP="0017109A">
            <w:pPr>
              <w:pStyle w:val="SWCTableHeader"/>
            </w:pPr>
            <w:r w:rsidRPr="0017109A">
              <w:t>Implemented</w:t>
            </w:r>
            <w:r>
              <w:t xml:space="preserve"> </w:t>
            </w:r>
            <w:r w:rsidRPr="0017109A">
              <w:t>boundary</w:t>
            </w:r>
          </w:p>
        </w:tc>
      </w:tr>
      <w:tr w:rsidR="009A1F9D" w:rsidRPr="00F25E99" w14:paraId="2A87CC06" w14:textId="77777777" w:rsidTr="00F25E99">
        <w:trPr>
          <w:jc w:val="center"/>
        </w:trPr>
        <w:tc>
          <w:tcPr>
            <w:tcW w:w="2968" w:type="dxa"/>
          </w:tcPr>
          <w:p w14:paraId="1393450D" w14:textId="5F2ADB7C" w:rsidR="009A1F9D" w:rsidRPr="00F25E99" w:rsidRDefault="0017109A" w:rsidP="0017109A">
            <w:pPr>
              <w:pStyle w:val="SWCTableHeader"/>
              <w:rPr>
                <w:b w:val="0"/>
                <w:bCs w:val="0"/>
              </w:rPr>
            </w:pPr>
            <w:r w:rsidRPr="0017109A">
              <w:rPr>
                <w:b w:val="0"/>
                <w:bCs w:val="0"/>
              </w:rPr>
              <w:t>Shortwave</w:t>
            </w:r>
          </w:p>
        </w:tc>
        <w:tc>
          <w:tcPr>
            <w:tcW w:w="2969" w:type="dxa"/>
          </w:tcPr>
          <w:p w14:paraId="13CCC9A2" w14:textId="2A24983E" w:rsidR="009A1F9D" w:rsidRPr="00F25E99" w:rsidRDefault="0017109A" w:rsidP="0017109A">
            <w:pPr>
              <w:pStyle w:val="SWCTableHeader"/>
              <w:rPr>
                <w:b w:val="0"/>
                <w:bCs w:val="0"/>
              </w:rPr>
            </w:pPr>
            <w:r w:rsidRPr="0017109A">
              <w:rPr>
                <w:b w:val="0"/>
                <w:bCs w:val="0"/>
              </w:rPr>
              <w:t>direct</w:t>
            </w:r>
          </w:p>
        </w:tc>
        <w:tc>
          <w:tcPr>
            <w:tcW w:w="2969" w:type="dxa"/>
          </w:tcPr>
          <w:p w14:paraId="32601163" w14:textId="5DAA769F" w:rsidR="009A1F9D" w:rsidRPr="00F25E99" w:rsidRDefault="0017109A" w:rsidP="0017109A">
            <w:pPr>
              <w:pStyle w:val="SWCTableHeader"/>
              <w:rPr>
                <w:b w:val="0"/>
                <w:bCs w:val="0"/>
              </w:rPr>
            </w:pPr>
            <w:hyperlink w:anchor="eq3" w:history="1">
              <w:r w:rsidRPr="0020508B">
                <w:rPr>
                  <w:rStyle w:val="Hyperlink"/>
                  <w:b w:val="0"/>
                  <w:bCs w:val="0"/>
                </w:rPr>
                <w:t>Eq. (3)</w:t>
              </w:r>
            </w:hyperlink>
          </w:p>
        </w:tc>
      </w:tr>
      <w:tr w:rsidR="0017109A" w:rsidRPr="00F25E99" w14:paraId="102C3129" w14:textId="77777777" w:rsidTr="00F25E99">
        <w:trPr>
          <w:jc w:val="center"/>
        </w:trPr>
        <w:tc>
          <w:tcPr>
            <w:tcW w:w="2968" w:type="dxa"/>
          </w:tcPr>
          <w:p w14:paraId="2D38E0BD" w14:textId="55C3C189" w:rsidR="0017109A" w:rsidRPr="00F25E99" w:rsidRDefault="0017109A" w:rsidP="0017109A">
            <w:pPr>
              <w:pStyle w:val="SWCTableHeader"/>
              <w:rPr>
                <w:b w:val="0"/>
                <w:bCs w:val="0"/>
              </w:rPr>
            </w:pPr>
            <w:r w:rsidRPr="0017109A">
              <w:rPr>
                <w:b w:val="0"/>
                <w:bCs w:val="0"/>
              </w:rPr>
              <w:t>Wind</w:t>
            </w:r>
          </w:p>
        </w:tc>
        <w:tc>
          <w:tcPr>
            <w:tcW w:w="2969" w:type="dxa"/>
          </w:tcPr>
          <w:p w14:paraId="7A128CA5" w14:textId="038BA5F6" w:rsidR="0017109A" w:rsidRPr="00F25E99" w:rsidRDefault="0017109A" w:rsidP="0017109A">
            <w:pPr>
              <w:pStyle w:val="SWCTableHeader"/>
              <w:rPr>
                <w:b w:val="0"/>
                <w:bCs w:val="0"/>
              </w:rPr>
            </w:pPr>
            <w:r w:rsidRPr="0017109A">
              <w:rPr>
                <w:b w:val="0"/>
                <w:bCs w:val="0"/>
              </w:rPr>
              <w:t>direct</w:t>
            </w:r>
          </w:p>
        </w:tc>
        <w:tc>
          <w:tcPr>
            <w:tcW w:w="2969" w:type="dxa"/>
          </w:tcPr>
          <w:p w14:paraId="34AA9BEA" w14:textId="7ABD17B8" w:rsidR="0017109A" w:rsidRPr="004B6A1A" w:rsidRDefault="0017109A" w:rsidP="009A1F9D">
            <w:pPr>
              <w:pStyle w:val="SWCTableHeader"/>
              <w:rPr>
                <w:b w:val="0"/>
                <w:bCs w:val="0"/>
              </w:rPr>
            </w:pPr>
            <w:hyperlink w:anchor="eq4" w:history="1">
              <w:r w:rsidRPr="0020508B">
                <w:rPr>
                  <w:rStyle w:val="Hyperlink"/>
                  <w:b w:val="0"/>
                  <w:bCs w:val="0"/>
                </w:rPr>
                <w:t>Eq. (4)</w:t>
              </w:r>
            </w:hyperlink>
          </w:p>
        </w:tc>
      </w:tr>
      <w:tr w:rsidR="0017109A" w:rsidRPr="00F25E99" w14:paraId="3F3F9ACE" w14:textId="77777777" w:rsidTr="00F25E99">
        <w:trPr>
          <w:jc w:val="center"/>
        </w:trPr>
        <w:tc>
          <w:tcPr>
            <w:tcW w:w="2968" w:type="dxa"/>
          </w:tcPr>
          <w:p w14:paraId="3205A698" w14:textId="55A0F718" w:rsidR="0017109A" w:rsidRPr="00F25E99" w:rsidRDefault="0017109A" w:rsidP="0017109A">
            <w:pPr>
              <w:pStyle w:val="SWCTableHeader"/>
              <w:rPr>
                <w:b w:val="0"/>
                <w:bCs w:val="0"/>
              </w:rPr>
            </w:pPr>
            <w:r w:rsidRPr="0017109A">
              <w:rPr>
                <w:b w:val="0"/>
                <w:bCs w:val="0"/>
              </w:rPr>
              <w:t>Latent</w:t>
            </w:r>
            <w:r>
              <w:rPr>
                <w:b w:val="0"/>
                <w:bCs w:val="0"/>
              </w:rPr>
              <w:t xml:space="preserve"> </w:t>
            </w:r>
            <w:r w:rsidRPr="0017109A">
              <w:rPr>
                <w:b w:val="0"/>
                <w:bCs w:val="0"/>
              </w:rPr>
              <w:t>heat</w:t>
            </w:r>
          </w:p>
        </w:tc>
        <w:tc>
          <w:tcPr>
            <w:tcW w:w="2969" w:type="dxa"/>
          </w:tcPr>
          <w:p w14:paraId="1DD4EC37" w14:textId="6C44007B" w:rsidR="0017109A" w:rsidRPr="00F25E99" w:rsidRDefault="0017109A" w:rsidP="0017109A">
            <w:pPr>
              <w:pStyle w:val="SWCTableHeader"/>
              <w:rPr>
                <w:b w:val="0"/>
                <w:bCs w:val="0"/>
              </w:rPr>
            </w:pPr>
            <w:r w:rsidRPr="0017109A">
              <w:rPr>
                <w:b w:val="0"/>
                <w:bCs w:val="0"/>
              </w:rPr>
              <w:t>indirect,</w:t>
            </w:r>
            <w:r>
              <w:rPr>
                <w:b w:val="0"/>
                <w:bCs w:val="0"/>
              </w:rPr>
              <w:t xml:space="preserve"> </w:t>
            </w:r>
            <w:r w:rsidRPr="0017109A">
              <w:rPr>
                <w:b w:val="0"/>
                <w:bCs w:val="0"/>
              </w:rPr>
              <w:t>through</w:t>
            </w:r>
            <w:r>
              <w:rPr>
                <w:b w:val="0"/>
                <w:bCs w:val="0"/>
              </w:rPr>
              <w:t xml:space="preserve"> </w:t>
            </w:r>
            <w:r w:rsidRPr="0017109A">
              <w:rPr>
                <w:b w:val="0"/>
                <w:bCs w:val="0"/>
              </w:rPr>
              <w:t>GLM</w:t>
            </w:r>
            <w:r>
              <w:rPr>
                <w:b w:val="0"/>
                <w:bCs w:val="0"/>
              </w:rPr>
              <w:t xml:space="preserve"> </w:t>
            </w:r>
            <w:r w:rsidRPr="0017109A">
              <w:rPr>
                <w:b w:val="0"/>
                <w:bCs w:val="0"/>
              </w:rPr>
              <w:t>wind</w:t>
            </w:r>
          </w:p>
        </w:tc>
        <w:tc>
          <w:tcPr>
            <w:tcW w:w="2969" w:type="dxa"/>
          </w:tcPr>
          <w:p w14:paraId="0C76A90A" w14:textId="3789776B" w:rsidR="0017109A" w:rsidRPr="004B6A1A" w:rsidRDefault="0017109A" w:rsidP="0017109A">
            <w:pPr>
              <w:pStyle w:val="SWCTableHeader"/>
              <w:rPr>
                <w:b w:val="0"/>
                <w:bCs w:val="0"/>
              </w:rPr>
            </w:pPr>
            <w:r w:rsidRPr="0017109A">
              <w:rPr>
                <w:b w:val="0"/>
                <w:bCs w:val="0"/>
              </w:rPr>
              <w:t>Not</w:t>
            </w:r>
            <w:r>
              <w:rPr>
                <w:b w:val="0"/>
                <w:bCs w:val="0"/>
              </w:rPr>
              <w:t xml:space="preserve"> </w:t>
            </w:r>
            <w:r w:rsidRPr="0017109A">
              <w:rPr>
                <w:b w:val="0"/>
                <w:bCs w:val="0"/>
              </w:rPr>
              <w:t>directly</w:t>
            </w:r>
            <w:r>
              <w:rPr>
                <w:b w:val="0"/>
                <w:bCs w:val="0"/>
              </w:rPr>
              <w:t xml:space="preserve"> </w:t>
            </w:r>
            <w:r w:rsidRPr="0017109A">
              <w:rPr>
                <w:b w:val="0"/>
                <w:bCs w:val="0"/>
              </w:rPr>
              <w:t>scaled</w:t>
            </w:r>
          </w:p>
        </w:tc>
      </w:tr>
      <w:tr w:rsidR="0017109A" w:rsidRPr="00F25E99" w14:paraId="23EBA64E" w14:textId="77777777" w:rsidTr="00F25E99">
        <w:trPr>
          <w:jc w:val="center"/>
        </w:trPr>
        <w:tc>
          <w:tcPr>
            <w:tcW w:w="2968" w:type="dxa"/>
          </w:tcPr>
          <w:p w14:paraId="42FA5B8D" w14:textId="3FFFA272" w:rsidR="0017109A" w:rsidRPr="00F25E99" w:rsidRDefault="0017109A" w:rsidP="0017109A">
            <w:pPr>
              <w:pStyle w:val="SWCTableHeader"/>
              <w:rPr>
                <w:b w:val="0"/>
                <w:bCs w:val="0"/>
              </w:rPr>
            </w:pPr>
            <w:r w:rsidRPr="0017109A">
              <w:rPr>
                <w:b w:val="0"/>
                <w:bCs w:val="0"/>
              </w:rPr>
              <w:t>Sensible</w:t>
            </w:r>
            <w:r>
              <w:rPr>
                <w:b w:val="0"/>
                <w:bCs w:val="0"/>
              </w:rPr>
              <w:t xml:space="preserve"> </w:t>
            </w:r>
            <w:r w:rsidRPr="0017109A">
              <w:rPr>
                <w:b w:val="0"/>
                <w:bCs w:val="0"/>
              </w:rPr>
              <w:t>heat</w:t>
            </w:r>
          </w:p>
        </w:tc>
        <w:tc>
          <w:tcPr>
            <w:tcW w:w="2969" w:type="dxa"/>
          </w:tcPr>
          <w:p w14:paraId="1997172D" w14:textId="576F4C29" w:rsidR="0017109A" w:rsidRPr="00F25E99" w:rsidRDefault="0017109A" w:rsidP="009A1F9D">
            <w:pPr>
              <w:pStyle w:val="SWCTableHeader"/>
              <w:rPr>
                <w:b w:val="0"/>
                <w:bCs w:val="0"/>
              </w:rPr>
            </w:pPr>
            <w:r w:rsidRPr="0017109A">
              <w:rPr>
                <w:b w:val="0"/>
                <w:bCs w:val="0"/>
              </w:rPr>
              <w:t>indirect,</w:t>
            </w:r>
            <w:r>
              <w:rPr>
                <w:b w:val="0"/>
                <w:bCs w:val="0"/>
              </w:rPr>
              <w:t xml:space="preserve"> </w:t>
            </w:r>
            <w:r w:rsidRPr="0017109A">
              <w:rPr>
                <w:b w:val="0"/>
                <w:bCs w:val="0"/>
              </w:rPr>
              <w:t>through</w:t>
            </w:r>
            <w:r>
              <w:rPr>
                <w:b w:val="0"/>
                <w:bCs w:val="0"/>
              </w:rPr>
              <w:t xml:space="preserve"> </w:t>
            </w:r>
            <w:r w:rsidRPr="0017109A">
              <w:rPr>
                <w:b w:val="0"/>
                <w:bCs w:val="0"/>
              </w:rPr>
              <w:t>GLM</w:t>
            </w:r>
            <w:r>
              <w:rPr>
                <w:b w:val="0"/>
                <w:bCs w:val="0"/>
              </w:rPr>
              <w:t xml:space="preserve"> </w:t>
            </w:r>
            <w:r w:rsidRPr="0017109A">
              <w:rPr>
                <w:b w:val="0"/>
                <w:bCs w:val="0"/>
              </w:rPr>
              <w:t>wind</w:t>
            </w:r>
          </w:p>
        </w:tc>
        <w:tc>
          <w:tcPr>
            <w:tcW w:w="2969" w:type="dxa"/>
          </w:tcPr>
          <w:p w14:paraId="5460E2DA" w14:textId="5AF226AA" w:rsidR="0017109A" w:rsidRPr="004B6A1A" w:rsidRDefault="0017109A" w:rsidP="009A1F9D">
            <w:pPr>
              <w:pStyle w:val="SWCTableHeader"/>
              <w:rPr>
                <w:b w:val="0"/>
                <w:bCs w:val="0"/>
              </w:rPr>
            </w:pPr>
            <w:r w:rsidRPr="0017109A">
              <w:rPr>
                <w:b w:val="0"/>
                <w:bCs w:val="0"/>
              </w:rPr>
              <w:t>Not</w:t>
            </w:r>
            <w:r>
              <w:rPr>
                <w:b w:val="0"/>
                <w:bCs w:val="0"/>
              </w:rPr>
              <w:t xml:space="preserve"> </w:t>
            </w:r>
            <w:r w:rsidRPr="0017109A">
              <w:rPr>
                <w:b w:val="0"/>
                <w:bCs w:val="0"/>
              </w:rPr>
              <w:t>directly</w:t>
            </w:r>
            <w:r>
              <w:rPr>
                <w:b w:val="0"/>
                <w:bCs w:val="0"/>
              </w:rPr>
              <w:t xml:space="preserve"> </w:t>
            </w:r>
            <w:r w:rsidRPr="0017109A">
              <w:rPr>
                <w:b w:val="0"/>
                <w:bCs w:val="0"/>
              </w:rPr>
              <w:t>scaled</w:t>
            </w:r>
          </w:p>
        </w:tc>
      </w:tr>
      <w:tr w:rsidR="0017109A" w:rsidRPr="00F25E99" w14:paraId="5217785C" w14:textId="77777777" w:rsidTr="00F25E99">
        <w:trPr>
          <w:jc w:val="center"/>
        </w:trPr>
        <w:tc>
          <w:tcPr>
            <w:tcW w:w="2968" w:type="dxa"/>
          </w:tcPr>
          <w:p w14:paraId="53C1143E" w14:textId="3F7C2D53" w:rsidR="0017109A" w:rsidRPr="00F25E99" w:rsidRDefault="0017109A" w:rsidP="0017109A">
            <w:pPr>
              <w:pStyle w:val="SWCTableHeader"/>
              <w:rPr>
                <w:b w:val="0"/>
                <w:bCs w:val="0"/>
              </w:rPr>
            </w:pPr>
            <w:r w:rsidRPr="0017109A">
              <w:rPr>
                <w:b w:val="0"/>
                <w:bCs w:val="0"/>
              </w:rPr>
              <w:t>Longwave</w:t>
            </w:r>
            <w:r>
              <w:rPr>
                <w:b w:val="0"/>
                <w:bCs w:val="0"/>
              </w:rPr>
              <w:t xml:space="preserve"> </w:t>
            </w:r>
            <w:r w:rsidRPr="0017109A">
              <w:rPr>
                <w:b w:val="0"/>
                <w:bCs w:val="0"/>
              </w:rPr>
              <w:t>down</w:t>
            </w:r>
          </w:p>
        </w:tc>
        <w:tc>
          <w:tcPr>
            <w:tcW w:w="2969" w:type="dxa"/>
          </w:tcPr>
          <w:p w14:paraId="3132649E" w14:textId="1F64C8B7" w:rsidR="0017109A" w:rsidRPr="008A7B8B" w:rsidRDefault="0017109A" w:rsidP="0017109A">
            <w:pPr>
              <w:pStyle w:val="SWCTableHeader"/>
            </w:pPr>
            <w:r w:rsidRPr="008A7B8B">
              <w:t>absent</w:t>
            </w:r>
          </w:p>
        </w:tc>
        <w:tc>
          <w:tcPr>
            <w:tcW w:w="2969" w:type="dxa"/>
          </w:tcPr>
          <w:p w14:paraId="754ACFEC" w14:textId="55F7CA14" w:rsidR="0017109A" w:rsidRPr="004B6A1A" w:rsidRDefault="0017109A" w:rsidP="0017109A">
            <w:pPr>
              <w:pStyle w:val="SWCTableHeader"/>
              <w:rPr>
                <w:b w:val="0"/>
                <w:bCs w:val="0"/>
              </w:rPr>
            </w:pPr>
            <w:r w:rsidRPr="0017109A">
              <w:rPr>
                <w:b w:val="0"/>
                <w:bCs w:val="0"/>
              </w:rPr>
              <w:t>Input</w:t>
            </w:r>
            <w:r>
              <w:rPr>
                <w:b w:val="0"/>
                <w:bCs w:val="0"/>
              </w:rPr>
              <w:t xml:space="preserve"> </w:t>
            </w:r>
            <w:r w:rsidRPr="0017109A">
              <w:rPr>
                <w:b w:val="0"/>
                <w:bCs w:val="0"/>
              </w:rPr>
              <w:t>forcing</w:t>
            </w:r>
            <w:r>
              <w:rPr>
                <w:b w:val="0"/>
                <w:bCs w:val="0"/>
              </w:rPr>
              <w:t xml:space="preserve"> </w:t>
            </w:r>
            <w:r w:rsidRPr="0017109A">
              <w:rPr>
                <w:b w:val="0"/>
                <w:bCs w:val="0"/>
              </w:rPr>
              <w:t>unchanged</w:t>
            </w:r>
          </w:p>
        </w:tc>
      </w:tr>
      <w:tr w:rsidR="0017109A" w:rsidRPr="00F25E99" w14:paraId="3D9959EA" w14:textId="77777777" w:rsidTr="00F25E99">
        <w:trPr>
          <w:jc w:val="center"/>
        </w:trPr>
        <w:tc>
          <w:tcPr>
            <w:tcW w:w="2968" w:type="dxa"/>
          </w:tcPr>
          <w:p w14:paraId="179E68DD" w14:textId="650DE39E" w:rsidR="0017109A" w:rsidRPr="00F25E99" w:rsidRDefault="0017109A" w:rsidP="0017109A">
            <w:pPr>
              <w:pStyle w:val="SWCTableHeader"/>
              <w:rPr>
                <w:b w:val="0"/>
                <w:bCs w:val="0"/>
              </w:rPr>
            </w:pPr>
            <w:r w:rsidRPr="0017109A">
              <w:rPr>
                <w:b w:val="0"/>
                <w:bCs w:val="0"/>
              </w:rPr>
              <w:t>Longwa</w:t>
            </w:r>
            <w:r>
              <w:rPr>
                <w:b w:val="0"/>
                <w:bCs w:val="0"/>
              </w:rPr>
              <w:t xml:space="preserve">ve </w:t>
            </w:r>
            <w:r w:rsidRPr="0017109A">
              <w:rPr>
                <w:b w:val="0"/>
                <w:bCs w:val="0"/>
              </w:rPr>
              <w:t>up</w:t>
            </w:r>
          </w:p>
        </w:tc>
        <w:tc>
          <w:tcPr>
            <w:tcW w:w="2969" w:type="dxa"/>
          </w:tcPr>
          <w:p w14:paraId="33299711" w14:textId="543D3C6E" w:rsidR="0017109A" w:rsidRPr="00F25E99" w:rsidRDefault="0017109A" w:rsidP="009A1F9D">
            <w:pPr>
              <w:pStyle w:val="SWCTableHeader"/>
              <w:rPr>
                <w:b w:val="0"/>
                <w:bCs w:val="0"/>
              </w:rPr>
            </w:pPr>
            <w:r w:rsidRPr="00F25E99">
              <w:t>absent</w:t>
            </w:r>
          </w:p>
        </w:tc>
        <w:tc>
          <w:tcPr>
            <w:tcW w:w="2969" w:type="dxa"/>
          </w:tcPr>
          <w:p w14:paraId="5D95242A" w14:textId="0FC54C41" w:rsidR="0017109A" w:rsidRPr="004B6A1A" w:rsidRDefault="0017109A" w:rsidP="0017109A">
            <w:pPr>
              <w:pStyle w:val="SWCTableHeader"/>
              <w:rPr>
                <w:b w:val="0"/>
                <w:bCs w:val="0"/>
              </w:rPr>
            </w:pPr>
            <w:r w:rsidRPr="0017109A">
              <w:rPr>
                <w:b w:val="0"/>
                <w:bCs w:val="0"/>
              </w:rPr>
              <w:t>No</w:t>
            </w:r>
            <w:r>
              <w:rPr>
                <w:b w:val="0"/>
                <w:bCs w:val="0"/>
              </w:rPr>
              <w:t xml:space="preserve"> </w:t>
            </w:r>
            <w:r w:rsidRPr="0017109A">
              <w:rPr>
                <w:b w:val="0"/>
                <w:bCs w:val="0"/>
              </w:rPr>
              <w:t>explicit</w:t>
            </w:r>
            <w:r>
              <w:rPr>
                <w:b w:val="0"/>
                <w:bCs w:val="0"/>
              </w:rPr>
              <w:t xml:space="preserve"> </w:t>
            </w:r>
            <w:r w:rsidRPr="0017109A">
              <w:rPr>
                <w:b w:val="0"/>
                <w:bCs w:val="0"/>
              </w:rPr>
              <w:t>panel</w:t>
            </w:r>
            <w:r>
              <w:rPr>
                <w:b w:val="0"/>
                <w:bCs w:val="0"/>
              </w:rPr>
              <w:t xml:space="preserve"> </w:t>
            </w:r>
            <w:r w:rsidRPr="0017109A">
              <w:rPr>
                <w:b w:val="0"/>
                <w:bCs w:val="0"/>
              </w:rPr>
              <w:t>or</w:t>
            </w:r>
            <w:r>
              <w:rPr>
                <w:b w:val="0"/>
                <w:bCs w:val="0"/>
              </w:rPr>
              <w:t xml:space="preserve"> </w:t>
            </w:r>
            <w:r w:rsidRPr="0017109A">
              <w:rPr>
                <w:b w:val="0"/>
                <w:bCs w:val="0"/>
              </w:rPr>
              <w:t>sky-view</w:t>
            </w:r>
            <w:r>
              <w:rPr>
                <w:b w:val="0"/>
                <w:bCs w:val="0"/>
              </w:rPr>
              <w:t xml:space="preserve"> </w:t>
            </w:r>
            <w:r w:rsidRPr="0017109A">
              <w:rPr>
                <w:b w:val="0"/>
                <w:bCs w:val="0"/>
              </w:rPr>
              <w:t>boundary</w:t>
            </w:r>
          </w:p>
        </w:tc>
      </w:tr>
      <w:tr w:rsidR="0017109A" w:rsidRPr="00F25E99" w14:paraId="7F40AF20" w14:textId="77777777" w:rsidTr="00F25E99">
        <w:trPr>
          <w:jc w:val="center"/>
        </w:trPr>
        <w:tc>
          <w:tcPr>
            <w:tcW w:w="2968" w:type="dxa"/>
          </w:tcPr>
          <w:p w14:paraId="257581D5" w14:textId="583FF836" w:rsidR="0017109A" w:rsidRPr="00F25E99" w:rsidRDefault="0017109A" w:rsidP="0017109A">
            <w:pPr>
              <w:pStyle w:val="SWCTableHeader"/>
              <w:rPr>
                <w:b w:val="0"/>
                <w:bCs w:val="0"/>
              </w:rPr>
            </w:pPr>
            <w:r w:rsidRPr="0017109A">
              <w:rPr>
                <w:b w:val="0"/>
                <w:bCs w:val="0"/>
              </w:rPr>
              <w:t>Panel</w:t>
            </w:r>
            <w:r>
              <w:rPr>
                <w:b w:val="0"/>
                <w:bCs w:val="0"/>
              </w:rPr>
              <w:t xml:space="preserve"> </w:t>
            </w:r>
            <w:r w:rsidRPr="0017109A">
              <w:rPr>
                <w:b w:val="0"/>
                <w:bCs w:val="0"/>
              </w:rPr>
              <w:t>heat</w:t>
            </w:r>
            <w:r>
              <w:rPr>
                <w:b w:val="0"/>
                <w:bCs w:val="0"/>
              </w:rPr>
              <w:t xml:space="preserve"> </w:t>
            </w:r>
            <w:r w:rsidRPr="0017109A">
              <w:rPr>
                <w:b w:val="0"/>
                <w:bCs w:val="0"/>
              </w:rPr>
              <w:t>exchange</w:t>
            </w:r>
          </w:p>
        </w:tc>
        <w:tc>
          <w:tcPr>
            <w:tcW w:w="2969" w:type="dxa"/>
          </w:tcPr>
          <w:p w14:paraId="28028D77" w14:textId="67962C30" w:rsidR="0017109A" w:rsidRPr="00F25E99" w:rsidRDefault="0017109A" w:rsidP="009A1F9D">
            <w:pPr>
              <w:pStyle w:val="SWCTableHeader"/>
              <w:rPr>
                <w:b w:val="0"/>
                <w:bCs w:val="0"/>
              </w:rPr>
            </w:pPr>
            <w:r w:rsidRPr="00F25E99">
              <w:t>absent</w:t>
            </w:r>
          </w:p>
        </w:tc>
        <w:tc>
          <w:tcPr>
            <w:tcW w:w="2969" w:type="dxa"/>
          </w:tcPr>
          <w:p w14:paraId="04F9D3D8" w14:textId="029BD1A2" w:rsidR="0017109A" w:rsidRPr="004B6A1A" w:rsidRDefault="0017109A" w:rsidP="0017109A">
            <w:pPr>
              <w:pStyle w:val="SWCTableHeader"/>
              <w:rPr>
                <w:b w:val="0"/>
                <w:bCs w:val="0"/>
              </w:rPr>
            </w:pPr>
            <w:r w:rsidRPr="0017109A">
              <w:rPr>
                <w:b w:val="0"/>
                <w:bCs w:val="0"/>
              </w:rPr>
              <w:t>No</w:t>
            </w:r>
            <w:r>
              <w:rPr>
                <w:b w:val="0"/>
                <w:bCs w:val="0"/>
              </w:rPr>
              <w:t xml:space="preserve"> </w:t>
            </w:r>
            <w:r w:rsidRPr="0017109A">
              <w:rPr>
                <w:b w:val="0"/>
                <w:bCs w:val="0"/>
              </w:rPr>
              <w:t>panel</w:t>
            </w:r>
            <w:r>
              <w:rPr>
                <w:b w:val="0"/>
                <w:bCs w:val="0"/>
              </w:rPr>
              <w:t xml:space="preserve"> </w:t>
            </w:r>
            <w:r w:rsidRPr="0017109A">
              <w:rPr>
                <w:b w:val="0"/>
                <w:bCs w:val="0"/>
              </w:rPr>
              <w:t>thermal</w:t>
            </w:r>
            <w:r>
              <w:rPr>
                <w:b w:val="0"/>
                <w:bCs w:val="0"/>
              </w:rPr>
              <w:t xml:space="preserve"> </w:t>
            </w:r>
            <w:r w:rsidRPr="0017109A">
              <w:rPr>
                <w:b w:val="0"/>
                <w:bCs w:val="0"/>
              </w:rPr>
              <w:t>boundary</w:t>
            </w:r>
          </w:p>
        </w:tc>
      </w:tr>
    </w:tbl>
    <w:p w14:paraId="418AD70E" w14:textId="6C1486C1" w:rsidR="00823D5E" w:rsidRPr="00F25E99" w:rsidRDefault="00823D5E" w:rsidP="00823D5E">
      <w:pPr>
        <w:pStyle w:val="SWCTableFigureCaption"/>
        <w:rPr>
          <w:lang w:val="en-GB"/>
        </w:rPr>
      </w:pPr>
      <w:bookmarkStart w:id="4" w:name="Tab5"/>
      <w:r w:rsidRPr="00F25E99">
        <w:rPr>
          <w:lang w:val="en-GB"/>
        </w:rPr>
        <w:t xml:space="preserve">Tab. </w:t>
      </w:r>
      <w:r>
        <w:rPr>
          <w:lang w:val="en-GB"/>
        </w:rPr>
        <w:t>5</w:t>
      </w:r>
      <w:r w:rsidRPr="00F25E99">
        <w:rPr>
          <w:lang w:val="en-GB"/>
        </w:rPr>
        <w:t xml:space="preserve">: </w:t>
      </w:r>
      <w:r w:rsidRPr="00823D5E">
        <w:rPr>
          <w:lang w:val="en-GB"/>
        </w:rPr>
        <w:t>Four-stage</w:t>
      </w:r>
      <w:r>
        <w:rPr>
          <w:lang w:val="en-GB"/>
        </w:rPr>
        <w:t xml:space="preserve"> </w:t>
      </w:r>
      <w:r w:rsidRPr="00823D5E">
        <w:rPr>
          <w:lang w:val="en-GB"/>
        </w:rPr>
        <w:t>evaluation</w:t>
      </w:r>
      <w:r>
        <w:rPr>
          <w:lang w:val="en-GB"/>
        </w:rPr>
        <w:t xml:space="preserve"> </w:t>
      </w:r>
      <w:r w:rsidRPr="00823D5E">
        <w:rPr>
          <w:lang w:val="en-GB"/>
        </w:rPr>
        <w:t>of the</w:t>
      </w:r>
      <w:r>
        <w:rPr>
          <w:lang w:val="en-GB"/>
        </w:rPr>
        <w:t xml:space="preserve"> </w:t>
      </w:r>
      <w:r w:rsidRPr="00823D5E">
        <w:rPr>
          <w:lang w:val="en-GB"/>
        </w:rPr>
        <w:t>open-water thermal</w:t>
      </w:r>
      <w:r>
        <w:rPr>
          <w:lang w:val="en-GB"/>
        </w:rPr>
        <w:t xml:space="preserve"> </w:t>
      </w:r>
      <w:r w:rsidRPr="00823D5E">
        <w:rPr>
          <w:lang w:val="en-GB"/>
        </w:rPr>
        <w:t>model. Only</w:t>
      </w:r>
      <w:r>
        <w:rPr>
          <w:lang w:val="en-GB"/>
        </w:rPr>
        <w:t xml:space="preserve"> </w:t>
      </w:r>
      <w:r w:rsidRPr="00823D5E">
        <w:rPr>
          <w:lang w:val="en-GB"/>
        </w:rPr>
        <w:t>the</w:t>
      </w:r>
      <w:r>
        <w:rPr>
          <w:lang w:val="en-GB"/>
        </w:rPr>
        <w:t xml:space="preserve"> </w:t>
      </w:r>
      <w:r w:rsidRPr="00823D5E">
        <w:rPr>
          <w:lang w:val="en-GB"/>
        </w:rPr>
        <w:t>first stage</w:t>
      </w:r>
      <w:r>
        <w:rPr>
          <w:lang w:val="en-GB"/>
        </w:rPr>
        <w:t xml:space="preserve"> </w:t>
      </w:r>
      <w:r w:rsidRPr="00823D5E">
        <w:rPr>
          <w:lang w:val="en-GB"/>
        </w:rPr>
        <w:t>used</w:t>
      </w:r>
      <w:r>
        <w:rPr>
          <w:lang w:val="en-GB"/>
        </w:rPr>
        <w:t xml:space="preserve"> </w:t>
      </w:r>
      <w:r w:rsidRPr="00823D5E">
        <w:rPr>
          <w:lang w:val="en-GB"/>
        </w:rPr>
        <w:t>the</w:t>
      </w:r>
      <w:r>
        <w:rPr>
          <w:lang w:val="en-GB"/>
        </w:rPr>
        <w:t xml:space="preserve"> </w:t>
      </w:r>
      <w:r w:rsidRPr="00823D5E">
        <w:rPr>
          <w:lang w:val="en-GB"/>
        </w:rPr>
        <w:t>calibration</w:t>
      </w:r>
      <w:r>
        <w:rPr>
          <w:lang w:val="en-GB"/>
        </w:rPr>
        <w:t xml:space="preserve"> </w:t>
      </w:r>
      <w:r w:rsidRPr="00823D5E">
        <w:rPr>
          <w:lang w:val="en-GB"/>
        </w:rPr>
        <w:t>objective; no</w:t>
      </w:r>
      <w:r>
        <w:rPr>
          <w:lang w:val="en-GB"/>
        </w:rPr>
        <w:t xml:space="preserve"> </w:t>
      </w:r>
      <w:r w:rsidRPr="00823D5E">
        <w:rPr>
          <w:lang w:val="en-GB"/>
        </w:rPr>
        <w:t>parameter</w:t>
      </w:r>
      <w:r>
        <w:rPr>
          <w:lang w:val="en-GB"/>
        </w:rPr>
        <w:t xml:space="preserve"> </w:t>
      </w:r>
      <w:r w:rsidRPr="00823D5E">
        <w:rPr>
          <w:lang w:val="en-GB"/>
        </w:rPr>
        <w:t>was re-adjusted</w:t>
      </w:r>
      <w:r>
        <w:rPr>
          <w:lang w:val="en-GB"/>
        </w:rPr>
        <w:t xml:space="preserve"> </w:t>
      </w:r>
      <w:r w:rsidRPr="00823D5E">
        <w:rPr>
          <w:lang w:val="en-GB"/>
        </w:rPr>
        <w:t>for</w:t>
      </w:r>
      <w:r>
        <w:rPr>
          <w:lang w:val="en-GB"/>
        </w:rPr>
        <w:t xml:space="preserve"> </w:t>
      </w:r>
      <w:r w:rsidRPr="00823D5E">
        <w:rPr>
          <w:lang w:val="en-GB"/>
        </w:rPr>
        <w:t>any</w:t>
      </w:r>
      <w:r>
        <w:rPr>
          <w:lang w:val="en-GB"/>
        </w:rPr>
        <w:t xml:space="preserve"> </w:t>
      </w:r>
      <w:r w:rsidRPr="00823D5E">
        <w:rPr>
          <w:lang w:val="en-GB"/>
        </w:rPr>
        <w:t>later</w:t>
      </w:r>
      <w:r>
        <w:rPr>
          <w:lang w:val="en-GB"/>
        </w:rPr>
        <w:t xml:space="preserve"> </w:t>
      </w:r>
      <w:r w:rsidRPr="00823D5E">
        <w:rPr>
          <w:lang w:val="en-GB"/>
        </w:rPr>
        <w:t>stage</w:t>
      </w:r>
      <w:r w:rsidRPr="00F83099">
        <w:t>.</w:t>
      </w:r>
      <w:bookmarkEnd w:id="4"/>
    </w:p>
    <w:tbl>
      <w:tblPr>
        <w:tblStyle w:val="TableGrid"/>
        <w:tblW w:w="0" w:type="auto"/>
        <w:jc w:val="center"/>
        <w:tblLook w:val="01E0" w:firstRow="1" w:lastRow="1" w:firstColumn="1" w:lastColumn="1" w:noHBand="0" w:noVBand="0"/>
      </w:tblPr>
      <w:tblGrid>
        <w:gridCol w:w="3681"/>
        <w:gridCol w:w="1276"/>
        <w:gridCol w:w="1842"/>
        <w:gridCol w:w="2265"/>
      </w:tblGrid>
      <w:tr w:rsidR="00823D5E" w:rsidRPr="005B3651" w14:paraId="4DCA44BB" w14:textId="77777777" w:rsidTr="008A7B8B">
        <w:trPr>
          <w:jc w:val="center"/>
        </w:trPr>
        <w:tc>
          <w:tcPr>
            <w:tcW w:w="3681" w:type="dxa"/>
          </w:tcPr>
          <w:p w14:paraId="06690071" w14:textId="0C9784A8" w:rsidR="00823D5E" w:rsidRPr="005B3651" w:rsidRDefault="00823D5E" w:rsidP="00823D5E">
            <w:pPr>
              <w:pStyle w:val="SWCTableHeader"/>
            </w:pPr>
            <w:r w:rsidRPr="00823D5E">
              <w:lastRenderedPageBreak/>
              <w:t>Stage</w:t>
            </w:r>
          </w:p>
        </w:tc>
        <w:tc>
          <w:tcPr>
            <w:tcW w:w="1276" w:type="dxa"/>
          </w:tcPr>
          <w:p w14:paraId="0542A60D" w14:textId="305BA51C" w:rsidR="00823D5E" w:rsidRPr="005B3651" w:rsidRDefault="00823D5E" w:rsidP="00823D5E">
            <w:pPr>
              <w:pStyle w:val="SWCTableHeader"/>
            </w:pPr>
            <w:r w:rsidRPr="00823D5E">
              <w:t>n</w:t>
            </w:r>
          </w:p>
        </w:tc>
        <w:tc>
          <w:tcPr>
            <w:tcW w:w="1842" w:type="dxa"/>
          </w:tcPr>
          <w:p w14:paraId="29ED648C" w14:textId="2D8675C6" w:rsidR="00823D5E" w:rsidRPr="0017109A" w:rsidRDefault="00823D5E" w:rsidP="00823D5E">
            <w:pPr>
              <w:pStyle w:val="SWCTableHeader"/>
            </w:pPr>
            <w:r w:rsidRPr="00823D5E">
              <w:t>RMSE</w:t>
            </w:r>
            <w:r>
              <w:t xml:space="preserve"> </w:t>
            </w:r>
            <w:r w:rsidRPr="00823D5E">
              <w:t>(</w:t>
            </w:r>
            <w:r>
              <w:t>°</w:t>
            </w:r>
            <w:r w:rsidRPr="00823D5E">
              <w:t>C)</w:t>
            </w:r>
          </w:p>
        </w:tc>
        <w:tc>
          <w:tcPr>
            <w:tcW w:w="2265" w:type="dxa"/>
          </w:tcPr>
          <w:p w14:paraId="68E900A2" w14:textId="5B86F201" w:rsidR="00823D5E" w:rsidRPr="005B3651" w:rsidRDefault="00823D5E" w:rsidP="00823D5E">
            <w:pPr>
              <w:pStyle w:val="SWCTableHeader"/>
            </w:pPr>
            <w:r w:rsidRPr="00823D5E">
              <w:t>0–5</w:t>
            </w:r>
            <w:r>
              <w:t xml:space="preserve"> </w:t>
            </w:r>
            <w:r w:rsidRPr="00823D5E">
              <w:t>m</w:t>
            </w:r>
            <w:r>
              <w:t xml:space="preserve"> </w:t>
            </w:r>
            <w:r w:rsidRPr="00823D5E">
              <w:t>RMSE</w:t>
            </w:r>
            <w:r>
              <w:t xml:space="preserve"> </w:t>
            </w:r>
            <w:r w:rsidRPr="00823D5E">
              <w:t>(</w:t>
            </w:r>
            <w:r>
              <w:t>°</w:t>
            </w:r>
            <w:r w:rsidRPr="00823D5E">
              <w:t>C)</w:t>
            </w:r>
          </w:p>
        </w:tc>
      </w:tr>
      <w:tr w:rsidR="00823D5E" w:rsidRPr="00F25E99" w14:paraId="7054DEB0" w14:textId="77777777" w:rsidTr="008A7B8B">
        <w:trPr>
          <w:jc w:val="center"/>
        </w:trPr>
        <w:tc>
          <w:tcPr>
            <w:tcW w:w="3681" w:type="dxa"/>
          </w:tcPr>
          <w:p w14:paraId="63BB99C4" w14:textId="08A06B88" w:rsidR="00823D5E" w:rsidRPr="00F25E99" w:rsidRDefault="00823D5E" w:rsidP="00823D5E">
            <w:pPr>
              <w:pStyle w:val="SWCTableHeader"/>
              <w:rPr>
                <w:b w:val="0"/>
                <w:bCs w:val="0"/>
              </w:rPr>
            </w:pPr>
            <w:r w:rsidRPr="00823D5E">
              <w:rPr>
                <w:b w:val="0"/>
                <w:bCs w:val="0"/>
              </w:rPr>
              <w:t>Calibration,</w:t>
            </w:r>
            <w:r>
              <w:rPr>
                <w:b w:val="0"/>
                <w:bCs w:val="0"/>
              </w:rPr>
              <w:t xml:space="preserve"> </w:t>
            </w:r>
            <w:r w:rsidRPr="00823D5E">
              <w:rPr>
                <w:b w:val="0"/>
                <w:bCs w:val="0"/>
              </w:rPr>
              <w:t>two</w:t>
            </w:r>
            <w:r>
              <w:rPr>
                <w:b w:val="0"/>
                <w:bCs w:val="0"/>
              </w:rPr>
              <w:t xml:space="preserve"> </w:t>
            </w:r>
            <w:r w:rsidRPr="00823D5E">
              <w:rPr>
                <w:b w:val="0"/>
                <w:bCs w:val="0"/>
              </w:rPr>
              <w:t>dates</w:t>
            </w:r>
          </w:p>
        </w:tc>
        <w:tc>
          <w:tcPr>
            <w:tcW w:w="1276" w:type="dxa"/>
          </w:tcPr>
          <w:p w14:paraId="2F06DA42" w14:textId="2AF8B589" w:rsidR="00823D5E" w:rsidRPr="00F25E99" w:rsidRDefault="00823D5E" w:rsidP="00823D5E">
            <w:pPr>
              <w:pStyle w:val="SWCTableHeader"/>
              <w:rPr>
                <w:b w:val="0"/>
                <w:bCs w:val="0"/>
              </w:rPr>
            </w:pPr>
            <w:r w:rsidRPr="00823D5E">
              <w:rPr>
                <w:b w:val="0"/>
                <w:bCs w:val="0"/>
              </w:rPr>
              <w:t>219</w:t>
            </w:r>
          </w:p>
        </w:tc>
        <w:tc>
          <w:tcPr>
            <w:tcW w:w="1842" w:type="dxa"/>
          </w:tcPr>
          <w:p w14:paraId="429D752E" w14:textId="0FA13492" w:rsidR="00823D5E" w:rsidRPr="0017109A" w:rsidRDefault="00823D5E" w:rsidP="00823D5E">
            <w:pPr>
              <w:pStyle w:val="SWCTableHeader"/>
              <w:rPr>
                <w:b w:val="0"/>
                <w:bCs w:val="0"/>
              </w:rPr>
            </w:pPr>
            <w:r w:rsidRPr="00823D5E">
              <w:rPr>
                <w:b w:val="0"/>
                <w:bCs w:val="0"/>
              </w:rPr>
              <w:t>0.544</w:t>
            </w:r>
          </w:p>
        </w:tc>
        <w:tc>
          <w:tcPr>
            <w:tcW w:w="2265" w:type="dxa"/>
          </w:tcPr>
          <w:p w14:paraId="34EFD897" w14:textId="59338566" w:rsidR="00823D5E" w:rsidRPr="00F25E99" w:rsidRDefault="00823D5E" w:rsidP="00823D5E">
            <w:pPr>
              <w:pStyle w:val="SWCTableHeader"/>
              <w:rPr>
                <w:b w:val="0"/>
                <w:bCs w:val="0"/>
              </w:rPr>
            </w:pPr>
            <w:r w:rsidRPr="00823D5E">
              <w:rPr>
                <w:b w:val="0"/>
                <w:bCs w:val="0"/>
              </w:rPr>
              <w:t>—</w:t>
            </w:r>
          </w:p>
        </w:tc>
      </w:tr>
      <w:tr w:rsidR="00823D5E" w:rsidRPr="00F25E99" w14:paraId="7853675D" w14:textId="77777777" w:rsidTr="00823D5E">
        <w:trPr>
          <w:jc w:val="center"/>
        </w:trPr>
        <w:tc>
          <w:tcPr>
            <w:tcW w:w="3681" w:type="dxa"/>
          </w:tcPr>
          <w:p w14:paraId="5D590532" w14:textId="05C45E9B" w:rsidR="00823D5E" w:rsidRPr="00823D5E" w:rsidRDefault="00823D5E" w:rsidP="00823D5E">
            <w:pPr>
              <w:pStyle w:val="SWCTableHeader"/>
              <w:rPr>
                <w:b w:val="0"/>
                <w:bCs w:val="0"/>
              </w:rPr>
            </w:pPr>
            <w:r w:rsidRPr="00823D5E">
              <w:rPr>
                <w:b w:val="0"/>
                <w:bCs w:val="0"/>
              </w:rPr>
              <w:t>Withheld</w:t>
            </w:r>
            <w:r>
              <w:rPr>
                <w:b w:val="0"/>
                <w:bCs w:val="0"/>
              </w:rPr>
              <w:t xml:space="preserve"> </w:t>
            </w:r>
            <w:r w:rsidRPr="00823D5E">
              <w:rPr>
                <w:b w:val="0"/>
                <w:bCs w:val="0"/>
              </w:rPr>
              <w:t>profile,</w:t>
            </w:r>
            <w:r>
              <w:rPr>
                <w:b w:val="0"/>
                <w:bCs w:val="0"/>
              </w:rPr>
              <w:t xml:space="preserve"> </w:t>
            </w:r>
            <w:r w:rsidRPr="00823D5E">
              <w:rPr>
                <w:b w:val="0"/>
                <w:bCs w:val="0"/>
              </w:rPr>
              <w:t>2013-08-06</w:t>
            </w:r>
          </w:p>
        </w:tc>
        <w:tc>
          <w:tcPr>
            <w:tcW w:w="1276" w:type="dxa"/>
          </w:tcPr>
          <w:p w14:paraId="3B293D3C" w14:textId="37948ED0" w:rsidR="00823D5E" w:rsidRPr="00823D5E" w:rsidRDefault="00823D5E" w:rsidP="00823D5E">
            <w:pPr>
              <w:pStyle w:val="SWCTableHeader"/>
              <w:rPr>
                <w:b w:val="0"/>
                <w:bCs w:val="0"/>
              </w:rPr>
            </w:pPr>
            <w:r w:rsidRPr="00823D5E">
              <w:rPr>
                <w:b w:val="0"/>
                <w:bCs w:val="0"/>
              </w:rPr>
              <w:t>139</w:t>
            </w:r>
          </w:p>
        </w:tc>
        <w:tc>
          <w:tcPr>
            <w:tcW w:w="1842" w:type="dxa"/>
          </w:tcPr>
          <w:p w14:paraId="381EFA1E" w14:textId="2ED74FCA" w:rsidR="00823D5E" w:rsidRPr="00823D5E" w:rsidRDefault="00823D5E" w:rsidP="00823D5E">
            <w:pPr>
              <w:pStyle w:val="SWCTableHeader"/>
              <w:rPr>
                <w:b w:val="0"/>
                <w:bCs w:val="0"/>
              </w:rPr>
            </w:pPr>
            <w:r w:rsidRPr="00823D5E">
              <w:rPr>
                <w:b w:val="0"/>
                <w:bCs w:val="0"/>
              </w:rPr>
              <w:t>0.687</w:t>
            </w:r>
          </w:p>
        </w:tc>
        <w:tc>
          <w:tcPr>
            <w:tcW w:w="2265" w:type="dxa"/>
          </w:tcPr>
          <w:p w14:paraId="176E2A24" w14:textId="6D8F5190" w:rsidR="00823D5E" w:rsidRPr="00823D5E" w:rsidRDefault="00823D5E" w:rsidP="00823D5E">
            <w:pPr>
              <w:pStyle w:val="SWCTableHeader"/>
              <w:rPr>
                <w:b w:val="0"/>
                <w:bCs w:val="0"/>
              </w:rPr>
            </w:pPr>
            <w:r w:rsidRPr="00823D5E">
              <w:rPr>
                <w:b w:val="0"/>
                <w:bCs w:val="0"/>
              </w:rPr>
              <w:t>2.271</w:t>
            </w:r>
          </w:p>
        </w:tc>
      </w:tr>
      <w:tr w:rsidR="00823D5E" w:rsidRPr="00F25E99" w14:paraId="78E8EB1E" w14:textId="77777777" w:rsidTr="00823D5E">
        <w:trPr>
          <w:jc w:val="center"/>
        </w:trPr>
        <w:tc>
          <w:tcPr>
            <w:tcW w:w="3681" w:type="dxa"/>
          </w:tcPr>
          <w:p w14:paraId="188D1CF7" w14:textId="3E12ABE5" w:rsidR="00823D5E" w:rsidRPr="00823D5E" w:rsidRDefault="00823D5E" w:rsidP="00823D5E">
            <w:pPr>
              <w:pStyle w:val="SWCTableHeader"/>
              <w:rPr>
                <w:b w:val="0"/>
                <w:bCs w:val="0"/>
              </w:rPr>
            </w:pPr>
            <w:r w:rsidRPr="00823D5E">
              <w:rPr>
                <w:b w:val="0"/>
                <w:bCs w:val="0"/>
              </w:rPr>
              <w:t>96</w:t>
            </w:r>
            <w:r>
              <w:rPr>
                <w:b w:val="0"/>
                <w:bCs w:val="0"/>
              </w:rPr>
              <w:t xml:space="preserve"> </w:t>
            </w:r>
            <w:r w:rsidRPr="00823D5E">
              <w:rPr>
                <w:b w:val="0"/>
                <w:bCs w:val="0"/>
              </w:rPr>
              <w:t>dates,</w:t>
            </w:r>
            <w:r>
              <w:rPr>
                <w:b w:val="0"/>
                <w:bCs w:val="0"/>
              </w:rPr>
              <w:t xml:space="preserve"> </w:t>
            </w:r>
            <w:r w:rsidRPr="00823D5E">
              <w:rPr>
                <w:b w:val="0"/>
                <w:bCs w:val="0"/>
              </w:rPr>
              <w:t>no</w:t>
            </w:r>
            <w:r>
              <w:rPr>
                <w:b w:val="0"/>
                <w:bCs w:val="0"/>
              </w:rPr>
              <w:t xml:space="preserve"> </w:t>
            </w:r>
            <w:r w:rsidRPr="00823D5E">
              <w:rPr>
                <w:b w:val="0"/>
                <w:bCs w:val="0"/>
              </w:rPr>
              <w:t>refit,</w:t>
            </w:r>
            <w:r>
              <w:rPr>
                <w:b w:val="0"/>
                <w:bCs w:val="0"/>
              </w:rPr>
              <w:t xml:space="preserve"> </w:t>
            </w:r>
            <w:r w:rsidRPr="00823D5E">
              <w:rPr>
                <w:b w:val="0"/>
                <w:bCs w:val="0"/>
              </w:rPr>
              <w:t>same</w:t>
            </w:r>
            <w:r>
              <w:rPr>
                <w:b w:val="0"/>
                <w:bCs w:val="0"/>
              </w:rPr>
              <w:t xml:space="preserve"> </w:t>
            </w:r>
            <w:r w:rsidRPr="00823D5E">
              <w:rPr>
                <w:b w:val="0"/>
                <w:bCs w:val="0"/>
              </w:rPr>
              <w:t>run</w:t>
            </w:r>
          </w:p>
        </w:tc>
        <w:tc>
          <w:tcPr>
            <w:tcW w:w="1276" w:type="dxa"/>
          </w:tcPr>
          <w:p w14:paraId="789CE00E" w14:textId="30308CB4" w:rsidR="00823D5E" w:rsidRPr="00823D5E" w:rsidRDefault="00823D5E" w:rsidP="00823D5E">
            <w:pPr>
              <w:pStyle w:val="SWCTableHeader"/>
              <w:rPr>
                <w:b w:val="0"/>
                <w:bCs w:val="0"/>
              </w:rPr>
            </w:pPr>
            <w:r w:rsidRPr="00823D5E">
              <w:rPr>
                <w:b w:val="0"/>
                <w:bCs w:val="0"/>
              </w:rPr>
              <w:t>10560</w:t>
            </w:r>
          </w:p>
        </w:tc>
        <w:tc>
          <w:tcPr>
            <w:tcW w:w="1842" w:type="dxa"/>
          </w:tcPr>
          <w:p w14:paraId="354C7F5C" w14:textId="2E9FCEE9" w:rsidR="00823D5E" w:rsidRPr="00823D5E" w:rsidRDefault="00823D5E" w:rsidP="00823D5E">
            <w:pPr>
              <w:pStyle w:val="SWCTableHeader"/>
              <w:rPr>
                <w:b w:val="0"/>
                <w:bCs w:val="0"/>
              </w:rPr>
            </w:pPr>
            <w:r w:rsidRPr="00823D5E">
              <w:rPr>
                <w:b w:val="0"/>
                <w:bCs w:val="0"/>
              </w:rPr>
              <w:t>0.635</w:t>
            </w:r>
          </w:p>
        </w:tc>
        <w:tc>
          <w:tcPr>
            <w:tcW w:w="2265" w:type="dxa"/>
          </w:tcPr>
          <w:p w14:paraId="52BEB314" w14:textId="6A2CFEB5" w:rsidR="00823D5E" w:rsidRPr="00823D5E" w:rsidRDefault="00823D5E" w:rsidP="00823D5E">
            <w:pPr>
              <w:pStyle w:val="SWCTableHeader"/>
              <w:rPr>
                <w:b w:val="0"/>
                <w:bCs w:val="0"/>
              </w:rPr>
            </w:pPr>
            <w:r w:rsidRPr="00823D5E">
              <w:rPr>
                <w:b w:val="0"/>
                <w:bCs w:val="0"/>
              </w:rPr>
              <w:t>1.699</w:t>
            </w:r>
          </w:p>
        </w:tc>
      </w:tr>
      <w:tr w:rsidR="00823D5E" w:rsidRPr="00F25E99" w14:paraId="28B4DE98" w14:textId="77777777" w:rsidTr="00823D5E">
        <w:trPr>
          <w:jc w:val="center"/>
        </w:trPr>
        <w:tc>
          <w:tcPr>
            <w:tcW w:w="3681" w:type="dxa"/>
          </w:tcPr>
          <w:p w14:paraId="5D879821" w14:textId="7AABBD72" w:rsidR="00823D5E" w:rsidRPr="00823D5E" w:rsidRDefault="00823D5E" w:rsidP="00823D5E">
            <w:pPr>
              <w:pStyle w:val="SWCTableHeader"/>
              <w:rPr>
                <w:b w:val="0"/>
                <w:bCs w:val="0"/>
              </w:rPr>
            </w:pPr>
            <w:r w:rsidRPr="00823D5E">
              <w:rPr>
                <w:b w:val="0"/>
                <w:bCs w:val="0"/>
              </w:rPr>
              <w:t>2015–</w:t>
            </w:r>
            <w:proofErr w:type="gramStart"/>
            <w:r w:rsidRPr="00823D5E">
              <w:rPr>
                <w:b w:val="0"/>
                <w:bCs w:val="0"/>
              </w:rPr>
              <w:t>2017,no</w:t>
            </w:r>
            <w:proofErr w:type="gramEnd"/>
            <w:r>
              <w:rPr>
                <w:b w:val="0"/>
                <w:bCs w:val="0"/>
              </w:rPr>
              <w:t xml:space="preserve"> </w:t>
            </w:r>
            <w:r w:rsidRPr="00823D5E">
              <w:rPr>
                <w:b w:val="0"/>
                <w:bCs w:val="0"/>
              </w:rPr>
              <w:t>refit,</w:t>
            </w:r>
            <w:r>
              <w:rPr>
                <w:b w:val="0"/>
                <w:bCs w:val="0"/>
              </w:rPr>
              <w:t xml:space="preserve"> </w:t>
            </w:r>
            <w:proofErr w:type="spellStart"/>
            <w:r w:rsidRPr="00823D5E">
              <w:rPr>
                <w:b w:val="0"/>
                <w:bCs w:val="0"/>
              </w:rPr>
              <w:t>separaterun</w:t>
            </w:r>
            <w:proofErr w:type="spellEnd"/>
          </w:p>
        </w:tc>
        <w:tc>
          <w:tcPr>
            <w:tcW w:w="1276" w:type="dxa"/>
          </w:tcPr>
          <w:p w14:paraId="35E41583" w14:textId="5A41C099" w:rsidR="00823D5E" w:rsidRPr="00823D5E" w:rsidRDefault="00823D5E" w:rsidP="00823D5E">
            <w:pPr>
              <w:pStyle w:val="SWCTableHeader"/>
              <w:rPr>
                <w:b w:val="0"/>
                <w:bCs w:val="0"/>
              </w:rPr>
            </w:pPr>
            <w:r w:rsidRPr="00823D5E">
              <w:rPr>
                <w:b w:val="0"/>
                <w:bCs w:val="0"/>
              </w:rPr>
              <w:t>3589</w:t>
            </w:r>
          </w:p>
        </w:tc>
        <w:tc>
          <w:tcPr>
            <w:tcW w:w="1842" w:type="dxa"/>
          </w:tcPr>
          <w:p w14:paraId="0A1A0F2C" w14:textId="0580B5C1" w:rsidR="00823D5E" w:rsidRPr="00823D5E" w:rsidRDefault="00823D5E" w:rsidP="00823D5E">
            <w:pPr>
              <w:pStyle w:val="SWCTableHeader"/>
              <w:rPr>
                <w:b w:val="0"/>
                <w:bCs w:val="0"/>
              </w:rPr>
            </w:pPr>
            <w:r w:rsidRPr="00823D5E">
              <w:rPr>
                <w:b w:val="0"/>
                <w:bCs w:val="0"/>
              </w:rPr>
              <w:t>0.534</w:t>
            </w:r>
          </w:p>
        </w:tc>
        <w:tc>
          <w:tcPr>
            <w:tcW w:w="2265" w:type="dxa"/>
          </w:tcPr>
          <w:p w14:paraId="24C4B087" w14:textId="62351612" w:rsidR="00823D5E" w:rsidRPr="00823D5E" w:rsidRDefault="00823D5E" w:rsidP="00823D5E">
            <w:pPr>
              <w:pStyle w:val="SWCTableHeader"/>
              <w:rPr>
                <w:b w:val="0"/>
                <w:bCs w:val="0"/>
              </w:rPr>
            </w:pPr>
            <w:r w:rsidRPr="00823D5E">
              <w:rPr>
                <w:b w:val="0"/>
                <w:bCs w:val="0"/>
              </w:rPr>
              <w:t>1.429</w:t>
            </w:r>
          </w:p>
        </w:tc>
      </w:tr>
    </w:tbl>
    <w:p w14:paraId="573842E3" w14:textId="04AC87BB" w:rsidR="00B701D1" w:rsidRPr="00F25E99" w:rsidRDefault="00B701D1" w:rsidP="00B701D1">
      <w:pPr>
        <w:pStyle w:val="SWCTableFigureCaption"/>
        <w:rPr>
          <w:lang w:val="en-GB"/>
        </w:rPr>
      </w:pPr>
      <w:bookmarkStart w:id="5" w:name="Tab6"/>
      <w:r w:rsidRPr="00F25E99">
        <w:rPr>
          <w:lang w:val="en-GB"/>
        </w:rPr>
        <w:t xml:space="preserve">Tab. </w:t>
      </w:r>
      <w:r>
        <w:rPr>
          <w:lang w:val="en-GB"/>
        </w:rPr>
        <w:t>6</w:t>
      </w:r>
      <w:r w:rsidRPr="00F25E99">
        <w:rPr>
          <w:lang w:val="en-GB"/>
        </w:rPr>
        <w:t xml:space="preserve">: </w:t>
      </w:r>
      <w:r w:rsidRPr="00B701D1">
        <w:rPr>
          <w:lang w:val="en-GB"/>
        </w:rPr>
        <w:t>Error</w:t>
      </w:r>
      <w:r>
        <w:rPr>
          <w:lang w:val="en-GB"/>
        </w:rPr>
        <w:t xml:space="preserve"> </w:t>
      </w:r>
      <w:r w:rsidRPr="00B701D1">
        <w:rPr>
          <w:lang w:val="en-GB"/>
        </w:rPr>
        <w:t>by</w:t>
      </w:r>
      <w:r>
        <w:rPr>
          <w:lang w:val="en-GB"/>
        </w:rPr>
        <w:t xml:space="preserve"> </w:t>
      </w:r>
      <w:r w:rsidRPr="00B701D1">
        <w:rPr>
          <w:lang w:val="en-GB"/>
        </w:rPr>
        <w:t>disjoint</w:t>
      </w:r>
      <w:r>
        <w:rPr>
          <w:lang w:val="en-GB"/>
        </w:rPr>
        <w:t xml:space="preserve"> </w:t>
      </w:r>
      <w:r w:rsidRPr="00B701D1">
        <w:rPr>
          <w:lang w:val="en-GB"/>
        </w:rPr>
        <w:t>depth</w:t>
      </w:r>
      <w:r>
        <w:rPr>
          <w:lang w:val="en-GB"/>
        </w:rPr>
        <w:t xml:space="preserve"> </w:t>
      </w:r>
      <w:r w:rsidRPr="00B701D1">
        <w:rPr>
          <w:lang w:val="en-GB"/>
        </w:rPr>
        <w:t>stratum</w:t>
      </w:r>
      <w:r>
        <w:rPr>
          <w:lang w:val="en-GB"/>
        </w:rPr>
        <w:t xml:space="preserve"> </w:t>
      </w:r>
      <w:r w:rsidRPr="00B701D1">
        <w:rPr>
          <w:lang w:val="en-GB"/>
        </w:rPr>
        <w:t>for the</w:t>
      </w:r>
      <w:r>
        <w:rPr>
          <w:lang w:val="en-GB"/>
        </w:rPr>
        <w:t xml:space="preserve"> </w:t>
      </w:r>
      <w:r w:rsidRPr="00B701D1">
        <w:rPr>
          <w:lang w:val="en-GB"/>
        </w:rPr>
        <w:t>96-dateno-refit</w:t>
      </w:r>
      <w:r>
        <w:rPr>
          <w:lang w:val="en-GB"/>
        </w:rPr>
        <w:t xml:space="preserve"> </w:t>
      </w:r>
      <w:r w:rsidRPr="00B701D1">
        <w:rPr>
          <w:lang w:val="en-GB"/>
        </w:rPr>
        <w:t>evaluation. Stratum</w:t>
      </w:r>
      <w:r>
        <w:rPr>
          <w:lang w:val="en-GB"/>
        </w:rPr>
        <w:t xml:space="preserve"> </w:t>
      </w:r>
      <w:r w:rsidRPr="00B701D1">
        <w:rPr>
          <w:lang w:val="en-GB"/>
        </w:rPr>
        <w:t>counts</w:t>
      </w:r>
      <w:r>
        <w:rPr>
          <w:lang w:val="en-GB"/>
        </w:rPr>
        <w:t xml:space="preserve"> </w:t>
      </w:r>
      <w:r w:rsidRPr="00B701D1">
        <w:rPr>
          <w:lang w:val="en-GB"/>
        </w:rPr>
        <w:t>sum</w:t>
      </w:r>
      <w:r>
        <w:rPr>
          <w:lang w:val="en-GB"/>
        </w:rPr>
        <w:t xml:space="preserve"> </w:t>
      </w:r>
      <w:r w:rsidRPr="00B701D1">
        <w:rPr>
          <w:lang w:val="en-GB"/>
        </w:rPr>
        <w:t>to</w:t>
      </w:r>
      <w:r>
        <w:rPr>
          <w:lang w:val="en-GB"/>
        </w:rPr>
        <w:t xml:space="preserve"> </w:t>
      </w:r>
      <w:r w:rsidRPr="00B701D1">
        <w:rPr>
          <w:lang w:val="en-GB"/>
        </w:rPr>
        <w:t>the</w:t>
      </w:r>
      <w:r>
        <w:rPr>
          <w:lang w:val="en-GB"/>
        </w:rPr>
        <w:t xml:space="preserve"> </w:t>
      </w:r>
      <w:r w:rsidRPr="00B701D1">
        <w:rPr>
          <w:lang w:val="en-GB"/>
        </w:rPr>
        <w:t>pooled</w:t>
      </w:r>
      <w:r>
        <w:rPr>
          <w:lang w:val="en-GB"/>
        </w:rPr>
        <w:t xml:space="preserve"> </w:t>
      </w:r>
      <w:r w:rsidRPr="00B701D1">
        <w:rPr>
          <w:lang w:val="en-GB"/>
        </w:rPr>
        <w:t>count</w:t>
      </w:r>
      <w:r>
        <w:rPr>
          <w:lang w:val="en-GB"/>
        </w:rPr>
        <w:t xml:space="preserve"> </w:t>
      </w:r>
      <w:r w:rsidRPr="00B701D1">
        <w:rPr>
          <w:lang w:val="en-GB"/>
        </w:rPr>
        <w:t>and</w:t>
      </w:r>
      <w:r>
        <w:rPr>
          <w:lang w:val="en-GB"/>
        </w:rPr>
        <w:t xml:space="preserve"> </w:t>
      </w:r>
      <w:r w:rsidRPr="00B701D1">
        <w:rPr>
          <w:lang w:val="en-GB"/>
        </w:rPr>
        <w:t>reproduce</w:t>
      </w:r>
      <w:r>
        <w:rPr>
          <w:lang w:val="en-GB"/>
        </w:rPr>
        <w:t xml:space="preserve"> </w:t>
      </w:r>
      <w:r w:rsidRPr="00B701D1">
        <w:rPr>
          <w:lang w:val="en-GB"/>
        </w:rPr>
        <w:t>the pooled</w:t>
      </w:r>
      <w:r>
        <w:rPr>
          <w:lang w:val="en-GB"/>
        </w:rPr>
        <w:t xml:space="preserve"> </w:t>
      </w:r>
      <w:r w:rsidRPr="00B701D1">
        <w:rPr>
          <w:lang w:val="en-GB"/>
        </w:rPr>
        <w:t>mean</w:t>
      </w:r>
      <w:r>
        <w:rPr>
          <w:lang w:val="en-GB"/>
        </w:rPr>
        <w:t xml:space="preserve"> </w:t>
      </w:r>
      <w:r w:rsidRPr="00B701D1">
        <w:rPr>
          <w:lang w:val="en-GB"/>
        </w:rPr>
        <w:t>squared</w:t>
      </w:r>
      <w:r>
        <w:rPr>
          <w:lang w:val="en-GB"/>
        </w:rPr>
        <w:t xml:space="preserve"> </w:t>
      </w:r>
      <w:r w:rsidRPr="00B701D1">
        <w:rPr>
          <w:lang w:val="en-GB"/>
        </w:rPr>
        <w:t>error</w:t>
      </w:r>
      <w:r>
        <w:rPr>
          <w:lang w:val="en-GB"/>
        </w:rPr>
        <w:t xml:space="preserve"> </w:t>
      </w:r>
      <w:r w:rsidRPr="00B701D1">
        <w:rPr>
          <w:lang w:val="en-GB"/>
        </w:rPr>
        <w:t>through</w:t>
      </w:r>
      <w:r>
        <w:rPr>
          <w:lang w:val="en-GB"/>
        </w:rPr>
        <w:t xml:space="preserve"> </w:t>
      </w:r>
      <w:hyperlink w:anchor="eq6" w:history="1">
        <w:proofErr w:type="gramStart"/>
        <w:r w:rsidRPr="0020508B">
          <w:rPr>
            <w:rStyle w:val="Hyperlink"/>
            <w:lang w:val="en-GB"/>
          </w:rPr>
          <w:t>Eq.(</w:t>
        </w:r>
        <w:proofErr w:type="gramEnd"/>
        <w:r w:rsidRPr="0020508B">
          <w:rPr>
            <w:rStyle w:val="Hyperlink"/>
            <w:lang w:val="en-GB"/>
          </w:rPr>
          <w:t>6)</w:t>
        </w:r>
      </w:hyperlink>
      <w:r w:rsidRPr="00B701D1">
        <w:rPr>
          <w:lang w:val="en-GB"/>
        </w:rPr>
        <w:t>.</w:t>
      </w:r>
      <w:bookmarkEnd w:id="5"/>
    </w:p>
    <w:tbl>
      <w:tblPr>
        <w:tblStyle w:val="TableGrid"/>
        <w:tblW w:w="0" w:type="auto"/>
        <w:jc w:val="center"/>
        <w:tblLook w:val="01E0" w:firstRow="1" w:lastRow="1" w:firstColumn="1" w:lastColumn="1" w:noHBand="0" w:noVBand="0"/>
      </w:tblPr>
      <w:tblGrid>
        <w:gridCol w:w="2968"/>
        <w:gridCol w:w="2969"/>
        <w:gridCol w:w="2969"/>
      </w:tblGrid>
      <w:tr w:rsidR="00B701D1" w:rsidRPr="005B3651" w14:paraId="0F175FEA" w14:textId="77777777" w:rsidTr="00F25E99">
        <w:trPr>
          <w:jc w:val="center"/>
        </w:trPr>
        <w:tc>
          <w:tcPr>
            <w:tcW w:w="2968" w:type="dxa"/>
          </w:tcPr>
          <w:p w14:paraId="3604243C" w14:textId="5F7BBFFC" w:rsidR="00B701D1" w:rsidRPr="005B3651" w:rsidRDefault="00B701D1" w:rsidP="00B701D1">
            <w:pPr>
              <w:pStyle w:val="SWCTableHeader"/>
            </w:pPr>
            <w:r w:rsidRPr="00B701D1">
              <w:t>Depth</w:t>
            </w:r>
            <w:r>
              <w:t xml:space="preserve"> </w:t>
            </w:r>
            <w:r w:rsidRPr="00B701D1">
              <w:t>stratum</w:t>
            </w:r>
          </w:p>
        </w:tc>
        <w:tc>
          <w:tcPr>
            <w:tcW w:w="2969" w:type="dxa"/>
          </w:tcPr>
          <w:p w14:paraId="57EEDFF2" w14:textId="3BB4DEEB" w:rsidR="00B701D1" w:rsidRPr="005B3651" w:rsidRDefault="00B701D1" w:rsidP="00F25E99">
            <w:pPr>
              <w:pStyle w:val="SWCTableHeader"/>
            </w:pPr>
            <w:r>
              <w:t>n</w:t>
            </w:r>
          </w:p>
        </w:tc>
        <w:tc>
          <w:tcPr>
            <w:tcW w:w="2969" w:type="dxa"/>
          </w:tcPr>
          <w:p w14:paraId="02123211" w14:textId="585B221D" w:rsidR="00B701D1" w:rsidRPr="005B3651" w:rsidRDefault="00B701D1" w:rsidP="00B701D1">
            <w:pPr>
              <w:pStyle w:val="SWCTableHeader"/>
            </w:pPr>
            <w:r w:rsidRPr="00B701D1">
              <w:t>RMSE</w:t>
            </w:r>
            <w:r>
              <w:t xml:space="preserve"> </w:t>
            </w:r>
            <w:r w:rsidRPr="00B701D1">
              <w:t>(</w:t>
            </w:r>
            <w:r>
              <w:t>°</w:t>
            </w:r>
            <w:r w:rsidRPr="00B701D1">
              <w:t>C)</w:t>
            </w:r>
          </w:p>
        </w:tc>
      </w:tr>
      <w:tr w:rsidR="00B701D1" w:rsidRPr="00F25E99" w14:paraId="6F175F80" w14:textId="77777777" w:rsidTr="00F25E99">
        <w:trPr>
          <w:jc w:val="center"/>
        </w:trPr>
        <w:tc>
          <w:tcPr>
            <w:tcW w:w="2968" w:type="dxa"/>
          </w:tcPr>
          <w:p w14:paraId="0EC74E28" w14:textId="75A4E273" w:rsidR="00B701D1" w:rsidRPr="00F25E99" w:rsidRDefault="00CD24B2" w:rsidP="00CD24B2">
            <w:pPr>
              <w:pStyle w:val="SWCTableHeader"/>
              <w:rPr>
                <w:b w:val="0"/>
                <w:bCs w:val="0"/>
              </w:rPr>
            </w:pPr>
            <w:r w:rsidRPr="00CD24B2">
              <w:rPr>
                <w:b w:val="0"/>
                <w:bCs w:val="0"/>
              </w:rPr>
              <w:t>0–20</w:t>
            </w:r>
            <w:r>
              <w:rPr>
                <w:b w:val="0"/>
                <w:bCs w:val="0"/>
              </w:rPr>
              <w:t xml:space="preserve"> </w:t>
            </w:r>
            <w:r w:rsidRPr="00CD24B2">
              <w:rPr>
                <w:b w:val="0"/>
                <w:bCs w:val="0"/>
              </w:rPr>
              <w:t>m</w:t>
            </w:r>
          </w:p>
        </w:tc>
        <w:tc>
          <w:tcPr>
            <w:tcW w:w="2969" w:type="dxa"/>
          </w:tcPr>
          <w:p w14:paraId="0F0E1D37" w14:textId="05D3BFF1" w:rsidR="00B701D1" w:rsidRPr="00F25E99" w:rsidRDefault="00CD24B2" w:rsidP="00CD24B2">
            <w:pPr>
              <w:pStyle w:val="SWCTableHeader"/>
              <w:rPr>
                <w:b w:val="0"/>
                <w:bCs w:val="0"/>
              </w:rPr>
            </w:pPr>
            <w:r w:rsidRPr="00CD24B2">
              <w:rPr>
                <w:b w:val="0"/>
                <w:bCs w:val="0"/>
              </w:rPr>
              <w:t>1640</w:t>
            </w:r>
          </w:p>
        </w:tc>
        <w:tc>
          <w:tcPr>
            <w:tcW w:w="2969" w:type="dxa"/>
          </w:tcPr>
          <w:p w14:paraId="2B8381CD" w14:textId="6D18583D" w:rsidR="00B701D1" w:rsidRPr="00F25E99" w:rsidRDefault="00CD24B2" w:rsidP="00CD24B2">
            <w:pPr>
              <w:pStyle w:val="SWCTableHeader"/>
              <w:rPr>
                <w:b w:val="0"/>
                <w:bCs w:val="0"/>
              </w:rPr>
            </w:pPr>
            <w:r w:rsidRPr="00CD24B2">
              <w:rPr>
                <w:b w:val="0"/>
                <w:bCs w:val="0"/>
              </w:rPr>
              <w:t>1.481</w:t>
            </w:r>
          </w:p>
        </w:tc>
      </w:tr>
      <w:tr w:rsidR="00CD24B2" w:rsidRPr="00F25E99" w14:paraId="4393BC0C" w14:textId="77777777" w:rsidTr="00F25E99">
        <w:trPr>
          <w:jc w:val="center"/>
        </w:trPr>
        <w:tc>
          <w:tcPr>
            <w:tcW w:w="2968" w:type="dxa"/>
          </w:tcPr>
          <w:p w14:paraId="4584354E" w14:textId="4ECC8C19" w:rsidR="00CD24B2" w:rsidRPr="00CD24B2" w:rsidRDefault="00CD24B2" w:rsidP="00CD24B2">
            <w:pPr>
              <w:pStyle w:val="SWCTableHeader"/>
              <w:rPr>
                <w:b w:val="0"/>
                <w:bCs w:val="0"/>
              </w:rPr>
            </w:pPr>
            <w:r w:rsidRPr="00CD24B2">
              <w:rPr>
                <w:b w:val="0"/>
                <w:bCs w:val="0"/>
              </w:rPr>
              <w:t>20–40</w:t>
            </w:r>
            <w:r>
              <w:rPr>
                <w:b w:val="0"/>
                <w:bCs w:val="0"/>
              </w:rPr>
              <w:t xml:space="preserve"> </w:t>
            </w:r>
            <w:r w:rsidRPr="00CD24B2">
              <w:rPr>
                <w:b w:val="0"/>
                <w:bCs w:val="0"/>
              </w:rPr>
              <w:t>m</w:t>
            </w:r>
          </w:p>
        </w:tc>
        <w:tc>
          <w:tcPr>
            <w:tcW w:w="2969" w:type="dxa"/>
          </w:tcPr>
          <w:p w14:paraId="7BFDD0DE" w14:textId="6520AF04" w:rsidR="00CD24B2" w:rsidRPr="0017109A" w:rsidRDefault="00CD24B2" w:rsidP="00CD24B2">
            <w:pPr>
              <w:pStyle w:val="SWCTableHeader"/>
              <w:rPr>
                <w:b w:val="0"/>
                <w:bCs w:val="0"/>
              </w:rPr>
            </w:pPr>
            <w:r w:rsidRPr="00CD24B2">
              <w:rPr>
                <w:b w:val="0"/>
                <w:bCs w:val="0"/>
              </w:rPr>
              <w:t>1632</w:t>
            </w:r>
          </w:p>
        </w:tc>
        <w:tc>
          <w:tcPr>
            <w:tcW w:w="2969" w:type="dxa"/>
          </w:tcPr>
          <w:p w14:paraId="5342C531" w14:textId="5DCC3C3F" w:rsidR="00CD24B2" w:rsidRPr="0017109A" w:rsidRDefault="00CD24B2" w:rsidP="00CD24B2">
            <w:pPr>
              <w:pStyle w:val="SWCTableHeader"/>
              <w:rPr>
                <w:b w:val="0"/>
                <w:bCs w:val="0"/>
              </w:rPr>
            </w:pPr>
            <w:r w:rsidRPr="00CD24B2">
              <w:rPr>
                <w:b w:val="0"/>
                <w:bCs w:val="0"/>
              </w:rPr>
              <w:t>0.452</w:t>
            </w:r>
          </w:p>
        </w:tc>
      </w:tr>
      <w:tr w:rsidR="00CD24B2" w:rsidRPr="00F25E99" w14:paraId="521550AE" w14:textId="77777777" w:rsidTr="00F25E99">
        <w:trPr>
          <w:jc w:val="center"/>
        </w:trPr>
        <w:tc>
          <w:tcPr>
            <w:tcW w:w="2968" w:type="dxa"/>
          </w:tcPr>
          <w:p w14:paraId="5030DCF7" w14:textId="2FC77BB6" w:rsidR="00CD24B2" w:rsidRPr="00CD24B2" w:rsidRDefault="00CD24B2" w:rsidP="00CD24B2">
            <w:pPr>
              <w:pStyle w:val="SWCTableHeader"/>
              <w:rPr>
                <w:b w:val="0"/>
                <w:bCs w:val="0"/>
              </w:rPr>
            </w:pPr>
            <w:r w:rsidRPr="00CD24B2">
              <w:rPr>
                <w:b w:val="0"/>
                <w:bCs w:val="0"/>
              </w:rPr>
              <w:t>40–100</w:t>
            </w:r>
            <w:r>
              <w:rPr>
                <w:b w:val="0"/>
                <w:bCs w:val="0"/>
              </w:rPr>
              <w:t xml:space="preserve"> </w:t>
            </w:r>
            <w:r w:rsidRPr="00CD24B2">
              <w:rPr>
                <w:b w:val="0"/>
                <w:bCs w:val="0"/>
              </w:rPr>
              <w:t>m</w:t>
            </w:r>
          </w:p>
        </w:tc>
        <w:tc>
          <w:tcPr>
            <w:tcW w:w="2969" w:type="dxa"/>
          </w:tcPr>
          <w:p w14:paraId="7D99E25E" w14:textId="6C995547" w:rsidR="00CD24B2" w:rsidRPr="0017109A" w:rsidRDefault="00CD24B2" w:rsidP="00CD24B2">
            <w:pPr>
              <w:pStyle w:val="SWCTableHeader"/>
              <w:rPr>
                <w:b w:val="0"/>
                <w:bCs w:val="0"/>
              </w:rPr>
            </w:pPr>
            <w:r w:rsidRPr="00CD24B2">
              <w:rPr>
                <w:b w:val="0"/>
                <w:bCs w:val="0"/>
              </w:rPr>
              <w:t>4517</w:t>
            </w:r>
          </w:p>
        </w:tc>
        <w:tc>
          <w:tcPr>
            <w:tcW w:w="2969" w:type="dxa"/>
          </w:tcPr>
          <w:p w14:paraId="138E385F" w14:textId="375100CF" w:rsidR="00CD24B2" w:rsidRPr="0017109A" w:rsidRDefault="00CD24B2" w:rsidP="00CD24B2">
            <w:pPr>
              <w:pStyle w:val="SWCTableHeader"/>
              <w:rPr>
                <w:b w:val="0"/>
                <w:bCs w:val="0"/>
              </w:rPr>
            </w:pPr>
            <w:r w:rsidRPr="00CD24B2">
              <w:rPr>
                <w:b w:val="0"/>
                <w:bCs w:val="0"/>
              </w:rPr>
              <w:t>0.245</w:t>
            </w:r>
          </w:p>
        </w:tc>
      </w:tr>
      <w:tr w:rsidR="00CD24B2" w:rsidRPr="00F25E99" w14:paraId="78D4D473" w14:textId="77777777" w:rsidTr="00F25E99">
        <w:trPr>
          <w:jc w:val="center"/>
        </w:trPr>
        <w:tc>
          <w:tcPr>
            <w:tcW w:w="2968" w:type="dxa"/>
          </w:tcPr>
          <w:p w14:paraId="7D3DFA95" w14:textId="2CB2A308" w:rsidR="00CD24B2" w:rsidRPr="00CD24B2" w:rsidRDefault="00CD24B2" w:rsidP="00CD24B2">
            <w:pPr>
              <w:pStyle w:val="SWCTableHeader"/>
              <w:rPr>
                <w:b w:val="0"/>
                <w:bCs w:val="0"/>
              </w:rPr>
            </w:pPr>
            <w:r w:rsidRPr="00CD24B2">
              <w:rPr>
                <w:b w:val="0"/>
                <w:bCs w:val="0"/>
              </w:rPr>
              <w:t>≥100</w:t>
            </w:r>
            <w:r>
              <w:rPr>
                <w:b w:val="0"/>
                <w:bCs w:val="0"/>
              </w:rPr>
              <w:t xml:space="preserve"> </w:t>
            </w:r>
            <w:r w:rsidRPr="00CD24B2">
              <w:rPr>
                <w:b w:val="0"/>
                <w:bCs w:val="0"/>
              </w:rPr>
              <w:t>m</w:t>
            </w:r>
          </w:p>
        </w:tc>
        <w:tc>
          <w:tcPr>
            <w:tcW w:w="2969" w:type="dxa"/>
          </w:tcPr>
          <w:p w14:paraId="4DC324FB" w14:textId="04695CCB" w:rsidR="00CD24B2" w:rsidRPr="0017109A" w:rsidRDefault="00CD24B2" w:rsidP="00CD24B2">
            <w:pPr>
              <w:pStyle w:val="SWCTableHeader"/>
              <w:rPr>
                <w:b w:val="0"/>
                <w:bCs w:val="0"/>
              </w:rPr>
            </w:pPr>
            <w:r w:rsidRPr="00CD24B2">
              <w:rPr>
                <w:b w:val="0"/>
                <w:bCs w:val="0"/>
              </w:rPr>
              <w:t>2771</w:t>
            </w:r>
          </w:p>
        </w:tc>
        <w:tc>
          <w:tcPr>
            <w:tcW w:w="2969" w:type="dxa"/>
          </w:tcPr>
          <w:p w14:paraId="526E9EF4" w14:textId="212D3872" w:rsidR="00CD24B2" w:rsidRPr="0017109A" w:rsidRDefault="00CD24B2" w:rsidP="00CD24B2">
            <w:pPr>
              <w:pStyle w:val="SWCTableHeader"/>
              <w:rPr>
                <w:b w:val="0"/>
                <w:bCs w:val="0"/>
              </w:rPr>
            </w:pPr>
            <w:r w:rsidRPr="00CD24B2">
              <w:rPr>
                <w:b w:val="0"/>
                <w:bCs w:val="0"/>
              </w:rPr>
              <w:t>0.143</w:t>
            </w:r>
          </w:p>
        </w:tc>
      </w:tr>
      <w:tr w:rsidR="00CD24B2" w:rsidRPr="00F25E99" w14:paraId="16FE297C" w14:textId="77777777" w:rsidTr="00F25E99">
        <w:trPr>
          <w:jc w:val="center"/>
        </w:trPr>
        <w:tc>
          <w:tcPr>
            <w:tcW w:w="2968" w:type="dxa"/>
          </w:tcPr>
          <w:p w14:paraId="2898F815" w14:textId="7884CF97" w:rsidR="00CD24B2" w:rsidRPr="00CD24B2" w:rsidRDefault="00CD24B2" w:rsidP="00CD24B2">
            <w:pPr>
              <w:pStyle w:val="SWCTableHeader"/>
              <w:rPr>
                <w:b w:val="0"/>
                <w:bCs w:val="0"/>
              </w:rPr>
            </w:pPr>
            <w:r w:rsidRPr="00CD24B2">
              <w:rPr>
                <w:b w:val="0"/>
                <w:bCs w:val="0"/>
              </w:rPr>
              <w:t>Pooled</w:t>
            </w:r>
          </w:p>
        </w:tc>
        <w:tc>
          <w:tcPr>
            <w:tcW w:w="2969" w:type="dxa"/>
          </w:tcPr>
          <w:p w14:paraId="0F71F441" w14:textId="4306C913" w:rsidR="00CD24B2" w:rsidRPr="0017109A" w:rsidRDefault="00CD24B2" w:rsidP="00CD24B2">
            <w:pPr>
              <w:pStyle w:val="SWCTableHeader"/>
              <w:rPr>
                <w:b w:val="0"/>
                <w:bCs w:val="0"/>
              </w:rPr>
            </w:pPr>
            <w:r w:rsidRPr="00CD24B2">
              <w:rPr>
                <w:b w:val="0"/>
                <w:bCs w:val="0"/>
              </w:rPr>
              <w:t>10560</w:t>
            </w:r>
          </w:p>
        </w:tc>
        <w:tc>
          <w:tcPr>
            <w:tcW w:w="2969" w:type="dxa"/>
          </w:tcPr>
          <w:p w14:paraId="21B4250D" w14:textId="710C25C6" w:rsidR="00CD24B2" w:rsidRPr="0017109A" w:rsidRDefault="00CD24B2" w:rsidP="00CD24B2">
            <w:pPr>
              <w:pStyle w:val="SWCTableHeader"/>
              <w:rPr>
                <w:b w:val="0"/>
                <w:bCs w:val="0"/>
              </w:rPr>
            </w:pPr>
            <w:r w:rsidRPr="00CD24B2">
              <w:rPr>
                <w:b w:val="0"/>
                <w:bCs w:val="0"/>
              </w:rPr>
              <w:t>0.635</w:t>
            </w:r>
          </w:p>
        </w:tc>
      </w:tr>
      <w:tr w:rsidR="00CD24B2" w:rsidRPr="00F25E99" w14:paraId="1A0763E3" w14:textId="77777777" w:rsidTr="00F25E99">
        <w:trPr>
          <w:jc w:val="center"/>
        </w:trPr>
        <w:tc>
          <w:tcPr>
            <w:tcW w:w="2968" w:type="dxa"/>
          </w:tcPr>
          <w:p w14:paraId="13E53D62" w14:textId="5ADD8F99" w:rsidR="00CD24B2" w:rsidRPr="00CD24B2" w:rsidRDefault="00CD24B2" w:rsidP="00CD24B2">
            <w:pPr>
              <w:pStyle w:val="SWCTableHeader"/>
              <w:rPr>
                <w:b w:val="0"/>
                <w:bCs w:val="0"/>
              </w:rPr>
            </w:pPr>
            <w:r w:rsidRPr="00CD24B2">
              <w:rPr>
                <w:b w:val="0"/>
                <w:bCs w:val="0"/>
              </w:rPr>
              <w:t>Of</w:t>
            </w:r>
            <w:r>
              <w:rPr>
                <w:b w:val="0"/>
                <w:bCs w:val="0"/>
              </w:rPr>
              <w:t xml:space="preserve"> </w:t>
            </w:r>
            <w:r w:rsidRPr="00CD24B2">
              <w:rPr>
                <w:b w:val="0"/>
                <w:bCs w:val="0"/>
              </w:rPr>
              <w:t>which</w:t>
            </w:r>
            <w:r>
              <w:rPr>
                <w:b w:val="0"/>
                <w:bCs w:val="0"/>
              </w:rPr>
              <w:t xml:space="preserve"> </w:t>
            </w:r>
            <w:r w:rsidRPr="00CD24B2">
              <w:rPr>
                <w:b w:val="0"/>
                <w:bCs w:val="0"/>
              </w:rPr>
              <w:t>0–5</w:t>
            </w:r>
            <w:r>
              <w:rPr>
                <w:b w:val="0"/>
                <w:bCs w:val="0"/>
              </w:rPr>
              <w:t xml:space="preserve"> </w:t>
            </w:r>
            <w:r w:rsidRPr="00CD24B2">
              <w:rPr>
                <w:b w:val="0"/>
                <w:bCs w:val="0"/>
              </w:rPr>
              <w:t>m</w:t>
            </w:r>
          </w:p>
        </w:tc>
        <w:tc>
          <w:tcPr>
            <w:tcW w:w="2969" w:type="dxa"/>
          </w:tcPr>
          <w:p w14:paraId="5C708196" w14:textId="39939479" w:rsidR="00CD24B2" w:rsidRPr="0017109A" w:rsidRDefault="00CD24B2" w:rsidP="00CD24B2">
            <w:pPr>
              <w:pStyle w:val="SWCTableHeader"/>
              <w:rPr>
                <w:b w:val="0"/>
                <w:bCs w:val="0"/>
              </w:rPr>
            </w:pPr>
            <w:r w:rsidRPr="00CD24B2">
              <w:rPr>
                <w:b w:val="0"/>
                <w:bCs w:val="0"/>
              </w:rPr>
              <w:t>437</w:t>
            </w:r>
          </w:p>
        </w:tc>
        <w:tc>
          <w:tcPr>
            <w:tcW w:w="2969" w:type="dxa"/>
          </w:tcPr>
          <w:p w14:paraId="63283F0B" w14:textId="56DCEFE3" w:rsidR="00CD24B2" w:rsidRPr="0017109A" w:rsidRDefault="00CD24B2" w:rsidP="00CD24B2">
            <w:pPr>
              <w:pStyle w:val="SWCTableHeader"/>
              <w:rPr>
                <w:b w:val="0"/>
                <w:bCs w:val="0"/>
              </w:rPr>
            </w:pPr>
            <w:r w:rsidRPr="00CD24B2">
              <w:rPr>
                <w:b w:val="0"/>
                <w:bCs w:val="0"/>
              </w:rPr>
              <w:t>1.699</w:t>
            </w:r>
          </w:p>
        </w:tc>
      </w:tr>
    </w:tbl>
    <w:p w14:paraId="7C8C0290" w14:textId="1A6EDAC4" w:rsidR="001F1509" w:rsidRPr="00F25E99" w:rsidRDefault="001F1509" w:rsidP="001F1509">
      <w:pPr>
        <w:pStyle w:val="SWCTableFigureCaption"/>
        <w:rPr>
          <w:lang w:val="en-GB"/>
        </w:rPr>
      </w:pPr>
      <w:bookmarkStart w:id="6" w:name="Tab7"/>
      <w:r w:rsidRPr="00F25E99">
        <w:rPr>
          <w:lang w:val="en-GB"/>
        </w:rPr>
        <w:t xml:space="preserve">Tab. </w:t>
      </w:r>
      <w:r>
        <w:rPr>
          <w:lang w:val="en-GB"/>
        </w:rPr>
        <w:t>7</w:t>
      </w:r>
      <w:r w:rsidRPr="00F25E99">
        <w:rPr>
          <w:lang w:val="en-GB"/>
        </w:rPr>
        <w:t xml:space="preserve">: </w:t>
      </w:r>
      <w:r w:rsidRPr="001F1509">
        <w:rPr>
          <w:lang w:val="en-GB"/>
        </w:rPr>
        <w:t>Central</w:t>
      </w:r>
      <w:r>
        <w:rPr>
          <w:lang w:val="en-GB"/>
        </w:rPr>
        <w:t xml:space="preserve"> </w:t>
      </w:r>
      <w:r w:rsidRPr="001F1509">
        <w:rPr>
          <w:lang w:val="en-GB"/>
        </w:rPr>
        <w:t>modelled</w:t>
      </w:r>
      <w:r>
        <w:rPr>
          <w:lang w:val="en-GB"/>
        </w:rPr>
        <w:t xml:space="preserve"> </w:t>
      </w:r>
      <w:r w:rsidRPr="001F1509">
        <w:rPr>
          <w:lang w:val="en-GB"/>
        </w:rPr>
        <w:t>response</w:t>
      </w:r>
      <w:r>
        <w:rPr>
          <w:lang w:val="en-GB"/>
        </w:rPr>
        <w:t xml:space="preserve"> </w:t>
      </w:r>
      <w:r w:rsidRPr="001F1509">
        <w:rPr>
          <w:lang w:val="en-GB"/>
        </w:rPr>
        <w:t>to</w:t>
      </w:r>
      <w:r>
        <w:rPr>
          <w:lang w:val="en-GB"/>
        </w:rPr>
        <w:t xml:space="preserve"> </w:t>
      </w:r>
      <w:r w:rsidRPr="001F1509">
        <w:rPr>
          <w:lang w:val="en-GB"/>
        </w:rPr>
        <w:t>FPV</w:t>
      </w:r>
      <w:r>
        <w:rPr>
          <w:lang w:val="en-GB"/>
        </w:rPr>
        <w:t xml:space="preserve"> </w:t>
      </w:r>
      <w:r w:rsidRPr="001F1509">
        <w:rPr>
          <w:lang w:val="en-GB"/>
        </w:rPr>
        <w:t>coverage,</w:t>
      </w:r>
      <w:r>
        <w:rPr>
          <w:lang w:val="en-GB"/>
        </w:rPr>
        <w:t xml:space="preserve"> </w:t>
      </w:r>
      <w:r w:rsidRPr="001F1509">
        <w:rPr>
          <w:lang w:val="en-GB"/>
        </w:rPr>
        <w:t>expressed</w:t>
      </w:r>
      <w:r>
        <w:rPr>
          <w:lang w:val="en-GB"/>
        </w:rPr>
        <w:t xml:space="preserve"> </w:t>
      </w:r>
      <w:r w:rsidRPr="001F1509">
        <w:rPr>
          <w:lang w:val="en-GB"/>
        </w:rPr>
        <w:t>as</w:t>
      </w:r>
      <w:r>
        <w:rPr>
          <w:lang w:val="en-GB"/>
        </w:rPr>
        <w:t xml:space="preserve"> </w:t>
      </w:r>
      <w:r w:rsidRPr="001F1509">
        <w:rPr>
          <w:lang w:val="en-GB"/>
        </w:rPr>
        <w:t>differences</w:t>
      </w:r>
      <w:r>
        <w:rPr>
          <w:lang w:val="en-GB"/>
        </w:rPr>
        <w:t xml:space="preserve"> </w:t>
      </w:r>
      <w:r w:rsidRPr="001F1509">
        <w:rPr>
          <w:lang w:val="en-GB"/>
        </w:rPr>
        <w:t>against</w:t>
      </w:r>
      <w:r>
        <w:rPr>
          <w:lang w:val="en-GB"/>
        </w:rPr>
        <w:t xml:space="preserve"> </w:t>
      </w:r>
      <w:r w:rsidRPr="001F1509">
        <w:rPr>
          <w:lang w:val="en-GB"/>
        </w:rPr>
        <w:t>the</w:t>
      </w:r>
      <w:r>
        <w:rPr>
          <w:lang w:val="en-GB"/>
        </w:rPr>
        <w:t xml:space="preserve"> </w:t>
      </w:r>
      <w:r w:rsidRPr="001F1509">
        <w:rPr>
          <w:lang w:val="en-GB"/>
        </w:rPr>
        <w:t>corresponding</w:t>
      </w:r>
      <w:r>
        <w:rPr>
          <w:lang w:val="en-GB"/>
        </w:rPr>
        <w:t xml:space="preserve"> </w:t>
      </w:r>
      <w:r w:rsidRPr="001F1509">
        <w:rPr>
          <w:lang w:val="en-GB"/>
        </w:rPr>
        <w:t>open-water</w:t>
      </w:r>
      <w:r>
        <w:rPr>
          <w:lang w:val="en-GB"/>
        </w:rPr>
        <w:t xml:space="preserve"> </w:t>
      </w:r>
      <w:r w:rsidRPr="001F1509">
        <w:rPr>
          <w:lang w:val="en-GB"/>
        </w:rPr>
        <w:t>run</w:t>
      </w:r>
      <w:r>
        <w:rPr>
          <w:lang w:val="en-GB"/>
        </w:rPr>
        <w:t xml:space="preserve"> </w:t>
      </w:r>
      <w:r w:rsidRPr="001F1509">
        <w:rPr>
          <w:lang w:val="en-GB"/>
        </w:rPr>
        <w:t>through</w:t>
      </w:r>
      <w:r>
        <w:rPr>
          <w:lang w:val="en-GB"/>
        </w:rPr>
        <w:t xml:space="preserve"> </w:t>
      </w:r>
      <w:hyperlink w:anchor="eq7" w:history="1">
        <w:r w:rsidRPr="0020508B">
          <w:rPr>
            <w:rStyle w:val="Hyperlink"/>
            <w:lang w:val="en-GB"/>
          </w:rPr>
          <w:t>Eq. (7)</w:t>
        </w:r>
      </w:hyperlink>
      <w:r w:rsidRPr="001F1509">
        <w:rPr>
          <w:lang w:val="en-GB"/>
        </w:rPr>
        <w:t>. The</w:t>
      </w:r>
      <w:r>
        <w:rPr>
          <w:lang w:val="en-GB"/>
        </w:rPr>
        <w:t xml:space="preserve"> </w:t>
      </w:r>
      <w:r w:rsidRPr="001F1509">
        <w:rPr>
          <w:lang w:val="en-GB"/>
        </w:rPr>
        <w:t>evaporation</w:t>
      </w:r>
      <w:r>
        <w:rPr>
          <w:lang w:val="en-GB"/>
        </w:rPr>
        <w:t xml:space="preserve"> </w:t>
      </w:r>
      <w:r w:rsidRPr="001F1509">
        <w:rPr>
          <w:lang w:val="en-GB"/>
        </w:rPr>
        <w:t>column</w:t>
      </w:r>
      <w:r>
        <w:rPr>
          <w:lang w:val="en-GB"/>
        </w:rPr>
        <w:t xml:space="preserve"> </w:t>
      </w:r>
      <w:r w:rsidRPr="001F1509">
        <w:rPr>
          <w:lang w:val="en-GB"/>
        </w:rPr>
        <w:t>is</w:t>
      </w:r>
      <w:r>
        <w:rPr>
          <w:lang w:val="en-GB"/>
        </w:rPr>
        <w:t xml:space="preserve"> </w:t>
      </w:r>
      <w:r w:rsidRPr="001F1509">
        <w:rPr>
          <w:lang w:val="en-GB"/>
        </w:rPr>
        <w:t>a</w:t>
      </w:r>
      <w:r>
        <w:rPr>
          <w:lang w:val="en-GB"/>
        </w:rPr>
        <w:t xml:space="preserve"> </w:t>
      </w:r>
      <w:r w:rsidRPr="001F1509">
        <w:rPr>
          <w:lang w:val="en-GB"/>
        </w:rPr>
        <w:t>signed</w:t>
      </w:r>
      <w:r>
        <w:rPr>
          <w:lang w:val="en-GB"/>
        </w:rPr>
        <w:t xml:space="preserve"> </w:t>
      </w:r>
      <w:r w:rsidRPr="001F1509">
        <w:rPr>
          <w:lang w:val="en-GB"/>
        </w:rPr>
        <w:t>model</w:t>
      </w:r>
      <w:r>
        <w:rPr>
          <w:lang w:val="en-GB"/>
        </w:rPr>
        <w:t xml:space="preserve"> </w:t>
      </w:r>
      <w:r w:rsidRPr="001F1509">
        <w:rPr>
          <w:lang w:val="en-GB"/>
        </w:rPr>
        <w:t>diagnostic</w:t>
      </w:r>
      <w:r>
        <w:rPr>
          <w:lang w:val="en-GB"/>
        </w:rPr>
        <w:t>.</w:t>
      </w:r>
      <w:bookmarkEnd w:id="6"/>
    </w:p>
    <w:tbl>
      <w:tblPr>
        <w:tblStyle w:val="TableGrid"/>
        <w:tblW w:w="0" w:type="auto"/>
        <w:jc w:val="center"/>
        <w:tblLook w:val="01E0" w:firstRow="1" w:lastRow="1" w:firstColumn="1" w:lastColumn="1" w:noHBand="0" w:noVBand="0"/>
      </w:tblPr>
      <w:tblGrid>
        <w:gridCol w:w="1555"/>
        <w:gridCol w:w="1701"/>
        <w:gridCol w:w="1701"/>
        <w:gridCol w:w="1701"/>
        <w:gridCol w:w="2406"/>
      </w:tblGrid>
      <w:tr w:rsidR="001F1509" w:rsidRPr="005B3651" w14:paraId="20454B05" w14:textId="77777777" w:rsidTr="008A7B8B">
        <w:trPr>
          <w:jc w:val="center"/>
        </w:trPr>
        <w:tc>
          <w:tcPr>
            <w:tcW w:w="1555" w:type="dxa"/>
          </w:tcPr>
          <w:p w14:paraId="224B3F4E" w14:textId="40350E73" w:rsidR="001F1509" w:rsidRPr="005B3651" w:rsidRDefault="001F1509" w:rsidP="001F1509">
            <w:pPr>
              <w:pStyle w:val="SWCTableHeader"/>
            </w:pPr>
            <w:r w:rsidRPr="001F1509">
              <w:t>Coverage</w:t>
            </w:r>
            <w:r>
              <w:t xml:space="preserve"> </w:t>
            </w:r>
            <w:r w:rsidRPr="001F1509">
              <w:t>(%)</w:t>
            </w:r>
          </w:p>
        </w:tc>
        <w:tc>
          <w:tcPr>
            <w:tcW w:w="1701" w:type="dxa"/>
          </w:tcPr>
          <w:p w14:paraId="1E02C54E" w14:textId="77CB1DC3" w:rsidR="001F1509" w:rsidRDefault="001F1509" w:rsidP="001F1509">
            <w:pPr>
              <w:pStyle w:val="SWCTableHeader"/>
            </w:pPr>
            <w:r w:rsidRPr="001F1509">
              <w:t>Surface</w:t>
            </w:r>
            <w:r>
              <w:t xml:space="preserve"> </w:t>
            </w:r>
            <w:r w:rsidRPr="001F1509">
              <w:t>∆T</w:t>
            </w:r>
            <w:r>
              <w:t xml:space="preserve"> </w:t>
            </w:r>
            <w:r w:rsidRPr="001F1509">
              <w:t>(</w:t>
            </w:r>
            <w:r>
              <w:t>°</w:t>
            </w:r>
            <w:r w:rsidRPr="001F1509">
              <w:t>C)</w:t>
            </w:r>
          </w:p>
        </w:tc>
        <w:tc>
          <w:tcPr>
            <w:tcW w:w="1701" w:type="dxa"/>
          </w:tcPr>
          <w:p w14:paraId="7C9DEDB2" w14:textId="2CD9449C" w:rsidR="001F1509" w:rsidRDefault="001F1509" w:rsidP="001F1509">
            <w:pPr>
              <w:pStyle w:val="SWCTableHeader"/>
            </w:pPr>
            <w:r w:rsidRPr="001F1509">
              <w:t>Volume</w:t>
            </w:r>
            <w:r>
              <w:t xml:space="preserve"> </w:t>
            </w:r>
            <w:r w:rsidRPr="001F1509">
              <w:t>∆T</w:t>
            </w:r>
            <w:r>
              <w:t xml:space="preserve"> </w:t>
            </w:r>
            <w:r w:rsidRPr="001F1509">
              <w:t>(</w:t>
            </w:r>
            <w:r>
              <w:t>°</w:t>
            </w:r>
            <w:r w:rsidRPr="001F1509">
              <w:t>C)</w:t>
            </w:r>
          </w:p>
        </w:tc>
        <w:tc>
          <w:tcPr>
            <w:tcW w:w="1701" w:type="dxa"/>
          </w:tcPr>
          <w:p w14:paraId="3BC869E1" w14:textId="706E53C8" w:rsidR="001F1509" w:rsidRPr="005B3651" w:rsidRDefault="001F1509" w:rsidP="001F1509">
            <w:pPr>
              <w:pStyle w:val="SWCTableHeader"/>
            </w:pPr>
            <w:r w:rsidRPr="001F1509">
              <w:t>Stratified</w:t>
            </w:r>
            <w:r>
              <w:t xml:space="preserve"> </w:t>
            </w:r>
            <w:r w:rsidRPr="001F1509">
              <w:t>∆</w:t>
            </w:r>
            <w:r>
              <w:t xml:space="preserve"> </w:t>
            </w:r>
            <w:r w:rsidRPr="001F1509">
              <w:t>(d)</w:t>
            </w:r>
          </w:p>
        </w:tc>
        <w:tc>
          <w:tcPr>
            <w:tcW w:w="2406" w:type="dxa"/>
          </w:tcPr>
          <w:p w14:paraId="1292AEB7" w14:textId="2C96CC08" w:rsidR="001F1509" w:rsidRPr="005B3651" w:rsidRDefault="001F1509" w:rsidP="001F1509">
            <w:pPr>
              <w:pStyle w:val="SWCTableHeader"/>
            </w:pPr>
            <w:r w:rsidRPr="001F1509">
              <w:t>Evaporation</w:t>
            </w:r>
            <w:r>
              <w:t xml:space="preserve"> </w:t>
            </w:r>
            <w:r w:rsidRPr="001F1509">
              <w:t>∆</w:t>
            </w:r>
            <w:r>
              <w:t xml:space="preserve"> </w:t>
            </w:r>
            <w:r w:rsidRPr="001F1509">
              <w:t>(10</w:t>
            </w:r>
            <w:r w:rsidRPr="008A7B8B">
              <w:rPr>
                <w:vertAlign w:val="superscript"/>
              </w:rPr>
              <w:t>6</w:t>
            </w:r>
            <w:r>
              <w:rPr>
                <w:vertAlign w:val="superscript"/>
              </w:rPr>
              <w:t xml:space="preserve"> </w:t>
            </w:r>
            <w:r w:rsidRPr="001F1509">
              <w:t>m</w:t>
            </w:r>
            <w:r w:rsidRPr="008A7B8B">
              <w:rPr>
                <w:vertAlign w:val="superscript"/>
              </w:rPr>
              <w:t>3</w:t>
            </w:r>
            <w:r w:rsidRPr="001F1509">
              <w:t>)</w:t>
            </w:r>
          </w:p>
        </w:tc>
      </w:tr>
      <w:tr w:rsidR="001F1509" w:rsidRPr="00F25E99" w14:paraId="47EA3AD8" w14:textId="77777777" w:rsidTr="008A7B8B">
        <w:trPr>
          <w:jc w:val="center"/>
        </w:trPr>
        <w:tc>
          <w:tcPr>
            <w:tcW w:w="1555" w:type="dxa"/>
          </w:tcPr>
          <w:p w14:paraId="1D5BBC8F" w14:textId="7A924B8B" w:rsidR="001F1509" w:rsidRPr="00F25E99" w:rsidRDefault="001F1509" w:rsidP="00F25E99">
            <w:pPr>
              <w:pStyle w:val="SWCTableHeader"/>
              <w:rPr>
                <w:b w:val="0"/>
                <w:bCs w:val="0"/>
              </w:rPr>
            </w:pPr>
            <w:r>
              <w:rPr>
                <w:b w:val="0"/>
                <w:bCs w:val="0"/>
              </w:rPr>
              <w:t>1</w:t>
            </w:r>
          </w:p>
        </w:tc>
        <w:tc>
          <w:tcPr>
            <w:tcW w:w="1701" w:type="dxa"/>
          </w:tcPr>
          <w:p w14:paraId="29A7F21B" w14:textId="1B0CCDAB" w:rsidR="001F1509" w:rsidRPr="00CD24B2" w:rsidRDefault="001F1509" w:rsidP="001F1509">
            <w:pPr>
              <w:pStyle w:val="SWCTableHeader"/>
              <w:rPr>
                <w:b w:val="0"/>
                <w:bCs w:val="0"/>
              </w:rPr>
            </w:pPr>
            <w:r w:rsidRPr="001F1509">
              <w:rPr>
                <w:b w:val="0"/>
                <w:bCs w:val="0"/>
              </w:rPr>
              <w:t>−</w:t>
            </w:r>
            <w:r>
              <w:rPr>
                <w:b w:val="0"/>
                <w:bCs w:val="0"/>
              </w:rPr>
              <w:t xml:space="preserve"> </w:t>
            </w:r>
            <w:r w:rsidRPr="001F1509">
              <w:rPr>
                <w:b w:val="0"/>
                <w:bCs w:val="0"/>
              </w:rPr>
              <w:t>0.040</w:t>
            </w:r>
          </w:p>
        </w:tc>
        <w:tc>
          <w:tcPr>
            <w:tcW w:w="1701" w:type="dxa"/>
          </w:tcPr>
          <w:p w14:paraId="1FF7DD4F" w14:textId="7231064B" w:rsidR="001F1509" w:rsidRPr="00CD24B2" w:rsidRDefault="001F1509" w:rsidP="001F1509">
            <w:pPr>
              <w:pStyle w:val="SWCTableHeader"/>
              <w:rPr>
                <w:b w:val="0"/>
                <w:bCs w:val="0"/>
              </w:rPr>
            </w:pPr>
            <w:r w:rsidRPr="001F1509">
              <w:rPr>
                <w:b w:val="0"/>
                <w:bCs w:val="0"/>
              </w:rPr>
              <w:t>−0.050</w:t>
            </w:r>
          </w:p>
        </w:tc>
        <w:tc>
          <w:tcPr>
            <w:tcW w:w="1701" w:type="dxa"/>
          </w:tcPr>
          <w:p w14:paraId="635D8733" w14:textId="3855D391" w:rsidR="001F1509" w:rsidRPr="00F25E99" w:rsidRDefault="001F1509" w:rsidP="001F1509">
            <w:pPr>
              <w:pStyle w:val="SWCTableHeader"/>
              <w:rPr>
                <w:b w:val="0"/>
                <w:bCs w:val="0"/>
              </w:rPr>
            </w:pPr>
            <w:r w:rsidRPr="001F1509">
              <w:rPr>
                <w:b w:val="0"/>
                <w:bCs w:val="0"/>
              </w:rPr>
              <w:t>−1</w:t>
            </w:r>
          </w:p>
        </w:tc>
        <w:tc>
          <w:tcPr>
            <w:tcW w:w="2406" w:type="dxa"/>
          </w:tcPr>
          <w:p w14:paraId="161893C9" w14:textId="1898C6FF" w:rsidR="001F1509" w:rsidRPr="00F25E99" w:rsidRDefault="001F1509" w:rsidP="001F1509">
            <w:pPr>
              <w:pStyle w:val="SWCTableHeader"/>
              <w:rPr>
                <w:b w:val="0"/>
                <w:bCs w:val="0"/>
              </w:rPr>
            </w:pPr>
            <w:r w:rsidRPr="001F1509">
              <w:rPr>
                <w:b w:val="0"/>
                <w:bCs w:val="0"/>
              </w:rPr>
              <w:t>0.133</w:t>
            </w:r>
          </w:p>
        </w:tc>
      </w:tr>
      <w:tr w:rsidR="001F1509" w:rsidRPr="00F25E99" w14:paraId="7A58A4A2" w14:textId="77777777" w:rsidTr="001F1509">
        <w:trPr>
          <w:jc w:val="center"/>
        </w:trPr>
        <w:tc>
          <w:tcPr>
            <w:tcW w:w="1555" w:type="dxa"/>
          </w:tcPr>
          <w:p w14:paraId="4EA5A0E7" w14:textId="5BD0EB2C" w:rsidR="001F1509" w:rsidRDefault="001F1509" w:rsidP="00F25E99">
            <w:pPr>
              <w:pStyle w:val="SWCTableHeader"/>
              <w:rPr>
                <w:b w:val="0"/>
                <w:bCs w:val="0"/>
              </w:rPr>
            </w:pPr>
            <w:r>
              <w:rPr>
                <w:b w:val="0"/>
                <w:bCs w:val="0"/>
              </w:rPr>
              <w:t>5</w:t>
            </w:r>
          </w:p>
        </w:tc>
        <w:tc>
          <w:tcPr>
            <w:tcW w:w="1701" w:type="dxa"/>
          </w:tcPr>
          <w:p w14:paraId="431AA2D9" w14:textId="5E1232A8" w:rsidR="001F1509" w:rsidRPr="00CD24B2" w:rsidRDefault="001F1509" w:rsidP="001F1509">
            <w:pPr>
              <w:pStyle w:val="SWCTableHeader"/>
              <w:rPr>
                <w:b w:val="0"/>
                <w:bCs w:val="0"/>
              </w:rPr>
            </w:pPr>
            <w:r w:rsidRPr="001F1509">
              <w:rPr>
                <w:b w:val="0"/>
                <w:bCs w:val="0"/>
              </w:rPr>
              <w:t>−0.224</w:t>
            </w:r>
          </w:p>
        </w:tc>
        <w:tc>
          <w:tcPr>
            <w:tcW w:w="1701" w:type="dxa"/>
          </w:tcPr>
          <w:p w14:paraId="6FE62C01" w14:textId="6B318C72" w:rsidR="001F1509" w:rsidRPr="00CD24B2" w:rsidRDefault="001F1509" w:rsidP="001F1509">
            <w:pPr>
              <w:pStyle w:val="SWCTableHeader"/>
              <w:rPr>
                <w:b w:val="0"/>
                <w:bCs w:val="0"/>
              </w:rPr>
            </w:pPr>
            <w:r w:rsidRPr="001F1509">
              <w:rPr>
                <w:b w:val="0"/>
                <w:bCs w:val="0"/>
              </w:rPr>
              <w:t>−0.146</w:t>
            </w:r>
          </w:p>
        </w:tc>
        <w:tc>
          <w:tcPr>
            <w:tcW w:w="1701" w:type="dxa"/>
          </w:tcPr>
          <w:p w14:paraId="6C332603" w14:textId="5C188460" w:rsidR="001F1509" w:rsidRPr="00CD24B2" w:rsidRDefault="001F1509" w:rsidP="001F1509">
            <w:pPr>
              <w:pStyle w:val="SWCTableHeader"/>
              <w:rPr>
                <w:b w:val="0"/>
                <w:bCs w:val="0"/>
              </w:rPr>
            </w:pPr>
            <w:r w:rsidRPr="001F1509">
              <w:rPr>
                <w:b w:val="0"/>
                <w:bCs w:val="0"/>
              </w:rPr>
              <w:t>−5</w:t>
            </w:r>
          </w:p>
        </w:tc>
        <w:tc>
          <w:tcPr>
            <w:tcW w:w="2406" w:type="dxa"/>
          </w:tcPr>
          <w:p w14:paraId="0146207A" w14:textId="2C35E31F" w:rsidR="001F1509" w:rsidRPr="00CD24B2" w:rsidRDefault="001F1509" w:rsidP="001F1509">
            <w:pPr>
              <w:pStyle w:val="SWCTableHeader"/>
              <w:rPr>
                <w:b w:val="0"/>
                <w:bCs w:val="0"/>
              </w:rPr>
            </w:pPr>
            <w:r w:rsidRPr="001F1509">
              <w:rPr>
                <w:b w:val="0"/>
                <w:bCs w:val="0"/>
              </w:rPr>
              <w:t>0.726</w:t>
            </w:r>
          </w:p>
        </w:tc>
      </w:tr>
      <w:tr w:rsidR="001F1509" w:rsidRPr="00F25E99" w14:paraId="119EC8C1" w14:textId="77777777" w:rsidTr="001F1509">
        <w:trPr>
          <w:jc w:val="center"/>
        </w:trPr>
        <w:tc>
          <w:tcPr>
            <w:tcW w:w="1555" w:type="dxa"/>
          </w:tcPr>
          <w:p w14:paraId="5038E476" w14:textId="6EB063FE" w:rsidR="001F1509" w:rsidRDefault="001F1509" w:rsidP="00F25E99">
            <w:pPr>
              <w:pStyle w:val="SWCTableHeader"/>
              <w:rPr>
                <w:b w:val="0"/>
                <w:bCs w:val="0"/>
              </w:rPr>
            </w:pPr>
            <w:r>
              <w:rPr>
                <w:b w:val="0"/>
                <w:bCs w:val="0"/>
              </w:rPr>
              <w:t>10</w:t>
            </w:r>
          </w:p>
        </w:tc>
        <w:tc>
          <w:tcPr>
            <w:tcW w:w="1701" w:type="dxa"/>
          </w:tcPr>
          <w:p w14:paraId="31A15165" w14:textId="64796F79" w:rsidR="001F1509" w:rsidRPr="00CD24B2" w:rsidRDefault="001F1509" w:rsidP="001F1509">
            <w:pPr>
              <w:pStyle w:val="SWCTableHeader"/>
              <w:rPr>
                <w:b w:val="0"/>
                <w:bCs w:val="0"/>
              </w:rPr>
            </w:pPr>
            <w:r w:rsidRPr="001F1509">
              <w:rPr>
                <w:b w:val="0"/>
                <w:bCs w:val="0"/>
              </w:rPr>
              <w:t>−0.474</w:t>
            </w:r>
          </w:p>
        </w:tc>
        <w:tc>
          <w:tcPr>
            <w:tcW w:w="1701" w:type="dxa"/>
          </w:tcPr>
          <w:p w14:paraId="14BC50F5" w14:textId="0EDD9088" w:rsidR="001F1509" w:rsidRPr="00CD24B2" w:rsidRDefault="001F1509" w:rsidP="001F1509">
            <w:pPr>
              <w:pStyle w:val="SWCTableHeader"/>
              <w:rPr>
                <w:b w:val="0"/>
                <w:bCs w:val="0"/>
              </w:rPr>
            </w:pPr>
            <w:r w:rsidRPr="001F1509">
              <w:rPr>
                <w:b w:val="0"/>
                <w:bCs w:val="0"/>
              </w:rPr>
              <w:t>−0.261</w:t>
            </w:r>
          </w:p>
        </w:tc>
        <w:tc>
          <w:tcPr>
            <w:tcW w:w="1701" w:type="dxa"/>
          </w:tcPr>
          <w:p w14:paraId="177A8280" w14:textId="47ACBFC1" w:rsidR="001F1509" w:rsidRPr="00CD24B2" w:rsidRDefault="001F1509" w:rsidP="001F1509">
            <w:pPr>
              <w:pStyle w:val="SWCTableHeader"/>
              <w:rPr>
                <w:b w:val="0"/>
                <w:bCs w:val="0"/>
              </w:rPr>
            </w:pPr>
            <w:r w:rsidRPr="001F1509">
              <w:rPr>
                <w:b w:val="0"/>
                <w:bCs w:val="0"/>
              </w:rPr>
              <w:t>−9</w:t>
            </w:r>
          </w:p>
        </w:tc>
        <w:tc>
          <w:tcPr>
            <w:tcW w:w="2406" w:type="dxa"/>
          </w:tcPr>
          <w:p w14:paraId="51ED2484" w14:textId="44C62F43" w:rsidR="001F1509" w:rsidRPr="00CD24B2" w:rsidRDefault="001F1509" w:rsidP="001F1509">
            <w:pPr>
              <w:pStyle w:val="SWCTableHeader"/>
              <w:rPr>
                <w:b w:val="0"/>
                <w:bCs w:val="0"/>
              </w:rPr>
            </w:pPr>
            <w:r w:rsidRPr="001F1509">
              <w:rPr>
                <w:b w:val="0"/>
                <w:bCs w:val="0"/>
              </w:rPr>
              <w:t>1.470</w:t>
            </w:r>
          </w:p>
        </w:tc>
      </w:tr>
      <w:tr w:rsidR="001F1509" w:rsidRPr="00F25E99" w14:paraId="0E334CEC" w14:textId="77777777" w:rsidTr="001F1509">
        <w:trPr>
          <w:jc w:val="center"/>
        </w:trPr>
        <w:tc>
          <w:tcPr>
            <w:tcW w:w="1555" w:type="dxa"/>
          </w:tcPr>
          <w:p w14:paraId="7997AD72" w14:textId="7496BAF7" w:rsidR="001F1509" w:rsidRDefault="001F1509" w:rsidP="00F25E99">
            <w:pPr>
              <w:pStyle w:val="SWCTableHeader"/>
              <w:rPr>
                <w:b w:val="0"/>
                <w:bCs w:val="0"/>
              </w:rPr>
            </w:pPr>
            <w:r>
              <w:rPr>
                <w:b w:val="0"/>
                <w:bCs w:val="0"/>
              </w:rPr>
              <w:t>20</w:t>
            </w:r>
          </w:p>
        </w:tc>
        <w:tc>
          <w:tcPr>
            <w:tcW w:w="1701" w:type="dxa"/>
          </w:tcPr>
          <w:p w14:paraId="4AE5EB2B" w14:textId="4D45FFCC" w:rsidR="001F1509" w:rsidRPr="00CD24B2" w:rsidRDefault="001F1509" w:rsidP="001F1509">
            <w:pPr>
              <w:pStyle w:val="SWCTableHeader"/>
              <w:rPr>
                <w:b w:val="0"/>
                <w:bCs w:val="0"/>
              </w:rPr>
            </w:pPr>
            <w:r w:rsidRPr="001F1509">
              <w:rPr>
                <w:b w:val="0"/>
                <w:bCs w:val="0"/>
              </w:rPr>
              <w:t>−0.983</w:t>
            </w:r>
          </w:p>
        </w:tc>
        <w:tc>
          <w:tcPr>
            <w:tcW w:w="1701" w:type="dxa"/>
          </w:tcPr>
          <w:p w14:paraId="717BBB17" w14:textId="463AE227" w:rsidR="001F1509" w:rsidRPr="00CD24B2" w:rsidRDefault="001F1509" w:rsidP="001F1509">
            <w:pPr>
              <w:pStyle w:val="SWCTableHeader"/>
              <w:rPr>
                <w:b w:val="0"/>
                <w:bCs w:val="0"/>
              </w:rPr>
            </w:pPr>
            <w:r w:rsidRPr="001F1509">
              <w:rPr>
                <w:b w:val="0"/>
                <w:bCs w:val="0"/>
              </w:rPr>
              <w:t>−0.532</w:t>
            </w:r>
          </w:p>
        </w:tc>
        <w:tc>
          <w:tcPr>
            <w:tcW w:w="1701" w:type="dxa"/>
          </w:tcPr>
          <w:p w14:paraId="32C565D4" w14:textId="2893F425" w:rsidR="001F1509" w:rsidRPr="00CD24B2" w:rsidRDefault="001F1509" w:rsidP="001F1509">
            <w:pPr>
              <w:pStyle w:val="SWCTableHeader"/>
              <w:rPr>
                <w:b w:val="0"/>
                <w:bCs w:val="0"/>
              </w:rPr>
            </w:pPr>
            <w:r w:rsidRPr="001F1509">
              <w:rPr>
                <w:b w:val="0"/>
                <w:bCs w:val="0"/>
              </w:rPr>
              <w:t>−16</w:t>
            </w:r>
          </w:p>
        </w:tc>
        <w:tc>
          <w:tcPr>
            <w:tcW w:w="2406" w:type="dxa"/>
          </w:tcPr>
          <w:p w14:paraId="59E05540" w14:textId="0416E12A" w:rsidR="001F1509" w:rsidRPr="00CD24B2" w:rsidRDefault="001F1509" w:rsidP="001F1509">
            <w:pPr>
              <w:pStyle w:val="SWCTableHeader"/>
              <w:rPr>
                <w:b w:val="0"/>
                <w:bCs w:val="0"/>
              </w:rPr>
            </w:pPr>
            <w:r w:rsidRPr="001F1509">
              <w:rPr>
                <w:b w:val="0"/>
                <w:bCs w:val="0"/>
              </w:rPr>
              <w:t>2.907</w:t>
            </w:r>
          </w:p>
        </w:tc>
      </w:tr>
      <w:tr w:rsidR="001F1509" w:rsidRPr="00F25E99" w14:paraId="3A78D153" w14:textId="77777777" w:rsidTr="001F1509">
        <w:trPr>
          <w:jc w:val="center"/>
        </w:trPr>
        <w:tc>
          <w:tcPr>
            <w:tcW w:w="1555" w:type="dxa"/>
          </w:tcPr>
          <w:p w14:paraId="3FF9126E" w14:textId="5B795DC7" w:rsidR="001F1509" w:rsidRDefault="001F1509" w:rsidP="00F25E99">
            <w:pPr>
              <w:pStyle w:val="SWCTableHeader"/>
              <w:rPr>
                <w:b w:val="0"/>
                <w:bCs w:val="0"/>
              </w:rPr>
            </w:pPr>
            <w:r>
              <w:rPr>
                <w:b w:val="0"/>
                <w:bCs w:val="0"/>
              </w:rPr>
              <w:t>30</w:t>
            </w:r>
          </w:p>
        </w:tc>
        <w:tc>
          <w:tcPr>
            <w:tcW w:w="1701" w:type="dxa"/>
          </w:tcPr>
          <w:p w14:paraId="5144DFA6" w14:textId="5F2AF5BB" w:rsidR="001F1509" w:rsidRPr="00CD24B2" w:rsidRDefault="001F1509" w:rsidP="001F1509">
            <w:pPr>
              <w:pStyle w:val="SWCTableHeader"/>
              <w:rPr>
                <w:b w:val="0"/>
                <w:bCs w:val="0"/>
              </w:rPr>
            </w:pPr>
            <w:r w:rsidRPr="001F1509">
              <w:rPr>
                <w:b w:val="0"/>
                <w:bCs w:val="0"/>
              </w:rPr>
              <w:t>−1.499</w:t>
            </w:r>
          </w:p>
        </w:tc>
        <w:tc>
          <w:tcPr>
            <w:tcW w:w="1701" w:type="dxa"/>
          </w:tcPr>
          <w:p w14:paraId="5A44CD67" w14:textId="2231A811" w:rsidR="001F1509" w:rsidRPr="00CD24B2" w:rsidRDefault="001F1509" w:rsidP="001F1509">
            <w:pPr>
              <w:pStyle w:val="SWCTableHeader"/>
              <w:rPr>
                <w:b w:val="0"/>
                <w:bCs w:val="0"/>
              </w:rPr>
            </w:pPr>
            <w:r w:rsidRPr="001F1509">
              <w:rPr>
                <w:b w:val="0"/>
                <w:bCs w:val="0"/>
              </w:rPr>
              <w:t>−0.822</w:t>
            </w:r>
          </w:p>
        </w:tc>
        <w:tc>
          <w:tcPr>
            <w:tcW w:w="1701" w:type="dxa"/>
          </w:tcPr>
          <w:p w14:paraId="1C88CA0D" w14:textId="3C428960" w:rsidR="001F1509" w:rsidRPr="00CD24B2" w:rsidRDefault="001F1509" w:rsidP="001F1509">
            <w:pPr>
              <w:pStyle w:val="SWCTableHeader"/>
              <w:rPr>
                <w:b w:val="0"/>
                <w:bCs w:val="0"/>
              </w:rPr>
            </w:pPr>
            <w:r w:rsidRPr="001F1509">
              <w:rPr>
                <w:b w:val="0"/>
                <w:bCs w:val="0"/>
              </w:rPr>
              <w:t>−27</w:t>
            </w:r>
          </w:p>
        </w:tc>
        <w:tc>
          <w:tcPr>
            <w:tcW w:w="2406" w:type="dxa"/>
          </w:tcPr>
          <w:p w14:paraId="46BC2233" w14:textId="4895CB46" w:rsidR="001F1509" w:rsidRPr="00CD24B2" w:rsidRDefault="001F1509" w:rsidP="001F1509">
            <w:pPr>
              <w:pStyle w:val="SWCTableHeader"/>
              <w:rPr>
                <w:b w:val="0"/>
                <w:bCs w:val="0"/>
              </w:rPr>
            </w:pPr>
            <w:r w:rsidRPr="001F1509">
              <w:rPr>
                <w:b w:val="0"/>
                <w:bCs w:val="0"/>
              </w:rPr>
              <w:t>4.252</w:t>
            </w:r>
          </w:p>
        </w:tc>
      </w:tr>
    </w:tbl>
    <w:p w14:paraId="3A5D5D8C" w14:textId="06BBAD77" w:rsidR="00046E22" w:rsidRPr="00F25E99" w:rsidRDefault="00046E22" w:rsidP="00046E22">
      <w:pPr>
        <w:pStyle w:val="SWCTableFigureCaption"/>
        <w:rPr>
          <w:lang w:val="en-GB"/>
        </w:rPr>
      </w:pPr>
      <w:bookmarkStart w:id="7" w:name="Tab8"/>
      <w:r w:rsidRPr="00F25E99">
        <w:rPr>
          <w:lang w:val="en-GB"/>
        </w:rPr>
        <w:t xml:space="preserve">Tab. </w:t>
      </w:r>
      <w:r>
        <w:rPr>
          <w:lang w:val="en-GB"/>
        </w:rPr>
        <w:t>8</w:t>
      </w:r>
      <w:r w:rsidRPr="00F25E99">
        <w:rPr>
          <w:lang w:val="en-GB"/>
        </w:rPr>
        <w:t xml:space="preserve">: </w:t>
      </w:r>
      <w:r w:rsidRPr="00046E22">
        <w:rPr>
          <w:lang w:val="en-GB"/>
        </w:rPr>
        <w:t>Module outcomes at Lac du Bourget. A refusal is a reportable result: it names the specific evidence that would lift it.</w:t>
      </w:r>
      <w:bookmarkEnd w:id="7"/>
    </w:p>
    <w:tbl>
      <w:tblPr>
        <w:tblStyle w:val="TableGrid"/>
        <w:tblW w:w="0" w:type="auto"/>
        <w:jc w:val="center"/>
        <w:tblLook w:val="01E0" w:firstRow="1" w:lastRow="1" w:firstColumn="1" w:lastColumn="1" w:noHBand="0" w:noVBand="0"/>
      </w:tblPr>
      <w:tblGrid>
        <w:gridCol w:w="1980"/>
        <w:gridCol w:w="2551"/>
        <w:gridCol w:w="4375"/>
      </w:tblGrid>
      <w:tr w:rsidR="00046E22" w:rsidRPr="005B3651" w14:paraId="5142E203" w14:textId="77777777" w:rsidTr="008A7B8B">
        <w:trPr>
          <w:jc w:val="center"/>
        </w:trPr>
        <w:tc>
          <w:tcPr>
            <w:tcW w:w="1980" w:type="dxa"/>
          </w:tcPr>
          <w:p w14:paraId="2ADAA9C4" w14:textId="1160BCA8" w:rsidR="00046E22" w:rsidRPr="005B3651" w:rsidRDefault="00046E22" w:rsidP="00046E22">
            <w:pPr>
              <w:pStyle w:val="SWCTableHeader"/>
            </w:pPr>
            <w:r w:rsidRPr="00046E22">
              <w:t>Module</w:t>
            </w:r>
          </w:p>
        </w:tc>
        <w:tc>
          <w:tcPr>
            <w:tcW w:w="2551" w:type="dxa"/>
          </w:tcPr>
          <w:p w14:paraId="21AF8458" w14:textId="358B9564" w:rsidR="00046E22" w:rsidRPr="005B3651" w:rsidRDefault="00046E22" w:rsidP="00046E22">
            <w:pPr>
              <w:pStyle w:val="SWCTableHeader"/>
            </w:pPr>
            <w:r w:rsidRPr="00046E22">
              <w:t>Result obtained</w:t>
            </w:r>
          </w:p>
        </w:tc>
        <w:tc>
          <w:tcPr>
            <w:tcW w:w="4375" w:type="dxa"/>
          </w:tcPr>
          <w:p w14:paraId="6574EA06" w14:textId="780A1A05" w:rsidR="00046E22" w:rsidRPr="005B3651" w:rsidRDefault="00046E22" w:rsidP="00046E22">
            <w:pPr>
              <w:pStyle w:val="SWCTableHeader"/>
            </w:pPr>
            <w:r w:rsidRPr="00046E22">
              <w:t>Evidence blocking a stronger claim</w:t>
            </w:r>
          </w:p>
        </w:tc>
      </w:tr>
      <w:tr w:rsidR="00046E22" w:rsidRPr="00F25E99" w14:paraId="1D4BF258" w14:textId="77777777" w:rsidTr="008A7B8B">
        <w:trPr>
          <w:jc w:val="center"/>
        </w:trPr>
        <w:tc>
          <w:tcPr>
            <w:tcW w:w="1980" w:type="dxa"/>
          </w:tcPr>
          <w:p w14:paraId="0DE57445" w14:textId="1FE40900" w:rsidR="00046E22" w:rsidRPr="00F25E99" w:rsidRDefault="00046E22" w:rsidP="00046E22">
            <w:pPr>
              <w:pStyle w:val="SWCTableHeader"/>
              <w:rPr>
                <w:b w:val="0"/>
                <w:bCs w:val="0"/>
              </w:rPr>
            </w:pPr>
            <w:r w:rsidRPr="00046E22">
              <w:rPr>
                <w:b w:val="0"/>
                <w:bCs w:val="0"/>
              </w:rPr>
              <w:t>Lake geometry</w:t>
            </w:r>
          </w:p>
        </w:tc>
        <w:tc>
          <w:tcPr>
            <w:tcW w:w="2551" w:type="dxa"/>
          </w:tcPr>
          <w:p w14:paraId="36AA331D" w14:textId="72A4D5A1" w:rsidR="00046E22" w:rsidRPr="00F25E99" w:rsidRDefault="00046E22" w:rsidP="00046E22">
            <w:pPr>
              <w:pStyle w:val="SWCTableHeader"/>
              <w:rPr>
                <w:b w:val="0"/>
                <w:bCs w:val="0"/>
              </w:rPr>
            </w:pPr>
            <w:r w:rsidRPr="00046E22">
              <w:rPr>
                <w:b w:val="0"/>
                <w:bCs w:val="0"/>
              </w:rPr>
              <w:t>shoreline area and perimeter</w:t>
            </w:r>
          </w:p>
        </w:tc>
        <w:tc>
          <w:tcPr>
            <w:tcW w:w="4375" w:type="dxa"/>
          </w:tcPr>
          <w:p w14:paraId="3A77B448" w14:textId="1935A92A" w:rsidR="00046E22" w:rsidRPr="00F25E99" w:rsidRDefault="00046E22" w:rsidP="00046E22">
            <w:pPr>
              <w:pStyle w:val="SWCTableHeader"/>
              <w:rPr>
                <w:b w:val="0"/>
                <w:bCs w:val="0"/>
              </w:rPr>
            </w:pPr>
            <w:r w:rsidRPr="00046E22">
              <w:rPr>
                <w:b w:val="0"/>
                <w:bCs w:val="0"/>
              </w:rPr>
              <w:t>project polygon and legal exclusions</w:t>
            </w:r>
          </w:p>
        </w:tc>
      </w:tr>
      <w:tr w:rsidR="00046E22" w:rsidRPr="00F25E99" w14:paraId="4D4A745F" w14:textId="77777777" w:rsidTr="008A7B8B">
        <w:trPr>
          <w:jc w:val="center"/>
        </w:trPr>
        <w:tc>
          <w:tcPr>
            <w:tcW w:w="1980" w:type="dxa"/>
          </w:tcPr>
          <w:p w14:paraId="5F6339FB" w14:textId="7359AAF0" w:rsidR="00046E22" w:rsidRPr="0017109A" w:rsidRDefault="00046E22" w:rsidP="00046E22">
            <w:pPr>
              <w:pStyle w:val="SWCTableHeader"/>
              <w:rPr>
                <w:b w:val="0"/>
                <w:bCs w:val="0"/>
              </w:rPr>
            </w:pPr>
            <w:r w:rsidRPr="00046E22">
              <w:rPr>
                <w:b w:val="0"/>
                <w:bCs w:val="0"/>
              </w:rPr>
              <w:t>Morphology</w:t>
            </w:r>
          </w:p>
        </w:tc>
        <w:tc>
          <w:tcPr>
            <w:tcW w:w="2551" w:type="dxa"/>
          </w:tcPr>
          <w:p w14:paraId="7CB446FE" w14:textId="324EE472" w:rsidR="00046E22" w:rsidRPr="0017109A" w:rsidRDefault="00046E22" w:rsidP="00046E22">
            <w:pPr>
              <w:pStyle w:val="SWCTableHeader"/>
              <w:rPr>
                <w:b w:val="0"/>
                <w:bCs w:val="0"/>
              </w:rPr>
            </w:pPr>
            <w:r w:rsidRPr="00046E22">
              <w:rPr>
                <w:b w:val="0"/>
                <w:bCs w:val="0"/>
              </w:rPr>
              <w:t>volume-conserving curve; measured table reconciled but not merged</w:t>
            </w:r>
          </w:p>
        </w:tc>
        <w:tc>
          <w:tcPr>
            <w:tcW w:w="4375" w:type="dxa"/>
          </w:tcPr>
          <w:p w14:paraId="2B14854C" w14:textId="72B1589C" w:rsidR="00046E22" w:rsidRPr="0017109A" w:rsidRDefault="00046E22" w:rsidP="00046E22">
            <w:pPr>
              <w:pStyle w:val="SWCTableHeader"/>
              <w:rPr>
                <w:b w:val="0"/>
                <w:bCs w:val="0"/>
              </w:rPr>
            </w:pPr>
            <w:r w:rsidRPr="00046E22">
              <w:rPr>
                <w:b w:val="0"/>
                <w:bCs w:val="0"/>
              </w:rPr>
              <w:t>survey provenance, datum, reference level</w:t>
            </w:r>
          </w:p>
        </w:tc>
      </w:tr>
      <w:tr w:rsidR="00046E22" w:rsidRPr="00F25E99" w14:paraId="313BF86C" w14:textId="77777777" w:rsidTr="008A7B8B">
        <w:trPr>
          <w:jc w:val="center"/>
        </w:trPr>
        <w:tc>
          <w:tcPr>
            <w:tcW w:w="1980" w:type="dxa"/>
          </w:tcPr>
          <w:p w14:paraId="53425F9C" w14:textId="6FACCCA9" w:rsidR="00046E22" w:rsidRPr="0017109A" w:rsidRDefault="00046E22" w:rsidP="00046E22">
            <w:pPr>
              <w:pStyle w:val="SWCTableHeader"/>
              <w:rPr>
                <w:b w:val="0"/>
                <w:bCs w:val="0"/>
              </w:rPr>
            </w:pPr>
            <w:r w:rsidRPr="00046E22">
              <w:rPr>
                <w:b w:val="0"/>
                <w:bCs w:val="0"/>
              </w:rPr>
              <w:t>Thermal physics</w:t>
            </w:r>
          </w:p>
        </w:tc>
        <w:tc>
          <w:tcPr>
            <w:tcW w:w="2551" w:type="dxa"/>
          </w:tcPr>
          <w:p w14:paraId="345AC800" w14:textId="19CDAEA4" w:rsidR="00046E22" w:rsidRPr="0017109A" w:rsidRDefault="00046E22" w:rsidP="00046E22">
            <w:pPr>
              <w:pStyle w:val="SWCTableHeader"/>
              <w:rPr>
                <w:b w:val="0"/>
                <w:bCs w:val="0"/>
              </w:rPr>
            </w:pPr>
            <w:r w:rsidRPr="00046E22">
              <w:rPr>
                <w:b w:val="0"/>
                <w:bCs w:val="0"/>
              </w:rPr>
              <w:t>four-stage evaluation and 90 FPV scenarios</w:t>
            </w:r>
          </w:p>
        </w:tc>
        <w:tc>
          <w:tcPr>
            <w:tcW w:w="4375" w:type="dxa"/>
          </w:tcPr>
          <w:p w14:paraId="19B78A29" w14:textId="3393EB5C" w:rsidR="00046E22" w:rsidRPr="0017109A" w:rsidRDefault="00046E22" w:rsidP="00046E22">
            <w:pPr>
              <w:pStyle w:val="SWCTableHeader"/>
              <w:rPr>
                <w:b w:val="0"/>
                <w:bCs w:val="0"/>
              </w:rPr>
            </w:pPr>
            <w:r w:rsidRPr="00046E22">
              <w:rPr>
                <w:b w:val="0"/>
                <w:bCs w:val="0"/>
              </w:rPr>
              <w:t>canal exchange; absent surface-flux terms</w:t>
            </w:r>
          </w:p>
        </w:tc>
      </w:tr>
      <w:tr w:rsidR="00046E22" w:rsidRPr="00F25E99" w14:paraId="084B0FFA" w14:textId="77777777" w:rsidTr="008A7B8B">
        <w:trPr>
          <w:jc w:val="center"/>
        </w:trPr>
        <w:tc>
          <w:tcPr>
            <w:tcW w:w="1980" w:type="dxa"/>
          </w:tcPr>
          <w:p w14:paraId="0FBD82B5" w14:textId="0DC88BF9" w:rsidR="00046E22" w:rsidRPr="0017109A" w:rsidRDefault="00046E22" w:rsidP="00046E22">
            <w:pPr>
              <w:pStyle w:val="SWCTableHeader"/>
              <w:rPr>
                <w:b w:val="0"/>
                <w:bCs w:val="0"/>
              </w:rPr>
            </w:pPr>
            <w:r w:rsidRPr="00046E22">
              <w:rPr>
                <w:b w:val="0"/>
                <w:bCs w:val="0"/>
              </w:rPr>
              <w:t>Photovoltaic energy</w:t>
            </w:r>
          </w:p>
        </w:tc>
        <w:tc>
          <w:tcPr>
            <w:tcW w:w="2551" w:type="dxa"/>
          </w:tcPr>
          <w:p w14:paraId="744C0091" w14:textId="416B028C" w:rsidR="00046E22" w:rsidRPr="0017109A" w:rsidRDefault="00046E22" w:rsidP="00046E22">
            <w:pPr>
              <w:pStyle w:val="SWCTableHeader"/>
              <w:rPr>
                <w:b w:val="0"/>
                <w:bCs w:val="0"/>
              </w:rPr>
            </w:pPr>
            <w:r w:rsidRPr="00046E22">
              <w:rPr>
                <w:b w:val="0"/>
                <w:bCs w:val="0"/>
              </w:rPr>
              <w:t>specific yield and cross-engine consistency</w:t>
            </w:r>
          </w:p>
        </w:tc>
        <w:tc>
          <w:tcPr>
            <w:tcW w:w="4375" w:type="dxa"/>
          </w:tcPr>
          <w:p w14:paraId="22BEAEF7" w14:textId="37B66BBD" w:rsidR="00046E22" w:rsidRPr="0017109A" w:rsidRDefault="00046E22" w:rsidP="00046E22">
            <w:pPr>
              <w:pStyle w:val="SWCTableHeader"/>
              <w:rPr>
                <w:b w:val="0"/>
                <w:bCs w:val="0"/>
              </w:rPr>
            </w:pPr>
            <w:r w:rsidRPr="00046E22">
              <w:rPr>
                <w:b w:val="0"/>
                <w:bCs w:val="0"/>
              </w:rPr>
              <w:t>measured FPV production; thermal–energy coupling</w:t>
            </w:r>
          </w:p>
        </w:tc>
      </w:tr>
      <w:tr w:rsidR="00046E22" w:rsidRPr="00F25E99" w14:paraId="2698818E" w14:textId="77777777" w:rsidTr="008A7B8B">
        <w:trPr>
          <w:jc w:val="center"/>
        </w:trPr>
        <w:tc>
          <w:tcPr>
            <w:tcW w:w="1980" w:type="dxa"/>
          </w:tcPr>
          <w:p w14:paraId="03C71477" w14:textId="2E34020B" w:rsidR="00046E22" w:rsidRPr="0017109A" w:rsidRDefault="00046E22" w:rsidP="00046E22">
            <w:pPr>
              <w:pStyle w:val="SWCTableHeader"/>
              <w:rPr>
                <w:b w:val="0"/>
                <w:bCs w:val="0"/>
              </w:rPr>
            </w:pPr>
            <w:r w:rsidRPr="00046E22">
              <w:rPr>
                <w:b w:val="0"/>
                <w:bCs w:val="0"/>
              </w:rPr>
              <w:t>Evaporation</w:t>
            </w:r>
          </w:p>
        </w:tc>
        <w:tc>
          <w:tcPr>
            <w:tcW w:w="2551" w:type="dxa"/>
          </w:tcPr>
          <w:p w14:paraId="0768D69A" w14:textId="033A6979" w:rsidR="00046E22" w:rsidRPr="0017109A" w:rsidRDefault="00046E22" w:rsidP="00F25E99">
            <w:pPr>
              <w:pStyle w:val="SWCTableHeader"/>
              <w:rPr>
                <w:b w:val="0"/>
                <w:bCs w:val="0"/>
              </w:rPr>
            </w:pPr>
            <w:r w:rsidRPr="00046E22">
              <w:rPr>
                <w:b w:val="0"/>
                <w:bCs w:val="0"/>
              </w:rPr>
              <w:t>retained but unpromoted evaporation diagnostic</w:t>
            </w:r>
          </w:p>
        </w:tc>
        <w:tc>
          <w:tcPr>
            <w:tcW w:w="4375" w:type="dxa"/>
          </w:tcPr>
          <w:p w14:paraId="5BFD7C5A" w14:textId="6583B9C2" w:rsidR="00046E22" w:rsidRPr="0017109A" w:rsidRDefault="00046E22" w:rsidP="00046E22">
            <w:pPr>
              <w:pStyle w:val="SWCTableHeader"/>
              <w:rPr>
                <w:b w:val="0"/>
                <w:bCs w:val="0"/>
              </w:rPr>
            </w:pPr>
            <w:r w:rsidRPr="00046E22">
              <w:rPr>
                <w:b w:val="0"/>
                <w:bCs w:val="0"/>
              </w:rPr>
              <w:t>site open-water evaporation; validated suppression factor</w:t>
            </w:r>
          </w:p>
        </w:tc>
      </w:tr>
      <w:tr w:rsidR="00046E22" w:rsidRPr="00F25E99" w14:paraId="19ADDE2E" w14:textId="77777777" w:rsidTr="008A7B8B">
        <w:trPr>
          <w:jc w:val="center"/>
        </w:trPr>
        <w:tc>
          <w:tcPr>
            <w:tcW w:w="1980" w:type="dxa"/>
          </w:tcPr>
          <w:p w14:paraId="1D9FE75C" w14:textId="666ECF22" w:rsidR="00046E22" w:rsidRPr="0017109A" w:rsidRDefault="00046E22" w:rsidP="00046E22">
            <w:pPr>
              <w:pStyle w:val="SWCTableHeader"/>
              <w:rPr>
                <w:b w:val="0"/>
                <w:bCs w:val="0"/>
              </w:rPr>
            </w:pPr>
            <w:r w:rsidRPr="00046E22">
              <w:rPr>
                <w:b w:val="0"/>
                <w:bCs w:val="0"/>
              </w:rPr>
              <w:t>Water quality</w:t>
            </w:r>
          </w:p>
        </w:tc>
        <w:tc>
          <w:tcPr>
            <w:tcW w:w="2551" w:type="dxa"/>
          </w:tcPr>
          <w:p w14:paraId="1A7B655A" w14:textId="1A7EE007" w:rsidR="00046E22" w:rsidRPr="0017109A" w:rsidRDefault="00046E22" w:rsidP="00046E22">
            <w:pPr>
              <w:pStyle w:val="SWCTableHeader"/>
              <w:rPr>
                <w:b w:val="0"/>
                <w:bCs w:val="0"/>
              </w:rPr>
            </w:pPr>
            <w:r w:rsidRPr="00046E22">
              <w:rPr>
                <w:b w:val="0"/>
                <w:bCs w:val="0"/>
              </w:rPr>
              <w:t>descriptive inventory only</w:t>
            </w:r>
          </w:p>
        </w:tc>
        <w:tc>
          <w:tcPr>
            <w:tcW w:w="4375" w:type="dxa"/>
          </w:tcPr>
          <w:p w14:paraId="0AEBF8A1" w14:textId="24B7F92A" w:rsidR="00046E22" w:rsidRPr="0017109A" w:rsidRDefault="00046E22" w:rsidP="00046E22">
            <w:pPr>
              <w:pStyle w:val="SWCTableHeader"/>
              <w:rPr>
                <w:b w:val="0"/>
                <w:bCs w:val="0"/>
              </w:rPr>
            </w:pPr>
            <w:r w:rsidRPr="00046E22">
              <w:rPr>
                <w:b w:val="0"/>
                <w:bCs w:val="0"/>
              </w:rPr>
              <w:t>daily nutrient loads; site parameters; withheld targets</w:t>
            </w:r>
          </w:p>
        </w:tc>
      </w:tr>
      <w:tr w:rsidR="00046E22" w:rsidRPr="00F25E99" w14:paraId="38CA4C69" w14:textId="77777777" w:rsidTr="008A7B8B">
        <w:trPr>
          <w:jc w:val="center"/>
        </w:trPr>
        <w:tc>
          <w:tcPr>
            <w:tcW w:w="1980" w:type="dxa"/>
          </w:tcPr>
          <w:p w14:paraId="51BABC72" w14:textId="3C5F4BCD" w:rsidR="00046E22" w:rsidRPr="0017109A" w:rsidRDefault="00046E22" w:rsidP="00046E22">
            <w:pPr>
              <w:pStyle w:val="SWCTableHeader"/>
              <w:rPr>
                <w:b w:val="0"/>
                <w:bCs w:val="0"/>
              </w:rPr>
            </w:pPr>
            <w:r w:rsidRPr="00046E22">
              <w:rPr>
                <w:b w:val="0"/>
                <w:bCs w:val="0"/>
              </w:rPr>
              <w:t>Ecology</w:t>
            </w:r>
          </w:p>
        </w:tc>
        <w:tc>
          <w:tcPr>
            <w:tcW w:w="2551" w:type="dxa"/>
          </w:tcPr>
          <w:p w14:paraId="03DC3DA8" w14:textId="7DFDEA25" w:rsidR="00046E22" w:rsidRPr="0017109A" w:rsidRDefault="00046E22" w:rsidP="00046E22">
            <w:pPr>
              <w:pStyle w:val="SWCTableHeader"/>
              <w:rPr>
                <w:b w:val="0"/>
                <w:bCs w:val="0"/>
              </w:rPr>
            </w:pPr>
            <w:r w:rsidRPr="00046E22">
              <w:rPr>
                <w:b w:val="0"/>
                <w:bCs w:val="0"/>
              </w:rPr>
              <w:t>descriptive inventory only</w:t>
            </w:r>
          </w:p>
        </w:tc>
        <w:tc>
          <w:tcPr>
            <w:tcW w:w="4375" w:type="dxa"/>
          </w:tcPr>
          <w:p w14:paraId="3335FA26" w14:textId="404FCD15" w:rsidR="00046E22" w:rsidRPr="0017109A" w:rsidRDefault="00046E22" w:rsidP="00046E22">
            <w:pPr>
              <w:pStyle w:val="SWCTableHeader"/>
              <w:rPr>
                <w:b w:val="0"/>
                <w:bCs w:val="0"/>
              </w:rPr>
            </w:pPr>
            <w:r w:rsidRPr="00046E22">
              <w:rPr>
                <w:b w:val="0"/>
                <w:bCs w:val="0"/>
              </w:rPr>
              <w:t>registered before–after, control–impact design</w:t>
            </w:r>
          </w:p>
        </w:tc>
      </w:tr>
      <w:tr w:rsidR="00046E22" w:rsidRPr="00F25E99" w14:paraId="02ECAB08" w14:textId="77777777" w:rsidTr="008A7B8B">
        <w:trPr>
          <w:jc w:val="center"/>
        </w:trPr>
        <w:tc>
          <w:tcPr>
            <w:tcW w:w="1980" w:type="dxa"/>
          </w:tcPr>
          <w:p w14:paraId="7DCA4DDC" w14:textId="1D8A0C45" w:rsidR="00046E22" w:rsidRPr="0017109A" w:rsidRDefault="00046E22" w:rsidP="00046E22">
            <w:pPr>
              <w:pStyle w:val="SWCTableHeader"/>
              <w:rPr>
                <w:b w:val="0"/>
                <w:bCs w:val="0"/>
              </w:rPr>
            </w:pPr>
            <w:r w:rsidRPr="00046E22">
              <w:rPr>
                <w:b w:val="0"/>
                <w:bCs w:val="0"/>
              </w:rPr>
              <w:t>Carbon and methane</w:t>
            </w:r>
          </w:p>
        </w:tc>
        <w:tc>
          <w:tcPr>
            <w:tcW w:w="2551" w:type="dxa"/>
          </w:tcPr>
          <w:p w14:paraId="5519DC5E" w14:textId="3E1163A2" w:rsidR="00046E22" w:rsidRPr="0017109A" w:rsidRDefault="00046E22" w:rsidP="00046E22">
            <w:pPr>
              <w:pStyle w:val="SWCTableHeader"/>
              <w:rPr>
                <w:b w:val="0"/>
                <w:bCs w:val="0"/>
              </w:rPr>
            </w:pPr>
            <w:r w:rsidRPr="00046E22">
              <w:rPr>
                <w:b w:val="0"/>
                <w:bCs w:val="0"/>
              </w:rPr>
              <w:t>refused</w:t>
            </w:r>
          </w:p>
        </w:tc>
        <w:tc>
          <w:tcPr>
            <w:tcW w:w="4375" w:type="dxa"/>
          </w:tcPr>
          <w:p w14:paraId="5C27EE45" w14:textId="2932A348" w:rsidR="00046E22" w:rsidRPr="0017109A" w:rsidRDefault="00046E22" w:rsidP="00046E22">
            <w:pPr>
              <w:pStyle w:val="SWCTableHeader"/>
              <w:rPr>
                <w:b w:val="0"/>
                <w:bCs w:val="0"/>
              </w:rPr>
            </w:pPr>
            <w:r w:rsidRPr="00046E22">
              <w:rPr>
                <w:b w:val="0"/>
                <w:bCs w:val="0"/>
              </w:rPr>
              <w:t>seasonal paired covered and control flux campaign</w:t>
            </w:r>
          </w:p>
        </w:tc>
      </w:tr>
      <w:tr w:rsidR="00046E22" w:rsidRPr="00F25E99" w14:paraId="3CF71154" w14:textId="77777777" w:rsidTr="008A7B8B">
        <w:trPr>
          <w:jc w:val="center"/>
        </w:trPr>
        <w:tc>
          <w:tcPr>
            <w:tcW w:w="1980" w:type="dxa"/>
          </w:tcPr>
          <w:p w14:paraId="64FF7422" w14:textId="2356CC2F" w:rsidR="00046E22" w:rsidRPr="0017109A" w:rsidRDefault="00046E22" w:rsidP="00046E22">
            <w:pPr>
              <w:pStyle w:val="SWCTableHeader"/>
              <w:rPr>
                <w:b w:val="0"/>
                <w:bCs w:val="0"/>
              </w:rPr>
            </w:pPr>
            <w:r w:rsidRPr="00046E22">
              <w:rPr>
                <w:b w:val="0"/>
                <w:bCs w:val="0"/>
              </w:rPr>
              <w:t>Waves and currents</w:t>
            </w:r>
          </w:p>
        </w:tc>
        <w:tc>
          <w:tcPr>
            <w:tcW w:w="2551" w:type="dxa"/>
          </w:tcPr>
          <w:p w14:paraId="37172CD2" w14:textId="100BD5D3" w:rsidR="00046E22" w:rsidRPr="0017109A" w:rsidRDefault="00046E22" w:rsidP="00046E22">
            <w:pPr>
              <w:pStyle w:val="SWCTableHeader"/>
              <w:rPr>
                <w:b w:val="0"/>
                <w:bCs w:val="0"/>
              </w:rPr>
            </w:pPr>
            <w:r w:rsidRPr="00046E22">
              <w:rPr>
                <w:b w:val="0"/>
                <w:bCs w:val="0"/>
              </w:rPr>
              <w:t>refused</w:t>
            </w:r>
          </w:p>
        </w:tc>
        <w:tc>
          <w:tcPr>
            <w:tcW w:w="4375" w:type="dxa"/>
          </w:tcPr>
          <w:p w14:paraId="0F1F406B" w14:textId="33A0E88E" w:rsidR="00046E22" w:rsidRPr="0017109A" w:rsidRDefault="00046E22" w:rsidP="00046E22">
            <w:pPr>
              <w:pStyle w:val="SWCTableHeader"/>
              <w:rPr>
                <w:b w:val="0"/>
                <w:bCs w:val="0"/>
              </w:rPr>
            </w:pPr>
            <w:r w:rsidRPr="00046E22">
              <w:rPr>
                <w:b w:val="0"/>
                <w:bCs w:val="0"/>
              </w:rPr>
              <w:t>site joint extremes, fetch, water levels</w:t>
            </w:r>
          </w:p>
        </w:tc>
      </w:tr>
      <w:tr w:rsidR="00046E22" w:rsidRPr="00F25E99" w14:paraId="5802FC5D" w14:textId="77777777" w:rsidTr="008A7B8B">
        <w:trPr>
          <w:jc w:val="center"/>
        </w:trPr>
        <w:tc>
          <w:tcPr>
            <w:tcW w:w="1980" w:type="dxa"/>
          </w:tcPr>
          <w:p w14:paraId="1C6DC175" w14:textId="5E994C3B" w:rsidR="00046E22" w:rsidRPr="0017109A" w:rsidRDefault="00046E22" w:rsidP="00046E22">
            <w:pPr>
              <w:pStyle w:val="SWCTableHeader"/>
              <w:rPr>
                <w:b w:val="0"/>
                <w:bCs w:val="0"/>
              </w:rPr>
            </w:pPr>
            <w:r w:rsidRPr="00046E22">
              <w:rPr>
                <w:b w:val="0"/>
                <w:bCs w:val="0"/>
              </w:rPr>
              <w:t>Mooring</w:t>
            </w:r>
          </w:p>
        </w:tc>
        <w:tc>
          <w:tcPr>
            <w:tcW w:w="2551" w:type="dxa"/>
          </w:tcPr>
          <w:p w14:paraId="39A36F4F" w14:textId="02FB3651" w:rsidR="00046E22" w:rsidRPr="0017109A" w:rsidRDefault="00046E22" w:rsidP="00046E22">
            <w:pPr>
              <w:pStyle w:val="SWCTableHeader"/>
              <w:rPr>
                <w:b w:val="0"/>
                <w:bCs w:val="0"/>
              </w:rPr>
            </w:pPr>
            <w:r w:rsidRPr="00046E22">
              <w:rPr>
                <w:b w:val="0"/>
                <w:bCs w:val="0"/>
              </w:rPr>
              <w:t>refused</w:t>
            </w:r>
          </w:p>
        </w:tc>
        <w:tc>
          <w:tcPr>
            <w:tcW w:w="4375" w:type="dxa"/>
          </w:tcPr>
          <w:p w14:paraId="4DF20051" w14:textId="3D61F72F" w:rsidR="00046E22" w:rsidRPr="0017109A" w:rsidRDefault="00046E22" w:rsidP="00046E22">
            <w:pPr>
              <w:pStyle w:val="SWCTableHeader"/>
              <w:rPr>
                <w:b w:val="0"/>
                <w:bCs w:val="0"/>
              </w:rPr>
            </w:pPr>
            <w:r w:rsidRPr="00046E22">
              <w:rPr>
                <w:b w:val="0"/>
                <w:bCs w:val="0"/>
              </w:rPr>
              <w:t>coupled loads; line, anchor and soil evidence</w:t>
            </w:r>
          </w:p>
        </w:tc>
      </w:tr>
      <w:tr w:rsidR="00046E22" w:rsidRPr="00F25E99" w14:paraId="255808DC" w14:textId="77777777" w:rsidTr="008A7B8B">
        <w:trPr>
          <w:jc w:val="center"/>
        </w:trPr>
        <w:tc>
          <w:tcPr>
            <w:tcW w:w="1980" w:type="dxa"/>
          </w:tcPr>
          <w:p w14:paraId="77F32973" w14:textId="06D27D7E" w:rsidR="00046E22" w:rsidRPr="0017109A" w:rsidRDefault="00046E22" w:rsidP="00046E22">
            <w:pPr>
              <w:pStyle w:val="SWCTableHeader"/>
              <w:rPr>
                <w:b w:val="0"/>
                <w:bCs w:val="0"/>
              </w:rPr>
            </w:pPr>
            <w:r w:rsidRPr="00046E22">
              <w:rPr>
                <w:b w:val="0"/>
                <w:bCs w:val="0"/>
              </w:rPr>
              <w:t>Geotechnics</w:t>
            </w:r>
          </w:p>
        </w:tc>
        <w:tc>
          <w:tcPr>
            <w:tcW w:w="2551" w:type="dxa"/>
          </w:tcPr>
          <w:p w14:paraId="468A1A03" w14:textId="431B0069" w:rsidR="00046E22" w:rsidRPr="0017109A" w:rsidRDefault="00046E22" w:rsidP="00046E22">
            <w:pPr>
              <w:pStyle w:val="SWCTableHeader"/>
              <w:rPr>
                <w:b w:val="0"/>
                <w:bCs w:val="0"/>
              </w:rPr>
            </w:pPr>
            <w:r w:rsidRPr="00046E22">
              <w:rPr>
                <w:b w:val="0"/>
                <w:bCs w:val="0"/>
              </w:rPr>
              <w:t>refused</w:t>
            </w:r>
          </w:p>
        </w:tc>
        <w:tc>
          <w:tcPr>
            <w:tcW w:w="4375" w:type="dxa"/>
          </w:tcPr>
          <w:p w14:paraId="3B14BB09" w14:textId="76CC7E9C" w:rsidR="00046E22" w:rsidRPr="0017109A" w:rsidRDefault="00046E22" w:rsidP="00046E22">
            <w:pPr>
              <w:pStyle w:val="SWCTableHeader"/>
              <w:rPr>
                <w:b w:val="0"/>
                <w:bCs w:val="0"/>
              </w:rPr>
            </w:pPr>
            <w:r w:rsidRPr="00046E22">
              <w:rPr>
                <w:b w:val="0"/>
                <w:bCs w:val="0"/>
              </w:rPr>
              <w:t>cone penetration tests, cores, strength and pull-out tests</w:t>
            </w:r>
          </w:p>
        </w:tc>
      </w:tr>
      <w:tr w:rsidR="00046E22" w:rsidRPr="00F25E99" w14:paraId="1B23C930" w14:textId="77777777" w:rsidTr="008A7B8B">
        <w:trPr>
          <w:jc w:val="center"/>
        </w:trPr>
        <w:tc>
          <w:tcPr>
            <w:tcW w:w="1980" w:type="dxa"/>
          </w:tcPr>
          <w:p w14:paraId="7F35C4C4" w14:textId="723393AF" w:rsidR="00046E22" w:rsidRPr="0017109A" w:rsidRDefault="00046E22" w:rsidP="00046E22">
            <w:pPr>
              <w:pStyle w:val="SWCTableHeader"/>
              <w:rPr>
                <w:b w:val="0"/>
                <w:bCs w:val="0"/>
              </w:rPr>
            </w:pPr>
            <w:r w:rsidRPr="00046E22">
              <w:rPr>
                <w:b w:val="0"/>
                <w:bCs w:val="0"/>
              </w:rPr>
              <w:t>Economics</w:t>
            </w:r>
          </w:p>
        </w:tc>
        <w:tc>
          <w:tcPr>
            <w:tcW w:w="2551" w:type="dxa"/>
          </w:tcPr>
          <w:p w14:paraId="4CCA81A6" w14:textId="1F2CBF22" w:rsidR="00046E22" w:rsidRPr="0017109A" w:rsidRDefault="00046E22" w:rsidP="00046E22">
            <w:pPr>
              <w:pStyle w:val="SWCTableHeader"/>
              <w:rPr>
                <w:b w:val="0"/>
                <w:bCs w:val="0"/>
              </w:rPr>
            </w:pPr>
            <w:r w:rsidRPr="00046E22">
              <w:rPr>
                <w:b w:val="0"/>
                <w:bCs w:val="0"/>
              </w:rPr>
              <w:t>refused</w:t>
            </w:r>
          </w:p>
        </w:tc>
        <w:tc>
          <w:tcPr>
            <w:tcW w:w="4375" w:type="dxa"/>
          </w:tcPr>
          <w:p w14:paraId="0FDC8D42" w14:textId="56DF5816" w:rsidR="00046E22" w:rsidRPr="0017109A" w:rsidRDefault="00046E22" w:rsidP="00046E22">
            <w:pPr>
              <w:pStyle w:val="SWCTableHeader"/>
              <w:rPr>
                <w:b w:val="0"/>
                <w:bCs w:val="0"/>
              </w:rPr>
            </w:pPr>
            <w:r w:rsidRPr="00046E22">
              <w:rPr>
                <w:b w:val="0"/>
                <w:bCs w:val="0"/>
              </w:rPr>
              <w:t>binding commercial, tax, debt and revenue terms</w:t>
            </w:r>
          </w:p>
        </w:tc>
      </w:tr>
    </w:tbl>
    <w:p w14:paraId="5915D9D1" w14:textId="462A10A2" w:rsidR="000A20A4" w:rsidRPr="00F25E99" w:rsidRDefault="000A20A4" w:rsidP="000A20A4">
      <w:pPr>
        <w:pStyle w:val="SWCTableFigureCaption"/>
        <w:rPr>
          <w:lang w:val="en-GB"/>
        </w:rPr>
      </w:pPr>
      <w:bookmarkStart w:id="8" w:name="Tab9"/>
      <w:r w:rsidRPr="00F25E99">
        <w:rPr>
          <w:lang w:val="en-GB"/>
        </w:rPr>
        <w:t xml:space="preserve">Tab. </w:t>
      </w:r>
      <w:r>
        <w:rPr>
          <w:lang w:val="en-GB"/>
        </w:rPr>
        <w:t>9</w:t>
      </w:r>
      <w:r w:rsidRPr="00F25E99">
        <w:rPr>
          <w:lang w:val="en-GB"/>
        </w:rPr>
        <w:t xml:space="preserve">: </w:t>
      </w:r>
      <w:r w:rsidRPr="000A20A4">
        <w:rPr>
          <w:lang w:val="en-GB"/>
        </w:rPr>
        <w:t>Reconciliation of the analytical screening hypsography used in the simulations against the measured depth–area table. The two are retained as distinct evidence objects.</w:t>
      </w:r>
      <w:bookmarkEnd w:id="8"/>
    </w:p>
    <w:tbl>
      <w:tblPr>
        <w:tblStyle w:val="TableGrid"/>
        <w:tblW w:w="0" w:type="auto"/>
        <w:jc w:val="center"/>
        <w:tblLook w:val="01E0" w:firstRow="1" w:lastRow="1" w:firstColumn="1" w:lastColumn="1" w:noHBand="0" w:noVBand="0"/>
      </w:tblPr>
      <w:tblGrid>
        <w:gridCol w:w="2689"/>
        <w:gridCol w:w="1984"/>
        <w:gridCol w:w="2268"/>
        <w:gridCol w:w="2123"/>
      </w:tblGrid>
      <w:tr w:rsidR="000A20A4" w:rsidRPr="005B3651" w14:paraId="72ED292C" w14:textId="77777777" w:rsidTr="008A7B8B">
        <w:trPr>
          <w:jc w:val="center"/>
        </w:trPr>
        <w:tc>
          <w:tcPr>
            <w:tcW w:w="2689" w:type="dxa"/>
          </w:tcPr>
          <w:p w14:paraId="365213F3" w14:textId="5A1F945B" w:rsidR="000A20A4" w:rsidRPr="005B3651" w:rsidRDefault="000A20A4" w:rsidP="000A20A4">
            <w:pPr>
              <w:pStyle w:val="SWCTableHeader"/>
            </w:pPr>
            <w:r w:rsidRPr="000A20A4">
              <w:lastRenderedPageBreak/>
              <w:t>Quantity</w:t>
            </w:r>
          </w:p>
        </w:tc>
        <w:tc>
          <w:tcPr>
            <w:tcW w:w="1984" w:type="dxa"/>
          </w:tcPr>
          <w:p w14:paraId="05D40FC5" w14:textId="4E9C49D2" w:rsidR="000A20A4" w:rsidRPr="005B3651" w:rsidRDefault="000A20A4" w:rsidP="000A20A4">
            <w:pPr>
              <w:pStyle w:val="SWCTableHeader"/>
            </w:pPr>
            <w:r w:rsidRPr="000A20A4">
              <w:t>Analytical (used)</w:t>
            </w:r>
          </w:p>
        </w:tc>
        <w:tc>
          <w:tcPr>
            <w:tcW w:w="2268" w:type="dxa"/>
          </w:tcPr>
          <w:p w14:paraId="336DBEC6" w14:textId="7CFFF3EA" w:rsidR="000A20A4" w:rsidRPr="0017109A" w:rsidRDefault="000A20A4" w:rsidP="000A20A4">
            <w:pPr>
              <w:pStyle w:val="SWCTableHeader"/>
            </w:pPr>
            <w:r w:rsidRPr="000A20A4">
              <w:t>Measured (candidate)</w:t>
            </w:r>
          </w:p>
        </w:tc>
        <w:tc>
          <w:tcPr>
            <w:tcW w:w="2123" w:type="dxa"/>
          </w:tcPr>
          <w:p w14:paraId="143C9357" w14:textId="73DC653D" w:rsidR="000A20A4" w:rsidRPr="005B3651" w:rsidRDefault="000A20A4" w:rsidP="000A20A4">
            <w:pPr>
              <w:pStyle w:val="SWCTableHeader"/>
            </w:pPr>
            <w:r w:rsidRPr="000A20A4">
              <w:t>Difference</w:t>
            </w:r>
          </w:p>
        </w:tc>
      </w:tr>
      <w:tr w:rsidR="000A20A4" w:rsidRPr="00F25E99" w14:paraId="066E2E91" w14:textId="77777777" w:rsidTr="008A7B8B">
        <w:trPr>
          <w:jc w:val="center"/>
        </w:trPr>
        <w:tc>
          <w:tcPr>
            <w:tcW w:w="2689" w:type="dxa"/>
          </w:tcPr>
          <w:p w14:paraId="0F518283" w14:textId="40A7F149" w:rsidR="000A20A4" w:rsidRPr="00F25E99" w:rsidRDefault="000A20A4" w:rsidP="000A20A4">
            <w:pPr>
              <w:pStyle w:val="SWCTableHeader"/>
              <w:rPr>
                <w:b w:val="0"/>
                <w:bCs w:val="0"/>
              </w:rPr>
            </w:pPr>
            <w:r w:rsidRPr="000A20A4">
              <w:rPr>
                <w:b w:val="0"/>
                <w:bCs w:val="0"/>
              </w:rPr>
              <w:t>Surface area</w:t>
            </w:r>
          </w:p>
        </w:tc>
        <w:tc>
          <w:tcPr>
            <w:tcW w:w="1984" w:type="dxa"/>
          </w:tcPr>
          <w:p w14:paraId="45088314" w14:textId="687F6513" w:rsidR="000A20A4" w:rsidRPr="00F25E99" w:rsidRDefault="000A20A4" w:rsidP="000A20A4">
            <w:pPr>
              <w:pStyle w:val="SWCTableHeader"/>
              <w:rPr>
                <w:b w:val="0"/>
                <w:bCs w:val="0"/>
              </w:rPr>
            </w:pPr>
            <w:r w:rsidRPr="000A20A4">
              <w:rPr>
                <w:b w:val="0"/>
                <w:bCs w:val="0"/>
              </w:rPr>
              <w:t>44.500 km</w:t>
            </w:r>
            <w:r w:rsidRPr="008A7B8B">
              <w:rPr>
                <w:b w:val="0"/>
                <w:bCs w:val="0"/>
                <w:vertAlign w:val="superscript"/>
              </w:rPr>
              <w:t>2</w:t>
            </w:r>
          </w:p>
        </w:tc>
        <w:tc>
          <w:tcPr>
            <w:tcW w:w="2268" w:type="dxa"/>
          </w:tcPr>
          <w:p w14:paraId="72996589" w14:textId="38D1C93F" w:rsidR="000A20A4" w:rsidRPr="0017109A" w:rsidRDefault="000A20A4" w:rsidP="000A20A4">
            <w:pPr>
              <w:pStyle w:val="SWCTableHeader"/>
              <w:rPr>
                <w:b w:val="0"/>
                <w:bCs w:val="0"/>
              </w:rPr>
            </w:pPr>
            <w:r w:rsidRPr="000A20A4">
              <w:rPr>
                <w:b w:val="0"/>
                <w:bCs w:val="0"/>
              </w:rPr>
              <w:t>42.575 km</w:t>
            </w:r>
            <w:r w:rsidRPr="008A7B8B">
              <w:rPr>
                <w:b w:val="0"/>
                <w:bCs w:val="0"/>
                <w:vertAlign w:val="superscript"/>
              </w:rPr>
              <w:t>2</w:t>
            </w:r>
          </w:p>
        </w:tc>
        <w:tc>
          <w:tcPr>
            <w:tcW w:w="2123" w:type="dxa"/>
          </w:tcPr>
          <w:p w14:paraId="01D93FB8" w14:textId="2AE6E77C" w:rsidR="000A20A4" w:rsidRPr="00F25E99" w:rsidRDefault="000A20A4" w:rsidP="000A20A4">
            <w:pPr>
              <w:pStyle w:val="SWCTableHeader"/>
              <w:rPr>
                <w:b w:val="0"/>
                <w:bCs w:val="0"/>
              </w:rPr>
            </w:pPr>
            <w:r w:rsidRPr="000A20A4">
              <w:rPr>
                <w:b w:val="0"/>
                <w:bCs w:val="0"/>
              </w:rPr>
              <w:t>−4.33%</w:t>
            </w:r>
          </w:p>
        </w:tc>
      </w:tr>
      <w:tr w:rsidR="000A20A4" w:rsidRPr="00F25E99" w14:paraId="689A4332" w14:textId="77777777" w:rsidTr="000A20A4">
        <w:trPr>
          <w:jc w:val="center"/>
        </w:trPr>
        <w:tc>
          <w:tcPr>
            <w:tcW w:w="2689" w:type="dxa"/>
          </w:tcPr>
          <w:p w14:paraId="0E546B3A" w14:textId="527A10BB" w:rsidR="000A20A4" w:rsidRPr="000A20A4" w:rsidRDefault="000A20A4" w:rsidP="000A20A4">
            <w:pPr>
              <w:pStyle w:val="SWCTableHeader"/>
              <w:rPr>
                <w:b w:val="0"/>
                <w:bCs w:val="0"/>
              </w:rPr>
            </w:pPr>
            <w:r w:rsidRPr="000A20A4">
              <w:rPr>
                <w:b w:val="0"/>
                <w:bCs w:val="0"/>
              </w:rPr>
              <w:t>Volume</w:t>
            </w:r>
          </w:p>
        </w:tc>
        <w:tc>
          <w:tcPr>
            <w:tcW w:w="1984" w:type="dxa"/>
          </w:tcPr>
          <w:p w14:paraId="57A23FCC" w14:textId="78B60728" w:rsidR="000A20A4" w:rsidRPr="00823D5E" w:rsidRDefault="000A20A4" w:rsidP="000A20A4">
            <w:pPr>
              <w:pStyle w:val="SWCTableHeader"/>
              <w:rPr>
                <w:b w:val="0"/>
                <w:bCs w:val="0"/>
              </w:rPr>
            </w:pPr>
            <w:r w:rsidRPr="000A20A4">
              <w:rPr>
                <w:b w:val="0"/>
                <w:bCs w:val="0"/>
              </w:rPr>
              <w:t>3.600 km</w:t>
            </w:r>
            <w:r w:rsidRPr="008A7B8B">
              <w:rPr>
                <w:b w:val="0"/>
                <w:bCs w:val="0"/>
                <w:vertAlign w:val="superscript"/>
              </w:rPr>
              <w:t>3</w:t>
            </w:r>
          </w:p>
        </w:tc>
        <w:tc>
          <w:tcPr>
            <w:tcW w:w="2268" w:type="dxa"/>
          </w:tcPr>
          <w:p w14:paraId="06766A00" w14:textId="38C142F2" w:rsidR="000A20A4" w:rsidRPr="00823D5E" w:rsidRDefault="000A20A4" w:rsidP="000A20A4">
            <w:pPr>
              <w:pStyle w:val="SWCTableHeader"/>
              <w:rPr>
                <w:b w:val="0"/>
                <w:bCs w:val="0"/>
              </w:rPr>
            </w:pPr>
            <w:r w:rsidRPr="000A20A4">
              <w:rPr>
                <w:b w:val="0"/>
                <w:bCs w:val="0"/>
              </w:rPr>
              <w:t>3.492 km</w:t>
            </w:r>
            <w:r w:rsidRPr="008A7B8B">
              <w:rPr>
                <w:b w:val="0"/>
                <w:bCs w:val="0"/>
                <w:vertAlign w:val="superscript"/>
              </w:rPr>
              <w:t>3</w:t>
            </w:r>
          </w:p>
        </w:tc>
        <w:tc>
          <w:tcPr>
            <w:tcW w:w="2123" w:type="dxa"/>
          </w:tcPr>
          <w:p w14:paraId="07CD4344" w14:textId="149998FA" w:rsidR="000A20A4" w:rsidRPr="00823D5E" w:rsidRDefault="000A20A4" w:rsidP="000A20A4">
            <w:pPr>
              <w:pStyle w:val="SWCTableHeader"/>
              <w:rPr>
                <w:b w:val="0"/>
                <w:bCs w:val="0"/>
              </w:rPr>
            </w:pPr>
            <w:r w:rsidRPr="000A20A4">
              <w:rPr>
                <w:b w:val="0"/>
                <w:bCs w:val="0"/>
              </w:rPr>
              <w:t>−3.00%</w:t>
            </w:r>
          </w:p>
        </w:tc>
      </w:tr>
      <w:tr w:rsidR="000A20A4" w:rsidRPr="00F25E99" w14:paraId="2D5F74FB" w14:textId="77777777" w:rsidTr="000A20A4">
        <w:trPr>
          <w:jc w:val="center"/>
        </w:trPr>
        <w:tc>
          <w:tcPr>
            <w:tcW w:w="2689" w:type="dxa"/>
          </w:tcPr>
          <w:p w14:paraId="254EAE9B" w14:textId="7016EC02" w:rsidR="000A20A4" w:rsidRPr="000A20A4" w:rsidRDefault="000A20A4" w:rsidP="000A20A4">
            <w:pPr>
              <w:pStyle w:val="SWCTableHeader"/>
              <w:rPr>
                <w:b w:val="0"/>
                <w:bCs w:val="0"/>
              </w:rPr>
            </w:pPr>
            <w:r w:rsidRPr="000A20A4">
              <w:rPr>
                <w:b w:val="0"/>
                <w:bCs w:val="0"/>
              </w:rPr>
              <w:t>Mean depth</w:t>
            </w:r>
          </w:p>
        </w:tc>
        <w:tc>
          <w:tcPr>
            <w:tcW w:w="1984" w:type="dxa"/>
          </w:tcPr>
          <w:p w14:paraId="568D3ADC" w14:textId="0A503A8A" w:rsidR="000A20A4" w:rsidRPr="00823D5E" w:rsidRDefault="000A20A4" w:rsidP="000A20A4">
            <w:pPr>
              <w:pStyle w:val="SWCTableHeader"/>
              <w:rPr>
                <w:b w:val="0"/>
                <w:bCs w:val="0"/>
              </w:rPr>
            </w:pPr>
            <w:r w:rsidRPr="000A20A4">
              <w:rPr>
                <w:b w:val="0"/>
                <w:bCs w:val="0"/>
              </w:rPr>
              <w:t>80.899 m</w:t>
            </w:r>
          </w:p>
        </w:tc>
        <w:tc>
          <w:tcPr>
            <w:tcW w:w="2268" w:type="dxa"/>
          </w:tcPr>
          <w:p w14:paraId="0317FFDD" w14:textId="3D0398B3" w:rsidR="000A20A4" w:rsidRPr="00823D5E" w:rsidRDefault="000A20A4" w:rsidP="000A20A4">
            <w:pPr>
              <w:pStyle w:val="SWCTableHeader"/>
              <w:rPr>
                <w:b w:val="0"/>
                <w:bCs w:val="0"/>
              </w:rPr>
            </w:pPr>
            <w:r w:rsidRPr="000A20A4">
              <w:rPr>
                <w:b w:val="0"/>
                <w:bCs w:val="0"/>
              </w:rPr>
              <w:t>82.020 m</w:t>
            </w:r>
          </w:p>
        </w:tc>
        <w:tc>
          <w:tcPr>
            <w:tcW w:w="2123" w:type="dxa"/>
          </w:tcPr>
          <w:p w14:paraId="4ABF7104" w14:textId="7B3EC3EA" w:rsidR="000A20A4" w:rsidRPr="00823D5E" w:rsidRDefault="000A20A4" w:rsidP="000A20A4">
            <w:pPr>
              <w:pStyle w:val="SWCTableHeader"/>
              <w:rPr>
                <w:b w:val="0"/>
                <w:bCs w:val="0"/>
              </w:rPr>
            </w:pPr>
            <w:r w:rsidRPr="000A20A4">
              <w:rPr>
                <w:b w:val="0"/>
                <w:bCs w:val="0"/>
              </w:rPr>
              <w:t>+1.39%</w:t>
            </w:r>
          </w:p>
        </w:tc>
      </w:tr>
      <w:tr w:rsidR="000A20A4" w:rsidRPr="00F25E99" w14:paraId="2A202E91" w14:textId="77777777" w:rsidTr="000A20A4">
        <w:trPr>
          <w:jc w:val="center"/>
        </w:trPr>
        <w:tc>
          <w:tcPr>
            <w:tcW w:w="2689" w:type="dxa"/>
          </w:tcPr>
          <w:p w14:paraId="622F329B" w14:textId="2ED04838" w:rsidR="000A20A4" w:rsidRPr="000A20A4" w:rsidRDefault="000A20A4" w:rsidP="000A20A4">
            <w:pPr>
              <w:pStyle w:val="SWCTableHeader"/>
              <w:rPr>
                <w:b w:val="0"/>
                <w:bCs w:val="0"/>
              </w:rPr>
            </w:pPr>
            <w:r w:rsidRPr="000A20A4">
              <w:rPr>
                <w:b w:val="0"/>
                <w:bCs w:val="0"/>
              </w:rPr>
              <w:t>Maximum depth</w:t>
            </w:r>
          </w:p>
        </w:tc>
        <w:tc>
          <w:tcPr>
            <w:tcW w:w="1984" w:type="dxa"/>
          </w:tcPr>
          <w:p w14:paraId="47B55467" w14:textId="25AEBB59" w:rsidR="000A20A4" w:rsidRPr="00823D5E" w:rsidRDefault="000A20A4" w:rsidP="000A20A4">
            <w:pPr>
              <w:pStyle w:val="SWCTableHeader"/>
              <w:rPr>
                <w:b w:val="0"/>
                <w:bCs w:val="0"/>
              </w:rPr>
            </w:pPr>
            <w:r w:rsidRPr="000A20A4">
              <w:rPr>
                <w:b w:val="0"/>
                <w:bCs w:val="0"/>
              </w:rPr>
              <w:t>147 m</w:t>
            </w:r>
          </w:p>
        </w:tc>
        <w:tc>
          <w:tcPr>
            <w:tcW w:w="2268" w:type="dxa"/>
          </w:tcPr>
          <w:p w14:paraId="1273C312" w14:textId="2B2028BB" w:rsidR="000A20A4" w:rsidRPr="00823D5E" w:rsidRDefault="000A20A4" w:rsidP="000A20A4">
            <w:pPr>
              <w:pStyle w:val="SWCTableHeader"/>
              <w:rPr>
                <w:b w:val="0"/>
                <w:bCs w:val="0"/>
              </w:rPr>
            </w:pPr>
            <w:r w:rsidRPr="000A20A4">
              <w:rPr>
                <w:b w:val="0"/>
                <w:bCs w:val="0"/>
              </w:rPr>
              <w:t>144 m</w:t>
            </w:r>
          </w:p>
        </w:tc>
        <w:tc>
          <w:tcPr>
            <w:tcW w:w="2123" w:type="dxa"/>
          </w:tcPr>
          <w:p w14:paraId="7E0F403C" w14:textId="08BD4069" w:rsidR="000A20A4" w:rsidRPr="00823D5E" w:rsidRDefault="000A20A4" w:rsidP="000A20A4">
            <w:pPr>
              <w:pStyle w:val="SWCTableHeader"/>
              <w:rPr>
                <w:b w:val="0"/>
                <w:bCs w:val="0"/>
              </w:rPr>
            </w:pPr>
            <w:r w:rsidRPr="000A20A4">
              <w:rPr>
                <w:b w:val="0"/>
                <w:bCs w:val="0"/>
              </w:rPr>
              <w:t>—</w:t>
            </w:r>
          </w:p>
        </w:tc>
      </w:tr>
    </w:tbl>
    <w:p w14:paraId="5511CE35" w14:textId="1E59323A" w:rsidR="00843FDB" w:rsidRPr="008A7B8B" w:rsidRDefault="00843FDB" w:rsidP="008A7B8B">
      <w:pPr>
        <w:pStyle w:val="SWCTableFigureCaption"/>
      </w:pPr>
    </w:p>
    <w:p w14:paraId="68094616" w14:textId="52A71327" w:rsidR="009F6AF8" w:rsidRPr="005B3651" w:rsidRDefault="00B9209A" w:rsidP="009F7C7E">
      <w:pPr>
        <w:pStyle w:val="SWCHeading11"/>
      </w:pPr>
      <w:r>
        <w:t>8</w:t>
      </w:r>
      <w:r w:rsidR="0084100F" w:rsidRPr="005B3651">
        <w:t xml:space="preserve">.2. </w:t>
      </w:r>
      <w:r w:rsidR="009F6AF8" w:rsidRPr="005B3651">
        <w:t>Figures</w:t>
      </w:r>
    </w:p>
    <w:p w14:paraId="1A2D2BDD" w14:textId="77777777" w:rsidR="00E3089A" w:rsidRDefault="00062532" w:rsidP="00A92044">
      <w:pPr>
        <w:pStyle w:val="SWCTableFigureCaption"/>
        <w:rPr>
          <w:b w:val="0"/>
          <w:sz w:val="20"/>
          <w:szCs w:val="22"/>
          <w:lang w:val="en-GB"/>
        </w:rPr>
      </w:pPr>
      <w:r w:rsidRPr="00B74392">
        <w:rPr>
          <w:noProof/>
        </w:rPr>
        <w:drawing>
          <wp:inline distT="0" distB="0" distL="0" distR="0" wp14:anchorId="008078B4" wp14:editId="7E012AEF">
            <wp:extent cx="3968750" cy="1643584"/>
            <wp:effectExtent l="0" t="0" r="0" b="0"/>
            <wp:docPr id="632529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29708" name=""/>
                    <pic:cNvPicPr/>
                  </pic:nvPicPr>
                  <pic:blipFill>
                    <a:blip r:embed="rId8"/>
                    <a:stretch>
                      <a:fillRect/>
                    </a:stretch>
                  </pic:blipFill>
                  <pic:spPr>
                    <a:xfrm>
                      <a:off x="0" y="0"/>
                      <a:ext cx="3983262" cy="1649594"/>
                    </a:xfrm>
                    <a:prstGeom prst="rect">
                      <a:avLst/>
                    </a:prstGeom>
                  </pic:spPr>
                </pic:pic>
              </a:graphicData>
            </a:graphic>
          </wp:inline>
        </w:drawing>
      </w:r>
    </w:p>
    <w:p w14:paraId="1945CE23" w14:textId="49A9B929" w:rsidR="002972D1" w:rsidRDefault="00837104" w:rsidP="00E3089A">
      <w:pPr>
        <w:pStyle w:val="SWCTableFigureCaption"/>
        <w:rPr>
          <w:lang w:val="en-GB"/>
        </w:rPr>
      </w:pPr>
      <w:bookmarkStart w:id="9" w:name="Fig1"/>
      <w:r w:rsidRPr="00062532">
        <w:rPr>
          <w:lang w:val="en-GB"/>
        </w:rPr>
        <w:t>Fig. 1:</w:t>
      </w:r>
      <w:r w:rsidR="002E5D62" w:rsidRPr="00062532">
        <w:rPr>
          <w:lang w:val="en-GB"/>
        </w:rPr>
        <w:t xml:space="preserve"> </w:t>
      </w:r>
      <w:r w:rsidR="00E3089A">
        <w:rPr>
          <w:lang w:val="en-GB"/>
        </w:rPr>
        <w:t>R</w:t>
      </w:r>
      <w:r w:rsidR="00E3089A" w:rsidRPr="00E3089A">
        <w:rPr>
          <w:lang w:val="en-GB"/>
        </w:rPr>
        <w:t>esulting evidence lineage</w:t>
      </w:r>
      <w:r w:rsidR="00E3089A">
        <w:rPr>
          <w:lang w:val="en-GB"/>
        </w:rPr>
        <w:t xml:space="preserve">: </w:t>
      </w:r>
      <w:r w:rsidR="00E3089A" w:rsidRPr="00E3089A">
        <w:rPr>
          <w:lang w:val="en-GB"/>
        </w:rPr>
        <w:t>the original response is captured and hashed, normalized with explicit quality</w:t>
      </w:r>
      <w:r w:rsidR="00E3089A">
        <w:rPr>
          <w:lang w:val="en-GB"/>
        </w:rPr>
        <w:t xml:space="preserve"> </w:t>
      </w:r>
      <w:r w:rsidR="00E3089A" w:rsidRPr="00E3089A">
        <w:rPr>
          <w:lang w:val="en-GB"/>
        </w:rPr>
        <w:t>rules, executed by a pinned method, and exported with its claim level.</w:t>
      </w:r>
      <w:bookmarkEnd w:id="9"/>
    </w:p>
    <w:p w14:paraId="7AEBB24D" w14:textId="60BF00D0" w:rsidR="000E5FA1" w:rsidRDefault="000E5FA1" w:rsidP="000E5FA1">
      <w:pPr>
        <w:pStyle w:val="SWCTableFigureCaption"/>
        <w:rPr>
          <w:b w:val="0"/>
          <w:sz w:val="20"/>
          <w:szCs w:val="22"/>
          <w:lang w:val="en-GB"/>
        </w:rPr>
      </w:pPr>
      <w:r w:rsidRPr="000E5FA1">
        <w:rPr>
          <w:noProof/>
        </w:rPr>
        <w:drawing>
          <wp:inline distT="0" distB="0" distL="0" distR="0" wp14:anchorId="56B9016D" wp14:editId="31D27CD1">
            <wp:extent cx="5033679" cy="2032000"/>
            <wp:effectExtent l="0" t="0" r="0" b="6350"/>
            <wp:docPr id="1452645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645849" name=""/>
                    <pic:cNvPicPr/>
                  </pic:nvPicPr>
                  <pic:blipFill>
                    <a:blip r:embed="rId9"/>
                    <a:stretch>
                      <a:fillRect/>
                    </a:stretch>
                  </pic:blipFill>
                  <pic:spPr>
                    <a:xfrm>
                      <a:off x="0" y="0"/>
                      <a:ext cx="5034853" cy="2032474"/>
                    </a:xfrm>
                    <a:prstGeom prst="rect">
                      <a:avLst/>
                    </a:prstGeom>
                  </pic:spPr>
                </pic:pic>
              </a:graphicData>
            </a:graphic>
          </wp:inline>
        </w:drawing>
      </w:r>
    </w:p>
    <w:p w14:paraId="3F241F15" w14:textId="04C5FF6A" w:rsidR="000E5FA1" w:rsidRDefault="000E5FA1" w:rsidP="000E5FA1">
      <w:pPr>
        <w:pStyle w:val="SWCTableFigureCaption"/>
        <w:rPr>
          <w:lang w:val="en-GB"/>
        </w:rPr>
      </w:pPr>
      <w:bookmarkStart w:id="10" w:name="Fig2"/>
      <w:r w:rsidRPr="00062532">
        <w:rPr>
          <w:lang w:val="en-GB"/>
        </w:rPr>
        <w:t xml:space="preserve">Fig. </w:t>
      </w:r>
      <w:r>
        <w:rPr>
          <w:lang w:val="en-GB"/>
        </w:rPr>
        <w:t>2</w:t>
      </w:r>
      <w:r w:rsidRPr="00062532">
        <w:rPr>
          <w:lang w:val="en-GB"/>
        </w:rPr>
        <w:t xml:space="preserve">: </w:t>
      </w:r>
      <w:r w:rsidRPr="000E5FA1">
        <w:rPr>
          <w:lang w:val="en-GB"/>
        </w:rPr>
        <w:t xml:space="preserve">Left: </w:t>
      </w:r>
      <w:proofErr w:type="spellStart"/>
      <w:r w:rsidRPr="000E5FA1">
        <w:rPr>
          <w:lang w:val="en-GB"/>
        </w:rPr>
        <w:t>modeled</w:t>
      </w:r>
      <w:proofErr w:type="spellEnd"/>
      <w:r w:rsidRPr="000E5FA1">
        <w:rPr>
          <w:lang w:val="en-GB"/>
        </w:rPr>
        <w:t xml:space="preserve"> versus observed temperatures for calibration and the predeclared held-out profile. Right: whole-profile RMSE for 96 additional optimizer-unseen dates with the acceptance ceiling shown explicitly.</w:t>
      </w:r>
      <w:bookmarkEnd w:id="10"/>
    </w:p>
    <w:p w14:paraId="65760021" w14:textId="47AED5FD" w:rsidR="001F1509" w:rsidRDefault="00394675" w:rsidP="001F1509">
      <w:pPr>
        <w:pStyle w:val="SWCTableFigureCaption"/>
        <w:rPr>
          <w:b w:val="0"/>
          <w:sz w:val="20"/>
          <w:szCs w:val="22"/>
          <w:lang w:val="en-GB"/>
        </w:rPr>
      </w:pPr>
      <w:r w:rsidRPr="00394675">
        <w:rPr>
          <w:noProof/>
        </w:rPr>
        <w:drawing>
          <wp:inline distT="0" distB="0" distL="0" distR="0" wp14:anchorId="5B69201A" wp14:editId="3D475E9F">
            <wp:extent cx="5197957" cy="1935056"/>
            <wp:effectExtent l="0" t="0" r="0" b="1270"/>
            <wp:docPr id="1329703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703979" name=""/>
                    <pic:cNvPicPr/>
                  </pic:nvPicPr>
                  <pic:blipFill>
                    <a:blip r:embed="rId10"/>
                    <a:stretch>
                      <a:fillRect/>
                    </a:stretch>
                  </pic:blipFill>
                  <pic:spPr>
                    <a:xfrm>
                      <a:off x="0" y="0"/>
                      <a:ext cx="5197957" cy="1935056"/>
                    </a:xfrm>
                    <a:prstGeom prst="rect">
                      <a:avLst/>
                    </a:prstGeom>
                  </pic:spPr>
                </pic:pic>
              </a:graphicData>
            </a:graphic>
          </wp:inline>
        </w:drawing>
      </w:r>
    </w:p>
    <w:p w14:paraId="4F095B33" w14:textId="2F15B3E6" w:rsidR="000E5FA1" w:rsidRDefault="001F1509" w:rsidP="00394675">
      <w:pPr>
        <w:pStyle w:val="SWCTableFigureCaption"/>
        <w:rPr>
          <w:lang w:val="en-GB"/>
        </w:rPr>
      </w:pPr>
      <w:bookmarkStart w:id="11" w:name="Fig3"/>
      <w:r w:rsidRPr="00062532">
        <w:rPr>
          <w:lang w:val="en-GB"/>
        </w:rPr>
        <w:t xml:space="preserve">Fig. </w:t>
      </w:r>
      <w:r w:rsidR="00394675">
        <w:rPr>
          <w:lang w:val="en-GB"/>
        </w:rPr>
        <w:t>3</w:t>
      </w:r>
      <w:r w:rsidRPr="00062532">
        <w:rPr>
          <w:lang w:val="en-GB"/>
        </w:rPr>
        <w:t xml:space="preserve">: </w:t>
      </w:r>
      <w:r w:rsidR="00394675" w:rsidRPr="00394675">
        <w:rPr>
          <w:lang w:val="en-GB"/>
        </w:rPr>
        <w:t>Low, central, and high transferred shielding scenarios. Nonlinearity and band divergence show why a single universal FPV coefficient is not defensible.</w:t>
      </w:r>
      <w:bookmarkEnd w:id="11"/>
    </w:p>
    <w:p w14:paraId="5A70B26B" w14:textId="3B7BCF0A" w:rsidR="00394675" w:rsidRDefault="00394675" w:rsidP="00394675">
      <w:pPr>
        <w:pStyle w:val="SWCTableFigureCaption"/>
        <w:rPr>
          <w:b w:val="0"/>
          <w:sz w:val="20"/>
          <w:szCs w:val="22"/>
          <w:lang w:val="en-GB"/>
        </w:rPr>
      </w:pPr>
      <w:r w:rsidRPr="00394675">
        <w:rPr>
          <w:noProof/>
        </w:rPr>
        <w:lastRenderedPageBreak/>
        <w:drawing>
          <wp:inline distT="0" distB="0" distL="0" distR="0" wp14:anchorId="6600E3E0" wp14:editId="39720B92">
            <wp:extent cx="5334000" cy="2450090"/>
            <wp:effectExtent l="0" t="0" r="0" b="7620"/>
            <wp:docPr id="1271347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347155" name=""/>
                    <pic:cNvPicPr/>
                  </pic:nvPicPr>
                  <pic:blipFill>
                    <a:blip r:embed="rId11"/>
                    <a:stretch>
                      <a:fillRect/>
                    </a:stretch>
                  </pic:blipFill>
                  <pic:spPr>
                    <a:xfrm>
                      <a:off x="0" y="0"/>
                      <a:ext cx="5337895" cy="2451879"/>
                    </a:xfrm>
                    <a:prstGeom prst="rect">
                      <a:avLst/>
                    </a:prstGeom>
                  </pic:spPr>
                </pic:pic>
              </a:graphicData>
            </a:graphic>
          </wp:inline>
        </w:drawing>
      </w:r>
    </w:p>
    <w:p w14:paraId="76DF937D" w14:textId="3AD058D9" w:rsidR="00394675" w:rsidRPr="00062532" w:rsidRDefault="00394675" w:rsidP="00C06336">
      <w:pPr>
        <w:pStyle w:val="SWCTableFigureCaption"/>
        <w:rPr>
          <w:lang w:val="en-GB"/>
        </w:rPr>
      </w:pPr>
      <w:bookmarkStart w:id="12" w:name="Fig4"/>
      <w:r w:rsidRPr="00062532">
        <w:rPr>
          <w:lang w:val="en-GB"/>
        </w:rPr>
        <w:t xml:space="preserve">Fig. </w:t>
      </w:r>
      <w:r>
        <w:rPr>
          <w:lang w:val="en-GB"/>
        </w:rPr>
        <w:t>4</w:t>
      </w:r>
      <w:r w:rsidRPr="00062532">
        <w:rPr>
          <w:lang w:val="en-GB"/>
        </w:rPr>
        <w:t xml:space="preserve">: </w:t>
      </w:r>
      <w:r w:rsidR="00C06336" w:rsidRPr="00C06336">
        <w:rPr>
          <w:lang w:val="en-GB"/>
        </w:rPr>
        <w:t xml:space="preserve">Monthly PVGIS and </w:t>
      </w:r>
      <w:proofErr w:type="spellStart"/>
      <w:r w:rsidR="00C06336" w:rsidRPr="00C06336">
        <w:rPr>
          <w:lang w:val="en-GB"/>
        </w:rPr>
        <w:t>PySAM</w:t>
      </w:r>
      <w:proofErr w:type="spellEnd"/>
      <w:r w:rsidR="00C06336" w:rsidRPr="00C06336">
        <w:rPr>
          <w:lang w:val="en-GB"/>
        </w:rPr>
        <w:t>/</w:t>
      </w:r>
      <w:proofErr w:type="spellStart"/>
      <w:r w:rsidR="00EB35FF">
        <w:rPr>
          <w:lang w:val="en-GB"/>
        </w:rPr>
        <w:fldChar w:fldCharType="begin"/>
      </w:r>
      <w:r w:rsidR="00EB35FF">
        <w:rPr>
          <w:lang w:val="en-GB"/>
        </w:rPr>
        <w:instrText>HYPERLINK  \l "Ref14"</w:instrText>
      </w:r>
      <w:r w:rsidR="00EB35FF">
        <w:rPr>
          <w:lang w:val="en-GB"/>
        </w:rPr>
      </w:r>
      <w:r w:rsidR="00EB35FF">
        <w:rPr>
          <w:lang w:val="en-GB"/>
        </w:rPr>
        <w:fldChar w:fldCharType="separate"/>
      </w:r>
      <w:r w:rsidR="00C06336" w:rsidRPr="00EB35FF">
        <w:rPr>
          <w:rStyle w:val="Hyperlink"/>
          <w:lang w:val="en-GB"/>
        </w:rPr>
        <w:t>PVWatts</w:t>
      </w:r>
      <w:proofErr w:type="spellEnd"/>
      <w:r w:rsidR="00EB35FF">
        <w:rPr>
          <w:lang w:val="en-GB"/>
        </w:rPr>
        <w:fldChar w:fldCharType="end"/>
      </w:r>
      <w:r w:rsidR="00C06336" w:rsidRPr="00C06336">
        <w:rPr>
          <w:lang w:val="en-GB"/>
        </w:rPr>
        <w:t xml:space="preserve"> outputs under the same </w:t>
      </w:r>
      <w:proofErr w:type="gramStart"/>
      <w:r w:rsidR="00C06336" w:rsidRPr="00C06336">
        <w:rPr>
          <w:lang w:val="en-GB"/>
        </w:rPr>
        <w:t>horizontal-plane</w:t>
      </w:r>
      <w:proofErr w:type="gramEnd"/>
      <w:r w:rsidR="00C06336" w:rsidRPr="00C06336">
        <w:rPr>
          <w:lang w:val="en-GB"/>
        </w:rPr>
        <w:t xml:space="preserve"> re source. The profile is more informative than an annual scalar but remains a shared-input implementation check.</w:t>
      </w:r>
      <w:bookmarkEnd w:id="12"/>
    </w:p>
    <w:p w14:paraId="2601D47B" w14:textId="5734FF1A" w:rsidR="0084100F" w:rsidRPr="005B3651" w:rsidRDefault="009C3492" w:rsidP="0084100F">
      <w:pPr>
        <w:pStyle w:val="SWCHeading11"/>
      </w:pPr>
      <w:r w:rsidRPr="005B3651">
        <w:br/>
      </w:r>
      <w:r w:rsidR="00B9209A">
        <w:t>8</w:t>
      </w:r>
      <w:r w:rsidR="0084100F" w:rsidRPr="005B3651">
        <w:t>.3 Equations</w:t>
      </w:r>
    </w:p>
    <w:p w14:paraId="17008F4E" w14:textId="26ABD05B" w:rsidR="00062532" w:rsidRDefault="00000000" w:rsidP="00166C42">
      <w:pPr>
        <w:pStyle w:val="SWCText"/>
        <w:rPr>
          <w:lang w:val="en-GB"/>
        </w:rPr>
      </w:pPr>
      <m:oMath>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result</m:t>
            </m:r>
          </m:sub>
        </m:sSub>
        <m:r>
          <w:rPr>
            <w:rFonts w:ascii="Cambria Math" w:hAnsi="Cambria Math"/>
            <w:lang w:val="en-GB"/>
          </w:rPr>
          <m:t>=</m:t>
        </m:r>
        <m:r>
          <m:rPr>
            <m:sty m:val="p"/>
          </m:rPr>
          <w:rPr>
            <w:rFonts w:ascii="Cambria Math" w:hAnsi="Cambria Math"/>
            <w:lang w:val="en-GB"/>
          </w:rPr>
          <m:t>min⁡</m:t>
        </m:r>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method</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input,1</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L</m:t>
            </m:r>
          </m:e>
          <m:sub>
            <m:r>
              <w:rPr>
                <w:rFonts w:ascii="Cambria Math" w:hAnsi="Cambria Math"/>
                <w:lang w:val="en-GB"/>
              </w:rPr>
              <m:t>input,n</m:t>
            </m:r>
          </m:sub>
        </m:sSub>
        <m:r>
          <w:rPr>
            <w:rFonts w:ascii="Cambria Math" w:hAnsi="Cambria Math"/>
            <w:lang w:val="en-GB"/>
          </w:rPr>
          <m:t>)</m:t>
        </m:r>
      </m:oMath>
      <w:r w:rsidR="00062532">
        <w:rPr>
          <w:lang w:val="en-GB"/>
        </w:rPr>
        <w:t xml:space="preserve">                                          </w:t>
      </w:r>
      <w:bookmarkStart w:id="13" w:name="eq1"/>
      <w:r w:rsidR="00062532">
        <w:rPr>
          <w:lang w:val="en-GB"/>
        </w:rPr>
        <w:t>(eq. 1)</w:t>
      </w:r>
      <w:bookmarkEnd w:id="13"/>
    </w:p>
    <w:p w14:paraId="6278FBC8" w14:textId="77777777" w:rsidR="008A7B8B" w:rsidRDefault="005C3FC8" w:rsidP="00166C42">
      <w:pPr>
        <w:pStyle w:val="SWCText"/>
      </w:pPr>
      <m:oMath>
        <m:r>
          <w:rPr>
            <w:rFonts w:ascii="Cambria Math" w:hAnsi="Cambria Math"/>
            <w:lang w:val="en-GB"/>
          </w:rPr>
          <m:t>A</m:t>
        </m:r>
        <m:d>
          <m:dPr>
            <m:ctrlPr>
              <w:rPr>
                <w:rFonts w:ascii="Cambria Math" w:hAnsi="Cambria Math"/>
                <w:i/>
                <w:lang w:val="en-GB"/>
              </w:rPr>
            </m:ctrlPr>
          </m:dPr>
          <m:e>
            <m:r>
              <w:rPr>
                <w:rFonts w:ascii="Cambria Math" w:hAnsi="Cambria Math"/>
                <w:lang w:val="en-GB"/>
              </w:rPr>
              <m:t>z</m:t>
            </m:r>
          </m:e>
        </m:d>
        <m:r>
          <w:rPr>
            <w:rFonts w:ascii="Cambria Math" w:hAnsi="Cambria Math"/>
            <w:lang w:val="en-GB"/>
          </w:rPr>
          <m:t>=</m:t>
        </m:r>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0</m:t>
            </m:r>
          </m:sub>
        </m:sSub>
        <m:sSup>
          <m:sSupPr>
            <m:ctrlPr>
              <w:rPr>
                <w:rFonts w:ascii="Cambria Math" w:hAnsi="Cambria Math"/>
                <w:i/>
                <w:lang w:val="en-GB"/>
              </w:rPr>
            </m:ctrlPr>
          </m:sSupPr>
          <m:e>
            <m:d>
              <m:dPr>
                <m:ctrlPr>
                  <w:rPr>
                    <w:rFonts w:ascii="Cambria Math" w:hAnsi="Cambria Math"/>
                    <w:i/>
                    <w:lang w:val="en-GB"/>
                  </w:rPr>
                </m:ctrlPr>
              </m:dPr>
              <m:e>
                <m:r>
                  <w:rPr>
                    <w:rFonts w:ascii="Cambria Math" w:hAnsi="Cambria Math"/>
                    <w:lang w:val="en-GB"/>
                  </w:rPr>
                  <m:t>1-</m:t>
                </m:r>
                <m:f>
                  <m:fPr>
                    <m:ctrlPr>
                      <w:rPr>
                        <w:rFonts w:ascii="Cambria Math" w:hAnsi="Cambria Math"/>
                        <w:i/>
                        <w:lang w:val="en-GB"/>
                      </w:rPr>
                    </m:ctrlPr>
                  </m:fPr>
                  <m:num>
                    <m:r>
                      <w:rPr>
                        <w:rFonts w:ascii="Cambria Math" w:hAnsi="Cambria Math"/>
                        <w:lang w:val="en-GB"/>
                      </w:rPr>
                      <m:t>z</m:t>
                    </m:r>
                  </m:num>
                  <m:den>
                    <m:sSub>
                      <m:sSubPr>
                        <m:ctrlPr>
                          <w:rPr>
                            <w:rFonts w:ascii="Cambria Math" w:hAnsi="Cambria Math"/>
                            <w:i/>
                            <w:lang w:val="en-GB"/>
                          </w:rPr>
                        </m:ctrlPr>
                      </m:sSubPr>
                      <m:e>
                        <m:r>
                          <w:rPr>
                            <w:rFonts w:ascii="Cambria Math" w:hAnsi="Cambria Math"/>
                            <w:lang w:val="en-GB"/>
                          </w:rPr>
                          <m:t>z</m:t>
                        </m:r>
                      </m:e>
                      <m:sub>
                        <m:r>
                          <w:rPr>
                            <w:rFonts w:ascii="Cambria Math" w:hAnsi="Cambria Math"/>
                            <w:lang w:val="en-GB"/>
                          </w:rPr>
                          <m:t>max</m:t>
                        </m:r>
                      </m:sub>
                    </m:sSub>
                  </m:den>
                </m:f>
              </m:e>
            </m:d>
          </m:e>
          <m:sup>
            <m:r>
              <w:rPr>
                <w:rFonts w:ascii="Cambria Math" w:hAnsi="Cambria Math"/>
                <w:lang w:val="en-GB"/>
              </w:rPr>
              <m:t>p</m:t>
            </m:r>
          </m:sup>
        </m:sSup>
        <m:r>
          <w:rPr>
            <w:rFonts w:ascii="Cambria Math" w:hAnsi="Cambria Math"/>
            <w:lang w:val="en-GB"/>
          </w:rPr>
          <m:t xml:space="preserve">         ,        p= </m:t>
        </m:r>
        <m:f>
          <m:fPr>
            <m:ctrlPr>
              <w:rPr>
                <w:rFonts w:ascii="Cambria Math" w:hAnsi="Cambria Math"/>
                <w:i/>
                <w:lang w:val="en-GB"/>
              </w:rPr>
            </m:ctrlPr>
          </m:fPr>
          <m:num>
            <m:sSub>
              <m:sSubPr>
                <m:ctrlPr>
                  <w:rPr>
                    <w:rFonts w:ascii="Cambria Math" w:hAnsi="Cambria Math"/>
                    <w:i/>
                    <w:lang w:val="en-GB"/>
                  </w:rPr>
                </m:ctrlPr>
              </m:sSubPr>
              <m:e>
                <m:r>
                  <w:rPr>
                    <w:rFonts w:ascii="Cambria Math" w:hAnsi="Cambria Math"/>
                    <w:lang w:val="en-GB"/>
                  </w:rPr>
                  <m:t>A</m:t>
                </m:r>
              </m:e>
              <m:sub>
                <m:r>
                  <w:rPr>
                    <w:rFonts w:ascii="Cambria Math" w:hAnsi="Cambria Math"/>
                    <w:lang w:val="en-GB"/>
                  </w:rPr>
                  <m:t>0</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z</m:t>
                </m:r>
              </m:e>
              <m:sub>
                <m:r>
                  <w:rPr>
                    <w:rFonts w:ascii="Cambria Math" w:hAnsi="Cambria Math"/>
                    <w:lang w:val="en-GB"/>
                  </w:rPr>
                  <m:t>max</m:t>
                </m:r>
              </m:sub>
            </m:sSub>
          </m:num>
          <m:den>
            <m:r>
              <w:rPr>
                <w:rFonts w:ascii="Cambria Math" w:hAnsi="Cambria Math"/>
                <w:lang w:val="en-GB"/>
              </w:rPr>
              <m:t>V</m:t>
            </m:r>
          </m:den>
        </m:f>
        <m:r>
          <w:rPr>
            <w:rFonts w:ascii="Cambria Math" w:hAnsi="Cambria Math"/>
            <w:lang w:val="en-GB"/>
          </w:rPr>
          <m:t>-1</m:t>
        </m:r>
      </m:oMath>
      <w:r>
        <w:rPr>
          <w:lang w:val="en-GB"/>
        </w:rPr>
        <w:t xml:space="preserve">               </w:t>
      </w:r>
      <w:r w:rsidR="007A2CCC">
        <w:rPr>
          <w:lang w:val="en-GB"/>
        </w:rPr>
        <w:t xml:space="preserve">   </w:t>
      </w:r>
      <w:r>
        <w:rPr>
          <w:lang w:val="en-GB"/>
        </w:rPr>
        <w:t xml:space="preserve">             </w:t>
      </w:r>
      <w:bookmarkStart w:id="14" w:name="eq2"/>
      <w:r w:rsidR="00623B1F">
        <w:fldChar w:fldCharType="begin"/>
      </w:r>
      <w:r w:rsidR="00623B1F">
        <w:rPr>
          <w:lang w:val="en-GB"/>
        </w:rPr>
        <w:instrText>HYPERLINK  \l "Ref21"</w:instrText>
      </w:r>
      <w:r w:rsidR="00623B1F">
        <w:fldChar w:fldCharType="separate"/>
      </w:r>
      <w:r w:rsidRPr="00623B1F">
        <w:rPr>
          <w:rStyle w:val="Hyperlink"/>
          <w:lang w:val="en-GB"/>
        </w:rPr>
        <w:t>(eq. 2)</w:t>
      </w:r>
      <w:r w:rsidR="00623B1F">
        <w:fldChar w:fldCharType="end"/>
      </w:r>
      <w:bookmarkEnd w:id="14"/>
    </w:p>
    <w:p w14:paraId="3C3D35C6" w14:textId="77777777" w:rsidR="008A7B8B" w:rsidRPr="008A7B8B" w:rsidRDefault="00000000" w:rsidP="00166C42">
      <w:pPr>
        <w:pStyle w:val="SWCText"/>
      </w:pPr>
      <m:oMath>
        <m:sSub>
          <m:sSubPr>
            <m:ctrlPr>
              <w:rPr>
                <w:rFonts w:ascii="Cambria Math" w:hAnsi="Cambria Math"/>
                <w:i/>
                <w:lang w:val="en-GB"/>
              </w:rPr>
            </m:ctrlPr>
          </m:sSubPr>
          <m:e>
            <m:r>
              <w:rPr>
                <w:rFonts w:ascii="Cambria Math" w:hAnsi="Cambria Math"/>
                <w:lang w:val="en-GB"/>
              </w:rPr>
              <m:t>SW</m:t>
            </m:r>
          </m:e>
          <m:sub>
            <m:r>
              <w:rPr>
                <w:rFonts w:ascii="Cambria Math" w:hAnsi="Cambria Math"/>
                <w:lang w:val="en-GB"/>
              </w:rPr>
              <m:t>eff</m:t>
            </m:r>
          </m:sub>
        </m:sSub>
        <m:r>
          <w:rPr>
            <w:rFonts w:ascii="Cambria Math" w:hAnsi="Cambria Math"/>
            <w:lang w:val="en-GB"/>
          </w:rPr>
          <m:t>=SW∙</m:t>
        </m:r>
        <m:sSub>
          <m:sSubPr>
            <m:ctrlPr>
              <w:rPr>
                <w:rFonts w:ascii="Cambria Math" w:hAnsi="Cambria Math"/>
                <w:i/>
                <w:lang w:val="en-GB"/>
              </w:rPr>
            </m:ctrlPr>
          </m:sSubPr>
          <m:e>
            <m:r>
              <w:rPr>
                <w:rFonts w:ascii="Cambria Math" w:hAnsi="Cambria Math"/>
                <w:lang w:val="en-GB"/>
              </w:rPr>
              <m:t>k</m:t>
            </m:r>
          </m:e>
          <m:sub>
            <m:r>
              <w:rPr>
                <w:rFonts w:ascii="Cambria Math" w:hAnsi="Cambria Math"/>
                <w:lang w:val="en-GB"/>
              </w:rPr>
              <m:t>SW</m:t>
            </m:r>
          </m:sub>
        </m:sSub>
        <m:r>
          <w:rPr>
            <w:rFonts w:ascii="Cambria Math" w:hAnsi="Cambria Math"/>
            <w:lang w:val="en-GB"/>
          </w:rPr>
          <m:t>∙(1-f∙</m:t>
        </m:r>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SW</m:t>
            </m:r>
          </m:sub>
        </m:sSub>
        <m:r>
          <w:rPr>
            <w:rFonts w:ascii="Cambria Math" w:hAnsi="Cambria Math"/>
            <w:lang w:val="en-GB"/>
          </w:rPr>
          <m:t>)</m:t>
        </m:r>
      </m:oMath>
      <w:r w:rsidR="007A2CCC">
        <w:rPr>
          <w:lang w:val="en-GB"/>
        </w:rPr>
        <w:t xml:space="preserve">                                                         </w:t>
      </w:r>
      <w:bookmarkStart w:id="15" w:name="eq3"/>
      <w:r w:rsidR="00623B1F">
        <w:fldChar w:fldCharType="begin"/>
      </w:r>
      <w:r w:rsidR="00623B1F">
        <w:rPr>
          <w:lang w:val="en-GB"/>
        </w:rPr>
        <w:instrText>HYPERLINK  \l "Ref1"</w:instrText>
      </w:r>
      <w:r w:rsidR="00623B1F">
        <w:fldChar w:fldCharType="separate"/>
      </w:r>
      <w:r w:rsidR="007A2CCC" w:rsidRPr="00623B1F">
        <w:rPr>
          <w:rStyle w:val="Hyperlink"/>
          <w:lang w:val="en-GB"/>
        </w:rPr>
        <w:t>(eq. 3)</w:t>
      </w:r>
      <w:r w:rsidR="00623B1F">
        <w:fldChar w:fldCharType="end"/>
      </w:r>
      <w:bookmarkEnd w:id="15"/>
    </w:p>
    <w:p w14:paraId="401DF223" w14:textId="56600218" w:rsidR="005C3FC8" w:rsidRPr="008A7B8B" w:rsidRDefault="00000000" w:rsidP="00166C42">
      <w:pPr>
        <w:pStyle w:val="SWCText"/>
        <w:rPr>
          <w:lang w:val="en-GB"/>
        </w:rPr>
      </w:pPr>
      <m:oMath>
        <m:sSub>
          <m:sSubPr>
            <m:ctrlPr>
              <w:rPr>
                <w:rFonts w:ascii="Cambria Math" w:hAnsi="Cambria Math"/>
                <w:i/>
                <w:lang w:val="en-GB"/>
              </w:rPr>
            </m:ctrlPr>
          </m:sSubPr>
          <m:e>
            <m:r>
              <w:rPr>
                <w:rFonts w:ascii="Cambria Math" w:hAnsi="Cambria Math"/>
                <w:lang w:val="en-GB"/>
              </w:rPr>
              <m:t>u</m:t>
            </m:r>
          </m:e>
          <m:sub>
            <m:r>
              <w:rPr>
                <w:rFonts w:ascii="Cambria Math" w:hAnsi="Cambria Math"/>
                <w:lang w:val="en-GB"/>
              </w:rPr>
              <m:t>eff</m:t>
            </m:r>
          </m:sub>
        </m:sSub>
        <m:r>
          <w:rPr>
            <w:rFonts w:ascii="Cambria Math" w:hAnsi="Cambria Math"/>
            <w:lang w:val="en-GB"/>
          </w:rPr>
          <m:t xml:space="preserve">=u∙ </m:t>
        </m:r>
        <m:sSub>
          <m:sSubPr>
            <m:ctrlPr>
              <w:rPr>
                <w:rFonts w:ascii="Cambria Math" w:hAnsi="Cambria Math"/>
                <w:i/>
                <w:lang w:val="en-GB"/>
              </w:rPr>
            </m:ctrlPr>
          </m:sSubPr>
          <m:e>
            <m:r>
              <w:rPr>
                <w:rFonts w:ascii="Cambria Math" w:hAnsi="Cambria Math"/>
                <w:lang w:val="en-GB"/>
              </w:rPr>
              <m:t>k</m:t>
            </m:r>
          </m:e>
          <m:sub>
            <m:r>
              <w:rPr>
                <w:rFonts w:ascii="Cambria Math" w:hAnsi="Cambria Math"/>
                <w:lang w:val="en-GB"/>
              </w:rPr>
              <m:t>u</m:t>
            </m:r>
          </m:sub>
        </m:sSub>
        <m:r>
          <w:rPr>
            <w:rFonts w:ascii="Cambria Math" w:hAnsi="Cambria Math"/>
            <w:lang w:val="en-GB"/>
          </w:rPr>
          <m:t xml:space="preserve">∙(1-f∙ </m:t>
        </m:r>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u</m:t>
            </m:r>
          </m:sub>
        </m:sSub>
        <m:r>
          <w:rPr>
            <w:rFonts w:ascii="Cambria Math" w:hAnsi="Cambria Math"/>
            <w:lang w:val="en-GB"/>
          </w:rPr>
          <m:t>)</m:t>
        </m:r>
      </m:oMath>
      <w:r w:rsidR="007A2CCC">
        <w:rPr>
          <w:lang w:val="en-GB"/>
        </w:rPr>
        <w:t xml:space="preserve">                                                                   </w:t>
      </w:r>
      <w:bookmarkStart w:id="16" w:name="eq4"/>
      <w:r w:rsidR="00623B1F">
        <w:rPr>
          <w:lang w:val="en-GB"/>
        </w:rPr>
        <w:fldChar w:fldCharType="begin"/>
      </w:r>
      <w:r w:rsidR="00623B1F">
        <w:rPr>
          <w:lang w:val="en-GB"/>
        </w:rPr>
        <w:instrText>HYPERLINK  \l "Ref1"</w:instrText>
      </w:r>
      <w:r w:rsidR="00623B1F">
        <w:rPr>
          <w:lang w:val="en-GB"/>
        </w:rPr>
      </w:r>
      <w:r w:rsidR="00623B1F">
        <w:rPr>
          <w:lang w:val="en-GB"/>
        </w:rPr>
        <w:fldChar w:fldCharType="separate"/>
      </w:r>
      <w:r w:rsidR="007A2CCC" w:rsidRPr="00623B1F">
        <w:rPr>
          <w:rStyle w:val="Hyperlink"/>
          <w:lang w:val="en-GB"/>
        </w:rPr>
        <w:t>(eq. 4)</w:t>
      </w:r>
      <w:r w:rsidR="00623B1F">
        <w:rPr>
          <w:lang w:val="en-GB"/>
        </w:rPr>
        <w:fldChar w:fldCharType="end"/>
      </w:r>
      <w:bookmarkEnd w:id="16"/>
    </w:p>
    <w:p w14:paraId="3FD72306" w14:textId="3918FF39" w:rsidR="00166C42" w:rsidRPr="008A7B8B" w:rsidRDefault="00000000" w:rsidP="00062532">
      <w:pPr>
        <w:pStyle w:val="SWCText"/>
        <w:rPr>
          <w:i/>
          <w:lang w:val="en-GB"/>
        </w:rPr>
      </w:pPr>
      <m:oMath>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i</m:t>
            </m:r>
          </m:sub>
        </m:sSub>
        <m:r>
          <w:rPr>
            <w:rFonts w:ascii="Cambria Math" w:hAnsi="Cambria Math"/>
            <w:lang w:val="en-GB"/>
          </w:rPr>
          <m:t xml:space="preserve">= </m:t>
        </m:r>
        <m:sSub>
          <m:sSubPr>
            <m:ctrlPr>
              <w:rPr>
                <w:rFonts w:ascii="Cambria Math" w:hAnsi="Cambria Math"/>
                <w:i/>
                <w:lang w:val="en-GB"/>
              </w:rPr>
            </m:ctrlPr>
          </m:sSubPr>
          <m:e>
            <m:r>
              <w:rPr>
                <w:rFonts w:ascii="Cambria Math" w:hAnsi="Cambria Math"/>
                <w:lang w:val="en-GB"/>
              </w:rPr>
              <m:t>M</m:t>
            </m:r>
          </m:e>
          <m:sub>
            <m:r>
              <w:rPr>
                <w:rFonts w:ascii="Cambria Math" w:hAnsi="Cambria Math"/>
                <w:lang w:val="en-GB"/>
              </w:rPr>
              <m:t>i</m:t>
            </m:r>
          </m:sub>
        </m:sSub>
        <m:r>
          <w:rPr>
            <w:rFonts w:ascii="Cambria Math" w:hAnsi="Cambria Math"/>
            <w:lang w:val="en-GB"/>
          </w:rPr>
          <m:t>-</m:t>
        </m:r>
        <m:sSub>
          <m:sSubPr>
            <m:ctrlPr>
              <w:rPr>
                <w:rFonts w:ascii="Cambria Math" w:hAnsi="Cambria Math"/>
                <w:i/>
                <w:lang w:val="en-GB"/>
              </w:rPr>
            </m:ctrlPr>
          </m:sSubPr>
          <m:e>
            <m:r>
              <w:rPr>
                <w:rFonts w:ascii="Cambria Math" w:hAnsi="Cambria Math"/>
                <w:lang w:val="en-GB"/>
              </w:rPr>
              <m:t>O</m:t>
            </m:r>
          </m:e>
          <m:sub>
            <m:r>
              <w:rPr>
                <w:rFonts w:ascii="Cambria Math" w:hAnsi="Cambria Math"/>
                <w:lang w:val="en-GB"/>
              </w:rPr>
              <m:t>i</m:t>
            </m:r>
          </m:sub>
        </m:sSub>
      </m:oMath>
      <w:r w:rsidR="009F370B" w:rsidRPr="008A7B8B">
        <w:rPr>
          <w:rFonts w:ascii="Cambria Math" w:hAnsi="Cambria Math"/>
          <w:i/>
          <w:lang w:val="en-GB"/>
        </w:rPr>
        <w:t xml:space="preserve">   </w:t>
      </w:r>
      <w:proofErr w:type="gramStart"/>
      <w:r w:rsidR="005C3A1D" w:rsidRPr="008A7B8B">
        <w:rPr>
          <w:rFonts w:ascii="Cambria Math" w:hAnsi="Cambria Math"/>
          <w:i/>
          <w:lang w:val="en-GB"/>
        </w:rPr>
        <w:t>,</w:t>
      </w:r>
      <w:r w:rsidR="009F370B" w:rsidRPr="008A7B8B">
        <w:rPr>
          <w:rFonts w:ascii="Cambria Math" w:hAnsi="Cambria Math"/>
          <w:i/>
          <w:lang w:val="en-GB"/>
        </w:rPr>
        <w:t xml:space="preserve">   </w:t>
      </w:r>
      <w:proofErr w:type="gramEnd"/>
      <w:r w:rsidR="009F370B" w:rsidRPr="008A7B8B">
        <w:rPr>
          <w:rFonts w:ascii="Cambria Math" w:hAnsi="Cambria Math"/>
          <w:i/>
          <w:lang w:val="en-GB"/>
        </w:rPr>
        <w:t xml:space="preserve"> </w:t>
      </w:r>
      <m:oMath>
        <m:r>
          <w:rPr>
            <w:rFonts w:ascii="Cambria Math" w:hAnsi="Cambria Math"/>
            <w:lang w:val="en-GB"/>
          </w:rPr>
          <m:t xml:space="preserve">RMSE= </m:t>
        </m:r>
        <m:rad>
          <m:radPr>
            <m:degHide m:val="1"/>
            <m:ctrlPr>
              <w:rPr>
                <w:rFonts w:ascii="Cambria Math" w:hAnsi="Cambria Math"/>
                <w:i/>
                <w:lang w:val="en-GB"/>
              </w:rPr>
            </m:ctrlPr>
          </m:radPr>
          <m:deg/>
          <m:e>
            <m:f>
              <m:fPr>
                <m:ctrlPr>
                  <w:rPr>
                    <w:rFonts w:ascii="Cambria Math" w:hAnsi="Cambria Math"/>
                    <w:i/>
                    <w:lang w:val="en-GB"/>
                  </w:rPr>
                </m:ctrlPr>
              </m:fPr>
              <m:num>
                <m:r>
                  <w:rPr>
                    <w:rFonts w:ascii="Cambria Math" w:hAnsi="Cambria Math"/>
                    <w:lang w:val="en-GB"/>
                  </w:rPr>
                  <m:t>1</m:t>
                </m:r>
              </m:num>
              <m:den>
                <m:r>
                  <w:rPr>
                    <w:rFonts w:ascii="Cambria Math" w:hAnsi="Cambria Math"/>
                    <w:lang w:val="en-GB"/>
                  </w:rPr>
                  <m:t>n</m:t>
                </m:r>
              </m:den>
            </m:f>
            <m:nary>
              <m:naryPr>
                <m:chr m:val="∑"/>
                <m:limLoc m:val="subSup"/>
                <m:supHide m:val="1"/>
                <m:ctrlPr>
                  <w:rPr>
                    <w:rFonts w:ascii="Cambria Math" w:hAnsi="Cambria Math"/>
                    <w:i/>
                    <w:lang w:val="en-GB"/>
                  </w:rPr>
                </m:ctrlPr>
              </m:naryPr>
              <m:sub>
                <m:r>
                  <w:rPr>
                    <w:rFonts w:ascii="Cambria Math" w:hAnsi="Cambria Math"/>
                    <w:lang w:val="en-GB"/>
                  </w:rPr>
                  <m:t>i</m:t>
                </m:r>
              </m:sub>
              <m:sup/>
              <m:e>
                <m:sSubSup>
                  <m:sSubSupPr>
                    <m:ctrlPr>
                      <w:rPr>
                        <w:rFonts w:ascii="Cambria Math" w:hAnsi="Cambria Math"/>
                        <w:i/>
                        <w:lang w:val="en-GB"/>
                      </w:rPr>
                    </m:ctrlPr>
                  </m:sSubSupPr>
                  <m:e>
                    <m:r>
                      <w:rPr>
                        <w:rFonts w:ascii="Cambria Math" w:hAnsi="Cambria Math"/>
                        <w:lang w:val="en-GB"/>
                      </w:rPr>
                      <m:t>e</m:t>
                    </m:r>
                  </m:e>
                  <m:sub>
                    <m:r>
                      <w:rPr>
                        <w:rFonts w:ascii="Cambria Math" w:hAnsi="Cambria Math"/>
                        <w:lang w:val="en-GB"/>
                      </w:rPr>
                      <m:t>i</m:t>
                    </m:r>
                  </m:sub>
                  <m:sup>
                    <m:r>
                      <w:rPr>
                        <w:rFonts w:ascii="Cambria Math" w:hAnsi="Cambria Math"/>
                        <w:lang w:val="en-GB"/>
                      </w:rPr>
                      <m:t>2</m:t>
                    </m:r>
                  </m:sup>
                </m:sSubSup>
              </m:e>
            </m:nary>
          </m:e>
        </m:rad>
      </m:oMath>
      <w:r w:rsidR="009F370B" w:rsidRPr="008A7B8B">
        <w:rPr>
          <w:rFonts w:ascii="Cambria Math" w:hAnsi="Cambria Math"/>
          <w:i/>
          <w:lang w:val="en-GB"/>
        </w:rPr>
        <w:t xml:space="preserve">  </w:t>
      </w:r>
      <w:proofErr w:type="gramStart"/>
      <w:r w:rsidR="009F370B" w:rsidRPr="008A7B8B">
        <w:rPr>
          <w:rFonts w:ascii="Cambria Math" w:hAnsi="Cambria Math"/>
          <w:i/>
          <w:lang w:val="en-GB"/>
        </w:rPr>
        <w:t xml:space="preserve">  </w:t>
      </w:r>
      <w:r w:rsidR="005270B0" w:rsidRPr="008A7B8B">
        <w:rPr>
          <w:rFonts w:ascii="Cambria Math" w:hAnsi="Cambria Math"/>
          <w:i/>
          <w:lang w:val="en-GB"/>
        </w:rPr>
        <w:t>,</w:t>
      </w:r>
      <w:proofErr w:type="gramEnd"/>
      <w:r w:rsidR="009F370B" w:rsidRPr="008A7B8B">
        <w:rPr>
          <w:rFonts w:ascii="Cambria Math" w:hAnsi="Cambria Math"/>
          <w:i/>
          <w:lang w:val="en-GB"/>
        </w:rPr>
        <w:t xml:space="preserve">   </w:t>
      </w:r>
      <m:oMath>
        <m:r>
          <w:rPr>
            <w:rFonts w:ascii="Cambria Math" w:hAnsi="Cambria Math"/>
            <w:lang w:val="en-GB"/>
          </w:rPr>
          <m:t xml:space="preserve">MAE= </m:t>
        </m:r>
        <m:f>
          <m:fPr>
            <m:ctrlPr>
              <w:rPr>
                <w:rFonts w:ascii="Cambria Math" w:hAnsi="Cambria Math"/>
                <w:i/>
                <w:lang w:val="en-GB"/>
              </w:rPr>
            </m:ctrlPr>
          </m:fPr>
          <m:num>
            <m:r>
              <w:rPr>
                <w:rFonts w:ascii="Cambria Math" w:hAnsi="Cambria Math"/>
                <w:lang w:val="en-GB"/>
              </w:rPr>
              <m:t>1</m:t>
            </m:r>
          </m:num>
          <m:den>
            <m:r>
              <w:rPr>
                <w:rFonts w:ascii="Cambria Math" w:hAnsi="Cambria Math"/>
                <w:lang w:val="en-GB"/>
              </w:rPr>
              <m:t>n</m:t>
            </m:r>
          </m:den>
        </m:f>
        <m:nary>
          <m:naryPr>
            <m:chr m:val="∑"/>
            <m:limLoc m:val="subSup"/>
            <m:supHide m:val="1"/>
            <m:ctrlPr>
              <w:rPr>
                <w:rFonts w:ascii="Cambria Math" w:hAnsi="Cambria Math"/>
                <w:i/>
                <w:lang w:val="en-GB"/>
              </w:rPr>
            </m:ctrlPr>
          </m:naryPr>
          <m:sub>
            <m:r>
              <w:rPr>
                <w:rFonts w:ascii="Cambria Math" w:hAnsi="Cambria Math"/>
                <w:lang w:val="en-GB"/>
              </w:rPr>
              <m:t>i</m:t>
            </m:r>
          </m:sub>
          <m:sup/>
          <m:e>
            <m:d>
              <m:dPr>
                <m:begChr m:val="|"/>
                <m:endChr m:val="|"/>
                <m:ctrlPr>
                  <w:rPr>
                    <w:rFonts w:ascii="Cambria Math" w:hAnsi="Cambria Math"/>
                    <w:i/>
                    <w:lang w:val="en-GB"/>
                  </w:rPr>
                </m:ctrlPr>
              </m:dPr>
              <m:e>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i</m:t>
                    </m:r>
                  </m:sub>
                </m:sSub>
              </m:e>
            </m:d>
          </m:e>
        </m:nary>
      </m:oMath>
      <w:r w:rsidR="009F370B" w:rsidRPr="008A7B8B">
        <w:rPr>
          <w:rFonts w:ascii="Cambria Math" w:hAnsi="Cambria Math"/>
          <w:i/>
          <w:lang w:val="en-GB"/>
        </w:rPr>
        <w:t xml:space="preserve"> ,    </w:t>
      </w:r>
      <m:oMath>
        <m:r>
          <w:rPr>
            <w:rFonts w:ascii="Cambria Math" w:hAnsi="Cambria Math"/>
            <w:lang w:val="en-GB"/>
          </w:rPr>
          <m:t xml:space="preserve">bias= </m:t>
        </m:r>
        <m:f>
          <m:fPr>
            <m:ctrlPr>
              <w:rPr>
                <w:rFonts w:ascii="Cambria Math" w:hAnsi="Cambria Math"/>
                <w:i/>
                <w:lang w:val="en-GB"/>
              </w:rPr>
            </m:ctrlPr>
          </m:fPr>
          <m:num>
            <m:r>
              <w:rPr>
                <w:rFonts w:ascii="Cambria Math" w:hAnsi="Cambria Math"/>
                <w:lang w:val="en-GB"/>
              </w:rPr>
              <m:t>1</m:t>
            </m:r>
          </m:num>
          <m:den>
            <m:r>
              <w:rPr>
                <w:rFonts w:ascii="Cambria Math" w:hAnsi="Cambria Math"/>
                <w:lang w:val="en-GB"/>
              </w:rPr>
              <m:t>n</m:t>
            </m:r>
          </m:den>
        </m:f>
        <m:nary>
          <m:naryPr>
            <m:chr m:val="∑"/>
            <m:limLoc m:val="subSup"/>
            <m:supHide m:val="1"/>
            <m:ctrlPr>
              <w:rPr>
                <w:rFonts w:ascii="Cambria Math" w:hAnsi="Cambria Math"/>
                <w:i/>
                <w:lang w:val="en-GB"/>
              </w:rPr>
            </m:ctrlPr>
          </m:naryPr>
          <m:sub>
            <m:r>
              <w:rPr>
                <w:rFonts w:ascii="Cambria Math" w:hAnsi="Cambria Math"/>
                <w:lang w:val="en-GB"/>
              </w:rPr>
              <m:t>i</m:t>
            </m:r>
          </m:sub>
          <m:sup/>
          <m:e>
            <m:sSub>
              <m:sSubPr>
                <m:ctrlPr>
                  <w:rPr>
                    <w:rFonts w:ascii="Cambria Math" w:hAnsi="Cambria Math"/>
                    <w:i/>
                    <w:lang w:val="en-GB"/>
                  </w:rPr>
                </m:ctrlPr>
              </m:sSubPr>
              <m:e>
                <m:r>
                  <w:rPr>
                    <w:rFonts w:ascii="Cambria Math" w:hAnsi="Cambria Math"/>
                    <w:lang w:val="en-GB"/>
                  </w:rPr>
                  <m:t>e</m:t>
                </m:r>
              </m:e>
              <m:sub>
                <m:r>
                  <w:rPr>
                    <w:rFonts w:ascii="Cambria Math" w:hAnsi="Cambria Math"/>
                    <w:lang w:val="en-GB"/>
                  </w:rPr>
                  <m:t>i</m:t>
                </m:r>
              </m:sub>
            </m:sSub>
          </m:e>
        </m:nary>
      </m:oMath>
      <w:r w:rsidR="009F370B" w:rsidRPr="008A7B8B">
        <w:rPr>
          <w:rFonts w:ascii="Cambria Math" w:hAnsi="Cambria Math"/>
          <w:i/>
          <w:lang w:val="en-GB"/>
        </w:rPr>
        <w:t xml:space="preserve"> ,    </w:t>
      </w:r>
      <m:oMath>
        <m:r>
          <w:rPr>
            <w:rFonts w:ascii="Cambria Math" w:hAnsi="Cambria Math"/>
            <w:lang w:val="en-GB"/>
          </w:rPr>
          <m:t xml:space="preserve">NSE=1- </m:t>
        </m:r>
        <m:f>
          <m:fPr>
            <m:ctrlPr>
              <w:rPr>
                <w:rFonts w:ascii="Cambria Math" w:hAnsi="Cambria Math"/>
                <w:i/>
                <w:lang w:val="en-GB"/>
              </w:rPr>
            </m:ctrlPr>
          </m:fPr>
          <m:num>
            <m:nary>
              <m:naryPr>
                <m:chr m:val="∑"/>
                <m:limLoc m:val="subSup"/>
                <m:supHide m:val="1"/>
                <m:ctrlPr>
                  <w:rPr>
                    <w:rFonts w:ascii="Cambria Math" w:hAnsi="Cambria Math"/>
                    <w:i/>
                    <w:lang w:val="en-GB"/>
                  </w:rPr>
                </m:ctrlPr>
              </m:naryPr>
              <m:sub>
                <m:r>
                  <w:rPr>
                    <w:rFonts w:ascii="Cambria Math" w:hAnsi="Cambria Math"/>
                    <w:lang w:val="en-GB"/>
                  </w:rPr>
                  <m:t>i</m:t>
                </m:r>
              </m:sub>
              <m:sup/>
              <m:e>
                <m:sSubSup>
                  <m:sSubSupPr>
                    <m:ctrlPr>
                      <w:rPr>
                        <w:rFonts w:ascii="Cambria Math" w:hAnsi="Cambria Math"/>
                        <w:i/>
                        <w:lang w:val="en-GB"/>
                      </w:rPr>
                    </m:ctrlPr>
                  </m:sSubSupPr>
                  <m:e>
                    <m:r>
                      <w:rPr>
                        <w:rFonts w:ascii="Cambria Math" w:hAnsi="Cambria Math"/>
                        <w:lang w:val="en-GB"/>
                      </w:rPr>
                      <m:t>e</m:t>
                    </m:r>
                  </m:e>
                  <m:sub>
                    <m:r>
                      <w:rPr>
                        <w:rFonts w:ascii="Cambria Math" w:hAnsi="Cambria Math"/>
                        <w:lang w:val="en-GB"/>
                      </w:rPr>
                      <m:t>i</m:t>
                    </m:r>
                  </m:sub>
                  <m:sup>
                    <m:r>
                      <w:rPr>
                        <w:rFonts w:ascii="Cambria Math" w:hAnsi="Cambria Math"/>
                        <w:lang w:val="en-GB"/>
                      </w:rPr>
                      <m:t>2</m:t>
                    </m:r>
                  </m:sup>
                </m:sSubSup>
              </m:e>
            </m:nary>
          </m:num>
          <m:den>
            <m:nary>
              <m:naryPr>
                <m:chr m:val="∑"/>
                <m:limLoc m:val="subSup"/>
                <m:supHide m:val="1"/>
                <m:ctrlPr>
                  <w:rPr>
                    <w:rFonts w:ascii="Cambria Math" w:hAnsi="Cambria Math"/>
                    <w:i/>
                    <w:lang w:val="en-GB"/>
                  </w:rPr>
                </m:ctrlPr>
              </m:naryPr>
              <m:sub>
                <m:r>
                  <w:rPr>
                    <w:rFonts w:ascii="Cambria Math" w:hAnsi="Cambria Math"/>
                    <w:lang w:val="en-GB"/>
                  </w:rPr>
                  <m:t>i</m:t>
                </m:r>
              </m:sub>
              <m:sup/>
              <m:e>
                <m:sSup>
                  <m:sSupPr>
                    <m:ctrlPr>
                      <w:rPr>
                        <w:rFonts w:ascii="Cambria Math" w:hAnsi="Cambria Math"/>
                        <w:i/>
                        <w:lang w:val="en-GB"/>
                      </w:rPr>
                    </m:ctrlPr>
                  </m:sSupPr>
                  <m:e>
                    <m:r>
                      <w:rPr>
                        <w:rFonts w:ascii="Cambria Math" w:hAnsi="Cambria Math"/>
                        <w:lang w:val="en-GB"/>
                      </w:rPr>
                      <m:t>(</m:t>
                    </m:r>
                    <m:sSub>
                      <m:sSubPr>
                        <m:ctrlPr>
                          <w:rPr>
                            <w:rFonts w:ascii="Cambria Math" w:hAnsi="Cambria Math"/>
                            <w:i/>
                            <w:lang w:val="en-GB"/>
                          </w:rPr>
                        </m:ctrlPr>
                      </m:sSubPr>
                      <m:e>
                        <m:r>
                          <w:rPr>
                            <w:rFonts w:ascii="Cambria Math" w:hAnsi="Cambria Math"/>
                            <w:lang w:val="en-GB"/>
                          </w:rPr>
                          <m:t>O</m:t>
                        </m:r>
                      </m:e>
                      <m:sub>
                        <m:r>
                          <w:rPr>
                            <w:rFonts w:ascii="Cambria Math" w:hAnsi="Cambria Math"/>
                            <w:lang w:val="en-GB"/>
                          </w:rPr>
                          <m:t>i</m:t>
                        </m:r>
                      </m:sub>
                    </m:sSub>
                    <m:r>
                      <w:rPr>
                        <w:rFonts w:ascii="Cambria Math" w:hAnsi="Cambria Math"/>
                        <w:lang w:val="en-GB"/>
                      </w:rPr>
                      <m:t>-</m:t>
                    </m:r>
                    <m:acc>
                      <m:accPr>
                        <m:chr m:val="̅"/>
                        <m:ctrlPr>
                          <w:rPr>
                            <w:rFonts w:ascii="Cambria Math" w:hAnsi="Cambria Math"/>
                            <w:i/>
                            <w:lang w:val="en-GB"/>
                          </w:rPr>
                        </m:ctrlPr>
                      </m:accPr>
                      <m:e>
                        <m:r>
                          <w:rPr>
                            <w:rFonts w:ascii="Cambria Math" w:hAnsi="Cambria Math"/>
                            <w:lang w:val="en-GB"/>
                          </w:rPr>
                          <m:t>O</m:t>
                        </m:r>
                      </m:e>
                    </m:acc>
                    <m:r>
                      <w:rPr>
                        <w:rFonts w:ascii="Cambria Math" w:hAnsi="Cambria Math"/>
                        <w:lang w:val="en-GB"/>
                      </w:rPr>
                      <m:t>)</m:t>
                    </m:r>
                  </m:e>
                  <m:sup>
                    <m:r>
                      <w:rPr>
                        <w:rFonts w:ascii="Cambria Math" w:hAnsi="Cambria Math"/>
                        <w:lang w:val="en-GB"/>
                      </w:rPr>
                      <m:t>2</m:t>
                    </m:r>
                  </m:sup>
                </m:sSup>
              </m:e>
            </m:nary>
          </m:den>
        </m:f>
      </m:oMath>
      <w:r w:rsidR="009F370B" w:rsidRPr="008A7B8B">
        <w:rPr>
          <w:rFonts w:ascii="Cambria Math" w:hAnsi="Cambria Math"/>
          <w:i/>
          <w:lang w:val="en-GB"/>
        </w:rPr>
        <w:t xml:space="preserve"> </w:t>
      </w:r>
      <w:r w:rsidR="009F370B" w:rsidRPr="008A7B8B">
        <w:rPr>
          <w:i/>
          <w:lang w:val="en-GB"/>
        </w:rPr>
        <w:t xml:space="preserve">     </w:t>
      </w:r>
      <w:bookmarkStart w:id="17" w:name="eq5"/>
      <w:r w:rsidR="0061433E">
        <w:rPr>
          <w:iCs/>
          <w:lang w:val="en-GB"/>
        </w:rPr>
        <w:fldChar w:fldCharType="begin"/>
      </w:r>
      <w:r w:rsidR="0061433E">
        <w:rPr>
          <w:iCs/>
          <w:lang w:val="en-GB"/>
        </w:rPr>
        <w:instrText>HYPERLINK  \l "Ref22"</w:instrText>
      </w:r>
      <w:r w:rsidR="0061433E">
        <w:rPr>
          <w:iCs/>
          <w:lang w:val="en-GB"/>
        </w:rPr>
      </w:r>
      <w:r w:rsidR="0061433E">
        <w:rPr>
          <w:iCs/>
          <w:lang w:val="en-GB"/>
        </w:rPr>
        <w:fldChar w:fldCharType="separate"/>
      </w:r>
      <w:r w:rsidR="009F370B" w:rsidRPr="008A7B8B">
        <w:rPr>
          <w:rStyle w:val="Hyperlink"/>
          <w:iCs/>
        </w:rPr>
        <w:t>(eq. 5)</w:t>
      </w:r>
      <w:r w:rsidR="0061433E">
        <w:rPr>
          <w:iCs/>
          <w:lang w:val="en-GB"/>
        </w:rPr>
        <w:fldChar w:fldCharType="end"/>
      </w:r>
      <w:bookmarkEnd w:id="17"/>
    </w:p>
    <w:p w14:paraId="7F25A3FA" w14:textId="3A632720" w:rsidR="005C3A1D" w:rsidRDefault="005C3A1D" w:rsidP="00062532">
      <w:pPr>
        <w:pStyle w:val="SWCText"/>
        <w:rPr>
          <w:iCs/>
          <w:lang w:val="en-GB"/>
        </w:rPr>
      </w:pPr>
      <m:oMath>
        <m:r>
          <w:rPr>
            <w:rFonts w:ascii="Cambria Math" w:hAnsi="Cambria Math"/>
            <w:lang w:val="en-GB"/>
          </w:rPr>
          <m:t xml:space="preserve">n= </m:t>
        </m:r>
        <m:nary>
          <m:naryPr>
            <m:chr m:val="∑"/>
            <m:limLoc m:val="undOvr"/>
            <m:supHide m:val="1"/>
            <m:ctrlPr>
              <w:rPr>
                <w:rFonts w:ascii="Cambria Math" w:hAnsi="Cambria Math"/>
                <w:i/>
                <w:lang w:val="en-GB"/>
              </w:rPr>
            </m:ctrlPr>
          </m:naryPr>
          <m:sub>
            <m:r>
              <w:rPr>
                <w:rFonts w:ascii="Cambria Math" w:hAnsi="Cambria Math"/>
                <w:lang w:val="en-GB"/>
              </w:rPr>
              <m:t>j</m:t>
            </m:r>
          </m:sub>
          <m:sup/>
          <m:e>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j</m:t>
                </m:r>
              </m:sub>
            </m:sSub>
          </m:e>
        </m:nary>
      </m:oMath>
      <w:r w:rsidRPr="005C3A1D">
        <w:rPr>
          <w:rFonts w:ascii="Cambria Math" w:hAnsi="Cambria Math"/>
          <w:i/>
          <w:lang w:val="en-GB"/>
        </w:rPr>
        <w:t xml:space="preserve">      </w:t>
      </w:r>
      <w:proofErr w:type="gramStart"/>
      <w:r w:rsidRPr="005C3A1D">
        <w:rPr>
          <w:rFonts w:ascii="Cambria Math" w:hAnsi="Cambria Math"/>
          <w:i/>
          <w:lang w:val="en-GB"/>
        </w:rPr>
        <w:t xml:space="preserve">,   </w:t>
      </w:r>
      <w:proofErr w:type="gramEnd"/>
      <w:r w:rsidRPr="005C3A1D">
        <w:rPr>
          <w:rFonts w:ascii="Cambria Math" w:hAnsi="Cambria Math"/>
          <w:i/>
          <w:lang w:val="en-GB"/>
        </w:rPr>
        <w:t xml:space="preserve">   </w:t>
      </w:r>
      <m:oMath>
        <m:r>
          <w:rPr>
            <w:rFonts w:ascii="Cambria Math" w:hAnsi="Cambria Math"/>
            <w:lang w:val="en-GB"/>
          </w:rPr>
          <m:t xml:space="preserve">MSE= </m:t>
        </m:r>
        <m:f>
          <m:fPr>
            <m:ctrlPr>
              <w:rPr>
                <w:rFonts w:ascii="Cambria Math" w:hAnsi="Cambria Math"/>
                <w:i/>
                <w:lang w:val="en-GB"/>
              </w:rPr>
            </m:ctrlPr>
          </m:fPr>
          <m:num>
            <m:r>
              <w:rPr>
                <w:rFonts w:ascii="Cambria Math" w:hAnsi="Cambria Math"/>
                <w:lang w:val="en-GB"/>
              </w:rPr>
              <m:t>1</m:t>
            </m:r>
          </m:num>
          <m:den>
            <m:r>
              <w:rPr>
                <w:rFonts w:ascii="Cambria Math" w:hAnsi="Cambria Math"/>
                <w:lang w:val="en-GB"/>
              </w:rPr>
              <m:t>n</m:t>
            </m:r>
          </m:den>
        </m:f>
        <m:nary>
          <m:naryPr>
            <m:chr m:val="∑"/>
            <m:limLoc m:val="undOvr"/>
            <m:supHide m:val="1"/>
            <m:ctrlPr>
              <w:rPr>
                <w:rFonts w:ascii="Cambria Math" w:hAnsi="Cambria Math"/>
                <w:i/>
                <w:lang w:val="en-GB"/>
              </w:rPr>
            </m:ctrlPr>
          </m:naryPr>
          <m:sub>
            <m:r>
              <w:rPr>
                <w:rFonts w:ascii="Cambria Math" w:hAnsi="Cambria Math"/>
                <w:lang w:val="en-GB"/>
              </w:rPr>
              <m:t>j</m:t>
            </m:r>
          </m:sub>
          <m:sup/>
          <m:e>
            <m:sSub>
              <m:sSubPr>
                <m:ctrlPr>
                  <w:rPr>
                    <w:rFonts w:ascii="Cambria Math" w:hAnsi="Cambria Math"/>
                    <w:i/>
                    <w:lang w:val="en-GB"/>
                  </w:rPr>
                </m:ctrlPr>
              </m:sSubPr>
              <m:e>
                <m:r>
                  <w:rPr>
                    <w:rFonts w:ascii="Cambria Math" w:hAnsi="Cambria Math"/>
                    <w:lang w:val="en-GB"/>
                  </w:rPr>
                  <m:t>n</m:t>
                </m:r>
              </m:e>
              <m:sub>
                <m:r>
                  <w:rPr>
                    <w:rFonts w:ascii="Cambria Math" w:hAnsi="Cambria Math"/>
                    <w:lang w:val="en-GB"/>
                  </w:rPr>
                  <m:t>j</m:t>
                </m:r>
              </m:sub>
            </m:sSub>
            <m:sSubSup>
              <m:sSubSupPr>
                <m:ctrlPr>
                  <w:rPr>
                    <w:rFonts w:ascii="Cambria Math" w:hAnsi="Cambria Math"/>
                    <w:i/>
                    <w:lang w:val="en-GB"/>
                  </w:rPr>
                </m:ctrlPr>
              </m:sSubSupPr>
              <m:e>
                <m:r>
                  <w:rPr>
                    <w:rFonts w:ascii="Cambria Math" w:hAnsi="Cambria Math"/>
                    <w:lang w:val="en-GB"/>
                  </w:rPr>
                  <m:t xml:space="preserve"> RMSE</m:t>
                </m:r>
              </m:e>
              <m:sub>
                <m:r>
                  <w:rPr>
                    <w:rFonts w:ascii="Cambria Math" w:hAnsi="Cambria Math"/>
                    <w:lang w:val="en-GB"/>
                  </w:rPr>
                  <m:t>j</m:t>
                </m:r>
              </m:sub>
              <m:sup>
                <m:r>
                  <w:rPr>
                    <w:rFonts w:ascii="Cambria Math" w:hAnsi="Cambria Math"/>
                    <w:lang w:val="en-GB"/>
                  </w:rPr>
                  <m:t>2</m:t>
                </m:r>
              </m:sup>
            </m:sSubSup>
          </m:e>
        </m:nary>
      </m:oMath>
      <w:r w:rsidRPr="005C3A1D">
        <w:rPr>
          <w:rFonts w:ascii="Cambria Math" w:hAnsi="Cambria Math"/>
          <w:i/>
          <w:lang w:val="en-GB"/>
        </w:rPr>
        <w:t xml:space="preserve">                                                 </w:t>
      </w:r>
      <w:proofErr w:type="gramStart"/>
      <w:r w:rsidRPr="005C3A1D">
        <w:rPr>
          <w:rFonts w:ascii="Cambria Math" w:hAnsi="Cambria Math"/>
          <w:i/>
          <w:lang w:val="en-GB"/>
        </w:rPr>
        <w:t xml:space="preserve">   </w:t>
      </w:r>
      <w:bookmarkStart w:id="18" w:name="eq6"/>
      <w:r w:rsidRPr="008A7B8B">
        <w:rPr>
          <w:iCs/>
          <w:lang w:val="en-GB"/>
        </w:rPr>
        <w:t>(</w:t>
      </w:r>
      <w:proofErr w:type="gramEnd"/>
      <w:r w:rsidRPr="008A7B8B">
        <w:rPr>
          <w:iCs/>
          <w:lang w:val="en-GB"/>
        </w:rPr>
        <w:t>eq. 6)</w:t>
      </w:r>
      <w:bookmarkEnd w:id="18"/>
    </w:p>
    <w:p w14:paraId="280C8B65" w14:textId="62DAF83C" w:rsidR="008A7B8B" w:rsidRDefault="006D4C04" w:rsidP="008A7B8B">
      <w:pPr>
        <w:pStyle w:val="SWCHeading1"/>
        <w:numPr>
          <w:ilvl w:val="0"/>
          <w:numId w:val="0"/>
        </w:numPr>
        <w:jc w:val="left"/>
        <w:rPr>
          <w:rFonts w:ascii="Times New Roman" w:hAnsi="Times New Roman"/>
          <w:b w:val="0"/>
          <w:iCs/>
          <w:szCs w:val="22"/>
          <w:lang w:val="en-GB"/>
        </w:rPr>
      </w:pPr>
      <m:oMath>
        <m:r>
          <m:rPr>
            <m:sty m:val="b"/>
          </m:rPr>
          <w:rPr>
            <w:rFonts w:ascii="Cambria Math" w:hAnsi="Cambria Math"/>
            <w:szCs w:val="22"/>
          </w:rPr>
          <m:t>Δ</m:t>
        </m:r>
        <m:r>
          <m:rPr>
            <m:sty m:val="bi"/>
          </m:rPr>
          <w:rPr>
            <w:rFonts w:ascii="Cambria Math" w:hAnsi="Cambria Math"/>
            <w:lang w:val="en-GB"/>
          </w:rPr>
          <m:t xml:space="preserve">X= </m:t>
        </m:r>
        <m:sSub>
          <m:sSubPr>
            <m:ctrlPr>
              <w:rPr>
                <w:rFonts w:ascii="Cambria Math" w:hAnsi="Cambria Math"/>
                <w:i/>
                <w:iCs/>
                <w:lang w:val="en-GB"/>
              </w:rPr>
            </m:ctrlPr>
          </m:sSubPr>
          <m:e>
            <m:r>
              <m:rPr>
                <m:sty m:val="bi"/>
              </m:rPr>
              <w:rPr>
                <w:rFonts w:ascii="Cambria Math" w:hAnsi="Cambria Math"/>
                <w:lang w:val="en-GB"/>
              </w:rPr>
              <m:t>X</m:t>
            </m:r>
          </m:e>
          <m:sub>
            <m:r>
              <m:rPr>
                <m:sty m:val="bi"/>
              </m:rPr>
              <w:rPr>
                <w:rFonts w:ascii="Cambria Math" w:hAnsi="Cambria Math"/>
                <w:lang w:val="en-GB"/>
              </w:rPr>
              <m:t>coverage</m:t>
            </m:r>
          </m:sub>
        </m:sSub>
        <m:r>
          <m:rPr>
            <m:sty m:val="bi"/>
          </m:rPr>
          <w:rPr>
            <w:rFonts w:ascii="Cambria Math" w:hAnsi="Cambria Math"/>
            <w:lang w:val="en-GB"/>
          </w:rPr>
          <m:t xml:space="preserve">- </m:t>
        </m:r>
        <m:sSub>
          <m:sSubPr>
            <m:ctrlPr>
              <w:rPr>
                <w:rFonts w:ascii="Cambria Math" w:hAnsi="Cambria Math"/>
                <w:i/>
                <w:iCs/>
                <w:lang w:val="en-GB"/>
              </w:rPr>
            </m:ctrlPr>
          </m:sSubPr>
          <m:e>
            <m:r>
              <m:rPr>
                <m:sty m:val="bi"/>
              </m:rPr>
              <w:rPr>
                <w:rFonts w:ascii="Cambria Math" w:hAnsi="Cambria Math"/>
                <w:lang w:val="en-GB"/>
              </w:rPr>
              <m:t>X</m:t>
            </m:r>
          </m:e>
          <m:sub>
            <m:r>
              <m:rPr>
                <m:sty m:val="bi"/>
              </m:rPr>
              <w:rPr>
                <w:rFonts w:ascii="Cambria Math" w:hAnsi="Cambria Math"/>
                <w:lang w:val="en-GB"/>
              </w:rPr>
              <m:t>open-water</m:t>
            </m:r>
          </m:sub>
        </m:sSub>
      </m:oMath>
      <w:r w:rsidR="00E847FE">
        <w:rPr>
          <w:rFonts w:ascii="Cambria Math" w:hAnsi="Cambria Math"/>
          <w:iCs/>
          <w:lang w:val="en-GB"/>
        </w:rPr>
        <w:t xml:space="preserve">    </w:t>
      </w:r>
      <w:proofErr w:type="gramStart"/>
      <w:r w:rsidR="00E847FE">
        <w:rPr>
          <w:rFonts w:ascii="Cambria Math" w:hAnsi="Cambria Math"/>
          <w:iCs/>
          <w:lang w:val="en-GB"/>
        </w:rPr>
        <w:t xml:space="preserve">,   </w:t>
      </w:r>
      <w:proofErr w:type="gramEnd"/>
      <w:r w:rsidR="00E847FE">
        <w:rPr>
          <w:rFonts w:ascii="Cambria Math" w:hAnsi="Cambria Math"/>
          <w:iCs/>
          <w:lang w:val="en-GB"/>
        </w:rPr>
        <w:t xml:space="preserve">   </w:t>
      </w:r>
      <m:oMath>
        <m:r>
          <m:rPr>
            <m:sty m:val="bi"/>
          </m:rPr>
          <w:rPr>
            <w:rFonts w:ascii="Cambria Math" w:hAnsi="Cambria Math"/>
            <w:lang w:val="en-GB"/>
          </w:rPr>
          <m:t xml:space="preserve">d= </m:t>
        </m:r>
        <m:f>
          <m:fPr>
            <m:ctrlPr>
              <w:rPr>
                <w:rFonts w:ascii="Cambria Math" w:hAnsi="Cambria Math"/>
                <w:i/>
                <w:iCs/>
                <w:lang w:val="en-GB"/>
              </w:rPr>
            </m:ctrlPr>
          </m:fPr>
          <m:num>
            <m:d>
              <m:dPr>
                <m:begChr m:val="|"/>
                <m:endChr m:val="|"/>
                <m:ctrlPr>
                  <w:rPr>
                    <w:rFonts w:ascii="Cambria Math" w:hAnsi="Cambria Math"/>
                    <w:i/>
                    <w:iCs/>
                    <w:lang w:val="en-GB"/>
                  </w:rPr>
                </m:ctrlPr>
              </m:dPr>
              <m:e>
                <m:sSub>
                  <m:sSubPr>
                    <m:ctrlPr>
                      <w:rPr>
                        <w:rFonts w:ascii="Cambria Math" w:hAnsi="Cambria Math"/>
                        <w:i/>
                        <w:iCs/>
                        <w:lang w:val="en-GB"/>
                      </w:rPr>
                    </m:ctrlPr>
                  </m:sSubPr>
                  <m:e>
                    <m:r>
                      <m:rPr>
                        <m:sty m:val="bi"/>
                      </m:rPr>
                      <w:rPr>
                        <w:rFonts w:ascii="Cambria Math" w:hAnsi="Cambria Math"/>
                        <w:lang w:val="en-GB"/>
                      </w:rPr>
                      <m:t>E</m:t>
                    </m:r>
                  </m:e>
                  <m:sub>
                    <m:r>
                      <m:rPr>
                        <m:sty m:val="bi"/>
                      </m:rPr>
                      <w:rPr>
                        <w:rFonts w:ascii="Cambria Math" w:hAnsi="Cambria Math"/>
                        <w:lang w:val="en-GB"/>
                      </w:rPr>
                      <m:t>pySAM</m:t>
                    </m:r>
                  </m:sub>
                </m:sSub>
                <m:r>
                  <m:rPr>
                    <m:sty m:val="bi"/>
                  </m:rPr>
                  <w:rPr>
                    <w:rFonts w:ascii="Cambria Math" w:hAnsi="Cambria Math"/>
                    <w:lang w:val="en-GB"/>
                  </w:rPr>
                  <m:t>-</m:t>
                </m:r>
                <m:sSub>
                  <m:sSubPr>
                    <m:ctrlPr>
                      <w:rPr>
                        <w:rFonts w:ascii="Cambria Math" w:hAnsi="Cambria Math"/>
                        <w:i/>
                        <w:iCs/>
                        <w:lang w:val="en-GB"/>
                      </w:rPr>
                    </m:ctrlPr>
                  </m:sSubPr>
                  <m:e>
                    <m:r>
                      <m:rPr>
                        <m:sty m:val="bi"/>
                      </m:rPr>
                      <w:rPr>
                        <w:rFonts w:ascii="Cambria Math" w:hAnsi="Cambria Math"/>
                        <w:lang w:val="en-GB"/>
                      </w:rPr>
                      <m:t>E</m:t>
                    </m:r>
                  </m:e>
                  <m:sub>
                    <m:r>
                      <m:rPr>
                        <m:sty m:val="bi"/>
                      </m:rPr>
                      <w:rPr>
                        <w:rFonts w:ascii="Cambria Math" w:hAnsi="Cambria Math"/>
                        <w:lang w:val="en-GB"/>
                      </w:rPr>
                      <m:t>PVGIS</m:t>
                    </m:r>
                  </m:sub>
                </m:sSub>
              </m:e>
            </m:d>
          </m:num>
          <m:den>
            <m:sSub>
              <m:sSubPr>
                <m:ctrlPr>
                  <w:rPr>
                    <w:rFonts w:ascii="Cambria Math" w:hAnsi="Cambria Math"/>
                    <w:i/>
                    <w:iCs/>
                    <w:lang w:val="en-GB"/>
                  </w:rPr>
                </m:ctrlPr>
              </m:sSubPr>
              <m:e>
                <m:r>
                  <m:rPr>
                    <m:sty m:val="bi"/>
                  </m:rPr>
                  <w:rPr>
                    <w:rFonts w:ascii="Cambria Math" w:hAnsi="Cambria Math"/>
                    <w:lang w:val="en-GB"/>
                  </w:rPr>
                  <m:t>E</m:t>
                </m:r>
              </m:e>
              <m:sub>
                <m:r>
                  <m:rPr>
                    <m:sty m:val="bi"/>
                  </m:rPr>
                  <w:rPr>
                    <w:rFonts w:ascii="Cambria Math" w:hAnsi="Cambria Math"/>
                    <w:lang w:val="en-GB"/>
                  </w:rPr>
                  <m:t>PVGIS</m:t>
                </m:r>
              </m:sub>
            </m:sSub>
          </m:den>
        </m:f>
      </m:oMath>
      <w:r w:rsidR="00233C76">
        <w:rPr>
          <w:rFonts w:ascii="Cambria Math" w:hAnsi="Cambria Math"/>
          <w:iCs/>
          <w:lang w:val="en-GB"/>
        </w:rPr>
        <w:t xml:space="preserve">              </w:t>
      </w:r>
      <w:r w:rsidR="008A7B8B">
        <w:rPr>
          <w:rFonts w:ascii="Cambria Math" w:hAnsi="Cambria Math"/>
          <w:iCs/>
          <w:lang w:val="en-GB"/>
        </w:rPr>
        <w:t xml:space="preserve">   </w:t>
      </w:r>
      <w:r w:rsidR="00233C76">
        <w:rPr>
          <w:rFonts w:ascii="Cambria Math" w:hAnsi="Cambria Math"/>
          <w:iCs/>
          <w:lang w:val="en-GB"/>
        </w:rPr>
        <w:t xml:space="preserve"> </w:t>
      </w:r>
      <w:proofErr w:type="gramStart"/>
      <w:r w:rsidR="00233C76">
        <w:rPr>
          <w:rFonts w:ascii="Cambria Math" w:hAnsi="Cambria Math"/>
          <w:iCs/>
          <w:lang w:val="en-GB"/>
        </w:rPr>
        <w:t xml:space="preserve">   </w:t>
      </w:r>
      <w:bookmarkStart w:id="19" w:name="eq7"/>
      <w:r w:rsidR="00233C76" w:rsidRPr="008A7B8B">
        <w:rPr>
          <w:rFonts w:ascii="Times New Roman" w:hAnsi="Times New Roman"/>
          <w:b w:val="0"/>
          <w:iCs/>
          <w:szCs w:val="22"/>
          <w:lang w:val="en-GB"/>
        </w:rPr>
        <w:t>(</w:t>
      </w:r>
      <w:proofErr w:type="gramEnd"/>
      <w:r w:rsidR="00233C76" w:rsidRPr="008A7B8B">
        <w:rPr>
          <w:rFonts w:ascii="Times New Roman" w:hAnsi="Times New Roman"/>
          <w:b w:val="0"/>
          <w:iCs/>
          <w:szCs w:val="22"/>
          <w:lang w:val="en-GB"/>
        </w:rPr>
        <w:t>eq. 7)</w:t>
      </w:r>
      <w:bookmarkEnd w:id="19"/>
    </w:p>
    <w:p w14:paraId="01647679" w14:textId="77777777" w:rsidR="008A7B8B" w:rsidRPr="008A7B8B" w:rsidRDefault="008A7B8B" w:rsidP="008A7B8B"/>
    <w:p w14:paraId="6C842A91" w14:textId="6F5EEF3B" w:rsidR="003869E8" w:rsidRPr="008A7B8B" w:rsidRDefault="00D32EF0" w:rsidP="00490F10">
      <w:pPr>
        <w:pStyle w:val="SWCHeading1"/>
        <w:rPr>
          <w:lang w:val="en-GB"/>
        </w:rPr>
      </w:pPr>
      <w:r w:rsidRPr="005B3651">
        <w:rPr>
          <w:lang w:val="en-GB"/>
        </w:rPr>
        <w:t>References</w:t>
      </w:r>
      <w:r w:rsidR="004E5D79" w:rsidRPr="005B3651">
        <w:rPr>
          <w:lang w:val="en-GB"/>
        </w:rPr>
        <w:t xml:space="preserve"> </w:t>
      </w:r>
    </w:p>
    <w:p w14:paraId="74F1B078" w14:textId="0BEA0BE3" w:rsidR="00753F48" w:rsidRDefault="00753F48" w:rsidP="00753F48">
      <w:pPr>
        <w:pStyle w:val="SWCText"/>
        <w:numPr>
          <w:ilvl w:val="0"/>
          <w:numId w:val="36"/>
        </w:numPr>
        <w:rPr>
          <w:lang w:val="en-GB"/>
        </w:rPr>
      </w:pPr>
      <w:bookmarkStart w:id="20" w:name="Ref1"/>
      <w:r w:rsidRPr="00753F48">
        <w:rPr>
          <w:lang w:val="en-GB"/>
        </w:rPr>
        <w:t xml:space="preserve">Exley, G., Page, T., Olsson, F., Thackeray, S. J., Chipps, M. J., Armstrong, A., &amp; Folkard, A. M. (2025). Modelling of the potential of floating photovoltaics for mitigating climate change impacts on reservoirs. Knowledge &amp; Management of Aquatic Ecosystems, (426), 26. </w:t>
      </w:r>
      <w:hyperlink r:id="rId12" w:history="1">
        <w:r w:rsidRPr="00E54CEA">
          <w:rPr>
            <w:rStyle w:val="Hyperlink"/>
            <w:lang w:val="en-GB"/>
          </w:rPr>
          <w:t>https://doi.org/10.1051/kmae/2025021</w:t>
        </w:r>
      </w:hyperlink>
      <w:bookmarkEnd w:id="20"/>
    </w:p>
    <w:p w14:paraId="55FC92B9" w14:textId="1C0B03E0" w:rsidR="00753F48" w:rsidRDefault="00571963" w:rsidP="00753F48">
      <w:pPr>
        <w:pStyle w:val="SWCText"/>
        <w:numPr>
          <w:ilvl w:val="0"/>
          <w:numId w:val="36"/>
        </w:numPr>
        <w:rPr>
          <w:lang w:val="en-GB"/>
        </w:rPr>
      </w:pPr>
      <w:bookmarkStart w:id="21" w:name="Ref2"/>
      <w:r w:rsidRPr="008A7B8B">
        <w:rPr>
          <w:lang w:val="de-DE"/>
        </w:rPr>
        <w:t xml:space="preserve">Ilgen, K., Schindler, D., Wieland, S., &amp; </w:t>
      </w:r>
      <w:proofErr w:type="gramStart"/>
      <w:r w:rsidRPr="008A7B8B">
        <w:rPr>
          <w:lang w:val="de-DE"/>
        </w:rPr>
        <w:t>Lange</w:t>
      </w:r>
      <w:proofErr w:type="gramEnd"/>
      <w:r w:rsidRPr="008A7B8B">
        <w:rPr>
          <w:lang w:val="de-DE"/>
        </w:rPr>
        <w:t xml:space="preserve">, J. (2023). </w:t>
      </w:r>
      <w:r w:rsidRPr="00571963">
        <w:rPr>
          <w:lang w:val="en-GB"/>
        </w:rPr>
        <w:t xml:space="preserve">The impact of floating photovoltaic power plants on lake water temperature and stratification. Scientific Reports, 13(1), 7932. </w:t>
      </w:r>
      <w:hyperlink r:id="rId13" w:history="1">
        <w:r w:rsidRPr="00E54CEA">
          <w:rPr>
            <w:rStyle w:val="Hyperlink"/>
            <w:lang w:val="en-GB"/>
          </w:rPr>
          <w:t>https://doi.org/10.1038/s41598-023-34751-2</w:t>
        </w:r>
      </w:hyperlink>
      <w:bookmarkEnd w:id="21"/>
    </w:p>
    <w:p w14:paraId="7F2AFD01" w14:textId="75D1422C" w:rsidR="00571963" w:rsidRDefault="00571963" w:rsidP="00753F48">
      <w:pPr>
        <w:pStyle w:val="SWCText"/>
        <w:numPr>
          <w:ilvl w:val="0"/>
          <w:numId w:val="36"/>
        </w:numPr>
        <w:rPr>
          <w:lang w:val="en-GB"/>
        </w:rPr>
      </w:pPr>
      <w:bookmarkStart w:id="22" w:name="Ref3"/>
      <w:r w:rsidRPr="008A7B8B">
        <w:rPr>
          <w:lang w:val="de-DE"/>
        </w:rPr>
        <w:t xml:space="preserve">Sandrini, G., </w:t>
      </w:r>
      <w:proofErr w:type="spellStart"/>
      <w:r w:rsidRPr="008A7B8B">
        <w:rPr>
          <w:lang w:val="de-DE"/>
        </w:rPr>
        <w:t>Wagenvoort</w:t>
      </w:r>
      <w:proofErr w:type="spellEnd"/>
      <w:r w:rsidRPr="008A7B8B">
        <w:rPr>
          <w:lang w:val="de-DE"/>
        </w:rPr>
        <w:t xml:space="preserve">, A., van </w:t>
      </w:r>
      <w:proofErr w:type="spellStart"/>
      <w:r w:rsidRPr="008A7B8B">
        <w:rPr>
          <w:lang w:val="de-DE"/>
        </w:rPr>
        <w:t>Asperen</w:t>
      </w:r>
      <w:proofErr w:type="spellEnd"/>
      <w:r w:rsidRPr="008A7B8B">
        <w:rPr>
          <w:lang w:val="de-DE"/>
        </w:rPr>
        <w:t xml:space="preserve">, R., Hofs, B., </w:t>
      </w:r>
      <w:proofErr w:type="spellStart"/>
      <w:r w:rsidRPr="008A7B8B">
        <w:rPr>
          <w:lang w:val="de-DE"/>
        </w:rPr>
        <w:t>Mathijssen</w:t>
      </w:r>
      <w:proofErr w:type="spellEnd"/>
      <w:r w:rsidRPr="008A7B8B">
        <w:rPr>
          <w:lang w:val="de-DE"/>
        </w:rPr>
        <w:t xml:space="preserve">, D., &amp; van der Wal, A. (2025). </w:t>
      </w:r>
      <w:r w:rsidRPr="00571963">
        <w:rPr>
          <w:lang w:val="en-GB"/>
        </w:rPr>
        <w:t xml:space="preserve">Illuminating the Impact of a Floating Photovoltaic System on a Shallow Drinking Water Reservoir: The Emergence of Benthic Cyanobacteria. Water, 17(8), 1178. </w:t>
      </w:r>
      <w:hyperlink r:id="rId14" w:history="1">
        <w:r w:rsidRPr="00E54CEA">
          <w:rPr>
            <w:rStyle w:val="Hyperlink"/>
            <w:lang w:val="en-GB"/>
          </w:rPr>
          <w:t>https://doi.org/10.3390/w17081178</w:t>
        </w:r>
      </w:hyperlink>
      <w:bookmarkEnd w:id="22"/>
    </w:p>
    <w:p w14:paraId="0319C27A" w14:textId="5C4695E6" w:rsidR="00571963" w:rsidRDefault="00571963" w:rsidP="00753F48">
      <w:pPr>
        <w:pStyle w:val="SWCText"/>
        <w:numPr>
          <w:ilvl w:val="0"/>
          <w:numId w:val="36"/>
        </w:numPr>
        <w:rPr>
          <w:lang w:val="en-GB"/>
        </w:rPr>
      </w:pPr>
      <w:bookmarkStart w:id="23" w:name="Ref4"/>
      <w:proofErr w:type="spellStart"/>
      <w:r w:rsidRPr="00571963">
        <w:rPr>
          <w:lang w:val="en-GB"/>
        </w:rPr>
        <w:t>Berlioux</w:t>
      </w:r>
      <w:proofErr w:type="spellEnd"/>
      <w:r w:rsidRPr="00571963">
        <w:rPr>
          <w:lang w:val="en-GB"/>
        </w:rPr>
        <w:t xml:space="preserve">, B., Amiot, B., Ferrand, M., Berre, R. L., </w:t>
      </w:r>
      <w:proofErr w:type="spellStart"/>
      <w:r w:rsidRPr="00571963">
        <w:rPr>
          <w:lang w:val="en-GB"/>
        </w:rPr>
        <w:t>Rhazi</w:t>
      </w:r>
      <w:proofErr w:type="spellEnd"/>
      <w:r w:rsidRPr="00571963">
        <w:rPr>
          <w:lang w:val="en-GB"/>
        </w:rPr>
        <w:t xml:space="preserve">, O.-L., Vidal, J., </w:t>
      </w:r>
      <w:proofErr w:type="spellStart"/>
      <w:r w:rsidRPr="00571963">
        <w:rPr>
          <w:lang w:val="en-GB"/>
        </w:rPr>
        <w:t>Pabiou</w:t>
      </w:r>
      <w:proofErr w:type="spellEnd"/>
      <w:r w:rsidRPr="00571963">
        <w:rPr>
          <w:lang w:val="en-GB"/>
        </w:rPr>
        <w:t xml:space="preserve">, H., &amp; </w:t>
      </w:r>
      <w:proofErr w:type="spellStart"/>
      <w:r w:rsidRPr="00571963">
        <w:rPr>
          <w:lang w:val="en-GB"/>
        </w:rPr>
        <w:t>Knikker</w:t>
      </w:r>
      <w:proofErr w:type="spellEnd"/>
      <w:r w:rsidRPr="00571963">
        <w:rPr>
          <w:lang w:val="en-GB"/>
        </w:rPr>
        <w:t xml:space="preserve">, R. (2025). Numerical analysis of evaporation reduction in floating photovoltaic power plants: Influence of design parameters. EPJ Photovoltaics, 16, 4. </w:t>
      </w:r>
      <w:hyperlink r:id="rId15" w:history="1">
        <w:r w:rsidRPr="00E54CEA">
          <w:rPr>
            <w:rStyle w:val="Hyperlink"/>
            <w:lang w:val="en-GB"/>
          </w:rPr>
          <w:t>https://doi.org/10.1051/epjpv/2024047</w:t>
        </w:r>
      </w:hyperlink>
      <w:bookmarkEnd w:id="23"/>
    </w:p>
    <w:p w14:paraId="60A0F28B" w14:textId="4A9D038C" w:rsidR="00571963" w:rsidRDefault="00571963" w:rsidP="00753F48">
      <w:pPr>
        <w:pStyle w:val="SWCText"/>
        <w:numPr>
          <w:ilvl w:val="0"/>
          <w:numId w:val="36"/>
        </w:numPr>
        <w:rPr>
          <w:lang w:val="en-GB"/>
        </w:rPr>
      </w:pPr>
      <w:bookmarkStart w:id="24" w:name="Ref5"/>
      <w:r w:rsidRPr="008A7B8B">
        <w:rPr>
          <w:lang w:val="de-DE"/>
        </w:rPr>
        <w:t xml:space="preserve">Ilgen, K., Schindler, D., Wieland, S., &amp; </w:t>
      </w:r>
      <w:proofErr w:type="gramStart"/>
      <w:r w:rsidRPr="008A7B8B">
        <w:rPr>
          <w:lang w:val="de-DE"/>
        </w:rPr>
        <w:t>Lange</w:t>
      </w:r>
      <w:proofErr w:type="gramEnd"/>
      <w:r w:rsidRPr="008A7B8B">
        <w:rPr>
          <w:lang w:val="de-DE"/>
        </w:rPr>
        <w:t xml:space="preserve">, J. (2026). </w:t>
      </w:r>
      <w:r w:rsidRPr="00571963">
        <w:rPr>
          <w:lang w:val="en-GB"/>
        </w:rPr>
        <w:t xml:space="preserve">Correction: The impact of floating photovoltaic power plants on lake water temperature and stratification. Scientific Reports, 16(1), 5009. </w:t>
      </w:r>
      <w:hyperlink r:id="rId16" w:history="1">
        <w:r w:rsidRPr="00E54CEA">
          <w:rPr>
            <w:rStyle w:val="Hyperlink"/>
            <w:lang w:val="en-GB"/>
          </w:rPr>
          <w:t>https://doi.org/10.1038/s41598-026-37857-5</w:t>
        </w:r>
      </w:hyperlink>
      <w:bookmarkEnd w:id="24"/>
    </w:p>
    <w:p w14:paraId="7C72B51E" w14:textId="6FF92EB1" w:rsidR="00571963" w:rsidRDefault="00571963" w:rsidP="00571963">
      <w:pPr>
        <w:pStyle w:val="SWCText"/>
        <w:numPr>
          <w:ilvl w:val="0"/>
          <w:numId w:val="36"/>
        </w:numPr>
        <w:rPr>
          <w:lang w:val="en-GB"/>
        </w:rPr>
      </w:pPr>
      <w:bookmarkStart w:id="25" w:name="Ref6"/>
      <w:r w:rsidRPr="008A7B8B">
        <w:rPr>
          <w:lang w:val="fr-FR"/>
        </w:rPr>
        <w:lastRenderedPageBreak/>
        <w:t xml:space="preserve">Ministère de la Transition écologique. </w:t>
      </w:r>
      <w:proofErr w:type="spellStart"/>
      <w:proofErr w:type="gramStart"/>
      <w:r w:rsidRPr="008A7B8B">
        <w:rPr>
          <w:lang w:val="fr-FR"/>
        </w:rPr>
        <w:t>Hydroportail</w:t>
      </w:r>
      <w:proofErr w:type="spellEnd"/>
      <w:r w:rsidRPr="008A7B8B">
        <w:rPr>
          <w:lang w:val="fr-FR"/>
        </w:rPr>
        <w:t>:</w:t>
      </w:r>
      <w:proofErr w:type="gramEnd"/>
      <w:r w:rsidRPr="008A7B8B">
        <w:rPr>
          <w:lang w:val="fr-FR"/>
        </w:rPr>
        <w:t xml:space="preserve"> Station v133001001, lac du </w:t>
      </w:r>
      <w:proofErr w:type="spellStart"/>
      <w:r w:rsidRPr="008A7B8B">
        <w:rPr>
          <w:lang w:val="fr-FR"/>
        </w:rPr>
        <w:t>bourget</w:t>
      </w:r>
      <w:proofErr w:type="spellEnd"/>
      <w:r w:rsidRPr="008A7B8B">
        <w:rPr>
          <w:lang w:val="fr-FR"/>
        </w:rPr>
        <w:t xml:space="preserve">, 2026. </w:t>
      </w:r>
      <w:r w:rsidRPr="00571963">
        <w:rPr>
          <w:lang w:val="en-GB"/>
        </w:rPr>
        <w:t>URL https://www.hydro.eaufrance.fr/stationhydro/V13300 1001/series.</w:t>
      </w:r>
      <w:bookmarkEnd w:id="25"/>
    </w:p>
    <w:p w14:paraId="0797CCCF" w14:textId="17A0B810" w:rsidR="00571963" w:rsidRPr="008A7B8B" w:rsidRDefault="00571963" w:rsidP="00571963">
      <w:pPr>
        <w:pStyle w:val="SWCText"/>
        <w:numPr>
          <w:ilvl w:val="0"/>
          <w:numId w:val="36"/>
        </w:numPr>
        <w:rPr>
          <w:lang w:val="fr-FR"/>
        </w:rPr>
      </w:pPr>
      <w:bookmarkStart w:id="26" w:name="Ref7"/>
      <w:r w:rsidRPr="008A7B8B">
        <w:rPr>
          <w:lang w:val="fr-FR"/>
        </w:rPr>
        <w:t xml:space="preserve">Office français de la biodiversité. Hub’eau hydrométrie api, 2026. URL </w:t>
      </w:r>
      <w:proofErr w:type="gramStart"/>
      <w:r w:rsidRPr="008A7B8B">
        <w:rPr>
          <w:lang w:val="fr-FR"/>
        </w:rPr>
        <w:t>https:</w:t>
      </w:r>
      <w:proofErr w:type="gramEnd"/>
      <w:r w:rsidRPr="008A7B8B">
        <w:rPr>
          <w:lang w:val="fr-FR"/>
        </w:rPr>
        <w:t xml:space="preserve"> //hubeau.eaufrance.fr/api/v2/</w:t>
      </w:r>
      <w:proofErr w:type="spellStart"/>
      <w:r w:rsidRPr="008A7B8B">
        <w:rPr>
          <w:lang w:val="fr-FR"/>
        </w:rPr>
        <w:t>hydrometrie</w:t>
      </w:r>
      <w:proofErr w:type="spellEnd"/>
      <w:r w:rsidRPr="008A7B8B">
        <w:rPr>
          <w:lang w:val="fr-FR"/>
        </w:rPr>
        <w:t>/api-docs.</w:t>
      </w:r>
      <w:bookmarkEnd w:id="26"/>
    </w:p>
    <w:p w14:paraId="398EA2DB" w14:textId="75DE1EDE" w:rsidR="00571963" w:rsidRPr="008A7B8B" w:rsidRDefault="00571963" w:rsidP="00571963">
      <w:pPr>
        <w:pStyle w:val="SWCText"/>
        <w:numPr>
          <w:ilvl w:val="0"/>
          <w:numId w:val="36"/>
        </w:numPr>
        <w:rPr>
          <w:lang w:val="fr-FR"/>
        </w:rPr>
      </w:pPr>
      <w:bookmarkStart w:id="27" w:name="Ref8"/>
      <w:r w:rsidRPr="008A7B8B">
        <w:rPr>
          <w:lang w:val="fr-FR"/>
        </w:rPr>
        <w:t xml:space="preserve">Météo-France. Données climatologiques de base horaires, 2026. URL </w:t>
      </w:r>
      <w:proofErr w:type="gramStart"/>
      <w:r w:rsidRPr="008A7B8B">
        <w:rPr>
          <w:lang w:val="fr-FR"/>
        </w:rPr>
        <w:t>https:</w:t>
      </w:r>
      <w:proofErr w:type="gramEnd"/>
      <w:r w:rsidRPr="008A7B8B">
        <w:rPr>
          <w:lang w:val="fr-FR"/>
        </w:rPr>
        <w:t xml:space="preserve"> //www.data.gouv.fr/fr/datasets/donnees-climatologiques-de-base-hor aires/.</w:t>
      </w:r>
      <w:bookmarkEnd w:id="27"/>
    </w:p>
    <w:p w14:paraId="3856D287" w14:textId="607CC986" w:rsidR="00571963" w:rsidRPr="008A7B8B" w:rsidRDefault="00571963" w:rsidP="00571963">
      <w:pPr>
        <w:pStyle w:val="SWCText"/>
        <w:numPr>
          <w:ilvl w:val="0"/>
          <w:numId w:val="36"/>
        </w:numPr>
        <w:rPr>
          <w:lang w:val="fr-FR"/>
        </w:rPr>
      </w:pPr>
      <w:bookmarkStart w:id="28" w:name="Ref9"/>
      <w:r w:rsidRPr="008A7B8B">
        <w:rPr>
          <w:lang w:val="fr-FR"/>
        </w:rPr>
        <w:t xml:space="preserve">Agence de l’eau Rhône Méditerranée Corse. Lac du </w:t>
      </w:r>
      <w:proofErr w:type="spellStart"/>
      <w:proofErr w:type="gramStart"/>
      <w:r w:rsidRPr="008A7B8B">
        <w:rPr>
          <w:lang w:val="fr-FR"/>
        </w:rPr>
        <w:t>bourget</w:t>
      </w:r>
      <w:proofErr w:type="spellEnd"/>
      <w:r w:rsidRPr="008A7B8B">
        <w:rPr>
          <w:lang w:val="fr-FR"/>
        </w:rPr>
        <w:t>:</w:t>
      </w:r>
      <w:proofErr w:type="gramEnd"/>
      <w:r w:rsidRPr="008A7B8B">
        <w:rPr>
          <w:lang w:val="fr-FR"/>
        </w:rPr>
        <w:t xml:space="preserve"> suivi de la qualité des eaux 2022. </w:t>
      </w:r>
      <w:proofErr w:type="spellStart"/>
      <w:r w:rsidRPr="008A7B8B">
        <w:rPr>
          <w:lang w:val="fr-FR"/>
        </w:rPr>
        <w:t>Technical</w:t>
      </w:r>
      <w:proofErr w:type="spellEnd"/>
      <w:r w:rsidRPr="008A7B8B">
        <w:rPr>
          <w:lang w:val="fr-FR"/>
        </w:rPr>
        <w:t xml:space="preserve"> report, Agence de l’eau Rhône Méditerranée Corse, 2022. URL https://www.rhone-mediterranee.eaufrance.fr/sites/sierm/f iles/</w:t>
      </w:r>
      <w:proofErr w:type="spellStart"/>
      <w:r w:rsidRPr="008A7B8B">
        <w:rPr>
          <w:lang w:val="fr-FR"/>
        </w:rPr>
        <w:t>lake_waterbody</w:t>
      </w:r>
      <w:proofErr w:type="spellEnd"/>
      <w:r w:rsidRPr="008A7B8B">
        <w:rPr>
          <w:lang w:val="fr-FR"/>
        </w:rPr>
        <w:t>/43068/2022/rapport_bourget_2022.pdf.</w:t>
      </w:r>
      <w:bookmarkEnd w:id="28"/>
    </w:p>
    <w:p w14:paraId="2C7BDF98" w14:textId="4C533FD5" w:rsidR="00571963" w:rsidRPr="008A7B8B" w:rsidRDefault="00571963" w:rsidP="00571963">
      <w:pPr>
        <w:pStyle w:val="SWCText"/>
        <w:numPr>
          <w:ilvl w:val="0"/>
          <w:numId w:val="36"/>
        </w:numPr>
        <w:rPr>
          <w:lang w:val="fr-FR"/>
        </w:rPr>
      </w:pPr>
      <w:bookmarkStart w:id="29" w:name="Ref10"/>
      <w:r w:rsidRPr="008A7B8B">
        <w:rPr>
          <w:lang w:val="fr-FR"/>
        </w:rPr>
        <w:t xml:space="preserve">Bureau de recherches géologiques et minières. </w:t>
      </w:r>
      <w:proofErr w:type="spellStart"/>
      <w:r w:rsidRPr="008A7B8B">
        <w:rPr>
          <w:lang w:val="fr-FR"/>
        </w:rPr>
        <w:t>Infoterre</w:t>
      </w:r>
      <w:proofErr w:type="spellEnd"/>
      <w:r w:rsidRPr="008A7B8B">
        <w:rPr>
          <w:lang w:val="fr-FR"/>
        </w:rPr>
        <w:t xml:space="preserve"> </w:t>
      </w:r>
      <w:proofErr w:type="spellStart"/>
      <w:r w:rsidRPr="008A7B8B">
        <w:rPr>
          <w:lang w:val="fr-FR"/>
        </w:rPr>
        <w:t>ogc</w:t>
      </w:r>
      <w:proofErr w:type="spellEnd"/>
      <w:r w:rsidRPr="008A7B8B">
        <w:rPr>
          <w:lang w:val="fr-FR"/>
        </w:rPr>
        <w:t xml:space="preserve"> </w:t>
      </w:r>
      <w:proofErr w:type="spellStart"/>
      <w:r w:rsidRPr="008A7B8B">
        <w:rPr>
          <w:lang w:val="fr-FR"/>
        </w:rPr>
        <w:t>geoservices</w:t>
      </w:r>
      <w:proofErr w:type="spellEnd"/>
      <w:r w:rsidRPr="008A7B8B">
        <w:rPr>
          <w:lang w:val="fr-FR"/>
        </w:rPr>
        <w:t xml:space="preserve">, 2026. URL </w:t>
      </w:r>
      <w:hyperlink r:id="rId17" w:history="1">
        <w:r w:rsidRPr="008A7B8B">
          <w:rPr>
            <w:rStyle w:val="Hyperlink"/>
            <w:lang w:val="fr-FR"/>
          </w:rPr>
          <w:t>https://infoterre.brgm.fr/page/geoservices-ogc</w:t>
        </w:r>
      </w:hyperlink>
      <w:r w:rsidRPr="008A7B8B">
        <w:rPr>
          <w:lang w:val="fr-FR"/>
        </w:rPr>
        <w:t>.</w:t>
      </w:r>
      <w:bookmarkEnd w:id="29"/>
    </w:p>
    <w:p w14:paraId="66758D46" w14:textId="05F43182" w:rsidR="00571963" w:rsidRPr="008A7B8B" w:rsidRDefault="007E32A8" w:rsidP="007E32A8">
      <w:pPr>
        <w:pStyle w:val="SWCText"/>
        <w:numPr>
          <w:ilvl w:val="0"/>
          <w:numId w:val="36"/>
        </w:numPr>
        <w:rPr>
          <w:lang w:val="fr-FR"/>
        </w:rPr>
      </w:pPr>
      <w:bookmarkStart w:id="30" w:name="Ref11"/>
      <w:r w:rsidRPr="008A7B8B">
        <w:rPr>
          <w:lang w:val="fr-FR"/>
        </w:rPr>
        <w:t xml:space="preserve">Frédéric Rimet, Orlane </w:t>
      </w:r>
      <w:proofErr w:type="spellStart"/>
      <w:r w:rsidRPr="008A7B8B">
        <w:rPr>
          <w:lang w:val="fr-FR"/>
        </w:rPr>
        <w:t>Anneville</w:t>
      </w:r>
      <w:proofErr w:type="spellEnd"/>
      <w:r w:rsidRPr="008A7B8B">
        <w:rPr>
          <w:lang w:val="fr-FR"/>
        </w:rPr>
        <w:t xml:space="preserve">, Denis Barbet, Cécile Chardon, Laura Crépin, Isabelle Domaizon, Jean-Marcel Dorioz, Laurent Espinat, Victor Frossard, Jean Guillard, Chloé Goulon, Valérie Hamelet, Jean-Christophe Hustache, Stéphan Jacquet, Leslie Lainé, Bernard Montuelle, Pascal Perney, Philippe Quetin, Ser </w:t>
      </w:r>
      <w:proofErr w:type="spellStart"/>
      <w:r w:rsidRPr="008A7B8B">
        <w:rPr>
          <w:lang w:val="fr-FR"/>
        </w:rPr>
        <w:t>ena</w:t>
      </w:r>
      <w:proofErr w:type="spellEnd"/>
      <w:r w:rsidRPr="008A7B8B">
        <w:rPr>
          <w:lang w:val="fr-FR"/>
        </w:rPr>
        <w:t xml:space="preserve"> </w:t>
      </w:r>
      <w:proofErr w:type="spellStart"/>
      <w:r w:rsidRPr="008A7B8B">
        <w:rPr>
          <w:lang w:val="fr-FR"/>
        </w:rPr>
        <w:t>Rasconi</w:t>
      </w:r>
      <w:proofErr w:type="spellEnd"/>
      <w:r w:rsidRPr="008A7B8B">
        <w:rPr>
          <w:lang w:val="fr-FR"/>
        </w:rPr>
        <w:t xml:space="preserve">, Antoine Schellenberger, Viet </w:t>
      </w:r>
      <w:proofErr w:type="spellStart"/>
      <w:r w:rsidRPr="008A7B8B">
        <w:rPr>
          <w:lang w:val="fr-FR"/>
        </w:rPr>
        <w:t>Tran</w:t>
      </w:r>
      <w:proofErr w:type="spellEnd"/>
      <w:r w:rsidRPr="008A7B8B">
        <w:rPr>
          <w:lang w:val="fr-FR"/>
        </w:rPr>
        <w:t xml:space="preserve">-Khac, and Ghislaine Monet. </w:t>
      </w:r>
      <w:r w:rsidRPr="007E32A8">
        <w:rPr>
          <w:lang w:val="en-GB"/>
        </w:rPr>
        <w:t xml:space="preserve">The observatory on </w:t>
      </w:r>
      <w:proofErr w:type="spellStart"/>
      <w:r w:rsidRPr="007E32A8">
        <w:rPr>
          <w:lang w:val="en-GB"/>
        </w:rPr>
        <w:t>LAkes</w:t>
      </w:r>
      <w:proofErr w:type="spellEnd"/>
      <w:r w:rsidRPr="007E32A8">
        <w:rPr>
          <w:lang w:val="en-GB"/>
        </w:rPr>
        <w:t xml:space="preserve"> (OLA) database: Sixty years of environmental data accessible to the public. Journal of Limnology, 79(2):164–178, 2020. </w:t>
      </w:r>
      <w:proofErr w:type="spellStart"/>
      <w:r w:rsidRPr="007E32A8">
        <w:rPr>
          <w:lang w:val="en-GB"/>
        </w:rPr>
        <w:t>doi</w:t>
      </w:r>
      <w:proofErr w:type="spellEnd"/>
      <w:r w:rsidRPr="007E32A8">
        <w:rPr>
          <w:lang w:val="en-GB"/>
        </w:rPr>
        <w:t>: 10.4081/jlimnol.2020.1944.</w:t>
      </w:r>
      <w:bookmarkEnd w:id="30"/>
    </w:p>
    <w:p w14:paraId="3BF92F60" w14:textId="56978277" w:rsidR="007E32A8" w:rsidRDefault="00452B5F" w:rsidP="007E32A8">
      <w:pPr>
        <w:pStyle w:val="SWCText"/>
        <w:numPr>
          <w:ilvl w:val="0"/>
          <w:numId w:val="36"/>
        </w:numPr>
        <w:rPr>
          <w:lang w:val="en-GB"/>
        </w:rPr>
      </w:pPr>
      <w:bookmarkStart w:id="31" w:name="Ref12"/>
      <w:r w:rsidRPr="00452B5F">
        <w:rPr>
          <w:lang w:val="fr-FR"/>
        </w:rPr>
        <w:t xml:space="preserve">Duquette, W. H., &amp; Chamberlain, R. G. (2007). </w:t>
      </w:r>
      <w:r w:rsidRPr="008A7B8B">
        <w:rPr>
          <w:lang w:val="en-GB"/>
        </w:rPr>
        <w:t xml:space="preserve">Some algorithms for polygons on a sphere. </w:t>
      </w:r>
      <w:hyperlink r:id="rId18" w:history="1">
        <w:r w:rsidRPr="008A7B8B">
          <w:rPr>
            <w:rStyle w:val="Hyperlink"/>
            <w:lang w:val="en-GB"/>
          </w:rPr>
          <w:t>https://ntrs.nasa.gov/citations/20210005701</w:t>
        </w:r>
      </w:hyperlink>
      <w:bookmarkEnd w:id="31"/>
    </w:p>
    <w:p w14:paraId="677FE589" w14:textId="1D9808B7" w:rsidR="00452B5F" w:rsidRDefault="00452B5F" w:rsidP="007E32A8">
      <w:pPr>
        <w:pStyle w:val="SWCText"/>
        <w:numPr>
          <w:ilvl w:val="0"/>
          <w:numId w:val="36"/>
        </w:numPr>
        <w:rPr>
          <w:lang w:val="en-GB"/>
        </w:rPr>
      </w:pPr>
      <w:bookmarkStart w:id="32" w:name="Ref13"/>
      <w:r w:rsidRPr="008A7B8B">
        <w:rPr>
          <w:lang w:val="de-DE"/>
        </w:rPr>
        <w:t xml:space="preserve">Huld, T., Müller, R., &amp; Gambardella, A. (2012). </w:t>
      </w:r>
      <w:r w:rsidRPr="00452B5F">
        <w:rPr>
          <w:lang w:val="en-GB"/>
        </w:rPr>
        <w:t xml:space="preserve">A new solar radiation database for estimating PV performance in Europe and Africa. Solar Energy, 86(6), 1803–1815. </w:t>
      </w:r>
      <w:hyperlink r:id="rId19" w:history="1">
        <w:r w:rsidRPr="00E54CEA">
          <w:rPr>
            <w:rStyle w:val="Hyperlink"/>
            <w:lang w:val="en-GB"/>
          </w:rPr>
          <w:t>https://doi.org/10.1016/j.solener.2012.03.006</w:t>
        </w:r>
      </w:hyperlink>
      <w:bookmarkEnd w:id="32"/>
    </w:p>
    <w:p w14:paraId="5028F111" w14:textId="63447131" w:rsidR="00452B5F" w:rsidRDefault="00452B5F" w:rsidP="007E32A8">
      <w:pPr>
        <w:pStyle w:val="SWCText"/>
        <w:numPr>
          <w:ilvl w:val="0"/>
          <w:numId w:val="36"/>
        </w:numPr>
        <w:rPr>
          <w:lang w:val="en-GB"/>
        </w:rPr>
      </w:pPr>
      <w:bookmarkStart w:id="33" w:name="Ref14"/>
      <w:r w:rsidRPr="00452B5F">
        <w:rPr>
          <w:lang w:val="en-GB"/>
        </w:rPr>
        <w:t xml:space="preserve">Dobos, A. (2014). </w:t>
      </w:r>
      <w:proofErr w:type="spellStart"/>
      <w:r w:rsidRPr="00452B5F">
        <w:rPr>
          <w:lang w:val="en-GB"/>
        </w:rPr>
        <w:t>PVWatts</w:t>
      </w:r>
      <w:proofErr w:type="spellEnd"/>
      <w:r w:rsidRPr="00452B5F">
        <w:rPr>
          <w:lang w:val="en-GB"/>
        </w:rPr>
        <w:t xml:space="preserve"> Version 5 Manual (NREL/TP-6A20-62641, 1158421; p. NREL/TP-6A20-62641, 1158421). </w:t>
      </w:r>
      <w:hyperlink r:id="rId20" w:history="1">
        <w:r w:rsidRPr="00E54CEA">
          <w:rPr>
            <w:rStyle w:val="Hyperlink"/>
            <w:lang w:val="en-GB"/>
          </w:rPr>
          <w:t>https://doi.org/10.2172/1158421</w:t>
        </w:r>
      </w:hyperlink>
      <w:bookmarkEnd w:id="33"/>
    </w:p>
    <w:p w14:paraId="3AD6C8A3" w14:textId="48A99963" w:rsidR="00452B5F" w:rsidRDefault="00452B5F" w:rsidP="007E32A8">
      <w:pPr>
        <w:pStyle w:val="SWCText"/>
        <w:numPr>
          <w:ilvl w:val="0"/>
          <w:numId w:val="36"/>
        </w:numPr>
        <w:rPr>
          <w:lang w:val="en-GB"/>
        </w:rPr>
      </w:pPr>
      <w:bookmarkStart w:id="34" w:name="Ref15"/>
      <w:proofErr w:type="spellStart"/>
      <w:r w:rsidRPr="008A7B8B">
        <w:rPr>
          <w:lang w:val="fr-FR"/>
        </w:rPr>
        <w:t>Vremec</w:t>
      </w:r>
      <w:proofErr w:type="spellEnd"/>
      <w:r w:rsidRPr="008A7B8B">
        <w:rPr>
          <w:lang w:val="fr-FR"/>
        </w:rPr>
        <w:t xml:space="preserve">, M., </w:t>
      </w:r>
      <w:proofErr w:type="spellStart"/>
      <w:r w:rsidRPr="008A7B8B">
        <w:rPr>
          <w:lang w:val="fr-FR"/>
        </w:rPr>
        <w:t>Collenteur</w:t>
      </w:r>
      <w:proofErr w:type="spellEnd"/>
      <w:r w:rsidRPr="008A7B8B">
        <w:rPr>
          <w:lang w:val="fr-FR"/>
        </w:rPr>
        <w:t xml:space="preserve">, R. A., &amp; Birk, S. (2024). </w:t>
      </w:r>
      <w:r w:rsidRPr="00452B5F">
        <w:rPr>
          <w:lang w:val="en-GB"/>
        </w:rPr>
        <w:t xml:space="preserve">PyEt v1.3.1: A Python package for the estimation of potential evapotranspiration. Geoscientific Model Development, 17(18), 7083–7103. </w:t>
      </w:r>
      <w:hyperlink r:id="rId21" w:history="1">
        <w:r w:rsidRPr="00E54CEA">
          <w:rPr>
            <w:rStyle w:val="Hyperlink"/>
            <w:lang w:val="en-GB"/>
          </w:rPr>
          <w:t>https://doi.org/10.5194/gmd-17-7083-2024</w:t>
        </w:r>
      </w:hyperlink>
      <w:bookmarkEnd w:id="34"/>
    </w:p>
    <w:p w14:paraId="2BEA31AD" w14:textId="654E8876" w:rsidR="00452B5F" w:rsidRDefault="00452B5F" w:rsidP="007E32A8">
      <w:pPr>
        <w:pStyle w:val="SWCText"/>
        <w:numPr>
          <w:ilvl w:val="0"/>
          <w:numId w:val="36"/>
        </w:numPr>
        <w:rPr>
          <w:lang w:val="en-GB"/>
        </w:rPr>
      </w:pPr>
      <w:bookmarkStart w:id="35" w:name="Ref16"/>
      <w:r w:rsidRPr="00452B5F">
        <w:rPr>
          <w:lang w:val="en-GB"/>
        </w:rPr>
        <w:t xml:space="preserve">Hipsey, M. R., Bruce, L. C., Boon, C., Busch, B., Carey, C. C., Hamilton, D. P., Hanson, P. C., Read, J. S., de Sousa, E., Weber, M., &amp; Winslow, L. A. (2019). A General Lake Model (GLM 3.0) for linking with high-frequency sensor data from the Global Lake Ecological Observatory Network (GLEON). Geoscientific Model Development, 12(1), 473–523. </w:t>
      </w:r>
      <w:hyperlink r:id="rId22" w:history="1">
        <w:r w:rsidRPr="00E54CEA">
          <w:rPr>
            <w:rStyle w:val="Hyperlink"/>
            <w:lang w:val="en-GB"/>
          </w:rPr>
          <w:t>https://doi.org/10.5194/gmd-12-473-2019</w:t>
        </w:r>
      </w:hyperlink>
      <w:bookmarkEnd w:id="35"/>
    </w:p>
    <w:p w14:paraId="6378F4F2" w14:textId="6B76D770" w:rsidR="00452B5F" w:rsidRDefault="00452B5F" w:rsidP="007E32A8">
      <w:pPr>
        <w:pStyle w:val="SWCText"/>
        <w:numPr>
          <w:ilvl w:val="0"/>
          <w:numId w:val="36"/>
        </w:numPr>
        <w:rPr>
          <w:lang w:val="en-GB"/>
        </w:rPr>
      </w:pPr>
      <w:bookmarkStart w:id="36" w:name="Ref17"/>
      <w:r w:rsidRPr="00452B5F">
        <w:rPr>
          <w:lang w:val="en-GB"/>
        </w:rPr>
        <w:t xml:space="preserve">Nash, J. E., &amp; Sutcliffe, J. V. (1970). River flow forecasting through conceptual </w:t>
      </w:r>
      <w:proofErr w:type="gramStart"/>
      <w:r w:rsidRPr="00452B5F">
        <w:rPr>
          <w:lang w:val="en-GB"/>
        </w:rPr>
        <w:t>models</w:t>
      </w:r>
      <w:proofErr w:type="gramEnd"/>
      <w:r w:rsidRPr="00452B5F">
        <w:rPr>
          <w:lang w:val="en-GB"/>
        </w:rPr>
        <w:t xml:space="preserve"> part I — A discussion of principles. Journal of Hydrology, 10(3), 282–290. </w:t>
      </w:r>
      <w:hyperlink r:id="rId23" w:history="1">
        <w:r w:rsidRPr="00E54CEA">
          <w:rPr>
            <w:rStyle w:val="Hyperlink"/>
            <w:lang w:val="en-GB"/>
          </w:rPr>
          <w:t>https://doi.org/10.1016/0022-1694(70)90255-6</w:t>
        </w:r>
      </w:hyperlink>
      <w:bookmarkEnd w:id="36"/>
    </w:p>
    <w:p w14:paraId="45A5228F" w14:textId="160C72C4" w:rsidR="00452B5F" w:rsidRDefault="00452B5F" w:rsidP="007E32A8">
      <w:pPr>
        <w:pStyle w:val="SWCText"/>
        <w:numPr>
          <w:ilvl w:val="0"/>
          <w:numId w:val="36"/>
        </w:numPr>
        <w:rPr>
          <w:lang w:val="en-GB"/>
        </w:rPr>
      </w:pPr>
      <w:bookmarkStart w:id="37" w:name="Ref18"/>
      <w:r w:rsidRPr="00452B5F">
        <w:rPr>
          <w:lang w:val="en-GB"/>
        </w:rPr>
        <w:t xml:space="preserve">Hipsey, M. R., Boon, C., Bruce, L. C., Thomas, Q., Weber, M., Winslow, L., Read, J. S., &amp; Hamilton, D. P. (2022). </w:t>
      </w:r>
      <w:proofErr w:type="spellStart"/>
      <w:r w:rsidRPr="00452B5F">
        <w:rPr>
          <w:lang w:val="en-GB"/>
        </w:rPr>
        <w:t>AquaticEcoDynamics</w:t>
      </w:r>
      <w:proofErr w:type="spellEnd"/>
      <w:r w:rsidRPr="00452B5F">
        <w:rPr>
          <w:lang w:val="en-GB"/>
        </w:rPr>
        <w:t>/</w:t>
      </w:r>
      <w:proofErr w:type="spellStart"/>
      <w:r w:rsidRPr="00452B5F">
        <w:rPr>
          <w:lang w:val="en-GB"/>
        </w:rPr>
        <w:t>glm-aed</w:t>
      </w:r>
      <w:proofErr w:type="spellEnd"/>
      <w:r w:rsidRPr="00452B5F">
        <w:rPr>
          <w:lang w:val="en-GB"/>
        </w:rPr>
        <w:t xml:space="preserve">: V3.3.0. </w:t>
      </w:r>
      <w:hyperlink r:id="rId24" w:history="1">
        <w:r w:rsidRPr="00E54CEA">
          <w:rPr>
            <w:rStyle w:val="Hyperlink"/>
            <w:lang w:val="en-GB"/>
          </w:rPr>
          <w:t>https://doi.org/10.5281/zenodo.7047527</w:t>
        </w:r>
      </w:hyperlink>
      <w:bookmarkEnd w:id="37"/>
    </w:p>
    <w:p w14:paraId="2209AB9B" w14:textId="790288F0" w:rsidR="00452B5F" w:rsidRDefault="00452B5F" w:rsidP="007E32A8">
      <w:pPr>
        <w:pStyle w:val="SWCText"/>
        <w:numPr>
          <w:ilvl w:val="0"/>
          <w:numId w:val="36"/>
        </w:numPr>
        <w:rPr>
          <w:lang w:val="en-GB"/>
        </w:rPr>
      </w:pPr>
      <w:bookmarkStart w:id="38" w:name="Ref19"/>
      <w:r w:rsidRPr="00452B5F">
        <w:rPr>
          <w:lang w:val="en-GB"/>
        </w:rPr>
        <w:t xml:space="preserve">Hall, M. (2024). Generalized Quasi-Static Mooring System </w:t>
      </w:r>
      <w:proofErr w:type="spellStart"/>
      <w:r w:rsidRPr="00452B5F">
        <w:rPr>
          <w:lang w:val="en-GB"/>
        </w:rPr>
        <w:t>Modeling</w:t>
      </w:r>
      <w:proofErr w:type="spellEnd"/>
      <w:r w:rsidRPr="00452B5F">
        <w:rPr>
          <w:lang w:val="en-GB"/>
        </w:rPr>
        <w:t xml:space="preserve"> with Analytic Jacobians. Energies, 17(13), 3155. </w:t>
      </w:r>
      <w:hyperlink r:id="rId25" w:history="1">
        <w:r w:rsidRPr="00E54CEA">
          <w:rPr>
            <w:rStyle w:val="Hyperlink"/>
            <w:lang w:val="en-GB"/>
          </w:rPr>
          <w:t>https://doi.org/10.3390/en17133155</w:t>
        </w:r>
      </w:hyperlink>
      <w:bookmarkEnd w:id="38"/>
    </w:p>
    <w:p w14:paraId="021F25AE" w14:textId="4FAEB4C0" w:rsidR="00452B5F" w:rsidRDefault="003C568F" w:rsidP="007E32A8">
      <w:pPr>
        <w:pStyle w:val="SWCText"/>
        <w:numPr>
          <w:ilvl w:val="0"/>
          <w:numId w:val="36"/>
        </w:numPr>
        <w:rPr>
          <w:lang w:val="en-GB"/>
        </w:rPr>
      </w:pPr>
      <w:bookmarkStart w:id="39" w:name="Ref20"/>
      <w:r w:rsidRPr="003C568F">
        <w:rPr>
          <w:lang w:val="en-GB"/>
        </w:rPr>
        <w:t xml:space="preserve">Blank, J., &amp; Deb, K. (2020). </w:t>
      </w:r>
      <w:proofErr w:type="spellStart"/>
      <w:r w:rsidRPr="003C568F">
        <w:rPr>
          <w:lang w:val="en-GB"/>
        </w:rPr>
        <w:t>Pymoo</w:t>
      </w:r>
      <w:proofErr w:type="spellEnd"/>
      <w:r w:rsidRPr="003C568F">
        <w:rPr>
          <w:lang w:val="en-GB"/>
        </w:rPr>
        <w:t xml:space="preserve">: Multi-Objective Optimization in Python. IEEE Access, 8, 89497–89509. </w:t>
      </w:r>
      <w:hyperlink r:id="rId26" w:history="1">
        <w:r w:rsidRPr="00E54CEA">
          <w:rPr>
            <w:rStyle w:val="Hyperlink"/>
            <w:lang w:val="en-GB"/>
          </w:rPr>
          <w:t>https://doi.org/10.1109/ACCESS.2020.2990567</w:t>
        </w:r>
      </w:hyperlink>
      <w:bookmarkEnd w:id="39"/>
    </w:p>
    <w:p w14:paraId="56628596" w14:textId="25EE3ED0" w:rsidR="003C568F" w:rsidRDefault="003C568F" w:rsidP="007E32A8">
      <w:pPr>
        <w:pStyle w:val="SWCText"/>
        <w:numPr>
          <w:ilvl w:val="0"/>
          <w:numId w:val="36"/>
        </w:numPr>
        <w:rPr>
          <w:lang w:val="en-GB"/>
        </w:rPr>
      </w:pPr>
      <w:bookmarkStart w:id="40" w:name="Ref21"/>
      <w:r w:rsidRPr="003C568F">
        <w:rPr>
          <w:lang w:val="en-GB"/>
        </w:rPr>
        <w:t xml:space="preserve">Johansson, H., Brolin, A. A., &amp; Håkanson, L. (2007). New Approaches to the Modelling of Lake Basin Morphometry. Environmental </w:t>
      </w:r>
      <w:proofErr w:type="spellStart"/>
      <w:r w:rsidRPr="003C568F">
        <w:rPr>
          <w:lang w:val="en-GB"/>
        </w:rPr>
        <w:t>Modeling</w:t>
      </w:r>
      <w:proofErr w:type="spellEnd"/>
      <w:r w:rsidRPr="003C568F">
        <w:rPr>
          <w:lang w:val="en-GB"/>
        </w:rPr>
        <w:t xml:space="preserve"> &amp; Assessment, 12(3), 213–228. </w:t>
      </w:r>
      <w:hyperlink r:id="rId27" w:history="1">
        <w:r w:rsidRPr="00E54CEA">
          <w:rPr>
            <w:rStyle w:val="Hyperlink"/>
            <w:lang w:val="en-GB"/>
          </w:rPr>
          <w:t>https://doi.org/10.1007/s10666-006-9069-z</w:t>
        </w:r>
      </w:hyperlink>
      <w:bookmarkEnd w:id="40"/>
    </w:p>
    <w:p w14:paraId="583E9585" w14:textId="7B56E911" w:rsidR="00B57AA9" w:rsidRPr="00452B5F" w:rsidRDefault="0061433E" w:rsidP="00B57AA9">
      <w:pPr>
        <w:pStyle w:val="SWCText"/>
        <w:numPr>
          <w:ilvl w:val="0"/>
          <w:numId w:val="36"/>
        </w:numPr>
        <w:rPr>
          <w:lang w:val="en-GB"/>
        </w:rPr>
      </w:pPr>
      <w:bookmarkStart w:id="41" w:name="Ref22"/>
      <w:r w:rsidRPr="0061433E">
        <w:rPr>
          <w:lang w:val="en-GB"/>
        </w:rPr>
        <w:t xml:space="preserve">D. N. </w:t>
      </w:r>
      <w:proofErr w:type="spellStart"/>
      <w:r w:rsidRPr="0061433E">
        <w:rPr>
          <w:lang w:val="en-GB"/>
        </w:rPr>
        <w:t>Moriasi</w:t>
      </w:r>
      <w:proofErr w:type="spellEnd"/>
      <w:r w:rsidRPr="0061433E">
        <w:rPr>
          <w:lang w:val="en-GB"/>
        </w:rPr>
        <w:t xml:space="preserve">, J. G. Arnold, M. W. Van Liew, R. L. </w:t>
      </w:r>
      <w:proofErr w:type="spellStart"/>
      <w:r w:rsidRPr="0061433E">
        <w:rPr>
          <w:lang w:val="en-GB"/>
        </w:rPr>
        <w:t>Bingner</w:t>
      </w:r>
      <w:proofErr w:type="spellEnd"/>
      <w:r w:rsidRPr="0061433E">
        <w:rPr>
          <w:lang w:val="en-GB"/>
        </w:rPr>
        <w:t>, R. D. Harmel, &amp; T. L. Veith. (2007). Model Evaluation Guidelines for Systematic Quantification of Accuracy in Watershed Simulations. Transactions of the ASABE, 50(3), 885–900. https://doi.org/10.13031/2013.23153</w:t>
      </w:r>
      <w:bookmarkEnd w:id="41"/>
    </w:p>
    <w:p w14:paraId="7BF257D7" w14:textId="29396A19" w:rsidR="003F5B99" w:rsidRPr="005B3651" w:rsidRDefault="003F5B99" w:rsidP="003F5B99">
      <w:pPr>
        <w:rPr>
          <w:sz w:val="18"/>
        </w:rPr>
        <w:sectPr w:rsidR="003F5B99" w:rsidRPr="005B3651" w:rsidSect="00544D85">
          <w:footnotePr>
            <w:numRestart w:val="eachPage"/>
          </w:footnotePr>
          <w:pgSz w:w="11908" w:h="16838" w:code="9"/>
          <w:pgMar w:top="1417" w:right="1417" w:bottom="1134" w:left="1417" w:header="284" w:footer="284" w:gutter="0"/>
          <w:pgNumType w:start="1"/>
          <w:cols w:space="720"/>
          <w:noEndnote/>
          <w:docGrid w:linePitch="326"/>
        </w:sectPr>
      </w:pPr>
    </w:p>
    <w:p w14:paraId="5FC665C5" w14:textId="68B1B4CC" w:rsidR="003C18DE" w:rsidRPr="005B3651" w:rsidRDefault="003C18DE" w:rsidP="00692D7F">
      <w:pPr>
        <w:spacing w:before="120"/>
        <w:jc w:val="both"/>
        <w:rPr>
          <w:sz w:val="20"/>
          <w:szCs w:val="20"/>
        </w:rPr>
        <w:sectPr w:rsidR="003C18DE" w:rsidRPr="005B3651" w:rsidSect="00CB7EE8">
          <w:footnotePr>
            <w:numRestart w:val="eachPage"/>
          </w:footnotePr>
          <w:type w:val="continuous"/>
          <w:pgSz w:w="11908" w:h="16838"/>
          <w:pgMar w:top="1701" w:right="1440" w:bottom="1440" w:left="1701" w:header="284" w:footer="284" w:gutter="0"/>
          <w:pgNumType w:start="1"/>
          <w:cols w:num="2" w:space="284"/>
          <w:noEndnote/>
        </w:sectPr>
      </w:pPr>
    </w:p>
    <w:p w14:paraId="263188FC" w14:textId="77777777" w:rsidR="008F54F8" w:rsidRDefault="008F54F8" w:rsidP="00D63D44">
      <w:pPr>
        <w:pStyle w:val="SWCText"/>
      </w:pPr>
    </w:p>
    <w:sectPr w:rsidR="008F54F8" w:rsidSect="00550776">
      <w:footnotePr>
        <w:numRestart w:val="eachPage"/>
      </w:footnotePr>
      <w:pgSz w:w="11908" w:h="16838" w:code="9"/>
      <w:pgMar w:top="902" w:right="1228" w:bottom="1079" w:left="1701" w:header="284" w:footer="284" w:gutter="0"/>
      <w:cols w:num="2"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12636" w14:textId="77777777" w:rsidR="007567F4" w:rsidRPr="005B3651" w:rsidRDefault="007567F4">
      <w:r w:rsidRPr="005B3651">
        <w:separator/>
      </w:r>
    </w:p>
  </w:endnote>
  <w:endnote w:type="continuationSeparator" w:id="0">
    <w:p w14:paraId="0DCFBA22" w14:textId="77777777" w:rsidR="007567F4" w:rsidRPr="005B3651" w:rsidRDefault="007567F4">
      <w:r w:rsidRPr="005B36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5A762" w14:textId="77777777" w:rsidR="007567F4" w:rsidRPr="005B3651" w:rsidRDefault="007567F4">
      <w:r w:rsidRPr="005B3651">
        <w:separator/>
      </w:r>
    </w:p>
  </w:footnote>
  <w:footnote w:type="continuationSeparator" w:id="0">
    <w:p w14:paraId="67252866" w14:textId="77777777" w:rsidR="007567F4" w:rsidRPr="005B3651" w:rsidRDefault="007567F4">
      <w:r w:rsidRPr="005B365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C4439E0"/>
    <w:multiLevelType w:val="hybridMultilevel"/>
    <w:tmpl w:val="4ACE38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8"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D914279"/>
    <w:multiLevelType w:val="hybridMultilevel"/>
    <w:tmpl w:val="285246BA"/>
    <w:lvl w:ilvl="0" w:tplc="A2228A3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0279AF"/>
    <w:multiLevelType w:val="hybridMultilevel"/>
    <w:tmpl w:val="808AB0F2"/>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2"/>
  </w:num>
  <w:num w:numId="3" w16cid:durableId="1779980318">
    <w:abstractNumId w:val="11"/>
  </w:num>
  <w:num w:numId="4" w16cid:durableId="691154539">
    <w:abstractNumId w:val="24"/>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7"/>
  </w:num>
  <w:num w:numId="11" w16cid:durableId="95492358">
    <w:abstractNumId w:val="20"/>
  </w:num>
  <w:num w:numId="12" w16cid:durableId="355472642">
    <w:abstractNumId w:val="15"/>
  </w:num>
  <w:num w:numId="13" w16cid:durableId="311523580">
    <w:abstractNumId w:val="7"/>
    <w:lvlOverride w:ilvl="0">
      <w:startOverride w:val="1"/>
    </w:lvlOverride>
  </w:num>
  <w:num w:numId="14" w16cid:durableId="1496726486">
    <w:abstractNumId w:val="18"/>
  </w:num>
  <w:num w:numId="15" w16cid:durableId="1806385346">
    <w:abstractNumId w:val="8"/>
  </w:num>
  <w:num w:numId="16" w16cid:durableId="1758162859">
    <w:abstractNumId w:val="14"/>
  </w:num>
  <w:num w:numId="17" w16cid:durableId="569772207">
    <w:abstractNumId w:val="17"/>
  </w:num>
  <w:num w:numId="18" w16cid:durableId="1080835087">
    <w:abstractNumId w:val="22"/>
  </w:num>
  <w:num w:numId="19" w16cid:durableId="1514802717">
    <w:abstractNumId w:val="10"/>
  </w:num>
  <w:num w:numId="20" w16cid:durableId="1328480391">
    <w:abstractNumId w:val="9"/>
  </w:num>
  <w:num w:numId="21" w16cid:durableId="1166094805">
    <w:abstractNumId w:val="13"/>
  </w:num>
  <w:num w:numId="22" w16cid:durableId="679743871">
    <w:abstractNumId w:val="21"/>
  </w:num>
  <w:num w:numId="23" w16cid:durableId="612976666">
    <w:abstractNumId w:val="16"/>
  </w:num>
  <w:num w:numId="24" w16cid:durableId="7829984">
    <w:abstractNumId w:val="23"/>
  </w:num>
  <w:num w:numId="25" w16cid:durableId="398787581">
    <w:abstractNumId w:val="20"/>
    <w:lvlOverride w:ilvl="0">
      <w:startOverride w:val="1"/>
    </w:lvlOverride>
  </w:num>
  <w:num w:numId="26" w16cid:durableId="629169443">
    <w:abstractNumId w:val="20"/>
    <w:lvlOverride w:ilvl="0">
      <w:startOverride w:val="1"/>
    </w:lvlOverride>
  </w:num>
  <w:num w:numId="27" w16cid:durableId="1446457699">
    <w:abstractNumId w:val="20"/>
    <w:lvlOverride w:ilvl="0">
      <w:startOverride w:val="1"/>
    </w:lvlOverride>
  </w:num>
  <w:num w:numId="28" w16cid:durableId="1775637392">
    <w:abstractNumId w:val="20"/>
    <w:lvlOverride w:ilvl="0">
      <w:startOverride w:val="1"/>
    </w:lvlOverride>
  </w:num>
  <w:num w:numId="29" w16cid:durableId="1027675912">
    <w:abstractNumId w:val="20"/>
    <w:lvlOverride w:ilvl="0">
      <w:startOverride w:val="1"/>
    </w:lvlOverride>
  </w:num>
  <w:num w:numId="30" w16cid:durableId="151526391">
    <w:abstractNumId w:val="20"/>
    <w:lvlOverride w:ilvl="0">
      <w:startOverride w:val="1"/>
    </w:lvlOverride>
  </w:num>
  <w:num w:numId="31" w16cid:durableId="244729350">
    <w:abstractNumId w:val="20"/>
    <w:lvlOverride w:ilvl="0">
      <w:startOverride w:val="1"/>
    </w:lvlOverride>
  </w:num>
  <w:num w:numId="32" w16cid:durableId="703211451">
    <w:abstractNumId w:val="20"/>
    <w:lvlOverride w:ilvl="0">
      <w:startOverride w:val="1"/>
    </w:lvlOverride>
  </w:num>
  <w:num w:numId="33" w16cid:durableId="2019574927">
    <w:abstractNumId w:val="20"/>
    <w:lvlOverride w:ilvl="0">
      <w:startOverride w:val="1"/>
    </w:lvlOverride>
  </w:num>
  <w:num w:numId="34" w16cid:durableId="875699427">
    <w:abstractNumId w:val="20"/>
    <w:lvlOverride w:ilvl="0">
      <w:startOverride w:val="1"/>
    </w:lvlOverride>
  </w:num>
  <w:num w:numId="35" w16cid:durableId="293682161">
    <w:abstractNumId w:val="20"/>
    <w:lvlOverride w:ilvl="0">
      <w:startOverride w:val="1"/>
    </w:lvlOverride>
  </w:num>
  <w:num w:numId="36" w16cid:durableId="1685788014">
    <w:abstractNumId w:val="19"/>
  </w:num>
  <w:num w:numId="37" w16cid:durableId="2109499352">
    <w:abstractNumId w:val="6"/>
  </w:num>
  <w:num w:numId="38" w16cid:durableId="1345936348">
    <w:abstractNumId w:val="20"/>
    <w:lvlOverride w:ilvl="0">
      <w:startOverride w:val="1"/>
    </w:lvlOverride>
  </w:num>
  <w:num w:numId="39" w16cid:durableId="183981438">
    <w:abstractNumId w:val="20"/>
    <w:lvlOverride w:ilvl="0">
      <w:startOverride w:val="1"/>
    </w:lvlOverride>
  </w:num>
  <w:num w:numId="40" w16cid:durableId="451940531">
    <w:abstractNumId w:val="20"/>
    <w:lvlOverride w:ilvl="0">
      <w:startOverride w:val="1"/>
    </w:lvlOverride>
  </w:num>
  <w:num w:numId="41" w16cid:durableId="71783276">
    <w:abstractNumId w:val="20"/>
    <w:lvlOverride w:ilvl="0">
      <w:startOverride w:val="1"/>
    </w:lvlOverride>
  </w:num>
  <w:num w:numId="42" w16cid:durableId="372190988">
    <w:abstractNumId w:val="20"/>
    <w:lvlOverride w:ilvl="0">
      <w:startOverride w:val="1"/>
    </w:lvlOverride>
  </w:num>
  <w:num w:numId="43" w16cid:durableId="170709449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31F13"/>
    <w:rsid w:val="0004235D"/>
    <w:rsid w:val="00046E22"/>
    <w:rsid w:val="0005003E"/>
    <w:rsid w:val="000533E4"/>
    <w:rsid w:val="000534F5"/>
    <w:rsid w:val="00053E02"/>
    <w:rsid w:val="00055DB9"/>
    <w:rsid w:val="00057B5E"/>
    <w:rsid w:val="00062532"/>
    <w:rsid w:val="00066B26"/>
    <w:rsid w:val="00066F72"/>
    <w:rsid w:val="000678AC"/>
    <w:rsid w:val="000712A1"/>
    <w:rsid w:val="00074DBF"/>
    <w:rsid w:val="00092ED5"/>
    <w:rsid w:val="000932F5"/>
    <w:rsid w:val="000A0ADB"/>
    <w:rsid w:val="000A1CC8"/>
    <w:rsid w:val="000A20A4"/>
    <w:rsid w:val="000A30A5"/>
    <w:rsid w:val="000A35A8"/>
    <w:rsid w:val="000A36B5"/>
    <w:rsid w:val="000A52A1"/>
    <w:rsid w:val="000A6AA1"/>
    <w:rsid w:val="000B04BE"/>
    <w:rsid w:val="000B09B5"/>
    <w:rsid w:val="000B1F4D"/>
    <w:rsid w:val="000C2344"/>
    <w:rsid w:val="000D64B9"/>
    <w:rsid w:val="000D6E1A"/>
    <w:rsid w:val="000E1855"/>
    <w:rsid w:val="000E5FA1"/>
    <w:rsid w:val="000E6CBA"/>
    <w:rsid w:val="000F739B"/>
    <w:rsid w:val="0010501A"/>
    <w:rsid w:val="00115D3B"/>
    <w:rsid w:val="00117AFB"/>
    <w:rsid w:val="00136177"/>
    <w:rsid w:val="0015090D"/>
    <w:rsid w:val="00150B42"/>
    <w:rsid w:val="00155FB8"/>
    <w:rsid w:val="00157CE5"/>
    <w:rsid w:val="001647D2"/>
    <w:rsid w:val="00166C42"/>
    <w:rsid w:val="0017109A"/>
    <w:rsid w:val="00176EF6"/>
    <w:rsid w:val="001904A7"/>
    <w:rsid w:val="0019232E"/>
    <w:rsid w:val="00194E9A"/>
    <w:rsid w:val="001968B5"/>
    <w:rsid w:val="001969B9"/>
    <w:rsid w:val="001A117A"/>
    <w:rsid w:val="001A775B"/>
    <w:rsid w:val="001A7F40"/>
    <w:rsid w:val="001B13D6"/>
    <w:rsid w:val="001B5921"/>
    <w:rsid w:val="001B6BCF"/>
    <w:rsid w:val="001B7B01"/>
    <w:rsid w:val="001C3A3D"/>
    <w:rsid w:val="001C63A2"/>
    <w:rsid w:val="001D0384"/>
    <w:rsid w:val="001D4912"/>
    <w:rsid w:val="001E2B93"/>
    <w:rsid w:val="001F1509"/>
    <w:rsid w:val="001F1AAA"/>
    <w:rsid w:val="001F2881"/>
    <w:rsid w:val="0020508B"/>
    <w:rsid w:val="00205626"/>
    <w:rsid w:val="00206116"/>
    <w:rsid w:val="00212628"/>
    <w:rsid w:val="00215826"/>
    <w:rsid w:val="0022299B"/>
    <w:rsid w:val="00223709"/>
    <w:rsid w:val="002248F7"/>
    <w:rsid w:val="00225724"/>
    <w:rsid w:val="002331FE"/>
    <w:rsid w:val="00233C76"/>
    <w:rsid w:val="00243214"/>
    <w:rsid w:val="002470B2"/>
    <w:rsid w:val="002647A0"/>
    <w:rsid w:val="00266E47"/>
    <w:rsid w:val="00270E75"/>
    <w:rsid w:val="0027288C"/>
    <w:rsid w:val="00273341"/>
    <w:rsid w:val="00281D0B"/>
    <w:rsid w:val="002972D1"/>
    <w:rsid w:val="002A04A9"/>
    <w:rsid w:val="002A39BB"/>
    <w:rsid w:val="002A7868"/>
    <w:rsid w:val="002B417A"/>
    <w:rsid w:val="002C089D"/>
    <w:rsid w:val="002C101B"/>
    <w:rsid w:val="002C68AD"/>
    <w:rsid w:val="002D322C"/>
    <w:rsid w:val="002D4864"/>
    <w:rsid w:val="002E5D62"/>
    <w:rsid w:val="002F1386"/>
    <w:rsid w:val="002F1D87"/>
    <w:rsid w:val="002F6B87"/>
    <w:rsid w:val="00303345"/>
    <w:rsid w:val="0031685E"/>
    <w:rsid w:val="003357AC"/>
    <w:rsid w:val="0035638A"/>
    <w:rsid w:val="003605B9"/>
    <w:rsid w:val="00362122"/>
    <w:rsid w:val="00364A52"/>
    <w:rsid w:val="00373F97"/>
    <w:rsid w:val="0037406D"/>
    <w:rsid w:val="00374216"/>
    <w:rsid w:val="0038545D"/>
    <w:rsid w:val="003869E8"/>
    <w:rsid w:val="00391288"/>
    <w:rsid w:val="00393777"/>
    <w:rsid w:val="00394675"/>
    <w:rsid w:val="00395E5A"/>
    <w:rsid w:val="0039742D"/>
    <w:rsid w:val="003A3A38"/>
    <w:rsid w:val="003A7DB9"/>
    <w:rsid w:val="003B2055"/>
    <w:rsid w:val="003C0806"/>
    <w:rsid w:val="003C18DE"/>
    <w:rsid w:val="003C1B31"/>
    <w:rsid w:val="003C2B1A"/>
    <w:rsid w:val="003C39C6"/>
    <w:rsid w:val="003C568F"/>
    <w:rsid w:val="003C7E95"/>
    <w:rsid w:val="003D0C22"/>
    <w:rsid w:val="003D6941"/>
    <w:rsid w:val="003E1E1C"/>
    <w:rsid w:val="003F0403"/>
    <w:rsid w:val="003F5B99"/>
    <w:rsid w:val="004019FD"/>
    <w:rsid w:val="00403E6A"/>
    <w:rsid w:val="004053B5"/>
    <w:rsid w:val="0040615A"/>
    <w:rsid w:val="00411E29"/>
    <w:rsid w:val="0042033E"/>
    <w:rsid w:val="00431A1F"/>
    <w:rsid w:val="00434A35"/>
    <w:rsid w:val="004357AD"/>
    <w:rsid w:val="00452B5F"/>
    <w:rsid w:val="00453296"/>
    <w:rsid w:val="00467DFD"/>
    <w:rsid w:val="00476879"/>
    <w:rsid w:val="00490F10"/>
    <w:rsid w:val="00493C81"/>
    <w:rsid w:val="00494006"/>
    <w:rsid w:val="004A14C9"/>
    <w:rsid w:val="004A3506"/>
    <w:rsid w:val="004B0CD4"/>
    <w:rsid w:val="004B6A1A"/>
    <w:rsid w:val="004C39AD"/>
    <w:rsid w:val="004C4EE9"/>
    <w:rsid w:val="004E5D79"/>
    <w:rsid w:val="004F4904"/>
    <w:rsid w:val="004F5FF9"/>
    <w:rsid w:val="00500640"/>
    <w:rsid w:val="00500D7D"/>
    <w:rsid w:val="00505665"/>
    <w:rsid w:val="005067AC"/>
    <w:rsid w:val="00514890"/>
    <w:rsid w:val="0051584D"/>
    <w:rsid w:val="00521A24"/>
    <w:rsid w:val="005270B0"/>
    <w:rsid w:val="0053048D"/>
    <w:rsid w:val="00532138"/>
    <w:rsid w:val="0053532A"/>
    <w:rsid w:val="005404F1"/>
    <w:rsid w:val="00544D85"/>
    <w:rsid w:val="00550776"/>
    <w:rsid w:val="00555FC0"/>
    <w:rsid w:val="00556004"/>
    <w:rsid w:val="00566460"/>
    <w:rsid w:val="0057075C"/>
    <w:rsid w:val="00571963"/>
    <w:rsid w:val="005721F8"/>
    <w:rsid w:val="005836C7"/>
    <w:rsid w:val="00587B8A"/>
    <w:rsid w:val="005B3651"/>
    <w:rsid w:val="005B3E86"/>
    <w:rsid w:val="005B6F55"/>
    <w:rsid w:val="005C3A1D"/>
    <w:rsid w:val="005C3FC8"/>
    <w:rsid w:val="005D1066"/>
    <w:rsid w:val="005D5CF6"/>
    <w:rsid w:val="005E04EA"/>
    <w:rsid w:val="005E0D7D"/>
    <w:rsid w:val="005E7208"/>
    <w:rsid w:val="005F106F"/>
    <w:rsid w:val="00607C4E"/>
    <w:rsid w:val="00613AF9"/>
    <w:rsid w:val="0061433E"/>
    <w:rsid w:val="0061732F"/>
    <w:rsid w:val="0062257E"/>
    <w:rsid w:val="00623B1F"/>
    <w:rsid w:val="00625BC2"/>
    <w:rsid w:val="00627E34"/>
    <w:rsid w:val="006309AA"/>
    <w:rsid w:val="00633473"/>
    <w:rsid w:val="006379BD"/>
    <w:rsid w:val="0064403B"/>
    <w:rsid w:val="006500EC"/>
    <w:rsid w:val="00652071"/>
    <w:rsid w:val="00652D7E"/>
    <w:rsid w:val="00653551"/>
    <w:rsid w:val="0065563B"/>
    <w:rsid w:val="00665471"/>
    <w:rsid w:val="006722C6"/>
    <w:rsid w:val="00692D7F"/>
    <w:rsid w:val="006A0AE2"/>
    <w:rsid w:val="006A2F10"/>
    <w:rsid w:val="006A77D0"/>
    <w:rsid w:val="006B3D49"/>
    <w:rsid w:val="006B4C9F"/>
    <w:rsid w:val="006C756C"/>
    <w:rsid w:val="006D1339"/>
    <w:rsid w:val="006D19E1"/>
    <w:rsid w:val="006D4A96"/>
    <w:rsid w:val="006D4C04"/>
    <w:rsid w:val="006F3259"/>
    <w:rsid w:val="006F5B85"/>
    <w:rsid w:val="00702AE0"/>
    <w:rsid w:val="007174DA"/>
    <w:rsid w:val="00717DBC"/>
    <w:rsid w:val="007204BE"/>
    <w:rsid w:val="00722B51"/>
    <w:rsid w:val="00725ED2"/>
    <w:rsid w:val="007400DF"/>
    <w:rsid w:val="0074556B"/>
    <w:rsid w:val="007535ED"/>
    <w:rsid w:val="00753F48"/>
    <w:rsid w:val="0075406E"/>
    <w:rsid w:val="00756702"/>
    <w:rsid w:val="007567F4"/>
    <w:rsid w:val="00760D06"/>
    <w:rsid w:val="00762EA3"/>
    <w:rsid w:val="007763CB"/>
    <w:rsid w:val="007804A7"/>
    <w:rsid w:val="007908F6"/>
    <w:rsid w:val="007954D9"/>
    <w:rsid w:val="007A2CCC"/>
    <w:rsid w:val="007A7952"/>
    <w:rsid w:val="007B0BDB"/>
    <w:rsid w:val="007B33DF"/>
    <w:rsid w:val="007C1632"/>
    <w:rsid w:val="007C36EF"/>
    <w:rsid w:val="007C6BDE"/>
    <w:rsid w:val="007C7EE3"/>
    <w:rsid w:val="007D0678"/>
    <w:rsid w:val="007D1C2C"/>
    <w:rsid w:val="007D72D2"/>
    <w:rsid w:val="007E32A8"/>
    <w:rsid w:val="007E7634"/>
    <w:rsid w:val="00800E25"/>
    <w:rsid w:val="00801634"/>
    <w:rsid w:val="0080537B"/>
    <w:rsid w:val="00821584"/>
    <w:rsid w:val="008219CF"/>
    <w:rsid w:val="00823D5E"/>
    <w:rsid w:val="008314FC"/>
    <w:rsid w:val="00834062"/>
    <w:rsid w:val="00837104"/>
    <w:rsid w:val="00840E8F"/>
    <w:rsid w:val="0084100F"/>
    <w:rsid w:val="00843FDB"/>
    <w:rsid w:val="00844F36"/>
    <w:rsid w:val="00845AE3"/>
    <w:rsid w:val="0087241B"/>
    <w:rsid w:val="00893500"/>
    <w:rsid w:val="008A7B8B"/>
    <w:rsid w:val="008B618F"/>
    <w:rsid w:val="008D44C5"/>
    <w:rsid w:val="008D5E74"/>
    <w:rsid w:val="008D7E85"/>
    <w:rsid w:val="008E19FF"/>
    <w:rsid w:val="008E53FF"/>
    <w:rsid w:val="008F249D"/>
    <w:rsid w:val="008F54F8"/>
    <w:rsid w:val="009011AA"/>
    <w:rsid w:val="009015EF"/>
    <w:rsid w:val="00906CC3"/>
    <w:rsid w:val="00917D56"/>
    <w:rsid w:val="00931C9D"/>
    <w:rsid w:val="00933A00"/>
    <w:rsid w:val="00933BFD"/>
    <w:rsid w:val="00941691"/>
    <w:rsid w:val="00942AED"/>
    <w:rsid w:val="00944E25"/>
    <w:rsid w:val="00953F15"/>
    <w:rsid w:val="00954171"/>
    <w:rsid w:val="009642AB"/>
    <w:rsid w:val="0096603D"/>
    <w:rsid w:val="00976A7F"/>
    <w:rsid w:val="00980998"/>
    <w:rsid w:val="00982BCB"/>
    <w:rsid w:val="0098525C"/>
    <w:rsid w:val="00993F03"/>
    <w:rsid w:val="0099435F"/>
    <w:rsid w:val="00996BC5"/>
    <w:rsid w:val="009A1F9D"/>
    <w:rsid w:val="009A6D34"/>
    <w:rsid w:val="009B153B"/>
    <w:rsid w:val="009B4816"/>
    <w:rsid w:val="009C1BA8"/>
    <w:rsid w:val="009C2D0D"/>
    <w:rsid w:val="009C3492"/>
    <w:rsid w:val="009C49C6"/>
    <w:rsid w:val="009C5AA4"/>
    <w:rsid w:val="009D02D4"/>
    <w:rsid w:val="009D60E3"/>
    <w:rsid w:val="009E0D67"/>
    <w:rsid w:val="009E4985"/>
    <w:rsid w:val="009F16C5"/>
    <w:rsid w:val="009F370B"/>
    <w:rsid w:val="009F3E11"/>
    <w:rsid w:val="009F6AF8"/>
    <w:rsid w:val="009F6E78"/>
    <w:rsid w:val="009F7A4B"/>
    <w:rsid w:val="009F7C7E"/>
    <w:rsid w:val="00A01148"/>
    <w:rsid w:val="00A16941"/>
    <w:rsid w:val="00A31DC5"/>
    <w:rsid w:val="00A40C81"/>
    <w:rsid w:val="00A436CD"/>
    <w:rsid w:val="00A5180B"/>
    <w:rsid w:val="00A55E36"/>
    <w:rsid w:val="00A6457C"/>
    <w:rsid w:val="00A8223C"/>
    <w:rsid w:val="00A8757B"/>
    <w:rsid w:val="00A92044"/>
    <w:rsid w:val="00A9727D"/>
    <w:rsid w:val="00AA16B9"/>
    <w:rsid w:val="00AA47DC"/>
    <w:rsid w:val="00AB624E"/>
    <w:rsid w:val="00AC2C09"/>
    <w:rsid w:val="00AC6B6F"/>
    <w:rsid w:val="00AD15BD"/>
    <w:rsid w:val="00AE11FC"/>
    <w:rsid w:val="00AE6354"/>
    <w:rsid w:val="00AF15AF"/>
    <w:rsid w:val="00AF6EB4"/>
    <w:rsid w:val="00B01141"/>
    <w:rsid w:val="00B02E33"/>
    <w:rsid w:val="00B04CF2"/>
    <w:rsid w:val="00B1611A"/>
    <w:rsid w:val="00B214A1"/>
    <w:rsid w:val="00B22D5C"/>
    <w:rsid w:val="00B263F0"/>
    <w:rsid w:val="00B2716E"/>
    <w:rsid w:val="00B30E23"/>
    <w:rsid w:val="00B31661"/>
    <w:rsid w:val="00B32703"/>
    <w:rsid w:val="00B47522"/>
    <w:rsid w:val="00B5097B"/>
    <w:rsid w:val="00B54313"/>
    <w:rsid w:val="00B57AA9"/>
    <w:rsid w:val="00B60B5F"/>
    <w:rsid w:val="00B6496F"/>
    <w:rsid w:val="00B701D1"/>
    <w:rsid w:val="00B8064D"/>
    <w:rsid w:val="00B80F06"/>
    <w:rsid w:val="00B827C6"/>
    <w:rsid w:val="00B84CEB"/>
    <w:rsid w:val="00B86327"/>
    <w:rsid w:val="00B86FC8"/>
    <w:rsid w:val="00B9209A"/>
    <w:rsid w:val="00B931BD"/>
    <w:rsid w:val="00B93F09"/>
    <w:rsid w:val="00BA23FC"/>
    <w:rsid w:val="00BB1390"/>
    <w:rsid w:val="00BC738E"/>
    <w:rsid w:val="00BD0576"/>
    <w:rsid w:val="00BD3F40"/>
    <w:rsid w:val="00BE50D0"/>
    <w:rsid w:val="00BF16FE"/>
    <w:rsid w:val="00C012F5"/>
    <w:rsid w:val="00C06336"/>
    <w:rsid w:val="00C068BC"/>
    <w:rsid w:val="00C17081"/>
    <w:rsid w:val="00C20A85"/>
    <w:rsid w:val="00C27FD4"/>
    <w:rsid w:val="00C3066C"/>
    <w:rsid w:val="00C365E2"/>
    <w:rsid w:val="00C44EFB"/>
    <w:rsid w:val="00C55264"/>
    <w:rsid w:val="00C5709F"/>
    <w:rsid w:val="00C65EFC"/>
    <w:rsid w:val="00C6695C"/>
    <w:rsid w:val="00C75837"/>
    <w:rsid w:val="00C97946"/>
    <w:rsid w:val="00CA4F91"/>
    <w:rsid w:val="00CA7ABB"/>
    <w:rsid w:val="00CB57E5"/>
    <w:rsid w:val="00CB7EE8"/>
    <w:rsid w:val="00CC0BDA"/>
    <w:rsid w:val="00CC3B0C"/>
    <w:rsid w:val="00CC445A"/>
    <w:rsid w:val="00CD24B2"/>
    <w:rsid w:val="00CD4EFC"/>
    <w:rsid w:val="00CE432C"/>
    <w:rsid w:val="00CE6DBB"/>
    <w:rsid w:val="00D0520C"/>
    <w:rsid w:val="00D14555"/>
    <w:rsid w:val="00D17DCC"/>
    <w:rsid w:val="00D31359"/>
    <w:rsid w:val="00D32EF0"/>
    <w:rsid w:val="00D34665"/>
    <w:rsid w:val="00D35E52"/>
    <w:rsid w:val="00D36FA6"/>
    <w:rsid w:val="00D41E9A"/>
    <w:rsid w:val="00D53F31"/>
    <w:rsid w:val="00D5584D"/>
    <w:rsid w:val="00D62269"/>
    <w:rsid w:val="00D62EDC"/>
    <w:rsid w:val="00D63D44"/>
    <w:rsid w:val="00D976DC"/>
    <w:rsid w:val="00DA244B"/>
    <w:rsid w:val="00DA7F88"/>
    <w:rsid w:val="00DB52E7"/>
    <w:rsid w:val="00DC0318"/>
    <w:rsid w:val="00DD1D5F"/>
    <w:rsid w:val="00DE0269"/>
    <w:rsid w:val="00DF1431"/>
    <w:rsid w:val="00E012C5"/>
    <w:rsid w:val="00E023A9"/>
    <w:rsid w:val="00E07D1B"/>
    <w:rsid w:val="00E1006D"/>
    <w:rsid w:val="00E218E2"/>
    <w:rsid w:val="00E23FEE"/>
    <w:rsid w:val="00E3089A"/>
    <w:rsid w:val="00E53F82"/>
    <w:rsid w:val="00E548A7"/>
    <w:rsid w:val="00E57E49"/>
    <w:rsid w:val="00E61C50"/>
    <w:rsid w:val="00E65D4A"/>
    <w:rsid w:val="00E7237D"/>
    <w:rsid w:val="00E847FE"/>
    <w:rsid w:val="00E917F8"/>
    <w:rsid w:val="00E9249A"/>
    <w:rsid w:val="00EA34C6"/>
    <w:rsid w:val="00EA50D7"/>
    <w:rsid w:val="00EA56BF"/>
    <w:rsid w:val="00EB35FF"/>
    <w:rsid w:val="00EC3533"/>
    <w:rsid w:val="00ED7123"/>
    <w:rsid w:val="00EE40FA"/>
    <w:rsid w:val="00EF2F33"/>
    <w:rsid w:val="00EF596C"/>
    <w:rsid w:val="00F023FE"/>
    <w:rsid w:val="00F0298C"/>
    <w:rsid w:val="00F07750"/>
    <w:rsid w:val="00F10047"/>
    <w:rsid w:val="00F30A77"/>
    <w:rsid w:val="00F4393F"/>
    <w:rsid w:val="00F46A3A"/>
    <w:rsid w:val="00F5375D"/>
    <w:rsid w:val="00F5454E"/>
    <w:rsid w:val="00F715C3"/>
    <w:rsid w:val="00F718BD"/>
    <w:rsid w:val="00F77F3D"/>
    <w:rsid w:val="00F80507"/>
    <w:rsid w:val="00F83CD3"/>
    <w:rsid w:val="00F85F61"/>
    <w:rsid w:val="00F95487"/>
    <w:rsid w:val="00F95DEF"/>
    <w:rsid w:val="00FA1553"/>
    <w:rsid w:val="00FA4DF8"/>
    <w:rsid w:val="00FB1104"/>
    <w:rsid w:val="00FB45FB"/>
    <w:rsid w:val="00FC09A1"/>
    <w:rsid w:val="00FC1374"/>
    <w:rsid w:val="00FC1781"/>
    <w:rsid w:val="00FC244F"/>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en-GB" w:eastAsia="de-DE"/>
    </w:rPr>
  </w:style>
  <w:style w:type="paragraph" w:styleId="Heading1">
    <w:name w:val="heading 1"/>
    <w:basedOn w:val="Normal"/>
    <w:next w:val="Normal"/>
    <w:rsid w:val="004C4EE9"/>
    <w:pPr>
      <w:keepNext/>
      <w:outlineLvl w:val="0"/>
    </w:pPr>
    <w:rPr>
      <w:b/>
      <w:sz w:val="28"/>
      <w:szCs w:val="20"/>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eastAsia="es-ES"/>
    </w:rPr>
  </w:style>
  <w:style w:type="paragraph" w:customStyle="1" w:styleId="AuthorAdress">
    <w:name w:val="AuthorAdress"/>
    <w:basedOn w:val="Normal"/>
    <w:next w:val="Affiliations"/>
    <w:rsid w:val="00155FB8"/>
    <w:pPr>
      <w:spacing w:after="120" w:line="320" w:lineRule="atLeast"/>
      <w:jc w:val="center"/>
    </w:pPr>
    <w:rPr>
      <w:i/>
      <w:lang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character" w:styleId="UnresolvedMention">
    <w:name w:val="Unresolved Mention"/>
    <w:basedOn w:val="DefaultParagraphFont"/>
    <w:uiPriority w:val="99"/>
    <w:semiHidden/>
    <w:unhideWhenUsed/>
    <w:rsid w:val="00753F48"/>
    <w:rPr>
      <w:color w:val="605E5C"/>
      <w:shd w:val="clear" w:color="auto" w:fill="E1DFDD"/>
    </w:rPr>
  </w:style>
  <w:style w:type="paragraph" w:styleId="ListParagraph">
    <w:name w:val="List Paragraph"/>
    <w:basedOn w:val="Normal"/>
    <w:uiPriority w:val="34"/>
    <w:rsid w:val="00571963"/>
    <w:pPr>
      <w:ind w:left="720"/>
      <w:contextualSpacing/>
    </w:pPr>
  </w:style>
  <w:style w:type="character" w:styleId="FollowedHyperlink">
    <w:name w:val="FollowedHyperlink"/>
    <w:basedOn w:val="DefaultParagraphFont"/>
    <w:uiPriority w:val="99"/>
    <w:semiHidden/>
    <w:unhideWhenUsed/>
    <w:rsid w:val="00EB35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38/s41598-023-34751-2" TargetMode="External"/><Relationship Id="rId18" Type="http://schemas.openxmlformats.org/officeDocument/2006/relationships/hyperlink" Target="https://ntrs.nasa.gov/citations/20210005701" TargetMode="External"/><Relationship Id="rId26" Type="http://schemas.openxmlformats.org/officeDocument/2006/relationships/hyperlink" Target="https://doi.org/10.1109/ACCESS.2020.2990567" TargetMode="External"/><Relationship Id="rId3" Type="http://schemas.openxmlformats.org/officeDocument/2006/relationships/styles" Target="styles.xml"/><Relationship Id="rId21" Type="http://schemas.openxmlformats.org/officeDocument/2006/relationships/hyperlink" Target="https://doi.org/10.5194/gmd-17-7083-2024" TargetMode="External"/><Relationship Id="rId7" Type="http://schemas.openxmlformats.org/officeDocument/2006/relationships/endnotes" Target="endnotes.xml"/><Relationship Id="rId12" Type="http://schemas.openxmlformats.org/officeDocument/2006/relationships/hyperlink" Target="https://doi.org/10.1051/kmae/2025021" TargetMode="External"/><Relationship Id="rId17" Type="http://schemas.openxmlformats.org/officeDocument/2006/relationships/hyperlink" Target="https://infoterre.brgm.fr/page/geoservices-ogc" TargetMode="External"/><Relationship Id="rId25" Type="http://schemas.openxmlformats.org/officeDocument/2006/relationships/hyperlink" Target="https://doi.org/10.3390/en17133155" TargetMode="External"/><Relationship Id="rId2" Type="http://schemas.openxmlformats.org/officeDocument/2006/relationships/numbering" Target="numbering.xml"/><Relationship Id="rId16" Type="http://schemas.openxmlformats.org/officeDocument/2006/relationships/hyperlink" Target="https://doi.org/10.1038/s41598-026-37857-5" TargetMode="External"/><Relationship Id="rId20" Type="http://schemas.openxmlformats.org/officeDocument/2006/relationships/hyperlink" Target="https://doi.org/10.2172/115842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5281/zenodo.7047527" TargetMode="External"/><Relationship Id="rId5" Type="http://schemas.openxmlformats.org/officeDocument/2006/relationships/webSettings" Target="webSettings.xml"/><Relationship Id="rId15" Type="http://schemas.openxmlformats.org/officeDocument/2006/relationships/hyperlink" Target="https://doi.org/10.1051/epjpv/2024047" TargetMode="External"/><Relationship Id="rId23" Type="http://schemas.openxmlformats.org/officeDocument/2006/relationships/hyperlink" Target="https://doi.org/10.1016/0022-1694(70)90255-6"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doi.org/10.1016/j.solener.2012.03.00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3390/w17081178" TargetMode="External"/><Relationship Id="rId22" Type="http://schemas.openxmlformats.org/officeDocument/2006/relationships/hyperlink" Target="https://doi.org/10.5194/gmd-12-473-2019" TargetMode="External"/><Relationship Id="rId27" Type="http://schemas.openxmlformats.org/officeDocument/2006/relationships/hyperlink" Target="https://doi.org/10.1007/s10666-006-9069-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2668</TotalTime>
  <Pages>14</Pages>
  <Words>7285</Words>
  <Characters>41525</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48713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Hosam Mahmod</cp:lastModifiedBy>
  <cp:revision>54</cp:revision>
  <cp:lastPrinted>2026-09-09T20:12:00Z</cp:lastPrinted>
  <dcterms:created xsi:type="dcterms:W3CDTF">2026-05-19T21:06:00Z</dcterms:created>
  <dcterms:modified xsi:type="dcterms:W3CDTF">2026-09-14T08:07:00Z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