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30772892" w:rsidR="00DB52E7" w:rsidRPr="00115DF0" w:rsidRDefault="001D46EB" w:rsidP="00B32703">
      <w:pPr>
        <w:pStyle w:val="SWCTitle"/>
        <w:rPr>
          <w:sz w:val="28"/>
          <w:szCs w:val="28"/>
          <w:lang w:val="en-GB"/>
        </w:rPr>
      </w:pPr>
      <w:proofErr w:type="spellStart"/>
      <w:r w:rsidRPr="00115DF0">
        <w:rPr>
          <w:sz w:val="28"/>
          <w:szCs w:val="28"/>
          <w:lang w:val="en-GB"/>
        </w:rPr>
        <w:t>Eurosun</w:t>
      </w:r>
      <w:proofErr w:type="spellEnd"/>
      <w:r w:rsidR="00125D33" w:rsidRPr="00115DF0">
        <w:rPr>
          <w:sz w:val="28"/>
          <w:szCs w:val="28"/>
          <w:lang w:val="en-GB"/>
        </w:rPr>
        <w:t xml:space="preserve"> 202</w:t>
      </w:r>
      <w:r w:rsidRPr="00115DF0">
        <w:rPr>
          <w:sz w:val="28"/>
          <w:szCs w:val="28"/>
          <w:lang w:val="en-GB"/>
        </w:rPr>
        <w:t>6</w:t>
      </w:r>
    </w:p>
    <w:p w14:paraId="5910B6D4" w14:textId="4DBA5D1A" w:rsidR="0035638A" w:rsidRDefault="0011409F" w:rsidP="002D663D">
      <w:pPr>
        <w:pStyle w:val="SWCTitle"/>
        <w:rPr>
          <w:sz w:val="28"/>
          <w:szCs w:val="28"/>
          <w:lang w:val="en-GB"/>
        </w:rPr>
      </w:pPr>
      <w:r w:rsidRPr="00115DF0">
        <w:rPr>
          <w:sz w:val="28"/>
          <w:szCs w:val="28"/>
          <w:lang w:val="en-GB"/>
        </w:rPr>
        <w:t xml:space="preserve">FLEXIBLE SECTOR COUPLING </w:t>
      </w:r>
      <w:r w:rsidR="008807EF">
        <w:rPr>
          <w:sz w:val="28"/>
          <w:szCs w:val="28"/>
          <w:lang w:val="en-GB"/>
        </w:rPr>
        <w:t xml:space="preserve">(FSC) </w:t>
      </w:r>
      <w:r w:rsidRPr="00115DF0">
        <w:rPr>
          <w:sz w:val="28"/>
          <w:szCs w:val="28"/>
          <w:lang w:val="en-GB"/>
        </w:rPr>
        <w:t>THROUGH BUILDINGS AND THEIR ENERGY STORAGE</w:t>
      </w:r>
      <w:r w:rsidR="0030162C">
        <w:rPr>
          <w:sz w:val="28"/>
          <w:szCs w:val="28"/>
          <w:lang w:val="en-GB"/>
        </w:rPr>
        <w:t xml:space="preserve"> </w:t>
      </w:r>
      <w:r w:rsidRPr="00115DF0">
        <w:rPr>
          <w:sz w:val="28"/>
          <w:szCs w:val="28"/>
          <w:lang w:val="en-GB"/>
        </w:rPr>
        <w:t>- THE SWEDISH CONTEXT</w:t>
      </w:r>
    </w:p>
    <w:p w14:paraId="213F2861" w14:textId="72AD4A65" w:rsidR="002C2281" w:rsidRPr="00143CBB" w:rsidRDefault="00401EFE" w:rsidP="00460A4F">
      <w:pPr>
        <w:pStyle w:val="SWCTitle"/>
        <w:spacing w:before="0" w:after="0"/>
        <w:rPr>
          <w:rFonts w:ascii="Times New Roman" w:hAnsi="Times New Roman"/>
          <w:b w:val="0"/>
          <w:sz w:val="20"/>
          <w:szCs w:val="20"/>
          <w:lang w:val="es-MX"/>
        </w:rPr>
      </w:pPr>
      <w:r w:rsidRPr="00143CBB">
        <w:rPr>
          <w:rFonts w:ascii="Times New Roman" w:hAnsi="Times New Roman"/>
          <w:b w:val="0"/>
          <w:sz w:val="20"/>
          <w:szCs w:val="22"/>
          <w:lang w:val="es-MX"/>
        </w:rPr>
        <w:t xml:space="preserve">Marco Montelongo Gallegos </w:t>
      </w:r>
      <w:r w:rsidR="002C2281" w:rsidRPr="00143CBB">
        <w:rPr>
          <w:rFonts w:ascii="Times New Roman" w:hAnsi="Times New Roman"/>
          <w:b w:val="0"/>
          <w:sz w:val="20"/>
          <w:szCs w:val="20"/>
          <w:lang w:val="es-MX"/>
        </w:rPr>
        <w:t xml:space="preserve">1, </w:t>
      </w:r>
      <w:r w:rsidR="004A6879" w:rsidRPr="00143CBB">
        <w:rPr>
          <w:rFonts w:ascii="Times New Roman" w:hAnsi="Times New Roman"/>
          <w:b w:val="0"/>
          <w:sz w:val="20"/>
          <w:szCs w:val="22"/>
          <w:lang w:val="es-MX"/>
        </w:rPr>
        <w:t>Saman Nimali Gunasekara</w:t>
      </w:r>
      <w:r w:rsidR="002C2281" w:rsidRPr="00143CBB">
        <w:rPr>
          <w:rFonts w:ascii="Times New Roman" w:hAnsi="Times New Roman"/>
          <w:b w:val="0"/>
          <w:sz w:val="20"/>
          <w:szCs w:val="20"/>
          <w:lang w:val="es-MX"/>
        </w:rPr>
        <w:t xml:space="preserve"> </w:t>
      </w:r>
      <w:r w:rsidR="004A6879" w:rsidRPr="00143CBB">
        <w:rPr>
          <w:rFonts w:ascii="Times New Roman" w:hAnsi="Times New Roman"/>
          <w:b w:val="0"/>
          <w:sz w:val="20"/>
          <w:szCs w:val="20"/>
          <w:lang w:val="es-MX"/>
        </w:rPr>
        <w:t>1 (</w:t>
      </w:r>
      <w:proofErr w:type="spellStart"/>
      <w:r w:rsidR="004A6879" w:rsidRPr="00143CBB">
        <w:rPr>
          <w:rFonts w:ascii="Times New Roman" w:hAnsi="Times New Roman"/>
          <w:b w:val="0"/>
          <w:sz w:val="20"/>
          <w:szCs w:val="20"/>
          <w:lang w:val="es-MX"/>
        </w:rPr>
        <w:t>corresponding</w:t>
      </w:r>
      <w:proofErr w:type="spellEnd"/>
      <w:r w:rsidR="004A6879" w:rsidRPr="00143CBB">
        <w:rPr>
          <w:rFonts w:ascii="Times New Roman" w:hAnsi="Times New Roman"/>
          <w:b w:val="0"/>
          <w:sz w:val="20"/>
          <w:szCs w:val="20"/>
          <w:lang w:val="es-MX"/>
        </w:rPr>
        <w:t xml:space="preserve"> </w:t>
      </w:r>
      <w:proofErr w:type="spellStart"/>
      <w:r w:rsidR="004A6879" w:rsidRPr="00143CBB">
        <w:rPr>
          <w:rFonts w:ascii="Times New Roman" w:hAnsi="Times New Roman"/>
          <w:b w:val="0"/>
          <w:sz w:val="20"/>
          <w:szCs w:val="20"/>
          <w:lang w:val="es-MX"/>
        </w:rPr>
        <w:t>author</w:t>
      </w:r>
      <w:proofErr w:type="spellEnd"/>
      <w:r w:rsidR="004A6879" w:rsidRPr="00143CBB">
        <w:rPr>
          <w:rFonts w:ascii="Times New Roman" w:hAnsi="Times New Roman"/>
          <w:b w:val="0"/>
          <w:sz w:val="20"/>
          <w:szCs w:val="20"/>
          <w:lang w:val="es-MX"/>
        </w:rPr>
        <w:t>)</w:t>
      </w:r>
      <w:r w:rsidR="002C2281" w:rsidRPr="00143CBB">
        <w:rPr>
          <w:rFonts w:ascii="Times New Roman" w:hAnsi="Times New Roman"/>
          <w:b w:val="0"/>
          <w:sz w:val="20"/>
          <w:szCs w:val="20"/>
          <w:lang w:val="es-MX"/>
        </w:rPr>
        <w:t xml:space="preserve">, </w:t>
      </w:r>
      <w:r w:rsidR="004A6879" w:rsidRPr="00143CBB">
        <w:rPr>
          <w:rFonts w:ascii="Times New Roman" w:hAnsi="Times New Roman"/>
          <w:b w:val="0"/>
          <w:sz w:val="20"/>
          <w:szCs w:val="22"/>
          <w:lang w:val="es-MX"/>
        </w:rPr>
        <w:t xml:space="preserve">Rafael Gómez García </w:t>
      </w:r>
      <w:r w:rsidR="004A6879" w:rsidRPr="00143CBB">
        <w:rPr>
          <w:rFonts w:ascii="Times New Roman" w:hAnsi="Times New Roman"/>
          <w:b w:val="0"/>
          <w:sz w:val="20"/>
          <w:szCs w:val="20"/>
          <w:lang w:val="es-MX"/>
        </w:rPr>
        <w:t>2</w:t>
      </w:r>
      <w:r w:rsidR="00143CBB">
        <w:rPr>
          <w:rFonts w:ascii="Times New Roman" w:hAnsi="Times New Roman"/>
          <w:b w:val="0"/>
          <w:sz w:val="20"/>
          <w:szCs w:val="20"/>
          <w:lang w:val="es-MX"/>
        </w:rPr>
        <w:t xml:space="preserve">, </w:t>
      </w:r>
      <w:r w:rsidR="004A6879" w:rsidRPr="00143CBB">
        <w:rPr>
          <w:rFonts w:ascii="Times New Roman" w:hAnsi="Times New Roman"/>
          <w:b w:val="0"/>
          <w:sz w:val="20"/>
          <w:szCs w:val="22"/>
          <w:lang w:val="es-MX"/>
        </w:rPr>
        <w:t>Nelson Sommerfeldt 1</w:t>
      </w:r>
    </w:p>
    <w:p w14:paraId="0EFCCCA9" w14:textId="40CF2D33" w:rsidR="002C2281" w:rsidRDefault="00A31B48" w:rsidP="00460A4F">
      <w:pPr>
        <w:pStyle w:val="SWCTitle"/>
        <w:spacing w:before="0" w:after="0"/>
        <w:rPr>
          <w:rFonts w:ascii="Times New Roman" w:hAnsi="Times New Roman"/>
          <w:b w:val="0"/>
          <w:sz w:val="20"/>
          <w:szCs w:val="22"/>
        </w:rPr>
      </w:pPr>
      <w:r>
        <w:rPr>
          <w:rFonts w:ascii="Times New Roman" w:hAnsi="Times New Roman"/>
          <w:b w:val="0"/>
          <w:sz w:val="20"/>
          <w:szCs w:val="22"/>
        </w:rPr>
        <w:t xml:space="preserve">1 </w:t>
      </w:r>
      <w:r w:rsidRPr="00A31B48">
        <w:rPr>
          <w:rFonts w:ascii="Times New Roman" w:hAnsi="Times New Roman"/>
          <w:b w:val="0"/>
          <w:sz w:val="20"/>
          <w:szCs w:val="22"/>
        </w:rPr>
        <w:t>Department of Energy Technology, KTH Royal Institute of Technology, Brinellvägen 68, 100 44, Stockholm, Sweden</w:t>
      </w:r>
    </w:p>
    <w:p w14:paraId="4F4DE7C1" w14:textId="0CF629D2" w:rsidR="00A31B48" w:rsidRPr="006B3D49" w:rsidRDefault="00A31B48" w:rsidP="00460A4F">
      <w:pPr>
        <w:pStyle w:val="SWCTitle"/>
        <w:spacing w:before="0" w:after="0"/>
        <w:rPr>
          <w:rFonts w:ascii="Times New Roman" w:hAnsi="Times New Roman"/>
          <w:b w:val="0"/>
          <w:sz w:val="20"/>
          <w:szCs w:val="22"/>
        </w:rPr>
      </w:pPr>
      <w:r>
        <w:rPr>
          <w:rFonts w:ascii="Times New Roman" w:hAnsi="Times New Roman"/>
          <w:b w:val="0"/>
          <w:sz w:val="20"/>
          <w:szCs w:val="22"/>
        </w:rPr>
        <w:t xml:space="preserve">2 </w:t>
      </w:r>
      <w:r w:rsidR="00460A4F" w:rsidRPr="00460A4F">
        <w:rPr>
          <w:rFonts w:ascii="Times New Roman" w:hAnsi="Times New Roman"/>
          <w:b w:val="0"/>
          <w:sz w:val="20"/>
          <w:szCs w:val="22"/>
        </w:rPr>
        <w:t xml:space="preserve">RISE Research </w:t>
      </w:r>
      <w:r w:rsidR="00D24440">
        <w:rPr>
          <w:rFonts w:ascii="Times New Roman" w:hAnsi="Times New Roman"/>
          <w:b w:val="0"/>
          <w:sz w:val="20"/>
          <w:szCs w:val="22"/>
        </w:rPr>
        <w:t>I</w:t>
      </w:r>
      <w:r w:rsidR="00460A4F" w:rsidRPr="00460A4F">
        <w:rPr>
          <w:rFonts w:ascii="Times New Roman" w:hAnsi="Times New Roman"/>
          <w:b w:val="0"/>
          <w:sz w:val="20"/>
          <w:szCs w:val="22"/>
        </w:rPr>
        <w:t xml:space="preserve">nstitutes of Sweden, </w:t>
      </w:r>
      <w:proofErr w:type="spellStart"/>
      <w:r w:rsidR="00460A4F" w:rsidRPr="00460A4F">
        <w:rPr>
          <w:rFonts w:ascii="Times New Roman" w:hAnsi="Times New Roman"/>
          <w:b w:val="0"/>
          <w:sz w:val="20"/>
          <w:szCs w:val="22"/>
        </w:rPr>
        <w:t>Drottning</w:t>
      </w:r>
      <w:proofErr w:type="spellEnd"/>
      <w:r w:rsidR="00460A4F" w:rsidRPr="00460A4F">
        <w:rPr>
          <w:rFonts w:ascii="Times New Roman" w:hAnsi="Times New Roman"/>
          <w:b w:val="0"/>
          <w:sz w:val="20"/>
          <w:szCs w:val="22"/>
        </w:rPr>
        <w:t xml:space="preserve"> Kristinas väg 61, Stockholm, 114 28, Sweden</w:t>
      </w:r>
    </w:p>
    <w:p w14:paraId="5B6F4DDD" w14:textId="11CF8744" w:rsidR="00401EFE" w:rsidRPr="002D663D" w:rsidRDefault="00460A4F" w:rsidP="002D663D">
      <w:pPr>
        <w:pStyle w:val="SWCTitle"/>
        <w:spacing w:before="0" w:after="0"/>
        <w:rPr>
          <w:rFonts w:ascii="Times New Roman" w:hAnsi="Times New Roman"/>
          <w:b w:val="0"/>
          <w:sz w:val="20"/>
          <w:szCs w:val="22"/>
        </w:rPr>
      </w:pPr>
      <w:hyperlink r:id="rId8" w:history="1">
        <w:r w:rsidRPr="00460A4F">
          <w:rPr>
            <w:rStyle w:val="Hyperlink"/>
            <w:rFonts w:ascii="Times New Roman" w:hAnsi="Times New Roman"/>
            <w:b w:val="0"/>
            <w:sz w:val="20"/>
            <w:szCs w:val="22"/>
          </w:rPr>
          <w:t>marcomg@kth.se</w:t>
        </w:r>
      </w:hyperlink>
      <w:r w:rsidRPr="00460A4F">
        <w:rPr>
          <w:rFonts w:ascii="Times New Roman" w:hAnsi="Times New Roman"/>
          <w:b w:val="0"/>
          <w:sz w:val="20"/>
          <w:szCs w:val="22"/>
        </w:rPr>
        <w:t xml:space="preserve">, </w:t>
      </w:r>
      <w:hyperlink r:id="rId9" w:history="1">
        <w:r w:rsidRPr="00833AB0">
          <w:rPr>
            <w:rStyle w:val="Hyperlink"/>
            <w:rFonts w:ascii="Times New Roman" w:hAnsi="Times New Roman"/>
            <w:b w:val="0"/>
            <w:sz w:val="20"/>
            <w:szCs w:val="22"/>
          </w:rPr>
          <w:t>sngu@kth.se</w:t>
        </w:r>
      </w:hyperlink>
      <w:r>
        <w:rPr>
          <w:rFonts w:ascii="Times New Roman" w:hAnsi="Times New Roman"/>
          <w:b w:val="0"/>
          <w:sz w:val="20"/>
          <w:szCs w:val="22"/>
        </w:rPr>
        <w:t xml:space="preserve">,  </w:t>
      </w:r>
      <w:hyperlink r:id="rId10" w:history="1">
        <w:r w:rsidR="002D663D" w:rsidRPr="00833AB0">
          <w:rPr>
            <w:rStyle w:val="Hyperlink"/>
            <w:rFonts w:ascii="Times New Roman" w:hAnsi="Times New Roman"/>
            <w:b w:val="0"/>
            <w:sz w:val="20"/>
            <w:szCs w:val="22"/>
          </w:rPr>
          <w:t>rafael.gomez.garcia@ri.se</w:t>
        </w:r>
      </w:hyperlink>
      <w:r w:rsidR="002D663D">
        <w:rPr>
          <w:rFonts w:ascii="Times New Roman" w:hAnsi="Times New Roman"/>
          <w:b w:val="0"/>
          <w:sz w:val="20"/>
          <w:szCs w:val="22"/>
        </w:rPr>
        <w:t xml:space="preserve">, </w:t>
      </w:r>
      <w:hyperlink r:id="rId11" w:history="1">
        <w:r w:rsidR="002D663D" w:rsidRPr="00833AB0">
          <w:rPr>
            <w:rStyle w:val="Hyperlink"/>
            <w:rFonts w:ascii="Times New Roman" w:hAnsi="Times New Roman"/>
            <w:b w:val="0"/>
            <w:sz w:val="20"/>
            <w:szCs w:val="22"/>
          </w:rPr>
          <w:t>nelson.sommerfeldt@energy.kth.se</w:t>
        </w:r>
      </w:hyperlink>
      <w:r w:rsidR="002D663D">
        <w:rPr>
          <w:rFonts w:ascii="Times New Roman" w:hAnsi="Times New Roman"/>
          <w:b w:val="0"/>
          <w:sz w:val="20"/>
          <w:szCs w:val="22"/>
        </w:rPr>
        <w:t xml:space="preserve"> </w:t>
      </w:r>
    </w:p>
    <w:p w14:paraId="3A7DF4B5" w14:textId="77777777" w:rsidR="001A775B" w:rsidRPr="00115DF0" w:rsidRDefault="001A775B" w:rsidP="001A775B">
      <w:pPr>
        <w:pStyle w:val="SWCSummary"/>
        <w:rPr>
          <w:lang w:val="en-GB"/>
        </w:rPr>
      </w:pPr>
      <w:r w:rsidRPr="00115DF0">
        <w:rPr>
          <w:lang w:val="en-GB"/>
        </w:rPr>
        <w:t>Summary</w:t>
      </w:r>
    </w:p>
    <w:p w14:paraId="796F85CA" w14:textId="416D4F61" w:rsidR="00BD20DD" w:rsidRDefault="002C2F6D" w:rsidP="001A775B">
      <w:pPr>
        <w:pStyle w:val="SWCText"/>
        <w:pBdr>
          <w:bottom w:val="single" w:sz="6" w:space="1" w:color="auto"/>
        </w:pBdr>
        <w:rPr>
          <w:lang w:val="en-GB"/>
        </w:rPr>
      </w:pPr>
      <w:r w:rsidRPr="002C2F6D">
        <w:rPr>
          <w:lang w:val="en-GB"/>
        </w:rPr>
        <w:t xml:space="preserve">Sweden’s electricity system is moving toward a predominantly renewable supply, while </w:t>
      </w:r>
      <w:r w:rsidR="003E6066">
        <w:rPr>
          <w:lang w:val="en-GB"/>
        </w:rPr>
        <w:t>district heating (</w:t>
      </w:r>
      <w:r w:rsidRPr="002C2F6D">
        <w:rPr>
          <w:lang w:val="en-GB"/>
        </w:rPr>
        <w:t>DH</w:t>
      </w:r>
      <w:r w:rsidR="003E6066">
        <w:rPr>
          <w:lang w:val="en-GB"/>
        </w:rPr>
        <w:t>)</w:t>
      </w:r>
      <w:r w:rsidRPr="002C2F6D">
        <w:rPr>
          <w:lang w:val="en-GB"/>
        </w:rPr>
        <w:t xml:space="preserve"> networks provide approximately 60</w:t>
      </w:r>
      <w:r w:rsidR="00AD368E">
        <w:rPr>
          <w:lang w:val="en-GB"/>
        </w:rPr>
        <w:t xml:space="preserve"> </w:t>
      </w:r>
      <w:r w:rsidRPr="002C2F6D">
        <w:rPr>
          <w:lang w:val="en-GB"/>
        </w:rPr>
        <w:t xml:space="preserve">% of space-heating demand in Swedish buildings. </w:t>
      </w:r>
      <w:r w:rsidR="00017806" w:rsidRPr="00017806">
        <w:rPr>
          <w:lang w:val="en-GB"/>
        </w:rPr>
        <w:t>Flexible sector coupling (FSC)</w:t>
      </w:r>
      <w:r w:rsidRPr="002C2F6D">
        <w:rPr>
          <w:lang w:val="en-GB"/>
        </w:rPr>
        <w:t xml:space="preserve"> uses energy storage to separate the timing of renewable electricity conversion from the </w:t>
      </w:r>
      <w:r w:rsidR="00122CD4">
        <w:rPr>
          <w:lang w:val="en-GB"/>
        </w:rPr>
        <w:t>moment</w:t>
      </w:r>
      <w:r w:rsidRPr="002C2F6D">
        <w:rPr>
          <w:lang w:val="en-GB"/>
        </w:rPr>
        <w:t xml:space="preserve"> of heat or power demand. </w:t>
      </w:r>
      <w:r w:rsidR="00696673" w:rsidRPr="00696673">
        <w:rPr>
          <w:lang w:val="en-GB"/>
        </w:rPr>
        <w:t xml:space="preserve">Buildings and districts equipped with thermal energy storage (TES), battery energy storage systems (BESS), or building inertia thermal energy storage (BITES) </w:t>
      </w:r>
      <w:r w:rsidR="00454B99">
        <w:rPr>
          <w:lang w:val="en-GB"/>
        </w:rPr>
        <w:t xml:space="preserve">can </w:t>
      </w:r>
      <w:r w:rsidR="00696673" w:rsidRPr="00696673">
        <w:rPr>
          <w:lang w:val="en-GB"/>
        </w:rPr>
        <w:t>function as distributed flexibility hubs within the broader energy system.</w:t>
      </w:r>
      <w:r w:rsidR="00FB523F">
        <w:rPr>
          <w:lang w:val="en-GB"/>
        </w:rPr>
        <w:t xml:space="preserve"> </w:t>
      </w:r>
      <w:r w:rsidR="00A501E2" w:rsidRPr="00A501E2">
        <w:rPr>
          <w:lang w:val="en-GB"/>
        </w:rPr>
        <w:t>This paper maps five FSC configurations (C1–C5) across three Swedish building typologies and evaluates them across six domains: energy, economic, environmental, flexibility, grid interaction, and digital readiness. The analysis combines a structured literature review with eleven semi-structured stakeholder interviews across five actor groups.</w:t>
      </w:r>
      <w:r w:rsidR="00FB523F">
        <w:rPr>
          <w:lang w:val="en-GB"/>
        </w:rPr>
        <w:t xml:space="preserve"> </w:t>
      </w:r>
      <w:r w:rsidR="00043A20">
        <w:rPr>
          <w:lang w:val="en-GB"/>
        </w:rPr>
        <w:t xml:space="preserve">The findings show that no </w:t>
      </w:r>
      <w:r w:rsidR="00BD20DD" w:rsidRPr="00BD20DD">
        <w:rPr>
          <w:lang w:val="en-GB"/>
        </w:rPr>
        <w:t xml:space="preserve">single </w:t>
      </w:r>
      <w:r w:rsidR="001C1A53">
        <w:rPr>
          <w:lang w:val="en-GB"/>
        </w:rPr>
        <w:t xml:space="preserve">energy </w:t>
      </w:r>
      <w:r w:rsidR="00BD20DD" w:rsidRPr="00BD20DD">
        <w:rPr>
          <w:lang w:val="en-GB"/>
        </w:rPr>
        <w:t xml:space="preserve">storage technology covers the full </w:t>
      </w:r>
      <w:r w:rsidR="000B78A8">
        <w:rPr>
          <w:lang w:val="en-GB"/>
        </w:rPr>
        <w:t xml:space="preserve">range of </w:t>
      </w:r>
      <w:r w:rsidR="00BD20DD" w:rsidRPr="00BD20DD">
        <w:rPr>
          <w:lang w:val="en-GB"/>
        </w:rPr>
        <w:t>FSC service</w:t>
      </w:r>
      <w:r w:rsidR="000B78A8">
        <w:rPr>
          <w:lang w:val="en-GB"/>
        </w:rPr>
        <w:t>s</w:t>
      </w:r>
      <w:r w:rsidR="00BD20DD" w:rsidRPr="00BD20DD">
        <w:rPr>
          <w:lang w:val="en-GB"/>
        </w:rPr>
        <w:t xml:space="preserve">. The control-only BITES configuration (C3) requires no capital investment and is the most immediately deployable option across the DH-connected building stock. </w:t>
      </w:r>
      <w:r w:rsidR="0032259C">
        <w:rPr>
          <w:lang w:val="en-GB"/>
        </w:rPr>
        <w:t>T</w:t>
      </w:r>
      <w:r w:rsidR="00BD20DD" w:rsidRPr="00BD20DD">
        <w:rPr>
          <w:lang w:val="en-GB"/>
        </w:rPr>
        <w:t xml:space="preserve">he performance metrics used in the FSC literature </w:t>
      </w:r>
      <w:r w:rsidR="0068373E">
        <w:rPr>
          <w:lang w:val="en-GB"/>
        </w:rPr>
        <w:t xml:space="preserve">also diverge from </w:t>
      </w:r>
      <w:r w:rsidR="00BD20DD" w:rsidRPr="00BD20DD">
        <w:rPr>
          <w:lang w:val="en-GB"/>
        </w:rPr>
        <w:t>those practitioners apply. The Swedish primary energy number (PEN) weights electricity at 1.8 and DH at 0.7 in building regulation</w:t>
      </w:r>
      <w:r w:rsidR="00835431">
        <w:rPr>
          <w:lang w:val="en-GB"/>
        </w:rPr>
        <w:t>, where</w:t>
      </w:r>
      <w:r w:rsidR="00BD20DD" w:rsidRPr="00BD20DD">
        <w:rPr>
          <w:lang w:val="en-GB"/>
        </w:rPr>
        <w:t xml:space="preserve"> this weighting </w:t>
      </w:r>
      <w:r w:rsidR="00E04E9F">
        <w:rPr>
          <w:lang w:val="en-GB"/>
        </w:rPr>
        <w:t>can direct</w:t>
      </w:r>
      <w:r w:rsidR="00BD20DD" w:rsidRPr="00BD20DD">
        <w:rPr>
          <w:lang w:val="en-GB"/>
        </w:rPr>
        <w:t xml:space="preserve"> investment toward regulatory compliance rather than FSC performance and </w:t>
      </w:r>
      <w:r w:rsidR="009F64FF">
        <w:rPr>
          <w:lang w:val="en-GB"/>
        </w:rPr>
        <w:t>extend</w:t>
      </w:r>
      <w:r w:rsidR="00604ADA">
        <w:rPr>
          <w:lang w:val="en-GB"/>
        </w:rPr>
        <w:t xml:space="preserve"> </w:t>
      </w:r>
      <w:r w:rsidR="00604ADA" w:rsidRPr="00604ADA">
        <w:rPr>
          <w:lang w:val="en-GB"/>
        </w:rPr>
        <w:t>its effects to financing through EU taxonomy requirements.</w:t>
      </w:r>
    </w:p>
    <w:p w14:paraId="5AB3A3E7" w14:textId="74A58EF2" w:rsidR="00DB52E7" w:rsidRDefault="00DB52E7" w:rsidP="001A775B">
      <w:pPr>
        <w:pStyle w:val="SWCText"/>
        <w:pBdr>
          <w:bottom w:val="single" w:sz="6" w:space="1" w:color="auto"/>
        </w:pBdr>
        <w:rPr>
          <w:i/>
          <w:iCs/>
          <w:lang w:val="en-GB"/>
        </w:rPr>
      </w:pPr>
      <w:r w:rsidRPr="00115DF0">
        <w:rPr>
          <w:i/>
          <w:iCs/>
          <w:lang w:val="en-GB"/>
        </w:rPr>
        <w:t xml:space="preserve">Keywords: </w:t>
      </w:r>
      <w:r w:rsidR="002C306C" w:rsidRPr="00115DF0">
        <w:rPr>
          <w:i/>
          <w:iCs/>
          <w:lang w:val="en-GB"/>
        </w:rPr>
        <w:t xml:space="preserve">Flexible Sector Coupling (FSC), Buildings, Heating and Cooling, Electricity, </w:t>
      </w:r>
      <w:r w:rsidR="00F644B3" w:rsidRPr="00115DF0">
        <w:rPr>
          <w:i/>
          <w:iCs/>
          <w:lang w:val="en-GB"/>
        </w:rPr>
        <w:t>Thermal Energy Storage (TES), Solar photovoltaic (PV),</w:t>
      </w:r>
      <w:r w:rsidR="004D0337" w:rsidRPr="00115DF0">
        <w:rPr>
          <w:i/>
          <w:iCs/>
          <w:lang w:val="en-GB"/>
        </w:rPr>
        <w:t xml:space="preserve"> Heat Pump (HP), </w:t>
      </w:r>
      <w:r w:rsidR="00F644B3" w:rsidRPr="00115DF0">
        <w:rPr>
          <w:i/>
          <w:iCs/>
          <w:lang w:val="en-GB"/>
        </w:rPr>
        <w:t>Electrochemical Battery (BESS)</w:t>
      </w:r>
      <w:r w:rsidR="00BA639B">
        <w:rPr>
          <w:i/>
          <w:iCs/>
          <w:lang w:val="en-GB"/>
        </w:rPr>
        <w:t>,</w:t>
      </w:r>
      <w:r w:rsidR="00FF47B9">
        <w:rPr>
          <w:i/>
          <w:iCs/>
          <w:lang w:val="en-GB"/>
        </w:rPr>
        <w:t xml:space="preserve"> Digital systems</w:t>
      </w:r>
      <w:r w:rsidR="007A7443">
        <w:rPr>
          <w:i/>
          <w:iCs/>
          <w:lang w:val="en-GB"/>
        </w:rPr>
        <w:t>.</w:t>
      </w:r>
    </w:p>
    <w:p w14:paraId="1B51A5F4" w14:textId="2A4BFCDF" w:rsidR="00A6027B" w:rsidRPr="006E115F" w:rsidRDefault="00A6027B" w:rsidP="00A6027B">
      <w:pPr>
        <w:pStyle w:val="SWCText"/>
        <w:pBdr>
          <w:bottom w:val="single" w:sz="6" w:space="1" w:color="auto"/>
        </w:pBdr>
      </w:pPr>
      <w:r w:rsidRPr="006E115F">
        <w:rPr>
          <w:i/>
        </w:rPr>
        <w:t>Field of application for the findings: Energy storage in residential and district-scale buildings; district heating systems; building energy management and flexibility services in the Swedish energy system.</w:t>
      </w:r>
    </w:p>
    <w:p w14:paraId="156BFB78" w14:textId="1F22BE3F" w:rsidR="007A7443" w:rsidRPr="00A6027B" w:rsidRDefault="00A6027B" w:rsidP="001A775B">
      <w:pPr>
        <w:pStyle w:val="SWCText"/>
        <w:pBdr>
          <w:bottom w:val="single" w:sz="6" w:space="1" w:color="auto"/>
        </w:pBdr>
      </w:pPr>
      <w:r w:rsidRPr="006E115F">
        <w:rPr>
          <w:i/>
        </w:rPr>
        <w:t xml:space="preserve">Addressed audience: Building energy researchers; district heating operators and planners; energy system policymakers; </w:t>
      </w:r>
      <w:r w:rsidR="006D41FE" w:rsidRPr="006E115F">
        <w:rPr>
          <w:i/>
        </w:rPr>
        <w:t xml:space="preserve">energy </w:t>
      </w:r>
      <w:r w:rsidRPr="006E115F">
        <w:rPr>
          <w:i/>
        </w:rPr>
        <w:t>technology installers; Swedish building owners and housing cooperatives.</w:t>
      </w:r>
    </w:p>
    <w:p w14:paraId="51CD8377" w14:textId="2061218C" w:rsidR="00D32EF0" w:rsidRPr="005D74FA" w:rsidRDefault="00D32EF0" w:rsidP="005D74FA">
      <w:pPr>
        <w:pStyle w:val="SWCHeading1"/>
      </w:pPr>
      <w:r w:rsidRPr="005D74FA">
        <w:t>Introduction</w:t>
      </w:r>
      <w:r w:rsidR="009E0D67" w:rsidRPr="005D74FA">
        <w:t xml:space="preserve"> </w:t>
      </w:r>
    </w:p>
    <w:p w14:paraId="4C44352A" w14:textId="6AAA701D" w:rsidR="00A51B6D" w:rsidRDefault="002916BE" w:rsidP="002916BE">
      <w:pPr>
        <w:pStyle w:val="SWCText"/>
      </w:pPr>
      <w:r w:rsidRPr="002916BE">
        <w:t xml:space="preserve">Sweden's electricity system is undergoing a structural shift. Wind and solar generation, now accounting for a rising share of national electricity supply </w:t>
      </w:r>
      <w:r w:rsidR="00143F06">
        <w:fldChar w:fldCharType="begin"/>
      </w:r>
      <w:r w:rsidR="00E605C6">
        <w:instrText xml:space="preserve"> ADDIN ZOTERO_ITEM CSL_CITATION {"citationID":"G5ap5nMG","properties":{"unsorted":false,"formattedCitation":"(Energimyndigheten, 2025)","plainCitation":"(Energimyndigheten, 2025)","noteIndex":0},"citationItems":[{"id":554,"uris":["http://zotero.org/users/18628118/items/43UCPKDI"],"itemData":{"id":554,"type":"webpage","abstract":"The Swedish Energy Agency produces a number of publications with facts and figures on an annual basis.","container-title":"Energimyndigheten","language":"en","title":"Energy in Sweden: Facts and Figures 2025","URL":"https://www.energimyndigheten.se/en/facts-and-figures/publications/","author":[{"literal":"Energimyndigheten"}],"accessed":{"date-parts":[["2026",8,21]]},"issued":{"date-parts":[["2025"]]}}}],"schema":"https://github.com/citation-style-language/schema/raw/master/csl-citation.json"} </w:instrText>
      </w:r>
      <w:r w:rsidR="00143F06">
        <w:fldChar w:fldCharType="separate"/>
      </w:r>
      <w:r w:rsidR="00E605C6">
        <w:rPr>
          <w:noProof/>
        </w:rPr>
        <w:t>(Energimyndigheten, 2025)</w:t>
      </w:r>
      <w:r w:rsidR="00143F06">
        <w:fldChar w:fldCharType="end"/>
      </w:r>
      <w:r w:rsidR="00143F06">
        <w:t>,</w:t>
      </w:r>
      <w:r w:rsidR="00E605C6">
        <w:t xml:space="preserve"> </w:t>
      </w:r>
      <w:r w:rsidRPr="002916BE">
        <w:t xml:space="preserve">produce output that does not </w:t>
      </w:r>
      <w:r w:rsidR="003B0BD1">
        <w:t>match</w:t>
      </w:r>
      <w:r w:rsidRPr="002916BE">
        <w:t xml:space="preserve"> heating demand in time. District heating (DH) networks supply approximately 60</w:t>
      </w:r>
      <w:r w:rsidR="00AD368E">
        <w:t xml:space="preserve"> </w:t>
      </w:r>
      <w:r w:rsidRPr="002916BE">
        <w:t xml:space="preserve">% of space-heating demand in Swedish residential and service buildings </w:t>
      </w:r>
      <w:r w:rsidR="00327E6D">
        <w:fldChar w:fldCharType="begin"/>
      </w:r>
      <w:r w:rsidR="00A73D18">
        <w:instrText xml:space="preserve"> ADDIN ZOTERO_ITEM CSL_CITATION {"citationID":"36K657dO","properties":{"unsorted":false,"formattedCitation":"(Fernqvist et al., 2023)","plainCitation":"(Fernqvist et al., 2023)","noteIndex":0},"citationItems":[{"id":145,"uris":["http://zotero.org/users/18628118/items/LZ993H5P"],"itemData":{"id":145,"type":"article-journal","abstract":"With expanding solar and wind power production, the topic of flexibility services attracts increased attention in the Swedish energy system. In this context, the potentials in using thermal storage capacities in district heating (DH) systems have been brought forward, primarily by academic scholars. Using a ‘grounded’ approach, this study investigates if professionals assigned to Swedish DH companies and electricity distribution system operators utilise, or plan to utilise, DH systems as flexibility services for the electricity grid. Original data was collected through semi-structured interviews, held with fourteen individuals affiliated to different actors in the Swedish energy system. These individuals were identified as being experts, or practically engaged, in using DH utilities as flexibility services for the electricity grid. The findings show that although technologies for coupling between DH systems and the electricity grid are already in place, initiatives for using DH systems as flexibility services for the electricity system are rare in Sweden. Coupling challenges stem from ownership and operation legislation frameworks, marginal incentives and a widespread focus on firm benefits rather than energy systems benefits. Identified initiatives for using DH systems for flexibility services are primarily run on a local scale, designed and propelled by small groups of engaged individuals.","container-title":"Energy Policy","DOI":"10.1016/j.enpol.2022.113332","ISSN":"03014215","journalAbbreviation":"Energy Policy","language":"en","page":"113332","source":"DOI.org (Crossref)","title":"District heating as a flexibility service: Challenges in sector coupling for increased solar and wind power production in Sweden","title-short":"District heating as a flexibility service","volume":"172","author":[{"family":"Fernqvist","given":"Niklas"},{"family":"Broberg","given":"Sarah"},{"family":"Torén","given":"Johan"},{"family":"Svensson","given":"Inger-Lise"}],"issued":{"date-parts":[["2023",1]]}}}],"schema":"https://github.com/citation-style-language/schema/raw/master/csl-citation.json"} </w:instrText>
      </w:r>
      <w:r w:rsidR="00327E6D">
        <w:fldChar w:fldCharType="separate"/>
      </w:r>
      <w:r w:rsidR="00A73D18">
        <w:rPr>
          <w:noProof/>
        </w:rPr>
        <w:t>(Fernqvist et al., 2023)</w:t>
      </w:r>
      <w:r w:rsidR="00327E6D">
        <w:fldChar w:fldCharType="end"/>
      </w:r>
      <w:r w:rsidR="00327E6D">
        <w:t>,</w:t>
      </w:r>
      <w:r w:rsidR="00A73D18">
        <w:t xml:space="preserve"> </w:t>
      </w:r>
      <w:r w:rsidRPr="002916BE">
        <w:t xml:space="preserve">while periods of </w:t>
      </w:r>
      <w:r w:rsidR="00A73D18">
        <w:t>high</w:t>
      </w:r>
      <w:r w:rsidRPr="002916BE">
        <w:t xml:space="preserve"> renewable electricity generation increasingly </w:t>
      </w:r>
      <w:r w:rsidR="009D64DD">
        <w:t>may occur when</w:t>
      </w:r>
      <w:r w:rsidRPr="002916BE">
        <w:t xml:space="preserve"> thermal loads</w:t>
      </w:r>
      <w:r w:rsidR="009D64DD">
        <w:t xml:space="preserve"> are low</w:t>
      </w:r>
      <w:r w:rsidRPr="002916BE">
        <w:t xml:space="preserve">. </w:t>
      </w:r>
      <w:r w:rsidR="00700198" w:rsidRPr="00700198">
        <w:t>Th</w:t>
      </w:r>
      <w:r w:rsidR="00E35BA4">
        <w:t>e result is</w:t>
      </w:r>
      <w:r w:rsidR="00700198" w:rsidRPr="00700198">
        <w:t xml:space="preserve"> a temporal mismatch between electricity availab</w:t>
      </w:r>
      <w:r w:rsidR="008C5AC4">
        <w:t>ility</w:t>
      </w:r>
      <w:r w:rsidR="00700198" w:rsidRPr="00700198">
        <w:t xml:space="preserve"> and </w:t>
      </w:r>
      <w:r w:rsidR="00F070D0">
        <w:t>heating deman</w:t>
      </w:r>
      <w:r w:rsidR="00700198" w:rsidRPr="00700198">
        <w:t xml:space="preserve">d. Sector coupling (SC) addresses this by linking the electricity and heating sectors through </w:t>
      </w:r>
      <w:r w:rsidR="00700198">
        <w:t>heat pumps (</w:t>
      </w:r>
      <w:r w:rsidR="00700198" w:rsidRPr="00700198">
        <w:t>HPs</w:t>
      </w:r>
      <w:r w:rsidR="00700198">
        <w:t>)</w:t>
      </w:r>
      <w:r w:rsidR="00700198" w:rsidRPr="00700198">
        <w:t xml:space="preserve"> and </w:t>
      </w:r>
      <w:r w:rsidR="00700198">
        <w:t>electric boilers (</w:t>
      </w:r>
      <w:r w:rsidR="00700198" w:rsidRPr="00700198">
        <w:t>EBs</w:t>
      </w:r>
      <w:r w:rsidR="00700198">
        <w:t>)</w:t>
      </w:r>
      <w:r w:rsidR="00700198" w:rsidRPr="00700198">
        <w:t>, which convert surplus electricity into heat deliverable to DH networks and building heating systems</w:t>
      </w:r>
      <w:r w:rsidR="00700198">
        <w:t xml:space="preserve"> </w:t>
      </w:r>
      <w:r w:rsidR="00B02FD3">
        <w:fldChar w:fldCharType="begin"/>
      </w:r>
      <w:r w:rsidR="00454A12">
        <w:instrText xml:space="preserve"> ADDIN ZOTERO_ITEM CSL_CITATION {"citationID":"u052r21e","properties":{"unsorted":false,"formattedCitation":"(Ramsebner et al., 2021)","plainCitation":"(Ramsebner et al., 2021)","noteIndex":0},"citationItems":[{"id":126,"uris":["http://zotero.org/users/18628118/items/F7GMAGLD"],"itemData":{"id":126,"type":"article-journal","abstract":"Pursued climate goals require reduced greenhouse gas emissions by substituting fossil fuels with energy from renewable sources in all energy-consuming processes. On a large-scale, this can mainly be achieved through electricity from wind and sun, which are subject to intermittency. To efficiently integrate this variable energy, a coupling of the power sector to the residential, transport, industry, and commercial/trade sector is often promoted, called sector coupling (SC). Nevertheless, our literature review indicates that SC is frequently misinterpreted and its scope varies among available research, from exclusively considering the use of excess renewable electricity to a rather holistic view of integrated energy systems, including excess heat or even biomass sources. The core objective of this article is to provide a thorough understanding of the SC concept through an analysis of its origin and its main purpose, as described in the current literature. We provide a structured categorization of SC, derived from our findings, and critically discuss its remaining challenges as well as its value for renewable energy systems. We find that SC is rooted in the increasing use of variable renewable energy sources, and its main assets are the flexibility it provides for renewable energy systems, decarbonization potential for fossil-fuel-based end-consumption sectors, and consequently, reduced dependency on oil and gas extracting countries. However, the enabling technologies face great challenges in their economic feasibility because of the uncertain future development of competing solutions. This article is categorized under: Energy Systems Economics &gt; Economics and Policy Energy Systems Economics &gt; Systems and Infrastructure","container-title":"WIREs Energy and Environment","DOI":"10.1002/wene.396","ISSN":"2041-840X","issue":"4","language":"en","note":"_eprint: https://wires.onlinelibrary.wiley.com/doi/pdf/10.1002/wene.396","page":"e396","source":"Wiley Online Library","title":"The sector coupling concept: A critical review","title-short":"The sector coupling concept","volume":"10","author":[{"family":"Ramsebner","given":"Jasmine"},{"family":"Haas","given":"Reinhard"},{"family":"Ajanovic","given":"Amela"},{"family":"Wietschel","given":"Martin"}],"issued":{"date-parts":[["2021"]]}}}],"schema":"https://github.com/citation-style-language/schema/raw/master/csl-citation.json"} </w:instrText>
      </w:r>
      <w:r w:rsidR="00B02FD3">
        <w:fldChar w:fldCharType="separate"/>
      </w:r>
      <w:r w:rsidR="00454A12">
        <w:rPr>
          <w:noProof/>
        </w:rPr>
        <w:t>(Ramsebner et al., 2021)</w:t>
      </w:r>
      <w:r w:rsidR="00B02FD3">
        <w:fldChar w:fldCharType="end"/>
      </w:r>
      <w:r w:rsidR="00B02FD3">
        <w:t>.</w:t>
      </w:r>
      <w:r w:rsidR="00454A12">
        <w:t xml:space="preserve"> </w:t>
      </w:r>
    </w:p>
    <w:p w14:paraId="6678B644" w14:textId="0EFEA08A" w:rsidR="002916BE" w:rsidRDefault="002916BE" w:rsidP="002916BE">
      <w:pPr>
        <w:pStyle w:val="SWCText"/>
      </w:pPr>
      <w:r w:rsidRPr="002916BE">
        <w:t xml:space="preserve">Flexible sector coupling (FSC) </w:t>
      </w:r>
      <w:r w:rsidR="00454A12">
        <w:t>extends this approach by</w:t>
      </w:r>
      <w:r w:rsidR="006C18B9">
        <w:t xml:space="preserve"> incorporating</w:t>
      </w:r>
      <w:r w:rsidRPr="002916BE">
        <w:t xml:space="preserve"> energy storage, allowing the moment of conversion to be separated from the moment of use </w:t>
      </w:r>
      <w:r w:rsidR="009126F3">
        <w:fldChar w:fldCharType="begin"/>
      </w:r>
      <w:r w:rsidR="009126F3">
        <w:instrText xml:space="preserve"> ADDIN ZOTERO_ITEM CSL_CITATION {"citationID":"F4SvYqmS","properties":{"unsorted":false,"formattedCitation":"(Hauer et al., 2024)","plainCitation":"(Hauer et al., 2024)","noteIndex":0},"citationItems":[{"id":330,"uris":["http://zotero.org/users/18628118/items/9MGTQCUG"],"itemData":{"id":330,"type":"book","abstract":"The main input to the future power grid will be renewable electricity by wind and PV. Reaching higher shares of fluctuating renewables in the power grid may cause a variety of problems. One option to tackle these challenges, is to distribute renewable electricity to the heating/cooling and the mobility sectors. \nFrom the consumer's perspective, future energy supply has to provide the energy form needed. The energy system has to be designed based on the actual demand. In developed countries, the thermal and the mobility sector are responsible for about 75% of the final energy demand. Thus, distributing renewable electricity to\nthe heating/cooling and the mobility sectors increases the share of renewable energy in the overall energy system.\nTask 35 of the IEA’s Energy Storage TCP worked on Flexible Sector Coupling (FSC) with energy storage and examined the role of energy storage in the FSC concept. Sectors are defined as the demand sectors electricity, heating/cooling, and mobility.\nWith the integration of different energy storage technologies, it is possible to supply a demand sector with previously stored renewable energy on demand. Thereby, energy storage adds flexibility to the overall energy system. Possible energy storage technologies are thermal, chemical, and electrical energy storage.\nAccording to the Task 35 FSC definition, five pathways starting from renewable electricity via the three types of energy storage to the two consumption sectors thermal and mobility are possible. Pathways include well-known concepts like Power-to-Heat, Power-to-Gas, Power-to-Fuel, and E-Mobility.","DOI":"10.13140/RG.2.2.25204.46724","source":"ResearchGate","title":"Task 35 Flexible Sector Coupling by the Implementation of Energy Storage Final Report","author":[{"family":"Hauer","given":"Andreas"},{"family":"Botzov","given":"Nikola"},{"family":"Corsetti","given":"Edoardo"},{"family":"Gunasekara","given":"Saman"},{"family":"Lund","given":"Rasmus"},{"family":"Martin","given":"Viktoria"},{"family":"Meister","given":"Curtis"},{"family":"Rathgeber","given":"Christoph"},{"family":"Ravotti","given":"Rebecca"},{"family":"Schilt","given":"Ueli"},{"family":"Scholten","given":"Thijs"},{"family":"Totschnig","given":"Gerhard"},{"family":"Helden","given":"Wim"}],"issued":{"date-parts":[["2024",12,2]]}}}],"schema":"https://github.com/citation-style-language/schema/raw/master/csl-citation.json"} </w:instrText>
      </w:r>
      <w:r w:rsidR="009126F3">
        <w:fldChar w:fldCharType="separate"/>
      </w:r>
      <w:r w:rsidR="009126F3">
        <w:rPr>
          <w:noProof/>
        </w:rPr>
        <w:t>(Hauer et al., 2024)</w:t>
      </w:r>
      <w:r w:rsidR="009126F3">
        <w:fldChar w:fldCharType="end"/>
      </w:r>
      <w:r w:rsidR="009126F3">
        <w:t>.</w:t>
      </w:r>
      <w:r w:rsidR="00AF7E85">
        <w:t xml:space="preserve"> </w:t>
      </w:r>
      <w:r w:rsidRPr="002916BE">
        <w:t xml:space="preserve">Buildings equipped with thermal energy storage (TES), building inertia thermal energy storage (BITES), or </w:t>
      </w:r>
      <w:r w:rsidR="00A51B6D">
        <w:t xml:space="preserve">electrochemical </w:t>
      </w:r>
      <w:r w:rsidRPr="002916BE">
        <w:t>battery energy storage systems (BESS)</w:t>
      </w:r>
      <w:r w:rsidR="0052702D">
        <w:t xml:space="preserve"> </w:t>
      </w:r>
      <w:r w:rsidR="0052702D">
        <w:rPr>
          <w:lang w:val="en-GB"/>
        </w:rPr>
        <w:t>combined with</w:t>
      </w:r>
      <w:r w:rsidR="0052702D" w:rsidRPr="00115DF0">
        <w:rPr>
          <w:lang w:val="en-GB"/>
        </w:rPr>
        <w:t xml:space="preserve"> e.g.</w:t>
      </w:r>
      <w:r w:rsidR="0052702D">
        <w:rPr>
          <w:lang w:val="en-GB"/>
        </w:rPr>
        <w:t xml:space="preserve"> </w:t>
      </w:r>
      <w:r w:rsidR="0052702D" w:rsidRPr="00115DF0">
        <w:rPr>
          <w:lang w:val="en-GB"/>
        </w:rPr>
        <w:t>HP</w:t>
      </w:r>
      <w:r w:rsidR="0052702D">
        <w:rPr>
          <w:lang w:val="en-GB"/>
        </w:rPr>
        <w:t>s</w:t>
      </w:r>
      <w:r w:rsidR="0052702D" w:rsidRPr="00115DF0">
        <w:rPr>
          <w:lang w:val="en-GB"/>
        </w:rPr>
        <w:t>, EB</w:t>
      </w:r>
      <w:r w:rsidR="0052702D">
        <w:rPr>
          <w:lang w:val="en-GB"/>
        </w:rPr>
        <w:t>s</w:t>
      </w:r>
      <w:r w:rsidR="00DE575E">
        <w:rPr>
          <w:lang w:val="en-GB"/>
        </w:rPr>
        <w:t xml:space="preserve"> and </w:t>
      </w:r>
      <w:r w:rsidR="0052702D" w:rsidRPr="00115DF0">
        <w:rPr>
          <w:lang w:val="en-GB"/>
        </w:rPr>
        <w:t>chiller</w:t>
      </w:r>
      <w:r w:rsidR="0052702D">
        <w:rPr>
          <w:lang w:val="en-GB"/>
        </w:rPr>
        <w:t>s</w:t>
      </w:r>
      <w:r w:rsidRPr="002916BE">
        <w:t xml:space="preserve"> can shift electrical demand, absorb </w:t>
      </w:r>
      <w:r w:rsidRPr="002916BE">
        <w:lastRenderedPageBreak/>
        <w:t xml:space="preserve">renewable surpluses, and provide </w:t>
      </w:r>
      <w:r w:rsidR="00DF1AAF">
        <w:t xml:space="preserve">FSC </w:t>
      </w:r>
      <w:r w:rsidRPr="002916BE">
        <w:t xml:space="preserve">services to both the electricity grid and the </w:t>
      </w:r>
      <w:r w:rsidR="005E2934">
        <w:t xml:space="preserve">heating </w:t>
      </w:r>
      <w:r w:rsidR="004968CE">
        <w:t xml:space="preserve">and cooling </w:t>
      </w:r>
      <w:r w:rsidR="005E2934">
        <w:t xml:space="preserve">systems, including </w:t>
      </w:r>
      <w:r w:rsidRPr="002916BE">
        <w:t>DH</w:t>
      </w:r>
      <w:r w:rsidR="004968CE">
        <w:t xml:space="preserve"> </w:t>
      </w:r>
      <w:r w:rsidR="004968CE">
        <w:fldChar w:fldCharType="begin"/>
      </w:r>
      <w:r w:rsidR="008B3037">
        <w:instrText xml:space="preserve"> ADDIN ZOTERO_ITEM CSL_CITATION {"citationID":"hVAPkG4D","properties":{"unsorted":false,"formattedCitation":"(Hauer et al., 2024)","plainCitation":"(Hauer et al., 2024)","noteIndex":0},"citationItems":[{"id":330,"uris":["http://zotero.org/users/18628118/items/9MGTQCUG"],"itemData":{"id":330,"type":"book","abstract":"The main input to the future power grid will be renewable electricity by wind and PV. Reaching higher shares of fluctuating renewables in the power grid may cause a variety of problems. One option to tackle these challenges, is to distribute renewable electricity to the heating/cooling and the mobility sectors. \nFrom the consumer's perspective, future energy supply has to provide the energy form needed. The energy system has to be designed based on the actual demand. In developed countries, the thermal and the mobility sector are responsible for about 75% of the final energy demand. Thus, distributing renewable electricity to\nthe heating/cooling and the mobility sectors increases the share of renewable energy in the overall energy system.\nTask 35 of the IEA’s Energy Storage TCP worked on Flexible Sector Coupling (FSC) with energy storage and examined the role of energy storage in the FSC concept. Sectors are defined as the demand sectors electricity, heating/cooling, and mobility.\nWith the integration of different energy storage technologies, it is possible to supply a demand sector with previously stored renewable energy on demand. Thereby, energy storage adds flexibility to the overall energy system. Possible energy storage technologies are thermal, chemical, and electrical energy storage.\nAccording to the Task 35 FSC definition, five pathways starting from renewable electricity via the three types of energy storage to the two consumption sectors thermal and mobility are possible. Pathways include well-known concepts like Power-to-Heat, Power-to-Gas, Power-to-Fuel, and E-Mobility.","DOI":"10.13140/RG.2.2.25204.46724","source":"ResearchGate","title":"Task 35 Flexible Sector Coupling by the Implementation of Energy Storage Final Report","author":[{"family":"Hauer","given":"Andreas"},{"family":"Botzov","given":"Nikola"},{"family":"Corsetti","given":"Edoardo"},{"family":"Gunasekara","given":"Saman"},{"family":"Lund","given":"Rasmus"},{"family":"Martin","given":"Viktoria"},{"family":"Meister","given":"Curtis"},{"family":"Rathgeber","given":"Christoph"},{"family":"Ravotti","given":"Rebecca"},{"family":"Schilt","given":"Ueli"},{"family":"Scholten","given":"Thijs"},{"family":"Totschnig","given":"Gerhard"},{"family":"Helden","given":"Wim"}],"issued":{"date-parts":[["2024",12,2]]}}}],"schema":"https://github.com/citation-style-language/schema/raw/master/csl-citation.json"} </w:instrText>
      </w:r>
      <w:r w:rsidR="004968CE">
        <w:fldChar w:fldCharType="separate"/>
      </w:r>
      <w:r w:rsidR="004968CE">
        <w:rPr>
          <w:noProof/>
        </w:rPr>
        <w:t>(Hauer et al., 2024)</w:t>
      </w:r>
      <w:r w:rsidR="004968CE">
        <w:fldChar w:fldCharType="end"/>
      </w:r>
      <w:r w:rsidRPr="002916BE">
        <w:t xml:space="preserve">. </w:t>
      </w:r>
      <w:r w:rsidR="00E94F72">
        <w:t>D</w:t>
      </w:r>
      <w:r w:rsidR="00AC698C">
        <w:t xml:space="preserve">istributed </w:t>
      </w:r>
      <w:r w:rsidR="00DE575E" w:rsidRPr="00115DF0">
        <w:rPr>
          <w:lang w:val="en-GB"/>
        </w:rPr>
        <w:t>solar photovoltaic (PV)</w:t>
      </w:r>
      <w:r w:rsidR="00903A31">
        <w:rPr>
          <w:lang w:val="en-GB"/>
        </w:rPr>
        <w:t xml:space="preserve"> </w:t>
      </w:r>
      <w:r w:rsidR="00AC698C">
        <w:rPr>
          <w:lang w:val="en-GB"/>
        </w:rPr>
        <w:t>generation through building installations c</w:t>
      </w:r>
      <w:r w:rsidR="00182C5A">
        <w:rPr>
          <w:lang w:val="en-GB"/>
        </w:rPr>
        <w:t xml:space="preserve">an also feed these </w:t>
      </w:r>
      <w:r w:rsidR="009949A1">
        <w:rPr>
          <w:lang w:val="en-GB"/>
        </w:rPr>
        <w:t xml:space="preserve">energy </w:t>
      </w:r>
      <w:r w:rsidR="00182C5A">
        <w:rPr>
          <w:lang w:val="en-GB"/>
        </w:rPr>
        <w:t>storage assets</w:t>
      </w:r>
      <w:r w:rsidR="009949A1">
        <w:rPr>
          <w:lang w:val="en-GB"/>
        </w:rPr>
        <w:t xml:space="preserve"> directly, extending the range of</w:t>
      </w:r>
      <w:r w:rsidR="00DF1AAF">
        <w:rPr>
          <w:lang w:val="en-GB"/>
        </w:rPr>
        <w:t xml:space="preserve"> FSC s</w:t>
      </w:r>
      <w:r w:rsidR="00967AD1">
        <w:rPr>
          <w:lang w:val="en-GB"/>
        </w:rPr>
        <w:t xml:space="preserve">ervices available at the building level. </w:t>
      </w:r>
      <w:r w:rsidR="0018411E">
        <w:t>Buildings</w:t>
      </w:r>
      <w:r w:rsidR="00797233">
        <w:t>, along with their energy storage,</w:t>
      </w:r>
      <w:r w:rsidRPr="002916BE">
        <w:t xml:space="preserve"> </w:t>
      </w:r>
      <w:r w:rsidR="00AF7E85">
        <w:t xml:space="preserve">can </w:t>
      </w:r>
      <w:r w:rsidRPr="002916BE">
        <w:t xml:space="preserve">function as distributed flexibility hubs within the broader energy system. </w:t>
      </w:r>
    </w:p>
    <w:p w14:paraId="422E0812" w14:textId="0FD5077B" w:rsidR="00D649B8" w:rsidRPr="00D649B8" w:rsidRDefault="00575CE1" w:rsidP="00D649B8">
      <w:pPr>
        <w:pStyle w:val="SWCText"/>
      </w:pPr>
      <w:r>
        <w:t>Although many of</w:t>
      </w:r>
      <w:r w:rsidR="00D649B8" w:rsidRPr="00D649B8">
        <w:t xml:space="preserve"> the technical conditions</w:t>
      </w:r>
      <w:r w:rsidR="00A0146D">
        <w:t xml:space="preserve"> are already in</w:t>
      </w:r>
      <w:r w:rsidR="00D649B8" w:rsidRPr="00D649B8">
        <w:t xml:space="preserve"> the Swedish building stock, the </w:t>
      </w:r>
      <w:r w:rsidR="008A56FD">
        <w:t xml:space="preserve">energy </w:t>
      </w:r>
      <w:r w:rsidR="00D649B8" w:rsidRPr="00D649B8">
        <w:t>storage configurations that make FSC operational have not been systematically mapped for the Swedish context. Available literature is largely theoretical or based on non-Swedish setting</w:t>
      </w:r>
      <w:r w:rsidR="006C5822">
        <w:t xml:space="preserve">s </w:t>
      </w:r>
      <w:r w:rsidR="006C5822">
        <w:fldChar w:fldCharType="begin"/>
      </w:r>
      <w:r w:rsidR="006C5822">
        <w:instrText xml:space="preserve"> ADDIN ZOTERO_ITEM CSL_CITATION {"citationID":"Yt13qfjW","properties":{"unsorted":false,"formattedCitation":"(Hauer et al., 2024; Pastore, 2026)","plainCitation":"(Hauer et al., 2024; Pastore, 2026)","noteIndex":0},"citationItems":[{"id":330,"uris":["http://zotero.org/users/18628118/items/9MGTQCUG"],"itemData":{"id":330,"type":"book","abstract":"The main input to the future power grid will be renewable electricity by wind and PV. Reaching higher shares of fluctuating renewables in the power grid may cause a variety of problems. One option to tackle these challenges, is to distribute renewable electricity to the heating/cooling and the mobility sectors. \nFrom the consumer's perspective, future energy supply has to provide the energy form needed. The energy system has to be designed based on the actual demand. In developed countries, the thermal and the mobility sector are responsible for about 75% of the final energy demand. Thus, distributing renewable electricity to\nthe heating/cooling and the mobility sectors increases the share of renewable energy in the overall energy system.\nTask 35 of the IEA’s Energy Storage TCP worked on Flexible Sector Coupling (FSC) with energy storage and examined the role of energy storage in the FSC concept. Sectors are defined as the demand sectors electricity, heating/cooling, and mobility.\nWith the integration of different energy storage technologies, it is possible to supply a demand sector with previously stored renewable energy on demand. Thereby, energy storage adds flexibility to the overall energy system. Possible energy storage technologies are thermal, chemical, and electrical energy storage.\nAccording to the Task 35 FSC definition, five pathways starting from renewable electricity via the three types of energy storage to the two consumption sectors thermal and mobility are possible. Pathways include well-known concepts like Power-to-Heat, Power-to-Gas, Power-to-Fuel, and E-Mobility.","DOI":"10.13140/RG.2.2.25204.46724","source":"ResearchGate","title":"Task 35 Flexible Sector Coupling by the Implementation of Energy Storage Final Report","author":[{"family":"Hauer","given":"Andreas"},{"family":"Botzov","given":"Nikola"},{"family":"Corsetti","given":"Edoardo"},{"family":"Gunasekara","given":"Saman"},{"family":"Lund","given":"Rasmus"},{"family":"Martin","given":"Viktoria"},{"family":"Meister","given":"Curtis"},{"family":"Rathgeber","given":"Christoph"},{"family":"Ravotti","given":"Rebecca"},{"family":"Schilt","given":"Ueli"},{"family":"Scholten","given":"Thijs"},{"family":"Totschnig","given":"Gerhard"},{"family":"Helden","given":"Wim"}],"issued":{"date-parts":[["2024",12,2]]}}},{"id":130,"uris":["http://zotero.org/users/18628118/items/IKUQ4NZH"],"itemData":{"id":130,"type":"article-journal","abstract":"Distributed energy systems (DESs) are crucial for renewable deployment, but decentralised generation substantially increases flexibility requirements. Flexibility is framed as a system property that emerges from the coordinated operation of demand, storage and dispatchable generation across multi-energy carriers. Demand response schemes and demand-side management can provide flexibility, but their effective potential is constrained by user participation. Sector-coupling strategies and energy storage systems enable temporal and cross-sector decoupling between renewable generation and demand. Electrochemical batteries are technically mature and well suited for short-term balancing, but costs and environmental impacts are significant. Power-to-Heat with heat pumps and thermal energy storage is a cost-effective solution, especially when combined with low-temperature district heating. Electric vehicles, when operated under smart-charging and vehicle-to-grid schemes, can shift large charging demands feeding energy into the grid, facing battery degradation and infrastructure costs. Power-to-Gas and Power-to-X use hydrogen and electrofuels as long-term storage but are penalised by low round-trip efficiencies and significant capital costs if power-to-power with fuel cells is applied. On the supply side, micro-CHP can provide dispatchable capacity when fuelled by renewable fuels and combined with seasonal storage. Costs and efficiencies are strongly scale-dependent, and markets, regulation, digital infrastructure and social acceptance are key enablers of flexibility.","container-title":"Sustainability","DOI":"10.3390/su18010437","ISSN":"2071-1050","issue":"1","language":"en","license":"http://creativecommons.org/licenses/by/3.0/","page":"437","publisher":"Multidisciplinary Digital Publishing Institute","source":"www.mdpi.com","title":"Sector Coupling and Flexibility Measures in Distributed Renewable Energy Systems: A Comprehensive Review","title-short":"Sector Coupling and Flexibility Measures in Distributed Renewable Energy Systems","volume":"18","author":[{"family":"Pastore","given":"Lorenzo Mario"}],"issued":{"date-parts":[["2026",1]]}}}],"schema":"https://github.com/citation-style-language/schema/raw/master/csl-citation.json"} </w:instrText>
      </w:r>
      <w:r w:rsidR="006C5822">
        <w:fldChar w:fldCharType="separate"/>
      </w:r>
      <w:r w:rsidR="006C5822">
        <w:rPr>
          <w:noProof/>
        </w:rPr>
        <w:t>(Hauer et al., 2024; Pastore, 2026)</w:t>
      </w:r>
      <w:r w:rsidR="006C5822">
        <w:fldChar w:fldCharType="end"/>
      </w:r>
      <w:r w:rsidR="00D649B8" w:rsidRPr="00D649B8">
        <w:t xml:space="preserve">. </w:t>
      </w:r>
      <w:r w:rsidR="006B5E61" w:rsidRPr="006B5E61">
        <w:t xml:space="preserve">The control standards and digital interfaces needed to connect assets at the building level to FSC services remain fragmented </w:t>
      </w:r>
      <w:r w:rsidR="006B5E61">
        <w:fldChar w:fldCharType="begin"/>
      </w:r>
      <w:r w:rsidR="005F6F0E">
        <w:instrText xml:space="preserve"> ADDIN ZOTERO_ITEM CSL_CITATION {"citationID":"Hnd4ynCE","properties":{"unsorted":false,"formattedCitation":"(O\\uc0\\u380{}adowicz, 2022)","plainCitation":"(Ożadowicz, 2022)","noteIndex":0},"citationItems":[{"id":309,"uris":["http://zotero.org/users/18628118/items/BPABD2EL"],"itemData":{"id":309,"type":"article-journal","abstract":"Improving energy efficiency and increasing the level of intelligence are two main factors determining the current development trends for new and modernized buildings. They are especially important in the perspective of development of prosumer installations and local microgrids. A key tool to achieve these goals is a well-designed and implemented Building Automation and Control System (BACS). This paper presents a new hybrid approach to the design and technical organization of BACS based on the provisions of the EN 15232 standard and the guidelines of the Smart Readiness Indicator (SRI) defined in the Energy Performance of Buildings Directive 2018 (EPBD 2018). The main assumptions of this hybrid approach along with examples of functional BACS designs for small prosumer installations organized according to them are provided. Potential impact on building energy performance is discussed as well. Finally, a SWOT analysis of the possibility of merging the EN 15232 standard guidelines and the SRI assessment methodology to develop uniform technical guidelines for the BACS functions design and evaluation of their impact on the buildings’ energy efficiency are discussed.","container-title":"Energies","DOI":"10.3390/en15041432","ISSN":"1996-1073","issue":"4","language":"en","license":"http://creativecommons.org/licenses/by/3.0/","page":"1432","publisher":"Multidisciplinary Digital Publishing Institute","source":"www.mdpi.com","title":"A Hybrid Approach in Design of Building Energy Management System with Smart Readiness Indicator and Building as a Service Concept","volume":"15","author":[{"family":"Ożadowicz","given":"Andrzej"}],"issued":{"date-parts":[["2022",1]]}}}],"schema":"https://github.com/citation-style-language/schema/raw/master/csl-citation.json"} </w:instrText>
      </w:r>
      <w:r w:rsidR="006B5E61">
        <w:fldChar w:fldCharType="separate"/>
      </w:r>
      <w:r w:rsidR="005F6F0E" w:rsidRPr="006E721C">
        <w:rPr>
          <w:lang w:eastAsia="fr-FR"/>
        </w:rPr>
        <w:t>(Ożadowicz, 2022)</w:t>
      </w:r>
      <w:r w:rsidR="006B5E61">
        <w:fldChar w:fldCharType="end"/>
      </w:r>
      <w:r w:rsidR="006B5E61">
        <w:t xml:space="preserve">. </w:t>
      </w:r>
      <w:r w:rsidR="003E6066">
        <w:t>K</w:t>
      </w:r>
      <w:r w:rsidR="003E6066" w:rsidRPr="003E6066">
        <w:t>ey performance indicator (KPI)</w:t>
      </w:r>
      <w:r w:rsidR="006E721C" w:rsidRPr="006E721C">
        <w:t xml:space="preserve"> frameworks for evaluating building flexibility exist </w:t>
      </w:r>
      <w:r w:rsidR="005E465A">
        <w:fldChar w:fldCharType="begin"/>
      </w:r>
      <w:r w:rsidR="003E497B">
        <w:instrText xml:space="preserve"> ADDIN ZOTERO_ITEM CSL_CITATION {"citationID":"ZBGn9lm1","properties":{"unsorted":false,"formattedCitation":"(Air\\uc0\\u242{} Farulla et al., 2021; Hauer et al., 2024; Johra et al., 2023)","plainCitation":"(Airò Farulla et al., 2021; Hauer et al., 2024; Johra et al., 2023)","noteIndex":0},"citationItems":[{"id":338,"uris":["http://zotero.org/users/18628118/items/VSLBZF7E"],"itemData":{"id":338,"type":"article-journal","abstract":"The transition to a sustainable society and a carbon-neutral economy by 2050 requires extensive deployment of renewable energy sources that, due to the aleatority and non-programmability of most of them, may seriously affect the stability of existing power grids. In this context, buildings are increasingly being seen as a potential source of energy flexibility for the power grid. In literature, key performance indicators, allowing different aspects of the load management, are used to investigate buildings’ energy flexibility. The paper reviews existing indicators developed in the context of theoretical, experimental and numerical studies on flexible buildings, outlining the current status and the potential future perspective. Moreover, the paper briefly reviews the range of grid services that flexible buildings can provide to support the reliability of the electric power system which is potentially challenged by the increasing interconnection of distributed variable renewable generation.","container-title":"Energies","DOI":"10.3390/en14185676","ISSN":"1996-1073","issue":"18","language":"en","license":"http://creativecommons.org/licenses/by/3.0/","page":"5676","publisher":"Multidisciplinary Digital Publishing Institute","source":"www.mdpi.com","title":"A Review of Key Performance Indicators for Building Flexibility Quantification to Support the Clean Energy Transition","volume":"14","author":[{"family":"Airò Farulla","given":"Girolama"},{"family":"Tumminia","given":"Giovanni"},{"family":"Sergi","given":"Francesco"},{"family":"Aloisio","given":"Davide"},{"family":"Cellura","given":"Maurizio"},{"family":"Antonucci","given":"Vincenzo"},{"family":"Ferraro","given":"Marco"}],"issued":{"date-parts":[["2021",1]]}}},{"id":330,"uris":["http://zotero.org/users/18628118/items/9MGTQCUG"],"itemData":{"id":330,"type":"book","abstract":"The main input to the future power grid will be renewable electricity by wind and PV. Reaching higher shares of fluctuating renewables in the power grid may cause a variety of problems. One option to tackle these challenges, is to distribute renewable electricity to the heating/cooling and the mobility sectors. \nFrom the consumer's perspective, future energy supply has to provide the energy form needed. The energy system has to be designed based on the actual demand. In developed countries, the thermal and the mobility sector are responsible for about 75% of the final energy demand. Thus, distributing renewable electricity to\nthe heating/cooling and the mobility sectors increases the share of renewable energy in the overall energy system.\nTask 35 of the IEA’s Energy Storage TCP worked on Flexible Sector Coupling (FSC) with energy storage and examined the role of energy storage in the FSC concept. Sectors are defined as the demand sectors electricity, heating/cooling, and mobility.\nWith the integration of different energy storage technologies, it is possible to supply a demand sector with previously stored renewable energy on demand. Thereby, energy storage adds flexibility to the overall energy system. Possible energy storage technologies are thermal, chemical, and electrical energy storage.\nAccording to the Task 35 FSC definition, five pathways starting from renewable electricity via the three types of energy storage to the two consumption sectors thermal and mobility are possible. Pathways include well-known concepts like Power-to-Heat, Power-to-Gas, Power-to-Fuel, and E-Mobility.","DOI":"10.13140/RG.2.2.25204.46724","source":"ResearchGate","title":"Task 35 Flexible Sector Coupling by the Implementation of Energy Storage Final Report","author":[{"family":"Hauer","given":"Andreas"},{"family":"Botzov","given":"Nikola"},{"family":"Corsetti","given":"Edoardo"},{"family":"Gunasekara","given":"Saman"},{"family":"Lund","given":"Rasmus"},{"family":"Martin","given":"Viktoria"},{"family":"Meister","given":"Curtis"},{"family":"Rathgeber","given":"Christoph"},{"family":"Ravotti","given":"Rebecca"},{"family":"Schilt","given":"Ueli"},{"family":"Scholten","given":"Thijs"},{"family":"Totschnig","given":"Gerhard"},{"family":"Helden","given":"Wim"}],"issued":{"date-parts":[["2024",12,2]]}}},{"id":340,"uris":["http://zotero.org/users/18628118/items/WWTN7AP9"],"itemData":{"id":340,"type":"paper-conference","abstract":"Within the IEA EBC Annex 81 – “data-driven smart buildings”, the sub-task C3 – “Building-to-Grid (B2G) applications” focuses on developing an online platform to gather, evaluate, compare, present and promote concrete cases in which a building or cluster of buildings provide service to the energy grid such as demand response (DR). To that end, the sub-task addresses some important research gaps such as context, definitions and key performance indicators (KPIs) for building energy flexibility (EF) assessment and the heterogeneity of data representations in datasets of B2G services. It provides an overview of the data-driven KPIs for EF assessment, discusses open datasets of buildings performing DR, and proposes a framework to standardize KPIs’ definition and dataset collection. This framework uses semantic principles and a Python package to harmonize required and available data from KPIs and B2G datasets. It thus streamlines the computation of EF assessments, which are implemented in an online platform. This paper presents the results, conclusions and perspectives on B2G applications that can be drawn from sub-task C3.","collection-title":"Building Simulation","DOI":"10.26868/25222708.2023.1305","event-title":"Building Simulation 2023","language":"en-US","page":"2530-2537","publisher":"IBPSA","source":"publications.ibpsa.org","title":"IEA EBC Annex 81 – Data-driven smart buildings: Building-to-grid applications","title-short":"IEA EBC Annex 81 – Data-driven smart buildings","URL":"https://publications.ibpsa.org/conference/paper/?id=bs2023_1305","volume":"18","author":[{"family":"Johra","given":"Hicham"},{"family":"Li","given":"Han"},{"family":"Pereira","given":"Flavia de Andrade"},{"family":"Nweye","given":"Kingsley"},{"family":"Chamari","given":"Lasitha"},{"family":"Nagy","given":"Zoltan"}],"accessed":{"date-parts":[["2026",3,6]]},"issued":{"date-parts":[["2023"]]}}}],"schema":"https://github.com/citation-style-language/schema/raw/master/csl-citation.json"} </w:instrText>
      </w:r>
      <w:r w:rsidR="005E465A">
        <w:fldChar w:fldCharType="separate"/>
      </w:r>
      <w:r w:rsidR="003E497B" w:rsidRPr="003E497B">
        <w:rPr>
          <w:lang w:eastAsia="fr-FR"/>
        </w:rPr>
        <w:t>(Airò Farulla et al., 2021; Hauer et al., 2024; Johra et al., 2023)</w:t>
      </w:r>
      <w:r w:rsidR="005E465A">
        <w:fldChar w:fldCharType="end"/>
      </w:r>
      <w:r w:rsidR="006E721C" w:rsidRPr="006E721C">
        <w:t>, but none has been tested against the regulatory constraints and implementation barriers present in the Swedish context.</w:t>
      </w:r>
    </w:p>
    <w:p w14:paraId="24E7E4B8" w14:textId="05B47B73" w:rsidR="00603447" w:rsidRPr="00D649B8" w:rsidRDefault="00D649B8" w:rsidP="002916BE">
      <w:pPr>
        <w:pStyle w:val="SWCText"/>
      </w:pPr>
      <w:r w:rsidRPr="00D649B8">
        <w:t>T</w:t>
      </w:r>
      <w:r w:rsidR="00BE0B22">
        <w:t>his article</w:t>
      </w:r>
      <w:r w:rsidR="00626469">
        <w:t xml:space="preserve"> identifies </w:t>
      </w:r>
      <w:r w:rsidRPr="00D649B8">
        <w:t>representative building and district typologies</w:t>
      </w:r>
      <w:r w:rsidR="00626469">
        <w:t xml:space="preserve"> fo</w:t>
      </w:r>
      <w:r w:rsidR="00533AC4">
        <w:t>r</w:t>
      </w:r>
      <w:r w:rsidR="00626469">
        <w:t xml:space="preserve"> </w:t>
      </w:r>
      <w:r w:rsidR="00AD42FB">
        <w:t xml:space="preserve">the </w:t>
      </w:r>
      <w:r w:rsidR="00626469">
        <w:t>Swedish</w:t>
      </w:r>
      <w:r w:rsidR="00976E34">
        <w:t xml:space="preserve"> context</w:t>
      </w:r>
      <w:r w:rsidRPr="00D649B8">
        <w:t>,</w:t>
      </w:r>
      <w:r w:rsidR="0053356D">
        <w:t xml:space="preserve"> </w:t>
      </w:r>
      <w:r w:rsidRPr="00D649B8">
        <w:t>map</w:t>
      </w:r>
      <w:r w:rsidR="00533AC4">
        <w:t>s the</w:t>
      </w:r>
      <w:r w:rsidR="00EE7938">
        <w:t xml:space="preserve"> </w:t>
      </w:r>
      <w:r w:rsidRPr="00D649B8">
        <w:t>FSC configurations</w:t>
      </w:r>
      <w:r w:rsidR="00976E34">
        <w:t xml:space="preserve"> applicable to each</w:t>
      </w:r>
      <w:r w:rsidRPr="00D649B8">
        <w:t>, and evaluat</w:t>
      </w:r>
      <w:r w:rsidR="00976E34">
        <w:t>es</w:t>
      </w:r>
      <w:r w:rsidRPr="00D649B8">
        <w:t xml:space="preserve"> them across six domains: energy, economic, environmental, flexibility, grid interaction, and digital readiness.</w:t>
      </w:r>
      <w:r w:rsidR="00C93761">
        <w:t xml:space="preserve"> </w:t>
      </w:r>
      <w:r w:rsidR="004615D9">
        <w:t>For that,</w:t>
      </w:r>
      <w:r w:rsidR="00C93761">
        <w:t xml:space="preserve"> t</w:t>
      </w:r>
      <w:r w:rsidRPr="00D649B8">
        <w:t xml:space="preserve">he analysis </w:t>
      </w:r>
      <w:r w:rsidR="007149A8">
        <w:t>combines</w:t>
      </w:r>
      <w:r w:rsidRPr="00D649B8">
        <w:t xml:space="preserve"> a structured literature review </w:t>
      </w:r>
      <w:r w:rsidR="007149A8">
        <w:t>with</w:t>
      </w:r>
      <w:r w:rsidRPr="00D649B8">
        <w:t xml:space="preserve"> semi-structured interviews with </w:t>
      </w:r>
      <w:r w:rsidR="00D223BB">
        <w:t xml:space="preserve">relevant key </w:t>
      </w:r>
      <w:r w:rsidRPr="00D649B8">
        <w:t>Swedish stakeholders</w:t>
      </w:r>
      <w:r w:rsidR="00D223BB">
        <w:t xml:space="preserve"> in the context of buildings and their energy systems</w:t>
      </w:r>
      <w:r w:rsidRPr="00D649B8">
        <w:t xml:space="preserve">. </w:t>
      </w:r>
    </w:p>
    <w:p w14:paraId="378F0C31" w14:textId="5B3DA1E5" w:rsidR="00D32EF0" w:rsidRPr="00115DF0" w:rsidRDefault="0031080C" w:rsidP="002916BE">
      <w:pPr>
        <w:pStyle w:val="SWCHeading1"/>
        <w:rPr>
          <w:lang w:val="en-GB"/>
        </w:rPr>
      </w:pPr>
      <w:r w:rsidRPr="00115DF0">
        <w:rPr>
          <w:lang w:val="en-GB"/>
        </w:rPr>
        <w:t xml:space="preserve">Methodology </w:t>
      </w:r>
    </w:p>
    <w:p w14:paraId="15D422DD" w14:textId="5622ED77" w:rsidR="00A64EBA" w:rsidRDefault="00026577" w:rsidP="003C784C">
      <w:pPr>
        <w:pStyle w:val="SWCText"/>
        <w:rPr>
          <w:lang w:val="en-GB"/>
        </w:rPr>
      </w:pPr>
      <w:r>
        <w:rPr>
          <w:lang w:val="en-GB"/>
        </w:rPr>
        <w:t xml:space="preserve">Two </w:t>
      </w:r>
      <w:r w:rsidR="003C784C" w:rsidRPr="003C784C">
        <w:rPr>
          <w:lang w:val="en-GB"/>
        </w:rPr>
        <w:t>sources</w:t>
      </w:r>
      <w:r>
        <w:rPr>
          <w:lang w:val="en-GB"/>
        </w:rPr>
        <w:t xml:space="preserve"> inform the analysis</w:t>
      </w:r>
      <w:r w:rsidR="003C784C" w:rsidRPr="003C784C">
        <w:rPr>
          <w:lang w:val="en-GB"/>
        </w:rPr>
        <w:t>: a structured literature review and eleven semi-structured stakeholder interviews</w:t>
      </w:r>
      <w:r w:rsidR="008B62F1">
        <w:rPr>
          <w:lang w:val="en-GB"/>
        </w:rPr>
        <w:t xml:space="preserve">. Data from both are </w:t>
      </w:r>
      <w:r w:rsidR="003C784C" w:rsidRPr="00890D93">
        <w:t>analyzed</w:t>
      </w:r>
      <w:r w:rsidR="005058F8">
        <w:t xml:space="preserve"> independently</w:t>
      </w:r>
      <w:r w:rsidR="003C784C" w:rsidRPr="003C784C">
        <w:rPr>
          <w:lang w:val="en-GB"/>
        </w:rPr>
        <w:t xml:space="preserve"> and then compared </w:t>
      </w:r>
      <w:r w:rsidR="004F3B08">
        <w:rPr>
          <w:lang w:val="en-GB"/>
        </w:rPr>
        <w:t xml:space="preserve">to </w:t>
      </w:r>
      <w:r w:rsidR="00FE76A6">
        <w:rPr>
          <w:lang w:val="en-GB"/>
        </w:rPr>
        <w:t xml:space="preserve">address </w:t>
      </w:r>
      <w:r w:rsidR="004F3B08">
        <w:rPr>
          <w:lang w:val="en-GB"/>
        </w:rPr>
        <w:t>each</w:t>
      </w:r>
      <w:r w:rsidR="003C784C" w:rsidRPr="003C784C">
        <w:rPr>
          <w:lang w:val="en-GB"/>
        </w:rPr>
        <w:t xml:space="preserve"> </w:t>
      </w:r>
      <w:r w:rsidR="006302F5">
        <w:rPr>
          <w:lang w:val="en-GB"/>
        </w:rPr>
        <w:t xml:space="preserve">of </w:t>
      </w:r>
      <w:r w:rsidR="00FE76A6">
        <w:rPr>
          <w:lang w:val="en-GB"/>
        </w:rPr>
        <w:t xml:space="preserve">the </w:t>
      </w:r>
      <w:r w:rsidR="006302F5">
        <w:rPr>
          <w:lang w:val="en-GB"/>
        </w:rPr>
        <w:t xml:space="preserve">six </w:t>
      </w:r>
      <w:r w:rsidR="003C784C" w:rsidRPr="003C784C">
        <w:rPr>
          <w:lang w:val="en-GB"/>
        </w:rPr>
        <w:t>research question</w:t>
      </w:r>
      <w:r w:rsidR="00A64EBA">
        <w:rPr>
          <w:lang w:val="en-GB"/>
        </w:rPr>
        <w:t>s.</w:t>
      </w:r>
    </w:p>
    <w:p w14:paraId="6DFABE18" w14:textId="5DE4D344" w:rsidR="006C2FAF" w:rsidRPr="006C2FAF" w:rsidRDefault="006C2FAF" w:rsidP="005F45D8">
      <w:pPr>
        <w:pStyle w:val="SWCBulletedList"/>
      </w:pPr>
      <w:r w:rsidRPr="006C2FAF">
        <w:t>RQ1: What energy storage technologies are available in buildings and districts, and how do they perform across short, medium, and long</w:t>
      </w:r>
      <w:r w:rsidR="00685D19">
        <w:t>-</w:t>
      </w:r>
      <w:r w:rsidRPr="006C2FAF">
        <w:t>term timescales?</w:t>
      </w:r>
    </w:p>
    <w:p w14:paraId="475BA2AB" w14:textId="634DA7DF" w:rsidR="006C2FAF" w:rsidRPr="006C2FAF" w:rsidRDefault="006C2FAF" w:rsidP="005F45D8">
      <w:pPr>
        <w:pStyle w:val="SWCBulletedList"/>
      </w:pPr>
      <w:r w:rsidRPr="006C2FAF">
        <w:t>RQ2: How can storage technologies enable FSC between thermal and electrical systems, and what services can they provide to both sectors?</w:t>
      </w:r>
    </w:p>
    <w:p w14:paraId="217C4F04" w14:textId="3E3D7C7F" w:rsidR="006C2FAF" w:rsidRPr="006C2FAF" w:rsidRDefault="006C2FAF" w:rsidP="005F45D8">
      <w:pPr>
        <w:pStyle w:val="SWCBulletedList"/>
      </w:pPr>
      <w:r w:rsidRPr="006C2FAF">
        <w:t>RQ3: Which configurations have the greatest potential to facilitate renewable generation through storage in Swedish buildings?</w:t>
      </w:r>
    </w:p>
    <w:p w14:paraId="38F01E93" w14:textId="7689B24D" w:rsidR="006C2FAF" w:rsidRPr="006C2FAF" w:rsidRDefault="006C2FAF" w:rsidP="005F45D8">
      <w:pPr>
        <w:pStyle w:val="SWCBulletedList"/>
      </w:pPr>
      <w:r w:rsidRPr="006C2FAF">
        <w:t>RQ4: Which KPIs are most suitable to evaluate FSC services provided by energy storage in buildings?</w:t>
      </w:r>
    </w:p>
    <w:p w14:paraId="46045015" w14:textId="77777777" w:rsidR="0096521F" w:rsidRDefault="006C2FAF" w:rsidP="0096521F">
      <w:pPr>
        <w:pStyle w:val="SWCBulletedList"/>
      </w:pPr>
      <w:r w:rsidRPr="006C2FAF">
        <w:t xml:space="preserve">RQ5: </w:t>
      </w:r>
      <w:r w:rsidR="0096521F" w:rsidRPr="0096521F">
        <w:t>What digital maturity do FSC configurations require for monitoring, control, and interoperability?</w:t>
      </w:r>
    </w:p>
    <w:p w14:paraId="5F5B165E" w14:textId="7763AD82" w:rsidR="00FE76A6" w:rsidRDefault="006C2FAF" w:rsidP="0096521F">
      <w:pPr>
        <w:pStyle w:val="SWCBulletedList"/>
      </w:pPr>
      <w:r w:rsidRPr="006C2FAF">
        <w:t>RQ6: What technical, economic, social, and regulatory drivers and barriers influence the adoption of FSC</w:t>
      </w:r>
      <w:r w:rsidR="00685D19">
        <w:t>-</w:t>
      </w:r>
      <w:r w:rsidRPr="006C2FAF">
        <w:t>enabled buildings as flexibility hubs?</w:t>
      </w:r>
    </w:p>
    <w:p w14:paraId="4C9972F2" w14:textId="3DB45785" w:rsidR="003C784C" w:rsidRPr="003C784C" w:rsidRDefault="00086712" w:rsidP="003C784C">
      <w:pPr>
        <w:pStyle w:val="SWCText"/>
        <w:rPr>
          <w:lang w:val="en-GB"/>
        </w:rPr>
      </w:pPr>
      <w:r>
        <w:rPr>
          <w:lang w:val="en-GB"/>
        </w:rPr>
        <w:fldChar w:fldCharType="begin"/>
      </w:r>
      <w:r>
        <w:rPr>
          <w:lang w:val="en-GB"/>
        </w:rPr>
        <w:instrText xml:space="preserve"> REF _Ref238210265 \h </w:instrText>
      </w:r>
      <w:r>
        <w:rPr>
          <w:lang w:val="en-GB"/>
        </w:rPr>
      </w:r>
      <w:r>
        <w:rPr>
          <w:lang w:val="en-GB"/>
        </w:rPr>
        <w:fldChar w:fldCharType="separate"/>
      </w:r>
      <w:r w:rsidR="0030162C">
        <w:t xml:space="preserve">Fig. </w:t>
      </w:r>
      <w:r w:rsidR="0030162C">
        <w:rPr>
          <w:noProof/>
        </w:rPr>
        <w:t>1</w:t>
      </w:r>
      <w:r>
        <w:rPr>
          <w:lang w:val="en-GB"/>
        </w:rPr>
        <w:fldChar w:fldCharType="end"/>
      </w:r>
      <w:r w:rsidR="003C784C" w:rsidRPr="003C784C">
        <w:rPr>
          <w:lang w:val="en-GB"/>
        </w:rPr>
        <w:t xml:space="preserve"> </w:t>
      </w:r>
      <w:r w:rsidR="00161DDA">
        <w:rPr>
          <w:lang w:val="en-GB"/>
        </w:rPr>
        <w:t>shows</w:t>
      </w:r>
      <w:r w:rsidR="000B30EB">
        <w:rPr>
          <w:lang w:val="en-GB"/>
        </w:rPr>
        <w:t xml:space="preserve"> how</w:t>
      </w:r>
      <w:r w:rsidR="003C784C" w:rsidRPr="003C784C">
        <w:rPr>
          <w:lang w:val="en-GB"/>
        </w:rPr>
        <w:t xml:space="preserve"> the three main components</w:t>
      </w:r>
      <w:r w:rsidR="000B30EB">
        <w:rPr>
          <w:lang w:val="en-GB"/>
        </w:rPr>
        <w:t xml:space="preserve"> relate</w:t>
      </w:r>
      <w:r w:rsidR="003C784C" w:rsidRPr="003C784C">
        <w:rPr>
          <w:lang w:val="en-GB"/>
        </w:rPr>
        <w:t xml:space="preserve"> and</w:t>
      </w:r>
      <w:r w:rsidR="000B30EB">
        <w:rPr>
          <w:lang w:val="en-GB"/>
        </w:rPr>
        <w:t xml:space="preserve"> which</w:t>
      </w:r>
      <w:r w:rsidR="003C784C" w:rsidRPr="003C784C">
        <w:rPr>
          <w:lang w:val="en-GB"/>
        </w:rPr>
        <w:t xml:space="preserve"> research questions each one addresses.</w:t>
      </w:r>
    </w:p>
    <w:p w14:paraId="4A624C42" w14:textId="77777777" w:rsidR="00937DD4" w:rsidRDefault="00890D93" w:rsidP="00937DD4">
      <w:pPr>
        <w:pStyle w:val="SWCText"/>
        <w:keepNext/>
        <w:jc w:val="center"/>
      </w:pPr>
      <w:r>
        <w:rPr>
          <w:noProof/>
          <w:lang w:val="en-GB"/>
        </w:rPr>
        <w:drawing>
          <wp:inline distT="0" distB="0" distL="0" distR="0" wp14:anchorId="400FAA72" wp14:editId="02765A4F">
            <wp:extent cx="3153368" cy="2169268"/>
            <wp:effectExtent l="0" t="0" r="0" b="2540"/>
            <wp:docPr id="13187123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712354" name="Imagen 131871235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47739" cy="2234188"/>
                    </a:xfrm>
                    <a:prstGeom prst="rect">
                      <a:avLst/>
                    </a:prstGeom>
                  </pic:spPr>
                </pic:pic>
              </a:graphicData>
            </a:graphic>
          </wp:inline>
        </w:drawing>
      </w:r>
    </w:p>
    <w:p w14:paraId="72C478C7" w14:textId="0D8E9967" w:rsidR="00FA405A" w:rsidRDefault="00937DD4" w:rsidP="0030495F">
      <w:pPr>
        <w:pStyle w:val="SWCTableFigureCaption"/>
      </w:pPr>
      <w:bookmarkStart w:id="0" w:name="_Ref238210265"/>
      <w:r>
        <w:t xml:space="preserve">Fig. </w:t>
      </w:r>
      <w:r>
        <w:fldChar w:fldCharType="begin"/>
      </w:r>
      <w:r>
        <w:instrText xml:space="preserve"> SEQ Fig. \* ARABIC </w:instrText>
      </w:r>
      <w:r>
        <w:fldChar w:fldCharType="separate"/>
      </w:r>
      <w:r w:rsidR="0030162C">
        <w:rPr>
          <w:noProof/>
        </w:rPr>
        <w:t>1</w:t>
      </w:r>
      <w:r>
        <w:fldChar w:fldCharType="end"/>
      </w:r>
      <w:bookmarkEnd w:id="0"/>
      <w:r>
        <w:t xml:space="preserve">: Research process overview: sequential flow from literature review and framework development through stakeholder </w:t>
      </w:r>
      <w:r w:rsidR="00CD16C7" w:rsidRPr="00CD16C7">
        <w:t>interviews to comparative analysis and results, with research question coverage indicated per method.</w:t>
      </w:r>
    </w:p>
    <w:p w14:paraId="0B943A35" w14:textId="0F609593" w:rsidR="0040536A" w:rsidRDefault="00CC6879" w:rsidP="00603A11">
      <w:pPr>
        <w:pStyle w:val="SWCText"/>
      </w:pPr>
      <w:r w:rsidRPr="00CC6879">
        <w:lastRenderedPageBreak/>
        <w:t xml:space="preserve">As </w:t>
      </w:r>
      <w:r w:rsidR="00D6456F">
        <w:fldChar w:fldCharType="begin"/>
      </w:r>
      <w:r w:rsidR="00D6456F">
        <w:instrText xml:space="preserve"> REF _Ref238210265 \h </w:instrText>
      </w:r>
      <w:r w:rsidR="00D6456F">
        <w:fldChar w:fldCharType="separate"/>
      </w:r>
      <w:r w:rsidR="00D6456F">
        <w:t xml:space="preserve">Fig. </w:t>
      </w:r>
      <w:r w:rsidR="00D6456F">
        <w:rPr>
          <w:noProof/>
        </w:rPr>
        <w:t>1</w:t>
      </w:r>
      <w:r w:rsidR="00D6456F">
        <w:fldChar w:fldCharType="end"/>
      </w:r>
      <w:r w:rsidR="00D6456F">
        <w:t xml:space="preserve"> </w:t>
      </w:r>
      <w:r w:rsidR="0041607C">
        <w:t>shows</w:t>
      </w:r>
      <w:r w:rsidRPr="00CC6879">
        <w:t xml:space="preserve">, the literature review </w:t>
      </w:r>
      <w:r w:rsidR="00603A11" w:rsidRPr="00603A11">
        <w:t>addresses primarily RQ1–RQ3</w:t>
      </w:r>
      <w:r w:rsidR="00FF38F0">
        <w:t xml:space="preserve"> </w:t>
      </w:r>
      <w:r w:rsidR="007E3DC6">
        <w:t>and establishes the analytical framework</w:t>
      </w:r>
      <w:r w:rsidR="00603A11" w:rsidRPr="00603A11">
        <w:t>,</w:t>
      </w:r>
      <w:r w:rsidR="00234CE6">
        <w:t xml:space="preserve"> while the interviews address </w:t>
      </w:r>
      <w:r w:rsidR="00876C4C">
        <w:t>primarily</w:t>
      </w:r>
      <w:r w:rsidR="00234CE6">
        <w:t xml:space="preserve"> RQ4-RQ6</w:t>
      </w:r>
      <w:r w:rsidR="0040536A">
        <w:t xml:space="preserve"> and capture conditions absent from published sources.</w:t>
      </w:r>
    </w:p>
    <w:p w14:paraId="13BCDB91" w14:textId="61900C72" w:rsidR="00571ACE" w:rsidRPr="00571ACE" w:rsidRDefault="00571ACE" w:rsidP="00373469">
      <w:pPr>
        <w:pStyle w:val="SWCHeading11"/>
      </w:pPr>
      <w:r w:rsidRPr="00571ACE">
        <w:t xml:space="preserve">2.1. </w:t>
      </w:r>
      <w:r w:rsidRPr="00F96BBC">
        <w:t xml:space="preserve">Literature </w:t>
      </w:r>
      <w:r w:rsidRPr="00373469">
        <w:rPr>
          <w:lang w:val="en-US"/>
        </w:rPr>
        <w:t>Review</w:t>
      </w:r>
      <w:r w:rsidRPr="00F96BBC">
        <w:t xml:space="preserve"> and Technology Mapping</w:t>
      </w:r>
    </w:p>
    <w:p w14:paraId="18F5B38C" w14:textId="3E8178ED" w:rsidR="001C176E" w:rsidRPr="00B52F28" w:rsidRDefault="00571ACE" w:rsidP="00A76BF1">
      <w:pPr>
        <w:pStyle w:val="SWCText"/>
      </w:pPr>
      <w:r w:rsidRPr="00B52F28">
        <w:t xml:space="preserve">The literature search covered six thematic areas: (1) energy storage technologies in buildings and district energy systems, covering TES, BESS, and BITES; (2) FSC configurations and flexibility services; (3) </w:t>
      </w:r>
      <w:r w:rsidR="009F40DD">
        <w:t xml:space="preserve">energy </w:t>
      </w:r>
      <w:r w:rsidRPr="00B52F28">
        <w:t>conversion and renewable generation systems, including</w:t>
      </w:r>
      <w:r w:rsidR="000D6A5C">
        <w:t xml:space="preserve"> HPs</w:t>
      </w:r>
      <w:r w:rsidRPr="00B52F28">
        <w:t xml:space="preserve">, </w:t>
      </w:r>
      <w:r w:rsidR="00206C4E">
        <w:t>EB</w:t>
      </w:r>
      <w:r w:rsidR="000D6A5C">
        <w:t>s</w:t>
      </w:r>
      <w:r w:rsidRPr="00B52F28">
        <w:t xml:space="preserve">, </w:t>
      </w:r>
      <w:r w:rsidR="00A76BF1">
        <w:t xml:space="preserve">and </w:t>
      </w:r>
      <w:r w:rsidRPr="00B52F28">
        <w:t xml:space="preserve">PV; (4) digital capabilities and interoperability standards; (5) KPIs for FSC evaluation; and (6) drivers and barriers for FSC adoption in Sweden. </w:t>
      </w:r>
      <w:r w:rsidR="00D43F24">
        <w:t xml:space="preserve">Online publication searches were conducted </w:t>
      </w:r>
      <w:r w:rsidR="009E74FB">
        <w:t>targeting scientific articles, reports</w:t>
      </w:r>
      <w:r w:rsidR="007B5843">
        <w:t>, websites</w:t>
      </w:r>
      <w:r w:rsidR="002A6A56">
        <w:t>,</w:t>
      </w:r>
      <w:r w:rsidR="009E74FB">
        <w:t xml:space="preserve"> and similar </w:t>
      </w:r>
      <w:r w:rsidR="00664136">
        <w:t xml:space="preserve">sources </w:t>
      </w:r>
      <w:r w:rsidR="00D43F24">
        <w:t>(e.g.</w:t>
      </w:r>
      <w:r w:rsidR="005E24CE">
        <w:t>,</w:t>
      </w:r>
      <w:r w:rsidR="00D43F24">
        <w:t xml:space="preserve"> </w:t>
      </w:r>
      <w:r w:rsidRPr="00B52F28">
        <w:t>Google Scholar</w:t>
      </w:r>
      <w:r w:rsidR="00D43F24">
        <w:t xml:space="preserve">, </w:t>
      </w:r>
      <w:r w:rsidR="002D15D6">
        <w:t>Elsevier</w:t>
      </w:r>
      <w:r w:rsidRPr="00B52F28">
        <w:t>, ResearchGate, MDPI, KTH library subscriptions</w:t>
      </w:r>
      <w:r w:rsidR="00A475D9">
        <w:t xml:space="preserve">, </w:t>
      </w:r>
      <w:r w:rsidR="002A6A56">
        <w:t>and related scientific databases</w:t>
      </w:r>
      <w:r w:rsidRPr="00B52F28">
        <w:t xml:space="preserve">. </w:t>
      </w:r>
      <w:r w:rsidR="009E74FB">
        <w:t xml:space="preserve">Among reports, particularly the </w:t>
      </w:r>
      <w:r w:rsidR="003E6066" w:rsidRPr="003E6066">
        <w:t xml:space="preserve">International Energy Agency (IEA) </w:t>
      </w:r>
      <w:r w:rsidRPr="00B52F28">
        <w:t xml:space="preserve">Energy Storage Task 35 and selected IEA </w:t>
      </w:r>
      <w:r w:rsidR="003E6066" w:rsidRPr="003E6066">
        <w:t xml:space="preserve">Energy in Buildings and Communities (EBC) </w:t>
      </w:r>
      <w:r w:rsidRPr="00B52F28">
        <w:t xml:space="preserve">Annex publications </w:t>
      </w:r>
      <w:r w:rsidR="00770454">
        <w:t>are included</w:t>
      </w:r>
      <w:r w:rsidRPr="00B52F28">
        <w:t>. The search concentrated on the last decade</w:t>
      </w:r>
      <w:r w:rsidR="00770454">
        <w:t xml:space="preserve"> (2016-2026)</w:t>
      </w:r>
      <w:r w:rsidRPr="00B52F28">
        <w:t xml:space="preserve">. </w:t>
      </w:r>
      <w:r w:rsidR="00FA04A6">
        <w:t>The search</w:t>
      </w:r>
      <w:r w:rsidR="00AB6E9A">
        <w:t xml:space="preserve"> prioritized p</w:t>
      </w:r>
      <w:r w:rsidRPr="00B52F28">
        <w:t>eer-reviewed journal articles, recent reviews, conference proceedings, and IEA institutional reports on buildings, district heating, and Swedish or European energy system conditions</w:t>
      </w:r>
      <w:r w:rsidR="005E24CE">
        <w:t>.</w:t>
      </w:r>
    </w:p>
    <w:p w14:paraId="4F320648" w14:textId="2C5C0A8A" w:rsidR="001C176E" w:rsidRPr="001C176E" w:rsidRDefault="001C176E" w:rsidP="00A47E35">
      <w:pPr>
        <w:pStyle w:val="SWCHeading11"/>
        <w:rPr>
          <w:lang w:val="en-US"/>
        </w:rPr>
      </w:pPr>
      <w:r w:rsidRPr="001C176E">
        <w:rPr>
          <w:lang w:val="en-US"/>
        </w:rPr>
        <w:t xml:space="preserve">2.2. </w:t>
      </w:r>
      <w:r w:rsidRPr="001C176E">
        <w:t>Analytical</w:t>
      </w:r>
      <w:r w:rsidRPr="001C176E">
        <w:rPr>
          <w:lang w:val="en-US"/>
        </w:rPr>
        <w:t xml:space="preserve"> Frameworks</w:t>
      </w:r>
      <w:r w:rsidR="00D4349E" w:rsidRPr="00D4349E">
        <w:t xml:space="preserve"> </w:t>
      </w:r>
    </w:p>
    <w:p w14:paraId="0AFAF476" w14:textId="155A7FE9" w:rsidR="001C176E" w:rsidRPr="001C176E" w:rsidRDefault="00E8278B" w:rsidP="001C176E">
      <w:pPr>
        <w:pStyle w:val="SWCText"/>
      </w:pPr>
      <w:bookmarkStart w:id="1" w:name="OLE_LINK1"/>
      <w:r w:rsidRPr="00E8278B">
        <w:t>The analysis uses two frameworks built from the literature</w:t>
      </w:r>
      <w:r w:rsidR="0078176A">
        <w:t xml:space="preserve"> findings</w:t>
      </w:r>
      <w:r w:rsidRPr="00E8278B">
        <w:t>.</w:t>
      </w:r>
      <w:r>
        <w:t xml:space="preserve"> </w:t>
      </w:r>
      <w:r w:rsidR="00BC0C63">
        <w:t>The first defines KPIs across six domains. Five were grounded in</w:t>
      </w:r>
      <w:r w:rsidR="009E1ED4" w:rsidRPr="009E1ED4">
        <w:t xml:space="preserve"> the multi-dimensional FSC assessment approach of the IEA Energy Storage Task 35</w:t>
      </w:r>
      <w:r w:rsidR="009E1ED4">
        <w:t xml:space="preserve"> </w:t>
      </w:r>
      <w:r w:rsidR="0099061B">
        <w:fldChar w:fldCharType="begin"/>
      </w:r>
      <w:r w:rsidR="00613138">
        <w:instrText xml:space="preserve"> ADDIN ZOTERO_ITEM CSL_CITATION {"citationID":"BinY4K58","properties":{"unsorted":false,"formattedCitation":"(Hauer et al., 2024)","plainCitation":"(Hauer et al., 2024)","noteIndex":0},"citationItems":[{"id":330,"uris":["http://zotero.org/users/18628118/items/9MGTQCUG"],"itemData":{"id":330,"type":"book","abstract":"The main input to the future power grid will be renewable electricity by wind and PV. Reaching higher shares of fluctuating renewables in the power grid may cause a variety of problems. One option to tackle these challenges, is to distribute renewable electricity to the heating/cooling and the mobility sectors. \nFrom the consumer's perspective, future energy supply has to provide the energy form needed. The energy system has to be designed based on the actual demand. In developed countries, the thermal and the mobility sector are responsible for about 75% of the final energy demand. Thus, distributing renewable electricity to\nthe heating/cooling and the mobility sectors increases the share of renewable energy in the overall energy system.\nTask 35 of the IEA’s Energy Storage TCP worked on Flexible Sector Coupling (FSC) with energy storage and examined the role of energy storage in the FSC concept. Sectors are defined as the demand sectors electricity, heating/cooling, and mobility.\nWith the integration of different energy storage technologies, it is possible to supply a demand sector with previously stored renewable energy on demand. Thereby, energy storage adds flexibility to the overall energy system. Possible energy storage technologies are thermal, chemical, and electrical energy storage.\nAccording to the Task 35 FSC definition, five pathways starting from renewable electricity via the three types of energy storage to the two consumption sectors thermal and mobility are possible. Pathways include well-known concepts like Power-to-Heat, Power-to-Gas, Power-to-Fuel, and E-Mobility.","DOI":"10.13140/RG.2.2.25204.46724","source":"ResearchGate","title":"Task 35 Flexible Sector Coupling by the Implementation of Energy Storage Final Report","author":[{"family":"Hauer","given":"Andreas"},{"family":"Botzov","given":"Nikola"},{"family":"Corsetti","given":"Edoardo"},{"family":"Gunasekara","given":"Saman"},{"family":"Lund","given":"Rasmus"},{"family":"Martin","given":"Viktoria"},{"family":"Meister","given":"Curtis"},{"family":"Rathgeber","given":"Christoph"},{"family":"Ravotti","given":"Rebecca"},{"family":"Schilt","given":"Ueli"},{"family":"Scholten","given":"Thijs"},{"family":"Totschnig","given":"Gerhard"},{"family":"Helden","given":"Wim"}],"issued":{"date-parts":[["2024",12,2]]}}}],"schema":"https://github.com/citation-style-language/schema/raw/master/csl-citation.json"} </w:instrText>
      </w:r>
      <w:r w:rsidR="0099061B">
        <w:fldChar w:fldCharType="separate"/>
      </w:r>
      <w:r w:rsidR="00613138">
        <w:rPr>
          <w:noProof/>
        </w:rPr>
        <w:t>(Hauer et al., 2024)</w:t>
      </w:r>
      <w:r w:rsidR="0099061B">
        <w:fldChar w:fldCharType="end"/>
      </w:r>
      <w:r w:rsidR="001C176E" w:rsidRPr="001C176E">
        <w:t>: energy, economic, environmental, flexibility, and grid interaction. The study adds a sixth domain, digital, to capture the measurable smart readiness of building systems</w:t>
      </w:r>
      <w:r w:rsidR="00741F06">
        <w:t xml:space="preserve"> </w:t>
      </w:r>
      <w:r w:rsidR="00741F06">
        <w:fldChar w:fldCharType="begin"/>
      </w:r>
      <w:r w:rsidR="00D8279C">
        <w:instrText xml:space="preserve"> ADDIN ZOTERO_ITEM CSL_CITATION {"citationID":"B6RDRlzN","properties":{"unsorted":false,"formattedCitation":"(O\\uc0\\u380{}adowicz, 2022)","plainCitation":"(Ożadowicz, 2022)","noteIndex":0},"citationItems":[{"id":309,"uris":["http://zotero.org/users/18628118/items/BPABD2EL"],"itemData":{"id":309,"type":"article-journal","abstract":"Improving energy efficiency and increasing the level of intelligence are two main factors determining the current development trends for new and modernized buildings. They are especially important in the perspective of development of prosumer installations and local microgrids. A key tool to achieve these goals is a well-designed and implemented Building Automation and Control System (BACS). This paper presents a new hybrid approach to the design and technical organization of BACS based on the provisions of the EN 15232 standard and the guidelines of the Smart Readiness Indicator (SRI) defined in the Energy Performance of Buildings Directive 2018 (EPBD 2018). The main assumptions of this hybrid approach along with examples of functional BACS designs for small prosumer installations organized according to them are provided. Potential impact on building energy performance is discussed as well. Finally, a SWOT analysis of the possibility of merging the EN 15232 standard guidelines and the SRI assessment methodology to develop uniform technical guidelines for the BACS functions design and evaluation of their impact on the buildings’ energy efficiency are discussed.","container-title":"Energies","DOI":"10.3390/en15041432","ISSN":"1996-1073","issue":"4","language":"en","license":"http://creativecommons.org/licenses/by/3.0/","page":"1432","publisher":"Multidisciplinary Digital Publishing Institute","source":"www.mdpi.com","title":"A Hybrid Approach in Design of Building Energy Management System with Smart Readiness Indicator and Building as a Service Concept","volume":"15","author":[{"family":"Ożadowicz","given":"Andrzej"}],"issued":{"date-parts":[["2022",1]]}}}],"schema":"https://github.com/citation-style-language/schema/raw/master/csl-citation.json"} </w:instrText>
      </w:r>
      <w:r w:rsidR="00741F06">
        <w:fldChar w:fldCharType="separate"/>
      </w:r>
      <w:r w:rsidR="00D8279C" w:rsidRPr="00D8279C">
        <w:rPr>
          <w:lang w:eastAsia="fr-FR"/>
        </w:rPr>
        <w:t>(Ożadowicz, 2022)</w:t>
      </w:r>
      <w:r w:rsidR="00741F06">
        <w:fldChar w:fldCharType="end"/>
      </w:r>
      <w:r w:rsidR="00B07B62">
        <w:t xml:space="preserve">. </w:t>
      </w:r>
      <w:r w:rsidR="001C176E" w:rsidRPr="001C176E">
        <w:t>KPIs within each domain were drawn from review papers on building flexibility and demand response</w:t>
      </w:r>
      <w:r w:rsidR="001A5788">
        <w:t xml:space="preserve"> </w:t>
      </w:r>
      <w:r w:rsidR="001A5788">
        <w:fldChar w:fldCharType="begin"/>
      </w:r>
      <w:r w:rsidR="007035A9">
        <w:instrText xml:space="preserve"> ADDIN ZOTERO_ITEM CSL_CITATION {"citationID":"FjFSSN57","properties":{"unsorted":false,"formattedCitation":"(Air\\uc0\\u242{} Farulla et al., 2021; Pallonetto et al., 2021)","plainCitation":"(Airò Farulla et al., 2021; Pallonetto et al., 2021)","noteIndex":0},"citationItems":[{"id":338,"uris":["http://zotero.org/users/18628118/items/VSLBZF7E"],"itemData":{"id":338,"type":"article-journal","abstract":"The transition to a sustainable society and a carbon-neutral economy by 2050 requires extensive deployment of renewable energy sources that, due to the aleatority and non-programmability of most of them, may seriously affect the stability of existing power grids. In this context, buildings are increasingly being seen as a potential source of energy flexibility for the power grid. In literature, key performance indicators, allowing different aspects of the load management, are used to investigate buildings’ energy flexibility. The paper reviews existing indicators developed in the context of theoretical, experimental and numerical studies on flexible buildings, outlining the current status and the potential future perspective. Moreover, the paper briefly reviews the range of grid services that flexible buildings can provide to support the reliability of the electric power system which is potentially challenged by the increasing interconnection of distributed variable renewable generation.","container-title":"Energies","DOI":"10.3390/en14185676","ISSN":"1996-1073","issue":"18","language":"en","license":"http://creativecommons.org/licenses/by/3.0/","page":"5676","publisher":"Multidisciplinary Digital Publishing Institute","source":"www.mdpi.com","title":"A Review of Key Performance Indicators for Building Flexibility Quantification to Support the Clean Energy Transition","volume":"14","author":[{"family":"Airò Farulla","given":"Girolama"},{"family":"Tumminia","given":"Giovanni"},{"family":"Sergi","given":"Francesco"},{"family":"Aloisio","given":"Davide"},{"family":"Cellura","given":"Maurizio"},{"family":"Antonucci","given":"Vincenzo"},{"family":"Ferraro","given":"Marco"}],"issued":{"date-parts":[["2021",1]]}}},{"id":160,"uris":["http://zotero.org/users/18628118/items/U9FIMKTP"],"itemData":{"id":160,"type":"article-journal","abstract":"The present paper investigates the impact of advanced control algorithms on harnessing building energy ﬂexibility in a smart-grid ready full-electric residential building. The impact on thermal comfort is also analysed. The building is located in Ireland and is equipped with a geotherm</w:instrText>
      </w:r>
      <w:r w:rsidR="007035A9" w:rsidRPr="00F1338D">
        <w:rPr>
          <w:lang w:val="da-DK"/>
        </w:rPr>
        <w:instrText xml:space="preserve">al heat pump and a thermal energy storage system. Two Energy Management systems, based on rule-based and intelligent optimisation algorithm approaches, are developed which use real-time building smart meter and weather data. This data is utilised by various dynamic </w:instrText>
      </w:r>
      <w:r w:rsidR="007035A9">
        <w:instrText>ﬂ</w:instrText>
      </w:r>
      <w:r w:rsidR="007035A9" w:rsidRPr="00F1338D">
        <w:rPr>
          <w:lang w:val="da-DK"/>
        </w:rPr>
        <w:instrText xml:space="preserve">exibility metrics within the respective control algorithms. Different time of use tariffs, based on data from the Irish Commission for Energy Regulation and structured on the basis of peak, off-peak and night periods, are also used. Results show that energy cost reductions of up to 21% and 43% can be achieved by the rule-based and intelligent algorithm, respectively, without compromising the thermal comfort within the building. Moreover, total shifting and forcing </w:instrText>
      </w:r>
      <w:r w:rsidR="007035A9">
        <w:instrText>ﬂ</w:instrText>
      </w:r>
      <w:r w:rsidR="007035A9" w:rsidRPr="00F1338D">
        <w:rPr>
          <w:lang w:val="da-DK"/>
        </w:rPr>
        <w:instrText xml:space="preserve">exibility potential of up to 34 and 54 kWh, respectively, based on the month of January, can be achieved by the adoption of the intelligent control algorithm.","container-title":"Smart Energy","DOI":"10.1016/j.segy.2021.100017","ISSN":"26669552","journalAbbreviation":"Smart Energy","language":"en","page":"100017","source":"DOI.org (Crossref)","title":"Impact of intelligent control algorithms on demand response flexibility and thermal comfort in a smart grid ready residential building","volume":"2","author":[{"family":"Pallonetto","given":"Fabiano"},{"family":"De Rosa","given":"Mattia"},{"family":"Finn","given":"Donal P."}],"issued":{"date-parts":[["2021",5]]}}}],"schema":"https://github.com/citation-style-language/schema/raw/master/csl-citation.json"} </w:instrText>
      </w:r>
      <w:r w:rsidR="001A5788">
        <w:fldChar w:fldCharType="separate"/>
      </w:r>
      <w:r w:rsidR="007035A9" w:rsidRPr="00F1338D">
        <w:rPr>
          <w:lang w:val="da-DK" w:eastAsia="fr-FR"/>
        </w:rPr>
        <w:t>(Airò Farulla et al., 2021; Pallonetto et al., 2021)</w:t>
      </w:r>
      <w:r w:rsidR="001A5788">
        <w:fldChar w:fldCharType="end"/>
      </w:r>
      <w:r w:rsidR="007035A9" w:rsidRPr="00F1338D">
        <w:rPr>
          <w:lang w:val="da-DK"/>
        </w:rPr>
        <w:t xml:space="preserve"> </w:t>
      </w:r>
      <w:r w:rsidR="001C176E" w:rsidRPr="00F1338D">
        <w:rPr>
          <w:lang w:val="da-DK"/>
        </w:rPr>
        <w:t>and from IEA EBC Annex 81</w:t>
      </w:r>
      <w:r w:rsidR="00C618FF">
        <w:rPr>
          <w:lang w:val="da-DK"/>
        </w:rPr>
        <w:t xml:space="preserve"> </w:t>
      </w:r>
      <w:r w:rsidR="00EF3969">
        <w:fldChar w:fldCharType="begin"/>
      </w:r>
      <w:r w:rsidR="00EF3969" w:rsidRPr="00F1338D">
        <w:rPr>
          <w:lang w:val="da-DK"/>
        </w:rPr>
        <w:instrText xml:space="preserve"> ADDIN ZOTERO_ITEM CSL_CITATION {"citationID":"PZtAieOT","properties":{"unsorted":false,"formattedCitation":"(Johra et al., 2023)","plainCitation":"(Johra et al., 2023)","noteIndex":0},"citationItems":[{"id":340,"uris":["http://zotero.org/users/18628118/items/WWTN7AP9"],"itemData":{"id":340,"type":"paper-conference","abstract":"Within the IEA EBC Annex 81 – “data-driven smart buildings”, the sub-task C3 – “Building-to-Grid (B2G) applications” focuses on developing an online platform to gather, evaluate, compare, present and promote concrete cases in which a building or cluster of buildings provide service to the energy grid such as demand response (DR). To that end, the sub-task addresses some important research gaps such as context, definitions and key performance indicators (KPIs) for building energy flexibil</w:instrText>
      </w:r>
      <w:r w:rsidR="00EF3969" w:rsidRPr="00BA639B">
        <w:instrText>ity (EF) assessment and the heterogeneity of data representations in datasets of B2G services. It provides an overview of the data-driven KPIs for EF assessment, discusses open datasets of buildings performing DR, and proposes a framework to standardize KPIs’ definition and dataset collection. This framework uses semantic principles and a Python package to harmonize required and available data from KPIs and B2G datasets. It thus streamlines the computation of EF assessments, which are implemented in an online platform. This paper presents the results, conclusions and perspectives on B2G app</w:instrText>
      </w:r>
      <w:r w:rsidR="00EF3969" w:rsidRPr="00B736ED">
        <w:instrText>lications that can be drawn from sub-task C3.</w:instrText>
      </w:r>
      <w:r w:rsidR="00EF3969">
        <w:instrText xml:space="preserve">","collection-title":"Building Simulation","DOI":"10.26868/25222708.2023.1305","event-title":"Building Simulation 2023","language":"en-US","page":"2530-2537","publisher":"IBPSA","source":"publications.ibpsa.org","title":"IEA EBC Annex 81 – Data-driven smart buildings: Building-to-grid applications","title-short":"IEA EBC Annex 81 – Data-driven smart buildings","URL":"https://publications.ibpsa.org/conference/paper/?id=bs2023_1305","volume":"18","author":[{"family":"Johra","given":"Hicham"},{"family":"Li","given":"Han"},{"family":"Pereira","given":"Flavia de Andrade"},{"family":"Nweye","given":"Kingsley"},{"family":"Chamari","given":"Lasitha"},{"family":"Nagy","given":"Zoltan"}],"accessed":{"date-parts":[["2026",3,6]]},"issued":{"date-parts":[["2023"]]}}}],"schema":"https://github.com/citation-style-language/schema/raw/master/csl-citation.json"} </w:instrText>
      </w:r>
      <w:r w:rsidR="00EF3969">
        <w:fldChar w:fldCharType="separate"/>
      </w:r>
      <w:r w:rsidR="00EF3969">
        <w:rPr>
          <w:noProof/>
        </w:rPr>
        <w:t>(Johra et al., 2023)</w:t>
      </w:r>
      <w:r w:rsidR="00EF3969">
        <w:fldChar w:fldCharType="end"/>
      </w:r>
      <w:r w:rsidR="001C176E" w:rsidRPr="001C176E">
        <w:t xml:space="preserve"> and the IEA Task 35 final report </w:t>
      </w:r>
      <w:r w:rsidR="00EF3969">
        <w:fldChar w:fldCharType="begin"/>
      </w:r>
      <w:r w:rsidR="0002469D">
        <w:instrText xml:space="preserve"> ADDIN ZOTERO_ITEM CSL_CITATION {"citationID":"V3annrJB","properties":{"unsorted":false,"formattedCitation":"(Hauer et al., 2024)","plainCitation":"(Hauer et al., 2024)","noteIndex":0},"citationItems":[{"id":330,"uris":["http://zotero.org/users/18628118/items/9MGTQCUG"],"itemData":{"id":330,"type":"book","abstract":"The main input to the future power grid will be renewable electricity by wind and PV. Reaching higher shares of fluctuating renewables in the power grid may cause a variety of problems. One option to tackle these challenges, is to distribute renewable electricity to the heating/cooling and the mobility sectors. \nFrom the consumer's perspective, future energy supply has to provide the energy form needed. The energy system has to be designed based on the actual demand. In developed countries, the thermal and the mobility sector are responsible for about 75% of the final energy demand. Thus, distributing renewable electricity to\nthe heating/cooling and the mobility sectors increases the share of renewable energy in the overall energy system.\nTask 35 of the IEA’s Energy Storage TCP worked on Flexible Sector Coupling (FSC) with energy storage and examined the role of energy storage in the FSC concept. Sectors are defined as the demand sectors electricity, heating/cooling, and mobility.\nWith the integration of different energy storage technologies, it is possible to supply a demand sector with previously stored renewable energy on demand. Thereby, energy storage adds flexibility to the overall energy system. Possible energy storage technologies are thermal, chemical, and electrical energy storage.\nAccording to the Task 35 FSC definition, five pathways starting from renewable electricity via the three types of energy storage to the two consumption sectors thermal and mobility are possible. Pathways include well-known concepts like Power-to-Heat, Power-to-Gas, Power-to-Fuel, and E-Mobility.","DOI":"10.13140/RG.2.2.25204.46724","source":"ResearchGate","title":"Task 35 Flexible Sector Coupling by the Implementation of Energy Storage Final Report","author":[{"family":"Hauer","given":"Andreas"},{"family":"Botzov","given":"Nikola"},{"family":"Corsetti","given":"Edoardo"},{"family":"Gunasekara","given":"Saman"},{"family":"Lund","given":"Rasmus"},{"family":"Martin","given":"Viktoria"},{"family":"Meister","given":"Curtis"},{"family":"Rathgeber","given":"Christoph"},{"family":"Ravotti","given":"Rebecca"},{"family":"Schilt","given":"Ueli"},{"family":"Scholten","given":"Thijs"},{"family":"Totschnig","given":"Gerhard"},{"family":"Helden","given":"Wim"}],"issued":{"date-parts":[["2024",12,2]]}}}],"schema":"https://github.com/citation-style-language/schema/raw/master/csl-citation.json"} </w:instrText>
      </w:r>
      <w:r w:rsidR="00EF3969">
        <w:fldChar w:fldCharType="separate"/>
      </w:r>
      <w:r w:rsidR="0002469D">
        <w:rPr>
          <w:noProof/>
        </w:rPr>
        <w:t>(Hauer et al., 2024)</w:t>
      </w:r>
      <w:r w:rsidR="00EF3969">
        <w:fldChar w:fldCharType="end"/>
      </w:r>
      <w:r w:rsidR="001C176E" w:rsidRPr="001C176E">
        <w:t>. Only indicators appearing consistently across these sources as relevant to flexibility</w:t>
      </w:r>
      <w:r w:rsidR="00A76BF1">
        <w:t xml:space="preserve"> enabled by </w:t>
      </w:r>
      <w:r w:rsidR="00231DAC">
        <w:t xml:space="preserve">energy </w:t>
      </w:r>
      <w:r w:rsidR="00A76BF1">
        <w:t>storage</w:t>
      </w:r>
      <w:r w:rsidR="001C176E" w:rsidRPr="001C176E">
        <w:t xml:space="preserve"> were </w:t>
      </w:r>
      <w:r w:rsidR="00CD1D10">
        <w:t>retain</w:t>
      </w:r>
      <w:r w:rsidR="00764774">
        <w:t>ed</w:t>
      </w:r>
      <w:r w:rsidR="001C176E" w:rsidRPr="001C176E">
        <w:t>.</w:t>
      </w:r>
    </w:p>
    <w:p w14:paraId="0FD671A3" w14:textId="339589ED" w:rsidR="006E219B" w:rsidRDefault="001C176E" w:rsidP="007C1632">
      <w:pPr>
        <w:pStyle w:val="SWCText"/>
      </w:pPr>
      <w:r w:rsidRPr="001C176E">
        <w:t>The second framework identifies the minimum digital capabilities each FSC configuration must have to function. It adapts two European standards to the Swedish building context: the Smart Readiness Indicator (SRI)</w:t>
      </w:r>
      <w:r w:rsidR="00E07BA0">
        <w:t xml:space="preserve"> </w:t>
      </w:r>
      <w:r w:rsidR="00D906E1">
        <w:fldChar w:fldCharType="begin"/>
      </w:r>
      <w:r w:rsidR="0048781F">
        <w:instrText xml:space="preserve"> ADDIN ZOTERO_ITEM CSL_CITATION {"citationID":"pbNAkxOF","properties":{"unsorted":false,"formattedCitation":"(European Commission, 2020)","plainCitation":"(European Commission, 2020)","noteIndex":0},"citationItems":[{"id":561,"uris":["http://zotero.org/users/18628118/items/P49RLFXJ"],"itemData":{"id":561,"type":"webpage","abstract":"The smart readiness indicator rating of a building depends on its capacity to accommodate smart-ready services.","container-title":"Smart readiness indicator","language":"en","title":"Smart readiness indicator - European Commission","URL":"https://energy.ec.europa.eu/topics/energy-efficiency/energy-performance-buildings/smart-readiness-indicator_en","author":[{"literal":"European Commission"}],"accessed":{"date-parts":[["2026",9,8]]},"issued":{"date-parts":[["2020"]]}}}],"schema":"https://github.com/citation-style-language/schema/raw/master/csl-citation.json"} </w:instrText>
      </w:r>
      <w:r w:rsidR="00D906E1">
        <w:fldChar w:fldCharType="separate"/>
      </w:r>
      <w:r w:rsidR="0048781F">
        <w:rPr>
          <w:noProof/>
        </w:rPr>
        <w:t>(European Commission, 2020)</w:t>
      </w:r>
      <w:r w:rsidR="00D906E1">
        <w:fldChar w:fldCharType="end"/>
      </w:r>
      <w:r w:rsidRPr="001C176E">
        <w:t>, introduced under the revised Energy Performance of Buildings Directive</w:t>
      </w:r>
      <w:r w:rsidR="00AB0FE3">
        <w:t xml:space="preserve"> </w:t>
      </w:r>
      <w:r w:rsidR="00AB0FE3">
        <w:fldChar w:fldCharType="begin"/>
      </w:r>
      <w:r w:rsidR="00B02864">
        <w:instrText xml:space="preserve"> ADDIN ZOTERO_ITEM CSL_CITATION {"citationID":"12BMQe2J","properties":{"unsorted":false,"formattedCitation":"(European Commission, 2026)","plainCitation":"(European Commission, 2026)","noteIndex":0},"citationItems":[{"id":563,"uris":["http://zotero.org/users/18628118/items/PVIDGA22"],"itemData":{"id":563,"type":"webpage","abstract":"The directive sets out a range of measures to help boost the energy efficiency of buildings across Europe.","container-title":"Energy Performance of Buildings Directive","language":"en","title":"Energy Performance of Buildings Directive","URL":"https://energy.ec.europa.eu/topics/energy-efficiency/energy-performance-buildings/energy-performance-buildings-directive_en","author":[{"literal":"European Commission"}],"accessed":{"date-parts":[["2026",9,8]]},"issued":{"date-parts":[["2026"]]}}}],"schema":"https://github.com/citation-style-language/schema/raw/master/csl-citation.json"} </w:instrText>
      </w:r>
      <w:r w:rsidR="00AB0FE3">
        <w:fldChar w:fldCharType="separate"/>
      </w:r>
      <w:r w:rsidR="00B02864">
        <w:rPr>
          <w:noProof/>
        </w:rPr>
        <w:t>(European Commission, 2026)</w:t>
      </w:r>
      <w:r w:rsidR="00AB0FE3">
        <w:fldChar w:fldCharType="end"/>
      </w:r>
      <w:r w:rsidRPr="001C176E">
        <w:t>, and EN ISO 52120-1</w:t>
      </w:r>
      <w:r w:rsidR="008421AA">
        <w:t xml:space="preserve"> </w:t>
      </w:r>
      <w:r w:rsidR="00C55701">
        <w:fldChar w:fldCharType="begin"/>
      </w:r>
      <w:r w:rsidR="00C55701">
        <w:instrText xml:space="preserve"> ADDIN ZOTERO_ITEM CSL_CITATION {"citationID":"Mxn1bOzH","properties":{"unsorted":false,"formattedCitation":"(ISO, 2021)","plainCitation":"(ISO, 2021)","noteIndex":0},"citationItems":[{"id":565,"uris":["http://zotero.org/users/18628118/items/8T48VW4G"],"itemData":{"id":565,"type":"webpage","abstract":"Energy performance of buildings — Contribution of building automation, controls and building management — Part 1: General framework and procedures","container-title":"ISO 52120-1:2021","language":"en","title":"ISO 52120-1:2021","title-short":"ISO 52120-1","URL":"https://www.iso.org/standard/65883.html","author":[{"literal":"ISO"}],"accessed":{"date-parts":[["2026",9,8]]},"issued":{"date-parts":[["2021"]]}}}],"schema":"https://github.com/citation-style-language/schema/raw/master/csl-citation.json"} </w:instrText>
      </w:r>
      <w:r w:rsidR="00C55701">
        <w:fldChar w:fldCharType="separate"/>
      </w:r>
      <w:r w:rsidR="00C55701">
        <w:rPr>
          <w:noProof/>
        </w:rPr>
        <w:t>(ISO, 2021)</w:t>
      </w:r>
      <w:r w:rsidR="00C55701">
        <w:fldChar w:fldCharType="end"/>
      </w:r>
      <w:r w:rsidRPr="001C176E">
        <w:t xml:space="preserve">, which classifies building automation and control functions by their contribution to energy performance </w:t>
      </w:r>
      <w:r w:rsidR="001A2527">
        <w:fldChar w:fldCharType="begin"/>
      </w:r>
      <w:r w:rsidR="006071E3">
        <w:instrText xml:space="preserve"> ADDIN ZOTERO_ITEM CSL_CITATION {"citationID":"b5AYycmp","properties":{"unsorted":false,"formattedCitation":"(Plienaitis et al., 2023; Walczyk and O\\uc0\\u380{}adowicz, 2025)","plainCitation":"(Plienaitis et al., 2023; Walczyk and Ożadowicz, 2025)","noteIndex":0},"citationItems":[{"id":386,"uris":["http://zotero.org/users/18628118/items/JKBZPNKS"],"itemData":{"id":386,"type":"article-journal","abstract":"The Smart Readiness Indicator (SRI) is an assessment scheme for the intelligence of buildings, which was introduced by the European Commission in the directive for the Energy Performance of Buildings in 2018. Since its introduction, many activities related to the maturation and employment of the SRI have been initiated. One of the adaptation needs of the SRI, revealed through public consultation with relevant stakeholders, is the requirement for a tailored SRI for different types of buildings. The aim of this study is to analyze possible scenarios to optimize the smartness performance, as addressed by the SRI score, in educational buildings. The subject of this study concerned campus buildings of the Kaunas University of Technology, in Lithuania. For the definition of the SRI, the calculation sheet developed by the European Commission was used. The effect of the improvements in the smartness performance of buildings on their energy efficiency was examined with the use of a whole-building, BIM-based energy assessment tool (IDA-ICE). The findings of this study revealed that despite the improvement in the automation and control levels of the building heating system, the maximum SRI values achieved deviate significantly by a high-smartness level. This study revealed the importance of services at a city level towards achieving the optimal smartness levels at a building unit level. It also delivered useful findings related to the linkage between energy and smartness performance of a building. The policy implication of the study findings also covers topics relevant to utilities management at a district level, as well as on the need for tailored SRI services catalogs for different types of buildings.","container-title":"Buildings","DOI":"10.3390/buildings13040888","journalAbbreviation":"Buildings","page":"888","source":"ResearchGate","title":"Evaluation of the Smart Readiness Indicator for Educational Buildings","volume":"13","author":[{"family":"Plienaitis","given":"Gvidas"},{"family":"Daukšys","given":"Mindaugas"},{"family":"Demetriou","given":"Evi"},{"family":"Ioannou","given":"Byron"},{"family":"Fokaides","given":"Paris"},{"family":"Seduikyte","given":"Lina"}],"issued":{"date-parts":[["2023",3,28]]}}},{"id":381,"uris":["http://zotero.org/users/18628118/items/VFQYTISD"],"itemData":{"id":381,"type":"article-journal","abstract":"The transition towards energy-efficient and sustainable buildings is a cornerstone of global efforts to combat climate change. Building automation and control systems (BACSs), standardized under EN ISO 52120, and the Smart Readiness Indicator (SRI) have emerged as pivotal tools for optimizing energy performance, integrating smart technologies, and enhancing building adaptability. This review provides a comprehensive analysis of the current research landscape and practical applications of these frameworks, focusing on their role in advancing energy efficiency, occupant comfort, and environmental sustainability. Key contributions include an exploration of challenges in SRI evaluation, considering the limitations of simplified methods, the need for long-term validation, and gaps in integrating advanced control functions. This study emphasizes innovative solutions for adapting SRI assessments to diverse building types, climate conditions, and regulatory frameworks. Furthermore, it presents original insights into leveraging advanced technologies, including Building information modeling (BIM) and digital twins (DTs), to refine SRI evaluation methods and optimize BACS designs. These findings contribute to the development of sustainable, intelligent buildings that align with EU climate goals. The authors conclude by highlighting promising directions for future research to further enhance smart energy and strategic facility management practices.","container-title":"Energies","DOI":"10.3390/en18051241","journalAbbreviation":"Energies","page":"1241","source":"ResearchGate","title":"Moving Forward in Effective Deployment of the Smart Readiness Indicator and the ISO 52120 Standard to Improve Energy Performance with Building Automation and Control Systems","volume":"18","author":[{"family":"Walczyk","given":"Gabriela"},{"family":"Ożadowicz","given":"Andrzej"}],"issued":{"date-parts":[["2025",3,3]]}}}],"schema":"https://github.com/citation-style-language/schema/raw/master/csl-citation.json"} </w:instrText>
      </w:r>
      <w:r w:rsidR="001A2527">
        <w:fldChar w:fldCharType="separate"/>
      </w:r>
      <w:r w:rsidR="006071E3" w:rsidRPr="006071E3">
        <w:rPr>
          <w:lang w:eastAsia="fr-FR"/>
        </w:rPr>
        <w:t>(Plienaitis et al., 2023; Walczyk and Ożadowicz, 2025)</w:t>
      </w:r>
      <w:r w:rsidR="001A2527">
        <w:fldChar w:fldCharType="end"/>
      </w:r>
      <w:r w:rsidR="006071E3">
        <w:t>.</w:t>
      </w:r>
      <w:r w:rsidRPr="001C176E">
        <w:t xml:space="preserve"> The SRI scores individual smart services from 0 to 4 across nine building domains </w:t>
      </w:r>
      <w:r w:rsidR="003E6CBE">
        <w:fldChar w:fldCharType="begin"/>
      </w:r>
      <w:r w:rsidR="00C23669">
        <w:instrText xml:space="preserve"> ADDIN ZOTERO_ITEM CSL_CITATION {"citationID":"xIln3mpp","properties":{"unsorted":false,"formattedCitation":"(Varsami and Burman, 2021)","plainCitation":"(Varsami and Burman, 2021)","noteIndex":0},"citationItems":[{"id":389,"uris":["http://zotero.org/users/18628118/items/LTIEC58R"],"itemData":{"id":389,"type":"paper-conference","abstract":"The European Commission (EC) recently introduced the smart readiness indicator (SRI) scheme. This framework evaluates the capacity of a building to use information and communication technologies (ICTs) to adapt to the needs of the occupants and the grid. Researchers and industry practitioners have carried out preliminary studies to examine its methodology and scope. This study aimed to complement previous work and analyse the new framework to identify its strengths, as an indicator that will enhance the performance of the building stock, and its improvement opportunities.","container-title":"Proceedings of Building Simulation 2021: 17th Conference of IBPSA","DOI":"10.26868/25222708.2021.30880","event-title":"2021 Building Simulation Conference","language":"en","publisher":"IBPSA","publisher-place":"Bruges, Belgium","source":"DOI.org (Crossref)","title":"An Evaluation of the Smart Readiness Indicator proposed for Buildings","URL":"https://publications.ibpsa.org/conference/paper/?id=bs2021_30880","author":[{"family":"Varsami","given":"Vasiliki"},{"family":"Burman","given":"Esfand"}],"accessed":{"date-parts":[["2026",3,13]]},"issued":{"date-parts":[["2021",9,1]]}}}],"schema":"https://github.com/citation-style-language/schema/raw/master/csl-citation.json"} </w:instrText>
      </w:r>
      <w:r w:rsidR="003E6CBE">
        <w:fldChar w:fldCharType="separate"/>
      </w:r>
      <w:r w:rsidR="00C23669">
        <w:rPr>
          <w:noProof/>
        </w:rPr>
        <w:t>(Varsami and Burman, 2021)</w:t>
      </w:r>
      <w:r w:rsidR="003E6CBE">
        <w:fldChar w:fldCharType="end"/>
      </w:r>
      <w:r w:rsidRPr="001C176E">
        <w:t xml:space="preserve">. EN ISO 52120-1 assigns one of four efficiency classes (D to A), separating non-automated systems from those capable of coordinated multi-system control </w:t>
      </w:r>
      <w:r w:rsidR="00C23669">
        <w:fldChar w:fldCharType="begin"/>
      </w:r>
      <w:r w:rsidR="00434BF4">
        <w:instrText xml:space="preserve"> ADDIN ZOTERO_ITEM CSL_CITATION {"citationID":"qlTMffVp","properties":{"unsorted":false,"formattedCitation":"(Walczyk and O\\uc0\\u380{}adowicz, 2025)","plainCitation":"(Walczyk and Ożadowicz, 2025)","noteIndex":0},"citationItems":[{"id":381,"uris":["http://zotero.org/users/18628118/items/VFQYTISD"],"itemData":{"id":381,"type":"article-journal","abstract":"The transition towards energy-efficient and sustainable buildings is a cornerstone of global efforts to combat climate change. Building automation and control systems (BACSs), standardized under EN ISO 52120, and the Smart Readiness Indicator (SRI) have emerged as pivotal tools for optimizing energy performance, integrating smart technologies, and enhancing building adaptability. This review provides a comprehensive analysis of the current research landscape and practical applications of these frameworks, focusing on their role in advancing energy efficiency, occupant comfort, and environmental sustainability. Key contributions include an exploration of challenges in SRI evaluation, considering the limitations of simplified methods, the need for long-term validation, and gaps in integrating advanced control functions. This study emphasizes innovative solutions for adapting SRI assessments to diverse building types, climate conditions, and regulatory frameworks. Furthermore, it presents original insights into leveraging advanced technologies, including Building information modeling (BIM) and digital twins (DTs), to refine SRI evaluation methods and optimize BACS designs. These findings contribute to the development of sustainable, intelligent buildings that align with EU climate goals. The authors conclude by highlighting promising directions for future research to further enhance smart energy and strategic facility management practices.","container-title":"Energies","DOI":"10.3390/en18051241","journalAbbreviation":"Energies","page":"1241","source":"ResearchGate","title":"Moving Forward in Effective Deployment of the Smart Readiness Indicator and the ISO 52120 Standard to Improve Energy Performance with Building Automation and Control Systems","volume":"18","author":[{"family":"Walczyk","given":"Gabriela"},{"family":"Ożadowicz","given":"Andrzej"}],"issued":{"date-parts":[["2025",3,3]]}}}],"schema":"https://github.com/citation-style-language/schema/raw/master/csl-citation.json"} </w:instrText>
      </w:r>
      <w:r w:rsidR="00C23669">
        <w:fldChar w:fldCharType="separate"/>
      </w:r>
      <w:r w:rsidR="00434BF4" w:rsidRPr="00790660">
        <w:rPr>
          <w:lang w:eastAsia="fr-FR"/>
        </w:rPr>
        <w:t>(Walczyk and Ożadowicz, 2025)</w:t>
      </w:r>
      <w:r w:rsidR="00C23669">
        <w:fldChar w:fldCharType="end"/>
      </w:r>
      <w:r w:rsidR="00C23669">
        <w:t xml:space="preserve">. </w:t>
      </w:r>
      <w:r w:rsidRPr="001C176E">
        <w:t>Both scales were applied to the five FSC configurations</w:t>
      </w:r>
      <w:r w:rsidR="00836F2E">
        <w:t>,</w:t>
      </w:r>
      <w:r w:rsidRPr="001C176E">
        <w:t xml:space="preserve"> </w:t>
      </w:r>
      <w:r w:rsidR="00836F2E">
        <w:t xml:space="preserve">defined in this </w:t>
      </w:r>
      <w:r w:rsidR="00451B0E">
        <w:t xml:space="preserve">work </w:t>
      </w:r>
      <w:r w:rsidR="00836F2E">
        <w:t xml:space="preserve">as </w:t>
      </w:r>
      <w:r w:rsidRPr="001C176E">
        <w:t>C1</w:t>
      </w:r>
      <w:r w:rsidR="00790660">
        <w:t>-</w:t>
      </w:r>
      <w:r w:rsidRPr="001C176E">
        <w:t>C5</w:t>
      </w:r>
      <w:r w:rsidR="00836F2E">
        <w:t>,</w:t>
      </w:r>
      <w:r w:rsidRPr="001C176E">
        <w:t xml:space="preserve"> to determine the minimum functional level </w:t>
      </w:r>
      <w:r w:rsidR="00592BE8">
        <w:t>required</w:t>
      </w:r>
      <w:r w:rsidRPr="001C176E">
        <w:t xml:space="preserve"> </w:t>
      </w:r>
      <w:r w:rsidR="00592BE8">
        <w:t>by</w:t>
      </w:r>
      <w:r w:rsidRPr="001C176E">
        <w:t xml:space="preserve"> </w:t>
      </w:r>
      <w:r w:rsidR="00592BE8">
        <w:t>each</w:t>
      </w:r>
      <w:r w:rsidRPr="001C176E">
        <w:t>.</w:t>
      </w:r>
    </w:p>
    <w:p w14:paraId="281C15DB" w14:textId="6376B79D" w:rsidR="009E4E6E" w:rsidRDefault="009E4E6E" w:rsidP="007B0F13">
      <w:pPr>
        <w:pStyle w:val="SWCHeading11"/>
      </w:pPr>
      <w:bookmarkStart w:id="2" w:name="OLE_LINK5"/>
      <w:bookmarkStart w:id="3" w:name="Sec2_3"/>
      <w:bookmarkEnd w:id="1"/>
      <w:r>
        <w:t>2.3. Stakeholder Interviews</w:t>
      </w:r>
    </w:p>
    <w:bookmarkEnd w:id="2"/>
    <w:bookmarkEnd w:id="3"/>
    <w:p w14:paraId="587F2848" w14:textId="6F2FE32F" w:rsidR="009E4E6E" w:rsidRDefault="009E4E6E" w:rsidP="009E4E6E">
      <w:pPr>
        <w:pStyle w:val="SWCText"/>
      </w:pPr>
      <w:r>
        <w:t xml:space="preserve">Semi-structured interviews </w:t>
      </w:r>
      <w:r w:rsidR="00CD1D10">
        <w:t>provided</w:t>
      </w:r>
      <w:r w:rsidR="006E4B87">
        <w:t xml:space="preserve"> information </w:t>
      </w:r>
      <w:r w:rsidR="00F85BC9">
        <w:t>rarely</w:t>
      </w:r>
      <w:r w:rsidR="006E4B87">
        <w:t xml:space="preserve"> available</w:t>
      </w:r>
      <w:r w:rsidR="00C74A01">
        <w:t xml:space="preserve"> in published sources:</w:t>
      </w:r>
      <w:r>
        <w:t xml:space="preserve"> implementation conditions, perceived barriers, drivers, and digital requirements </w:t>
      </w:r>
      <w:r w:rsidR="007F4FCA">
        <w:t xml:space="preserve">from actors in the field </w:t>
      </w:r>
      <w:r w:rsidR="007B0F13">
        <w:fldChar w:fldCharType="begin"/>
      </w:r>
      <w:r w:rsidR="007B0F13">
        <w:instrText xml:space="preserve"> ADDIN ZOTERO_ITEM CSL_CITATION {"citationID":"btQUcaLT","properties":{"unsorted":false,"formattedCitation":"(Kallio et al., 2016)","plainCitation":"(Kallio et al., 2016)","noteIndex":0},"citationItems":[{"id":222,"uris":["http://zotero.org/users/18628118/items/ZKBINBYF"],"itemData":{"id":222,"type":"article-journal","abstract":"Aim To produce a framework for the development of a qualitative semi-structured interview guide. Background Rigorous data collection procedures fundamentally influence the results of studies. The semi-structured interview is a common data collection method, but methodological research on the development of a semi-structured interview guide is sparse. Design Systematic methodological review. Data sources We searched PubMed, CINAHL, Scopus and Web of Science for methodological papers on semi-structured interview guides from October 2004–September 2014. Having examined 2,703 titles and abstracts and 21 full texts, we finally selected 10 papers. Review methods We analysed the data using the qualitative content analysis method. Results Our analysis resulted in new synthesized knowledge on the development of a semi-structured interview guide, including five phases: (1) identifying the prerequisites for using semi-structured interviews; (2) retrieving and using previous knowledge; (3) formulating the preliminary semi-structured interview guide; (4) pilot testing the guide; and (5) presenting the complete semi-structured interview guide. Conclusion Rigorous development of a qualitative semi-structured interview guide contributes to the objectivity and trustworthiness of studies and makes the results more plausible. Researchers should consider using this five-step process to develop a semi-structured interview guide and justify the decisions made during it.","container-title":"Journal of Advanced Nursing","DOI":"10.1111/jan.13031","ISSN":"1365-2648","issue":"12","language":"en","note":"_eprint: https://onlinelibrary.wiley.com/doi/pdf/10.1111/jan.13031","page":"2954-2965","source":"Wiley Online Library","title":"Systematic methodological review: developing a framework for a qualitative semi-structured interview guide","title-short":"Systematic methodological review","volume":"72","author":[{"family":"Kallio","given":"Hanna"},{"family":"Pietilä","given":"Anna-Maija"},{"family":"Johnson","given":"Martin"},{"family":"Kangasniemi","given":"Mari"}],"issued":{"date-parts":[["2016"]]}}}],"schema":"https://github.com/citation-style-language/schema/raw/master/csl-citation.json"} </w:instrText>
      </w:r>
      <w:r w:rsidR="007B0F13">
        <w:fldChar w:fldCharType="separate"/>
      </w:r>
      <w:r w:rsidR="007B0F13">
        <w:rPr>
          <w:noProof/>
        </w:rPr>
        <w:t>(Kallio et al., 2016)</w:t>
      </w:r>
      <w:r w:rsidR="007B0F13">
        <w:fldChar w:fldCharType="end"/>
      </w:r>
      <w:r>
        <w:t>. Eleven interviews took place between April and May 2026 with representatives from five actor groups spanning the Swedish FSC value chain</w:t>
      </w:r>
      <w:r w:rsidR="00FA2A3A">
        <w:t xml:space="preserve">, listed in </w:t>
      </w:r>
      <w:r w:rsidR="002D50D5">
        <w:fldChar w:fldCharType="begin"/>
      </w:r>
      <w:r w:rsidR="002D50D5">
        <w:instrText xml:space="preserve"> REF _Ref238211400 \h </w:instrText>
      </w:r>
      <w:r w:rsidR="002D50D5">
        <w:fldChar w:fldCharType="separate"/>
      </w:r>
      <w:r w:rsidR="0030162C">
        <w:t xml:space="preserve">Table </w:t>
      </w:r>
      <w:r w:rsidR="0030162C">
        <w:rPr>
          <w:noProof/>
        </w:rPr>
        <w:t>1</w:t>
      </w:r>
      <w:r w:rsidR="002D50D5">
        <w:fldChar w:fldCharType="end"/>
      </w:r>
      <w:r w:rsidR="00FA2A3A">
        <w:t xml:space="preserve">. </w:t>
      </w:r>
      <w:r w:rsidR="00424F99" w:rsidRPr="00424F99">
        <w:t>A distribution system operator (DSO) provided written responses outside the interview protocol.</w:t>
      </w:r>
    </w:p>
    <w:p w14:paraId="34186498" w14:textId="57A43D07" w:rsidR="00D10365" w:rsidRDefault="00D10365" w:rsidP="00E37CBF">
      <w:pPr>
        <w:pStyle w:val="SWCTableFigureCaption"/>
      </w:pPr>
      <w:bookmarkStart w:id="4" w:name="_Ref238211400"/>
      <w:r>
        <w:t xml:space="preserve">Table </w:t>
      </w:r>
      <w:r>
        <w:fldChar w:fldCharType="begin"/>
      </w:r>
      <w:r>
        <w:instrText xml:space="preserve"> SEQ Table \* ARABIC </w:instrText>
      </w:r>
      <w:r>
        <w:fldChar w:fldCharType="separate"/>
      </w:r>
      <w:r w:rsidR="0030162C">
        <w:rPr>
          <w:noProof/>
        </w:rPr>
        <w:t>1</w:t>
      </w:r>
      <w:r>
        <w:fldChar w:fldCharType="end"/>
      </w:r>
      <w:bookmarkEnd w:id="4"/>
      <w:r>
        <w:t>: Stakeholder sample:</w:t>
      </w:r>
      <w:r w:rsidR="00EC5CAA" w:rsidRPr="00EC5CAA">
        <w:t xml:space="preserve"> </w:t>
      </w:r>
      <w:r w:rsidR="00EC5CAA">
        <w:t>twelve roles across five actor groups; eleven semi-structured interviews</w:t>
      </w:r>
      <w:r w:rsidR="002D50D5" w:rsidRPr="002D50D5">
        <w:t>, April–May 2026.</w:t>
      </w:r>
      <w:r w:rsidR="00CA6E54">
        <w:t xml:space="preserve"> </w:t>
      </w:r>
      <w:r w:rsidR="00E37CBF">
        <w:br/>
      </w:r>
      <w:r w:rsidR="00CA6E54">
        <w:t>(</w:t>
      </w:r>
      <w:r w:rsidR="00140A85">
        <w:t>BRF:</w:t>
      </w:r>
      <w:r w:rsidR="005B68C1" w:rsidRPr="00706164">
        <w:rPr>
          <w:b w:val="0"/>
          <w:color w:val="auto"/>
          <w:sz w:val="22"/>
          <w:szCs w:val="22"/>
          <w:lang w:val="en-GB"/>
        </w:rPr>
        <w:t xml:space="preserve"> </w:t>
      </w:r>
      <w:proofErr w:type="spellStart"/>
      <w:r w:rsidR="005B68C1" w:rsidRPr="00706164">
        <w:rPr>
          <w:bCs/>
          <w:color w:val="auto"/>
          <w:szCs w:val="16"/>
          <w:lang w:val="en-GB"/>
        </w:rPr>
        <w:t>B</w:t>
      </w:r>
      <w:r w:rsidR="005B68C1" w:rsidRPr="005B68C1">
        <w:rPr>
          <w:lang w:val="en-GB"/>
        </w:rPr>
        <w:t>ostadsrättsförening</w:t>
      </w:r>
      <w:proofErr w:type="spellEnd"/>
      <w:r w:rsidR="00CA6E54">
        <w:t>)</w:t>
      </w:r>
    </w:p>
    <w:tbl>
      <w:tblPr>
        <w:tblStyle w:val="TableGrid"/>
        <w:tblW w:w="0" w:type="auto"/>
        <w:tblLook w:val="04A0" w:firstRow="1" w:lastRow="0" w:firstColumn="1" w:lastColumn="0" w:noHBand="0" w:noVBand="1"/>
      </w:tblPr>
      <w:tblGrid>
        <w:gridCol w:w="1271"/>
        <w:gridCol w:w="2835"/>
        <w:gridCol w:w="4651"/>
      </w:tblGrid>
      <w:tr w:rsidR="00AE430F" w:rsidRPr="00AE430F" w14:paraId="6C45BEE4" w14:textId="77777777" w:rsidTr="002E0DA3">
        <w:trPr>
          <w:tblHeader/>
        </w:trPr>
        <w:tc>
          <w:tcPr>
            <w:tcW w:w="1271" w:type="dxa"/>
          </w:tcPr>
          <w:p w14:paraId="332378AE" w14:textId="52633092" w:rsidR="00AE430F" w:rsidRPr="00AE430F" w:rsidRDefault="00E62B62" w:rsidP="00614F70">
            <w:pPr>
              <w:pStyle w:val="SWCTableHeader"/>
              <w:rPr>
                <w:lang w:eastAsia="fr-FR"/>
              </w:rPr>
            </w:pPr>
            <w:r>
              <w:rPr>
                <w:lang w:eastAsia="fr-FR"/>
              </w:rPr>
              <w:t>Group</w:t>
            </w:r>
          </w:p>
        </w:tc>
        <w:tc>
          <w:tcPr>
            <w:tcW w:w="2835" w:type="dxa"/>
          </w:tcPr>
          <w:p w14:paraId="72D987F8" w14:textId="6D780809" w:rsidR="00AE430F" w:rsidRPr="00AE430F" w:rsidRDefault="00AE430F" w:rsidP="00614F70">
            <w:pPr>
              <w:pStyle w:val="SWCTableHeader"/>
              <w:rPr>
                <w:lang w:eastAsia="fr-FR"/>
              </w:rPr>
            </w:pPr>
            <w:r w:rsidRPr="00AE430F">
              <w:rPr>
                <w:lang w:eastAsia="fr-FR"/>
              </w:rPr>
              <w:t>Category</w:t>
            </w:r>
          </w:p>
        </w:tc>
        <w:tc>
          <w:tcPr>
            <w:tcW w:w="4651" w:type="dxa"/>
          </w:tcPr>
          <w:p w14:paraId="1E42305A" w14:textId="30D93B1B" w:rsidR="00AE430F" w:rsidRPr="00AE430F" w:rsidRDefault="00AE430F" w:rsidP="00614F70">
            <w:pPr>
              <w:pStyle w:val="SWCTableHeader"/>
              <w:rPr>
                <w:lang w:eastAsia="fr-FR"/>
              </w:rPr>
            </w:pPr>
            <w:r w:rsidRPr="00AE430F">
              <w:rPr>
                <w:lang w:eastAsia="fr-FR"/>
              </w:rPr>
              <w:t>Role</w:t>
            </w:r>
          </w:p>
        </w:tc>
      </w:tr>
      <w:tr w:rsidR="00AE430F" w:rsidRPr="00AE430F" w14:paraId="61B6B3E8" w14:textId="77777777" w:rsidTr="002E0DA3">
        <w:tc>
          <w:tcPr>
            <w:tcW w:w="1271" w:type="dxa"/>
          </w:tcPr>
          <w:p w14:paraId="4AB914A2" w14:textId="18BD3BA0" w:rsidR="00AE430F" w:rsidRPr="00AE430F" w:rsidRDefault="00AE430F" w:rsidP="00614F70">
            <w:pPr>
              <w:pStyle w:val="SWCTableText"/>
              <w:rPr>
                <w:lang w:eastAsia="fr-FR"/>
              </w:rPr>
            </w:pPr>
            <w:r w:rsidRPr="00AE430F">
              <w:rPr>
                <w:lang w:eastAsia="fr-FR"/>
              </w:rPr>
              <w:t>G1</w:t>
            </w:r>
          </w:p>
        </w:tc>
        <w:tc>
          <w:tcPr>
            <w:tcW w:w="2835" w:type="dxa"/>
          </w:tcPr>
          <w:p w14:paraId="39596298" w14:textId="2EA5212C" w:rsidR="00AE430F" w:rsidRPr="00AE430F" w:rsidRDefault="00AE430F" w:rsidP="00614F70">
            <w:pPr>
              <w:pStyle w:val="SWCTableText"/>
              <w:rPr>
                <w:lang w:eastAsia="fr-FR"/>
              </w:rPr>
            </w:pPr>
            <w:r w:rsidRPr="00AE430F">
              <w:rPr>
                <w:lang w:eastAsia="fr-FR"/>
              </w:rPr>
              <w:t>Researchers &amp; Planners</w:t>
            </w:r>
          </w:p>
        </w:tc>
        <w:tc>
          <w:tcPr>
            <w:tcW w:w="4651" w:type="dxa"/>
          </w:tcPr>
          <w:p w14:paraId="35282F98" w14:textId="0FF669BB" w:rsidR="00AE430F" w:rsidRPr="00AE430F" w:rsidRDefault="00AE430F" w:rsidP="00614F70">
            <w:pPr>
              <w:pStyle w:val="SWCTableText"/>
              <w:rPr>
                <w:lang w:eastAsia="fr-FR"/>
              </w:rPr>
            </w:pPr>
            <w:r w:rsidRPr="00AE430F">
              <w:rPr>
                <w:lang w:eastAsia="fr-FR"/>
              </w:rPr>
              <w:t>Research Expert (FSC); DH Planner / Researcher; Municipal Energy Planner</w:t>
            </w:r>
          </w:p>
        </w:tc>
      </w:tr>
      <w:tr w:rsidR="00AE430F" w:rsidRPr="00AE430F" w14:paraId="4D0DA935" w14:textId="77777777" w:rsidTr="002E0DA3">
        <w:tc>
          <w:tcPr>
            <w:tcW w:w="1271" w:type="dxa"/>
          </w:tcPr>
          <w:p w14:paraId="3920B561" w14:textId="7B42EF1D" w:rsidR="00AE430F" w:rsidRPr="00AE430F" w:rsidRDefault="00AE430F" w:rsidP="00614F70">
            <w:pPr>
              <w:pStyle w:val="SWCTableText"/>
              <w:rPr>
                <w:lang w:eastAsia="fr-FR"/>
              </w:rPr>
            </w:pPr>
            <w:r w:rsidRPr="00AE430F">
              <w:rPr>
                <w:lang w:eastAsia="fr-FR"/>
              </w:rPr>
              <w:t>G2</w:t>
            </w:r>
          </w:p>
        </w:tc>
        <w:tc>
          <w:tcPr>
            <w:tcW w:w="2835" w:type="dxa"/>
          </w:tcPr>
          <w:p w14:paraId="36DB2BDF" w14:textId="51DC36FA" w:rsidR="00AE430F" w:rsidRPr="00AE430F" w:rsidRDefault="00AE430F" w:rsidP="00614F70">
            <w:pPr>
              <w:pStyle w:val="SWCTableText"/>
              <w:rPr>
                <w:lang w:eastAsia="fr-FR"/>
              </w:rPr>
            </w:pPr>
            <w:r w:rsidRPr="00AE430F">
              <w:rPr>
                <w:lang w:eastAsia="fr-FR"/>
              </w:rPr>
              <w:t>Technology Installers</w:t>
            </w:r>
          </w:p>
        </w:tc>
        <w:tc>
          <w:tcPr>
            <w:tcW w:w="4651" w:type="dxa"/>
          </w:tcPr>
          <w:p w14:paraId="112ED77E" w14:textId="0835F003" w:rsidR="00AE430F" w:rsidRPr="00AE430F" w:rsidRDefault="00AE430F" w:rsidP="00614F70">
            <w:pPr>
              <w:pStyle w:val="SWCTableText"/>
              <w:rPr>
                <w:lang w:eastAsia="fr-FR"/>
              </w:rPr>
            </w:pPr>
            <w:r w:rsidRPr="00AE430F">
              <w:rPr>
                <w:lang w:eastAsia="fr-FR"/>
              </w:rPr>
              <w:t>TES &amp; HP Installer; BESS &amp; PV Installer</w:t>
            </w:r>
          </w:p>
        </w:tc>
      </w:tr>
      <w:tr w:rsidR="00AE430F" w:rsidRPr="00AE430F" w14:paraId="435BDE43" w14:textId="77777777" w:rsidTr="002E0DA3">
        <w:tc>
          <w:tcPr>
            <w:tcW w:w="1271" w:type="dxa"/>
          </w:tcPr>
          <w:p w14:paraId="20212515" w14:textId="184558BE" w:rsidR="00AE430F" w:rsidRPr="00AE430F" w:rsidRDefault="00AE430F" w:rsidP="00614F70">
            <w:pPr>
              <w:pStyle w:val="SWCTableText"/>
              <w:rPr>
                <w:lang w:eastAsia="fr-FR"/>
              </w:rPr>
            </w:pPr>
            <w:r w:rsidRPr="00AE430F">
              <w:rPr>
                <w:lang w:eastAsia="fr-FR"/>
              </w:rPr>
              <w:t>G3</w:t>
            </w:r>
          </w:p>
        </w:tc>
        <w:tc>
          <w:tcPr>
            <w:tcW w:w="2835" w:type="dxa"/>
          </w:tcPr>
          <w:p w14:paraId="32984D67" w14:textId="376A2699" w:rsidR="00AE430F" w:rsidRPr="00AE430F" w:rsidRDefault="00AE430F" w:rsidP="00614F70">
            <w:pPr>
              <w:pStyle w:val="SWCTableText"/>
              <w:rPr>
                <w:lang w:eastAsia="fr-FR"/>
              </w:rPr>
            </w:pPr>
            <w:r w:rsidRPr="00AE430F">
              <w:rPr>
                <w:lang w:eastAsia="fr-FR"/>
              </w:rPr>
              <w:t>Market Operators</w:t>
            </w:r>
          </w:p>
        </w:tc>
        <w:tc>
          <w:tcPr>
            <w:tcW w:w="4651" w:type="dxa"/>
          </w:tcPr>
          <w:p w14:paraId="17DE39CB" w14:textId="7E57908C" w:rsidR="00AE430F" w:rsidRPr="00AE430F" w:rsidRDefault="00AE430F" w:rsidP="00614F70">
            <w:pPr>
              <w:pStyle w:val="SWCTableText"/>
              <w:rPr>
                <w:lang w:eastAsia="fr-FR"/>
              </w:rPr>
            </w:pPr>
            <w:r w:rsidRPr="00AE430F">
              <w:rPr>
                <w:lang w:eastAsia="fr-FR"/>
              </w:rPr>
              <w:t>VPP Aggregator; Facility Manager / DH Utility Operator</w:t>
            </w:r>
          </w:p>
        </w:tc>
      </w:tr>
      <w:tr w:rsidR="00AE430F" w:rsidRPr="00AE430F" w14:paraId="04803BAF" w14:textId="77777777" w:rsidTr="002E0DA3">
        <w:tc>
          <w:tcPr>
            <w:tcW w:w="1271" w:type="dxa"/>
          </w:tcPr>
          <w:p w14:paraId="366A8F0D" w14:textId="00514A51" w:rsidR="00AE430F" w:rsidRPr="00AE430F" w:rsidRDefault="00AE430F" w:rsidP="00614F70">
            <w:pPr>
              <w:pStyle w:val="SWCTableText"/>
              <w:rPr>
                <w:lang w:eastAsia="fr-FR"/>
              </w:rPr>
            </w:pPr>
            <w:r w:rsidRPr="00AE430F">
              <w:rPr>
                <w:lang w:eastAsia="fr-FR"/>
              </w:rPr>
              <w:t>G4</w:t>
            </w:r>
          </w:p>
        </w:tc>
        <w:tc>
          <w:tcPr>
            <w:tcW w:w="2835" w:type="dxa"/>
          </w:tcPr>
          <w:p w14:paraId="30FEAFFA" w14:textId="499CB7DA" w:rsidR="00AE430F" w:rsidRPr="00AE430F" w:rsidRDefault="00AE430F" w:rsidP="00614F70">
            <w:pPr>
              <w:pStyle w:val="SWCTableText"/>
              <w:rPr>
                <w:lang w:eastAsia="fr-FR"/>
              </w:rPr>
            </w:pPr>
            <w:r w:rsidRPr="00AE430F">
              <w:rPr>
                <w:lang w:eastAsia="fr-FR"/>
              </w:rPr>
              <w:t>Building Owners</w:t>
            </w:r>
          </w:p>
        </w:tc>
        <w:tc>
          <w:tcPr>
            <w:tcW w:w="4651" w:type="dxa"/>
          </w:tcPr>
          <w:p w14:paraId="35B1E3E3" w14:textId="1C460968" w:rsidR="00AE430F" w:rsidRPr="00AE430F" w:rsidRDefault="00AE430F" w:rsidP="00614F70">
            <w:pPr>
              <w:pStyle w:val="SWCTableText"/>
              <w:rPr>
                <w:lang w:eastAsia="fr-FR"/>
              </w:rPr>
            </w:pPr>
            <w:r w:rsidRPr="00AE430F">
              <w:rPr>
                <w:lang w:eastAsia="fr-FR"/>
              </w:rPr>
              <w:t>Residential Building Owner; Commercial Building Owner; Cooperative Housing Representative (BRF)</w:t>
            </w:r>
          </w:p>
        </w:tc>
      </w:tr>
      <w:tr w:rsidR="00AE430F" w:rsidRPr="00AE430F" w14:paraId="354C9D2F" w14:textId="77777777" w:rsidTr="002E0DA3">
        <w:tc>
          <w:tcPr>
            <w:tcW w:w="1271" w:type="dxa"/>
          </w:tcPr>
          <w:p w14:paraId="467E4F3D" w14:textId="45E38929" w:rsidR="00AE430F" w:rsidRPr="00AE430F" w:rsidRDefault="00AE430F" w:rsidP="00C61EFE">
            <w:pPr>
              <w:pStyle w:val="SWCTableText"/>
              <w:rPr>
                <w:lang w:eastAsia="fr-FR"/>
              </w:rPr>
            </w:pPr>
            <w:r w:rsidRPr="00AE430F">
              <w:rPr>
                <w:lang w:eastAsia="fr-FR"/>
              </w:rPr>
              <w:lastRenderedPageBreak/>
              <w:t>G5</w:t>
            </w:r>
          </w:p>
        </w:tc>
        <w:tc>
          <w:tcPr>
            <w:tcW w:w="2835" w:type="dxa"/>
          </w:tcPr>
          <w:p w14:paraId="76B2A682" w14:textId="4511D471" w:rsidR="00AE430F" w:rsidRPr="00AE430F" w:rsidRDefault="00AE430F" w:rsidP="00C61EFE">
            <w:pPr>
              <w:pStyle w:val="SWCTableText"/>
              <w:rPr>
                <w:lang w:eastAsia="fr-FR"/>
              </w:rPr>
            </w:pPr>
            <w:r w:rsidRPr="00AE430F">
              <w:rPr>
                <w:lang w:eastAsia="fr-FR"/>
              </w:rPr>
              <w:t>National Regulator</w:t>
            </w:r>
          </w:p>
        </w:tc>
        <w:tc>
          <w:tcPr>
            <w:tcW w:w="4651" w:type="dxa"/>
          </w:tcPr>
          <w:p w14:paraId="3EAAB0C7" w14:textId="580FD821" w:rsidR="00AE430F" w:rsidRPr="00AE430F" w:rsidRDefault="00AE430F" w:rsidP="00C61EFE">
            <w:pPr>
              <w:pStyle w:val="SWCTableText"/>
              <w:rPr>
                <w:lang w:eastAsia="fr-FR"/>
              </w:rPr>
            </w:pPr>
            <w:r w:rsidRPr="00AE430F">
              <w:rPr>
                <w:lang w:eastAsia="fr-FR"/>
              </w:rPr>
              <w:t>Energy Market Regulator</w:t>
            </w:r>
          </w:p>
        </w:tc>
      </w:tr>
      <w:tr w:rsidR="00883D84" w:rsidRPr="00AE430F" w14:paraId="39E33005" w14:textId="77777777" w:rsidTr="002E0DA3">
        <w:tc>
          <w:tcPr>
            <w:tcW w:w="1271" w:type="dxa"/>
          </w:tcPr>
          <w:p w14:paraId="6707EC09" w14:textId="03C08F81" w:rsidR="00883D84" w:rsidRPr="00AE430F" w:rsidRDefault="00C61EFE" w:rsidP="00C61EFE">
            <w:pPr>
              <w:pStyle w:val="SWCTableText"/>
              <w:rPr>
                <w:lang w:eastAsia="fr-FR"/>
              </w:rPr>
            </w:pPr>
            <w:r w:rsidRPr="00C61EFE">
              <w:rPr>
                <w:lang w:eastAsia="fr-FR"/>
              </w:rPr>
              <w:t>—</w:t>
            </w:r>
          </w:p>
        </w:tc>
        <w:tc>
          <w:tcPr>
            <w:tcW w:w="2835" w:type="dxa"/>
          </w:tcPr>
          <w:p w14:paraId="35F6F5DA" w14:textId="0D4E0C34" w:rsidR="00883D84" w:rsidRPr="00AE430F" w:rsidRDefault="00883D84" w:rsidP="00C61EFE">
            <w:pPr>
              <w:pStyle w:val="SWCTableText"/>
              <w:rPr>
                <w:lang w:eastAsia="fr-FR"/>
              </w:rPr>
            </w:pPr>
            <w:r w:rsidRPr="00405540">
              <w:t>Distribution System Operator</w:t>
            </w:r>
          </w:p>
        </w:tc>
        <w:tc>
          <w:tcPr>
            <w:tcW w:w="4651" w:type="dxa"/>
          </w:tcPr>
          <w:p w14:paraId="5E428B34" w14:textId="0636CD2F" w:rsidR="00883D84" w:rsidRPr="00AE430F" w:rsidRDefault="00883D84" w:rsidP="00C61EFE">
            <w:pPr>
              <w:pStyle w:val="SWCTableText"/>
              <w:rPr>
                <w:lang w:eastAsia="fr-FR"/>
              </w:rPr>
            </w:pPr>
            <w:r w:rsidRPr="00405540">
              <w:t>DSO Representative*</w:t>
            </w:r>
          </w:p>
        </w:tc>
      </w:tr>
    </w:tbl>
    <w:p w14:paraId="3186752C" w14:textId="748162B4" w:rsidR="009E4E6E" w:rsidRPr="00186402" w:rsidRDefault="00FA7FCE" w:rsidP="00186402">
      <w:pPr>
        <w:pStyle w:val="SWCTableFigureCaption"/>
        <w:jc w:val="left"/>
        <w:rPr>
          <w:b w:val="0"/>
          <w:bCs/>
        </w:rPr>
      </w:pPr>
      <w:r w:rsidRPr="00186402">
        <w:rPr>
          <w:b w:val="0"/>
          <w:bCs/>
        </w:rPr>
        <w:t>* Written responses only; not included in the eleven semi-structured interviews.</w:t>
      </w:r>
    </w:p>
    <w:p w14:paraId="6B67C8A3" w14:textId="780F258C" w:rsidR="00224E26" w:rsidRDefault="009E4E6E" w:rsidP="009E4E6E">
      <w:pPr>
        <w:pStyle w:val="SWCText"/>
      </w:pPr>
      <w:r>
        <w:t xml:space="preserve">A six-theme guide structured each session: </w:t>
      </w:r>
      <w:r w:rsidR="002A4A34">
        <w:t xml:space="preserve">1) </w:t>
      </w:r>
      <w:r>
        <w:t xml:space="preserve">the future role of buildings and DH in the Swedish energy system; </w:t>
      </w:r>
      <w:r w:rsidR="002A4A34">
        <w:t xml:space="preserve">2) </w:t>
      </w:r>
      <w:r>
        <w:t xml:space="preserve">triggers for TES, BESS, or FSC investment; </w:t>
      </w:r>
      <w:r w:rsidR="002A4A34">
        <w:t xml:space="preserve">3) </w:t>
      </w:r>
      <w:r>
        <w:t xml:space="preserve">current technical and organizational practices; </w:t>
      </w:r>
      <w:r w:rsidR="002A4A34">
        <w:t xml:space="preserve">4) </w:t>
      </w:r>
      <w:r>
        <w:t xml:space="preserve">KPIs and value metrics; </w:t>
      </w:r>
      <w:r w:rsidR="002A4A34">
        <w:t xml:space="preserve">5) </w:t>
      </w:r>
      <w:r>
        <w:t xml:space="preserve">perceived barriers and risks; and </w:t>
      </w:r>
      <w:r w:rsidR="002A4A34">
        <w:t xml:space="preserve">6) </w:t>
      </w:r>
      <w:r>
        <w:t>enabling factors.</w:t>
      </w:r>
      <w:r w:rsidR="00E815B7">
        <w:t xml:space="preserve"> </w:t>
      </w:r>
      <w:r w:rsidR="00E37212" w:rsidRPr="00E37212">
        <w:t>The shared thematic frame kept cross-group comparison consistent</w:t>
      </w:r>
      <w:r>
        <w:t>. Sessions ran 60</w:t>
      </w:r>
      <w:r w:rsidR="00B40674">
        <w:t>-</w:t>
      </w:r>
      <w:r>
        <w:t>90 minutes by video call, were recorded with participant consent, and transcribed before analysis</w:t>
      </w:r>
      <w:r w:rsidR="00955AA2">
        <w:t>,</w:t>
      </w:r>
      <w:r w:rsidR="00A758CB">
        <w:t xml:space="preserve"> supported by the tool </w:t>
      </w:r>
      <w:proofErr w:type="spellStart"/>
      <w:r w:rsidR="00A758CB">
        <w:t>Transkriptor</w:t>
      </w:r>
      <w:proofErr w:type="spellEnd"/>
      <w:r w:rsidR="00186402">
        <w:t xml:space="preserve"> </w:t>
      </w:r>
      <w:r w:rsidR="008F4B86">
        <w:fldChar w:fldCharType="begin"/>
      </w:r>
      <w:r w:rsidR="00186402">
        <w:instrText xml:space="preserve"> ADDIN ZOTERO_ITEM CSL_CITATION {"citationID":"U3Z2ZHmF","properties":{"unsorted":false,"formattedCitation":"(Transkriptor, 2026)","plainCitation":"(Transkriptor, 2026)","noteIndex":0},"citationItems":[{"id":559,"uris":["http://zotero.org/users/18628118/items/3XW4ZNMJ"],"itemData":{"id":559,"type":"webpage","abstract":"Convert audio to text instantly with Transkriptor. AI-powered transcription for meetings, audio, and video in 100+ languages. Try it for free!","container-title":"Transkriptor - Audio to Text Converter","language":"en","title":"Transcribe Audio to Text | Best AI Transcription Tool","URL":"https://transkriptor.com/","author":[{"literal":"Transkriptor"}],"accessed":{"date-parts":[["2026",9,8]]},"issued":{"date-parts":[["2026"]]}}}],"schema":"https://github.com/citation-style-language/schema/raw/master/csl-citation.json"} </w:instrText>
      </w:r>
      <w:r w:rsidR="008F4B86">
        <w:fldChar w:fldCharType="separate"/>
      </w:r>
      <w:r w:rsidR="00186402">
        <w:rPr>
          <w:lang w:eastAsia="fr-FR"/>
        </w:rPr>
        <w:t>(</w:t>
      </w:r>
      <w:proofErr w:type="spellStart"/>
      <w:r w:rsidR="00186402">
        <w:rPr>
          <w:lang w:eastAsia="fr-FR"/>
        </w:rPr>
        <w:t>Transkriptor</w:t>
      </w:r>
      <w:proofErr w:type="spellEnd"/>
      <w:r w:rsidR="00186402">
        <w:rPr>
          <w:lang w:eastAsia="fr-FR"/>
        </w:rPr>
        <w:t>, 2026)</w:t>
      </w:r>
      <w:r w:rsidR="008F4B86">
        <w:fldChar w:fldCharType="end"/>
      </w:r>
      <w:r>
        <w:t>. No quantitative techno-economic modeling was carried out. All numerical values in the results come from published sources or interviewee statements.</w:t>
      </w:r>
    </w:p>
    <w:p w14:paraId="51297341" w14:textId="375502EC" w:rsidR="0030495F" w:rsidRDefault="0030495F" w:rsidP="0030495F">
      <w:pPr>
        <w:pStyle w:val="SWCHeading11"/>
      </w:pPr>
      <w:r>
        <w:t>2.4. Data Analysis</w:t>
      </w:r>
    </w:p>
    <w:p w14:paraId="37792F3A" w14:textId="0AAFF2C2" w:rsidR="00224E26" w:rsidRPr="00571ACE" w:rsidRDefault="0030495F" w:rsidP="00974DE3">
      <w:pPr>
        <w:pStyle w:val="SWCText"/>
      </w:pPr>
      <w:r>
        <w:t xml:space="preserve">Literature and interview data were analyzed separately before being compared </w:t>
      </w:r>
      <w:r w:rsidR="00834405">
        <w:t xml:space="preserve">per </w:t>
      </w:r>
      <w:r>
        <w:t xml:space="preserve">research question. The literature review grouped </w:t>
      </w:r>
      <w:r w:rsidR="00324A6D">
        <w:t xml:space="preserve">energy </w:t>
      </w:r>
      <w:r>
        <w:t xml:space="preserve">storage technologies by type, timescale, application scale, and FSC service. Stakeholder transcripts were analyzed using the six-phase thematic framework </w:t>
      </w:r>
      <w:r w:rsidR="00324A6D">
        <w:t xml:space="preserve">proposed by </w:t>
      </w:r>
      <w:r>
        <w:t xml:space="preserve">Ahmed et al. </w:t>
      </w:r>
      <w:r w:rsidR="00A30A15">
        <w:fldChar w:fldCharType="begin"/>
      </w:r>
      <w:r w:rsidR="007717EF">
        <w:instrText xml:space="preserve"> ADDIN ZOTERO_ITEM CSL_CITATION {"citationID":"fvjkf1eO","properties":{"unsorted":false,"formattedCitation":"(2025)","plainCitation":"(2025)","noteIndex":0},"citationItems":[{"id":513,"uris":["http://zotero.org/users/18628118/items/HJQ7P9MB"],"itemData":{"id":513,"type":"article-journal","container-title":"Journal of Medicine, Surgery, and Public Health","DOI":"10.1016/j.glmedi.2025.100198","ISSN":"2949916X","journalAbbreviation":"Journal of Medicine, Surgery, and Public Health","language":"en","page":"100198","source":"DOI.org (Crossref)","title":"Using thematic analysis in qualitative research","volume":"6","author":[{"family":"Ahmed","given":"Sirwan Khalid"},{"family":"Mohammed","given":"Ribwar Arsalan"},{"family":"Nashwan","given":"Abdulqadir J."},{"family":"Ibrahim","given":"Radhwan Hussein"},{"family":"Abdalla","given":"Araz Qadir"},{"family":"M. Ameen","given":"Barzan Mohammed"},{"family":"Khdhir","given":"Renas Mohammed"}],"issued":{"date-parts":[["2025",8]]}},"suppress-author":true}],"schema":"https://github.com/citation-style-language/schema/raw/master/csl-citation.json"} </w:instrText>
      </w:r>
      <w:r w:rsidR="00A30A15">
        <w:fldChar w:fldCharType="separate"/>
      </w:r>
      <w:r w:rsidR="007717EF">
        <w:rPr>
          <w:noProof/>
        </w:rPr>
        <w:t>(2025)</w:t>
      </w:r>
      <w:r w:rsidR="00A30A15">
        <w:fldChar w:fldCharType="end"/>
      </w:r>
      <w:r w:rsidR="001A21EF">
        <w:t xml:space="preserve">. </w:t>
      </w:r>
      <w:r>
        <w:t xml:space="preserve"> </w:t>
      </w:r>
      <w:r w:rsidR="001A21EF">
        <w:t>A</w:t>
      </w:r>
      <w:r>
        <w:t>ll responses</w:t>
      </w:r>
      <w:r w:rsidR="00C57AF9">
        <w:t xml:space="preserve"> were</w:t>
      </w:r>
      <w:r>
        <w:t xml:space="preserve"> mapped against the six interview themes</w:t>
      </w:r>
      <w:r w:rsidR="00324A6D">
        <w:t xml:space="preserve"> (stated in </w:t>
      </w:r>
      <w:r w:rsidR="0051741D">
        <w:fldChar w:fldCharType="begin"/>
      </w:r>
      <w:r w:rsidR="0051741D">
        <w:instrText xml:space="preserve"> REF Sec2_3 \h </w:instrText>
      </w:r>
      <w:r w:rsidR="00974DE3">
        <w:instrText xml:space="preserve"> \* MERGEFORMAT </w:instrText>
      </w:r>
      <w:r w:rsidR="0051741D">
        <w:fldChar w:fldCharType="separate"/>
      </w:r>
      <w:r w:rsidR="0051741D">
        <w:t>2.3. Stakeholder Interviews</w:t>
      </w:r>
      <w:r w:rsidR="0051741D">
        <w:fldChar w:fldCharType="end"/>
      </w:r>
      <w:r w:rsidR="00324A6D">
        <w:t>)</w:t>
      </w:r>
      <w:r>
        <w:t xml:space="preserve">. Where </w:t>
      </w:r>
      <w:r w:rsidR="00955AA2" w:rsidRPr="00955AA2">
        <w:t xml:space="preserve">both sources converged on the same conclusion for a given research question, the finding is </w:t>
      </w:r>
      <w:r w:rsidR="000217B8">
        <w:t xml:space="preserve">treated as consistent evidence </w:t>
      </w:r>
      <w:r w:rsidR="00065D4C">
        <w:t xml:space="preserve">and reported with citations from both. </w:t>
      </w:r>
      <w:r>
        <w:t xml:space="preserve">Divergences appear in the results as either practical barriers absent from the literature or gaps between how FSC performance is framed </w:t>
      </w:r>
      <w:r w:rsidR="00F6404E">
        <w:t xml:space="preserve">in </w:t>
      </w:r>
      <w:r>
        <w:t>academic</w:t>
      </w:r>
      <w:r w:rsidR="00F6404E">
        <w:t xml:space="preserve"> sources</w:t>
      </w:r>
      <w:r>
        <w:t xml:space="preserve"> and how practitioners</w:t>
      </w:r>
      <w:r w:rsidR="00BD73C8">
        <w:t xml:space="preserve"> </w:t>
      </w:r>
      <w:r>
        <w:t>assess it.</w:t>
      </w:r>
    </w:p>
    <w:p w14:paraId="04E3E702" w14:textId="51D7772E" w:rsidR="0031080C" w:rsidRDefault="007C6B79" w:rsidP="0027244C">
      <w:pPr>
        <w:pStyle w:val="SWCHeading1"/>
        <w:rPr>
          <w:lang w:val="en-GB"/>
        </w:rPr>
      </w:pPr>
      <w:r>
        <w:rPr>
          <w:lang w:val="en-GB"/>
        </w:rPr>
        <w:t xml:space="preserve">Building </w:t>
      </w:r>
      <w:r w:rsidR="00C72421">
        <w:rPr>
          <w:lang w:val="en-GB"/>
        </w:rPr>
        <w:t>T</w:t>
      </w:r>
      <w:r w:rsidR="00827D55">
        <w:rPr>
          <w:lang w:val="en-GB"/>
        </w:rPr>
        <w:t>ypologies and</w:t>
      </w:r>
      <w:r w:rsidR="00C24E2F" w:rsidRPr="00C24E2F">
        <w:rPr>
          <w:lang w:val="en-GB"/>
        </w:rPr>
        <w:t xml:space="preserve"> FSC </w:t>
      </w:r>
      <w:r w:rsidR="00C72421">
        <w:rPr>
          <w:lang w:val="en-GB"/>
        </w:rPr>
        <w:t>C</w:t>
      </w:r>
      <w:r w:rsidR="00827D55">
        <w:rPr>
          <w:lang w:val="en-GB"/>
        </w:rPr>
        <w:t>onfigurations</w:t>
      </w:r>
    </w:p>
    <w:p w14:paraId="06BF5EEA" w14:textId="6BF3E16A" w:rsidR="00827D55" w:rsidRDefault="00605FA2" w:rsidP="006934FC">
      <w:pPr>
        <w:pStyle w:val="SWCText"/>
      </w:pPr>
      <w:r>
        <w:t xml:space="preserve">Three building typologies </w:t>
      </w:r>
      <w:r w:rsidR="00106B97">
        <w:t xml:space="preserve">(T1-T3) </w:t>
      </w:r>
      <w:r>
        <w:t>define</w:t>
      </w:r>
      <w:r w:rsidR="00D26BFE">
        <w:t xml:space="preserve"> the scope of the analysis, </w:t>
      </w:r>
      <w:r w:rsidR="00AE524B">
        <w:t xml:space="preserve">based on the main </w:t>
      </w:r>
      <w:r w:rsidR="002C3FA7">
        <w:t xml:space="preserve">modes of </w:t>
      </w:r>
      <w:r w:rsidR="00AE524B">
        <w:t xml:space="preserve">heating supply in Sweden. </w:t>
      </w:r>
      <w:r w:rsidR="00DC5B6A">
        <w:t xml:space="preserve">Five FSC configurations </w:t>
      </w:r>
      <w:r w:rsidR="00106B97">
        <w:t xml:space="preserve">(C1-C5) </w:t>
      </w:r>
      <w:r w:rsidR="00DC5B6A">
        <w:t>are developed</w:t>
      </w:r>
      <w:r w:rsidR="00A5047A">
        <w:t xml:space="preserve"> from these typologies, each pairing a typology with specific</w:t>
      </w:r>
      <w:r w:rsidR="00D85E7A">
        <w:t xml:space="preserve"> </w:t>
      </w:r>
      <w:r w:rsidR="009B6E67">
        <w:t xml:space="preserve">energy </w:t>
      </w:r>
      <w:r w:rsidR="00D85E7A">
        <w:t>conversion and storage technologies and a primary flexibility objective.</w:t>
      </w:r>
      <w:r w:rsidR="00171EB3">
        <w:t xml:space="preserve"> The typologies are literature-based archetypes rather than case studies of indivi</w:t>
      </w:r>
      <w:r w:rsidR="00C10AE3">
        <w:t xml:space="preserve">dual sites. Non-residential buildings </w:t>
      </w:r>
      <w:r w:rsidR="000A309A">
        <w:t xml:space="preserve">as well as cooling </w:t>
      </w:r>
      <w:r w:rsidR="00C10AE3">
        <w:t>are excluded from the</w:t>
      </w:r>
      <w:r w:rsidR="000A309A">
        <w:t xml:space="preserve"> study</w:t>
      </w:r>
      <w:r w:rsidR="00C10AE3">
        <w:t xml:space="preserve"> scope.</w:t>
      </w:r>
    </w:p>
    <w:p w14:paraId="4C971853" w14:textId="05055952" w:rsidR="00234F61" w:rsidRPr="00234F61" w:rsidRDefault="00234F61" w:rsidP="00234F61">
      <w:pPr>
        <w:pStyle w:val="SWCHeading11"/>
      </w:pPr>
      <w:r w:rsidRPr="00234F61">
        <w:t>3.1. Swedish Building Typologies</w:t>
      </w:r>
    </w:p>
    <w:p w14:paraId="5B8CFB2C" w14:textId="3927B739" w:rsidR="00234F61" w:rsidRPr="00C90762" w:rsidRDefault="00234F61" w:rsidP="00234F61">
      <w:pPr>
        <w:pStyle w:val="SWCText"/>
      </w:pPr>
      <w:r w:rsidRPr="00234F61">
        <w:t>Sweden's residential building stock covers roughly 713 million m</w:t>
      </w:r>
      <w:r w:rsidR="0011026E">
        <w:rPr>
          <w:vertAlign w:val="superscript"/>
        </w:rPr>
        <w:t>2</w:t>
      </w:r>
      <w:r w:rsidRPr="00234F61">
        <w:t xml:space="preserve"> of heated floor area, </w:t>
      </w:r>
      <w:r w:rsidR="003E5080">
        <w:t>divided among</w:t>
      </w:r>
      <w:r w:rsidRPr="00234F61">
        <w:t xml:space="preserve"> detached single-family houses (321 million </w:t>
      </w:r>
      <w:bookmarkStart w:id="5" w:name="_Hlk238638351"/>
      <w:r w:rsidRPr="00234F61">
        <w:t>m</w:t>
      </w:r>
      <w:r w:rsidR="001148BA" w:rsidRPr="001148BA">
        <w:rPr>
          <w:vertAlign w:val="superscript"/>
        </w:rPr>
        <w:t>2</w:t>
      </w:r>
      <w:bookmarkEnd w:id="5"/>
      <w:r w:rsidRPr="00234F61">
        <w:t>), multi-family blocks (212 million m</w:t>
      </w:r>
      <w:r w:rsidR="001148BA" w:rsidRPr="001148BA">
        <w:rPr>
          <w:vertAlign w:val="superscript"/>
        </w:rPr>
        <w:t>2</w:t>
      </w:r>
      <w:r w:rsidRPr="00234F61">
        <w:t>), and non-residential premises (180 million m</w:t>
      </w:r>
      <w:r w:rsidR="001148BA" w:rsidRPr="001148BA">
        <w:rPr>
          <w:vertAlign w:val="superscript"/>
        </w:rPr>
        <w:t>2</w:t>
      </w:r>
      <w:r w:rsidRPr="00234F61">
        <w:t xml:space="preserve">) </w:t>
      </w:r>
      <w:r w:rsidR="002F2BE3">
        <w:fldChar w:fldCharType="begin"/>
      </w:r>
      <w:r w:rsidR="001C4EFA">
        <w:instrText xml:space="preserve"> ADDIN ZOTERO_ITEM CSL_CITATION {"citationID":"fC6pN55P","properties":{"unsorted":false,"formattedCitation":"(Energimyndigheten, 2025)","plainCitation":"(Energimyndigheten, 2025)","noteIndex":0},"citationItems":[{"id":554,"uris":["http://zotero.org/users/18628118/items/43UCPKDI"],"itemData":{"id":554,"type":"webpage","abstract":"The Swedish Energy Agency produces a number of publications with facts and figures on an annual basis.","container-title":"Energimyndigheten","language":"en","title":"Energy in Sweden: Facts and Figures 2025","URL":"https://www.energimyndigheten.se/en/facts-and-figures/publications/","author":[{"literal":"Energimyndigheten"}],"accessed":{"date-parts":[["2026",8,21]]},"issued":{"date-parts":[["2025"]]}}}],"schema":"https://github.com/citation-style-language/schema/raw/master/csl-citation.json"} </w:instrText>
      </w:r>
      <w:r w:rsidR="002F2BE3">
        <w:fldChar w:fldCharType="separate"/>
      </w:r>
      <w:r w:rsidR="001C4EFA">
        <w:rPr>
          <w:lang w:eastAsia="fr-FR"/>
        </w:rPr>
        <w:t>(Energimyndigheten, 2025)</w:t>
      </w:r>
      <w:r w:rsidR="002F2BE3">
        <w:fldChar w:fldCharType="end"/>
      </w:r>
      <w:r w:rsidRPr="00234F61">
        <w:t xml:space="preserve">. </w:t>
      </w:r>
      <w:r w:rsidR="00C90762">
        <w:t xml:space="preserve">In 2023, </w:t>
      </w:r>
      <w:r w:rsidRPr="00234F61">
        <w:t>electricity</w:t>
      </w:r>
      <w:r w:rsidR="00C90762">
        <w:t xml:space="preserve"> and DH</w:t>
      </w:r>
      <w:r w:rsidR="00064956">
        <w:t xml:space="preserve"> were the main energy carrier</w:t>
      </w:r>
      <w:r w:rsidR="007522BC">
        <w:t>s</w:t>
      </w:r>
      <w:r w:rsidR="00064956">
        <w:t>, accounting for</w:t>
      </w:r>
      <w:r w:rsidRPr="00234F61">
        <w:t xml:space="preserve"> 68.7 TWh and 47.3 TWh</w:t>
      </w:r>
      <w:r w:rsidR="00867387">
        <w:t xml:space="preserve">, respectively, </w:t>
      </w:r>
      <w:r w:rsidR="007522BC">
        <w:t>out of</w:t>
      </w:r>
      <w:r w:rsidR="001A6425">
        <w:t xml:space="preserve"> a total of </w:t>
      </w:r>
      <w:r w:rsidRPr="00234F61">
        <w:t>139.5 TWh</w:t>
      </w:r>
      <w:r w:rsidR="001A6425">
        <w:t xml:space="preserve"> </w:t>
      </w:r>
      <w:r w:rsidR="001A6425">
        <w:fldChar w:fldCharType="begin"/>
      </w:r>
      <w:r w:rsidR="001A6425">
        <w:instrText xml:space="preserve"> ADDIN ZOTERO_ITEM CSL_CITATION {"citationID":"Rl7mYQ6u","properties":{"unsorted":false,"formattedCitation":"(Energimyndigheten, 2025)","plainCitation":"(Energimyndigheten, 2025)","noteIndex":0},"citationItems":[{"id":554,"uris":["http://zotero.org/users/18628118/items/43UCPKDI"],"itemData":{"id":554,"type":"webpage","abstract":"The Swedish Energy Agency produces a number of publications with facts and figures on an annual basis.","container-title":"Energimyndigheten","language":"en","title":"Energy in Sweden: Facts and Figures 2025","URL":"https://www.energimyndigheten.se/en/facts-and-figures/publications/","author":[{"literal":"Energimyndigheten"}],"accessed":{"date-parts":[["2026",8,21]]},"issued":{"date-parts":[["2025"]]}}}],"schema":"https://github.com/citation-style-language/schema/raw/master/csl-citation.json"} </w:instrText>
      </w:r>
      <w:r w:rsidR="001A6425">
        <w:fldChar w:fldCharType="separate"/>
      </w:r>
      <w:r w:rsidR="001A6425">
        <w:rPr>
          <w:noProof/>
        </w:rPr>
        <w:t>(Energimyndigheten, 2025)</w:t>
      </w:r>
      <w:r w:rsidR="001A6425">
        <w:fldChar w:fldCharType="end"/>
      </w:r>
      <w:r w:rsidR="001A6425">
        <w:t xml:space="preserve">. </w:t>
      </w:r>
      <w:r w:rsidR="004D3090" w:rsidRPr="004D3090">
        <w:t xml:space="preserve">Electricity enables direct demand response and grid market participation; DH enables thermal storage and </w:t>
      </w:r>
      <w:r w:rsidR="000F4B00">
        <w:t>SC</w:t>
      </w:r>
      <w:r w:rsidR="004D3090" w:rsidRPr="004D3090">
        <w:t xml:space="preserve"> through </w:t>
      </w:r>
      <w:r w:rsidR="000F4B00">
        <w:t>HP</w:t>
      </w:r>
      <w:r w:rsidR="004D3090" w:rsidRPr="004D3090">
        <w:t>s.</w:t>
      </w:r>
    </w:p>
    <w:p w14:paraId="42C1F26B" w14:textId="7573866F" w:rsidR="00BA446E" w:rsidRDefault="002364C7" w:rsidP="00D26BFE">
      <w:pPr>
        <w:pStyle w:val="SWCText"/>
      </w:pPr>
      <w:r w:rsidRPr="002364C7">
        <w:t>T1: DH-Connected Multi-Family Building (MFB).</w:t>
      </w:r>
      <w:r w:rsidR="00C233ED">
        <w:t xml:space="preserve"> T1 represents the Swedish multi</w:t>
      </w:r>
      <w:r w:rsidR="0057625B">
        <w:t xml:space="preserve">-family residential block, particularly </w:t>
      </w:r>
      <w:r w:rsidR="00043A6B">
        <w:t>the concrete buildings constructed</w:t>
      </w:r>
      <w:r w:rsidR="00A83D6D">
        <w:t xml:space="preserve"> under the</w:t>
      </w:r>
      <w:r w:rsidR="000B14DD">
        <w:t xml:space="preserve"> “Million </w:t>
      </w:r>
      <w:proofErr w:type="spellStart"/>
      <w:r w:rsidR="000B14DD">
        <w:t>programme</w:t>
      </w:r>
      <w:proofErr w:type="spellEnd"/>
      <w:r w:rsidR="000B14DD">
        <w:t>”</w:t>
      </w:r>
      <w:r w:rsidR="00043A6B">
        <w:t xml:space="preserve"> during the late 1960s and early 1970s</w:t>
      </w:r>
      <w:r w:rsidR="000B14DD">
        <w:t>.</w:t>
      </w:r>
      <w:r w:rsidR="0071469D">
        <w:t xml:space="preserve"> </w:t>
      </w:r>
      <w:r w:rsidR="002E6039">
        <w:t>DH dominates this typology</w:t>
      </w:r>
      <w:r w:rsidR="006B458E">
        <w:t>: in 2023, i</w:t>
      </w:r>
      <w:r w:rsidR="006C2DBA">
        <w:t>t supplied r</w:t>
      </w:r>
      <w:r w:rsidR="00CA3F48">
        <w:t>o</w:t>
      </w:r>
      <w:r w:rsidR="006C2DBA">
        <w:t xml:space="preserve">ughly </w:t>
      </w:r>
      <w:r w:rsidR="00FF4E62">
        <w:t>25.0</w:t>
      </w:r>
      <w:r w:rsidR="00CA3F48">
        <w:t xml:space="preserve"> </w:t>
      </w:r>
      <w:r w:rsidR="00FF4E62">
        <w:t>TWh of the 27.7</w:t>
      </w:r>
      <w:r w:rsidR="00CA3F48">
        <w:t xml:space="preserve"> </w:t>
      </w:r>
      <w:r w:rsidR="00FF4E62">
        <w:t xml:space="preserve">TWh </w:t>
      </w:r>
      <w:r w:rsidR="00CA3F48">
        <w:t xml:space="preserve">used for space heating and domestic hot water in Swedish </w:t>
      </w:r>
      <w:r w:rsidR="00D540AD">
        <w:t xml:space="preserve">MFBs, </w:t>
      </w:r>
      <w:r w:rsidR="00F64D34">
        <w:t xml:space="preserve">equivalent to </w:t>
      </w:r>
      <w:r w:rsidR="00731C6F">
        <w:t xml:space="preserve">a share of </w:t>
      </w:r>
      <w:r w:rsidR="00F64D34">
        <w:t>ab</w:t>
      </w:r>
      <w:r w:rsidR="00731C6F">
        <w:t>o</w:t>
      </w:r>
      <w:r w:rsidR="00F64D34">
        <w:t>ut 90</w:t>
      </w:r>
      <w:r w:rsidR="00AD368E">
        <w:t xml:space="preserve"> </w:t>
      </w:r>
      <w:r w:rsidR="00F64D34">
        <w:t>%</w:t>
      </w:r>
      <w:r w:rsidR="00731C6F">
        <w:t>.</w:t>
      </w:r>
      <w:r w:rsidR="00F03B5E">
        <w:t xml:space="preserve"> </w:t>
      </w:r>
      <w:r w:rsidR="0064366F" w:rsidRPr="0064366F">
        <w:t xml:space="preserve">Each building connects to the DH network through a substation, the heat exchanger at the building boundary that transfers district heat to the internal space-heating and hot water circuits </w:t>
      </w:r>
      <w:r w:rsidR="00DB4948">
        <w:fldChar w:fldCharType="begin"/>
      </w:r>
      <w:r w:rsidR="00DB4948">
        <w:instrText xml:space="preserve"> ADDIN ZOTERO_ITEM CSL_CITATION {"citationID":"UUo9Oipf","properties":{"unsorted":false,"formattedCitation":"(Werner, 2017)","plainCitation":"(Werner, 2017)","noteIndex":0},"citationItems":[{"id":486,"uris":["http://zotero.org/users/18628118/items/X33JPVHS"],"itemData":{"id":486,"type":"article-journal","abstract":"The purpose with this review is to provide a presentation of the background and current position for district heating and cooling in Sweden. The review structure considers the market, technical, supply, environmental, institutional, and future contexts. The main conclusions are high utilisation of district heating in Swedish buildings, commitment to the third generation of district heating technology, high proportions of heat recycling and renewable supply, high compliance to European deﬁnition of efﬁcient district heating, considerable reductions of fossil carbon dioxide emissions, strong national driving forces from high fossil fuel taxes, and soft district heating regulation based on transparency. District cooling systems are small compared to district heating systems. From strong legislative driving forces, the Swedish heat market became a testing ground for a market situation when fossil fuels are expensive in a heat market. The long-term market solutions have then become district heating in dense urban areas and local heat pumps in suburban and rural areas.","container-title":"Energy","DOI":"10.1016/j.energy.2017.03.052","ISSN":"03605442","journalAbbreviation":"Energy","language":"en","page":"419-429","source":"DOI.org (Crossref)","title":"District heating and cooling in Sweden","volume":"126","author":[{"family":"Werner","given":"Sven"}],"issued":{"date-parts":[["2017",5]]}}}],"schema":"https://github.com/citation-style-language/schema/raw/master/csl-citation.json"} </w:instrText>
      </w:r>
      <w:r w:rsidR="00DB4948">
        <w:fldChar w:fldCharType="separate"/>
      </w:r>
      <w:r w:rsidR="00DB4948">
        <w:rPr>
          <w:noProof/>
        </w:rPr>
        <w:t>(Werner, 2017)</w:t>
      </w:r>
      <w:r w:rsidR="00DB4948">
        <w:fldChar w:fldCharType="end"/>
      </w:r>
      <w:r w:rsidR="0064366F" w:rsidRPr="0064366F">
        <w:t xml:space="preserve">. </w:t>
      </w:r>
      <w:r w:rsidR="00F03B5E">
        <w:t xml:space="preserve">The thermal mass of these </w:t>
      </w:r>
      <w:r w:rsidR="00EC023C">
        <w:t xml:space="preserve">buildings </w:t>
      </w:r>
      <w:r w:rsidR="00D6332E">
        <w:t xml:space="preserve">(i.e., BITES) </w:t>
      </w:r>
      <w:r w:rsidR="00910D7F">
        <w:t xml:space="preserve">can </w:t>
      </w:r>
      <w:r w:rsidR="00EC023C">
        <w:t>enable short-term thermal storage</w:t>
      </w:r>
      <w:r w:rsidR="007D4507">
        <w:t xml:space="preserve"> without additional </w:t>
      </w:r>
      <w:r w:rsidR="003B1F30">
        <w:t xml:space="preserve">hardware. </w:t>
      </w:r>
      <w:r w:rsidR="00DA6482">
        <w:t xml:space="preserve">In a </w:t>
      </w:r>
      <w:r w:rsidR="00EB775A">
        <w:t xml:space="preserve">field </w:t>
      </w:r>
      <w:r w:rsidR="00DA6482">
        <w:t>study of</w:t>
      </w:r>
      <w:r w:rsidR="0011026E">
        <w:t xml:space="preserve"> </w:t>
      </w:r>
      <w:r w:rsidR="0011026E" w:rsidRPr="0011026E">
        <w:t xml:space="preserve">107 Swedish </w:t>
      </w:r>
      <w:r w:rsidR="00D93987">
        <w:t>MFB</w:t>
      </w:r>
      <w:r w:rsidR="00D540AD">
        <w:t>s</w:t>
      </w:r>
      <w:r w:rsidR="009F3E84">
        <w:t xml:space="preserve"> </w:t>
      </w:r>
      <w:r w:rsidR="00A44D7F">
        <w:t xml:space="preserve">where </w:t>
      </w:r>
      <w:r w:rsidR="0011026E" w:rsidRPr="0011026E">
        <w:t xml:space="preserve">feedback regulation of the DH supply temperature </w:t>
      </w:r>
      <w:r w:rsidR="009F3E84">
        <w:t>was already in</w:t>
      </w:r>
      <w:r w:rsidR="00704B7E">
        <w:t xml:space="preserve"> operation, this control was found</w:t>
      </w:r>
      <w:r w:rsidR="002E739E">
        <w:t xml:space="preserve"> to</w:t>
      </w:r>
      <w:r w:rsidR="009F3E84">
        <w:t xml:space="preserve"> </w:t>
      </w:r>
      <w:r w:rsidR="0011026E" w:rsidRPr="0011026E">
        <w:t>reduce annual heating demand by 4 kWh/</w:t>
      </w:r>
      <w:r w:rsidR="0011026E" w:rsidRPr="00234F61">
        <w:t>m</w:t>
      </w:r>
      <w:r w:rsidR="0011026E" w:rsidRPr="001148BA">
        <w:rPr>
          <w:vertAlign w:val="superscript"/>
        </w:rPr>
        <w:t>2</w:t>
      </w:r>
      <w:r w:rsidR="0011026E" w:rsidRPr="0011026E">
        <w:t xml:space="preserve"> and </w:t>
      </w:r>
      <w:r w:rsidR="00CC0C0E">
        <w:t xml:space="preserve">to lower </w:t>
      </w:r>
      <w:r w:rsidR="0011026E" w:rsidRPr="0011026E">
        <w:t xml:space="preserve">the average indoor temperature by 0.4 </w:t>
      </w:r>
      <w:r w:rsidR="00F77F85">
        <w:t>°</w:t>
      </w:r>
      <w:r w:rsidR="0011026E" w:rsidRPr="0011026E">
        <w:t xml:space="preserve">C </w:t>
      </w:r>
      <w:r w:rsidR="00086C48">
        <w:fldChar w:fldCharType="begin"/>
      </w:r>
      <w:r w:rsidR="00222149">
        <w:instrText xml:space="preserve"> ADDIN ZOTERO_ITEM CSL_CITATION {"citationID":"ujMXjYt2","properties":{"unsorted":false,"formattedCitation":"(Olsson et al., 2023)","plainCitation":"(Olsson et al., 2023)","noteIndex":0},"citationItems":[{"id":421,"uris":["http://zotero.org/users/18628118/items/XA974E2C"],"itemData":{"id":421,"type":"article-journal","abstract":"Europe needs to save energy, and lowered indoor temperature is frequently promoted as part of the solution. To facilitate this, heating control systems with feedback from indoor temperature sensors are often required to avoid thermal discomfort and achieve long-term temperature reductions. This article describes a measurement- and interview-based study on feedback control where 107 Swedish multifamily buildings were analysed. The obtained results show that buildings with lowered indoor temperatures had reduced annual heating demand by 4 kWh/m² and a reduced indoor temperature of 0.4 °C. There were, however, significant individual differences and even buildings with increased indoor temperatures, which harmed the energy savings. Temperature fluctuation was most often significantly reduced, but the impact on heating power demand during cold weather was, on average, only 2%. An interview with different actors indicated higher energy savings, possibly due to their stock’s original room temperature levels. Several interviewees also mentioned other advantages of temperature mapping. Most of the results obtained in this study were in line with several previous investigations. The study’s novelty lies in the large number of investigated buildings with mature commercial heat control technology, including PI-control for adjusting supply temperature, indoor temperature sensors in almost every apartment and a parallel analysis of additional affected parameters.","container-title":"Energies","DOI":"10.3390/en16186747","journalAbbreviation":"Energies","page":"6747","source":"ResearchGate","title":"Feedback Control in Swedish Multi-Family Buildings for Lower Energy Demand and Assured Indoor Temperature—Measurements and Interviews","volume":"16","author":[{"family":"Olsson","given":"Daniel"},{"family":"Filipsson","given":"Peter"},{"family":"Trüschel","given":"Anders"}],"issued":{"date-parts":[["2023",9,21]]}}}],"schema":"https://github.com/citation-style-language/schema/raw/master/csl-citation.json"} </w:instrText>
      </w:r>
      <w:r w:rsidR="00086C48">
        <w:fldChar w:fldCharType="separate"/>
      </w:r>
      <w:r w:rsidR="00222149">
        <w:rPr>
          <w:noProof/>
        </w:rPr>
        <w:t>(Olsson et al., 2023)</w:t>
      </w:r>
      <w:r w:rsidR="00086C48">
        <w:fldChar w:fldCharType="end"/>
      </w:r>
    </w:p>
    <w:p w14:paraId="63492BA4" w14:textId="3919B81C" w:rsidR="00BA446E" w:rsidRDefault="00C851FB" w:rsidP="00D26BFE">
      <w:pPr>
        <w:pStyle w:val="SWCText"/>
      </w:pPr>
      <w:r w:rsidRPr="00C851FB">
        <w:t>T2: Single-Family House (SFH) with Air-Source H</w:t>
      </w:r>
      <w:r w:rsidR="00E92F00">
        <w:t>Ps</w:t>
      </w:r>
      <w:r w:rsidRPr="00C851FB">
        <w:t xml:space="preserve"> and Rooftop PV.</w:t>
      </w:r>
      <w:r>
        <w:t xml:space="preserve"> </w:t>
      </w:r>
      <w:r w:rsidR="00267EF7">
        <w:t xml:space="preserve">T2 represents the detached </w:t>
      </w:r>
      <w:r w:rsidR="00D540AD">
        <w:t>SFH</w:t>
      </w:r>
      <w:r w:rsidR="00267EF7" w:rsidRPr="00267EF7">
        <w:t>, Sweden’s largest building category by floor area.</w:t>
      </w:r>
      <w:r w:rsidR="0059129C">
        <w:t xml:space="preserve"> </w:t>
      </w:r>
      <w:r w:rsidR="0059129C" w:rsidRPr="0059129C">
        <w:t>Unlike T1, only about 27</w:t>
      </w:r>
      <w:r w:rsidR="00AD368E">
        <w:t xml:space="preserve"> </w:t>
      </w:r>
      <w:r w:rsidR="0059129C" w:rsidRPr="0059129C">
        <w:t>% of Swedish detached houses are connected to a DH network</w:t>
      </w:r>
      <w:r w:rsidR="00EA6277">
        <w:t xml:space="preserve"> </w:t>
      </w:r>
      <w:r w:rsidR="00EA6277">
        <w:fldChar w:fldCharType="begin"/>
      </w:r>
      <w:r w:rsidR="00DF7C22">
        <w:instrText xml:space="preserve"> ADDIN ZOTERO_ITEM CSL_CITATION {"citationID":"ZJOqVF7w","properties":{"unsorted":false,"formattedCitation":"(Danielski et al., 2012)","plainCitation":"(Danielski et al., 2012)","noteIndex":0},"citationItems":[{"id":556,"uris":["http://zotero.org/users/18628118/items/7TT9MYNT"],"itemData":{"id":556,"type":"paper-conference","abstract":"Newly produced air source heat pumps can provide heat energy from outdoor air at temperature as low as -20°C. As a result they could be utilized during most days of the year even in the cold Nordic ...","event-title":"Conference on the Greening of Industry Network, GIN 22-24 October 2012, Linköping, Sweden","language":"eng","source":"miun.diva-portal.org","title":"Air source heat pumps and their role in the Swedish energy system","URL":"https://urn.kb.se/resolve?urn=urn:nbn:se:miun:diva-18276","author":[{"family":"Danielski","given":"Itai"},{"family":"Fröling","given":"Morgan"},{"family":"Joelsson","given":"Anna"}],"accessed":{"date-parts":[["2026",8,25]]},"issued":{"date-parts":[["2012"]]}}}],"schema":"https://github.com/citation-style-language/schema/raw/master/csl-citation.json"} </w:instrText>
      </w:r>
      <w:r w:rsidR="00EA6277">
        <w:fldChar w:fldCharType="separate"/>
      </w:r>
      <w:r w:rsidR="00DF7C22">
        <w:rPr>
          <w:noProof/>
        </w:rPr>
        <w:t>(Danielski et al., 2012)</w:t>
      </w:r>
      <w:r w:rsidR="00EA6277">
        <w:fldChar w:fldCharType="end"/>
      </w:r>
      <w:r w:rsidR="0059129C" w:rsidRPr="0059129C">
        <w:t>.</w:t>
      </w:r>
      <w:r w:rsidR="00082EC2">
        <w:t xml:space="preserve"> </w:t>
      </w:r>
      <w:r w:rsidR="00082EC2" w:rsidRPr="00082EC2">
        <w:t xml:space="preserve">Air-source </w:t>
      </w:r>
      <w:r w:rsidR="00D540AD">
        <w:t xml:space="preserve">HPs </w:t>
      </w:r>
      <w:r w:rsidR="00082EC2" w:rsidRPr="00082EC2">
        <w:t>are the dominant heating technology among the remaining houses.</w:t>
      </w:r>
      <w:r w:rsidR="00836601">
        <w:t xml:space="preserve"> </w:t>
      </w:r>
      <w:r w:rsidR="00836601" w:rsidRPr="00836601">
        <w:t xml:space="preserve">By 2021, Sweden had the highest per-capita </w:t>
      </w:r>
      <w:r w:rsidR="00930D8F">
        <w:t>HP</w:t>
      </w:r>
      <w:r w:rsidR="00836601" w:rsidRPr="00836601">
        <w:t xml:space="preserve"> capacity among European countries, with more than one million units installed in over half of all residential houses </w:t>
      </w:r>
      <w:r w:rsidR="00930D8F">
        <w:fldChar w:fldCharType="begin"/>
      </w:r>
      <w:r w:rsidR="007507D3">
        <w:instrText xml:space="preserve"> ADDIN ZOTERO_ITEM CSL_CITATION {"citationID":"A09ebXZv","properties":{"unsorted":false,"formattedCitation":"(Johansson, 2021)","plainCitation":"(Johansson, 2021)","noteIndex":0},"citationItems":[{"id":441,"uris":["http://zotero.org/users/18628118/items/XQ74P262"],"itemData":{"id":441,"type":"article-journal","abstract":"Sweden has one of Europe's highest levels of heat pump utilisation. The aim of this paper is to give a comprehensive review of heat pump developments in Sweden since the 1970s. The review includes market, energy system, policy &amp; institutional and technological-industrial contexts. A rapid expansion of heat pumps in Sweden was preceded by a two-decade period of industrial and entrepreneurial activity, academic research and government agency &amp; electric utility interventions. The industrial context, electric utility support, academic continuity and technological-institutional alignment have contributed positively to the utilisation of heat pumps in Sweden.","container-title":"Energy","DOI":"10.1016/j.energy.2021.120683","ISSN":"03605442","journalAbbreviation":"Energy","language":"en","page":"120683","source":"DOI.org (Crossref)","title":"Heat pumps in Sweden -- A historical review","volume":"229","author":[{"family":"Johansson","given":"Petter"}],"issued":{"date-parts":[["2021",8]]}}}],"schema":"https://github.com/citation-style-language/schema/raw/master/csl-citation.json"} </w:instrText>
      </w:r>
      <w:r w:rsidR="00930D8F">
        <w:fldChar w:fldCharType="separate"/>
      </w:r>
      <w:r w:rsidR="007507D3">
        <w:rPr>
          <w:noProof/>
        </w:rPr>
        <w:t>(Johansson, 2021)</w:t>
      </w:r>
      <w:r w:rsidR="00930D8F">
        <w:fldChar w:fldCharType="end"/>
      </w:r>
      <w:r w:rsidR="007507D3">
        <w:t xml:space="preserve">. </w:t>
      </w:r>
      <w:r w:rsidR="007507D3" w:rsidRPr="007507D3">
        <w:lastRenderedPageBreak/>
        <w:t xml:space="preserve">At the national level, electric space heating in this stock offers up to 7.3 GW of demand-response capacity and up to 8 GWh of shiftable energy per event, provided that indoor temperature may increase by up to 3 </w:t>
      </w:r>
      <w:r w:rsidR="005B523E">
        <w:t>°</w:t>
      </w:r>
      <w:r w:rsidR="007507D3" w:rsidRPr="007507D3">
        <w:t>C above the baseline (Nyholm, 2016).</w:t>
      </w:r>
      <w:r w:rsidR="009361CB">
        <w:t xml:space="preserve"> </w:t>
      </w:r>
      <w:r w:rsidR="00C82DC8" w:rsidRPr="00C82DC8">
        <w:t>SFHs with rooftop PV generation can operate as prosumers, meeting part of their electricity demand locally and exporting surplus to the grid.</w:t>
      </w:r>
    </w:p>
    <w:p w14:paraId="791C7810" w14:textId="3684160A" w:rsidR="00561E25" w:rsidRDefault="00561E25" w:rsidP="00D26BFE">
      <w:pPr>
        <w:pStyle w:val="SWCText"/>
      </w:pPr>
      <w:r w:rsidRPr="00561E25">
        <w:t xml:space="preserve">T3: Urban Residential District at the Positive Energy District (PED) Scale. T3 operates at the district scale and represents a planned urban residential </w:t>
      </w:r>
      <w:r w:rsidR="00715241" w:rsidRPr="00561E25">
        <w:t>neighborhood</w:t>
      </w:r>
      <w:r w:rsidRPr="00561E25">
        <w:t xml:space="preserve"> designed to meet the PED standard, under which net annual energy imports must not exceed local renewable production </w:t>
      </w:r>
      <w:r w:rsidR="0057496B">
        <w:fldChar w:fldCharType="begin"/>
      </w:r>
      <w:r w:rsidR="0057496B">
        <w:instrText xml:space="preserve"> ADDIN ZOTERO_ITEM CSL_CITATION {"citationID":"H8lhLDVQ","properties":{"unsorted":false,"formattedCitation":"(Ahrens Kayayan et al., 2025)","plainCitation":"(Ahrens Kayayan et al., 2025)","noteIndex":0},"citationItems":[{"id":398,"uris":["http://zotero.org/users/18628118/items/5CNLXARB"],"itemData":{"id":398,"type":"article-journal","abstract":"The present study addresses the implications of positive energy district metrics, comparing heat pump and district heating solutions combined with PV systems. A methodology was developed to calculate energy system equilibrium using data available to city stakeholders during the initial stages of a planned residential area. The model requires 3 dimensional drawings and data from similar buildings. This was integrated with a validated physics-based urban building energy model to simulate the thermal demand and a novel calculation of operational, individual and PV produced electricity on an hourly basis. This allows planners to estimate whether a district would meet ambitions for positive energy district as well as account for peak electrical and thermal demand and electrical energy import and export. The study also examined energy recovery from the return pipe of the district heating system. The method is applied to a case study of a planned residential district in east-central Sweden. The findings indicate that achieving positive energy district status is not feasible with either district heating or heat pump solutions combined with PV systems. Heat pumps are preferred when a lower yearly energy balance is the sole metric, however heat pumps double the peak electricity import in the winter. Neither the positive energy district yearly energy balance nor the primary energy indicator differentiate between primary and return district heating sources. The results also indicate that while positive energy districts aim to enhance the local energy system, the yearly energy balance metric alone does not promote such improvements.","container-title":"Energy and Buildings","DOI":"10.1016/j.enbuild.2025.115471","ISSN":"03787788","journalAbbreviation":"Energy and Buildings","language":"en","page":"115471","source":"DOI.org (Crossref)","title":"Positive energy districts in Sweden: The impact from heat pumps, photovoltaic systems, and energy recovery from district heating return pipe","title-short":"Positive energy districts in Sweden","volume":"334","author":[{"family":"Ahrens Kayayan","given":"Vartan"},{"family":"Cabral","given":"Diogo"},{"family":"Israelsson","given":"Karin"},{"family":"Gustafsson","given":"Mattias"}],"issued":{"date-parts":[["2025",5]]}}}],"schema":"https://github.com/citation-style-language/schema/raw/master/csl-citation.json"} </w:instrText>
      </w:r>
      <w:r w:rsidR="0057496B">
        <w:fldChar w:fldCharType="separate"/>
      </w:r>
      <w:r w:rsidR="0057496B">
        <w:rPr>
          <w:noProof/>
        </w:rPr>
        <w:t>(Ahrens Kayayan et al., 2025)</w:t>
      </w:r>
      <w:r w:rsidR="0057496B">
        <w:fldChar w:fldCharType="end"/>
      </w:r>
      <w:r w:rsidR="0057496B">
        <w:t xml:space="preserve">. </w:t>
      </w:r>
      <w:r w:rsidRPr="00561E25">
        <w:t xml:space="preserve">In a modelled residential area in </w:t>
      </w:r>
      <w:proofErr w:type="spellStart"/>
      <w:r w:rsidRPr="00561E25">
        <w:t>Gävle</w:t>
      </w:r>
      <w:proofErr w:type="spellEnd"/>
      <w:r w:rsidRPr="00561E25">
        <w:t xml:space="preserve">, replacing DH supply with distributed building-level </w:t>
      </w:r>
      <w:r w:rsidR="005D46EB">
        <w:t>HPs</w:t>
      </w:r>
      <w:r w:rsidRPr="00561E25">
        <w:t xml:space="preserve"> nearly doubled the winter peak electrical load, from approximately 1.45 MWh/h to 2.87 MWh/h </w:t>
      </w:r>
      <w:r w:rsidR="001D25D7">
        <w:fldChar w:fldCharType="begin"/>
      </w:r>
      <w:r w:rsidR="001D25D7">
        <w:instrText xml:space="preserve"> ADDIN ZOTERO_ITEM CSL_CITATION {"citationID":"vLndUpfQ","properties":{"unsorted":false,"formattedCitation":"(Ahrens Kayayan et al., 2025)","plainCitation":"(Ahrens Kayayan et al., 2025)","noteIndex":0},"citationItems":[{"id":398,"uris":["http://zotero.org/users/18628118/items/5CNLXARB"],"itemData":{"id":398,"type":"article-journal","abstract":"The present study addresses the implications of positive energy district metrics, comparing heat pump and district heating solutions combined with PV systems. A methodology was developed to calculate energy system equilibrium using data available to city stakeholders during the initial stages of a planned residential area. The model requires 3 dimensional drawings and data from similar buildings. This was integrated with a validated physics-based urban building energy model to simulate the thermal demand and a novel calculation of operational, individual and PV produced electricity on an hourly basis. This allows planners to estimate whether a district would meet ambitions for positive energy district as well as account for peak electrical and thermal demand and electrical energy import and export. The study also examined energy recovery from the return pipe of the district heating system. The method is applied to a case study of a planned residential district in east-central Sweden. The findings indicate that achieving positive energy district status is not feasible with either district heating or heat pump solutions combined with PV systems. Heat pumps are preferred when a lower yearly energy balance is the sole metric, however heat pumps double the peak electricity import in the winter. Neither the positive energy district yearly energy balance nor the primary energy indicator differentiate between primary and return district heating sources. The results also indicate that while positive energy districts aim to enhance the local energy system, the yearly energy balance metric alone does not promote such improvements.","container-title":"Energy and Buildings","DOI":"10.1016/j.enbuild.2025.115471","ISSN":"03787788","journalAbbreviation":"Energy and Buildings","language":"en","page":"115471","source":"DOI.org (Crossref)","title":"Positive energy districts in Sweden: The impact from heat pumps, photovoltaic systems, and energy recovery from district heating return pipe","title-short":"Positive energy districts in Sweden","volume":"334","author":[{"family":"Ahrens Kayayan","given":"Vartan"},{"family":"Cabral","given":"Diogo"},{"family":"Israelsson","given":"Karin"},{"family":"Gustafsson","given":"Mattias"}],"issued":{"date-parts":[["2025",5]]}}}],"schema":"https://github.com/citation-style-language/schema/raw/master/csl-citation.json"} </w:instrText>
      </w:r>
      <w:r w:rsidR="001D25D7">
        <w:fldChar w:fldCharType="separate"/>
      </w:r>
      <w:r w:rsidR="001D25D7">
        <w:rPr>
          <w:noProof/>
        </w:rPr>
        <w:t>(Ahrens Kayayan et al., 2025)</w:t>
      </w:r>
      <w:r w:rsidR="001D25D7">
        <w:fldChar w:fldCharType="end"/>
      </w:r>
      <w:r w:rsidR="001D25D7">
        <w:t xml:space="preserve">. </w:t>
      </w:r>
      <w:r w:rsidR="00F238E4">
        <w:t xml:space="preserve">At </w:t>
      </w:r>
      <w:r w:rsidR="00A96D8A" w:rsidRPr="00A96D8A">
        <w:t>98</w:t>
      </w:r>
      <w:r w:rsidR="00F238E4">
        <w:t xml:space="preserve"> </w:t>
      </w:r>
      <w:r w:rsidR="00A96D8A" w:rsidRPr="00A96D8A">
        <w:t>%</w:t>
      </w:r>
      <w:r w:rsidR="00F238E4">
        <w:t xml:space="preserve">, </w:t>
      </w:r>
      <w:r w:rsidR="000D38FC">
        <w:t>the winter peak load increase means</w:t>
      </w:r>
      <w:r w:rsidR="00A96D8A" w:rsidRPr="00A96D8A">
        <w:t xml:space="preserve"> T3 requires TES and DH return-pipe heat recovery to manage the trade-off between annual energy performance and winter grid loading.</w:t>
      </w:r>
      <w:r w:rsidR="00DF714C">
        <w:t xml:space="preserve"> </w:t>
      </w:r>
      <w:r w:rsidR="002B601E" w:rsidRPr="002B601E">
        <w:t xml:space="preserve">At district scale, this includes borehole thermal energy storage (BTES), which stores heat underground over weeks to months for use during the heating season </w:t>
      </w:r>
      <w:r w:rsidR="002B601E">
        <w:fldChar w:fldCharType="begin"/>
      </w:r>
      <w:r w:rsidR="002B601E">
        <w:instrText xml:space="preserve"> ADDIN ZOTERO_ITEM CSL_CITATION {"citationID":"tBOi5Atr","properties":{"unsorted":false,"formattedCitation":"(Vandermeulen et al., 2018)","plainCitation":"(Vandermeulen et al., 2018)","noteIndex":0},"citationItems":[{"id":484,"uris":["http://zotero.org/users/18628118/items/WS7B7CCV"],"itemData":{"id":484,"type":"article-journal","abstract":"Flexibility in district heating and cooling systems (thermal networks in general) is an important means to cope with the intermittent generation of heat and electricity as the share of renewable energy sources (RES) increases. An important source of ﬂexibility is the thermal energy storage present in district heating and cooling networks, found in the thermal inertia of buildings, storage units and the network itself. To unlock this ﬂexibility and to use it effectively and efﬁciently, a suitable control strategy is required. In this context, this paper presents a possible deﬁnition of ﬂexibility and its sources in a thermal network. It reviews techniques to quantify ﬂexibility and shows the need for a more advanced control strategy; moreover, it discusses the challenges involved in developing such a control strategy. Also, the literature on advanced control in thermal networks is reviewed, by making a distinction between central, distributed and hybrid control. Finally, possible future research topics are identiﬁed based on the ﬁndings.","container-title":"Energy","DOI":"10.1016/j.energy.2018.03.034","ISSN":"03605442","journalAbbreviation":"Energy","language":"en","page":"103-115","source":"DOI.org (Crossref)","title":"Controlling district heating and cooling networks to unlock flexibility: A review","title-short":"Controlling district heating and cooling networks to unlock flexibility","volume":"151","author":[{"family":"Vandermeulen","given":"Annelies"},{"family":"Van Der Heijde","given":"Bram"},{"family":"Helsen","given":"Lieve"}],"issued":{"date-parts":[["2018",5]]}}}],"schema":"https://github.com/citation-style-language/schema/raw/master/csl-citation.json"} </w:instrText>
      </w:r>
      <w:r w:rsidR="002B601E">
        <w:fldChar w:fldCharType="separate"/>
      </w:r>
      <w:r w:rsidR="002B601E">
        <w:rPr>
          <w:noProof/>
        </w:rPr>
        <w:t>(Vandermeulen et al., 2018)</w:t>
      </w:r>
      <w:r w:rsidR="002B601E">
        <w:fldChar w:fldCharType="end"/>
      </w:r>
      <w:r w:rsidR="002B601E">
        <w:t>.</w:t>
      </w:r>
    </w:p>
    <w:p w14:paraId="41622D8B" w14:textId="6D1D76D6" w:rsidR="00222149" w:rsidRPr="00C90762" w:rsidRDefault="00622871" w:rsidP="00622871">
      <w:pPr>
        <w:pStyle w:val="SWCHeading11"/>
        <w:rPr>
          <w:lang w:val="en-US"/>
        </w:rPr>
      </w:pPr>
      <w:r w:rsidRPr="00622871">
        <w:t xml:space="preserve">3.2. </w:t>
      </w:r>
      <w:r w:rsidR="00AD042E" w:rsidRPr="00AD042E">
        <w:t>Representative</w:t>
      </w:r>
      <w:r w:rsidR="00AD042E">
        <w:t xml:space="preserve"> </w:t>
      </w:r>
      <w:r w:rsidRPr="00622871">
        <w:t>FSC Configurations</w:t>
      </w:r>
    </w:p>
    <w:p w14:paraId="0187BE16" w14:textId="4B6E7198" w:rsidR="00D26BFE" w:rsidRDefault="00C03790" w:rsidP="006934FC">
      <w:pPr>
        <w:pStyle w:val="SWCText"/>
      </w:pPr>
      <w:r>
        <w:t>F</w:t>
      </w:r>
      <w:r w:rsidR="009D5A5C" w:rsidRPr="009D5A5C">
        <w:t xml:space="preserve">ive representative FSC configurations </w:t>
      </w:r>
      <w:r w:rsidR="00315A6F">
        <w:t>(</w:t>
      </w:r>
      <w:r w:rsidR="009D5A5C" w:rsidRPr="009D5A5C">
        <w:t>C1</w:t>
      </w:r>
      <w:r w:rsidR="00532AD6" w:rsidRPr="00843C81">
        <w:t>–</w:t>
      </w:r>
      <w:r w:rsidR="009D5A5C" w:rsidRPr="009D5A5C">
        <w:t>C5</w:t>
      </w:r>
      <w:r w:rsidR="00315A6F">
        <w:t xml:space="preserve">) are derived </w:t>
      </w:r>
      <w:r w:rsidR="009D5A5C" w:rsidRPr="009D5A5C">
        <w:t>from the</w:t>
      </w:r>
      <w:r w:rsidR="00835EA4">
        <w:t>se</w:t>
      </w:r>
      <w:r w:rsidR="009D5A5C" w:rsidRPr="009D5A5C">
        <w:t xml:space="preserve"> three typologies</w:t>
      </w:r>
      <w:r w:rsidR="00835EA4">
        <w:t xml:space="preserve"> </w:t>
      </w:r>
      <w:r w:rsidR="00970CDC">
        <w:t>(</w:t>
      </w:r>
      <w:r w:rsidR="00835EA4">
        <w:t>T1</w:t>
      </w:r>
      <w:r w:rsidR="00970CDC" w:rsidRPr="00843C81">
        <w:t>–</w:t>
      </w:r>
      <w:r w:rsidR="00835EA4">
        <w:t>T3</w:t>
      </w:r>
      <w:r w:rsidR="00970CDC">
        <w:t>)</w:t>
      </w:r>
      <w:r w:rsidR="009D5A5C" w:rsidRPr="009D5A5C">
        <w:t xml:space="preserve">. Each configuration combines one typology with one or more coupling mechanisms and a primary flexibility objective. Following </w:t>
      </w:r>
      <w:proofErr w:type="spellStart"/>
      <w:r w:rsidR="009D5A5C" w:rsidRPr="009D5A5C">
        <w:t>Ramsebner</w:t>
      </w:r>
      <w:proofErr w:type="spellEnd"/>
      <w:r w:rsidR="009D5A5C" w:rsidRPr="009D5A5C">
        <w:t xml:space="preserve"> et al. </w:t>
      </w:r>
      <w:r w:rsidR="00862A41">
        <w:fldChar w:fldCharType="begin"/>
      </w:r>
      <w:r w:rsidR="00EA2D25">
        <w:instrText xml:space="preserve"> ADDIN ZOTERO_ITEM CSL_CITATION {"citationID":"jiR0E70z","properties":{"unsorted":false,"formattedCitation":"(2021)","plainCitation":"(2021)","noteIndex":0},"citationItems":[{"id":126,"uris":["http://zotero.org/users/18628118/items/F7GMAGLD"],"itemData":{"id":126,"type":"article-journal","abstract":"Pursued climate goals require reduced greenhouse gas emissions by substituting fossil fuels with energy from renewable sources in all energy-consuming processes. On a large-scale, this can mainly be achieved through electricity from wind and sun, which are subject to intermittency. To efficiently integrate this variable energy, a coupling of the power sector to the residential, transport, industry, and commercial/trade sector is often promoted, called sector coupling (SC). Nevertheless, our literature review indicates that SC is frequently misinterpreted and its scope varies among available research, from exclusively considering the use of excess renewable electricity to a rather holistic view of integrated energy systems, including excess heat or even biomass sources. The core objective of this article is to provide a thorough understanding of the SC concept through an analysis of its origin and its main purpose, as described in the current literature. We provide a structured categorization of SC, derived from our findings, and critically discuss its remaining challenges as well as its value for renewable energy systems. We find that SC is rooted in the increasing use of variable renewable energy sources, and its main assets are the flexibility it provides for renewable energy systems, decarbonization potential for fossil-fuel-based end-consumption sectors, and consequently, reduced dependency on oil and gas extracting countries. However, the enabling technologies face great challenges in their economic feasibility because of the uncertain future development of competing solutions. This article is categorized under: Energy Systems Economics &gt; Economics and Policy Energy Systems Economics &gt; Systems and Infrastructure","container-title":"WIREs Energy and Environment","DOI":"10.1002/wene.396","ISSN":"2041-840X","issue":"4","language":"en","note":"_eprint: https://wires.onlinelibrary.wiley.com/doi/pdf/10.1002/wene.396","page":"e396","source":"Wiley Online Library","title":"The sector coupling concept: A critical review","title-short":"The sector coupling concept","volume":"10","author":[{"family":"Ramsebner","given":"Jasmine"},{"family":"Haas","given":"Reinhard"},{"family":"Ajanovic","given":"Amela"},{"family":"Wietschel","given":"Martin"}],"issued":{"date-parts":[["2021"]]}},"suppress-author":true}],"schema":"https://github.com/citation-style-language/schema/raw/master/csl-citation.json"} </w:instrText>
      </w:r>
      <w:r w:rsidR="00862A41">
        <w:fldChar w:fldCharType="separate"/>
      </w:r>
      <w:r w:rsidR="00EA2D25">
        <w:rPr>
          <w:noProof/>
        </w:rPr>
        <w:t>(2021)</w:t>
      </w:r>
      <w:r w:rsidR="00862A41">
        <w:fldChar w:fldCharType="end"/>
      </w:r>
      <w:r w:rsidR="009D5A5C" w:rsidRPr="009D5A5C">
        <w:t xml:space="preserve">, </w:t>
      </w:r>
      <w:r w:rsidR="00D540AD">
        <w:t xml:space="preserve">SC </w:t>
      </w:r>
      <w:r w:rsidR="009D5A5C" w:rsidRPr="009D5A5C">
        <w:t>is defined here as replacing fossil fuels with renewable electricity through direct electrification, power-to-heat</w:t>
      </w:r>
      <w:r w:rsidR="0052021B">
        <w:t xml:space="preserve"> (P2H)</w:t>
      </w:r>
      <w:r w:rsidR="009D5A5C" w:rsidRPr="009D5A5C">
        <w:t xml:space="preserve"> using </w:t>
      </w:r>
      <w:r w:rsidR="0052021B">
        <w:t>HPs</w:t>
      </w:r>
      <w:r w:rsidR="009D5A5C" w:rsidRPr="009D5A5C">
        <w:t xml:space="preserve"> and</w:t>
      </w:r>
      <w:r w:rsidR="00206C4E">
        <w:t xml:space="preserve"> EBs</w:t>
      </w:r>
      <w:r w:rsidR="009D5A5C" w:rsidRPr="009D5A5C">
        <w:t>, and related conversion pathways. In each configuration, thermal or electrochemical storage provides flexibility by decoupling the timing of energy conversion from the timing of delivery</w:t>
      </w:r>
      <w:r w:rsidR="004D2758">
        <w:t>, enabling peak load shifting</w:t>
      </w:r>
      <w:r w:rsidR="00B43520">
        <w:t xml:space="preserve"> </w:t>
      </w:r>
      <w:r w:rsidR="00B43520">
        <w:fldChar w:fldCharType="begin"/>
      </w:r>
      <w:r w:rsidR="00B43520">
        <w:instrText xml:space="preserve"> ADDIN ZOTERO_ITEM CSL_CITATION {"citationID":"Ucy43cva","properties":{"unsorted":false,"formattedCitation":"(Hauer et al., 2024)","plainCitation":"(Hauer et al., 2024)","noteIndex":0},"citationItems":[{"id":330,"uris":["http://zotero.org/users/18628118/items/9MGTQCUG"],"itemData":{"id":330,"type":"book","abstract":"The main input to the future power grid will be renewable electricity by wind and PV. Reaching higher shares of fluctuating renewables in the power grid may cause a variety of problems. One option to tackle these challenges, is to distribute renewable electricity to the heating/cooling and the mobility sectors. \nFrom the consumer's perspective, future energy supply has to provide the energy form needed. The energy system has to be designed based on the actual demand. In developed countries, the thermal and the mobility sector are responsible for about 75% of the final energy demand. Thus, distributing renewable electricity to\nthe heating/cooling and the mobility sectors increases the share of renewable energy in the overall energy system.\nTask 35 of the IEA’s Energy Storage TCP worked on Flexible Sector Coupling (FSC) with energy storage and examined the role of energy storage in the FSC concept. Sectors are defined as the demand sectors electricity, heating/cooling, and mobility.\nWith the integration of different energy storage technologies, it is possible to supply a demand sector with previously stored renewable energy on demand. Thereby, energy storage adds flexibility to the overall energy system. Possible energy storage technologies are thermal, chemical, and electrical energy storage.\nAccording to the Task 35 FSC definition, five pathways starting from renewable electricity via the three types of energy storage to the two consumption sectors thermal and mobility are possible. Pathways include well-known concepts like Power-to-Heat, Power-to-Gas, Power-to-Fuel, and E-Mobility.","DOI":"10.13140/RG.2.2.25204.46724","source":"ResearchGate","title":"Task 35 Flexible Sector Coupling by the Implementation of Energy Storage Final Report","author":[{"family":"Hauer","given":"Andreas"},{"family":"Botzov","given":"Nikola"},{"family":"Corsetti","given":"Edoardo"},{"family":"Gunasekara","given":"Saman"},{"family":"Lund","given":"Rasmus"},{"family":"Martin","given":"Viktoria"},{"family":"Meister","given":"Curtis"},{"family":"Rathgeber","given":"Christoph"},{"family":"Ravotti","given":"Rebecca"},{"family":"Schilt","given":"Ueli"},{"family":"Scholten","given":"Thijs"},{"family":"Totschnig","given":"Gerhard"},{"family":"Helden","given":"Wim"}],"issued":{"date-parts":[["2024",12,2]]}}}],"schema":"https://github.com/citation-style-language/schema/raw/master/csl-citation.json"} </w:instrText>
      </w:r>
      <w:r w:rsidR="00B43520">
        <w:fldChar w:fldCharType="separate"/>
      </w:r>
      <w:r w:rsidR="00B43520">
        <w:rPr>
          <w:noProof/>
        </w:rPr>
        <w:t>(Hauer et al., 2024)</w:t>
      </w:r>
      <w:r w:rsidR="00B43520">
        <w:fldChar w:fldCharType="end"/>
      </w:r>
      <w:r w:rsidR="00B43520">
        <w:t>.</w:t>
      </w:r>
      <w:r w:rsidR="00CF226E">
        <w:t xml:space="preserve"> </w:t>
      </w:r>
      <w:r w:rsidR="00575B3C">
        <w:fldChar w:fldCharType="begin"/>
      </w:r>
      <w:r w:rsidR="00575B3C">
        <w:instrText xml:space="preserve"> REF _Ref238636426 \h </w:instrText>
      </w:r>
      <w:r w:rsidR="00575B3C">
        <w:fldChar w:fldCharType="separate"/>
      </w:r>
      <w:r w:rsidR="0030162C">
        <w:t xml:space="preserve">Fig. </w:t>
      </w:r>
      <w:r w:rsidR="0030162C">
        <w:rPr>
          <w:noProof/>
        </w:rPr>
        <w:t>2</w:t>
      </w:r>
      <w:r w:rsidR="00575B3C">
        <w:fldChar w:fldCharType="end"/>
      </w:r>
      <w:r w:rsidR="00575B3C">
        <w:t xml:space="preserve"> </w:t>
      </w:r>
      <w:r w:rsidR="00A073F5">
        <w:t>maps</w:t>
      </w:r>
      <w:r w:rsidR="00D07091" w:rsidRPr="00D07091">
        <w:t xml:space="preserve"> typologies </w:t>
      </w:r>
      <w:r w:rsidR="00312F53">
        <w:t>to</w:t>
      </w:r>
      <w:r w:rsidR="00D07091" w:rsidRPr="00D07091">
        <w:t xml:space="preserve"> configurations; T1 and T3 each support two configurations</w:t>
      </w:r>
      <w:r w:rsidR="00312F53">
        <w:t xml:space="preserve"> that differ in </w:t>
      </w:r>
      <w:r w:rsidR="00D07091" w:rsidRPr="00D07091">
        <w:t xml:space="preserve">hardware investment </w:t>
      </w:r>
      <w:r w:rsidR="000E2F64">
        <w:t xml:space="preserve">level. </w:t>
      </w:r>
      <w:r w:rsidR="0099622E">
        <w:fldChar w:fldCharType="begin"/>
      </w:r>
      <w:r w:rsidR="0099622E">
        <w:instrText xml:space="preserve"> REF _Ref238636411 \h </w:instrText>
      </w:r>
      <w:r w:rsidR="0099622E">
        <w:fldChar w:fldCharType="separate"/>
      </w:r>
      <w:r w:rsidR="0099622E">
        <w:t xml:space="preserve">Table </w:t>
      </w:r>
      <w:r w:rsidR="0099622E">
        <w:rPr>
          <w:noProof/>
        </w:rPr>
        <w:t>2</w:t>
      </w:r>
      <w:r w:rsidR="0099622E">
        <w:fldChar w:fldCharType="end"/>
      </w:r>
      <w:r w:rsidR="0099622E">
        <w:t xml:space="preserve"> </w:t>
      </w:r>
      <w:r w:rsidR="00D07091" w:rsidRPr="00D07091">
        <w:t xml:space="preserve">summarizes all five across key technologies, storage type, and primary FSC service, </w:t>
      </w:r>
      <w:r w:rsidR="00364ECF" w:rsidRPr="00364ECF">
        <w:t>from pure software interventions to full district installations.</w:t>
      </w:r>
    </w:p>
    <w:p w14:paraId="2BD9413F" w14:textId="77777777" w:rsidR="00856913" w:rsidRDefault="008B6D48" w:rsidP="00856913">
      <w:pPr>
        <w:pStyle w:val="SWCText"/>
        <w:keepNext/>
      </w:pPr>
      <w:r>
        <w:rPr>
          <w:noProof/>
        </w:rPr>
        <w:drawing>
          <wp:inline distT="0" distB="0" distL="0" distR="0" wp14:anchorId="35D2A7A6" wp14:editId="00AD4EBE">
            <wp:extent cx="5567045" cy="1494790"/>
            <wp:effectExtent l="0" t="0" r="0" b="3810"/>
            <wp:docPr id="26213580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135806" name="Imagen 26213580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67045" cy="1494790"/>
                    </a:xfrm>
                    <a:prstGeom prst="rect">
                      <a:avLst/>
                    </a:prstGeom>
                  </pic:spPr>
                </pic:pic>
              </a:graphicData>
            </a:graphic>
          </wp:inline>
        </w:drawing>
      </w:r>
    </w:p>
    <w:p w14:paraId="0A557F74" w14:textId="4E8AB47F" w:rsidR="00FE4B32" w:rsidRDefault="00856913" w:rsidP="001816A8">
      <w:pPr>
        <w:pStyle w:val="SWCTableFigureCaption"/>
      </w:pPr>
      <w:bookmarkStart w:id="6" w:name="_Ref238636426"/>
      <w:r>
        <w:t xml:space="preserve">Fig. </w:t>
      </w:r>
      <w:r>
        <w:fldChar w:fldCharType="begin"/>
      </w:r>
      <w:r>
        <w:instrText xml:space="preserve"> SEQ Fig. \* ARABIC </w:instrText>
      </w:r>
      <w:r>
        <w:fldChar w:fldCharType="separate"/>
      </w:r>
      <w:r w:rsidR="0030162C">
        <w:rPr>
          <w:noProof/>
        </w:rPr>
        <w:t>2</w:t>
      </w:r>
      <w:r>
        <w:fldChar w:fldCharType="end"/>
      </w:r>
      <w:bookmarkEnd w:id="6"/>
      <w:r>
        <w:t>: Swedish building typologies (T1-T3) and FSC configurations (C1-C5).</w:t>
      </w:r>
      <w:r w:rsidR="008C3F2A">
        <w:t xml:space="preserve"> </w:t>
      </w:r>
    </w:p>
    <w:p w14:paraId="02BA32E4" w14:textId="273C6E77" w:rsidR="00E86D7F" w:rsidRDefault="00E86D7F" w:rsidP="004B2E2F">
      <w:pPr>
        <w:pStyle w:val="SWCTableFigureCaption"/>
      </w:pPr>
      <w:bookmarkStart w:id="7" w:name="_Ref238636411"/>
      <w:bookmarkStart w:id="8" w:name="_Ref238728981"/>
      <w:r>
        <w:t xml:space="preserve">Table </w:t>
      </w:r>
      <w:r>
        <w:fldChar w:fldCharType="begin"/>
      </w:r>
      <w:r>
        <w:instrText xml:space="preserve"> SEQ Table \* ARABIC </w:instrText>
      </w:r>
      <w:r>
        <w:fldChar w:fldCharType="separate"/>
      </w:r>
      <w:r w:rsidR="0030162C">
        <w:rPr>
          <w:noProof/>
        </w:rPr>
        <w:t>2</w:t>
      </w:r>
      <w:r>
        <w:fldChar w:fldCharType="end"/>
      </w:r>
      <w:bookmarkEnd w:id="7"/>
      <w:r>
        <w:t xml:space="preserve">. </w:t>
      </w:r>
      <w:r w:rsidRPr="00F050AC">
        <w:t>Summary of representative FSC configurations (C1–C5)</w:t>
      </w:r>
      <w:bookmarkEnd w:id="8"/>
    </w:p>
    <w:tbl>
      <w:tblPr>
        <w:tblStyle w:val="TableGrid"/>
        <w:tblW w:w="0" w:type="auto"/>
        <w:tblLook w:val="04A0" w:firstRow="1" w:lastRow="0" w:firstColumn="1" w:lastColumn="0" w:noHBand="0" w:noVBand="1"/>
      </w:tblPr>
      <w:tblGrid>
        <w:gridCol w:w="988"/>
        <w:gridCol w:w="1559"/>
        <w:gridCol w:w="1984"/>
        <w:gridCol w:w="1843"/>
        <w:gridCol w:w="2383"/>
      </w:tblGrid>
      <w:tr w:rsidR="007F5435" w:rsidRPr="007F5435" w14:paraId="1D6019B0" w14:textId="77777777" w:rsidTr="00877842">
        <w:tc>
          <w:tcPr>
            <w:tcW w:w="988" w:type="dxa"/>
          </w:tcPr>
          <w:p w14:paraId="632ADC76" w14:textId="77777777" w:rsidR="007F5435" w:rsidRPr="007F5435" w:rsidRDefault="007F5435" w:rsidP="00434868">
            <w:pPr>
              <w:pStyle w:val="SWCTableHeader"/>
              <w:rPr>
                <w:lang w:val="en-US"/>
              </w:rPr>
            </w:pPr>
            <w:r w:rsidRPr="007F5435">
              <w:rPr>
                <w:lang w:val="en-US"/>
              </w:rPr>
              <w:t>Config.</w:t>
            </w:r>
          </w:p>
        </w:tc>
        <w:tc>
          <w:tcPr>
            <w:tcW w:w="1559" w:type="dxa"/>
          </w:tcPr>
          <w:p w14:paraId="7E58912D" w14:textId="77777777" w:rsidR="007F5435" w:rsidRPr="007F5435" w:rsidRDefault="007F5435" w:rsidP="00434868">
            <w:pPr>
              <w:pStyle w:val="SWCTableHeader"/>
              <w:rPr>
                <w:lang w:val="en-US"/>
              </w:rPr>
            </w:pPr>
            <w:r w:rsidRPr="007F5435">
              <w:rPr>
                <w:lang w:val="en-US"/>
              </w:rPr>
              <w:t>Typology</w:t>
            </w:r>
          </w:p>
        </w:tc>
        <w:tc>
          <w:tcPr>
            <w:tcW w:w="1984" w:type="dxa"/>
          </w:tcPr>
          <w:p w14:paraId="26C66449" w14:textId="77777777" w:rsidR="007F5435" w:rsidRPr="007F5435" w:rsidRDefault="007F5435" w:rsidP="00434868">
            <w:pPr>
              <w:pStyle w:val="SWCTableHeader"/>
              <w:rPr>
                <w:lang w:val="en-US"/>
              </w:rPr>
            </w:pPr>
            <w:r w:rsidRPr="007F5435">
              <w:rPr>
                <w:lang w:val="en-US"/>
              </w:rPr>
              <w:t>Key technologies</w:t>
            </w:r>
          </w:p>
        </w:tc>
        <w:tc>
          <w:tcPr>
            <w:tcW w:w="1843" w:type="dxa"/>
          </w:tcPr>
          <w:p w14:paraId="2401FE71" w14:textId="77777777" w:rsidR="007F5435" w:rsidRPr="007F5435" w:rsidRDefault="007F5435" w:rsidP="00434868">
            <w:pPr>
              <w:pStyle w:val="SWCTableHeader"/>
              <w:rPr>
                <w:lang w:val="en-US"/>
              </w:rPr>
            </w:pPr>
            <w:r w:rsidRPr="007F5435">
              <w:rPr>
                <w:lang w:val="en-US"/>
              </w:rPr>
              <w:t>Storage type(s)</w:t>
            </w:r>
          </w:p>
        </w:tc>
        <w:tc>
          <w:tcPr>
            <w:tcW w:w="2383" w:type="dxa"/>
          </w:tcPr>
          <w:p w14:paraId="7B8AF82F" w14:textId="77777777" w:rsidR="007F5435" w:rsidRPr="007F5435" w:rsidRDefault="007F5435" w:rsidP="00434868">
            <w:pPr>
              <w:pStyle w:val="SWCTableHeader"/>
              <w:rPr>
                <w:lang w:val="en-US"/>
              </w:rPr>
            </w:pPr>
            <w:r w:rsidRPr="007F5435">
              <w:rPr>
                <w:lang w:val="en-US"/>
              </w:rPr>
              <w:t>Primary FSC service</w:t>
            </w:r>
          </w:p>
        </w:tc>
      </w:tr>
      <w:tr w:rsidR="007F5435" w:rsidRPr="007F5435" w14:paraId="3B0FC335" w14:textId="77777777" w:rsidTr="00877842">
        <w:tc>
          <w:tcPr>
            <w:tcW w:w="988" w:type="dxa"/>
          </w:tcPr>
          <w:p w14:paraId="0AC63D19" w14:textId="77777777" w:rsidR="007F5435" w:rsidRPr="00434868" w:rsidRDefault="007F5435" w:rsidP="00434868">
            <w:pPr>
              <w:pStyle w:val="SWCTableText"/>
            </w:pPr>
            <w:r w:rsidRPr="00434868">
              <w:t>C1</w:t>
            </w:r>
          </w:p>
        </w:tc>
        <w:tc>
          <w:tcPr>
            <w:tcW w:w="1559" w:type="dxa"/>
          </w:tcPr>
          <w:p w14:paraId="7222987C" w14:textId="77777777" w:rsidR="007F5435" w:rsidRPr="00434868" w:rsidRDefault="007F5435" w:rsidP="00434868">
            <w:pPr>
              <w:pStyle w:val="SWCTableText"/>
            </w:pPr>
            <w:r w:rsidRPr="00434868">
              <w:t>T1 (DH-MFB)</w:t>
            </w:r>
          </w:p>
        </w:tc>
        <w:tc>
          <w:tcPr>
            <w:tcW w:w="1984" w:type="dxa"/>
          </w:tcPr>
          <w:p w14:paraId="3440B3ED" w14:textId="77777777" w:rsidR="007F5435" w:rsidRPr="00434868" w:rsidRDefault="007F5435" w:rsidP="00434868">
            <w:pPr>
              <w:pStyle w:val="SWCTableText"/>
            </w:pPr>
            <w:r w:rsidRPr="00434868">
              <w:t>Substation HP on DH return; buffer tank</w:t>
            </w:r>
          </w:p>
        </w:tc>
        <w:tc>
          <w:tcPr>
            <w:tcW w:w="1843" w:type="dxa"/>
          </w:tcPr>
          <w:p w14:paraId="31434DB6" w14:textId="77777777" w:rsidR="007F5435" w:rsidRPr="00434868" w:rsidRDefault="007F5435" w:rsidP="00434868">
            <w:pPr>
              <w:pStyle w:val="SWCTableText"/>
            </w:pPr>
            <w:r w:rsidRPr="00434868">
              <w:t>BITES; buffer tank</w:t>
            </w:r>
          </w:p>
        </w:tc>
        <w:tc>
          <w:tcPr>
            <w:tcW w:w="2383" w:type="dxa"/>
          </w:tcPr>
          <w:p w14:paraId="7E0904F2" w14:textId="374DC507" w:rsidR="007F5435" w:rsidRPr="00434868" w:rsidRDefault="007F5435" w:rsidP="00434868">
            <w:pPr>
              <w:pStyle w:val="SWCTableText"/>
            </w:pPr>
            <w:r w:rsidRPr="00434868">
              <w:t>Peak shifting; DH return temp</w:t>
            </w:r>
            <w:r w:rsidR="00A72E1D">
              <w:t>erature</w:t>
            </w:r>
            <w:r w:rsidRPr="00434868">
              <w:t xml:space="preserve"> reduction</w:t>
            </w:r>
          </w:p>
        </w:tc>
      </w:tr>
      <w:tr w:rsidR="007F5435" w:rsidRPr="007F5435" w14:paraId="35EFBCF1" w14:textId="77777777" w:rsidTr="00877842">
        <w:tc>
          <w:tcPr>
            <w:tcW w:w="988" w:type="dxa"/>
          </w:tcPr>
          <w:p w14:paraId="66C09581" w14:textId="77777777" w:rsidR="007F5435" w:rsidRPr="00434868" w:rsidRDefault="007F5435" w:rsidP="00434868">
            <w:pPr>
              <w:pStyle w:val="SWCTableText"/>
            </w:pPr>
            <w:r w:rsidRPr="00434868">
              <w:t>C2</w:t>
            </w:r>
          </w:p>
        </w:tc>
        <w:tc>
          <w:tcPr>
            <w:tcW w:w="1559" w:type="dxa"/>
          </w:tcPr>
          <w:p w14:paraId="05345A1F" w14:textId="77777777" w:rsidR="007F5435" w:rsidRPr="00434868" w:rsidRDefault="007F5435" w:rsidP="00434868">
            <w:pPr>
              <w:pStyle w:val="SWCTableText"/>
            </w:pPr>
            <w:r w:rsidRPr="00434868">
              <w:t>T2 (SFH)</w:t>
            </w:r>
          </w:p>
        </w:tc>
        <w:tc>
          <w:tcPr>
            <w:tcW w:w="1984" w:type="dxa"/>
          </w:tcPr>
          <w:p w14:paraId="44720C16" w14:textId="77777777" w:rsidR="007F5435" w:rsidRPr="00434868" w:rsidRDefault="007F5435" w:rsidP="00434868">
            <w:pPr>
              <w:pStyle w:val="SWCTableText"/>
            </w:pPr>
            <w:r w:rsidRPr="00434868">
              <w:t>GSHP; rooftop PV; Li-ion BESS; water-tank TES</w:t>
            </w:r>
          </w:p>
        </w:tc>
        <w:tc>
          <w:tcPr>
            <w:tcW w:w="1843" w:type="dxa"/>
          </w:tcPr>
          <w:p w14:paraId="66468401" w14:textId="77777777" w:rsidR="007F5435" w:rsidRPr="00434868" w:rsidRDefault="007F5435" w:rsidP="00434868">
            <w:pPr>
              <w:pStyle w:val="SWCTableText"/>
            </w:pPr>
            <w:r w:rsidRPr="00434868">
              <w:t>Water-tank TES; Li-ion BESS</w:t>
            </w:r>
          </w:p>
        </w:tc>
        <w:tc>
          <w:tcPr>
            <w:tcW w:w="2383" w:type="dxa"/>
          </w:tcPr>
          <w:p w14:paraId="3A42F64D" w14:textId="77777777" w:rsidR="007F5435" w:rsidRPr="00434868" w:rsidRDefault="007F5435" w:rsidP="00434868">
            <w:pPr>
              <w:pStyle w:val="SWCTableText"/>
            </w:pPr>
            <w:r w:rsidRPr="00434868">
              <w:t>PV self-consumption; spot cost minimisation</w:t>
            </w:r>
          </w:p>
        </w:tc>
      </w:tr>
      <w:tr w:rsidR="007F5435" w:rsidRPr="007F5435" w14:paraId="6E812B84" w14:textId="77777777" w:rsidTr="00877842">
        <w:tc>
          <w:tcPr>
            <w:tcW w:w="988" w:type="dxa"/>
          </w:tcPr>
          <w:p w14:paraId="493042A4" w14:textId="77777777" w:rsidR="007F5435" w:rsidRPr="00434868" w:rsidRDefault="007F5435" w:rsidP="00434868">
            <w:pPr>
              <w:pStyle w:val="SWCTableText"/>
            </w:pPr>
            <w:r w:rsidRPr="00434868">
              <w:t>C3</w:t>
            </w:r>
          </w:p>
        </w:tc>
        <w:tc>
          <w:tcPr>
            <w:tcW w:w="1559" w:type="dxa"/>
          </w:tcPr>
          <w:p w14:paraId="5B79664B" w14:textId="77777777" w:rsidR="007F5435" w:rsidRPr="00434868" w:rsidRDefault="007F5435" w:rsidP="00434868">
            <w:pPr>
              <w:pStyle w:val="SWCTableText"/>
            </w:pPr>
            <w:r w:rsidRPr="00434868">
              <w:t>T1 (DH-MFB)</w:t>
            </w:r>
          </w:p>
        </w:tc>
        <w:tc>
          <w:tcPr>
            <w:tcW w:w="1984" w:type="dxa"/>
          </w:tcPr>
          <w:p w14:paraId="5B56277B" w14:textId="77777777" w:rsidR="007F5435" w:rsidRPr="00434868" w:rsidRDefault="007F5435" w:rsidP="00434868">
            <w:pPr>
              <w:pStyle w:val="SWCTableText"/>
            </w:pPr>
            <w:r w:rsidRPr="00434868">
              <w:t>Substation setpoint control only</w:t>
            </w:r>
          </w:p>
        </w:tc>
        <w:tc>
          <w:tcPr>
            <w:tcW w:w="1843" w:type="dxa"/>
          </w:tcPr>
          <w:p w14:paraId="13358A87" w14:textId="77777777" w:rsidR="007F5435" w:rsidRPr="00434868" w:rsidRDefault="007F5435" w:rsidP="00434868">
            <w:pPr>
              <w:pStyle w:val="SWCTableText"/>
            </w:pPr>
            <w:r w:rsidRPr="00434868">
              <w:t>BITES (passive)</w:t>
            </w:r>
          </w:p>
        </w:tc>
        <w:tc>
          <w:tcPr>
            <w:tcW w:w="2383" w:type="dxa"/>
          </w:tcPr>
          <w:p w14:paraId="081025A7" w14:textId="77777777" w:rsidR="007F5435" w:rsidRPr="00434868" w:rsidRDefault="007F5435" w:rsidP="00434868">
            <w:pPr>
              <w:pStyle w:val="SWCTableText"/>
            </w:pPr>
            <w:r w:rsidRPr="00434868">
              <w:t>Control-only demand response; peak shaving</w:t>
            </w:r>
          </w:p>
        </w:tc>
      </w:tr>
      <w:tr w:rsidR="007F5435" w:rsidRPr="007F5435" w14:paraId="410C3734" w14:textId="77777777" w:rsidTr="00877842">
        <w:tc>
          <w:tcPr>
            <w:tcW w:w="988" w:type="dxa"/>
          </w:tcPr>
          <w:p w14:paraId="6C6F5B77" w14:textId="77777777" w:rsidR="007F5435" w:rsidRPr="00434868" w:rsidRDefault="007F5435" w:rsidP="00434868">
            <w:pPr>
              <w:pStyle w:val="SWCTableText"/>
            </w:pPr>
            <w:r w:rsidRPr="00434868">
              <w:t>C4</w:t>
            </w:r>
          </w:p>
        </w:tc>
        <w:tc>
          <w:tcPr>
            <w:tcW w:w="1559" w:type="dxa"/>
          </w:tcPr>
          <w:p w14:paraId="0714CF75" w14:textId="77777777" w:rsidR="007F5435" w:rsidRPr="00434868" w:rsidRDefault="007F5435" w:rsidP="00434868">
            <w:pPr>
              <w:pStyle w:val="SWCTableText"/>
            </w:pPr>
            <w:r w:rsidRPr="00434868">
              <w:t>T3 (PED)</w:t>
            </w:r>
          </w:p>
        </w:tc>
        <w:tc>
          <w:tcPr>
            <w:tcW w:w="1984" w:type="dxa"/>
          </w:tcPr>
          <w:p w14:paraId="44676C48" w14:textId="77777777" w:rsidR="007F5435" w:rsidRPr="00434868" w:rsidRDefault="007F5435" w:rsidP="00434868">
            <w:pPr>
              <w:pStyle w:val="SWCTableText"/>
            </w:pPr>
            <w:r w:rsidRPr="00434868">
              <w:t>Aggregated HP fleet; collective PV; aggregator</w:t>
            </w:r>
          </w:p>
        </w:tc>
        <w:tc>
          <w:tcPr>
            <w:tcW w:w="1843" w:type="dxa"/>
          </w:tcPr>
          <w:p w14:paraId="4EB1E983" w14:textId="77777777" w:rsidR="007F5435" w:rsidRPr="00434868" w:rsidRDefault="007F5435" w:rsidP="00434868">
            <w:pPr>
              <w:pStyle w:val="SWCTableText"/>
            </w:pPr>
            <w:r w:rsidRPr="00434868">
              <w:t>Building inertia; buffer tanks</w:t>
            </w:r>
          </w:p>
        </w:tc>
        <w:tc>
          <w:tcPr>
            <w:tcW w:w="2383" w:type="dxa"/>
          </w:tcPr>
          <w:p w14:paraId="1A581AE3" w14:textId="77777777" w:rsidR="007F5435" w:rsidRPr="00434868" w:rsidRDefault="007F5435" w:rsidP="00434868">
            <w:pPr>
              <w:pStyle w:val="SWCTableText"/>
            </w:pPr>
            <w:r w:rsidRPr="00434868">
              <w:t>District VPP; renewable self-consumption</w:t>
            </w:r>
          </w:p>
        </w:tc>
      </w:tr>
      <w:tr w:rsidR="007F5435" w:rsidRPr="007F5435" w14:paraId="57A4CC1E" w14:textId="77777777" w:rsidTr="00877842">
        <w:tc>
          <w:tcPr>
            <w:tcW w:w="988" w:type="dxa"/>
          </w:tcPr>
          <w:p w14:paraId="0CAE9D56" w14:textId="77777777" w:rsidR="007F5435" w:rsidRPr="00434868" w:rsidRDefault="007F5435" w:rsidP="00434868">
            <w:pPr>
              <w:pStyle w:val="SWCTableText"/>
            </w:pPr>
            <w:r w:rsidRPr="00434868">
              <w:t>C5</w:t>
            </w:r>
          </w:p>
        </w:tc>
        <w:tc>
          <w:tcPr>
            <w:tcW w:w="1559" w:type="dxa"/>
          </w:tcPr>
          <w:p w14:paraId="21D69EBF" w14:textId="77777777" w:rsidR="007F5435" w:rsidRPr="00434868" w:rsidRDefault="007F5435" w:rsidP="00434868">
            <w:pPr>
              <w:pStyle w:val="SWCTableText"/>
            </w:pPr>
            <w:r w:rsidRPr="00434868">
              <w:t>T3 (PED/DH)</w:t>
            </w:r>
          </w:p>
        </w:tc>
        <w:tc>
          <w:tcPr>
            <w:tcW w:w="1984" w:type="dxa"/>
          </w:tcPr>
          <w:p w14:paraId="4194C932" w14:textId="455AEBB4" w:rsidR="007F5435" w:rsidRPr="00F1338D" w:rsidRDefault="007F5435" w:rsidP="00434868">
            <w:pPr>
              <w:pStyle w:val="SWCTableText"/>
              <w:rPr>
                <w:lang w:val="fr-FR"/>
              </w:rPr>
            </w:pPr>
            <w:r w:rsidRPr="00F1338D">
              <w:rPr>
                <w:lang w:val="fr-FR"/>
              </w:rPr>
              <w:t xml:space="preserve">Large </w:t>
            </w:r>
            <w:proofErr w:type="spellStart"/>
            <w:r w:rsidRPr="00F1338D">
              <w:rPr>
                <w:lang w:val="fr-FR"/>
              </w:rPr>
              <w:t>HPs</w:t>
            </w:r>
            <w:proofErr w:type="spellEnd"/>
            <w:r w:rsidRPr="00F1338D">
              <w:rPr>
                <w:lang w:val="fr-FR"/>
              </w:rPr>
              <w:t xml:space="preserve">; </w:t>
            </w:r>
            <w:r w:rsidR="00206C4E" w:rsidRPr="00F1338D">
              <w:rPr>
                <w:lang w:val="fr-FR"/>
              </w:rPr>
              <w:t>EB</w:t>
            </w:r>
            <w:r w:rsidRPr="00F1338D">
              <w:rPr>
                <w:lang w:val="fr-FR"/>
              </w:rPr>
              <w:t>; TES; 4GDH</w:t>
            </w:r>
          </w:p>
        </w:tc>
        <w:tc>
          <w:tcPr>
            <w:tcW w:w="1843" w:type="dxa"/>
          </w:tcPr>
          <w:p w14:paraId="03F76BC5" w14:textId="70297CEC" w:rsidR="007F5435" w:rsidRPr="00434868" w:rsidRDefault="007F5435" w:rsidP="00434868">
            <w:pPr>
              <w:pStyle w:val="SWCTableText"/>
            </w:pPr>
            <w:r w:rsidRPr="00434868">
              <w:t xml:space="preserve">Hot-water tanks; </w:t>
            </w:r>
            <w:r w:rsidR="007912DA">
              <w:t>BTES</w:t>
            </w:r>
            <w:r w:rsidRPr="00434868">
              <w:t>/pit TES</w:t>
            </w:r>
          </w:p>
        </w:tc>
        <w:tc>
          <w:tcPr>
            <w:tcW w:w="2383" w:type="dxa"/>
          </w:tcPr>
          <w:p w14:paraId="45EE078F" w14:textId="77777777" w:rsidR="007F5435" w:rsidRPr="00434868" w:rsidRDefault="007F5435" w:rsidP="00434868">
            <w:pPr>
              <w:pStyle w:val="SWCTableText"/>
            </w:pPr>
            <w:r w:rsidRPr="00434868">
              <w:t>Multi-seasonal P2H; curtailment absorption</w:t>
            </w:r>
          </w:p>
        </w:tc>
      </w:tr>
    </w:tbl>
    <w:p w14:paraId="229691E1" w14:textId="77777777" w:rsidR="00523585" w:rsidRDefault="00523585" w:rsidP="00B33D96">
      <w:pPr>
        <w:pStyle w:val="SWCText"/>
      </w:pPr>
    </w:p>
    <w:p w14:paraId="624CD141" w14:textId="1F115DD3" w:rsidR="00843C81" w:rsidRDefault="000E2E25" w:rsidP="00B33D96">
      <w:pPr>
        <w:pStyle w:val="SWCText"/>
      </w:pPr>
      <w:r w:rsidRPr="00FD443D">
        <w:t>C1 (Typology T1) adds</w:t>
      </w:r>
      <w:r w:rsidRPr="000E2E25">
        <w:t xml:space="preserve"> a building-side HP at the DH substation t</w:t>
      </w:r>
      <w:r w:rsidR="00347EA2">
        <w:t xml:space="preserve">o recover </w:t>
      </w:r>
      <w:r w:rsidRPr="000E2E25">
        <w:t xml:space="preserve">heat from the return circuit and feeds it to the internal space-heating loops. The main FSC service is day-ahead </w:t>
      </w:r>
      <w:r w:rsidR="00B1032B">
        <w:t>P2H</w:t>
      </w:r>
      <w:r w:rsidRPr="000E2E25">
        <w:t xml:space="preserve"> peak shifting. Swedish </w:t>
      </w:r>
      <w:r w:rsidRPr="000E2E25">
        <w:lastRenderedPageBreak/>
        <w:t>DH systems had accumulated 1,527 MW of large HP capacity across 120 units of 1 MW or more since the 1980s, with a fleet-average coefficient of performance</w:t>
      </w:r>
      <w:r w:rsidR="003E6066">
        <w:t xml:space="preserve"> (COP)</w:t>
      </w:r>
      <w:r w:rsidRPr="000E2E25">
        <w:t xml:space="preserve"> of 3.3</w:t>
      </w:r>
      <w:r w:rsidR="005009DC">
        <w:t xml:space="preserve"> </w:t>
      </w:r>
      <w:r w:rsidR="00BA732A">
        <w:fldChar w:fldCharType="begin"/>
      </w:r>
      <w:r w:rsidR="005009DC">
        <w:instrText xml:space="preserve"> ADDIN ZOTERO_ITEM CSL_CITATION {"citationID":"zGJQTOxp","properties":{"unsorted":false,"formattedCitation":"(Averfalk et al., 2017)","plainCitation":"(Averfalk et al., 2017)","noteIndex":0},"citationItems":[{"id":482,"uris":["http://zotero.org/users/18628118/items/VJBZ2B69"],"itemData":{"id":482,"type":"article-journal","abstract":"Power-to-heat solutions like heat pumps and electric boilers are foreseen to be possible future tools to stabilise international power markets with high proportions of variable power supply. Temporary low cost electricity can be used for heat generation at times with high availability of wind and solar power through substitution of ordinary heat supply, hence contributing to increased energy system sustainability. Power-to-heat installations in district heating systems are competitive due to low speciﬁc investment and installation costs for large electric boilers, heat pumps, and heat storages. Several large-scale heat pumps were installed in Swedish district heating systems during the 1980s, since a national electricity surplus from new nuclear power existed for some years. The aim of this paper is to summarise the accumulated operation experiences from these large Swedish heat pumps to support and facilitate planning of future power-to-heat solutions with heat pumps in district heating systems. Gained experiences consider; installed capacities, capacity utilisation, heat sources used, refrigerant replacements, refrigerant leakages, and wear of mechanical components. The major conclusion is that many of the large thirty-year-old heat pumps are still in operation, but with reduced capacity utilisation due to internal competition from waste and biomass cogeneration plants in the district heating systems.","container-title":"Renewable and Sustainable Energy Reviews","DOI":"10.1016/j.rser.2017.05.135","ISSN":"13640321","journalAbbreviation":"Renewable and Sustainable Energy Reviews","language":"en","page":"1275-1284","source":"DOI.org (Crossref)","title":"Large heat pumps in Swedish district heating systems","volume":"79","author":[{"family":"Averfalk","given":"Helge"},{"family":"Ingvarsson","given":"Paul"},{"family":"Persson","given":"Urban"},{"family":"Gong","given":"Mei"},{"family":"Werner","given":"Sven"}],"issued":{"date-parts":[["2017",11]]}}}],"schema":"https://github.com/citation-style-language/schema/raw/master/csl-citation.json"} </w:instrText>
      </w:r>
      <w:r w:rsidR="00BA732A">
        <w:fldChar w:fldCharType="separate"/>
      </w:r>
      <w:r w:rsidR="005009DC">
        <w:rPr>
          <w:noProof/>
        </w:rPr>
        <w:t>(Averfalk et al., 2017)</w:t>
      </w:r>
      <w:r w:rsidR="00BA732A">
        <w:fldChar w:fldCharType="end"/>
      </w:r>
      <w:r w:rsidR="005009DC">
        <w:t xml:space="preserve">. </w:t>
      </w:r>
      <w:r w:rsidRPr="000E2E25">
        <w:t xml:space="preserve">Building thermal inertia is the main </w:t>
      </w:r>
      <w:r w:rsidR="00160999">
        <w:t xml:space="preserve">energy </w:t>
      </w:r>
      <w:r w:rsidRPr="000E2E25">
        <w:t xml:space="preserve">storage resource. </w:t>
      </w:r>
      <w:r w:rsidR="00A27548" w:rsidRPr="00A27548">
        <w:t xml:space="preserve">A buffer tank at the HP output decouples compressor cycling from instantaneous heating demand </w:t>
      </w:r>
      <w:r w:rsidR="00A27548">
        <w:fldChar w:fldCharType="begin"/>
      </w:r>
      <w:r w:rsidR="00A27548">
        <w:instrText xml:space="preserve"> ADDIN ZOTERO_ITEM CSL_CITATION {"citationID":"DcWZEdaK","properties":{"unsorted":false,"formattedCitation":"(Zhou et al., 2025)","plainCitation":"(Zhou et al., 2025)","noteIndex":0},"citationItems":[{"id":262,"uris":["http://zotero.org/users/18628118/items/ZCLEX6TP"],"itemData":{"id":262,"type":"article-journal","abstract":"Heat pump systems (HP) are effective technologies for reducing energy consumption and carbon emissions for space heating and cooling of buildings. However, with large-scale deployment, increased electrical demands can place significant stress on power networks. Integrating Thermal Energy Storage (TES) with HP systems offers a viable strategy to mitigate peak power demands and enhance overall energy efficiency by decoupling heat generation and use, hence power intensive heat-generation can be shifted to off-peak and more efficient times. Due to these benefits, the combination of HP and TES systems have gained increasing attention. A number of reviews have examined specific HP-TES configurations and applications, however a comprehensive analysis of HP-TES coupled systems and particularly their modelling approaches remains limited. This paper classifies HP and TES technologies, highlighting their respective benefits and limitations. It further examines various HP-TES system configurations and applications, with a particular focus on modelling approaches. By providing a structured and comparative overview of available modelling methods, this review supports researchers and engineers in selecting the most suitable modelling approach based on system complexity, computational constraints, and specific objectives, facilitating the optimization of HP-TES systems for enhanced energy efficiency and sustainability.","container-title":"Renewable and Sustainable Energy Reviews","DOI":"10.1016/j.rser.2025.116226","journalAbbreviation":"Renewable and Sustainable Energy Reviews","page":"116226","source":"ResearchGate","title":"Thermal energy storage-coupled heat pump systems: Review of configurations and modelling approaches","title-short":"Thermal energy storage-coupled heat pump systems","volume":"226","author":[{"family":"Zhou","given":"Jin"},{"family":"Wu","given":"Wentao"},{"family":"Bellamy","given":"Larry"},{"family":"Bishop","given":"Daniel"}],"issued":{"date-parts":[["2025",8,31]]}}}],"schema":"https://github.com/citation-style-language/schema/raw/master/csl-citation.json"} </w:instrText>
      </w:r>
      <w:r w:rsidR="00A27548">
        <w:fldChar w:fldCharType="separate"/>
      </w:r>
      <w:r w:rsidR="00A27548">
        <w:rPr>
          <w:noProof/>
        </w:rPr>
        <w:t>(Zhou et al., 2025)</w:t>
      </w:r>
      <w:r w:rsidR="00A27548">
        <w:fldChar w:fldCharType="end"/>
      </w:r>
      <w:r w:rsidR="00A27548">
        <w:t xml:space="preserve">. </w:t>
      </w:r>
      <w:r w:rsidR="0064407B">
        <w:t>MFB</w:t>
      </w:r>
      <w:r w:rsidR="00E13EC4">
        <w:t>s</w:t>
      </w:r>
      <w:r w:rsidRPr="000E2E25">
        <w:t xml:space="preserve"> of the type </w:t>
      </w:r>
      <w:r w:rsidR="00340EA1">
        <w:t>commonly found</w:t>
      </w:r>
      <w:r w:rsidRPr="000E2E25">
        <w:t xml:space="preserve"> in the Swedish stock store approximately 0.1 kWh per </w:t>
      </w:r>
      <w:r w:rsidR="00C87A7B" w:rsidRPr="00234F61">
        <w:t>m</w:t>
      </w:r>
      <w:r w:rsidR="00C87A7B" w:rsidRPr="001148BA">
        <w:rPr>
          <w:vertAlign w:val="superscript"/>
        </w:rPr>
        <w:t>2</w:t>
      </w:r>
      <w:r w:rsidRPr="000E2E25">
        <w:t xml:space="preserve"> of floor area within a comfort band of plus or minus 0.5 </w:t>
      </w:r>
      <w:r w:rsidR="00FE313C">
        <w:t>°</w:t>
      </w:r>
      <w:r w:rsidRPr="000E2E25">
        <w:t xml:space="preserve">C </w:t>
      </w:r>
      <w:r w:rsidR="00D33394">
        <w:fldChar w:fldCharType="begin"/>
      </w:r>
      <w:r w:rsidR="00D33394">
        <w:instrText xml:space="preserve"> ADDIN ZOTERO_ITEM CSL_CITATION {"citationID":"1bndQOdv","properties":{"unsorted":false,"formattedCitation":"(Kensby et al., 2015)","plainCitation":"(Kensby et al., 2015)","noteIndex":0},"citationItems":[{"id":468,"uris":["http://zotero.org/users/18628118/items/FNINUFBN"],"itemData":{"id":468,"type":"article-journal","abstract":"Heat demand in a district heating system can have a signiﬁcant variation within 1 day, which produces problematic conditions for efﬁcient heat generation. Short-term thermal energy storage can decrease this daily variation and make the conditions for generating heat more favorable. By periodically overheating and underheating buildings, causing small variations in indoor temperature, building thermal inertia can be utilized for thermal energy storage. This study presents the results from a pilot test where the potential to function as thermal energy storage was tested for ﬁve multifamily residential buildings in Gothenburg, Sweden. The signals from the outdoor temperature sensors were adjusted in different cycles during a total of 52 weeks. The delivered heat and indoor temperature were measured during the test. The results indicate that heavy buildings, with a structural core of concrete, can tolerate relatively large variations in heat deliveries while still maintaining a good indoor climate. The study also demonstrated that a ﬁxed time constant is not accurate enough to describe the variations in indoor temperature caused by the utilization of the buildings as short-term thermal energy storage. Degree hours is instead proposed as a simple yet adequate measurement for the thermal energy storage capacity in buildings. Storing 0.1 kW h/m2ﬂoor area of heat will very rarely cause variations in indoor temperature larger than ±0.5 °C in a heavy building.","container-title":"Applied Energy","DOI":"10.1016/j.apenergy.2014.07.026","ISSN":"03062619","journalAbbreviation":"Applied Energy","language":"en","page":"773-781","source":"DOI.org (Crossref)","title":"Potential of residential buildings as thermal energy storage in district heating systems - Results from a pilot test","volume":"137","author":[{"family":"Kensby","given":"Johan"},{"family":"Trüschel","given":"Anders"},{"family":"Dalenbäck","given":"Jan-Olof"}],"issued":{"date-parts":[["2015",1]]}}}],"schema":"https://github.com/citation-style-language/schema/raw/master/csl-citation.json"} </w:instrText>
      </w:r>
      <w:r w:rsidR="00D33394">
        <w:fldChar w:fldCharType="separate"/>
      </w:r>
      <w:r w:rsidR="00D33394">
        <w:rPr>
          <w:noProof/>
        </w:rPr>
        <w:t>(Kensby et al., 2015)</w:t>
      </w:r>
      <w:r w:rsidR="00D33394">
        <w:fldChar w:fldCharType="end"/>
      </w:r>
      <w:r w:rsidRPr="000E2E25">
        <w:t>.</w:t>
      </w:r>
      <w:r w:rsidR="00541A65">
        <w:t xml:space="preserve"> </w:t>
      </w:r>
      <w:r w:rsidR="00541A65" w:rsidRPr="00541A65">
        <w:t xml:space="preserve">In a field study of 58 DH substations across three major Swedish networks, coordinated pre-heating cut peak thermal load by 15–20 % and lowered DH return temperature by 2 °C </w:t>
      </w:r>
      <w:r w:rsidR="00DA0E0A">
        <w:fldChar w:fldCharType="begin"/>
      </w:r>
      <w:r w:rsidR="00DA0E0A">
        <w:instrText xml:space="preserve"> ADDIN ZOTERO_ITEM CSL_CITATION {"citationID":"OuNu3b4H","properties":{"unsorted":false,"formattedCitation":"(Kensby et al., 2015)","plainCitation":"(Kensby et al., 2015)","noteIndex":0},"citationItems":[{"id":468,"uris":["http://zotero.org/users/18628118/items/FNINUFBN"],"itemData":{"id":468,"type":"article-journal","abstract":"Heat demand in a district heating system can have a signiﬁcant variation within 1 day, which produces problematic conditions for efﬁcient heat generation. Short-term thermal energy storage can decrease this daily variation and make the conditions for generating heat more favorable. By periodically overheating and underheating buildings, causing small variations in indoor temperature, building thermal inertia can be utilized for thermal energy storage. This study presents the results from a pilot test where the potential to function as thermal energy storage was tested for ﬁve multifamily residential buildings in Gothenburg, Sweden. The signals from the outdoor temperature sensors were adjusted in different cycles during a total of 52 weeks. The delivered heat and indoor temperature were measured during the test. The results indicate that heavy buildings, with a structural core of concrete, can tolerate relatively large variations in heat deliveries while still maintaining a good indoor climate. The study also demonstrated that a ﬁxed time constant is not accurate enough to describe the variations in indoor temperature caused by the utilization of the buildings as short-term thermal energy storage. Degree hours is instead proposed as a simple yet adequate measurement for the thermal energy storage capacity in buildings. Storing 0.1 kW h/m2ﬂoor area of heat will very rarely cause variations in indoor temperature larger than ±0.5 °C in a heavy building.","container-title":"Applied Energy","DOI":"10.1016/j.apenergy.2014.07.026","ISSN":"03062619","journalAbbreviation":"Applied Energy","language":"en","page":"773-781","source":"DOI.org (Crossref)","title":"Potential of residential buildings as thermal energy storage in district heating systems - Results from a pilot test","volume":"137","author":[{"family":"Kensby","given":"Johan"},{"family":"Trüschel","given":"Anders"},{"family":"Dalenbäck","given":"Jan-Olof"}],"issued":{"date-parts":[["2015",1]]}}}],"schema":"https://github.com/citation-style-language/schema/raw/master/csl-citation.json"} </w:instrText>
      </w:r>
      <w:r w:rsidR="00DA0E0A">
        <w:fldChar w:fldCharType="separate"/>
      </w:r>
      <w:r w:rsidR="00DA0E0A">
        <w:rPr>
          <w:noProof/>
        </w:rPr>
        <w:t>(Kensby et al., 2015)</w:t>
      </w:r>
      <w:r w:rsidR="00DA0E0A">
        <w:fldChar w:fldCharType="end"/>
      </w:r>
      <w:r w:rsidR="00DA0E0A">
        <w:t>.</w:t>
      </w:r>
      <w:r w:rsidR="008D6C8C">
        <w:t xml:space="preserve"> </w:t>
      </w:r>
      <w:r w:rsidR="008D6C8C" w:rsidRPr="008D6C8C">
        <w:t xml:space="preserve">Lower return temperatures increase DH network heat extraction capacity and reduce pumping losses, allowing more heat to be delivered per unit of circulating flow </w:t>
      </w:r>
      <w:r w:rsidR="00DE2B4E">
        <w:fldChar w:fldCharType="begin"/>
      </w:r>
      <w:r w:rsidR="00DE2B4E">
        <w:instrText xml:space="preserve"> ADDIN ZOTERO_ITEM CSL_CITATION {"citationID":"T7jvclBn","properties":{"unsorted":false,"formattedCitation":"(Ahrens Kayayan et al., 2025)","plainCitation":"(Ahrens Kayayan et al., 2025)","noteIndex":0},"citationItems":[{"id":398,"uris":["http://zotero.org/users/18628118/items/5CNLXARB"],"itemData":{"id":398,"type":"article-journal","abstract":"The present study addresses the implications of positive energy district metrics, comparing heat pump and district heating solutions combined with PV systems. A methodology was developed to calculate energy system equilibrium using data available to city stakeholders during the initial stages of a planned residential area. The model requires 3 dimensional drawings and data from similar buildings. This was integrated with a validated physics-based urban building energy model to simulate the thermal demand and a novel calculation of operational, individual and PV produced electricity on an hourly basis. This allows planners to estimate whether a district would meet ambitions for positive energy district as well as account for peak electrical and thermal demand and electrical energy import and export. The study also examined energy recovery from the return pipe of the district heating system. The method is applied to a case study of a planned residential district in east-central Sweden. The findings indicate that achieving positive energy district status is not feasible with either district heating or heat pump solutions combined with PV systems. Heat pumps are preferred when a lower yearly energy balance is the sole metric, however heat pumps double the peak electricity import in the winter. Neither the positive energy district yearly energy balance nor the primary energy indicator differentiate between primary and return district heating sources. The results also indicate that while positive energy districts aim to enhance the local energy system, the yearly energy balance metric alone does not promote such improvements.","container-title":"Energy and Buildings","DOI":"10.1016/j.enbuild.2025.115471","ISSN":"03787788","journalAbbreviation":"Energy and Buildings","language":"en","page":"115471","source":"DOI.org (Crossref)","title":"Positive energy districts in Sweden: The impact from heat pumps, photovoltaic systems, and energy recovery from district heating return pipe","title-short":"Positive energy districts in Sweden","volume":"334","author":[{"family":"Ahrens Kayayan","given":"Vartan"},{"family":"Cabral","given":"Diogo"},{"family":"Israelsson","given":"Karin"},{"family":"Gustafsson","given":"Mattias"}],"issued":{"date-parts":[["2025",5]]}}}],"schema":"https://github.com/citation-style-language/schema/raw/master/csl-citation.json"} </w:instrText>
      </w:r>
      <w:r w:rsidR="00DE2B4E">
        <w:fldChar w:fldCharType="separate"/>
      </w:r>
      <w:r w:rsidR="00DE2B4E">
        <w:rPr>
          <w:noProof/>
        </w:rPr>
        <w:t>(Ahrens Kayayan et al., 2025)</w:t>
      </w:r>
      <w:r w:rsidR="00DE2B4E">
        <w:fldChar w:fldCharType="end"/>
      </w:r>
      <w:r w:rsidR="00DE2B4E">
        <w:t>.</w:t>
      </w:r>
    </w:p>
    <w:p w14:paraId="2076E685" w14:textId="5A160EBB" w:rsidR="00843C81" w:rsidRDefault="00843C81" w:rsidP="00B33D96">
      <w:pPr>
        <w:pStyle w:val="SWCText"/>
      </w:pPr>
      <w:r w:rsidRPr="00843C81">
        <w:t xml:space="preserve">C2 (Typology T2) </w:t>
      </w:r>
      <w:r w:rsidR="00DB4A54">
        <w:t xml:space="preserve">is the prosumer configuration: an SFH that both </w:t>
      </w:r>
      <w:proofErr w:type="spellStart"/>
      <w:r w:rsidR="00D37819">
        <w:t>consumes</w:t>
      </w:r>
      <w:proofErr w:type="spellEnd"/>
      <w:r w:rsidR="00D37819">
        <w:t xml:space="preserve"> and locally generates electricity,</w:t>
      </w:r>
      <w:r w:rsidRPr="00843C81">
        <w:t xml:space="preserve"> equipped with a ground-source HP, rooftop PV, a water-tank </w:t>
      </w:r>
      <w:r w:rsidR="003504DE">
        <w:t>TES</w:t>
      </w:r>
      <w:r w:rsidRPr="00843C81">
        <w:t xml:space="preserve">, and a </w:t>
      </w:r>
      <w:r w:rsidR="003504DE">
        <w:t>L</w:t>
      </w:r>
      <w:r w:rsidRPr="00843C81">
        <w:t>i</w:t>
      </w:r>
      <w:r w:rsidR="003504DE">
        <w:t xml:space="preserve">-ion </w:t>
      </w:r>
      <w:r w:rsidR="0019296E">
        <w:t>BESS</w:t>
      </w:r>
      <w:r w:rsidRPr="00843C81">
        <w:t xml:space="preserve">. Two objectives </w:t>
      </w:r>
      <w:r w:rsidR="001E1035">
        <w:t>guide the operation of C2</w:t>
      </w:r>
      <w:r w:rsidRPr="00843C81">
        <w:t xml:space="preserve">: </w:t>
      </w:r>
      <w:r w:rsidR="001E1035" w:rsidRPr="00843C81">
        <w:t>maximizing</w:t>
      </w:r>
      <w:r w:rsidRPr="00843C81">
        <w:t xml:space="preserve"> PV self-consumption through rule-based </w:t>
      </w:r>
      <w:r w:rsidR="009C3E37" w:rsidRPr="00843C81">
        <w:t>control and</w:t>
      </w:r>
      <w:r w:rsidRPr="00843C81">
        <w:t xml:space="preserve"> </w:t>
      </w:r>
      <w:r w:rsidR="001E1035" w:rsidRPr="00843C81">
        <w:t>minimizing</w:t>
      </w:r>
      <w:r w:rsidRPr="00843C81">
        <w:t xml:space="preserve"> electricity cost through day-ahead spot market </w:t>
      </w:r>
      <w:r w:rsidR="00D50F53">
        <w:t xml:space="preserve">price-based </w:t>
      </w:r>
      <w:r w:rsidR="001E1035" w:rsidRPr="00843C81">
        <w:t>optimization</w:t>
      </w:r>
      <w:r w:rsidRPr="00843C81">
        <w:t>. In a comparable Nordic SFH simulation, cost-optimal control across sequential 24</w:t>
      </w:r>
      <w:r w:rsidR="00722216">
        <w:t>-</w:t>
      </w:r>
      <w:r w:rsidRPr="00843C81">
        <w:t>hour horizons reduced the annual electricity bill by 13–25</w:t>
      </w:r>
      <w:r w:rsidR="006E1E04">
        <w:t xml:space="preserve"> </w:t>
      </w:r>
      <w:r w:rsidRPr="00843C81">
        <w:t>% against a constant</w:t>
      </w:r>
      <w:r w:rsidR="008E4A55">
        <w:t xml:space="preserve"> </w:t>
      </w:r>
      <w:r w:rsidRPr="00843C81">
        <w:t xml:space="preserve">price reference </w:t>
      </w:r>
      <w:r w:rsidR="00310DC5">
        <w:fldChar w:fldCharType="begin"/>
      </w:r>
      <w:r w:rsidR="00310DC5">
        <w:instrText xml:space="preserve"> ADDIN ZOTERO_ITEM CSL_CITATION {"citationID":"s7S7bW0w","properties":{"unsorted":false,"formattedCitation":"(Salpakari and Lund, 2016)","plainCitation":"(Salpakari and Lund, 2016)","noteIndex":0},"citationItems":[{"id":478,"uris":["http://zotero.org/users/18628118/items/MJYLBKGL"],"itemData":{"id":478,"type":"article-journal","abstract":"PV installations in buildings can utilize different on-site ﬂexibility resources to balance mismatch in electricity production and demand. This paper studies cost-optimal and rule-based control for buildings with PV, employing a heat pump, thermal and electrical storage and shiftable loads as ﬂexibility sources to increase the value of PV for the prosumer. The cost-optimal control minimizes variable electricity cost employing market data on electricity price and optionally constrains grid feed-in to zero; the rule-based control aims at maximizing PV self-consumption. The ﬂexibility strategies are combined into a simulation model to analyze different system conﬁgurations over a full year.","container-title":"Applied Energy","DOI":"10.1016/j.apenergy.2015.10.036","ISSN":"03062619","journalAbbreviation":"Applied Energy","language":"en","page":"425-436","source":"DOI.org (Crossref)","title":"Optimal and rule-based control strategies for energy flexibility in buildings with PV","volume":"161","author":[{"family":"Salpakari","given":"Jyri"},{"family":"Lund","given":"Peter"}],"issued":{"date-parts":[["2016",1]]}}}],"schema":"https://github.com/citation-style-language/schema/raw/master/csl-citation.json"} </w:instrText>
      </w:r>
      <w:r w:rsidR="00310DC5">
        <w:fldChar w:fldCharType="separate"/>
      </w:r>
      <w:r w:rsidR="00310DC5">
        <w:rPr>
          <w:noProof/>
        </w:rPr>
        <w:t>(Salpakari and Lund, 2016)</w:t>
      </w:r>
      <w:r w:rsidR="00310DC5">
        <w:fldChar w:fldCharType="end"/>
      </w:r>
      <w:r w:rsidR="00310DC5">
        <w:t xml:space="preserve">. </w:t>
      </w:r>
      <w:r w:rsidR="00BB55FA" w:rsidRPr="00BB55FA">
        <w:t>A numerical study of a representative Swedish SFH PV system found that adding a BESS raised self-consumption by 20–50 percentage points and self-sufficiency by 12.5–30 percentage points</w:t>
      </w:r>
      <w:r w:rsidR="00BB55FA">
        <w:t xml:space="preserve"> </w:t>
      </w:r>
      <w:r w:rsidR="00E726E3">
        <w:fldChar w:fldCharType="begin"/>
      </w:r>
      <w:r w:rsidR="0055671F">
        <w:instrText xml:space="preserve"> ADDIN ZOTERO_ITEM CSL_CITATION {"citationID":"dwwa3k6W","properties":{"unsorted":false,"formattedCitation":"(Nyholm et al., 2016)","plainCitation":"(Nyholm et al., 2016)","noteIndex":0},"citationItems":[{"id":412,"uris":["http://zotero.org/users/18628118/items/QA78DNUT"],"itemData":{"id":412,"type":"article-journal","container-title":"Applied Energy","DOI":"10.1016/j.apenergy.2016.08.172","ISSN":"03062619","journalAbbreviation":"Applied Energy","language":"en","page":"148-159","source":"DOI.org (Crossref)","title":"Solar photovoltaic-battery systems in Swedish households – Self-consumption and self-sufficiency","volume":"183","author":[{"family":"Nyholm","given":"Emil"},{"family":"Goop","given":"Joel"},{"family":"Odenberger","given":"Mikael"},{"family":"Johnsson","given":"Filip"}],"issued":{"date-parts":[["2016",12]]}}}],"schema":"https://github.com/citation-style-language/schema/raw/master/csl-citation.json"} </w:instrText>
      </w:r>
      <w:r w:rsidR="00E726E3">
        <w:fldChar w:fldCharType="separate"/>
      </w:r>
      <w:r w:rsidR="0055671F">
        <w:rPr>
          <w:noProof/>
        </w:rPr>
        <w:t>(Nyholm et al., 2016)</w:t>
      </w:r>
      <w:r w:rsidR="00E726E3">
        <w:fldChar w:fldCharType="end"/>
      </w:r>
      <w:r w:rsidR="0055671F">
        <w:t xml:space="preserve">. </w:t>
      </w:r>
      <w:r w:rsidRPr="00843C81">
        <w:t xml:space="preserve">The </w:t>
      </w:r>
      <w:bookmarkStart w:id="9" w:name="OLE_LINK4"/>
      <w:r w:rsidRPr="00843C81">
        <w:t xml:space="preserve">water-tank </w:t>
      </w:r>
      <w:r w:rsidR="0049195A">
        <w:t>TES</w:t>
      </w:r>
      <w:r w:rsidRPr="00843C81">
        <w:t xml:space="preserve"> </w:t>
      </w:r>
      <w:bookmarkEnd w:id="9"/>
      <w:r w:rsidRPr="00843C81">
        <w:t xml:space="preserve">and the </w:t>
      </w:r>
      <w:r w:rsidR="0049195A">
        <w:t>BESS</w:t>
      </w:r>
      <w:r w:rsidRPr="00843C81">
        <w:t xml:space="preserve"> operate on different time horizons: thermal storage shifts loads over hours while the </w:t>
      </w:r>
      <w:r w:rsidR="0049195A">
        <w:t>BESS</w:t>
      </w:r>
      <w:r w:rsidRPr="00843C81">
        <w:t xml:space="preserve"> responds within seconds.</w:t>
      </w:r>
    </w:p>
    <w:p w14:paraId="2687791C" w14:textId="5CDBB009" w:rsidR="00753861" w:rsidRDefault="00753861" w:rsidP="00753861">
      <w:pPr>
        <w:pStyle w:val="SWCText"/>
      </w:pPr>
      <w:r w:rsidRPr="00753861">
        <w:t xml:space="preserve">C3 (Typology T1) shares the DH-connected </w:t>
      </w:r>
      <w:r w:rsidR="00783B0A">
        <w:t>MFB</w:t>
      </w:r>
      <w:r w:rsidRPr="00753861">
        <w:t xml:space="preserve"> setting with C1 but adds no hardware. The only flexibility resource is BITES, activated by adjusting the DH substation supply temperature or flow rate in response to a grid or price signal. C3 </w:t>
      </w:r>
      <w:r w:rsidR="001D356C">
        <w:t>offers</w:t>
      </w:r>
      <w:r w:rsidR="008E4A55">
        <w:t xml:space="preserve"> the</w:t>
      </w:r>
      <w:r w:rsidRPr="00753861">
        <w:t xml:space="preserve"> lowest</w:t>
      </w:r>
      <w:r w:rsidR="008E4A55">
        <w:t xml:space="preserve"> </w:t>
      </w:r>
      <w:r w:rsidRPr="00753861">
        <w:t xml:space="preserve">cost </w:t>
      </w:r>
      <w:r w:rsidR="001D356C">
        <w:t xml:space="preserve">path </w:t>
      </w:r>
      <w:r w:rsidR="00CD7713">
        <w:t xml:space="preserve">to </w:t>
      </w:r>
      <w:r w:rsidRPr="00753861">
        <w:t xml:space="preserve">FSC </w:t>
      </w:r>
      <w:r w:rsidR="00CD7713">
        <w:t xml:space="preserve">deployment </w:t>
      </w:r>
      <w:r w:rsidRPr="00753861">
        <w:t xml:space="preserve">for the Swedish </w:t>
      </w:r>
      <w:r w:rsidR="00B91FCF">
        <w:t>MFB</w:t>
      </w:r>
      <w:r w:rsidRPr="00753861">
        <w:t xml:space="preserve"> stock. It requires only updated substation control software. The 4</w:t>
      </w:r>
      <w:r w:rsidRPr="001C68F0">
        <w:rPr>
          <w:vertAlign w:val="superscript"/>
        </w:rPr>
        <w:t>th</w:t>
      </w:r>
      <w:r w:rsidR="00B50B7D">
        <w:t xml:space="preserve"> </w:t>
      </w:r>
      <w:r w:rsidRPr="00753861">
        <w:t xml:space="preserve">Generation District Heating (4GDH) framework </w:t>
      </w:r>
      <w:r w:rsidR="00A76BF1">
        <w:t>is designed around this mode of operation</w:t>
      </w:r>
      <w:r w:rsidRPr="00753861">
        <w:t>: weather</w:t>
      </w:r>
      <w:r w:rsidR="00510F71">
        <w:t xml:space="preserve"> </w:t>
      </w:r>
      <w:r w:rsidRPr="00753861">
        <w:t>forecast</w:t>
      </w:r>
      <w:r w:rsidR="00510F71">
        <w:t xml:space="preserve">s </w:t>
      </w:r>
      <w:r w:rsidRPr="00753861">
        <w:t>drive control schedules</w:t>
      </w:r>
      <w:r w:rsidR="00510F71">
        <w:t xml:space="preserve"> for</w:t>
      </w:r>
      <w:r w:rsidRPr="00753861">
        <w:t xml:space="preserve"> building mass charge and discharge cycles, cutting the DH load curve peak and lowering average return temperatures </w:t>
      </w:r>
      <w:r w:rsidR="00613049">
        <w:fldChar w:fldCharType="begin"/>
      </w:r>
      <w:r w:rsidR="00613049">
        <w:instrText xml:space="preserve"> ADDIN ZOTERO_ITEM CSL_CITATION {"citationID":"8tAEkI8f","properties":{"unsorted":false,"formattedCitation":"(Lund et al., 2014)","plainCitation":"(Lund et al., 2014)","noteIndex":0},"citationItems":[{"id":460,"uris":["http://zotero.org/users/18628118/items/HT8L8FCK"],"itemData":{"id":460,"type":"article-journal","abstract":"This paper deﬁnes the concept of 4th Generation District Heating (4GDH) including the relations to District Cooling and the concepts of smart energy and smart thermal grids. The motive is to identify the future challenges of reaching a future renewable non-fossil heat supply as part of the implementation of overall sustainable energy systems. The basic assumption is that district heating and cooling has an important role to play in future sustainable energy systems e including 100 percent renewable energy systems e but the present generation of district heating and cooling technologies will have to be developed further into a new generation in order to play such a role. Unlike the ﬁrst three generations, the development of 4GDH involves meeting the challenge of more energy efﬁcient buildings as well as being an integrated part of the operation of smart energy systems, i.e. integrated smart electricity, gas and thermal grids.","container-title":"Energy","DOI":"10.1016/j.energy.2014.02.089","ISSN":"03605442","journalAbbreviation":"Energy","language":"en","page":"1-11","source":"DOI.org (Crossref)","title":"4th Generation District Heating (4GDH)","volume":"68","author":[{"family":"Lund","given":"Henrik"},{"family":"Werner","given":"Sven"},{"family":"Wiltshire","given":"Robin"},{"family":"Svendsen","given":"Svend"},{"family":"Thorsen","given":"Jan Eric"},{"family":"Hvelplund","given":"Frede"},{"family":"Mathiesen","given":"Brian Vad"}],"issued":{"date-parts":[["2014",4]]}}}],"schema":"https://github.com/citation-style-language/schema/raw/master/csl-citation.json"} </w:instrText>
      </w:r>
      <w:r w:rsidR="00613049">
        <w:fldChar w:fldCharType="separate"/>
      </w:r>
      <w:r w:rsidR="00613049">
        <w:rPr>
          <w:noProof/>
        </w:rPr>
        <w:t>(Lund et al., 2014)</w:t>
      </w:r>
      <w:r w:rsidR="00613049">
        <w:fldChar w:fldCharType="end"/>
      </w:r>
      <w:r w:rsidR="00613049">
        <w:t>.</w:t>
      </w:r>
    </w:p>
    <w:p w14:paraId="44A62BCA" w14:textId="37A32AF7" w:rsidR="00613049" w:rsidRDefault="00613049" w:rsidP="00613049">
      <w:pPr>
        <w:pStyle w:val="SWCText"/>
      </w:pPr>
      <w:r w:rsidRPr="00613049">
        <w:t xml:space="preserve">C4 (Typology T3) aggregates individually sized HPs across multiple buildings into a coordinated virtual power plant (VPP), alongside a collectively owned PV array. The goal is to shift electric heating loads in response to spot market prices or </w:t>
      </w:r>
      <w:r w:rsidR="008F0B1E" w:rsidRPr="008F0B1E">
        <w:t>balancing signals from the grid operator</w:t>
      </w:r>
      <w:r w:rsidRPr="00613049">
        <w:t xml:space="preserve">. District-scale aggregation works because </w:t>
      </w:r>
      <w:r w:rsidR="003F3DA7">
        <w:t>the load profiles of individual HPs</w:t>
      </w:r>
      <w:r w:rsidR="00B6016A">
        <w:t xml:space="preserve"> are complementary</w:t>
      </w:r>
      <w:r w:rsidRPr="00613049">
        <w:t xml:space="preserve">. </w:t>
      </w:r>
      <w:r w:rsidR="002A4E77">
        <w:t>Individual HP</w:t>
      </w:r>
      <w:r w:rsidR="004C4329">
        <w:t xml:space="preserve"> units</w:t>
      </w:r>
      <w:r w:rsidR="004053F6">
        <w:t xml:space="preserve"> are unlikely to face</w:t>
      </w:r>
      <w:r w:rsidR="004C4329">
        <w:t xml:space="preserve"> peak</w:t>
      </w:r>
      <w:r w:rsidR="004053F6">
        <w:t xml:space="preserve"> thermal deman</w:t>
      </w:r>
      <w:r w:rsidR="00C0673F">
        <w:t>d</w:t>
      </w:r>
      <w:r w:rsidR="004053F6">
        <w:t xml:space="preserve"> simultaneously</w:t>
      </w:r>
      <w:r w:rsidR="004C4329">
        <w:t xml:space="preserve"> in practice</w:t>
      </w:r>
      <w:r w:rsidR="004053F6">
        <w:t>,</w:t>
      </w:r>
      <w:r w:rsidRPr="00613049">
        <w:t xml:space="preserve"> </w:t>
      </w:r>
      <w:r w:rsidR="002E4C57">
        <w:t xml:space="preserve">so </w:t>
      </w:r>
      <w:r w:rsidRPr="00613049">
        <w:t>the aggregate VPP can sustain near-continuous load modulation</w:t>
      </w:r>
      <w:r w:rsidR="00C656D7">
        <w:t xml:space="preserve"> without disrupting the normal</w:t>
      </w:r>
      <w:r w:rsidR="00C0673F">
        <w:t xml:space="preserve"> cycling of individual units</w:t>
      </w:r>
      <w:r w:rsidRPr="00613049">
        <w:t xml:space="preserve"> </w:t>
      </w:r>
      <w:r w:rsidR="002534A6">
        <w:fldChar w:fldCharType="begin"/>
      </w:r>
      <w:r w:rsidR="002534A6">
        <w:instrText xml:space="preserve"> ADDIN ZOTERO_ITEM CSL_CITATION {"citationID":"9y2MslKl","properties":{"unsorted":false,"formattedCitation":"(Vandermeulen et al., 2018)","plainCitation":"(Vandermeulen et al., 2018)","noteIndex":0},"citationItems":[{"id":484,"uris":["http://zotero.org/users/18628118/items/WS7B7CCV"],"itemData":{"id":484,"type":"article-journal","abstract":"Flexibility in district heating and cooling systems (thermal networks in general) is an important means to cope with the intermittent generation of heat and electricity as the share of renewable energy sources (RES) increases. An important source of ﬂexibility is the thermal energy storage present in district heating and cooling networks, found in the thermal inertia of buildings, storage units and the network itself. To unlock this ﬂexibility and to use it effectively and efﬁciently, a suitable control strategy is required. In this context, this paper presents a possible deﬁnition of ﬂexibility and its sources in a thermal network. It reviews techniques to quantify ﬂexibility and shows the need for a more advanced control strategy; moreover, it discusses the challenges involved in developing such a control strategy. Also, the literature on advanced control in thermal networks is reviewed, by making a distinction between central, distributed and hybrid control. Finally, possible future research topics are identiﬁed based on the ﬁndings.","container-title":"Energy","DOI":"10.1016/j.energy.2018.03.034","ISSN":"03605442","journalAbbreviation":"Energy","language":"en","page":"103-115","source":"DOI.org (Crossref)","title":"Controlling district heating and cooling networks to unlock flexibility: A review","title-short":"Controlling district heating and cooling networks to unlock flexibility","volume":"151","author":[{"family":"Vandermeulen","given":"Annelies"},{"family":"Van Der Heijde","given":"Bram"},{"family":"Helsen","given":"Lieve"}],"issued":{"date-parts":[["2018",5]]}}}],"schema":"https://github.com/citation-style-language/schema/raw/master/csl-citation.json"} </w:instrText>
      </w:r>
      <w:r w:rsidR="002534A6">
        <w:fldChar w:fldCharType="separate"/>
      </w:r>
      <w:r w:rsidR="002534A6">
        <w:rPr>
          <w:noProof/>
        </w:rPr>
        <w:t>(Vandermeulen et al., 2018)</w:t>
      </w:r>
      <w:r w:rsidR="002534A6">
        <w:fldChar w:fldCharType="end"/>
      </w:r>
      <w:r w:rsidR="002534A6">
        <w:t>.</w:t>
      </w:r>
    </w:p>
    <w:p w14:paraId="35EACD6F" w14:textId="3BEF5E0F" w:rsidR="00613049" w:rsidRDefault="0043766C" w:rsidP="00613049">
      <w:pPr>
        <w:pStyle w:val="SWCText"/>
        <w:rPr>
          <w:lang w:val="en-GB"/>
        </w:rPr>
      </w:pPr>
      <w:r w:rsidRPr="0043766C">
        <w:rPr>
          <w:lang w:val="en-GB"/>
        </w:rPr>
        <w:t>C5 (Typology T3) is the largest configuration</w:t>
      </w:r>
      <w:r w:rsidR="006145DE">
        <w:rPr>
          <w:lang w:val="en-GB"/>
        </w:rPr>
        <w:t xml:space="preserve"> </w:t>
      </w:r>
      <w:r w:rsidR="008A3BBB">
        <w:rPr>
          <w:lang w:val="en-GB"/>
        </w:rPr>
        <w:t>in terms of both spatial and temporal scale</w:t>
      </w:r>
      <w:r w:rsidRPr="0043766C">
        <w:rPr>
          <w:lang w:val="en-GB"/>
        </w:rPr>
        <w:t xml:space="preserve">. It </w:t>
      </w:r>
      <w:r w:rsidR="001B6139">
        <w:rPr>
          <w:lang w:val="en-GB"/>
        </w:rPr>
        <w:t>combines</w:t>
      </w:r>
      <w:r w:rsidRPr="0043766C">
        <w:rPr>
          <w:lang w:val="en-GB"/>
        </w:rPr>
        <w:t xml:space="preserve"> a centralised HP, or </w:t>
      </w:r>
      <w:r w:rsidR="00D673F1">
        <w:rPr>
          <w:lang w:val="en-GB"/>
        </w:rPr>
        <w:t xml:space="preserve">a </w:t>
      </w:r>
      <w:r w:rsidRPr="0043766C">
        <w:rPr>
          <w:lang w:val="en-GB"/>
        </w:rPr>
        <w:t xml:space="preserve">fleet of large HPs, with an </w:t>
      </w:r>
      <w:r w:rsidR="00206C4E">
        <w:rPr>
          <w:lang w:val="en-GB"/>
        </w:rPr>
        <w:t>E</w:t>
      </w:r>
      <w:r w:rsidR="001D49D6">
        <w:rPr>
          <w:lang w:val="en-GB"/>
        </w:rPr>
        <w:t>B</w:t>
      </w:r>
      <w:r w:rsidRPr="0043766C">
        <w:rPr>
          <w:lang w:val="en-GB"/>
        </w:rPr>
        <w:t xml:space="preserve"> for peak </w:t>
      </w:r>
      <w:r w:rsidR="00383D06">
        <w:rPr>
          <w:lang w:val="en-GB"/>
        </w:rPr>
        <w:t>P2H</w:t>
      </w:r>
      <w:r w:rsidRPr="0043766C">
        <w:rPr>
          <w:lang w:val="en-GB"/>
        </w:rPr>
        <w:t xml:space="preserve"> capacity and a large </w:t>
      </w:r>
      <w:r w:rsidR="00383D06">
        <w:rPr>
          <w:lang w:val="en-GB"/>
        </w:rPr>
        <w:t>TES</w:t>
      </w:r>
      <w:r w:rsidR="008D22F0">
        <w:rPr>
          <w:lang w:val="en-GB"/>
        </w:rPr>
        <w:t xml:space="preserve"> that shifts heat across timescales ranging from</w:t>
      </w:r>
      <w:r w:rsidRPr="0043766C">
        <w:rPr>
          <w:lang w:val="en-GB"/>
        </w:rPr>
        <w:t xml:space="preserve"> hours to seasons. The </w:t>
      </w:r>
      <w:r w:rsidR="001D49D6">
        <w:rPr>
          <w:lang w:val="en-GB"/>
        </w:rPr>
        <w:t>EB</w:t>
      </w:r>
      <w:r w:rsidRPr="0043766C">
        <w:rPr>
          <w:lang w:val="en-GB"/>
        </w:rPr>
        <w:t xml:space="preserve"> </w:t>
      </w:r>
      <w:r w:rsidR="004F7059">
        <w:rPr>
          <w:lang w:val="en-GB"/>
        </w:rPr>
        <w:t xml:space="preserve">provides fast response by </w:t>
      </w:r>
      <w:r w:rsidRPr="0043766C">
        <w:rPr>
          <w:lang w:val="en-GB"/>
        </w:rPr>
        <w:t xml:space="preserve">converting surplus grid electricity </w:t>
      </w:r>
      <w:r w:rsidR="002173DC">
        <w:rPr>
          <w:lang w:val="en-GB"/>
        </w:rPr>
        <w:t>in</w:t>
      </w:r>
      <w:r w:rsidRPr="0043766C">
        <w:rPr>
          <w:lang w:val="en-GB"/>
        </w:rPr>
        <w:t xml:space="preserve">to heat with negligible ramp-up time, while the HP provides baseload </w:t>
      </w:r>
      <w:r w:rsidR="004919A5">
        <w:rPr>
          <w:lang w:val="en-GB"/>
        </w:rPr>
        <w:t>capacity</w:t>
      </w:r>
      <w:r w:rsidRPr="0043766C">
        <w:rPr>
          <w:lang w:val="en-GB"/>
        </w:rPr>
        <w:t xml:space="preserve">. Swedish DH systems held 900,000 </w:t>
      </w:r>
      <w:bookmarkStart w:id="10" w:name="_Hlk238723564"/>
      <w:r w:rsidRPr="0043766C">
        <w:rPr>
          <w:lang w:val="en-GB"/>
        </w:rPr>
        <w:t>m</w:t>
      </w:r>
      <w:r w:rsidR="001A6AC0">
        <w:rPr>
          <w:vertAlign w:val="superscript"/>
        </w:rPr>
        <w:t>3</w:t>
      </w:r>
      <w:bookmarkEnd w:id="10"/>
      <w:r w:rsidRPr="0043766C">
        <w:rPr>
          <w:lang w:val="en-GB"/>
        </w:rPr>
        <w:t xml:space="preserve"> of hot water storage in 2016, around 150 TJ, enough for multi-hour charge and discharge cycles at district scale</w:t>
      </w:r>
      <w:r w:rsidR="00145ED6">
        <w:rPr>
          <w:lang w:val="en-GB"/>
        </w:rPr>
        <w:t xml:space="preserve"> </w:t>
      </w:r>
      <w:r w:rsidR="00145ED6">
        <w:rPr>
          <w:lang w:val="en-GB"/>
        </w:rPr>
        <w:fldChar w:fldCharType="begin"/>
      </w:r>
      <w:r w:rsidR="007026D5">
        <w:rPr>
          <w:lang w:val="en-GB"/>
        </w:rPr>
        <w:instrText xml:space="preserve"> ADDIN ZOTERO_ITEM CSL_CITATION {"citationID":"rHQU7069","properties":{"unsorted":false,"formattedCitation":"(Werner, 2017)","plainCitation":"(Werner, 2017)","noteIndex":0},"citationItems":[{"id":486,"uris":["http://zotero.org/users/18628118/items/X33JPVHS"],"itemData":{"id":486,"type":"article-journal","abstract":"The purpose with this review is to provide a presentation of the background and current position for district heating and cooling in Sweden. The review structure considers the market, technical, supply, environmental, institutional, and future contexts. The main conclusions are high utilisation of district heating in Swedish buildings, commitment to the third generation of district heating technology, high proportions of heat recycling and renewable supply, high compliance to European deﬁnition of efﬁcient district heating, considerable reductions of fossil carbon dioxide emissions, strong national driving forces from high fossil fuel taxes, and soft district heating regulation based on transparency. District cooling systems are small compared to district heating systems. From strong legislative driving forces, the Swedish heat market became a testing ground for a market situation when fossil fuels are expensive in a heat market. The long-term market solutions have then become district heating in dense urban areas and local heat pumps in suburban and rural areas.","container-title":"Energy","DOI":"10.1016/j.energy.2017.03.052","ISSN":"03605442","journalAbbreviation":"Energy","language":"en","page":"419-429","source":"DOI.org (Crossref)","title":"District heating and cooling in Sweden","volume":"126","author":[{"family":"Werner","given":"Sven"}],"issued":{"date-parts":[["2017",5]]}}}],"schema":"https://github.com/citation-style-language/schema/raw/master/csl-citation.json"} </w:instrText>
      </w:r>
      <w:r w:rsidR="00145ED6">
        <w:rPr>
          <w:lang w:val="en-GB"/>
        </w:rPr>
        <w:fldChar w:fldCharType="separate"/>
      </w:r>
      <w:r w:rsidR="007026D5">
        <w:rPr>
          <w:noProof/>
          <w:lang w:val="en-GB"/>
        </w:rPr>
        <w:t>(Werner, 2017)</w:t>
      </w:r>
      <w:r w:rsidR="00145ED6">
        <w:rPr>
          <w:lang w:val="en-GB"/>
        </w:rPr>
        <w:fldChar w:fldCharType="end"/>
      </w:r>
      <w:r w:rsidRPr="0043766C">
        <w:rPr>
          <w:lang w:val="en-GB"/>
        </w:rPr>
        <w:t xml:space="preserve">. Where </w:t>
      </w:r>
      <w:r w:rsidR="00750FC5">
        <w:rPr>
          <w:lang w:val="en-GB"/>
        </w:rPr>
        <w:t>BTES</w:t>
      </w:r>
      <w:r w:rsidRPr="0043766C">
        <w:rPr>
          <w:lang w:val="en-GB"/>
        </w:rPr>
        <w:t xml:space="preserve"> or pit </w:t>
      </w:r>
      <w:r w:rsidR="00B8572F">
        <w:rPr>
          <w:lang w:val="en-GB"/>
        </w:rPr>
        <w:t>TES</w:t>
      </w:r>
      <w:r w:rsidRPr="0043766C">
        <w:rPr>
          <w:lang w:val="en-GB"/>
        </w:rPr>
        <w:t xml:space="preserve"> is available, the charge-discharge window</w:t>
      </w:r>
      <w:r w:rsidR="00DD59C5">
        <w:rPr>
          <w:lang w:val="en-GB"/>
        </w:rPr>
        <w:t xml:space="preserve"> can</w:t>
      </w:r>
      <w:r w:rsidRPr="0043766C">
        <w:rPr>
          <w:lang w:val="en-GB"/>
        </w:rPr>
        <w:t xml:space="preserve"> extend to </w:t>
      </w:r>
      <w:r w:rsidR="0078399C">
        <w:rPr>
          <w:lang w:val="en-GB"/>
        </w:rPr>
        <w:t xml:space="preserve">several </w:t>
      </w:r>
      <w:r w:rsidRPr="0043766C">
        <w:rPr>
          <w:lang w:val="en-GB"/>
        </w:rPr>
        <w:t xml:space="preserve">months. </w:t>
      </w:r>
      <w:r w:rsidR="0078399C">
        <w:rPr>
          <w:lang w:val="en-GB"/>
        </w:rPr>
        <w:t>This allows s</w:t>
      </w:r>
      <w:r w:rsidRPr="0043766C">
        <w:rPr>
          <w:lang w:val="en-GB"/>
        </w:rPr>
        <w:t xml:space="preserve">ummer renewable surplus </w:t>
      </w:r>
      <w:r w:rsidR="0078399C">
        <w:rPr>
          <w:lang w:val="en-GB"/>
        </w:rPr>
        <w:t>to</w:t>
      </w:r>
      <w:r w:rsidRPr="0043766C">
        <w:rPr>
          <w:lang w:val="en-GB"/>
        </w:rPr>
        <w:t xml:space="preserve"> be stored for winter delivery. The HP share in Swedish DH supply is projected to reach 61</w:t>
      </w:r>
      <w:r w:rsidR="006E1E04">
        <w:rPr>
          <w:lang w:val="en-GB"/>
        </w:rPr>
        <w:t xml:space="preserve"> </w:t>
      </w:r>
      <w:r w:rsidRPr="0043766C">
        <w:rPr>
          <w:lang w:val="en-GB"/>
        </w:rPr>
        <w:t xml:space="preserve">% by 2050, when seasonal storage will be needed to carry those surpluses into the winter heating season </w:t>
      </w:r>
      <w:r w:rsidR="00F65DAA">
        <w:rPr>
          <w:lang w:val="en-GB"/>
        </w:rPr>
        <w:fldChar w:fldCharType="begin"/>
      </w:r>
      <w:r w:rsidR="00202FBC">
        <w:rPr>
          <w:lang w:val="en-GB"/>
        </w:rPr>
        <w:instrText xml:space="preserve"> ADDIN ZOTERO_ITEM CSL_CITATION {"citationID":"fEmeLBNo","properties":{"unsorted":false,"formattedCitation":"(Atabaki et al., 2026)","plainCitation":"(Atabaki et al., 2026)","noteIndex":0},"citationItems":[{"id":458,"uris":["http://zotero.org/users/18628118/items/7B52WL2Y"],"itemData":{"id":458,"type":"article-journal","abstract":"The future energy systems dominated by variable renewable energy sources require system flexibility for balancing fluctuating supply and demand. This study is motivated by the need to investigate how sector coupling between the power and district heating sectors can enhance flexibility. It is hypothesised that a partially disaggregated sector-coupling approach can efficiently capture interactions between energy generation, conversion, and storage technologies. A mathematical optimisation framework is developed to analyse cost-optimal and environmentally benign energy system transitions in Sweden up to 2050. The model accounts for the ten largest Swedish district heating systems integrated within the national power system. Results reveal that wind turbines, with a 56% share, supported by electricity storage dominate electricity generation in 2050. Electricity storage enables demand to be met with 7% lower installed power generation capacity. The resulting generation mix drives a shift in district heating supply, with the heat generation share of combined heat and power plants declining to 24% and that of heat pumps increasing to 61% by 2050. Seasonal thermal storage systems play an important role in this shift, supplying 11% of district heating demand. However, transitions towards lowtemperature district heating reduce the seasonal storage share while further favouring heat pumps (up to 80% of heat generation). Increased availability of stable waste heat for direct district heating supply also diminishes the role of seasonal heat storage. Overall, the results highlight that district heating provides a flexibility service for the energy system, but multiple flexibility solutions are needed to fully exploit electricity oversupply.","container-title":"Energy Conversion and Management","DOI":"10.1016/j.enconman.2026.121165","ISSN":"01968904","journalAbbreviation":"Energy Conversion and Management","language":"en","page":"121165","source":"DOI.org (Crossref)","title":"Optimising the transition of Swedish energy systems through sector coupling of power and district heating","volume":"353","author":[{"family":"Atabaki","given":"Mohammad Saeid"},{"family":"Averfalk","given":"Helge"},{"family":"Widén","given":"Kristian"},{"family":"Möllerström","given":"Erik"},{"family":"Gadd","given":"Henrik"},{"family":"Persson","given":"Urban"}],"issued":{"date-parts":[["2026",4]]}}}],"schema":"https://github.com/citation-style-language/schema/raw/master/csl-citation.json"} </w:instrText>
      </w:r>
      <w:r w:rsidR="00F65DAA">
        <w:rPr>
          <w:lang w:val="en-GB"/>
        </w:rPr>
        <w:fldChar w:fldCharType="separate"/>
      </w:r>
      <w:r w:rsidR="00202FBC">
        <w:rPr>
          <w:noProof/>
          <w:lang w:val="en-GB"/>
        </w:rPr>
        <w:t>(Atabaki et al., 2026)</w:t>
      </w:r>
      <w:r w:rsidR="00F65DAA">
        <w:rPr>
          <w:lang w:val="en-GB"/>
        </w:rPr>
        <w:fldChar w:fldCharType="end"/>
      </w:r>
      <w:r w:rsidR="00202FBC">
        <w:rPr>
          <w:lang w:val="en-GB"/>
        </w:rPr>
        <w:t>.</w:t>
      </w:r>
    </w:p>
    <w:p w14:paraId="3F0D2151" w14:textId="0E29F81D" w:rsidR="00816A22" w:rsidRPr="00816A22" w:rsidRDefault="00610BA5" w:rsidP="00EF0102">
      <w:pPr>
        <w:pStyle w:val="SWCText"/>
      </w:pPr>
      <w:r w:rsidRPr="00610BA5">
        <w:t xml:space="preserve">The five configurations </w:t>
      </w:r>
      <w:r w:rsidR="008A6A18">
        <w:t>operate at</w:t>
      </w:r>
      <w:r w:rsidRPr="00610BA5">
        <w:t xml:space="preserve"> two </w:t>
      </w:r>
      <w:r w:rsidR="009563D4">
        <w:t xml:space="preserve">levels </w:t>
      </w:r>
      <w:r w:rsidRPr="00610BA5">
        <w:t xml:space="preserve">of spatial scale: building-level (C1–C3) and district-level (C4–C5). Capital requirement increases from a control software update in C3 to a substation HP in C1, multi-component SFH hardware in C2, and district coordination infrastructure in C4 and C5, where C5 also requires </w:t>
      </w:r>
      <w:r w:rsidR="00717B65">
        <w:t xml:space="preserve">a </w:t>
      </w:r>
      <w:r w:rsidR="00EF0102" w:rsidRPr="00610BA5">
        <w:t>centralized</w:t>
      </w:r>
      <w:r w:rsidRPr="00610BA5">
        <w:t xml:space="preserve"> plant and </w:t>
      </w:r>
      <w:r w:rsidR="00F46DF8">
        <w:t>seasonal</w:t>
      </w:r>
      <w:r w:rsidR="00BB58CD">
        <w:t xml:space="preserve"> </w:t>
      </w:r>
      <w:r w:rsidR="00717B65">
        <w:t xml:space="preserve">BTES </w:t>
      </w:r>
      <w:r w:rsidR="00BB58CD">
        <w:t>or pit TES</w:t>
      </w:r>
      <w:r w:rsidRPr="00610BA5">
        <w:t>.</w:t>
      </w:r>
    </w:p>
    <w:p w14:paraId="7C13E170" w14:textId="0D292083" w:rsidR="00044C57" w:rsidRPr="00044C57" w:rsidRDefault="009E0E4E" w:rsidP="00044C57">
      <w:pPr>
        <w:pStyle w:val="SWCHeading1"/>
        <w:rPr>
          <w:lang w:val="en-GB"/>
        </w:rPr>
      </w:pPr>
      <w:r w:rsidRPr="009E0E4E">
        <w:rPr>
          <w:lang w:val="en-GB"/>
        </w:rPr>
        <w:t>R</w:t>
      </w:r>
      <w:r w:rsidR="00EF0102">
        <w:rPr>
          <w:lang w:val="en-GB"/>
        </w:rPr>
        <w:t>esults and Discussion</w:t>
      </w:r>
    </w:p>
    <w:p w14:paraId="57F09301" w14:textId="02E824A2" w:rsidR="00044C57" w:rsidRDefault="00B140D5" w:rsidP="00044C57">
      <w:pPr>
        <w:pStyle w:val="SWCText"/>
      </w:pPr>
      <w:r>
        <w:t>Both the</w:t>
      </w:r>
      <w:r w:rsidR="002D1A4D">
        <w:t xml:space="preserve"> </w:t>
      </w:r>
      <w:r w:rsidR="00044C57">
        <w:t xml:space="preserve">literature review and </w:t>
      </w:r>
      <w:r w:rsidR="000D134A">
        <w:t>the</w:t>
      </w:r>
      <w:r w:rsidR="00044C57">
        <w:t xml:space="preserve"> stakeholder interviews </w:t>
      </w:r>
      <w:r w:rsidR="000D134A">
        <w:t>inform</w:t>
      </w:r>
      <w:r w:rsidR="000610B4">
        <w:t xml:space="preserve"> the findings below</w:t>
      </w:r>
      <w:r w:rsidR="00044C57">
        <w:t xml:space="preserve">. </w:t>
      </w:r>
      <w:r w:rsidR="00054670" w:rsidRPr="00054670">
        <w:t xml:space="preserve">Across all three typologies, the technical basis for FSC is present. The </w:t>
      </w:r>
      <w:r w:rsidR="00514C1A">
        <w:t>barriers</w:t>
      </w:r>
      <w:r w:rsidR="00B361A6">
        <w:t xml:space="preserve"> to implementation are</w:t>
      </w:r>
      <w:r w:rsidR="006B386F" w:rsidRPr="006B386F">
        <w:t xml:space="preserve"> primarily regulatory, organizational, and digital factors rather than</w:t>
      </w:r>
      <w:r w:rsidR="00DC2BA4">
        <w:t xml:space="preserve"> </w:t>
      </w:r>
      <w:r w:rsidR="006B386F" w:rsidRPr="006B386F">
        <w:t>technical.</w:t>
      </w:r>
    </w:p>
    <w:p w14:paraId="59239DA7" w14:textId="48585B7E" w:rsidR="008870E0" w:rsidRDefault="00F838CC" w:rsidP="00044C57">
      <w:pPr>
        <w:pStyle w:val="SWCText"/>
      </w:pPr>
      <w:r>
        <w:t>Five</w:t>
      </w:r>
      <w:r w:rsidR="0062505C">
        <w:t xml:space="preserve"> subsections address</w:t>
      </w:r>
      <w:r w:rsidR="00044C57">
        <w:t xml:space="preserve"> the six research questions</w:t>
      </w:r>
      <w:r w:rsidR="0062505C">
        <w:t xml:space="preserve">: </w:t>
      </w:r>
      <w:r w:rsidR="00044C57">
        <w:t xml:space="preserve">storage technology and FSC service scope (RQ1–2), configuration assessment (RQ3), performance indicator alignment (RQ4), digital maturity requirements </w:t>
      </w:r>
      <w:r w:rsidR="00044C57">
        <w:lastRenderedPageBreak/>
        <w:t>(RQ5), and adoption drivers and barriers in the Swedish context (RQ6).</w:t>
      </w:r>
    </w:p>
    <w:p w14:paraId="1F3F5DAD" w14:textId="287EB46D" w:rsidR="00CE56FB" w:rsidRPr="008034E2" w:rsidRDefault="00CE56FB" w:rsidP="00C63920">
      <w:pPr>
        <w:pStyle w:val="SWCHeading11"/>
        <w:rPr>
          <w:lang w:val="en-US"/>
        </w:rPr>
      </w:pPr>
      <w:r w:rsidRPr="008034E2">
        <w:rPr>
          <w:lang w:val="en-US"/>
        </w:rPr>
        <w:t xml:space="preserve">4.1. </w:t>
      </w:r>
      <w:r w:rsidR="00DF4375">
        <w:rPr>
          <w:lang w:val="en-US"/>
        </w:rPr>
        <w:t xml:space="preserve">Energy </w:t>
      </w:r>
      <w:r w:rsidRPr="00E569FB">
        <w:t>Storage</w:t>
      </w:r>
      <w:r w:rsidRPr="008034E2">
        <w:rPr>
          <w:lang w:val="en-US"/>
        </w:rPr>
        <w:t xml:space="preserve"> Technologies and FSC Services</w:t>
      </w:r>
    </w:p>
    <w:p w14:paraId="3E77389C" w14:textId="655458F2" w:rsidR="00C63920" w:rsidRPr="00BA40BE" w:rsidRDefault="008034E2" w:rsidP="00BA40BE">
      <w:pPr>
        <w:pStyle w:val="SWCText"/>
      </w:pPr>
      <w:r w:rsidRPr="00BA40BE">
        <w:t xml:space="preserve">Three </w:t>
      </w:r>
      <w:r w:rsidR="00DF4375" w:rsidRPr="00BA40BE">
        <w:t xml:space="preserve">energy </w:t>
      </w:r>
      <w:r w:rsidRPr="00BA40BE">
        <w:t>storage categories apply to Swedish buildings and district energy systems: TES, BITES, and BESS. No single category covers the full range of FSC service requirements. Together, they span timescales from minutes to months.</w:t>
      </w:r>
    </w:p>
    <w:p w14:paraId="59AAA2F9" w14:textId="1B9B9D4B" w:rsidR="00CC3387" w:rsidRDefault="008C69E0" w:rsidP="00CC3387">
      <w:pPr>
        <w:pStyle w:val="SWCText"/>
      </w:pPr>
      <w:r>
        <w:t xml:space="preserve">In </w:t>
      </w:r>
      <w:r w:rsidR="009D2622">
        <w:t xml:space="preserve">all three typologies, </w:t>
      </w:r>
      <w:r w:rsidR="00CC3387" w:rsidRPr="00CC3387">
        <w:t>TES is the dominant</w:t>
      </w:r>
      <w:r w:rsidR="00590A89">
        <w:t xml:space="preserve"> storage technology for</w:t>
      </w:r>
      <w:r w:rsidR="00CC3387" w:rsidRPr="00CC3387">
        <w:t xml:space="preserve"> short to medium</w:t>
      </w:r>
      <w:r w:rsidR="00BE2BF7">
        <w:t xml:space="preserve"> timescales</w:t>
      </w:r>
      <w:r w:rsidR="00CC3387" w:rsidRPr="00CC3387">
        <w:t>. Water-</w:t>
      </w:r>
      <w:r w:rsidR="00EF4B3D" w:rsidRPr="00EF4B3D">
        <w:t>based sensible TES</w:t>
      </w:r>
      <w:r w:rsidR="00337024">
        <w:t xml:space="preserve"> operates at</w:t>
      </w:r>
      <w:r w:rsidR="00BD0E3C">
        <w:t xml:space="preserve"> two scales.</w:t>
      </w:r>
      <w:r w:rsidR="00EF4B3D" w:rsidRPr="00EF4B3D">
        <w:t xml:space="preserve"> </w:t>
      </w:r>
      <w:r w:rsidR="00C57D20">
        <w:t>At the building scale</w:t>
      </w:r>
      <w:r w:rsidR="00F9508A">
        <w:t>,</w:t>
      </w:r>
      <w:r w:rsidR="00EF4B3D" w:rsidRPr="00EF4B3D">
        <w:t xml:space="preserve"> water-tank TES </w:t>
      </w:r>
      <w:r w:rsidR="00A368AD">
        <w:t xml:space="preserve">of </w:t>
      </w:r>
      <w:r w:rsidR="00EF4B3D" w:rsidRPr="00EF4B3D">
        <w:t>1–3.5 m³</w:t>
      </w:r>
      <w:r w:rsidR="00A368AD">
        <w:t xml:space="preserve"> are</w:t>
      </w:r>
      <w:r w:rsidR="00EF4B3D" w:rsidRPr="00EF4B3D">
        <w:t xml:space="preserve"> operated</w:t>
      </w:r>
      <w:r w:rsidR="00F9508A">
        <w:t xml:space="preserve"> with</w:t>
      </w:r>
      <w:r w:rsidR="00EF4B3D" w:rsidRPr="00EF4B3D">
        <w:t xml:space="preserve"> active control strategies to shift thermal loads and </w:t>
      </w:r>
      <w:r w:rsidR="000037EC" w:rsidRPr="00EF4B3D">
        <w:t>maximize</w:t>
      </w:r>
      <w:r w:rsidR="00EF4B3D" w:rsidRPr="00EF4B3D">
        <w:t xml:space="preserve"> PV self-consumption </w:t>
      </w:r>
      <w:r w:rsidR="00745067">
        <w:fldChar w:fldCharType="begin"/>
      </w:r>
      <w:r w:rsidR="008B3037">
        <w:instrText xml:space="preserve"> ADDIN ZOTERO_ITEM CSL_CITATION {"citationID":"4ypoWZt4","properties":{"unsorted":false,"formattedCitation":"(Huang et al., 2019; Salpakari and Lund, 2016)","plainCitation":"(Huang et al., 2019; Salpakari and Lund, 2016)","noteIndex":0},"citationItems":[{"id":444,"uris":["http://zotero.org/users/18628118/items/MCVDM4Q7"],"itemData":{"id":444,"type":"article-journal","abstract":"Smart grid is triggering the transformation of traditional electricity consumers into electricity prosumers. This paper reports a case study of transforming an existing residential cluster in Sweden into electricity prosumers. The main energy concepts include (1) click-and-go photovoltaics (PV) panels for building integration, (2) centralized exhaust air heat pump, (3) thermal energy storage for storing excess PV electricity by using heat pump, and (4) PV electricity sharing within the building cluster for thermal/electrical demand (including electric vehicles load) on a direct-current micro grid. For the coupled PV-heat pump-thermal storage-electric vehicle system, a fitness function based on genetic algorithm is established to optimize the capacity and positions of PV modules at cluster level, with the purpose of maximizing the self-consumed electricity under a non-negative net present value during the economic lifetime. Different techno-economic key performance indicators, including the optimal PV capacity, self-sufficiency, self-consumption and levelized cost of electricity, are analysed under impacts of thermal storage integration, electric vehicle penetration and electricity sharing possibility. Results indicate that the coupled system can effectively improve the district-level PV electricity self-consumption rate to about 77% in the baseline case. The research results reveal how electric vehicle penetrations, thermal storage, and energy sharing affect PV system sizing/positions and the performance indicators, and thus help promote the PV deployment. This study also demonstrates the feasibility for transferring the existing Swedish building clusters into smart electricity prosumers with higher self-consumption and energy efficiency and more intelligence, which benefits achieving the ‘32% share of renewable energy source’ target in EU by 2030.","container-title":"Applied Energy","DOI":"10.1016/j.apenergy.2019.113864","ISSN":"0306-2619","journalAbbreviation":"Applied Energy","page":"113864","source":"ScienceDirect","title":"Transforming a residential building cluster into electricity prosumers in Sweden: Optimal design of a coupled PV-heat pump-thermal storage-electric vehicle system","title-short":"Transforming a residential building cluster into electricity prosumers in Sweden","volume":"255","author":[{"family":"Huang","given":"Pei"},{"family":"Lovati","given":"Marco"},{"family":"Zhang","given":"Xingxing"},{"family":"Bales","given":"Chris"},{"family":"Hallbeck","given":"Sven"},{"family":"Becker","given":"Anders"},{"family":"Bergqvist","given":"Henrik"},{"family":"Hedberg","given":"Jan"},{"family":"Maturi","given":"Laura"}],"issued":{"date-parts":[["2019",12,1]]}}},{"id":478,"uris":["http://zotero.org/users/18628118/items/MJYLBKGL"],"itemData":{"id":478,"type":"article-journal","abstract":"PV installations in buildings can utilize different on-site ﬂexibility resources to balance mismatch in electricity production and demand. This paper studies cost-optimal and rule-based control for buildings with PV, employing a heat pump, thermal and electrical storage and shiftable loads as ﬂexibility sources to increase the value of PV for the prosumer. The cost-optimal control minimizes variable electricity cost employing market data on electricity price and optionally constrains grid feed-in to zero; the rule-based control aims at maximizing PV self-consumption. The ﬂexibility strategies are combined into a simulation model to analyze different system conﬁgurations over a full year.","container-title":"Applied Energy","DOI":"10.1016/j.apenergy.2015.10.036","ISSN":"03062619","journalAbbreviation":"Applied Energy","language":"en","page":"425-436","source":"DOI.org (Crossref)","title":"Optimal and rule-based control strategies for energy flexibility in buildings with PV","volume":"161","author":[{"family":"Salpakari","given":"Jyri"},{"family":"Lund","given":"Peter"}],"issued":{"date-parts":[["2016",1]]}}}],"schema":"https://github.com/citation-style-language/schema/raw/master/csl-citation.json"} </w:instrText>
      </w:r>
      <w:r w:rsidR="00745067">
        <w:fldChar w:fldCharType="separate"/>
      </w:r>
      <w:r w:rsidR="008B3037">
        <w:rPr>
          <w:noProof/>
        </w:rPr>
        <w:t>(Huang et al., 2019; Salpakari and Lund, 2016)</w:t>
      </w:r>
      <w:r w:rsidR="00745067">
        <w:fldChar w:fldCharType="end"/>
      </w:r>
      <w:r w:rsidR="00FB3B08">
        <w:t>. At district scale</w:t>
      </w:r>
      <w:r w:rsidR="00147646">
        <w:t>,</w:t>
      </w:r>
      <w:r w:rsidR="00EF4B3D" w:rsidRPr="00EF4B3D">
        <w:t xml:space="preserve"> pit or BTES </w:t>
      </w:r>
      <w:r w:rsidR="00147646">
        <w:t>provides</w:t>
      </w:r>
      <w:r w:rsidR="00EF4B3D" w:rsidRPr="00EF4B3D">
        <w:t xml:space="preserve"> heat storage</w:t>
      </w:r>
      <w:r w:rsidR="007C02D1">
        <w:t xml:space="preserve"> for multiple months</w:t>
      </w:r>
      <w:r w:rsidR="00EF4B3D" w:rsidRPr="00EF4B3D">
        <w:t xml:space="preserve"> </w:t>
      </w:r>
      <w:r w:rsidR="00814824">
        <w:fldChar w:fldCharType="begin"/>
      </w:r>
      <w:r w:rsidR="00513ABF">
        <w:instrText xml:space="preserve"> ADDIN ZOTERO_ITEM CSL_CITATION {"citationID":"Wgcy4AQM","properties":{"unsorted":false,"formattedCitation":"(Navarro Rivero et al., 2023; Vandermeulen et al., 2018)","plainCitation":"(Navarro Rivero et al., 2023; Vandermeulen et al., 2018)","noteIndex":0},"citationItems":[{"id":253,"uris":["http://zotero.org/users/18628118/items/74A6F9MM"],"itemData":{"id":253,"type":"chapter","abstract":"Thermal energy storage (TES) refers to a collection of technologies that store thermal (heat, hot or cold) energy and use the stored energy either directly or indirectly through energy conversion processes when needed. TES technologies are classified into three categories: sensible, latent, and thermochemical heat storage. These technologies, depending on the material selection and system design, can reach an efficiency over 90%, with an energy density ranging from 0.2 to 3 GJ/m3, and an installation cost as low as 0.5 h/kWh in applications such as district heating and cooling. TES can be implemented over a wide working temperature range in applications as diverse as power generation, district heating and cooling, building thermal management, the cold chain, and integration with industrial processes. TES systems can be designed for small-, medium-, or large-scale applications (from kWh to GWh) with a system lifetime of over 40 years. This chapter provides an overview of these technologies, covering materials, devices, and applications through to system integration. The chapter also highlights some of the most recent and exciting TES developments, not only in terms of fundamental science but also by considering applied aspects.","container-title":"Power Generation Technologies for Low-Temperature and Distributed Heat","DOI":"10.1016/B978-0-12-818022-8.00002-8","ISBN":"978-0-12-818022-8","language":"en","license":"https://www.elsevier.com/tdm/userlicense/1.0/","page":"419-471","publisher":"Elsevier","source":"DOI.org (Crossref)","title":"Thermal energy storage options","URL":"https://linkinghub.elsevier.com/retrieve/pii/B9780128180228000028","author":[{"family":"Navarro Rivero","given":"Maria Elena"},{"family":"Ge","given":"Zhiwei"},{"family":"Jiang","given":"Zhu"},{"family":"Zhao","given":"Yanqi"},{"family":"Weng","given":"Likui"},{"family":"Ding","given":"Yulong"}],"accessed":{"date-parts":[["2026",2,5]]},"issued":{"date-parts":[["2023"]]}}},{"id":484,"uris":["http://zotero.org/users/18628118/items/WS7B7CCV"],"itemData":{"id":484,"type":"article-journal","abstract":"Flexibility in district heating and cooling systems (thermal networks in general) is an important means to cope with the intermittent generation of heat and electricity as the share of renewable energy sources (RES) increases. An important source of ﬂexibility is the thermal energy storage present in district heating and cooling networks, found in the thermal inertia of buildings, storage units and the network itself. To unlock this ﬂexibility and to use it effectively and efﬁciently, a suitable control strategy is required. In this context, this paper presents a possible deﬁnition of ﬂexibility and its sources in a thermal network. It reviews techniques to quantify ﬂexibility and shows the need for a more advanced control strategy; moreover, it discusses the challenges involved in developing such a control strategy. Also, the literature on advanced control in thermal networks is reviewed, by making a distinction between central, distributed and hybrid control. Finally, possible future research topics are identiﬁed based on the ﬁndings.","container-title":"Energy","DOI":"10.1016/j.energy.2018.03.034","ISSN":"03605442","journalAbbreviation":"Energy","language":"en","page":"103-115","source":"DOI.org (Crossref)","title":"Controlling district heating and cooling networks to unlock flexibility: A review","title-short":"Controlling district heating and cooling networks to unlock flexibility","volume":"151","author":[{"family":"Vandermeulen","given":"Annelies"},{"family":"Van Der Heijde","given":"Bram"},{"family":"Helsen","given":"Lieve"}],"issued":{"date-parts":[["2018",5]]}}}],"schema":"https://github.com/citation-style-language/schema/raw/master/csl-citation.json"} </w:instrText>
      </w:r>
      <w:r w:rsidR="00814824">
        <w:fldChar w:fldCharType="separate"/>
      </w:r>
      <w:r w:rsidR="00513ABF">
        <w:rPr>
          <w:noProof/>
        </w:rPr>
        <w:t>(Navarro Rivero et al., 2023; Vandermeulen et al., 2018)</w:t>
      </w:r>
      <w:r w:rsidR="00814824">
        <w:fldChar w:fldCharType="end"/>
      </w:r>
      <w:r w:rsidR="00513ABF">
        <w:t xml:space="preserve">. </w:t>
      </w:r>
      <w:r w:rsidR="00EF4B3D" w:rsidRPr="00EF4B3D">
        <w:t xml:space="preserve">Where an HP is retrofitted in C1, a buffer tank </w:t>
      </w:r>
      <w:r w:rsidR="008B0110">
        <w:t>absorbs the mismatch between the HP output and the instantaneous heat demand</w:t>
      </w:r>
      <w:r w:rsidR="009C2D85">
        <w:t>, reducing compressor on-off cycles</w:t>
      </w:r>
      <w:r w:rsidR="0046346B">
        <w:t xml:space="preserve"> </w:t>
      </w:r>
      <w:r w:rsidR="0046346B">
        <w:fldChar w:fldCharType="begin"/>
      </w:r>
      <w:r w:rsidR="0046346B">
        <w:instrText xml:space="preserve"> ADDIN ZOTERO_ITEM CSL_CITATION {"citationID":"Qj3bumhg","properties":{"unsorted":false,"formattedCitation":"(Zhou et al., 2025)","plainCitation":"(Zhou et al., 2025)","noteIndex":0},"citationItems":[{"id":262,"uris":["http://zotero.org/users/18628118/items/ZCLEX6TP"],"itemData":{"id":262,"type":"article-journal","abstract":"Heat pump systems (HP) are effective technologies for reducing energy consumption and carbon emissions for space heating and cooling of buildings. However, with large-scale deployment, increased electrical demands can place significant stress on power networks. Integrating Thermal Energy Storage (TES) with HP systems offers a viable strategy to mitigate peak power demands and enhance overall energy efficiency by decoupling heat generation and use, hence power intensive heat-generation can be shifted to off-peak and more efficient times. Due to these benefits, the combination of HP and TES systems have gained increasing attention. A number of reviews have examined specific HP-TES configurations and applications, however a comprehensive analysis of HP-TES coupled systems and particularly their modelling approaches remains limited. This paper classifies HP and TES technologies, highlighting their respective benefits and limitations. It further examines various HP-TES system configurations and applications, with a particular focus on modelling approaches. By providing a structured and comparative overview of available modelling methods, this review supports researchers and engineers in selecting the most suitable modelling approach based on system complexity, computational constraints, and specific objectives, facilitating the optimization of HP-TES systems for enhanced energy efficiency and sustainability.","container-title":"Renewable and Sustainable Energy Reviews","DOI":"10.1016/j.rser.2025.116226","journalAbbreviation":"Renewable and Sustainable Energy Reviews","page":"116226","source":"ResearchGate","title":"Thermal energy storage-coupled heat pump systems: Review of configurations and modelling approaches","title-short":"Thermal energy storage-coupled heat pump systems","volume":"226","author":[{"family":"Zhou","given":"Jin"},{"family":"Wu","given":"Wentao"},{"family":"Bellamy","given":"Larry"},{"family":"Bishop","given":"Daniel"}],"issued":{"date-parts":[["2025",8,31]]}}}],"schema":"https://github.com/citation-style-language/schema/raw/master/csl-citation.json"} </w:instrText>
      </w:r>
      <w:r w:rsidR="0046346B">
        <w:fldChar w:fldCharType="separate"/>
      </w:r>
      <w:r w:rsidR="0046346B">
        <w:rPr>
          <w:noProof/>
        </w:rPr>
        <w:t>(Zhou et al., 2025)</w:t>
      </w:r>
      <w:r w:rsidR="0046346B">
        <w:fldChar w:fldCharType="end"/>
      </w:r>
      <w:r w:rsidR="00C6760E">
        <w:t xml:space="preserve">. </w:t>
      </w:r>
      <w:r w:rsidR="00C6760E" w:rsidRPr="00C6760E">
        <w:t xml:space="preserve">Under standard thermostat control, however, it reacts only to local temperature variations and does not respond to electricity price signals or grid dispatch requests, limiting its contribution to FSC flexibility </w:t>
      </w:r>
      <w:r w:rsidR="00EC4CA1">
        <w:fldChar w:fldCharType="begin"/>
      </w:r>
      <w:r w:rsidR="00EC4CA1">
        <w:instrText xml:space="preserve"> ADDIN ZOTERO_ITEM CSL_CITATION {"citationID":"hzsEQSaQ","properties":{"unsorted":false,"formattedCitation":"(Fischer and Madani, 2017; Vandermeulen et al., 2018)","plainCitation":"(Fischer and Madani, 2017; Vandermeulen et al., 2018)","noteIndex":0},"citationItems":[{"id":472,"uris":["http://zotero.org/users/18628118/items/7LLQK5B5"],"itemData":{"id":472,"type":"article-journal","abstract":"This paper investigates heat pump systems in smart grids, focussing on ﬁelds of application and control approaches that have emerged in academic literature. Based on a review of published literature technical aspects of heat pump ﬂexibility, ﬁelds of application and control approaches are structured and discussed. Three main categories of applications using heat pumps in a smart grid context have been identiﬁed: First stable and economic operation of power grids, second the integration of renewable energy sources and third operation under variable electricity prices. In all ﬁelds heat pumps - when controlled in an appropriate manner - can help easing the transition to a decentralized energy system accompanied by a higher share of prosumers and renewable energy sources. Predictive controls are successfully used in the majority of studies, often assuming idealized conditions. Topics for future research have been identiﬁed including: a transfer of control approaches from simulation to the ﬁeld, a detailed techno-economic analysis of heat pump systems under smart grid operation, and the design of heat pump systems in order to increase ﬂexibility are among the future research topics suggested.","container-title":"Renewable and Sustainable Energy Reviews","DOI":"10.1016/j.rser.2016.11.182","ISSN":"13640321","journalAbbreviation":"Renewable and Sustainable Energy Reviews","language":"en","page":"342-357","source":"DOI.org (Crossref)","title":"On heat pumps in smart grids: A review","title-short":"On heat pumps in smart grids","volume":"70","author":[{"family":"Fischer","given":"David"},{"family":"Madani","given":"Hatef"}],"issued":{"date-parts":[["2017",4]]}}},{"id":484,"uris":["http://zotero.org/users/18628118/items/WS7B7CCV"],"itemData":{"id":484,"type":"article-journal","abstract":"Flexibility in district heating and cooling systems (thermal networks in general) is an important means to cope with the intermittent generation of heat and electricity as the share of renewable energy sources (RES) increases. An important source of ﬂexibility is the thermal energy storage present in district heating and cooling networks, found in the thermal inertia of buildings, storage units and the network itself. To unlock this ﬂexibility and to use it effectively and efﬁciently, a suitable control strategy is required. In this context, this paper presents a possible deﬁnition of ﬂexibility and its sources in a thermal network. It reviews techniques to quantify ﬂexibility and shows the need for a more advanced control strategy; moreover, it discusses the challenges involved in developing such a control strategy. Also, the literature on advanced control in thermal networks is reviewed, by making a distinction between central, distributed and hybrid control. Finally, possible future research topics are identiﬁed based on the ﬁndings.","container-title":"Energy","DOI":"10.1016/j.energy.2018.03.034","ISSN":"03605442","journalAbbreviation":"Energy","language":"en","page":"103-115","source":"DOI.org (Crossref)","title":"Controlling district heating and cooling networks to unlock flexibility: A review","title-short":"Controlling district heating and cooling networks to unlock flexibility","volume":"151","author":[{"family":"Vandermeulen","given":"Annelies"},{"family":"Van Der Heijde","given":"Bram"},{"family":"Helsen","given":"Lieve"}],"issued":{"date-parts":[["2018",5]]}}}],"schema":"https://github.com/citation-style-language/schema/raw/master/csl-citation.json"} </w:instrText>
      </w:r>
      <w:r w:rsidR="00EC4CA1">
        <w:fldChar w:fldCharType="separate"/>
      </w:r>
      <w:r w:rsidR="00EC4CA1">
        <w:rPr>
          <w:noProof/>
        </w:rPr>
        <w:t>(Fischer and Madani, 2017; Vandermeulen et al., 2018)</w:t>
      </w:r>
      <w:r w:rsidR="00EC4CA1">
        <w:fldChar w:fldCharType="end"/>
      </w:r>
      <w:r w:rsidR="00C6760E" w:rsidRPr="00C6760E">
        <w:t>.</w:t>
      </w:r>
      <w:r w:rsidR="00EC4CA1">
        <w:t xml:space="preserve"> Water-</w:t>
      </w:r>
      <w:r w:rsidR="00CC3387" w:rsidRPr="00CC3387">
        <w:t xml:space="preserve">based sensible TES reaches costs as low as 0.5 EUR/kWh of usable capacity in large-scale district applications, with </w:t>
      </w:r>
      <w:bookmarkStart w:id="11" w:name="_Hlk238655126"/>
      <w:r w:rsidR="00CC3387" w:rsidRPr="00CC3387">
        <w:t xml:space="preserve">round-trip </w:t>
      </w:r>
      <w:bookmarkEnd w:id="11"/>
      <w:r w:rsidR="00CC3387" w:rsidRPr="00CC3387">
        <w:t>efficiency above 90</w:t>
      </w:r>
      <w:r w:rsidR="00AD368E">
        <w:t xml:space="preserve"> </w:t>
      </w:r>
      <w:r w:rsidR="00CC3387" w:rsidRPr="00CC3387">
        <w:t>% and design lifetimes exceeding 40 years</w:t>
      </w:r>
      <w:r w:rsidR="0005265D">
        <w:t xml:space="preserve"> </w:t>
      </w:r>
      <w:r w:rsidR="0005265D">
        <w:fldChar w:fldCharType="begin"/>
      </w:r>
      <w:r w:rsidR="004945CE">
        <w:instrText xml:space="preserve"> ADDIN ZOTERO_ITEM CSL_CITATION {"citationID":"etYgO80G","properties":{"unsorted":false,"formattedCitation":"(Navarro Rivero et al., 2023)","plainCitation":"(Navarro Rivero et al., 2023)","noteIndex":0},"citationItems":[{"id":253,"uris":["http://zotero.org/users/18628118/items/74A6F9MM"],"itemData":{"id":253,"type":"chapter","abstract":"Thermal energy storage (TES) refers to a collection of technologies that store thermal (heat, hot or cold) energy and use the stored energy either directly or indirectly through energy conversion processes when needed. TES technologies are classified into three categories: sensible, latent, and thermochemical heat storage. These technologies, depending on the material selection and system design, can reach an efficiency over 90%, with an energy density ranging from 0.2 to 3 GJ/m3, and an installation cost as low as 0.5 h/kWh in applications such as district heating and cooling. TES can be implemented over a wide working temperature range in applications as diverse as power generation, district heating and cooling, building thermal management, the cold chain, and integration with industrial processes. TES systems can be designed for small-, medium-, or large-scale applications (from kWh to GWh) with a system lifetime of over 40 years. This chapter provides an overview of these technologies, covering materials, devices, and applications through to system integration. The chapter also highlights some of the most recent and exciting TES developments, not only in terms of fundamental science but also by considering applied aspects.","container-title":"Power Generation Technologies for Low-Temperature and Distributed Heat","DOI":"10.1016/B978-0-12-818022-8.00002-8","ISBN":"978-0-12-818022-8","language":"en","license":"https://www.elsevier.com/tdm/userlicense/1.0/","page":"419-471","publisher":"Elsevier","source":"DOI.org (Crossref)","title":"Thermal energy storage options","URL":"https://linkinghub.elsevier.com/retrieve/pii/B9780128180228000028","author":[{"family":"Navarro Rivero","given":"Maria Elena"},{"family":"Ge","given":"Zhiwei"},{"family":"Jiang","given":"Zhu"},{"family":"Zhao","given":"Yanqi"},{"family":"Weng","given":"Likui"},{"family":"Ding","given":"Yulong"}],"accessed":{"date-parts":[["2026",2,5]]},"issued":{"date-parts":[["2023"]]}}}],"schema":"https://github.com/citation-style-language/schema/raw/master/csl-citation.json"} </w:instrText>
      </w:r>
      <w:r w:rsidR="0005265D">
        <w:fldChar w:fldCharType="separate"/>
      </w:r>
      <w:r w:rsidR="004945CE">
        <w:rPr>
          <w:noProof/>
        </w:rPr>
        <w:t>(Navarro Rivero et al., 2023)</w:t>
      </w:r>
      <w:r w:rsidR="0005265D">
        <w:fldChar w:fldCharType="end"/>
      </w:r>
      <w:r w:rsidR="006A0F44">
        <w:t>.</w:t>
      </w:r>
      <w:r w:rsidR="004945CE">
        <w:t xml:space="preserve"> </w:t>
      </w:r>
      <w:bookmarkStart w:id="12" w:name="OLE_LINK6"/>
      <w:r w:rsidR="00CC3387" w:rsidRPr="00CC3387">
        <w:t xml:space="preserve">Buffer tanks decouple </w:t>
      </w:r>
      <w:r w:rsidR="004945CE">
        <w:t>HP</w:t>
      </w:r>
      <w:r w:rsidR="00CC3387" w:rsidRPr="00CC3387">
        <w:t xml:space="preserve"> cycling from instantaneous thermal demand in T1 and T2 </w:t>
      </w:r>
      <w:r w:rsidR="00D13B37">
        <w:t>typologies</w:t>
      </w:r>
      <w:r w:rsidR="00CC3387" w:rsidRPr="00CC3387">
        <w:t xml:space="preserve">. </w:t>
      </w:r>
      <w:bookmarkEnd w:id="12"/>
      <w:r w:rsidR="00CC3387" w:rsidRPr="00CC3387">
        <w:t xml:space="preserve">Zhou et al. </w:t>
      </w:r>
      <w:r w:rsidR="00EE402D">
        <w:fldChar w:fldCharType="begin"/>
      </w:r>
      <w:r w:rsidR="000D689D">
        <w:instrText xml:space="preserve"> ADDIN ZOTERO_ITEM CSL_CITATION {"citationID":"etpeQJxp","properties":{"unsorted":false,"formattedCitation":"(Zhou et al., 2025)","plainCitation":"(Zhou et al., 2025)","dontUpdate":true,"noteIndex":0},"citationItems":[{"id":262,"uris":["http://zotero.org/users/18628118/items/ZCLEX6TP"],"itemData":{"id":262,"type":"article-journal","abstract":"Heat pump systems (HP) are effective technologies for reducing energy consumption and carbon emissions for space heating and cooling of buildings. However, with large-scale deployment, increased electrical demands can place significant stress on power networks. Integrating Thermal Energy Storage (TES) with HP systems offers a viable strategy to mitigate peak power demands and enhance overall energy efficiency by decoupling heat generation and use, hence power intensive heat-generation can be shifted to off-peak and more efficient times. Due to these benefits, the combination of HP and TES systems have gained increasing attention. A number of reviews have examined specific HP-TES configurations and applications, however a comprehensive analysis of HP-TES coupled systems and particularly their modelling approaches remains limited. This paper classifies HP and TES technologies, highlighting their respective benefits and limitations. It further examines various HP-TES system configurations and applications, with a particular focus on modelling approaches. By providing a structured and comparative overview of available modelling methods, this review supports researchers and engineers in selecting the most suitable modelling approach based on system complexity, computational constraints, and specific objectives, facilitating the optimization of HP-TES systems for enhanced energy efficiency and sustainability.","container-title":"Renewable and Sustainable Energy Reviews","DOI":"10.1016/j.rser.2025.116226","journalAbbreviation":"Renewable and Sustainable Energy Reviews","page":"116226","source":"ResearchGate","title":"Thermal energy storage-coupled heat pump systems: Review of configurations and modelling approaches","title-short":"Thermal energy storage-coupled heat pump systems","volume":"226","author":[{"family":"Zhou","given":"Jin"},{"family":"Wu","given":"Wentao"},{"family":"Bellamy","given":"Larry"},{"family":"Bishop","given":"Daniel"}],"issued":{"date-parts":[["2025",8,31]]}}}],"schema":"https://github.com/citation-style-language/schema/raw/master/csl-citation.json"} </w:instrText>
      </w:r>
      <w:r w:rsidR="00EE402D">
        <w:fldChar w:fldCharType="separate"/>
      </w:r>
      <w:r w:rsidR="006420C3">
        <w:rPr>
          <w:noProof/>
        </w:rPr>
        <w:t>(2025)</w:t>
      </w:r>
      <w:r w:rsidR="00EE402D">
        <w:fldChar w:fldCharType="end"/>
      </w:r>
      <w:r w:rsidR="00CC3387" w:rsidRPr="00CC3387">
        <w:t xml:space="preserve"> </w:t>
      </w:r>
      <w:r w:rsidR="00966D6C">
        <w:t>repor</w:t>
      </w:r>
      <w:r w:rsidR="00CC3387" w:rsidRPr="00CC3387">
        <w:t xml:space="preserve">t that a buffer tank reduces </w:t>
      </w:r>
      <w:r w:rsidR="006420C3">
        <w:t>HP</w:t>
      </w:r>
      <w:r w:rsidR="00CC3387" w:rsidRPr="00CC3387">
        <w:t xml:space="preserve"> </w:t>
      </w:r>
      <w:bookmarkStart w:id="13" w:name="OLE_LINK7"/>
      <w:r w:rsidR="00CC3387" w:rsidRPr="00CC3387">
        <w:t xml:space="preserve">start-stop </w:t>
      </w:r>
      <w:bookmarkEnd w:id="13"/>
      <w:r w:rsidR="00CC3387" w:rsidRPr="00CC3387">
        <w:t xml:space="preserve">cycles from </w:t>
      </w:r>
      <w:r w:rsidR="00566A30">
        <w:t>approximately</w:t>
      </w:r>
      <w:r w:rsidR="00CC3387" w:rsidRPr="00CC3387">
        <w:t xml:space="preserve"> 40 to 10 per day</w:t>
      </w:r>
      <w:r w:rsidR="00591720">
        <w:t xml:space="preserve"> and lower</w:t>
      </w:r>
      <w:r w:rsidR="00323FDE">
        <w:t>s</w:t>
      </w:r>
      <w:r w:rsidR="00CC3387" w:rsidRPr="00CC3387">
        <w:t xml:space="preserve"> peak demand </w:t>
      </w:r>
      <w:r w:rsidR="00591720">
        <w:t>by</w:t>
      </w:r>
      <w:r w:rsidR="00CC3387" w:rsidRPr="00CC3387">
        <w:t xml:space="preserve"> 25</w:t>
      </w:r>
      <w:r w:rsidR="0005731D" w:rsidRPr="00843C81">
        <w:t>–</w:t>
      </w:r>
      <w:r w:rsidR="00CC3387" w:rsidRPr="00CC3387">
        <w:t xml:space="preserve">45% in monitored installations. At </w:t>
      </w:r>
      <w:r w:rsidR="00966D6C">
        <w:t xml:space="preserve">the </w:t>
      </w:r>
      <w:r w:rsidR="00CC3387" w:rsidRPr="00CC3387">
        <w:t>district scale, approximately 64</w:t>
      </w:r>
      <w:r w:rsidR="00966D6C">
        <w:t xml:space="preserve"> </w:t>
      </w:r>
      <w:r w:rsidR="00CC3387" w:rsidRPr="00CC3387">
        <w:t xml:space="preserve">% of Swedish DH network capacity consists of thermal mass embedded in </w:t>
      </w:r>
      <w:r w:rsidR="00966D6C">
        <w:t xml:space="preserve">the </w:t>
      </w:r>
      <w:r w:rsidR="00CC3387" w:rsidRPr="00CC3387">
        <w:t xml:space="preserve">distribution infrastructure </w:t>
      </w:r>
      <w:r w:rsidR="007E52D3">
        <w:fldChar w:fldCharType="begin"/>
      </w:r>
      <w:r w:rsidR="007E52D3">
        <w:instrText xml:space="preserve"> ADDIN ZOTERO_ITEM CSL_CITATION {"citationID":"DjVjDnIj","properties":{"unsorted":false,"formattedCitation":"(Fernqvist et al., 2023)","plainCitation":"(Fernqvist et al., 2023)","noteIndex":0},"citationItems":[{"id":145,"uris":["http://zotero.org/users/18628118/items/LZ993H5P"],"itemData":{"id":145,"type":"article-journal","abstract":"With expanding solar and wind power production, the topic of flexibility services attracts increased attention in the Swedish energy system. In this context, the potentials in using thermal storage capacities in district heating (DH) systems have been brought forward, primarily by academic scholars. Using a ‘grounded’ approach, this study investigates if professionals assigned to Swedish DH companies and electricity distribution system operators utilise, or plan to utilise, DH systems as flexibility services for the electricity grid. Original data was collected through semi-structured interviews, held with fourteen individuals affiliated to different actors in the Swedish energy system. These individuals were identified as being experts, or practically engaged, in using DH utilities as flexibility services for the electricity grid. The findings show that although technologies for coupling between DH systems and the electricity grid are already in place, initiatives for using DH systems as flexibility services for the electricity system are rare in Sweden. Coupling challenges stem from ownership and operation legislation frameworks, marginal incentives and a widespread focus on firm benefits rather than energy systems benefits. Identified initiatives for using DH systems for flexibility services are primarily run on a local scale, designed and propelled by small groups of engaged individuals.","container-title":"Energy Policy","DOI":"10.1016/j.enpol.2022.113332","ISSN":"03014215","journalAbbreviation":"Energy Policy","language":"en","page":"113332","source":"DOI.org (Crossref)","title":"District heating as a flexibility service: Challenges in sector coupling for increased solar and wind power production in Sweden","title-short":"District heating as a flexibility service","volume":"172","author":[{"family":"Fernqvist","given":"Niklas"},{"family":"Broberg","given":"Sarah"},{"family":"Torén","given":"Johan"},{"family":"Svensson","given":"Inger-Lise"}],"issued":{"date-parts":[["2023",1]]}}}],"schema":"https://github.com/citation-style-language/schema/raw/master/csl-citation.json"} </w:instrText>
      </w:r>
      <w:r w:rsidR="007E52D3">
        <w:fldChar w:fldCharType="separate"/>
      </w:r>
      <w:r w:rsidR="007E52D3">
        <w:rPr>
          <w:noProof/>
        </w:rPr>
        <w:t>(Fernqvist et al., 2023)</w:t>
      </w:r>
      <w:r w:rsidR="007E52D3">
        <w:fldChar w:fldCharType="end"/>
      </w:r>
      <w:r w:rsidR="007E52D3">
        <w:t xml:space="preserve">. </w:t>
      </w:r>
      <w:r w:rsidR="00CC3387" w:rsidRPr="00CC3387">
        <w:t xml:space="preserve">Seasonal </w:t>
      </w:r>
      <w:r w:rsidR="00113BB0">
        <w:t>BTES</w:t>
      </w:r>
      <w:r w:rsidR="00113BB0" w:rsidRPr="00CC3387">
        <w:t xml:space="preserve"> </w:t>
      </w:r>
      <w:r w:rsidR="00CC3387" w:rsidRPr="00CC3387">
        <w:t xml:space="preserve">and pit TES extend the dispatch window from hours to months. They are the only technologies </w:t>
      </w:r>
      <w:r w:rsidR="00251CFC">
        <w:t>reviewed</w:t>
      </w:r>
      <w:r w:rsidR="00724624">
        <w:t xml:space="preserve"> here</w:t>
      </w:r>
      <w:r w:rsidR="00341A16">
        <w:t xml:space="preserve"> capable of carrying</w:t>
      </w:r>
      <w:r w:rsidR="00724624">
        <w:t xml:space="preserve"> </w:t>
      </w:r>
      <w:r w:rsidR="00CC3387" w:rsidRPr="00CC3387">
        <w:t>Sweden's</w:t>
      </w:r>
      <w:r w:rsidR="00341A16">
        <w:t xml:space="preserve"> </w:t>
      </w:r>
      <w:r w:rsidR="005C1718">
        <w:t xml:space="preserve">summer renewable surplus into the </w:t>
      </w:r>
      <w:r w:rsidR="00CC3387" w:rsidRPr="00CC3387">
        <w:t>winter heating demand</w:t>
      </w:r>
      <w:r w:rsidR="00905CFC">
        <w:t xml:space="preserve"> </w:t>
      </w:r>
      <w:r w:rsidR="00905CFC">
        <w:fldChar w:fldCharType="begin"/>
      </w:r>
      <w:r w:rsidR="00905CFC">
        <w:instrText xml:space="preserve"> ADDIN ZOTERO_ITEM CSL_CITATION {"citationID":"dxjib2nH","properties":{"unsorted":false,"formattedCitation":"(Atabaki et al., 2026)","plainCitation":"(Atabaki et al., 2026)","noteIndex":0},"citationItems":[{"id":458,"uris":["http://zotero.org/users/18628118/items/7B52WL2Y"],"itemData":{"id":458,"type":"article-journal","abstract":"The future energy systems dominated by variable renewable energy sources require system flexibility for balancing fluctuating supply and demand. This study is motivated by the need to investigate how sector coupling between the power and district heating sectors can enhance flexibility. It is hypothesised that a partially disaggregated sector-coupling approach can efficiently capture interactions between energy generation, conversion, and storage technologies. A mathematical optimisation framework is developed to analyse cost-optimal and environmentally benign energy system transitions in Sweden up to 2050. The model accounts for the ten largest Swedish district heating systems integrated within the national power system. Results reveal that wind turbines, with a 56% share, supported by electricity storage dominate electricity generation in 2050. Electricity storage enables demand to be met with 7% lower installed power generation capacity. The resulting generation mix drives a shift in district heating supply, with the heat generation share of combined heat and power plants declining to 24% and that of heat pumps increasing to 61% by 2050. Seasonal thermal storage systems play an important role in this shift, supplying 11% of district heating demand. However, transitions towards lowtemperature district heating reduce the seasonal storage share while further favouring heat pumps (up to 80% of heat generation). Increased availability of stable waste heat for direct district heating supply also diminishes the role of seasonal heat storage. Overall, the results highlight that district heating provides a flexibility service for the energy system, but multiple flexibility solutions are needed to fully exploit electricity oversupply.","container-title":"Energy Conversion and Management","DOI":"10.1016/j.enconman.2026.121165","ISSN":"01968904","journalAbbreviation":"Energy Conversion and Management","language":"en","page":"121165","source":"DOI.org (Crossref)","title":"Optimising the transition of Swedish energy systems through sector coupling of power and district heating","volume":"353","author":[{"family":"Atabaki","given":"Mohammad Saeid"},{"family":"Averfalk","given":"Helge"},{"family":"Widén","given":"Kristian"},{"family":"Möllerström","given":"Erik"},{"family":"Gadd","given":"Henrik"},{"family":"Persson","given":"Urban"}],"issued":{"date-parts":[["2026",4]]}}}],"schema":"https://github.com/citation-style-language/schema/raw/master/csl-citation.json"} </w:instrText>
      </w:r>
      <w:r w:rsidR="00905CFC">
        <w:fldChar w:fldCharType="separate"/>
      </w:r>
      <w:r w:rsidR="00905CFC">
        <w:rPr>
          <w:noProof/>
        </w:rPr>
        <w:t>(Atabaki et al., 2026)</w:t>
      </w:r>
      <w:r w:rsidR="00905CFC">
        <w:fldChar w:fldCharType="end"/>
      </w:r>
      <w:r w:rsidR="00905CFC">
        <w:t>.</w:t>
      </w:r>
    </w:p>
    <w:p w14:paraId="023B050D" w14:textId="13523B41" w:rsidR="00CC3387" w:rsidRPr="00CC3387" w:rsidRDefault="003F275D" w:rsidP="00CC3387">
      <w:pPr>
        <w:pStyle w:val="SWCText"/>
      </w:pPr>
      <w:r w:rsidRPr="003F275D">
        <w:t xml:space="preserve">BITES </w:t>
      </w:r>
      <w:r w:rsidR="003B3CD8">
        <w:t xml:space="preserve">provides </w:t>
      </w:r>
      <w:r w:rsidRPr="003F275D">
        <w:t xml:space="preserve">passive short-term storage available at zero capital cost. </w:t>
      </w:r>
      <w:proofErr w:type="spellStart"/>
      <w:r w:rsidRPr="003F275D">
        <w:t>Kensby</w:t>
      </w:r>
      <w:proofErr w:type="spellEnd"/>
      <w:r w:rsidRPr="003F275D">
        <w:t xml:space="preserve"> et al. </w:t>
      </w:r>
      <w:r w:rsidR="00B431E1">
        <w:fldChar w:fldCharType="begin"/>
      </w:r>
      <w:r w:rsidR="000D689D">
        <w:instrText xml:space="preserve"> ADDIN ZOTERO_ITEM CSL_CITATION {"citationID":"jzNiBFtB","properties":{"unsorted":false,"formattedCitation":"(Kensby et al., 2015)","plainCitation":"(Kensby et al., 2015)","dontUpdate":true,"noteIndex":0},"citationItems":[{"id":468,"uris":["http://zotero.org/users/18628118/items/FNINUFBN"],"itemData":{"id":468,"type":"article-journal","abstract":"Heat demand in a district heating system can have a signiﬁcant variation within 1 day, which produces problematic conditions for efﬁcient heat generation. Short-term thermal energy storage can decrease this daily variation and make the conditions for generating heat more favorable. By periodically overheating and underheating buildings, causing small variations in indoor temperature, building thermal inertia can be utilized for thermal energy storage. This study presents the results from a pilot test where the potential to function as thermal energy storage was tested for ﬁve multifamily residential buildings in Gothenburg, Sweden. The signals from the outdoor temperature sensors were adjusted in different cycles during a total of 52 weeks. The delivered heat and indoor temperature were measured during the test. The results indicate that heavy buildings, with a structural core of concrete, can tolerate relatively large variations in heat deliveries while still maintaining a good indoor climate. The study also demonstrated that a ﬁxed time constant is not accurate enough to describe the variations in indoor temperature caused by the utilization of the buildings as short-term thermal energy storage. Degree hours is instead proposed as a simple yet adequate measurement for the thermal energy storage capacity in buildings. Storing 0.1 kW h/m2ﬂoor area of heat will very rarely cause variations in indoor temperature larger than ±0.5 °C in a heavy building.","container-title":"Applied Energy","DOI":"10.1016/j.apenergy.2014.07.026","ISSN":"03062619","journalAbbreviation":"Applied Energy","language":"en","page":"773-781","source":"DOI.org (Crossref)","title":"Potential of residential buildings as thermal energy storage in district heating systems - Results from a pilot test","volume":"137","author":[{"family":"Kensby","given":"Johan"},{"family":"Trüschel","given":"Anders"},{"family":"Dalenbäck","given":"Jan-Olof"}],"issued":{"date-parts":[["2015",1]]}}}],"schema":"https://github.com/citation-style-language/schema/raw/master/csl-citation.json"} </w:instrText>
      </w:r>
      <w:r w:rsidR="00B431E1">
        <w:fldChar w:fldCharType="separate"/>
      </w:r>
      <w:r w:rsidR="00B431E1">
        <w:rPr>
          <w:noProof/>
        </w:rPr>
        <w:t>(2015)</w:t>
      </w:r>
      <w:r w:rsidR="00B431E1">
        <w:fldChar w:fldCharType="end"/>
      </w:r>
      <w:r w:rsidRPr="003F275D">
        <w:t xml:space="preserve"> report a 15–20</w:t>
      </w:r>
      <w:r w:rsidR="006E1E04">
        <w:t xml:space="preserve"> </w:t>
      </w:r>
      <w:r w:rsidRPr="003F275D">
        <w:t xml:space="preserve">% cut in DH peak load through coordinated pre-heating across 58 substations in three major Swedish networks, with indoor temperature variation within </w:t>
      </w:r>
      <w:r w:rsidR="00E542A6">
        <w:t xml:space="preserve">± </w:t>
      </w:r>
      <w:r w:rsidRPr="003F275D">
        <w:t xml:space="preserve">0.5 </w:t>
      </w:r>
      <w:r w:rsidR="00E542A6">
        <w:t>°</w:t>
      </w:r>
      <w:r w:rsidRPr="003F275D">
        <w:t xml:space="preserve">C. </w:t>
      </w:r>
      <w:r w:rsidR="00AE1BBA">
        <w:t xml:space="preserve">Within this </w:t>
      </w:r>
      <w:r w:rsidR="000905DE">
        <w:t>comfort band</w:t>
      </w:r>
      <w:r w:rsidR="00203F51">
        <w:t>,</w:t>
      </w:r>
      <w:r w:rsidR="000905DE">
        <w:t xml:space="preserve"> the s</w:t>
      </w:r>
      <w:r w:rsidRPr="003F275D">
        <w:t xml:space="preserve">torage density is approximately 0.1 kWh per </w:t>
      </w:r>
      <w:r w:rsidR="006B1CCD" w:rsidRPr="0043766C">
        <w:rPr>
          <w:lang w:val="en-GB"/>
        </w:rPr>
        <w:t>m</w:t>
      </w:r>
      <w:r w:rsidR="006B1CCD">
        <w:rPr>
          <w:vertAlign w:val="superscript"/>
          <w:lang w:val="en-GB"/>
        </w:rPr>
        <w:t xml:space="preserve">2 </w:t>
      </w:r>
      <w:r w:rsidRPr="003F275D">
        <w:t xml:space="preserve">of floor area. The flexibility window is above five to six hours at 5 </w:t>
      </w:r>
      <w:r w:rsidR="00E542A6">
        <w:t>°</w:t>
      </w:r>
      <w:r w:rsidRPr="003F275D">
        <w:t xml:space="preserve">C outdoor temperature, falling to two to three hours at minus 12 </w:t>
      </w:r>
      <w:r w:rsidR="00E542A6">
        <w:t>°</w:t>
      </w:r>
      <w:r w:rsidRPr="003F275D">
        <w:t xml:space="preserve">C </w:t>
      </w:r>
      <w:r w:rsidR="00493860">
        <w:fldChar w:fldCharType="begin"/>
      </w:r>
      <w:r w:rsidR="000D689D">
        <w:instrText xml:space="preserve"> ADDIN ZOTERO_ITEM CSL_CITATION {"citationID":"rBRte1eP","properties":{"unsorted":false,"formattedCitation":"(Wagener, 2017)","plainCitation":"(Wagener, 2017)","noteIndex":0},"citationItems":[{"id":489,"uris":["http://zotero.org/users/18628118/items/3H2VFNG5"],"itemData":{"id":489,"type":"report","abstract":"The recognisable effects from climate change set mandatory requirements on energy conservation and use of...","language":"en","number":"HPT-AN42-1","publisher":"IEA Heat Pumping Technologies","title":"Heat Pumps in Smart Grids: Final report","title-short":"Heat Pumps in Smart Grids","URL":"https://heatpumpingtechnologies.org/publications/heat-pumps-in-smart-grids-final-report/","author":[{"family":"Wagener","given":"Peter"}],"accessed":{"date-parts":[["2026",5,5]]},"issued":{"date-parts":[["2017",8,28]]}}}],"schema":"https://github.com/citation-style-language/schema/raw/master/csl-citation.json"} </w:instrText>
      </w:r>
      <w:r w:rsidR="00493860">
        <w:fldChar w:fldCharType="separate"/>
      </w:r>
      <w:r w:rsidR="000D689D">
        <w:rPr>
          <w:noProof/>
        </w:rPr>
        <w:t>(Wagener, 2017)</w:t>
      </w:r>
      <w:r w:rsidR="00493860">
        <w:fldChar w:fldCharType="end"/>
      </w:r>
      <w:r w:rsidRPr="003F275D">
        <w:t xml:space="preserve">. </w:t>
      </w:r>
      <w:r w:rsidR="004D32F3" w:rsidRPr="004D32F3">
        <w:t xml:space="preserve">Since BITES uses existing building mass and heating infrastructure, it can serve as the first </w:t>
      </w:r>
      <w:r w:rsidR="00112930">
        <w:t xml:space="preserve">energy </w:t>
      </w:r>
      <w:r w:rsidR="004D32F3" w:rsidRPr="004D32F3">
        <w:t>storage resource deployed across the DH-connected MFB stock.</w:t>
      </w:r>
    </w:p>
    <w:p w14:paraId="048D268E" w14:textId="28C1E9A4" w:rsidR="00F4692B" w:rsidRDefault="00F4692B" w:rsidP="00F4692B">
      <w:pPr>
        <w:pStyle w:val="SWCText"/>
      </w:pPr>
      <w:r w:rsidRPr="00F4692B">
        <w:t>BESS operates on a different timescale and in a different sector. With response times</w:t>
      </w:r>
      <w:r w:rsidR="00EF47E4">
        <w:t xml:space="preserve"> below one second</w:t>
      </w:r>
      <w:r w:rsidRPr="00F4692B">
        <w:t xml:space="preserve"> and round-trip efficiency in the range of 85–95</w:t>
      </w:r>
      <w:r w:rsidR="006E1E04">
        <w:t xml:space="preserve"> </w:t>
      </w:r>
      <w:r w:rsidRPr="00F4692B">
        <w:t xml:space="preserve">%, it handles intra-hour to intra-day electrical arbitrage and short-duration grid services that TES cannot provide </w:t>
      </w:r>
      <w:r w:rsidR="00164C83">
        <w:fldChar w:fldCharType="begin"/>
      </w:r>
      <w:r w:rsidR="00164C83">
        <w:instrText xml:space="preserve"> ADDIN ZOTERO_ITEM CSL_CITATION {"citationID":"JYh6fxZ6","properties":{"unsorted":false,"formattedCitation":"(Pastore, 2026)","plainCitation":"(Pastore, 2026)","noteIndex":0},"citationItems":[{"id":130,"uris":["http://zotero.org/users/18628118/items/IKUQ4NZH"],"itemData":{"id":130,"type":"article-journal","abstract":"Distributed energy systems (DESs) are crucial for renewable deployment, but decentralised generation substantially increases flexibility requirements. Flexibility is framed as a system property that emerges from the coordinated operation of demand, storage and dispatchable generation across multi-energy carriers. Demand response schemes and demand-side management can provide flexibility, but their effective potential is constrained by user participation. Sector-coupling strategies and energy storage systems enable temporal and cross-sector decoupling between renewable generation and demand. Electrochemical batteries are technically mature and well suited for short-term balancing, but costs and environmental impacts are significant. Power-to-Heat with heat pumps and thermal energy storage is a cost-effective solution, especially when combined with low-temperature district heating. Electric vehicles, when operated under smart-charging and vehicle-to-grid schemes, can shift large charging demands feeding energy into the grid, facing battery degradation and infrastructure costs. Power-to-Gas and Power-to-X use hydrogen and electrofuels as long-term storage but are penalised by low round-trip efficiencies and significant capital costs if power-to-power with fuel cells is applied. On the supply side, micro-CHP can provide dispatchable capacity when fuelled by renewable fuels and combined with seasonal storage. Costs and efficiencies are strongly scale-dependent, and markets, regulation, digital infrastructure and social acceptance are key enablers of flexibility.","container-title":"Sustainability","DOI":"10.3390/su18010437","ISSN":"2071-1050","issue":"1","language":"en","license":"http://creativecommons.org/licenses/by/3.0/","page":"437","publisher":"Multidisciplinary Digital Publishing Institute","source":"www.mdpi.com","title":"Sector Coupling and Flexibility Measures in Distributed Renewable Energy Systems: A Comprehensive Review","title-short":"Sector Coupling and Flexibility Measures in Distributed Renewable Energy Systems","volume":"18","author":[{"family":"Pastore","given":"Lorenzo Mario"}],"issued":{"date-parts":[["2026",1]]}}}],"schema":"https://github.com/citation-style-language/schema/raw/master/csl-citation.json"} </w:instrText>
      </w:r>
      <w:r w:rsidR="00164C83">
        <w:fldChar w:fldCharType="separate"/>
      </w:r>
      <w:r w:rsidR="00164C83">
        <w:rPr>
          <w:noProof/>
        </w:rPr>
        <w:t>(Pastore, 2026)</w:t>
      </w:r>
      <w:r w:rsidR="00164C83">
        <w:fldChar w:fldCharType="end"/>
      </w:r>
      <w:r w:rsidR="00164C83">
        <w:t xml:space="preserve">. </w:t>
      </w:r>
      <w:r w:rsidRPr="00F4692B">
        <w:t xml:space="preserve">For Swedish </w:t>
      </w:r>
      <w:r w:rsidR="00C978A0">
        <w:t>SFH</w:t>
      </w:r>
      <w:r w:rsidRPr="00F4692B">
        <w:t xml:space="preserve">, adding a BESS </w:t>
      </w:r>
      <w:r w:rsidR="00354EE0">
        <w:t xml:space="preserve">with </w:t>
      </w:r>
      <w:r w:rsidRPr="00F4692B">
        <w:t xml:space="preserve">a rooftop PV </w:t>
      </w:r>
      <w:r w:rsidR="00A22656">
        <w:t>has been reported to increase</w:t>
      </w:r>
      <w:r w:rsidRPr="00F4692B">
        <w:t xml:space="preserve"> self-consumption by 20–50 </w:t>
      </w:r>
      <w:r w:rsidR="00096867">
        <w:t>percentage points</w:t>
      </w:r>
      <w:r w:rsidRPr="00F4692B">
        <w:t xml:space="preserve"> </w:t>
      </w:r>
      <w:r w:rsidR="00E90824">
        <w:fldChar w:fldCharType="begin"/>
      </w:r>
      <w:r w:rsidR="00E90824">
        <w:instrText xml:space="preserve"> ADDIN ZOTERO_ITEM CSL_CITATION {"citationID":"hqM9yexA","properties":{"unsorted":false,"formattedCitation":"(Nyholm et al., 2016)","plainCitation":"(Nyholm et al., 2016)","noteIndex":0},"citationItems":[{"id":412,"uris":["http://zotero.org/users/18628118/items/QA78DNUT"],"itemData":{"id":412,"type":"article-journal","container-title":"Applied Energy","DOI":"10.1016/j.apenergy.2016.08.172","ISSN":"03062619","journalAbbreviation":"Applied Energy","language":"en","page":"148-159","source":"DOI.org (Crossref)","title":"Solar photovoltaic-battery systems in Swedish households – Self-consumption and self-sufficiency","volume":"183","author":[{"family":"Nyholm","given":"Emil"},{"family":"Goop","given":"Joel"},{"family":"Odenberger","given":"Mikael"},{"family":"Johnsson","given":"Filip"}],"issued":{"date-parts":[["2016",12]]}}}],"schema":"https://github.com/citation-style-language/schema/raw/master/csl-citation.json"} </w:instrText>
      </w:r>
      <w:r w:rsidR="00E90824">
        <w:fldChar w:fldCharType="separate"/>
      </w:r>
      <w:r w:rsidR="00E90824">
        <w:rPr>
          <w:noProof/>
        </w:rPr>
        <w:t>(Nyholm et al., 2016)</w:t>
      </w:r>
      <w:r w:rsidR="00E90824">
        <w:fldChar w:fldCharType="end"/>
      </w:r>
      <w:r w:rsidR="00E90824">
        <w:t xml:space="preserve">. </w:t>
      </w:r>
      <w:r w:rsidRPr="00F4692B">
        <w:t xml:space="preserve">Capital costs are considerably higher </w:t>
      </w:r>
      <w:r w:rsidR="004D24D1">
        <w:t xml:space="preserve">for </w:t>
      </w:r>
      <w:r w:rsidR="00112930">
        <w:t>L</w:t>
      </w:r>
      <w:r w:rsidRPr="00F4692B">
        <w:t>ithium-ion BESS</w:t>
      </w:r>
      <w:r w:rsidR="00633CE7">
        <w:t>,</w:t>
      </w:r>
      <w:r w:rsidRPr="00F4692B">
        <w:t xml:space="preserve"> rang</w:t>
      </w:r>
      <w:r w:rsidR="00633CE7">
        <w:t>ing</w:t>
      </w:r>
      <w:r w:rsidRPr="00F4692B">
        <w:t xml:space="preserve"> from 250–1,000 EUR/kWh in 2020 against </w:t>
      </w:r>
      <w:r w:rsidR="00C051CC">
        <w:t>as low as</w:t>
      </w:r>
      <w:r w:rsidRPr="00F4692B">
        <w:t xml:space="preserve"> 0.5 EUR/kWh for large-scale water-tank TES </w:t>
      </w:r>
      <w:r w:rsidR="008C1945">
        <w:fldChar w:fldCharType="begin"/>
      </w:r>
      <w:r w:rsidR="00E13CB7">
        <w:instrText xml:space="preserve"> ADDIN ZOTERO_ITEM CSL_CITATION {"citationID":"zl6VAwvj","properties":{"unsorted":false,"formattedCitation":"(Navarro Rivero et al., 2023; Pastore, 2026)","plainCitation":"(Navarro Rivero et al., 2023; Pastore, 2026)","noteIndex":0},"citationItems":[{"id":253,"uris":["http://zotero.org/users/18628118/items/74A6F9MM"],"itemData":{"id":253,"type":"chapter","abstract":"Thermal energy storage (TES) refers to a collection of technologies that store thermal (heat, hot or cold) energy and use the stored energy either directly or indirectly through energy conversion processes when needed. TES technologies are classified into three categories: sensible, latent, and thermochemical heat storage. These technologies, depending on the material selection and system design, can reach an efficiency over 90%, with an energy density ranging from 0.2 to 3 GJ/m3, and an installation cost as low as 0.5 h/kWh in applications such as district heating and cooling. TES can be implemented over a wide working temperature range in applications as diverse as power generation, district heating and cooling, building thermal management, the cold chain, and integration with industrial processes. TES systems can be designed for small-, medium-, or large-scale applications (from kWh to GWh) with a system lifetime of over 40 years. This chapter provides an overview of these technologies, covering materials, devices, and applications through to system integration. The chapter also highlights some of the most recent and exciting TES developments, not only in terms of fundamental science but also by considering applied aspects.","container-title":"Power Generation Technologies for Low-Temperature and Distributed Heat","DOI":"10.1016/B978-0-12-818022-8.00002-8","ISBN":"978-0-12-818022-8","language":"en","license":"https://www.elsevier.com/tdm/userlicense/1.0/","page":"419-471","publisher":"Elsevier","source":"DOI.org (Crossref)","title":"Thermal energy storage options","URL":"https://linkinghub.elsevier.com/retrieve/pii/B9780128180228000028","author":[{"family":"Navarro Rivero","given":"Maria Elena"},{"family":"Ge","given":"Zhiwei"},{"family":"Jiang","given":"Zhu"},{"family":"Zhao","given":"Yanqi"},{"family":"Weng","given":"Likui"},{"family":"Ding","given":"Yulong"}],"accessed":{"date-parts":[["2026",2,5]]},"issued":{"date-parts":[["2023"]]}}},{"id":130,"uris":["http://zotero.org/users/18628118/items/IKUQ4NZH"],"itemData":{"id":130,"type":"article-journal","abstract":"Distributed energy systems (DESs) are crucial for renewable deployment, but decentralised generation substantially increases flexibility requirements. Flexibility is framed as a system property that emerges from the coordinated operation of demand, storage and dispatchable generation across multi-energy carriers. Demand response schemes and demand-side management can provide flexibility, but their effective potential is constrained by user participation. Sector-coupling strategies and energy storage systems enable temporal and cross-sector decoupling between renewable generation and demand. Electrochemical batteries are technically mature and well suited for short-term balancing, but costs and environmental impacts are significant. Power-to-Heat with h</w:instrText>
      </w:r>
      <w:r w:rsidR="00E13CB7" w:rsidRPr="00FE5DC5">
        <w:instrText xml:space="preserve">eat pumps and thermal </w:instrText>
      </w:r>
      <w:r w:rsidR="00E13CB7" w:rsidRPr="00E13CB7">
        <w:instrText xml:space="preserve">energy storage is a cost-effective solution, especially when combined with low-temperature district heating. Electric vehicles, when operated under smart-charging and vehicle-to-grid schemes, can shift large charging demands feeding energy into the grid, facing battery degradation and infrastructure costs. Power-to-Gas and Power-to-X use hydrogen and electrofuels as long-term storage but are penalised by low round-trip efficiencies and significant capital costs if power-to-power with fuel cells is applied. On the supply side, micro-CHP can provide dispatchable capacity when fuelled by renewable fuels and combined with seasonal storage. Costs and efficiencies are strongly scale-dependent, and markets, regulation, digital infrastructure and social acceptance are key enablers of flexibility.","container-title":"Sustainability","DOI":"10.3390/su18010437","ISSN":"2071-1050","issue":"1","language":"en","license":"http://creativecommons.org/licenses/by/3.0/","page":"437","publisher":"Multidisciplinary Digital Publishing Institute","source":"www.mdpi.com","title":"Sector Coupling and Flexibility Measures in Distributed Renewable Energy Systems: A Comprehensive Review","title-short":"Sector Coupling and Flexibility Measures in Distributed Renewable Energy Systems","volume":"18","author":[{"family":"Pastore","given":"Lorenzo Mario"}],"issued":{"date-parts":[["2026",1]]}}}],"schema":"https://github.com/citation-style-language/schema/raw/master/csl-citation.json"} </w:instrText>
      </w:r>
      <w:r w:rsidR="008C1945">
        <w:fldChar w:fldCharType="separate"/>
      </w:r>
      <w:r w:rsidR="00E13CB7" w:rsidRPr="00E13CB7">
        <w:rPr>
          <w:noProof/>
        </w:rPr>
        <w:t>(Navarro Rivero et al., 2023; Pastore, 2026)</w:t>
      </w:r>
      <w:r w:rsidR="008C1945">
        <w:fldChar w:fldCharType="end"/>
      </w:r>
      <w:r w:rsidR="00E13CB7">
        <w:t>.</w:t>
      </w:r>
      <w:r w:rsidRPr="00E13CB7">
        <w:t xml:space="preserve"> </w:t>
      </w:r>
      <w:r w:rsidR="006324E5">
        <w:t xml:space="preserve">For systems where </w:t>
      </w:r>
      <w:r w:rsidRPr="00F4692B">
        <w:t xml:space="preserve">a TES is already sized for HP operation, </w:t>
      </w:r>
      <w:r w:rsidR="00FE5DC5">
        <w:t>directing</w:t>
      </w:r>
      <w:r w:rsidRPr="00F4692B">
        <w:t xml:space="preserve"> PV surplus through the HP into a domestic hot water</w:t>
      </w:r>
      <w:r w:rsidR="0035177A">
        <w:t xml:space="preserve"> (DHW)</w:t>
      </w:r>
      <w:r w:rsidRPr="00F4692B">
        <w:t xml:space="preserve"> tank tends to be more cost-effective than adding a BESS</w:t>
      </w:r>
      <w:r w:rsidR="0022674C">
        <w:t xml:space="preserve"> </w:t>
      </w:r>
      <w:r w:rsidR="0022674C">
        <w:fldChar w:fldCharType="begin"/>
      </w:r>
      <w:r w:rsidR="003E434F">
        <w:instrText xml:space="preserve"> ADDIN ZOTERO_ITEM CSL_CITATION {"citationID":"V3Q6sQMu","properties":{"unsorted":false,"formattedCitation":"(Huang et al., 2019)","plainCitation":"(Huang et al., 2019)","noteIndex":0},"citationItems":[{"id":444,"uris":["http://zotero.org/users/18628118/items/MCVDM4Q7"],"itemData":{"id":444,"type":"article-journal","abstract":"Smart grid is triggering the transformation of traditional electricity consumers into electricity prosumers. This paper reports a case study of transforming an existing residential cluster in Sweden into electricity prosumers. The main energy concepts include (1) click-and-go photovoltaics (PV) panels for building integration, (2) centralized exhaust air heat pump, (3) thermal energy storage for storing excess PV electricity by using heat pump, and (4) PV electricity sharing within the building cluster for thermal/electrical demand (including electric vehicles load) on a direct-current micro grid. For the coupled PV-heat pump-thermal storage-electric vehicle system, a fitness function based on genetic algorithm is established to optimize the capacity and positions of PV modules at cluster level, with the purpose of maximizing the self-consumed electricity under a non-negative net present value during the economic lifetime. Different techno-economic key performance indicators, including the optimal PV capacity, self-sufficiency, self-consumption and levelized cost of electricity, are analysed under impacts of thermal storage integration, electric vehicle penetration and electricity sharing possibility. Results indicate that the coupled system can effectively improve the district-level PV electricity self-consumption rate to about 77% in the baseline case. The research results reveal how electric vehicle penetrations, thermal storage, and energy sharing affect PV system sizing/positions and the performance indicators, and thus help promote the PV deployment. This study also demonstrates the feasibility for transferring the existing Swedish building clusters into smart electricity prosumers with higher self-consumption and energy efficiency and more intelligence, which benefits achieving the ‘32% share of renewable energy source’ target in EU by 2030.","container-title":"Applied Energy","DOI":"10.1016/j.apenergy.2019.113864","ISSN":"0306-2619","journalAbbreviation":"Applied Energy","page":"113864","source":"ScienceDirect","title":"Transforming a residential building cluster into electricity prosumers in Sweden: Optimal design of a coupled PV-heat pump-thermal storage-electric vehicle system","title-short":"Transforming a residential building cluster into electricity prosumers in Sweden","volume":"255","author":[{"family":"Huang","given":"Pei"},{"family":"Lovati","given":"Marco"},{"family":"Zhang","given":"Xingxing"},{"family":"Bales","given":"Chris"},{"family":"Hallbeck","given":"Sven"},{"family":"Becker","given":"Anders"},{"family":"Bergqvist","given":"Henrik"},{"family":"Hedberg","given":"Jan"},{"family":"Maturi","given":"Laura"}],"issued":{"date-parts":[["2019",12,1]]}}}],"schema":"https://github.com/citation-style-language/schema/raw/master/csl-citation.json"} </w:instrText>
      </w:r>
      <w:r w:rsidR="0022674C">
        <w:fldChar w:fldCharType="separate"/>
      </w:r>
      <w:r w:rsidR="003E434F">
        <w:rPr>
          <w:noProof/>
        </w:rPr>
        <w:t>(Huang et al., 2019)</w:t>
      </w:r>
      <w:r w:rsidR="0022674C">
        <w:fldChar w:fldCharType="end"/>
      </w:r>
      <w:r w:rsidR="003E434F">
        <w:t>.</w:t>
      </w:r>
    </w:p>
    <w:p w14:paraId="38BEB58A" w14:textId="1C490267" w:rsidR="005D296E" w:rsidRDefault="005D296E" w:rsidP="005D296E">
      <w:pPr>
        <w:pStyle w:val="SWCText"/>
      </w:pPr>
      <w:r w:rsidRPr="005D296E">
        <w:t xml:space="preserve">Dispatch windows range from hours for BITES and buffer </w:t>
      </w:r>
      <w:r w:rsidR="00E65543">
        <w:t>tanks</w:t>
      </w:r>
      <w:r w:rsidRPr="005D296E">
        <w:t xml:space="preserve"> to weeks and months for seasonal </w:t>
      </w:r>
      <w:r w:rsidR="008E0AE6">
        <w:t xml:space="preserve">BTES and </w:t>
      </w:r>
      <w:r w:rsidRPr="005D296E">
        <w:t>TES. BESS covers the electrical range from minutes to a full day.</w:t>
      </w:r>
    </w:p>
    <w:p w14:paraId="12CDCBA8" w14:textId="23F1A895" w:rsidR="000E5955" w:rsidRPr="000E5955" w:rsidRDefault="000E5955" w:rsidP="000E5955">
      <w:pPr>
        <w:pStyle w:val="SWCText"/>
      </w:pPr>
      <w:r w:rsidRPr="000E5955">
        <w:t xml:space="preserve">Each typology uses a distinct combination of storage assets. </w:t>
      </w:r>
      <w:r w:rsidR="00766503">
        <w:t xml:space="preserve">In </w:t>
      </w:r>
      <w:r w:rsidRPr="000E5955">
        <w:t>T1 (DH-connected MFBs)</w:t>
      </w:r>
      <w:r w:rsidR="00260C13">
        <w:t xml:space="preserve">, </w:t>
      </w:r>
      <w:r w:rsidRPr="000E5955">
        <w:t>BITES and DH network inertia</w:t>
      </w:r>
      <w:r w:rsidR="00840CFC">
        <w:t xml:space="preserve"> provide the main storage resources</w:t>
      </w:r>
      <w:r w:rsidRPr="000E5955">
        <w:t xml:space="preserve">, supplemented by a buffer tank when an HP is retrofitted. T2 (detached </w:t>
      </w:r>
      <w:r w:rsidR="00805BF3">
        <w:t>SFHs</w:t>
      </w:r>
      <w:r w:rsidRPr="000E5955">
        <w:t xml:space="preserve"> with </w:t>
      </w:r>
      <w:r w:rsidR="0015442F">
        <w:t>a</w:t>
      </w:r>
      <w:r w:rsidRPr="000E5955">
        <w:t xml:space="preserve">ir-source HP and PV) uses thermal and electrical storage in parallel, with the balance between them determined by the local tariff structure and PV </w:t>
      </w:r>
      <w:r w:rsidR="0026691B">
        <w:t>output</w:t>
      </w:r>
      <w:r w:rsidRPr="000E5955">
        <w:t>. T3 (</w:t>
      </w:r>
      <w:r w:rsidR="00273019">
        <w:t xml:space="preserve">urban </w:t>
      </w:r>
      <w:r w:rsidR="00911CD2">
        <w:t>PED</w:t>
      </w:r>
      <w:r w:rsidR="009B4564">
        <w:t xml:space="preserve"> district</w:t>
      </w:r>
      <w:r w:rsidRPr="000E5955">
        <w:t>) is the only typology that can economically justify seasonal storage, which individual buildings cannot reach on their own.</w:t>
      </w:r>
    </w:p>
    <w:p w14:paraId="0FE8843A" w14:textId="66FA6046" w:rsidR="00153424" w:rsidRPr="00153424" w:rsidRDefault="00153424" w:rsidP="00153424">
      <w:pPr>
        <w:pStyle w:val="SWCHeading11"/>
      </w:pPr>
      <w:r w:rsidRPr="00153424">
        <w:t>4.2. Configuration Assessment and Implementation Pathways</w:t>
      </w:r>
    </w:p>
    <w:p w14:paraId="66254D74" w14:textId="3F31377C" w:rsidR="00153424" w:rsidRPr="00153424" w:rsidRDefault="00153424" w:rsidP="00153424">
      <w:pPr>
        <w:pStyle w:val="SWCText"/>
      </w:pPr>
      <w:r w:rsidRPr="00153424">
        <w:t xml:space="preserve">The five configurations </w:t>
      </w:r>
      <w:r w:rsidR="007E4024">
        <w:t xml:space="preserve">(see </w:t>
      </w:r>
      <w:r w:rsidR="007E4024">
        <w:fldChar w:fldCharType="begin"/>
      </w:r>
      <w:r w:rsidR="007E4024">
        <w:instrText xml:space="preserve"> REF _Ref238636411 \h </w:instrText>
      </w:r>
      <w:r w:rsidR="007E4024">
        <w:fldChar w:fldCharType="separate"/>
      </w:r>
      <w:r w:rsidR="0030162C">
        <w:t xml:space="preserve">Table </w:t>
      </w:r>
      <w:r w:rsidR="0030162C">
        <w:rPr>
          <w:noProof/>
        </w:rPr>
        <w:t>2</w:t>
      </w:r>
      <w:r w:rsidR="007E4024">
        <w:fldChar w:fldCharType="end"/>
      </w:r>
      <w:r w:rsidR="007E4024">
        <w:t xml:space="preserve">) </w:t>
      </w:r>
      <w:r w:rsidRPr="00153424">
        <w:t xml:space="preserve">are assessed against three criteria: alignment with the Swedish building stock, technical feasibility </w:t>
      </w:r>
      <w:r w:rsidR="00EE3F84">
        <w:t>at</w:t>
      </w:r>
      <w:r w:rsidRPr="00153424">
        <w:t xml:space="preserve"> typical </w:t>
      </w:r>
      <w:r w:rsidR="00B86388">
        <w:t xml:space="preserve">levels of </w:t>
      </w:r>
      <w:r w:rsidRPr="00153424">
        <w:t>building digitalization, and the balance between implementation complexity and FSC potential.</w:t>
      </w:r>
    </w:p>
    <w:p w14:paraId="4C01D088" w14:textId="24DD478F" w:rsidR="00865846" w:rsidRDefault="00865846" w:rsidP="00865846">
      <w:pPr>
        <w:pStyle w:val="SWCText"/>
      </w:pPr>
      <w:r w:rsidRPr="00865846">
        <w:t xml:space="preserve">C3 (BITES control, no hardware) is the most immediately applicable configuration for T1 buildings. DH </w:t>
      </w:r>
      <w:r w:rsidRPr="00865846">
        <w:lastRenderedPageBreak/>
        <w:t>supplies approximately 90</w:t>
      </w:r>
      <w:r w:rsidR="006E1E04">
        <w:t xml:space="preserve"> </w:t>
      </w:r>
      <w:r w:rsidRPr="00865846">
        <w:t xml:space="preserve">% of Swedish MFB heat demand </w:t>
      </w:r>
      <w:r w:rsidR="00B11AF0">
        <w:fldChar w:fldCharType="begin"/>
      </w:r>
      <w:r w:rsidR="00B11AF0">
        <w:instrText xml:space="preserve"> ADDIN ZOTERO_ITEM CSL_CITATION {"citationID":"ZavNlvBI","properties":{"unsorted":false,"formattedCitation":"(Ahrens Kayayan et al., 2025)","plainCitation":"(Ahrens Kayayan et al., 2025)","noteIndex":0},"citationItems":[{"id":398,"uris":["http://zotero.org/users/18628118/items/5CNLXARB"],"itemData":{"id":398,"type":"article-journal","abstract":"The present study addresses the implications of positive energy district metrics, comparing heat pump and district heating solutions combined with PV systems. A methodology was developed to calculate energy system equilibrium using data available to city stakeholders during the initial stages of a planned residential area. The model requires 3 dimensional drawings and data from similar buildings. This was integrated with a validated physics-based urban building energy model to simulate the thermal demand and a novel calculation of operational, individual and PV produced electricity on an hourly basis. This allows planners to estimate whether a district would meet ambitions for positive energy district as well as account for peak electrical and thermal demand and electrical energy import and export. The study also examined energy recovery from the return pipe of the district heating system. The method is applied to a case study of a planned residential district in east-central Sweden. The findings indicate that achieving positive energy district status is not feasible with either district heating or heat pump solutions combined with PV systems. Heat pumps are preferred when a lower yearly energy balance is the sole metric, however heat pumps double the peak electricity import in the winter. Neither the positive energy district yearly energy balance nor the primary energy indicator differentiate between primary and return district heating sources. The results also indicate that while positive energy districts aim to enhance the local energy system, the yearly energy balance metric alone does not promote such improvements.","container-title":"Energy and Buildings","DOI":"10.1016/j.enbuild.2025.115471","ISSN":"03787788","journalAbbreviation":"Energy and Buildings","language":"en","page":"115471","source":"DOI.org (Crossref)","title":"Positive energy districts in Sweden: The impact from heat pumps, photovoltaic systems, and energy recovery from district heating return pipe","title-short":"Positive energy districts in Sweden","volume":"334","author":[{"family":"Ahrens Kayayan","given":"Vartan"},{"family":"Cabral","given":"Diogo"},{"family":"Israelsson","given":"Karin"},{"family":"Gustafsson","given":"Mattias"}],"issued":{"date-parts":[["2025",5]]}}}],"schema":"https://github.com/citation-style-language/schema/raw/master/csl-citation.json"} </w:instrText>
      </w:r>
      <w:r w:rsidR="00B11AF0">
        <w:fldChar w:fldCharType="separate"/>
      </w:r>
      <w:r w:rsidR="00B11AF0">
        <w:rPr>
          <w:noProof/>
        </w:rPr>
        <w:t>(Ahrens Kayayan et al., 2025)</w:t>
      </w:r>
      <w:r w:rsidR="00B11AF0">
        <w:fldChar w:fldCharType="end"/>
      </w:r>
      <w:r w:rsidR="00065CC5">
        <w:t xml:space="preserve">, </w:t>
      </w:r>
      <w:r w:rsidR="008D5828">
        <w:t>meaning that</w:t>
      </w:r>
      <w:r w:rsidRPr="00865846">
        <w:t xml:space="preserve"> the physical </w:t>
      </w:r>
      <w:r w:rsidR="00A35836">
        <w:t xml:space="preserve">energy </w:t>
      </w:r>
      <w:r w:rsidRPr="00865846">
        <w:t xml:space="preserve">storage asset is already in place across most of the stock. C3 requires only updated substation control software, no capital investment, no insurance approval, and no dedicated floor space. </w:t>
      </w:r>
      <w:r w:rsidR="008E76B7">
        <w:t>C3</w:t>
      </w:r>
      <w:r w:rsidR="002E2A51">
        <w:t xml:space="preserve"> is the lowest-barrier entry point for FSC deployment in the Swedish</w:t>
      </w:r>
      <w:r w:rsidR="00701F2D">
        <w:t xml:space="preserve"> MFB</w:t>
      </w:r>
      <w:r w:rsidRPr="00865846">
        <w:t xml:space="preserve"> </w:t>
      </w:r>
      <w:r w:rsidR="00701F2D">
        <w:fldChar w:fldCharType="begin"/>
      </w:r>
      <w:r w:rsidR="00701F2D">
        <w:instrText xml:space="preserve"> ADDIN ZOTERO_ITEM CSL_CITATION {"citationID":"84K82Hup","properties":{"unsorted":false,"formattedCitation":"(Kensby et al., 2015)","plainCitation":"(Kensby et al., 2015)","noteIndex":0},"citationItems":[{"id":468,"uris":["http://zotero.org/users/18628118/items/FNINUFBN"],"itemData":{"id":468,"type":"article-journal","abstract":"Heat demand in a district heating system can have a signiﬁcant variation within 1 day, which produces problematic conditions for efﬁcient heat generation. Short-term thermal energy storage can decrease this daily variation and make the conditions for generating heat more favorable. By periodically overheating and underheating buildings, causing small variations in indoor temperature, building thermal inertia can be utilized for thermal energy storage. This study presents the results from a pilot test where the potential to function as thermal energy storage was tested for ﬁve multifamily residential buildings in Gothenburg, Sweden. The signals from the outdoor temperature sensors were adjusted in different cycles during a total of 52 weeks. The delivered heat and indoor temperature were measured during the test. The results indicate that heavy buildings, with a structural core of concrete, can tolerate relatively large variations in heat deliveries while still maintaining a good indoor climate. The study also demonstrated that a ﬁxed time constant is not accurate enough to describe the variations in indoor temperature caused by the utilization of the buildings as short-term thermal energy storage. Degree hours is instead proposed as a simple yet adequate measurement for the thermal energy storage capacity in buildings. Storing 0.1 kW h/m2ﬂoor area of heat will very rarely cause variations in indoor temperature larger than ±0.5 °C in a heavy building.","container-title":"Applied Energy","DOI":"10.1016/j.apenergy.2014.07.026","ISSN":"03062619","journalAbbreviation":"Applied Energy","language":"en","page":"773-781","source":"DOI.org (Crossref)","title":"Potential of residential buildings as thermal energy storage in district heating systems - Results from a pilot test","volume":"137","author":[{"family":"Kensby","given":"Johan"},{"family":"Trüschel","given":"Anders"},{"family":"Dalenbäck","given":"Jan-Olof"}],"issued":{"date-parts":[["2015",1]]}}}],"schema":"https://github.com/citation-style-language/schema/raw/master/csl-citation.json"} </w:instrText>
      </w:r>
      <w:r w:rsidR="00701F2D">
        <w:fldChar w:fldCharType="separate"/>
      </w:r>
      <w:r w:rsidR="00701F2D">
        <w:rPr>
          <w:noProof/>
        </w:rPr>
        <w:t>(Kensby et al., 2015)</w:t>
      </w:r>
      <w:r w:rsidR="00701F2D">
        <w:fldChar w:fldCharType="end"/>
      </w:r>
      <w:r w:rsidR="00701F2D">
        <w:t>.</w:t>
      </w:r>
    </w:p>
    <w:p w14:paraId="15350A7F" w14:textId="19564F37" w:rsidR="00230991" w:rsidRDefault="00B62FA6" w:rsidP="00865846">
      <w:pPr>
        <w:pStyle w:val="SWCText"/>
      </w:pPr>
      <w:r w:rsidRPr="00B62FA6">
        <w:t>C1 (substation HP with buffer</w:t>
      </w:r>
      <w:r w:rsidR="00FA5561">
        <w:t xml:space="preserve"> tank</w:t>
      </w:r>
      <w:r w:rsidRPr="00B62FA6">
        <w:t xml:space="preserve">) adds active P2H conversion beyond what C3 achieves through software alone. </w:t>
      </w:r>
      <w:r w:rsidR="00536E73">
        <w:t>Swedish field studies</w:t>
      </w:r>
      <w:r w:rsidRPr="00B62FA6">
        <w:t xml:space="preserve"> support this directly: an exhaust-air HP reduced DH draw by 28–48</w:t>
      </w:r>
      <w:r w:rsidR="006E1E04">
        <w:t xml:space="preserve"> </w:t>
      </w:r>
      <w:r w:rsidRPr="00B62FA6">
        <w:t xml:space="preserve">%, depending on building type and control strategy </w:t>
      </w:r>
      <w:r w:rsidR="00E76972">
        <w:fldChar w:fldCharType="begin"/>
      </w:r>
      <w:r w:rsidR="00E76972">
        <w:instrText xml:space="preserve"> ADDIN ZOTERO_ITEM CSL_CITATION {"citationID":"tF0IzTNm","properties":{"unsorted":false,"formattedCitation":"(Rupar-Gadd et al., 2024)","plainCitation":"(Rupar-Gadd et al., 2024)","noteIndex":0},"citationItems":[{"id":433,"uris":["http://zotero.org/users/18628118/items/ZWHK9H4Q"],"itemData":{"id":433,"type":"article","abstract":"In response to volatile electricity markets and recent record increases in district heating prices in Sweden, smart control strategies for heating systems have become cost-effective solutions to reduce energy costs. By shifting electricity use for space heating and domestic hot water (DHW) to hours with lower prices, significant savings can be achieved. Historically, district heating has been a low-cost standard in Sweden, but recent price surges have led to the emergence of hybrid systems combining district heating with heat pumps, controlled by smart systems.","DOI":"10.2139/ssrn.5034859","language":"en","publisher":"SSRN","source":"DOI.org (Crossref)","title":"Energy Efficiency and Economy with Hybrid Control: District Heating and Heat Pumps in Multi-Family Houses","title-short":"Energy Efficiency and Economy with Hybrid Control","URL":"https://www.ssrn.com/abstract=5034859","author":[{"family":"Rupar-Gadd","given":"Katarina"},{"family":"Gelius","given":"Minna"},{"family":"Wickman","given":"Per"}],"accessed":{"date-parts":[["2026",4,10]]},"issued":{"date-parts":[["2024"]]}}}],"schema":"https://github.com/citation-style-language/schema/raw/master/csl-citation.json"} </w:instrText>
      </w:r>
      <w:r w:rsidR="00E76972">
        <w:fldChar w:fldCharType="separate"/>
      </w:r>
      <w:r w:rsidR="00E76972">
        <w:rPr>
          <w:noProof/>
        </w:rPr>
        <w:t>(Rupar-Gadd et al., 2024)</w:t>
      </w:r>
      <w:r w:rsidR="00E76972">
        <w:fldChar w:fldCharType="end"/>
      </w:r>
      <w:r w:rsidR="00E76972">
        <w:t xml:space="preserve">. </w:t>
      </w:r>
      <w:r w:rsidR="00300C32">
        <w:t xml:space="preserve">A </w:t>
      </w:r>
      <w:r w:rsidR="009563D4">
        <w:t>G</w:t>
      </w:r>
      <w:r w:rsidR="00300C32">
        <w:t>othenburg case study</w:t>
      </w:r>
      <w:r w:rsidR="00364B6A">
        <w:t xml:space="preserve"> found that g</w:t>
      </w:r>
      <w:r w:rsidRPr="00B62FA6">
        <w:t>iving priority to HP operation rather than DH cut annual operating costs by roughly 58</w:t>
      </w:r>
      <w:r w:rsidR="006E1E04">
        <w:t xml:space="preserve"> </w:t>
      </w:r>
      <w:r w:rsidRPr="00B62FA6">
        <w:t xml:space="preserve">% relative to DH-only operation </w:t>
      </w:r>
      <w:r w:rsidR="00AA6B00">
        <w:fldChar w:fldCharType="begin"/>
      </w:r>
      <w:r w:rsidR="00AA6B00">
        <w:instrText xml:space="preserve"> ADDIN ZOTERO_ITEM CSL_CITATION {"citationID":"CiQkActB","properties":{"unsorted":false,"formattedCitation":"(Dogkas et al., 2025)","plainCitation":"(Dogkas et al., 2025)","noteIndex":0},"citationItems":[{"id":437,"uris":["http://zotero.org/users/18628118/items/WAUHMJPD"],"itemData":{"id":437,"type":"article-journal","abstract":"The assessment of cost, environmental impact, and overall performance of hybrid heating systems in residential buildings under dynamic, real-world operating conditions is not well established yet, although simulation results of individual heating systems and electricity technologies are frequently reported in literature. This study focuses on evaluating the performance of a system that combines District Heating (DH) with locally installed Heat Pumps (HPs) in a multi-apartment building in Gothenburg, Sweden. The performed evaluation is deemed important in terms of enhancing the overall energy efficiency of the building, as well as for lowering operational costs and greenhouse gas emissions, and for enabling seamless integration of renewable energy sources (such as photovoltaics) within such building of this kind. The reference building is equipped with two HPs, an electric heater, a photovoltaic array, DH supply and hot water storage tanks. Here, a dynamic model was developed in TRNSYS to calculate the performance of the hybrid system of the building. So as to increase model accuracy, and minimize computational time at the same time, several time-step sizes were evaluated. The model calculates, every minute, the thermal demand, the electrical demand of the heat sources, and the excess electrical energy of photovoltaics under three control strategies: (A) district heating priority, (B) heat pump priority, and (C) exclusive use of district heating. The environmental impact was assessed by use of the online tool VERIFY, which is able to perform global warming impact assessments by capitalizing on well-known Life Cycle Analysis (LCA) methodologies. According to the model, the contribution of each heat source under the three control strategies is: A) (55.4 % district heating) + (38.4 % heat pumps) + (6.2 % heater), B) (23.2 % district heating) + (76.8 % heat pumps) and C) (100 % district heating). Utilization of photovoltaics reduces the HP consumption by 13.5 % or 14.8 % depending on the implemented strategy. Finally, the order of the annual cost is: B) 2,627 €, A) 4,348 € and C) 6,312 €. Overall, the use of HPs as the primary heat source in multi-apartment buildings is determined be the most beneficial solution in terms of operating costs and environmental impact.","container-title":"Energy and Buildings","DOI":"10.1016/j.enbuild.2025.116011","ISSN":"03787788","journalAbbreviation":"Energy and Buildings","language":"en","page":"116011","source":"DOI.org (Crossref)","title":"Analysis of a hybrid heating system with TRNSYS: district heating, heat pumps and photovoltaics in a multi-apartment building","title-short":"Analysis of a hybrid heating system with TRNSYS","volume":"344","author":[{"family":"Dogkas","given":"George"},{"family":"Tsimpoukis","given":"Alexandros"},{"family":"Itskos","given":"Grigorios"},{"family":"Del Castillo","given":"Juan Carlos"},{"family":"Lozano","given":"Ismael"},{"family":"Gustafsson","given":"Ola"},{"family":"Nikolopoulos","given":"Nikolaos"}],"issued":{"date-parts":[["2025",10]]}}}],"schema":"https://github.com/citation-style-language/schema/raw/master/csl-citation.json"} </w:instrText>
      </w:r>
      <w:r w:rsidR="00AA6B00">
        <w:fldChar w:fldCharType="separate"/>
      </w:r>
      <w:r w:rsidR="00AA6B00">
        <w:rPr>
          <w:noProof/>
        </w:rPr>
        <w:t>(Dogkas et al., 2025)</w:t>
      </w:r>
      <w:r w:rsidR="00AA6B00">
        <w:fldChar w:fldCharType="end"/>
      </w:r>
      <w:r w:rsidRPr="00B62FA6">
        <w:t xml:space="preserve">. C1 depends on access to green financing and performs better as DH supply temperatures fall toward the 4GDH target of 45–55 </w:t>
      </w:r>
      <w:r w:rsidR="009854E3">
        <w:t>°</w:t>
      </w:r>
      <w:r w:rsidRPr="00B62FA6">
        <w:t xml:space="preserve">C. At Sweden's current average supply temperature of 86.0 </w:t>
      </w:r>
      <w:r w:rsidR="009854E3">
        <w:t>°</w:t>
      </w:r>
      <w:r w:rsidRPr="00B62FA6">
        <w:t>C</w:t>
      </w:r>
      <w:r w:rsidR="005A6577">
        <w:t xml:space="preserve"> </w:t>
      </w:r>
      <w:r w:rsidR="005A6577">
        <w:fldChar w:fldCharType="begin"/>
      </w:r>
      <w:r w:rsidR="005A6577">
        <w:instrText xml:space="preserve"> ADDIN ZOTERO_ITEM CSL_CITATION {"citationID":"j77Fz1vl","properties":{"unsorted":false,"formattedCitation":"(Averfalk et al., 2017)","plainCitation":"(Averfalk et al., 2017)","noteIndex":0},"citationItems":[{"id":482,"uris":["http://zotero.org/users/18628118/items/VJBZ2B69"],"itemData":{"id":482,"type":"article-journal","abstract":"Power-to-heat solutions like heat pumps and electric boilers are foreseen to be possible future tools to stabilise international power markets with high proportions of variable power supply. Temporary low cost electricity can be used for heat generation at times with high availability of wind and solar power through substitution of ordinary heat supply, hence contributing to increased energy system sustainability. Power-to-heat installations in district heating systems are competitive due to low speciﬁc investment and installation costs for large electric boilers, heat pumps, and heat storages. Several large-scale heat pumps were installed in Swedish district heating systems during the 1980s, since a national electricity surplus from new nuclear power existed for some years. The aim of this paper is to summarise the accumulated operation experiences from these large Swedish heat pumps to support and facilitate planning of future power-to-heat solutions with heat pumps in district heating systems. Gained experiences consider; installed capacities, capacity utilisation, heat sources used, refrigerant replacements, refrigerant leakages, and wear of mechanical components. The major conclusion is that many of the large thirty-year-old heat pumps are still in operation, but with reduced capacity utilisation due to internal competition from waste and biomass cogeneration plants in the district heating systems.","container-title":"Renewable and Sustainable Energy Reviews","DOI":"10.1016/j.rser.2017.05.135","ISSN":"13640321","journalAbbreviation":"Renewable and Sustainable Energy Reviews","language":"en","page":"1275-1284","source":"DOI.org (Crossref)","title":"Large heat pumps in Swedish district heating systems","volume":"79","author":[{"family":"Averfalk","given":"Helge"},{"family":"Ingvarsson","given":"Paul"},{"family":"Persson","given":"Urban"},{"family":"Gong","given":"Mei"},{"family":"Werner","given":"Sven"}],"issued":{"date-parts":[["2017",11]]}}}],"schema":"https://github.com/citation-style-language/schema/raw/master/csl-citation.json"} </w:instrText>
      </w:r>
      <w:r w:rsidR="005A6577">
        <w:fldChar w:fldCharType="separate"/>
      </w:r>
      <w:r w:rsidR="005A6577">
        <w:rPr>
          <w:noProof/>
        </w:rPr>
        <w:t>(Averfalk et al., 2017)</w:t>
      </w:r>
      <w:r w:rsidR="005A6577">
        <w:fldChar w:fldCharType="end"/>
      </w:r>
      <w:r w:rsidRPr="00B62FA6">
        <w:t xml:space="preserve">, </w:t>
      </w:r>
      <w:r w:rsidR="00C619D7" w:rsidRPr="00C619D7">
        <w:t>HP COP is considerably lower than studies assuming 4GDH conditions, which raises electricity consumption per unit of heat delivered, increases operating costs, and reduces the return on substation retrofit investment.</w:t>
      </w:r>
    </w:p>
    <w:p w14:paraId="63F0EA76" w14:textId="21E8AEE1" w:rsidR="00663BC3" w:rsidRPr="00663BC3" w:rsidRDefault="00663BC3" w:rsidP="00663BC3">
      <w:pPr>
        <w:pStyle w:val="SWCText"/>
      </w:pPr>
      <w:r w:rsidRPr="00663BC3">
        <w:t>C2 (HP, PV, BESS, and water-tank TES in an SFH) is already partially deployed across the Swedish T2 stock. HPs are installed in more than half of Swedish residential buildings</w:t>
      </w:r>
      <w:r w:rsidR="00F57BC5">
        <w:t xml:space="preserve"> </w:t>
      </w:r>
      <w:r w:rsidR="00F57BC5">
        <w:fldChar w:fldCharType="begin"/>
      </w:r>
      <w:r w:rsidR="00F57BC5">
        <w:instrText xml:space="preserve"> ADDIN ZOTERO_ITEM CSL_CITATION {"citationID":"uxE98xHc","properties":{"unsorted":false,"formattedCitation":"(Johansson, 2021)","plainCitation":"(Johansson, 2021)","noteIndex":0},"citationItems":[{"id":441,"uris":["http://zotero.org/users/18628118/items/XQ74P262"],"itemData":{"id":441,"type":"article-journal","abstract":"Sweden has one of Europe's highest levels of heat pump utilisation. The aim of this paper is to give a comprehensive review of heat pump developments in Sweden since the 1970s. The review includes market, energy system, policy &amp; institutional and technological-industrial contexts. A rapid expansion of heat pumps in Sweden was preceded by a two-decade period of industrial and entrepreneurial activity, academic research and government agency &amp; electric utility interventions. The industrial context, electric utility support, academic continuity and technological-institutional alignment have contributed positively to the utilisation of heat pumps in Sweden.","container-title":"Energy","DOI":"10.1016/j.energy.2021.120683","ISSN":"03605442","journalAbbreviation":"Energy","language":"en","page":"120683","source":"DOI.org (Crossref)","title":"Heat pumps in Sweden -- A historical review","volume":"229","author":[{"family":"Johansson","given":"Petter"}],"issued":{"date-parts":[["2021",8]]}}}],"schema":"https://github.com/citation-style-language/schema/raw/master/csl-citation.json"} </w:instrText>
      </w:r>
      <w:r w:rsidR="00F57BC5">
        <w:fldChar w:fldCharType="separate"/>
      </w:r>
      <w:r w:rsidR="00F57BC5">
        <w:rPr>
          <w:noProof/>
        </w:rPr>
        <w:t>(Johansson, 2021)</w:t>
      </w:r>
      <w:r w:rsidR="00F57BC5">
        <w:fldChar w:fldCharType="end"/>
      </w:r>
      <w:r w:rsidR="00CF3C45">
        <w:t>,</w:t>
      </w:r>
      <w:r w:rsidR="00F57BC5">
        <w:t xml:space="preserve"> </w:t>
      </w:r>
      <w:r w:rsidRPr="00663BC3">
        <w:t xml:space="preserve">and rooftop PV is a common addition. The </w:t>
      </w:r>
      <w:r w:rsidR="008F5DC2">
        <w:t xml:space="preserve">key decision for implementation is </w:t>
      </w:r>
      <w:r w:rsidR="00CA0A64">
        <w:t xml:space="preserve">energy </w:t>
      </w:r>
      <w:r w:rsidR="008F5DC2">
        <w:t xml:space="preserve">storage allocation: how much TES vs BESS </w:t>
      </w:r>
      <w:r w:rsidR="00127290">
        <w:t xml:space="preserve">to install depends on the local tariff structure and </w:t>
      </w:r>
      <w:r w:rsidR="00DF3479" w:rsidRPr="00DF3479">
        <w:t xml:space="preserve">the degree to which the owner optimizes for self-consumption versus spot market arbitrage </w:t>
      </w:r>
      <w:r w:rsidR="00F335A1">
        <w:fldChar w:fldCharType="begin"/>
      </w:r>
      <w:r w:rsidR="00F335A1">
        <w:instrText xml:space="preserve"> ADDIN ZOTERO_ITEM CSL_CITATION {"citationID":"Mksbo57m","properties":{"unsorted":false,"formattedCitation":"(Goop et al., 2021; Salpakari and Lund, 2016)","plainCitation":"(Goop et al., 2021; Salpakari and Lund, 2016)","noteIndex":0},"citationItems":[{"id":443,"uris":["http://zotero.org/users/18628118/items/K5RERI6V"],"itemData":{"id":443,"type":"article-journal","abstract":"The proﬁtability of investments in photovoltaics (PVs) and batteries in private households depends on the market price of electricity, which in turn is affected by the investments made in and the usage of PVs and batteries. This creates a feedback mechanism between the centralised electricity generation system, and household investments in PVs and batteries. To investigate this feedback effect, we connect a local optimisation model for household investments with a European power generation dispatch model. The local optimisation is based on the consumption proﬁles measured for 2104 Swedish households. The modelling compares three different scenarios for the centralised electricity supply system in Year 2032, as well as several sensitivity cases. Our results show total investment levels of 5e20 GWp of PV and 0.01 e10 GWh of battery storage capacity in Swedish households in the investigated cases. These levels are up to 33% lower than before market feedback is taken into account. The proﬁtability of PV investments is affected most by the price of electricity and the assumptions made regarding grid tariffs and taxes. The value of investments in batteries depends on both the beneﬁts of increased self-consumption of PV electricity and market arbitrage.","container-title":"Renewable Energy","DOI":"10.1016/j.renene.2020.06.153","ISSN":"09601481","journalAbbreviation":"Renewable Energy","language":"en","page":"1078-1091","source":"DOI.org (Crossref)","title":"Impact of electricity market feedback on investments in solar photovoltaic and battery systems in Swedish single-family dwellings","volume":"163","author":[{"family":"Goop","given":"Joel"},{"family":"Nyholm","given":"Emil"},{"family":"Odenberger","given":"Mikael"},{"family":"Johnsson","given":"Filip"}],"issued":{"date-parts":[["2021",1]]}}},{"id":478,"uris":["http://zotero.org/users/18628118/items/MJYLBKGL"],"itemData":{"id":478,"type":"article-journal","abstract":"PV installations in buildings can utilize different on-site ﬂexibility resources to balance mismatch in electricity production and demand. This paper studies cost-optimal and rule-based control for buildings with PV, employing a heat pump, thermal and electrical storage and shiftable loads as ﬂexibility sources to increase the value of PV for the prosumer. The cost-optimal control minimizes variable electricity cost employing market data on electricity price and optionally constrains grid feed-in to zero; the rule-based control aims at maximizing PV self-consumption. The ﬂexibility strategies are combined into a simulation model to analyze different system conﬁgurations over a full year.","container-title":"Applied Energy","DOI":"10.1016/j.apenergy.2015.10.036","ISSN":"03062619","journalAbbreviation":"Applied Energy","language":"en","page":"425-436","source":"DOI.org (Crossref)","title":"Optimal and rule-based control strategies for energy flexibility in buildings with PV","volume":"161","author":[{"family":"Salpakari","given":"Jyri"},{"family":"Lund","given":"Peter"}],"issued":{"date-parts":[["2016",1]]}}}],"schema":"https://github.com/citation-style-language/schema/raw/master/csl-citation.json"} </w:instrText>
      </w:r>
      <w:r w:rsidR="00F335A1">
        <w:fldChar w:fldCharType="separate"/>
      </w:r>
      <w:r w:rsidR="00F335A1">
        <w:rPr>
          <w:noProof/>
        </w:rPr>
        <w:t>(Goop et al., 2021; Salpakari and Lund, 2016)</w:t>
      </w:r>
      <w:r w:rsidR="00F335A1">
        <w:fldChar w:fldCharType="end"/>
      </w:r>
      <w:r w:rsidR="00F335A1">
        <w:t>.</w:t>
      </w:r>
      <w:r w:rsidR="006F6999">
        <w:t xml:space="preserve"> </w:t>
      </w:r>
      <w:r w:rsidR="00DF3479" w:rsidRPr="00DF3479">
        <w:t>C2 does not require regulatory innovation; its barriers are economic and informational.</w:t>
      </w:r>
    </w:p>
    <w:p w14:paraId="0B7E89FF" w14:textId="116F471F" w:rsidR="00E3342C" w:rsidRDefault="00E3342C" w:rsidP="00E3342C">
      <w:pPr>
        <w:pStyle w:val="SWCText"/>
      </w:pPr>
      <w:bookmarkStart w:id="14" w:name="OLE_LINK9"/>
      <w:r w:rsidRPr="00E3342C">
        <w:t xml:space="preserve">C4 (district VPP) and C5 (large-scale centralized HP with seasonal TES) offer the widest FSC potential but </w:t>
      </w:r>
      <w:r w:rsidR="00035C20">
        <w:t>also present</w:t>
      </w:r>
      <w:r w:rsidRPr="00E3342C">
        <w:t xml:space="preserve"> the largest implementation </w:t>
      </w:r>
      <w:r w:rsidR="00035C20">
        <w:t>barriers</w:t>
      </w:r>
      <w:r w:rsidRPr="00E3342C">
        <w:t xml:space="preserve">. C4 needs an aggregation platform </w:t>
      </w:r>
      <w:r w:rsidR="00035C20">
        <w:t>cap</w:t>
      </w:r>
      <w:r w:rsidR="005C4CBD">
        <w:t xml:space="preserve">able of </w:t>
      </w:r>
      <w:r w:rsidRPr="00E3342C">
        <w:t xml:space="preserve">coordinating HP setpoints across multiple buildings </w:t>
      </w:r>
      <w:r w:rsidR="005C4CBD">
        <w:t>through</w:t>
      </w:r>
      <w:r w:rsidRPr="00E3342C">
        <w:t xml:space="preserve"> interoperable control interfaces. C5 requires centralized plant investment, </w:t>
      </w:r>
      <w:r w:rsidR="001B39A8">
        <w:t xml:space="preserve">transition to </w:t>
      </w:r>
      <w:r w:rsidRPr="00E3342C">
        <w:t>lower</w:t>
      </w:r>
      <w:r w:rsidR="000C00CE">
        <w:t xml:space="preserve"> DH </w:t>
      </w:r>
      <w:r w:rsidRPr="00E3342C">
        <w:t xml:space="preserve">temperature networks, and a regulatory </w:t>
      </w:r>
      <w:r w:rsidR="00FE38CD">
        <w:t>framework</w:t>
      </w:r>
      <w:r w:rsidRPr="00E3342C">
        <w:t xml:space="preserve"> for seasonal P2H. </w:t>
      </w:r>
      <w:r w:rsidR="00F64A2E">
        <w:t>The tec</w:t>
      </w:r>
      <w:r w:rsidR="00F6758A">
        <w:t xml:space="preserve">hnology is commercially established: </w:t>
      </w:r>
      <w:r w:rsidRPr="00E3342C">
        <w:t xml:space="preserve">Swedish DH systems accumulated 1,527 MW of large HP capacity </w:t>
      </w:r>
      <w:r w:rsidR="00E0168F">
        <w:t>by</w:t>
      </w:r>
      <w:r w:rsidRPr="00E3342C">
        <w:t xml:space="preserve"> 1980s </w:t>
      </w:r>
      <w:r w:rsidR="00151D74">
        <w:fldChar w:fldCharType="begin"/>
      </w:r>
      <w:r w:rsidR="002F103C">
        <w:instrText xml:space="preserve"> ADDIN ZOTERO_ITEM CSL_CITATION {"citationID":"vWTXgEpp","properties":{"unsorted":false,"formattedCitation":"(Averfalk et al., 2017)","plainCitation":"(Averfalk et al., 2017)","noteIndex":0},"citationItems":[{"id":482,"uris":["http://zotero.org/users/18628118/items/VJBZ2B69"],"itemData":{"id":482,"type":"article-journal","abstract":"Power-to-heat solutions like heat pumps and electric boilers are foreseen to be possible future tools to stabilise international power markets with high proportions of variable power supply. Temporary low cost electricity can be used for heat generation at times with high availability of wind and solar power through substitution of ordinary heat supply, hence contributing to increased energy system sustainability. Power-to-heat installations in district heating systems are competitive due to low speciﬁc investment and installation costs for large electric boilers, heat pumps, and heat storages. Several large-scale heat pumps were installed in Swedish district heating systems during the 1980s, since a national electricity surplus from new nuclear power existed for some years. The aim of this paper is to summarise the accumulated operation experiences from these large Swedish heat pumps to support and facilitate planning of future power-to-heat solutions with heat pumps in district heating systems. Gained experiences consider; installed capacities, capacity utilisation, heat sources used, refrigerant replacements, refrigerant leakages, and wear of mechanical components. The major conclusion is that many of the large thirty-year-old heat pumps are still in operation, but with reduced capacity utilisation due to internal competition from waste and biomass cogeneration plants in the district heating systems.","container-title":"Renewable and Sustainable Energy Reviews","DOI":"10.1016/j.rser.2017.05.135","ISSN":"13640321","journalAbbreviation":"Renewable and Sustainable Energy Reviews","language":"en","page":"1275-1284","source":"DOI.org (Crossref)","title":"Large heat pumps in Swedish district heating systems","volume":"79","author":[{"family":"Averfalk","given":"Helge"},{"family":"Ingvarsson","given":"Paul"},{"family":"Persson","given":"Urban"},{"family":"Gong","given":"Mei"},{"family":"Werner","given":"Sven"}],"issued":{"date-parts":[["2017",11]]}}}],"schema":"https://github.com/citation-style-language/schema/raw/master/csl-citation.json"} </w:instrText>
      </w:r>
      <w:r w:rsidR="00151D74">
        <w:fldChar w:fldCharType="separate"/>
      </w:r>
      <w:r w:rsidR="002F103C">
        <w:rPr>
          <w:noProof/>
        </w:rPr>
        <w:t>(Averfalk et al., 2017)</w:t>
      </w:r>
      <w:r w:rsidR="00151D74">
        <w:fldChar w:fldCharType="end"/>
      </w:r>
      <w:r w:rsidR="00151D74">
        <w:t xml:space="preserve">. </w:t>
      </w:r>
      <w:r w:rsidRPr="00E3342C">
        <w:t>The binding constraint is investment scale and supply temperature transition. The HP share in Swedish DH supply is projected to reach 61</w:t>
      </w:r>
      <w:r w:rsidR="006E1E04">
        <w:t xml:space="preserve"> </w:t>
      </w:r>
      <w:r w:rsidRPr="00E3342C">
        <w:t xml:space="preserve">% by 2050, making seasonal TES the essential infrastructure for covering winter heating demand from renewable surpluses </w:t>
      </w:r>
      <w:r w:rsidR="00FE6EF1">
        <w:fldChar w:fldCharType="begin"/>
      </w:r>
      <w:r w:rsidR="00FE6EF1">
        <w:instrText xml:space="preserve"> ADDIN ZOTERO_ITEM CSL_CITATION {"citationID":"DSXRt81L","properties":{"unsorted":false,"formattedCitation":"(Atabaki et al., 2026)","plainCitation":"(Atabaki et al., 2026)","noteIndex":0},"citationItems":[{"id":458,"uris":["http://zotero.org/users/18628118/items/7B52WL2Y"],"itemData":{"id":458,"type":"article-journal","abstract":"The future energy systems dominated by variable renewable energy sources require system flexibility for balancing fluctuating supply and demand. This study is motivated by the need to investigate how sector coupling between the power and district heating sectors can enhance flexibility. It is hypothesised that a partially disaggregated sector-coupling approach can efficiently capture interactions between energy generation, conversion, and storage technologies. A mathematical optimisation framework is developed to analyse cost-optimal and environmentally benign energy system transitions in Sweden up to 2050. The model accounts for the ten largest Swedish district heating systems integrated within the national power system. Results reveal that wind turbines, with a 56% share, supported by electricity storage dominate electricity generation in 2050. Electricity storage enables demand to be met with 7% lower installed power generation capacity. The resulting generation mix drives a shift in district heating supply, with the heat generation share of combined heat and power plants declining to 24% and that of heat pumps increasing to 61% by 2050. Seasonal thermal storage systems play an important role in this shift, supplying 11% of district heating demand. However, transitions towards lowtemperature district heating reduce the seasonal storage share while further favouring heat pumps (up to 80% of heat generation). Increased availability of stable waste heat for direct district heating supply also diminishes the role of seasonal heat storage. Overall, the results highlight that district heating provides a flexibility service for the energy system, but multiple flexibility solutions are needed to fully exploit electricity oversupply.","container-title":"Energy Conversion and Management","DOI":"10.1016/j.enconman.2026.121165","ISSN":"01968904","journalAbbreviation":"Energy Conversion and Management","language":"en","page":"121165","source":"DOI.org (Crossref)","title":"Optimising the transition of Swedish energy systems through sector coupling of power and district heating","volume":"353","author":[{"family":"Atabaki","given":"Mohammad Saeid"},{"family":"Averfalk","given":"Helge"},{"family":"Widén","given":"Kristian"},{"family":"Möllerström","given":"Erik"},{"family":"Gadd","given":"Henrik"},{"family":"Persson","given":"Urban"}],"issued":{"date-parts":[["2026",4]]}}}],"schema":"https://github.com/citation-style-language/schema/raw/master/csl-citation.json"} </w:instrText>
      </w:r>
      <w:r w:rsidR="00FE6EF1">
        <w:fldChar w:fldCharType="separate"/>
      </w:r>
      <w:r w:rsidR="00FE6EF1">
        <w:rPr>
          <w:noProof/>
        </w:rPr>
        <w:t>(Atabaki et al., 2026)</w:t>
      </w:r>
      <w:r w:rsidR="00FE6EF1">
        <w:fldChar w:fldCharType="end"/>
      </w:r>
      <w:r w:rsidR="00FE6EF1">
        <w:t>.</w:t>
      </w:r>
    </w:p>
    <w:p w14:paraId="338C3351" w14:textId="52E5B9C8" w:rsidR="00FE6EF1" w:rsidRDefault="00EC7098" w:rsidP="00E3342C">
      <w:pPr>
        <w:pStyle w:val="SWCText"/>
      </w:pPr>
      <w:r>
        <w:t>D</w:t>
      </w:r>
      <w:r w:rsidR="00FE6EF1" w:rsidRPr="00FE6EF1">
        <w:t>igital readiness is a constraint at every step</w:t>
      </w:r>
      <w:r w:rsidR="005C1AA8">
        <w:t xml:space="preserve"> across all five configurations</w:t>
      </w:r>
      <w:r w:rsidR="00FE6EF1" w:rsidRPr="00FE6EF1">
        <w:t>. C3 is activated by a software update. C4 cannot function at all without interoperable aggregation infrastructure. Hardware investment and digital capability development therefore need to advance together rather than one after the other.</w:t>
      </w:r>
    </w:p>
    <w:p w14:paraId="542522BD" w14:textId="3BCE17E9" w:rsidR="0075218A" w:rsidRPr="0075218A" w:rsidRDefault="0028341E" w:rsidP="0075218A">
      <w:pPr>
        <w:pStyle w:val="SWCHeading11"/>
        <w:rPr>
          <w:lang w:val="en-US"/>
        </w:rPr>
      </w:pPr>
      <w:r w:rsidRPr="0028341E">
        <w:rPr>
          <w:lang w:val="en-US"/>
        </w:rPr>
        <w:t xml:space="preserve">4.3. </w:t>
      </w:r>
      <w:r w:rsidRPr="009F7FF8">
        <w:t>Performance</w:t>
      </w:r>
      <w:r w:rsidRPr="0028341E">
        <w:rPr>
          <w:lang w:val="en-US"/>
        </w:rPr>
        <w:t xml:space="preserve"> Indicators and the Research-Practice Gap</w:t>
      </w:r>
    </w:p>
    <w:p w14:paraId="2FB2970F" w14:textId="273C04C3" w:rsidR="0075218A" w:rsidRPr="00296F61" w:rsidRDefault="0075218A" w:rsidP="0075218A">
      <w:pPr>
        <w:pStyle w:val="SWCText"/>
      </w:pPr>
      <w:r w:rsidRPr="0075218A">
        <w:t xml:space="preserve">The FSC literature frames building performance primarily in </w:t>
      </w:r>
      <w:r w:rsidR="00664BE3">
        <w:t xml:space="preserve">terms of </w:t>
      </w:r>
      <w:r w:rsidRPr="0075218A">
        <w:t>energy engineering</w:t>
      </w:r>
      <w:r w:rsidR="00664BE3">
        <w:t>,</w:t>
      </w:r>
      <w:r w:rsidRPr="0075218A">
        <w:t xml:space="preserve"> </w:t>
      </w:r>
      <w:r w:rsidR="0064115C">
        <w:t xml:space="preserve">focusing on </w:t>
      </w:r>
      <w:r w:rsidRPr="0075218A">
        <w:t xml:space="preserve">renewable integration, carbon intensity, flexibility revenue, and round-trip </w:t>
      </w:r>
      <w:r w:rsidR="009D588D">
        <w:t xml:space="preserve">energy </w:t>
      </w:r>
      <w:r w:rsidRPr="0075218A">
        <w:t>storage efficiency. The interviews show that Swedish practitioners</w:t>
      </w:r>
      <w:r w:rsidR="00296F61">
        <w:t xml:space="preserve"> place gr</w:t>
      </w:r>
      <w:r w:rsidR="003065F8">
        <w:t>eat</w:t>
      </w:r>
      <w:r w:rsidR="00296F61">
        <w:t>er emphasis on</w:t>
      </w:r>
      <w:r w:rsidRPr="0075218A">
        <w:t xml:space="preserve"> a different set of criteria</w:t>
      </w:r>
      <w:r w:rsidR="00510F71">
        <w:t xml:space="preserve">, a </w:t>
      </w:r>
      <w:r w:rsidRPr="00296F61">
        <w:t xml:space="preserve">divergence </w:t>
      </w:r>
      <w:r w:rsidR="00510F71">
        <w:t xml:space="preserve">that constitutes </w:t>
      </w:r>
      <w:r w:rsidRPr="00296F61">
        <w:t>the central finding of th</w:t>
      </w:r>
      <w:r w:rsidR="00510F71">
        <w:t>is</w:t>
      </w:r>
      <w:r w:rsidRPr="00296F61">
        <w:t xml:space="preserve"> study.</w:t>
      </w:r>
    </w:p>
    <w:p w14:paraId="7F6565C5" w14:textId="41EBAA97" w:rsidR="003065F8" w:rsidRPr="003065F8" w:rsidRDefault="003B59C2" w:rsidP="003065F8">
      <w:pPr>
        <w:pStyle w:val="SWCText"/>
      </w:pPr>
      <w:r>
        <w:t>All five actor</w:t>
      </w:r>
      <w:r w:rsidR="004522C5">
        <w:t xml:space="preserve"> groups converged on the same pattern: evaluation criteria shift toward financial returns as</w:t>
      </w:r>
      <w:r w:rsidR="00C154B9">
        <w:t xml:space="preserve"> proximity to the physical building increases. </w:t>
      </w:r>
      <w:r w:rsidR="00A04FA4">
        <w:t>T</w:t>
      </w:r>
      <w:r w:rsidR="00001CD1">
        <w:t>he Primary Energy Number</w:t>
      </w:r>
      <w:r w:rsidR="003065F8" w:rsidRPr="003065F8">
        <w:t xml:space="preserve"> </w:t>
      </w:r>
      <w:r w:rsidR="00001CD1">
        <w:t>(</w:t>
      </w:r>
      <w:r w:rsidR="003065F8" w:rsidRPr="003065F8">
        <w:t>PEN</w:t>
      </w:r>
      <w:r w:rsidR="00001CD1">
        <w:t>)</w:t>
      </w:r>
      <w:r w:rsidR="003065F8" w:rsidRPr="003065F8">
        <w:t xml:space="preserve"> is the </w:t>
      </w:r>
      <w:r w:rsidR="00001CD1">
        <w:t xml:space="preserve">one </w:t>
      </w:r>
      <w:r w:rsidR="003065F8" w:rsidRPr="003065F8">
        <w:t xml:space="preserve">metric </w:t>
      </w:r>
      <w:r w:rsidR="00001CD1">
        <w:t>that appears across almost all groups</w:t>
      </w:r>
      <w:r w:rsidR="003065F8" w:rsidRPr="003065F8">
        <w:t xml:space="preserve">, not because they are optimizing energy performance directly but because </w:t>
      </w:r>
      <w:r w:rsidR="00001CD1">
        <w:t>it</w:t>
      </w:r>
      <w:r w:rsidR="003065F8" w:rsidRPr="003065F8">
        <w:t xml:space="preserve"> determines access to green financing under the EU taxonomy and the interest rates banks apply to building owners.</w:t>
      </w:r>
    </w:p>
    <w:p w14:paraId="4C18F35F" w14:textId="65D865EA" w:rsidR="008F11D3" w:rsidRDefault="00756E0F" w:rsidP="003065F8">
      <w:pPr>
        <w:pStyle w:val="SWCText"/>
      </w:pPr>
      <w:r w:rsidRPr="00756E0F">
        <w:t xml:space="preserve">The </w:t>
      </w:r>
      <w:r w:rsidR="006105B1" w:rsidRPr="006105B1">
        <w:t>link between building performance and financing is established</w:t>
      </w:r>
      <w:r w:rsidR="006105B1">
        <w:t xml:space="preserve"> </w:t>
      </w:r>
      <w:r w:rsidRPr="00756E0F">
        <w:t xml:space="preserve">through Swedish building regulations (BBR), </w:t>
      </w:r>
      <w:r w:rsidR="00663262" w:rsidRPr="00663262">
        <w:t xml:space="preserve">which </w:t>
      </w:r>
      <w:r w:rsidR="001C14E3">
        <w:t>set</w:t>
      </w:r>
      <w:r w:rsidR="00663262" w:rsidRPr="00663262">
        <w:t xml:space="preserve"> the current primary energy factors</w:t>
      </w:r>
      <w:r w:rsidR="001435AB">
        <w:t xml:space="preserve"> (PEF)</w:t>
      </w:r>
      <w:r w:rsidR="00663262" w:rsidRPr="00663262">
        <w:t xml:space="preserve"> for nearly zero energy building (</w:t>
      </w:r>
      <w:proofErr w:type="spellStart"/>
      <w:r w:rsidR="00663262" w:rsidRPr="00663262">
        <w:t>nZEB</w:t>
      </w:r>
      <w:proofErr w:type="spellEnd"/>
      <w:r w:rsidR="00663262" w:rsidRPr="00663262">
        <w:t xml:space="preserve">) compliance in September 2020 </w:t>
      </w:r>
      <w:r w:rsidR="00391493">
        <w:fldChar w:fldCharType="begin"/>
      </w:r>
      <w:r w:rsidR="00893D35">
        <w:instrText xml:space="preserve"> ADDIN ZOTERO_ITEM CSL_CITATION {"citationID":"ZcdbaD1l","properties":{"unsorted":false,"formattedCitation":"(Wahlstr\\uc0\\u246{}m and Maripuu, 2021)","plainCitation":"(Wahlström and Maripuu, 2021)","noteIndex":0},"citationItems":[{"id":496,"uris":["http://zotero.org/users/18628118/items/ZXY6DBXH"],"itemData":{"id":496,"type":"article-journal","abstract":"This study has analysed which options would be appropriate to use as additional requirements to the main requirement of primary energy number in the new Swedish building regulations. The starting point is to ensure that buildings are built with good qualitative properties in terms of the building envelope so that low energy use can be maintained throughout the life of the building despite changes in installation systems or the building’s occupancy. The additional requirements should aim to minimize energy losses, i.e., to ensure that the building's total energy demand is low. The following possible additional requirements have been examined:\n              net energy demand, net energy demand for heating\n              ,\n              heat power demand, heat loss rate\n              and\n              average heat transfer coefficient\n              . In order to ensure that the additional requirements will work as desired and to explore possibilities with, and identify the consequences of, the various proposals, calculations have been made for four different categories of buildings: single-family houses, apartment buildings, schools and offices. The results show that the suggested option\n              net energy demand\n              will not contribute to any additional benefits in relation to primary energy number. The other options analysed have both advantages and disadvantages and it is difficult to find a single additional requirement that fulfils all the pre-set demands.","container-title":"E3S Web of Conferences","DOI":"10.1051/e3sconf/202124614002","ISSN":"2267-1242","journalAbbreviation":"E3S Web Conf.","license":"https://creativecommons.org/licenses/by/4.0/","page":"14002","source":"DOI.org (Crossref)","title":"Additional requirement to the Swedish nearly zero energy requirements","volume":"246","author":[{"family":"Wahlström","given":"Åsa"},{"family":"Maripuu","given":"Mari-Liis"}],"editor":[{"family":"Kurnitski","given":"J."},{"family":"Thalfeldt","given":"M."}],"issued":{"date-parts":[["2021"]]}}}],"schema":"https://github.com/citation-style-language/schema/raw/master/csl-citation.json"} </w:instrText>
      </w:r>
      <w:r w:rsidR="00391493">
        <w:fldChar w:fldCharType="separate"/>
      </w:r>
      <w:r w:rsidR="00893D35" w:rsidRPr="00893D35">
        <w:rPr>
          <w:lang w:eastAsia="fr-FR"/>
        </w:rPr>
        <w:t>(Wahlström and Maripuu, 2021)</w:t>
      </w:r>
      <w:r w:rsidR="00391493">
        <w:fldChar w:fldCharType="end"/>
      </w:r>
      <w:r w:rsidR="00391493">
        <w:t xml:space="preserve">. </w:t>
      </w:r>
      <w:r w:rsidRPr="00756E0F">
        <w:t xml:space="preserve">The regulation calculates annual energy use per square meter, weighting electricity at a </w:t>
      </w:r>
      <w:r w:rsidR="002B3862">
        <w:t>PEF</w:t>
      </w:r>
      <w:r w:rsidRPr="00756E0F">
        <w:t xml:space="preserve"> of 1.8 and DH at 0.7. A</w:t>
      </w:r>
      <w:r w:rsidR="002959C0">
        <w:t>n</w:t>
      </w:r>
      <w:r w:rsidRPr="00756E0F">
        <w:t xml:space="preserve"> HP running above a COP of 2.57 scores better on the primary energy metric than DH. That breakeven comes directly from the weighting factors:</w:t>
      </w:r>
    </w:p>
    <w:p w14:paraId="712D57A0" w14:textId="3E89C06D" w:rsidR="008F11D3" w:rsidRPr="00A57600" w:rsidRDefault="00100BF2" w:rsidP="00B677C1">
      <w:pPr>
        <w:pStyle w:val="SWCText"/>
        <w:jc w:val="center"/>
      </w:pPr>
      <m:oMath>
        <m:f>
          <m:fPr>
            <m:ctrlPr>
              <w:rPr>
                <w:rFonts w:ascii="Cambria Math" w:hAnsi="Cambria Math"/>
              </w:rPr>
            </m:ctrlPr>
          </m:fPr>
          <m:num>
            <m:r>
              <w:rPr>
                <w:rFonts w:ascii="Cambria Math" w:hAnsi="Cambria Math"/>
              </w:rPr>
              <m:t>1.8</m:t>
            </m:r>
          </m:num>
          <m:den>
            <m:r>
              <m:rPr>
                <m:sty m:val="p"/>
              </m:rPr>
              <w:rPr>
                <w:rFonts w:ascii="Cambria Math" w:hAnsi="Cambria Math"/>
              </w:rPr>
              <m:t>COP</m:t>
            </m:r>
          </m:den>
        </m:f>
        <m:r>
          <w:rPr>
            <w:rFonts w:ascii="Cambria Math" w:hAnsi="Cambria Math"/>
          </w:rPr>
          <m:t>=0.70⟹</m:t>
        </m:r>
        <m:r>
          <m:rPr>
            <m:sty m:val="p"/>
          </m:rPr>
          <w:rPr>
            <w:rFonts w:ascii="Cambria Math" w:hAnsi="Cambria Math"/>
          </w:rPr>
          <m:t>COP</m:t>
        </m:r>
        <m:r>
          <w:rPr>
            <w:rFonts w:ascii="Cambria Math" w:hAnsi="Cambria Math"/>
          </w:rPr>
          <m:t>=2.57</m:t>
        </m:r>
      </m:oMath>
      <w:r w:rsidR="00BE557F">
        <w:tab/>
      </w:r>
      <w:r w:rsidR="00BE557F">
        <w:tab/>
      </w:r>
      <w:r w:rsidR="00727BA0">
        <w:t>(</w:t>
      </w:r>
      <w:r w:rsidR="00F363F3">
        <w:t>eq.</w:t>
      </w:r>
      <w:r w:rsidR="00BE557F">
        <w:t>1</w:t>
      </w:r>
      <w:r w:rsidR="00727BA0">
        <w:t>)</w:t>
      </w:r>
    </w:p>
    <w:p w14:paraId="6FFE2E60" w14:textId="474C1FF2" w:rsidR="003065F8" w:rsidRPr="003065F8" w:rsidRDefault="00286871" w:rsidP="003065F8">
      <w:pPr>
        <w:pStyle w:val="SWCText"/>
      </w:pPr>
      <w:r w:rsidRPr="00286871">
        <w:t xml:space="preserve">At this threshold, </w:t>
      </w:r>
      <w:r w:rsidR="00001CD1">
        <w:t xml:space="preserve">both technologies produce the same </w:t>
      </w:r>
      <w:r w:rsidRPr="00286871">
        <w:t xml:space="preserve">primary energy </w:t>
      </w:r>
      <w:r w:rsidR="00001CD1">
        <w:t>score.</w:t>
      </w:r>
      <w:r w:rsidR="00910FA9">
        <w:t xml:space="preserve"> </w:t>
      </w:r>
      <w:r w:rsidR="00910FA9" w:rsidRPr="00910FA9">
        <w:t>An HP operating above COP 2.57 delivers each unit of heat at a lower primary energy cost than DH; below it, DH is more favorable on the primary energy metric</w:t>
      </w:r>
      <w:r w:rsidRPr="00286871">
        <w:t xml:space="preserve"> </w:t>
      </w:r>
      <w:r w:rsidR="00F60163">
        <w:fldChar w:fldCharType="begin"/>
      </w:r>
      <w:r w:rsidR="00E968D3">
        <w:instrText xml:space="preserve"> ADDIN ZOTERO_ITEM CSL_CITATION {"citationID":"sO7Gjhm1","properties":{"unsorted":false,"formattedCitation":"(Wahlstr\\uc0\\u246{}m and Maripuu, 2021)","plainCitation":"(Wahlström and Maripuu, 2021)","noteIndex":0},"citationItems":[{"id":496,"uris":["http://zotero.org/users/18628118/items/ZXY6DBXH"],"itemData":{"id":496,"type":"article-journal","abstract":"This study has analysed which options would be appropriate to use as additional requirements to the main requirement of primary energy number in the new Swedish building regulations. The starting point is to ensure that buildings are built with good qualitative properties in terms of the building envelope so that low energy use can be maintained throughout the life of the building despite changes in installation systems or the building’s occupancy. The additional requirements should aim to minimize energy losses, i.e., to ensure that the building's total energy demand is low. The following possible additional requirements have been examined:\n              net energy demand, net energy demand for heating\n              ,\n              heat power demand, heat loss rate\n              and\n              average heat transfer coefficient\n              . In order to ensure that the additional requirements will work as desired and to explore possibilities with, and identify the consequences of, the various proposals, calculations have been made for four different categories of buildings: single-family houses, apartment buildings, schools and offices. The results show that the suggested option\n              net energy demand\n              will not contribute to any additional benefits in relation to primary energy number. The other options analysed have both advantages and disadvantages and it is difficult to find a single additional requirement that fulfils all the pre-set demands.","container-title":"E3S Web of Conferences","DOI":"10.1051/e3sconf/202124614002","ISSN":"2267-1242","journalAbbreviation":"E3S Web Conf.","license":"https://creativecommons.org/licenses/by/4.0/","page":"14002","source":"DOI.org (Crossref)","title":"Additional requirement to the Swedish nearly zero energy requirements","volume":"246","author":[{"family":"Wahlström","given":"Åsa"},{"family":"Maripuu","given":"Mari-Liis"}],"editor":[{"family":"Kurnitski","given":"J."},{"family":"Thalfeldt","given":"M."}],"issued":{"date-parts":[["2021"]]}}}],"schema":"https://github.com/citation-style-language/schema/raw/master/csl-citation.json"} </w:instrText>
      </w:r>
      <w:r w:rsidR="00F60163">
        <w:fldChar w:fldCharType="separate"/>
      </w:r>
      <w:r w:rsidR="00E968D3" w:rsidRPr="00E968D3">
        <w:rPr>
          <w:lang w:eastAsia="fr-FR"/>
        </w:rPr>
        <w:t>(Wahlström and Maripuu, 2021)</w:t>
      </w:r>
      <w:r w:rsidR="00F60163">
        <w:fldChar w:fldCharType="end"/>
      </w:r>
      <w:r w:rsidR="00F60163">
        <w:t>.</w:t>
      </w:r>
    </w:p>
    <w:p w14:paraId="7159F197" w14:textId="085171F0" w:rsidR="0075218A" w:rsidRPr="003065F8" w:rsidRDefault="00AB3C78" w:rsidP="0075218A">
      <w:pPr>
        <w:pStyle w:val="SWCText"/>
      </w:pPr>
      <w:bookmarkStart w:id="15" w:name="OLE_LINK2"/>
      <w:r w:rsidRPr="00AB3C78">
        <w:lastRenderedPageBreak/>
        <w:t>The PEN therefore</w:t>
      </w:r>
      <w:r w:rsidR="007C606B">
        <w:t xml:space="preserve"> </w:t>
      </w:r>
      <w:r w:rsidR="009466B8">
        <w:t xml:space="preserve">connects </w:t>
      </w:r>
      <w:r w:rsidRPr="00AB3C78">
        <w:t xml:space="preserve">academic evaluation </w:t>
      </w:r>
      <w:r w:rsidR="0009600F">
        <w:t>framew</w:t>
      </w:r>
      <w:r w:rsidR="00543A17">
        <w:t>or</w:t>
      </w:r>
      <w:r w:rsidR="0009600F">
        <w:t>ks</w:t>
      </w:r>
      <w:r w:rsidR="00543A17">
        <w:t xml:space="preserve"> to </w:t>
      </w:r>
      <w:r w:rsidRPr="00AB3C78">
        <w:t xml:space="preserve">practitioner </w:t>
      </w:r>
      <w:r w:rsidR="00543A17">
        <w:t>investment decisions.</w:t>
      </w:r>
      <w:r w:rsidRPr="00AB3C78">
        <w:t xml:space="preserve"> Energy engineering KPIs, including carbon intensity, grid service revenue, and renewable integration rate, were not raised by any building owner or technology installer as investment criteria. The PEN was the one exception.</w:t>
      </w:r>
    </w:p>
    <w:bookmarkEnd w:id="15"/>
    <w:p w14:paraId="4D2C2B66" w14:textId="74457916" w:rsidR="00B92541" w:rsidRDefault="00B92541" w:rsidP="00B92541">
      <w:pPr>
        <w:pStyle w:val="SWCText"/>
      </w:pPr>
      <w:r w:rsidRPr="00B92541">
        <w:t>Four KPIs that practitioners linked directly to storage investment decisions have no equivalent in the FSC literature: real-estate yield (net operating income divided by asset value) as the primary investment denominator for commercial building owners; maintenance cost reduction through flat-mode HP or boiler operation, where</w:t>
      </w:r>
      <w:r w:rsidR="00423D61">
        <w:t xml:space="preserve"> a</w:t>
      </w:r>
      <w:r w:rsidRPr="00B92541">
        <w:t xml:space="preserve"> buffer </w:t>
      </w:r>
      <w:r w:rsidR="00C52E7D">
        <w:t>tank</w:t>
      </w:r>
      <w:r w:rsidRPr="00B92541">
        <w:t xml:space="preserve"> absorbs load variation and reduces </w:t>
      </w:r>
      <w:r w:rsidR="007A36AD">
        <w:t xml:space="preserve">the </w:t>
      </w:r>
      <w:r w:rsidRPr="00B92541">
        <w:t>start-stop cycling; annual peak cooling tariff exposure for district cooling users, where one peak demand event sets the rate for the following twelve months; and cost per watt-peak as the unit technology installers use when quoting PV systems. None of these appears in the FSC evaluation framework across six domains derived from the literature.</w:t>
      </w:r>
    </w:p>
    <w:p w14:paraId="04F86DC1" w14:textId="0B26CFA3" w:rsidR="001F4841" w:rsidRPr="001F4841" w:rsidRDefault="001F4841" w:rsidP="001F4841">
      <w:pPr>
        <w:pStyle w:val="SWCText"/>
      </w:pPr>
      <w:bookmarkStart w:id="16" w:name="OLE_LINK3"/>
      <w:r w:rsidRPr="001F4841">
        <w:t xml:space="preserve">The </w:t>
      </w:r>
      <w:r w:rsidR="00FE3E0E">
        <w:t xml:space="preserve">gap </w:t>
      </w:r>
      <w:r w:rsidR="00CF2B6D">
        <w:t>between research and practice</w:t>
      </w:r>
      <w:r w:rsidRPr="001F4841">
        <w:t xml:space="preserve"> runs in both directions. Practitioners use financial metrics the academic literature does not measure</w:t>
      </w:r>
      <w:r w:rsidR="00003582">
        <w:t xml:space="preserve">; </w:t>
      </w:r>
      <w:r w:rsidR="00592171">
        <w:t>t</w:t>
      </w:r>
      <w:r w:rsidRPr="001F4841">
        <w:t xml:space="preserve">he academic literature uses energy </w:t>
      </w:r>
      <w:r w:rsidR="00592171">
        <w:t xml:space="preserve">and techno-economic </w:t>
      </w:r>
      <w:r w:rsidRPr="001F4841">
        <w:t xml:space="preserve">metrics practitioners do not act on. </w:t>
      </w:r>
      <w:r w:rsidR="002C3CEA">
        <w:t>Resolving</w:t>
      </w:r>
      <w:r w:rsidR="001774C4">
        <w:t xml:space="preserve"> this misalignment</w:t>
      </w:r>
      <w:r w:rsidRPr="001F4841">
        <w:t xml:space="preserve"> requires translation tools adapted to each actor group, not more granular technical KPIs.</w:t>
      </w:r>
    </w:p>
    <w:bookmarkEnd w:id="16"/>
    <w:p w14:paraId="2111DFA5" w14:textId="0D601E20" w:rsidR="00181A12" w:rsidRPr="00181A12" w:rsidRDefault="00181A12" w:rsidP="00181A12">
      <w:pPr>
        <w:pStyle w:val="SWCHeading11"/>
        <w:rPr>
          <w:lang w:val="en-US"/>
        </w:rPr>
      </w:pPr>
      <w:r w:rsidRPr="00181A12">
        <w:rPr>
          <w:lang w:val="en-US"/>
        </w:rPr>
        <w:t>4.4. Digital Maturity Requirements</w:t>
      </w:r>
    </w:p>
    <w:p w14:paraId="49972E2C" w14:textId="1DBC0069" w:rsidR="001F4841" w:rsidRPr="009D7631" w:rsidRDefault="00D04AA0" w:rsidP="001F4841">
      <w:pPr>
        <w:pStyle w:val="SWCText"/>
      </w:pPr>
      <w:r>
        <w:t>All</w:t>
      </w:r>
      <w:r w:rsidR="00181A12" w:rsidRPr="00181A12">
        <w:t xml:space="preserve"> FSC configuration</w:t>
      </w:r>
      <w:r w:rsidR="006B53F6">
        <w:t>s</w:t>
      </w:r>
      <w:r w:rsidR="00181A12" w:rsidRPr="00181A12">
        <w:t xml:space="preserve"> </w:t>
      </w:r>
      <w:r>
        <w:t>require</w:t>
      </w:r>
      <w:r w:rsidR="00181A12" w:rsidRPr="00181A12">
        <w:t xml:space="preserve"> digital capability</w:t>
      </w:r>
      <w:r w:rsidR="00D27917">
        <w:t xml:space="preserve"> for</w:t>
      </w:r>
      <w:r w:rsidR="00181A12" w:rsidRPr="00181A12">
        <w:t xml:space="preserve"> monitoring, dispatch, and coordination with external signals. The </w:t>
      </w:r>
      <w:r w:rsidR="00510F71">
        <w:t>analysis</w:t>
      </w:r>
      <w:r w:rsidR="00181A12" w:rsidRPr="00181A12">
        <w:t xml:space="preserve"> </w:t>
      </w:r>
      <w:r w:rsidR="001038F8">
        <w:t xml:space="preserve">here </w:t>
      </w:r>
      <w:r w:rsidR="00181A12" w:rsidRPr="00181A12">
        <w:t>trace</w:t>
      </w:r>
      <w:r w:rsidR="00510F71">
        <w:t>s</w:t>
      </w:r>
      <w:r w:rsidR="00181A12" w:rsidRPr="00181A12">
        <w:t xml:space="preserve"> what that capability looks like in practice across </w:t>
      </w:r>
      <w:r w:rsidR="001038F8">
        <w:t xml:space="preserve">the </w:t>
      </w:r>
      <w:r w:rsidR="00181A12" w:rsidRPr="00181A12">
        <w:t xml:space="preserve">twelve stakeholder roles and </w:t>
      </w:r>
      <w:r w:rsidR="00510F71">
        <w:t>identifies</w:t>
      </w:r>
      <w:r w:rsidR="00181A12" w:rsidRPr="00181A12">
        <w:t xml:space="preserve"> a three-tier structure</w:t>
      </w:r>
      <w:r w:rsidR="001038F8">
        <w:t xml:space="preserve">, as visualized in </w:t>
      </w:r>
      <w:r w:rsidR="00392ECA">
        <w:fldChar w:fldCharType="begin"/>
      </w:r>
      <w:r w:rsidR="00392ECA">
        <w:instrText xml:space="preserve"> REF _Ref238997798 \h </w:instrText>
      </w:r>
      <w:r w:rsidR="00392ECA">
        <w:fldChar w:fldCharType="separate"/>
      </w:r>
      <w:r w:rsidR="0030162C">
        <w:t xml:space="preserve">Fig. </w:t>
      </w:r>
      <w:r w:rsidR="0030162C">
        <w:rPr>
          <w:noProof/>
        </w:rPr>
        <w:t>3</w:t>
      </w:r>
      <w:r w:rsidR="00392ECA">
        <w:fldChar w:fldCharType="end"/>
      </w:r>
      <w:r w:rsidR="00392ECA">
        <w:t>.</w:t>
      </w:r>
    </w:p>
    <w:p w14:paraId="704C8C6A" w14:textId="77777777" w:rsidR="00DB01EB" w:rsidRDefault="00787978" w:rsidP="006E115F">
      <w:pPr>
        <w:pStyle w:val="SWCText"/>
        <w:keepNext/>
        <w:spacing w:after="0"/>
      </w:pPr>
      <w:r>
        <w:rPr>
          <w:noProof/>
        </w:rPr>
        <w:drawing>
          <wp:inline distT="0" distB="0" distL="0" distR="0" wp14:anchorId="2B641DBC" wp14:editId="201667E1">
            <wp:extent cx="5567045" cy="1443355"/>
            <wp:effectExtent l="0" t="0" r="0" b="4445"/>
            <wp:docPr id="41552463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524631" name="Imagen 41552463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67045" cy="1443355"/>
                    </a:xfrm>
                    <a:prstGeom prst="rect">
                      <a:avLst/>
                    </a:prstGeom>
                  </pic:spPr>
                </pic:pic>
              </a:graphicData>
            </a:graphic>
          </wp:inline>
        </w:drawing>
      </w:r>
    </w:p>
    <w:p w14:paraId="5FD1B204" w14:textId="589F32B8" w:rsidR="00787978" w:rsidRDefault="00DB01EB" w:rsidP="00D41F32">
      <w:pPr>
        <w:pStyle w:val="SWCTableFigureCaption"/>
      </w:pPr>
      <w:bookmarkStart w:id="17" w:name="_Ref238997798"/>
      <w:r>
        <w:t xml:space="preserve">Fig. </w:t>
      </w:r>
      <w:r>
        <w:fldChar w:fldCharType="begin"/>
      </w:r>
      <w:r>
        <w:instrText xml:space="preserve"> SEQ Fig. \* ARABIC </w:instrText>
      </w:r>
      <w:r>
        <w:fldChar w:fldCharType="separate"/>
      </w:r>
      <w:r w:rsidR="0030162C">
        <w:rPr>
          <w:noProof/>
        </w:rPr>
        <w:t>3</w:t>
      </w:r>
      <w:r>
        <w:fldChar w:fldCharType="end"/>
      </w:r>
      <w:bookmarkEnd w:id="17"/>
      <w:r>
        <w:t>: Three-tier digital maturity model derived from stakeholder interviews. EN ISO 52120-1 efficiency classes (D–A) and SRI functional levels (0–4) serve as reference frameworks, not hard boundaries.</w:t>
      </w:r>
      <w:r w:rsidR="000507FE">
        <w:t xml:space="preserve"> </w:t>
      </w:r>
    </w:p>
    <w:p w14:paraId="3289D214" w14:textId="7E5F3DF1" w:rsidR="00B92541" w:rsidRDefault="00A354F7" w:rsidP="00B92541">
      <w:pPr>
        <w:pStyle w:val="SWCText"/>
        <w:rPr>
          <w:lang w:val="en-GB"/>
        </w:rPr>
      </w:pPr>
      <w:r>
        <w:rPr>
          <w:lang w:val="en-GB"/>
        </w:rPr>
        <w:t>L</w:t>
      </w:r>
      <w:r w:rsidR="004323FC" w:rsidRPr="004323FC">
        <w:rPr>
          <w:lang w:val="en-GB"/>
        </w:rPr>
        <w:t xml:space="preserve">ow-tier organizations </w:t>
      </w:r>
      <w:r>
        <w:rPr>
          <w:lang w:val="en-GB"/>
        </w:rPr>
        <w:t xml:space="preserve">(c.f. </w:t>
      </w:r>
      <w:r>
        <w:fldChar w:fldCharType="begin"/>
      </w:r>
      <w:r>
        <w:instrText xml:space="preserve"> REF _Ref238997798 \h </w:instrText>
      </w:r>
      <w:r>
        <w:fldChar w:fldCharType="separate"/>
      </w:r>
      <w:r w:rsidR="0030162C">
        <w:t xml:space="preserve">Fig. </w:t>
      </w:r>
      <w:r w:rsidR="0030162C">
        <w:rPr>
          <w:noProof/>
        </w:rPr>
        <w:t>3</w:t>
      </w:r>
      <w:r>
        <w:fldChar w:fldCharType="end"/>
      </w:r>
      <w:r>
        <w:t xml:space="preserve">) </w:t>
      </w:r>
      <w:r w:rsidR="004323FC" w:rsidRPr="004323FC">
        <w:rPr>
          <w:lang w:val="en-GB"/>
        </w:rPr>
        <w:t xml:space="preserve">run manufacturer portals, individual building management systems (BMS), and smart meters at the grid connection. None of these systems communicates with the others, and there is no </w:t>
      </w:r>
      <w:r w:rsidR="00B0761C">
        <w:rPr>
          <w:lang w:val="en-GB"/>
        </w:rPr>
        <w:t>external</w:t>
      </w:r>
      <w:r w:rsidR="004323FC" w:rsidRPr="004323FC">
        <w:rPr>
          <w:lang w:val="en-GB"/>
        </w:rPr>
        <w:t xml:space="preserve"> connection to flexibility markets or DH operator platforms.</w:t>
      </w:r>
    </w:p>
    <w:p w14:paraId="47199ECA" w14:textId="359BA418" w:rsidR="006220B3" w:rsidRPr="004323FC" w:rsidRDefault="006220B3" w:rsidP="00B92541">
      <w:pPr>
        <w:pStyle w:val="SWCText"/>
        <w:rPr>
          <w:lang w:val="en-GB"/>
        </w:rPr>
      </w:pPr>
      <w:r w:rsidRPr="006220B3">
        <w:rPr>
          <w:lang w:val="en-GB"/>
        </w:rPr>
        <w:t xml:space="preserve">Intermediate-tier organizations </w:t>
      </w:r>
      <w:r w:rsidR="0093488D">
        <w:rPr>
          <w:lang w:val="en-GB"/>
        </w:rPr>
        <w:t xml:space="preserve">(c.f. </w:t>
      </w:r>
      <w:r w:rsidR="0093488D">
        <w:fldChar w:fldCharType="begin"/>
      </w:r>
      <w:r w:rsidR="0093488D">
        <w:instrText xml:space="preserve"> REF _Ref238997798 \h </w:instrText>
      </w:r>
      <w:r w:rsidR="0093488D">
        <w:fldChar w:fldCharType="separate"/>
      </w:r>
      <w:r w:rsidR="0030162C">
        <w:t xml:space="preserve">Fig. </w:t>
      </w:r>
      <w:r w:rsidR="0030162C">
        <w:rPr>
          <w:noProof/>
        </w:rPr>
        <w:t>3</w:t>
      </w:r>
      <w:r w:rsidR="0093488D">
        <w:fldChar w:fldCharType="end"/>
      </w:r>
      <w:r w:rsidR="0093488D">
        <w:t xml:space="preserve">) </w:t>
      </w:r>
      <w:r w:rsidRPr="006220B3">
        <w:rPr>
          <w:lang w:val="en-GB"/>
        </w:rPr>
        <w:t xml:space="preserve">pull data from multiple building systems into a single integration layer and can respond to day-ahead spot prices. </w:t>
      </w:r>
      <w:r w:rsidR="00510F71">
        <w:rPr>
          <w:lang w:val="en-GB"/>
        </w:rPr>
        <w:t>One</w:t>
      </w:r>
      <w:r w:rsidRPr="006220B3">
        <w:rPr>
          <w:lang w:val="en-GB"/>
        </w:rPr>
        <w:t xml:space="preserve"> commercial real estate owner uses a cloud</w:t>
      </w:r>
      <w:r w:rsidR="00510F71">
        <w:rPr>
          <w:lang w:val="en-GB"/>
        </w:rPr>
        <w:t>-based</w:t>
      </w:r>
      <w:r w:rsidRPr="006220B3">
        <w:rPr>
          <w:lang w:val="en-GB"/>
        </w:rPr>
        <w:t xml:space="preserve"> </w:t>
      </w:r>
      <w:proofErr w:type="spellStart"/>
      <w:r w:rsidRPr="006220B3">
        <w:rPr>
          <w:lang w:val="en-GB"/>
        </w:rPr>
        <w:t>PropTech</w:t>
      </w:r>
      <w:proofErr w:type="spellEnd"/>
      <w:r w:rsidRPr="006220B3">
        <w:rPr>
          <w:lang w:val="en-GB"/>
        </w:rPr>
        <w:t xml:space="preserve"> platform </w:t>
      </w:r>
      <w:r w:rsidR="00510F71">
        <w:rPr>
          <w:lang w:val="en-GB"/>
        </w:rPr>
        <w:t>that connects</w:t>
      </w:r>
      <w:r w:rsidRPr="006220B3">
        <w:rPr>
          <w:lang w:val="en-GB"/>
        </w:rPr>
        <w:t xml:space="preserve"> BMS, PV meters, HPs, and planned BESS in one place. A TES and HP installer runs a proprietary cloud system with its own programmable logic controllers, dispatching HPs remotely. </w:t>
      </w:r>
      <w:r w:rsidR="00D96D21">
        <w:rPr>
          <w:lang w:val="en-GB"/>
        </w:rPr>
        <w:t>N</w:t>
      </w:r>
      <w:r w:rsidRPr="006220B3">
        <w:rPr>
          <w:lang w:val="en-GB"/>
        </w:rPr>
        <w:t>either</w:t>
      </w:r>
      <w:r w:rsidR="00D96D21">
        <w:rPr>
          <w:lang w:val="en-GB"/>
        </w:rPr>
        <w:t xml:space="preserve">, </w:t>
      </w:r>
      <w:r w:rsidR="00B370CA">
        <w:rPr>
          <w:lang w:val="en-GB"/>
        </w:rPr>
        <w:t xml:space="preserve">however, </w:t>
      </w:r>
      <w:r w:rsidR="00B370CA" w:rsidRPr="006220B3">
        <w:rPr>
          <w:lang w:val="en-GB"/>
        </w:rPr>
        <w:t>can</w:t>
      </w:r>
      <w:r w:rsidR="002F3AAB">
        <w:rPr>
          <w:lang w:val="en-GB"/>
        </w:rPr>
        <w:t xml:space="preserve"> connect </w:t>
      </w:r>
      <w:r w:rsidRPr="006220B3">
        <w:rPr>
          <w:lang w:val="en-GB"/>
        </w:rPr>
        <w:t>to flexibility market interfaces.</w:t>
      </w:r>
    </w:p>
    <w:p w14:paraId="0171AB57" w14:textId="798338DF" w:rsidR="0028341E" w:rsidRPr="00B92541" w:rsidRDefault="00401294" w:rsidP="0028341E">
      <w:pPr>
        <w:pStyle w:val="SWCText"/>
      </w:pPr>
      <w:r w:rsidRPr="00401294">
        <w:t xml:space="preserve">Advanced-tier organizations </w:t>
      </w:r>
      <w:r w:rsidR="0093488D">
        <w:rPr>
          <w:lang w:val="en-GB"/>
        </w:rPr>
        <w:t xml:space="preserve">(c.f. </w:t>
      </w:r>
      <w:r w:rsidR="0093488D">
        <w:fldChar w:fldCharType="begin"/>
      </w:r>
      <w:r w:rsidR="0093488D">
        <w:instrText xml:space="preserve"> REF _Ref238997798 \h </w:instrText>
      </w:r>
      <w:r w:rsidR="0093488D">
        <w:fldChar w:fldCharType="separate"/>
      </w:r>
      <w:r w:rsidR="0030162C">
        <w:t xml:space="preserve">Fig. </w:t>
      </w:r>
      <w:r w:rsidR="0030162C">
        <w:rPr>
          <w:noProof/>
        </w:rPr>
        <w:t>3</w:t>
      </w:r>
      <w:r w:rsidR="0093488D">
        <w:fldChar w:fldCharType="end"/>
      </w:r>
      <w:r w:rsidR="0093488D">
        <w:t xml:space="preserve">) </w:t>
      </w:r>
      <w:r w:rsidRPr="00401294">
        <w:t>span multiple buildings and connect to external electricity markets or DH operator dispatch platforms. The VPP aggregator interviewed links roughly</w:t>
      </w:r>
      <w:r w:rsidR="004A183B">
        <w:t xml:space="preserve"> </w:t>
      </w:r>
      <w:r w:rsidRPr="00401294">
        <w:t xml:space="preserve">12,000 residential and commercial customers via Modbus-based control units, dispatching BESS to Frequency Containment Reserve (FCR) and Fast Frequency Reserve (FFR) markets in real time. The DH utility operator adjusts supply temperatures across 2,000 buildings using thermal inertia as the flexibility resource, which is the C3 configuration in this study framework, with technical capacity to expand to 14,000 buildings. Each adjustment stays within 0.5 </w:t>
      </w:r>
      <w:r w:rsidR="00056FA9">
        <w:t>°</w:t>
      </w:r>
      <w:r w:rsidRPr="00401294">
        <w:t xml:space="preserve">C. Other building owners in the same DH network already accept adjustments of up to 2 </w:t>
      </w:r>
      <w:r w:rsidR="00056FA9">
        <w:t>°</w:t>
      </w:r>
      <w:r w:rsidRPr="00401294">
        <w:t>C; if that tolerance became common practice, available flexibility would quadruple.</w:t>
      </w:r>
    </w:p>
    <w:p w14:paraId="461DB23C" w14:textId="266C795B" w:rsidR="0028341E" w:rsidRPr="00550945" w:rsidRDefault="00550945" w:rsidP="00E3342C">
      <w:pPr>
        <w:pStyle w:val="SWCText"/>
        <w:rPr>
          <w:lang w:val="en-GB"/>
        </w:rPr>
      </w:pPr>
      <w:r w:rsidRPr="00550945">
        <w:rPr>
          <w:lang w:val="en-GB"/>
        </w:rPr>
        <w:t>Four gaps</w:t>
      </w:r>
      <w:r w:rsidR="00FC4D34">
        <w:rPr>
          <w:lang w:val="en-GB"/>
        </w:rPr>
        <w:t xml:space="preserve"> keep most organization</w:t>
      </w:r>
      <w:r w:rsidR="009953E1">
        <w:rPr>
          <w:lang w:val="en-GB"/>
        </w:rPr>
        <w:t>s</w:t>
      </w:r>
      <w:r w:rsidR="00FC4D34">
        <w:rPr>
          <w:lang w:val="en-GB"/>
        </w:rPr>
        <w:t xml:space="preserve"> below the advanced tier</w:t>
      </w:r>
      <w:r w:rsidRPr="00550945">
        <w:rPr>
          <w:lang w:val="en-GB"/>
        </w:rPr>
        <w:t>. Protocol fragmentation means every new brand of inverter, HP, or BESS requires separate integration work</w:t>
      </w:r>
      <w:r w:rsidR="006D49E7">
        <w:rPr>
          <w:lang w:val="en-GB"/>
        </w:rPr>
        <w:t>, where</w:t>
      </w:r>
      <w:r w:rsidR="009953E1">
        <w:rPr>
          <w:lang w:val="en-GB"/>
        </w:rPr>
        <w:t>,</w:t>
      </w:r>
      <w:r w:rsidR="006D49E7">
        <w:rPr>
          <w:lang w:val="en-GB"/>
        </w:rPr>
        <w:t xml:space="preserve"> e.g.</w:t>
      </w:r>
      <w:r w:rsidRPr="00550945">
        <w:rPr>
          <w:lang w:val="en-GB"/>
        </w:rPr>
        <w:t xml:space="preserve"> the BESS and PV installer estimated that debugging one unfamiliar brand takes over twelve hours on site. </w:t>
      </w:r>
      <w:r w:rsidR="00A77719" w:rsidRPr="00A77719">
        <w:rPr>
          <w:lang w:val="en-GB"/>
        </w:rPr>
        <w:t xml:space="preserve">Digital teams have grown in headcount without matching growth in control engineering expertise. One building portfolio owner described an IT team that expanded from four to fourteen people over ten years, with most new hires hired as project managers </w:t>
      </w:r>
      <w:r w:rsidR="00A77719" w:rsidRPr="00A77719">
        <w:rPr>
          <w:lang w:val="en-GB"/>
        </w:rPr>
        <w:lastRenderedPageBreak/>
        <w:t>rather than</w:t>
      </w:r>
      <w:r w:rsidR="00DA7850">
        <w:rPr>
          <w:lang w:val="en-GB"/>
        </w:rPr>
        <w:t xml:space="preserve"> Internet of Things</w:t>
      </w:r>
      <w:r w:rsidR="00B85412">
        <w:rPr>
          <w:lang w:val="en-GB"/>
        </w:rPr>
        <w:t xml:space="preserve"> (IoT)</w:t>
      </w:r>
      <w:r w:rsidR="00A77719" w:rsidRPr="00A77719">
        <w:rPr>
          <w:lang w:val="en-GB"/>
        </w:rPr>
        <w:t xml:space="preserve"> or control engineering specialists. A residential building portfolio owner described the proportion directly: in a property management company of a hundred people, roughly ten work in technical operations, and of those, perhaps one carries genuine knowledge of energy storage systems.</w:t>
      </w:r>
      <w:r w:rsidR="00730914">
        <w:rPr>
          <w:lang w:val="en-GB"/>
        </w:rPr>
        <w:t xml:space="preserve"> </w:t>
      </w:r>
      <w:r w:rsidRPr="00550945">
        <w:rPr>
          <w:lang w:val="en-GB"/>
        </w:rPr>
        <w:t>Platforms on the building side and interfaces on the market side are being built by separate actors without a shared protocol. The SRI, the EU framework for assessing building digital readiness, did not come up in any of the eleven interviews, including the conversation with the BESS and PV installer where digital integration was discussed at some depth. Whether this reflects limited reach among practitioners or a gap in the interview design is an open question. The most concrete proposal to emerge from the interviews was a standardized Modbus control mapping at EU level, which would address protocol fragmentation across all three tiers.</w:t>
      </w:r>
    </w:p>
    <w:bookmarkEnd w:id="14"/>
    <w:p w14:paraId="35558D79" w14:textId="2921048B" w:rsidR="00597DB5" w:rsidRPr="00597DB5" w:rsidRDefault="00597DB5" w:rsidP="00597DB5">
      <w:pPr>
        <w:pStyle w:val="SWCText"/>
        <w:rPr>
          <w:lang w:val="en-GB"/>
        </w:rPr>
      </w:pPr>
      <w:r w:rsidRPr="00597DB5">
        <w:rPr>
          <w:lang w:val="en-GB"/>
        </w:rPr>
        <w:t>4.5. Drivers and Barriers in the Swedish Context</w:t>
      </w:r>
    </w:p>
    <w:p w14:paraId="1080C3CC" w14:textId="494D18E7" w:rsidR="00E3342C" w:rsidRDefault="00597DB5" w:rsidP="00597DB5">
      <w:pPr>
        <w:pStyle w:val="SWCText"/>
        <w:rPr>
          <w:lang w:val="en-GB"/>
        </w:rPr>
      </w:pPr>
      <w:r w:rsidRPr="00597DB5">
        <w:rPr>
          <w:lang w:val="en-GB"/>
        </w:rPr>
        <w:t>The</w:t>
      </w:r>
      <w:r w:rsidR="00A704F9">
        <w:rPr>
          <w:lang w:val="en-GB"/>
        </w:rPr>
        <w:t xml:space="preserve"> </w:t>
      </w:r>
      <w:r w:rsidR="00D540AD" w:rsidRPr="00D540AD">
        <w:rPr>
          <w:lang w:val="en-GB"/>
        </w:rPr>
        <w:t>PEF</w:t>
      </w:r>
      <w:r w:rsidRPr="00597DB5">
        <w:rPr>
          <w:lang w:val="en-GB"/>
        </w:rPr>
        <w:t>, which weights electricity at 1.8 and DH at 0.7 in Swedish building regulation, was the most consistently named barrier across the interviews</w:t>
      </w:r>
      <w:r w:rsidR="0095148B">
        <w:rPr>
          <w:lang w:val="en-GB"/>
        </w:rPr>
        <w:t>, and f</w:t>
      </w:r>
      <w:r w:rsidRPr="00597DB5">
        <w:rPr>
          <w:lang w:val="en-GB"/>
        </w:rPr>
        <w:t>our of</w:t>
      </w:r>
      <w:r w:rsidR="006234FE">
        <w:rPr>
          <w:lang w:val="en-GB"/>
        </w:rPr>
        <w:t xml:space="preserve"> the</w:t>
      </w:r>
      <w:r w:rsidRPr="00597DB5">
        <w:rPr>
          <w:lang w:val="en-GB"/>
        </w:rPr>
        <w:t xml:space="preserve"> five stakeholder groups identified it without being asked. The </w:t>
      </w:r>
      <w:r w:rsidR="007D7EF4">
        <w:rPr>
          <w:lang w:val="en-GB"/>
        </w:rPr>
        <w:t>stakeholders identified</w:t>
      </w:r>
      <w:r w:rsidRPr="00597DB5">
        <w:rPr>
          <w:lang w:val="en-GB"/>
        </w:rPr>
        <w:t xml:space="preserve"> two </w:t>
      </w:r>
      <w:r w:rsidR="000437D2">
        <w:rPr>
          <w:lang w:val="en-GB"/>
        </w:rPr>
        <w:t>effects</w:t>
      </w:r>
      <w:r w:rsidRPr="00597DB5">
        <w:rPr>
          <w:lang w:val="en-GB"/>
        </w:rPr>
        <w:t xml:space="preserve">: it pulls technology choices toward </w:t>
      </w:r>
      <w:r w:rsidR="00163825">
        <w:rPr>
          <w:lang w:val="en-GB"/>
        </w:rPr>
        <w:t xml:space="preserve">improving the </w:t>
      </w:r>
      <w:r w:rsidRPr="00597DB5">
        <w:rPr>
          <w:lang w:val="en-GB"/>
        </w:rPr>
        <w:t xml:space="preserve">primary energy score rather than FSC performance, and because banks apply the PEN when setting green financing terms, the distortion reaches from regulatory compliance into capital markets. One technology installer </w:t>
      </w:r>
      <w:r w:rsidR="009563D4">
        <w:rPr>
          <w:lang w:val="en-GB"/>
        </w:rPr>
        <w:t>noted</w:t>
      </w:r>
      <w:r w:rsidR="0057419A">
        <w:rPr>
          <w:lang w:val="en-GB"/>
        </w:rPr>
        <w:t xml:space="preserve"> that</w:t>
      </w:r>
      <w:r w:rsidRPr="00597DB5">
        <w:rPr>
          <w:lang w:val="en-GB"/>
        </w:rPr>
        <w:t xml:space="preserve"> the same company runs far more HP and TES projects in Finland, where no equivalent electricity penalty applies, than in Sweden at the same investment budget. Revising the PEF electricity weight toward a value reflecting the renewable composition of the Nordic grid was named by four of five stakeholder groups as the regulatory change most likely to shift investment </w:t>
      </w:r>
      <w:r w:rsidR="00666EA5" w:rsidRPr="00597DB5">
        <w:rPr>
          <w:lang w:val="en-GB"/>
        </w:rPr>
        <w:t>behaviour</w:t>
      </w:r>
      <w:r w:rsidRPr="00597DB5">
        <w:rPr>
          <w:lang w:val="en-GB"/>
        </w:rPr>
        <w:t xml:space="preserve"> across Swedish building</w:t>
      </w:r>
      <w:r w:rsidR="00666EA5">
        <w:rPr>
          <w:lang w:val="en-GB"/>
        </w:rPr>
        <w:t>s</w:t>
      </w:r>
      <w:r w:rsidRPr="00597DB5">
        <w:rPr>
          <w:lang w:val="en-GB"/>
        </w:rPr>
        <w:t>.</w:t>
      </w:r>
    </w:p>
    <w:p w14:paraId="40FF0520" w14:textId="05E10EDC" w:rsidR="00666EA5" w:rsidRDefault="00E735A3" w:rsidP="00597DB5">
      <w:pPr>
        <w:pStyle w:val="SWCText"/>
        <w:rPr>
          <w:lang w:val="en-GB"/>
        </w:rPr>
      </w:pPr>
      <w:r w:rsidRPr="00E735A3">
        <w:rPr>
          <w:lang w:val="en-GB"/>
        </w:rPr>
        <w:t xml:space="preserve">Falling </w:t>
      </w:r>
      <w:r w:rsidR="00894295">
        <w:rPr>
          <w:lang w:val="en-GB"/>
        </w:rPr>
        <w:t xml:space="preserve">energy </w:t>
      </w:r>
      <w:r w:rsidRPr="00E735A3">
        <w:rPr>
          <w:lang w:val="en-GB"/>
        </w:rPr>
        <w:t xml:space="preserve">storage and </w:t>
      </w:r>
      <w:r w:rsidR="00200C1E">
        <w:rPr>
          <w:lang w:val="en-GB"/>
        </w:rPr>
        <w:t>solar PV</w:t>
      </w:r>
      <w:r w:rsidR="00245B04">
        <w:rPr>
          <w:lang w:val="en-GB"/>
        </w:rPr>
        <w:t xml:space="preserve"> </w:t>
      </w:r>
      <w:r w:rsidRPr="00E735A3">
        <w:rPr>
          <w:lang w:val="en-GB"/>
        </w:rPr>
        <w:t xml:space="preserve">costs were the most consistently </w:t>
      </w:r>
      <w:r w:rsidR="00DD63FA">
        <w:rPr>
          <w:lang w:val="en-GB"/>
        </w:rPr>
        <w:t>reported change</w:t>
      </w:r>
      <w:r w:rsidRPr="00E735A3">
        <w:rPr>
          <w:lang w:val="en-GB"/>
        </w:rPr>
        <w:t xml:space="preserve"> in the investment environment over the past five years. One VPP aggregator </w:t>
      </w:r>
      <w:r w:rsidR="00D439F1">
        <w:rPr>
          <w:lang w:val="en-GB"/>
        </w:rPr>
        <w:t>reported that</w:t>
      </w:r>
      <w:r w:rsidRPr="00E735A3">
        <w:rPr>
          <w:lang w:val="en-GB"/>
        </w:rPr>
        <w:t xml:space="preserve"> residential BESS </w:t>
      </w:r>
      <w:r w:rsidR="00951C0D">
        <w:rPr>
          <w:lang w:val="en-GB"/>
        </w:rPr>
        <w:t xml:space="preserve">costs have fallen to the point where cost is no longer a </w:t>
      </w:r>
      <w:r w:rsidR="009E1F4F">
        <w:rPr>
          <w:lang w:val="en-GB"/>
        </w:rPr>
        <w:t>barrier</w:t>
      </w:r>
      <w:r w:rsidR="00951C0D">
        <w:rPr>
          <w:lang w:val="en-GB"/>
        </w:rPr>
        <w:t xml:space="preserve"> </w:t>
      </w:r>
      <w:r w:rsidR="009E1F4F">
        <w:rPr>
          <w:lang w:val="en-GB"/>
        </w:rPr>
        <w:t>to deployment</w:t>
      </w:r>
      <w:r w:rsidRPr="00E735A3">
        <w:rPr>
          <w:lang w:val="en-GB"/>
        </w:rPr>
        <w:t xml:space="preserve">. PV deployment in commercial portfolios has largely </w:t>
      </w:r>
      <w:r w:rsidR="000A041E">
        <w:rPr>
          <w:lang w:val="en-GB"/>
        </w:rPr>
        <w:t>saturated</w:t>
      </w:r>
      <w:r w:rsidRPr="00E735A3">
        <w:rPr>
          <w:lang w:val="en-GB"/>
        </w:rPr>
        <w:t xml:space="preserve"> available roof space under current planning rules</w:t>
      </w:r>
      <w:r w:rsidR="001C4FB3">
        <w:rPr>
          <w:lang w:val="en-GB"/>
        </w:rPr>
        <w:t xml:space="preserve">, </w:t>
      </w:r>
      <w:r w:rsidR="001C4FB3" w:rsidRPr="001C4FB3">
        <w:rPr>
          <w:lang w:val="en-GB"/>
        </w:rPr>
        <w:t xml:space="preserve">meaning the constraint is no longer cost but physical </w:t>
      </w:r>
      <w:r w:rsidR="001C4FB3">
        <w:rPr>
          <w:lang w:val="en-GB"/>
        </w:rPr>
        <w:t>space</w:t>
      </w:r>
      <w:r w:rsidR="001C4FB3" w:rsidRPr="001C4FB3">
        <w:rPr>
          <w:lang w:val="en-GB"/>
        </w:rPr>
        <w:t xml:space="preserve">. For thermal applications, </w:t>
      </w:r>
      <w:r w:rsidR="004F3249">
        <w:rPr>
          <w:lang w:val="en-GB"/>
        </w:rPr>
        <w:t>water</w:t>
      </w:r>
      <w:r w:rsidR="0062624C">
        <w:rPr>
          <w:lang w:val="en-GB"/>
        </w:rPr>
        <w:t>-</w:t>
      </w:r>
      <w:r w:rsidR="004F3249">
        <w:rPr>
          <w:lang w:val="en-GB"/>
        </w:rPr>
        <w:t xml:space="preserve">tank </w:t>
      </w:r>
      <w:r w:rsidR="001C4FB3" w:rsidRPr="001C4FB3">
        <w:rPr>
          <w:lang w:val="en-GB"/>
        </w:rPr>
        <w:t>TES</w:t>
      </w:r>
      <w:r w:rsidR="003D39CD">
        <w:rPr>
          <w:lang w:val="en-GB"/>
        </w:rPr>
        <w:t xml:space="preserve"> is a lower</w:t>
      </w:r>
      <w:r w:rsidR="00BB6E7F">
        <w:rPr>
          <w:lang w:val="en-GB"/>
        </w:rPr>
        <w:t>-</w:t>
      </w:r>
      <w:r w:rsidR="003D39CD">
        <w:rPr>
          <w:lang w:val="en-GB"/>
        </w:rPr>
        <w:t>cost option</w:t>
      </w:r>
      <w:r w:rsidR="000D5367">
        <w:rPr>
          <w:lang w:val="en-GB"/>
        </w:rPr>
        <w:t xml:space="preserve"> compared to BESS, wh</w:t>
      </w:r>
      <w:r w:rsidR="00BB6E7F">
        <w:rPr>
          <w:lang w:val="en-GB"/>
        </w:rPr>
        <w:t>i</w:t>
      </w:r>
      <w:r w:rsidR="000D5367">
        <w:rPr>
          <w:lang w:val="en-GB"/>
        </w:rPr>
        <w:t>le BITES carries no capital cost</w:t>
      </w:r>
      <w:r w:rsidR="00BB6E7F">
        <w:rPr>
          <w:lang w:val="en-GB"/>
        </w:rPr>
        <w:t>.</w:t>
      </w:r>
    </w:p>
    <w:p w14:paraId="2C5F8F94" w14:textId="18192D8D" w:rsidR="00663BC3" w:rsidRPr="002E7BB9" w:rsidRDefault="0001156B" w:rsidP="00663BC3">
      <w:pPr>
        <w:pStyle w:val="SWCText"/>
        <w:rPr>
          <w:lang w:val="en-GB"/>
        </w:rPr>
      </w:pPr>
      <w:r>
        <w:rPr>
          <w:lang w:val="en-GB"/>
        </w:rPr>
        <w:t xml:space="preserve">The interviews </w:t>
      </w:r>
      <w:r w:rsidR="007300D0">
        <w:rPr>
          <w:lang w:val="en-GB"/>
        </w:rPr>
        <w:t>identified f</w:t>
      </w:r>
      <w:r w:rsidR="002E7BB9" w:rsidRPr="002E7BB9">
        <w:rPr>
          <w:lang w:val="en-GB"/>
        </w:rPr>
        <w:t xml:space="preserve">ive barriers </w:t>
      </w:r>
      <w:r w:rsidR="007300D0">
        <w:rPr>
          <w:lang w:val="en-GB"/>
        </w:rPr>
        <w:t>that were not represented in the</w:t>
      </w:r>
      <w:r w:rsidR="002E7BB9" w:rsidRPr="002E7BB9">
        <w:rPr>
          <w:lang w:val="en-GB"/>
        </w:rPr>
        <w:t xml:space="preserve"> reviewed FSC literature. </w:t>
      </w:r>
      <w:r w:rsidR="0034459D">
        <w:rPr>
          <w:lang w:val="en-GB"/>
        </w:rPr>
        <w:t>First, r</w:t>
      </w:r>
      <w:r w:rsidR="002E7BB9" w:rsidRPr="002E7BB9">
        <w:rPr>
          <w:lang w:val="en-GB"/>
        </w:rPr>
        <w:t xml:space="preserve">evenue stacking across BESS services has not been demonstrated in any </w:t>
      </w:r>
      <w:r w:rsidR="005946CB">
        <w:rPr>
          <w:lang w:val="en-GB"/>
        </w:rPr>
        <w:t xml:space="preserve">of the </w:t>
      </w:r>
      <w:r w:rsidR="005946CB" w:rsidRPr="005946CB">
        <w:rPr>
          <w:lang w:val="en-GB"/>
        </w:rPr>
        <w:t>Swedish installation</w:t>
      </w:r>
      <w:r w:rsidR="00134D98">
        <w:rPr>
          <w:lang w:val="en-GB"/>
        </w:rPr>
        <w:t>s</w:t>
      </w:r>
      <w:r w:rsidR="005946CB" w:rsidRPr="005946CB">
        <w:rPr>
          <w:lang w:val="en-GB"/>
        </w:rPr>
        <w:t xml:space="preserve"> in the sample</w:t>
      </w:r>
      <w:r w:rsidR="000C4EA3">
        <w:rPr>
          <w:lang w:val="en-GB"/>
        </w:rPr>
        <w:t xml:space="preserve"> across </w:t>
      </w:r>
      <w:r w:rsidR="002E7BB9" w:rsidRPr="002E7BB9">
        <w:rPr>
          <w:lang w:val="en-GB"/>
        </w:rPr>
        <w:t xml:space="preserve">FCR participation, peak shaving, and PV self-consumption at the same time. </w:t>
      </w:r>
      <w:r w:rsidR="00F32B7B" w:rsidRPr="00F32B7B">
        <w:rPr>
          <w:lang w:val="en-GB"/>
        </w:rPr>
        <w:t xml:space="preserve">Interviewees linked this limitation to the operating requirements </w:t>
      </w:r>
      <w:r w:rsidR="007C2999">
        <w:rPr>
          <w:lang w:val="en-GB"/>
        </w:rPr>
        <w:t>of BESS</w:t>
      </w:r>
      <w:r w:rsidR="002E7BB9" w:rsidRPr="002E7BB9">
        <w:rPr>
          <w:lang w:val="en-GB"/>
        </w:rPr>
        <w:t xml:space="preserve">: FCR participation requires continuous standby mode, which prevents simultaneous peak shaving or self-consumption dispatch. </w:t>
      </w:r>
      <w:r w:rsidR="003D3C65">
        <w:rPr>
          <w:lang w:val="en-GB"/>
        </w:rPr>
        <w:t xml:space="preserve">Second, </w:t>
      </w:r>
      <w:r w:rsidR="002E7BB9" w:rsidRPr="002E7BB9">
        <w:rPr>
          <w:lang w:val="en-GB"/>
        </w:rPr>
        <w:t>FCR market revenues have fallen sharply in several portfolios. One building owner described a project originally justified at a two-year payback based on FCR revenues</w:t>
      </w:r>
      <w:r w:rsidR="00303DEC">
        <w:rPr>
          <w:lang w:val="en-GB"/>
        </w:rPr>
        <w:t>.</w:t>
      </w:r>
      <w:r w:rsidR="00DB631F">
        <w:rPr>
          <w:lang w:val="en-GB"/>
        </w:rPr>
        <w:t xml:space="preserve"> </w:t>
      </w:r>
      <w:r w:rsidR="0087414A">
        <w:rPr>
          <w:lang w:val="en-GB"/>
        </w:rPr>
        <w:t>A</w:t>
      </w:r>
      <w:r w:rsidR="002E7BB9" w:rsidRPr="002E7BB9">
        <w:rPr>
          <w:lang w:val="en-GB"/>
        </w:rPr>
        <w:t xml:space="preserve">s those revenues declined, the business </w:t>
      </w:r>
      <w:r w:rsidR="0087414A">
        <w:rPr>
          <w:lang w:val="en-GB"/>
        </w:rPr>
        <w:t>case came</w:t>
      </w:r>
      <w:r w:rsidR="00DF1DE2">
        <w:rPr>
          <w:lang w:val="en-GB"/>
        </w:rPr>
        <w:t xml:space="preserve"> </w:t>
      </w:r>
      <w:r w:rsidR="00721217">
        <w:rPr>
          <w:lang w:val="en-GB"/>
        </w:rPr>
        <w:t>to depend</w:t>
      </w:r>
      <w:r w:rsidR="00124CCD">
        <w:rPr>
          <w:lang w:val="en-GB"/>
        </w:rPr>
        <w:t xml:space="preserve"> on </w:t>
      </w:r>
      <w:r w:rsidR="002E7BB9" w:rsidRPr="002E7BB9">
        <w:rPr>
          <w:lang w:val="en-GB"/>
        </w:rPr>
        <w:t>peak shaving alone</w:t>
      </w:r>
      <w:r w:rsidR="00DF1DE2">
        <w:rPr>
          <w:lang w:val="en-GB"/>
        </w:rPr>
        <w:t xml:space="preserve"> to cover the full inve</w:t>
      </w:r>
      <w:r w:rsidR="00F8432D">
        <w:rPr>
          <w:lang w:val="en-GB"/>
        </w:rPr>
        <w:t>s</w:t>
      </w:r>
      <w:r w:rsidR="00DF1DE2">
        <w:rPr>
          <w:lang w:val="en-GB"/>
        </w:rPr>
        <w:t>tment return</w:t>
      </w:r>
      <w:r w:rsidR="00F8432D">
        <w:rPr>
          <w:lang w:val="en-GB"/>
        </w:rPr>
        <w:t>, a threshold no installation in the sample has met</w:t>
      </w:r>
      <w:r w:rsidR="002E7BB9" w:rsidRPr="002E7BB9">
        <w:rPr>
          <w:lang w:val="en-GB"/>
        </w:rPr>
        <w:t xml:space="preserve">. </w:t>
      </w:r>
      <w:r w:rsidR="00AC5812">
        <w:rPr>
          <w:lang w:val="en-GB"/>
        </w:rPr>
        <w:t>Third, c</w:t>
      </w:r>
      <w:r w:rsidR="002E7BB9" w:rsidRPr="002E7BB9">
        <w:rPr>
          <w:lang w:val="en-GB"/>
        </w:rPr>
        <w:t xml:space="preserve">ross-boundary electricity sharing between adjacent buildings is taxed in a way that </w:t>
      </w:r>
      <w:r w:rsidR="00B677C1">
        <w:rPr>
          <w:lang w:val="en-GB"/>
        </w:rPr>
        <w:t xml:space="preserve">limits </w:t>
      </w:r>
      <w:r w:rsidR="00B677C1" w:rsidRPr="002E7BB9">
        <w:rPr>
          <w:lang w:val="en-GB"/>
        </w:rPr>
        <w:t>PV</w:t>
      </w:r>
      <w:r w:rsidR="002E7BB9" w:rsidRPr="002E7BB9">
        <w:rPr>
          <w:lang w:val="en-GB"/>
        </w:rPr>
        <w:t xml:space="preserve"> deployment at </w:t>
      </w:r>
      <w:r w:rsidR="00D4584A" w:rsidRPr="002E7BB9">
        <w:rPr>
          <w:lang w:val="en-GB"/>
        </w:rPr>
        <w:t>neighbourhood</w:t>
      </w:r>
      <w:r w:rsidR="002E7BB9" w:rsidRPr="002E7BB9">
        <w:rPr>
          <w:lang w:val="en-GB"/>
        </w:rPr>
        <w:t xml:space="preserve"> scale, making these arrangements economically non-viable without aggregator intermediation</w:t>
      </w:r>
      <w:r w:rsidR="00B00BE7">
        <w:rPr>
          <w:lang w:val="en-GB"/>
        </w:rPr>
        <w:t xml:space="preserve">. </w:t>
      </w:r>
      <w:r w:rsidR="0010653A">
        <w:rPr>
          <w:lang w:val="en-GB"/>
        </w:rPr>
        <w:t>Fourth, i</w:t>
      </w:r>
      <w:r w:rsidR="002E7BB9" w:rsidRPr="002E7BB9">
        <w:rPr>
          <w:lang w:val="en-GB"/>
        </w:rPr>
        <w:t xml:space="preserve">ncentive misalignment between project developers and long-term asset managers within the same organization keeps FSC investments out of construction specifications: </w:t>
      </w:r>
      <w:r w:rsidR="00861612">
        <w:rPr>
          <w:lang w:val="en-GB"/>
        </w:rPr>
        <w:t>the developer</w:t>
      </w:r>
      <w:r w:rsidR="002E7BB9" w:rsidRPr="002E7BB9">
        <w:rPr>
          <w:lang w:val="en-GB"/>
        </w:rPr>
        <w:t xml:space="preserve"> is measured on upfront cost while savings from an FSC installation </w:t>
      </w:r>
      <w:r w:rsidR="00CD58C9">
        <w:rPr>
          <w:lang w:val="en-GB"/>
        </w:rPr>
        <w:t>happen</w:t>
      </w:r>
      <w:r w:rsidR="002E7BB9" w:rsidRPr="002E7BB9">
        <w:rPr>
          <w:lang w:val="en-GB"/>
        </w:rPr>
        <w:t xml:space="preserve"> in a separate part of the same organization over its operating life.</w:t>
      </w:r>
      <w:r w:rsidR="00283244">
        <w:rPr>
          <w:lang w:val="en-GB"/>
        </w:rPr>
        <w:t xml:space="preserve"> </w:t>
      </w:r>
      <w:r w:rsidR="00D8116F">
        <w:rPr>
          <w:lang w:val="en-GB"/>
        </w:rPr>
        <w:t xml:space="preserve">Fifth, </w:t>
      </w:r>
      <w:r w:rsidR="002E7BB9" w:rsidRPr="002E7BB9">
        <w:rPr>
          <w:lang w:val="en-GB"/>
        </w:rPr>
        <w:t>Swedish cooperative housing (BRF) governance, with volunteer boards</w:t>
      </w:r>
      <w:r w:rsidR="004F0D55">
        <w:rPr>
          <w:lang w:val="en-GB"/>
        </w:rPr>
        <w:t xml:space="preserve"> (typically with </w:t>
      </w:r>
      <w:r w:rsidR="009F4A1D">
        <w:rPr>
          <w:lang w:val="en-GB"/>
        </w:rPr>
        <w:t>low energy expertise)</w:t>
      </w:r>
      <w:r w:rsidR="002E7BB9" w:rsidRPr="002E7BB9">
        <w:rPr>
          <w:lang w:val="en-GB"/>
        </w:rPr>
        <w:t xml:space="preserve">, flat-fee billing structures, and informal payback thresholds, covers a large share of the residential stock and appears nowhere in the FSC literature's treatment of building owner decision-making. </w:t>
      </w:r>
      <w:r w:rsidR="003C28CB">
        <w:rPr>
          <w:lang w:val="en-GB"/>
        </w:rPr>
        <w:t>In addition, g</w:t>
      </w:r>
      <w:r w:rsidR="002E7BB9" w:rsidRPr="002E7BB9">
        <w:rPr>
          <w:lang w:val="en-GB"/>
        </w:rPr>
        <w:t xml:space="preserve">eopolitical risk following the 2021–2022 energy price crisis now functions as an independent investment driver across five of eleven interviews, separate from </w:t>
      </w:r>
      <w:r w:rsidR="0001619F">
        <w:rPr>
          <w:lang w:val="en-GB"/>
        </w:rPr>
        <w:t xml:space="preserve">the </w:t>
      </w:r>
      <w:r w:rsidR="002E7BB9" w:rsidRPr="002E7BB9">
        <w:rPr>
          <w:lang w:val="en-GB"/>
        </w:rPr>
        <w:t>standard return</w:t>
      </w:r>
      <w:r w:rsidR="0001619F">
        <w:rPr>
          <w:lang w:val="en-GB"/>
        </w:rPr>
        <w:t xml:space="preserve"> </w:t>
      </w:r>
      <w:r w:rsidR="002E7BB9" w:rsidRPr="002E7BB9">
        <w:rPr>
          <w:lang w:val="en-GB"/>
        </w:rPr>
        <w:t>on</w:t>
      </w:r>
      <w:r w:rsidR="0001619F">
        <w:rPr>
          <w:lang w:val="en-GB"/>
        </w:rPr>
        <w:t xml:space="preserve"> </w:t>
      </w:r>
      <w:r w:rsidR="002E7BB9" w:rsidRPr="002E7BB9">
        <w:rPr>
          <w:lang w:val="en-GB"/>
        </w:rPr>
        <w:t xml:space="preserve">investment </w:t>
      </w:r>
      <w:r w:rsidR="00283244">
        <w:rPr>
          <w:lang w:val="en-GB"/>
        </w:rPr>
        <w:t>considerations</w:t>
      </w:r>
      <w:r w:rsidR="002E7BB9" w:rsidRPr="002E7BB9">
        <w:rPr>
          <w:lang w:val="en-GB"/>
        </w:rPr>
        <w:t>.</w:t>
      </w:r>
    </w:p>
    <w:p w14:paraId="3D9BDBAF" w14:textId="65E1415B" w:rsidR="00663BC3" w:rsidRPr="007C10E1" w:rsidRDefault="009E425B" w:rsidP="00865846">
      <w:pPr>
        <w:pStyle w:val="SWCText"/>
        <w:rPr>
          <w:lang w:val="en-GB"/>
        </w:rPr>
      </w:pPr>
      <w:r w:rsidRPr="009E425B">
        <w:rPr>
          <w:lang w:val="en-GB"/>
        </w:rPr>
        <w:t>The</w:t>
      </w:r>
      <w:r w:rsidR="00A602E5">
        <w:rPr>
          <w:lang w:val="en-GB"/>
        </w:rPr>
        <w:t>se</w:t>
      </w:r>
      <w:r w:rsidRPr="009E425B">
        <w:rPr>
          <w:lang w:val="en-GB"/>
        </w:rPr>
        <w:t xml:space="preserve"> barriers do not affect all configurations equally</w:t>
      </w:r>
      <w:r w:rsidR="007C10E1" w:rsidRPr="007C10E1">
        <w:rPr>
          <w:lang w:val="en-GB"/>
        </w:rPr>
        <w:t xml:space="preserve">. BITES in C3 </w:t>
      </w:r>
      <w:r w:rsidR="00C622FF">
        <w:rPr>
          <w:lang w:val="en-GB"/>
        </w:rPr>
        <w:t>avoids</w:t>
      </w:r>
      <w:r w:rsidR="007C10E1" w:rsidRPr="007C10E1">
        <w:rPr>
          <w:lang w:val="en-GB"/>
        </w:rPr>
        <w:t xml:space="preserve"> most of </w:t>
      </w:r>
      <w:r w:rsidR="008D766B">
        <w:rPr>
          <w:lang w:val="en-GB"/>
        </w:rPr>
        <w:t>th</w:t>
      </w:r>
      <w:r w:rsidR="0073305C">
        <w:rPr>
          <w:lang w:val="en-GB"/>
        </w:rPr>
        <w:t>ese barriers</w:t>
      </w:r>
      <w:r w:rsidR="007C10E1" w:rsidRPr="007C10E1">
        <w:rPr>
          <w:lang w:val="en-GB"/>
        </w:rPr>
        <w:t>: no capital investment, no insurance approval, no dedicated floor space, and no flexibility market participation required.</w:t>
      </w:r>
      <w:r w:rsidR="0073305C">
        <w:rPr>
          <w:lang w:val="en-GB"/>
        </w:rPr>
        <w:t xml:space="preserve"> </w:t>
      </w:r>
      <w:r w:rsidR="007C10E1" w:rsidRPr="007C10E1">
        <w:rPr>
          <w:lang w:val="en-GB"/>
        </w:rPr>
        <w:t xml:space="preserve">HP configurations (C1, C2) are most </w:t>
      </w:r>
      <w:r w:rsidR="003B5705">
        <w:rPr>
          <w:lang w:val="en-GB"/>
        </w:rPr>
        <w:t xml:space="preserve">affected </w:t>
      </w:r>
      <w:r w:rsidR="007C10E1" w:rsidRPr="007C10E1">
        <w:rPr>
          <w:lang w:val="en-GB"/>
        </w:rPr>
        <w:t xml:space="preserve">by the PEF penalty and depend on green financing to </w:t>
      </w:r>
      <w:r w:rsidR="003B5705">
        <w:rPr>
          <w:lang w:val="en-GB"/>
        </w:rPr>
        <w:t>achieve</w:t>
      </w:r>
      <w:r w:rsidR="007C10E1" w:rsidRPr="007C10E1">
        <w:rPr>
          <w:lang w:val="en-GB"/>
        </w:rPr>
        <w:t xml:space="preserve"> deployment at scale. </w:t>
      </w:r>
      <w:r w:rsidR="0078269D" w:rsidRPr="0078269D">
        <w:rPr>
          <w:lang w:val="en-GB"/>
        </w:rPr>
        <w:t>Within these configurations, water-tank TES retains strong unit economics for DH-connected buildings where floor space is available</w:t>
      </w:r>
      <w:r w:rsidR="003B5705">
        <w:rPr>
          <w:lang w:val="en-GB"/>
        </w:rPr>
        <w:t>.</w:t>
      </w:r>
      <w:r w:rsidR="0078269D" w:rsidRPr="0078269D">
        <w:rPr>
          <w:lang w:val="en-GB"/>
        </w:rPr>
        <w:t xml:space="preserve"> </w:t>
      </w:r>
      <w:r w:rsidR="003B5705">
        <w:rPr>
          <w:lang w:val="en-GB"/>
        </w:rPr>
        <w:t>However,</w:t>
      </w:r>
      <w:r w:rsidR="0078269D" w:rsidRPr="0078269D">
        <w:rPr>
          <w:lang w:val="en-GB"/>
        </w:rPr>
        <w:t xml:space="preserve"> no Swedish installation has yet demonstrated revenue stacking across multiple services.</w:t>
      </w:r>
      <w:r w:rsidR="003B5705">
        <w:rPr>
          <w:lang w:val="en-GB"/>
        </w:rPr>
        <w:t xml:space="preserve"> </w:t>
      </w:r>
      <w:r w:rsidR="007C10E1" w:rsidRPr="007C10E1">
        <w:rPr>
          <w:lang w:val="en-GB"/>
        </w:rPr>
        <w:t xml:space="preserve">BESS </w:t>
      </w:r>
      <w:r w:rsidR="005B58B6">
        <w:rPr>
          <w:lang w:val="en-GB"/>
        </w:rPr>
        <w:t>faces</w:t>
      </w:r>
      <w:r w:rsidR="007C10E1" w:rsidRPr="007C10E1">
        <w:rPr>
          <w:lang w:val="en-GB"/>
        </w:rPr>
        <w:t xml:space="preserve"> the revenue stacking problem, the insurance barrier</w:t>
      </w:r>
      <w:r w:rsidR="004F767A">
        <w:rPr>
          <w:lang w:val="en-GB"/>
        </w:rPr>
        <w:t xml:space="preserve"> (</w:t>
      </w:r>
      <w:r w:rsidR="003032B5">
        <w:rPr>
          <w:lang w:val="en-GB"/>
        </w:rPr>
        <w:t>S</w:t>
      </w:r>
      <w:r w:rsidR="003032B5" w:rsidRPr="003032B5">
        <w:rPr>
          <w:lang w:val="en-GB"/>
        </w:rPr>
        <w:t>wedish residential insurers frequently reject installations or require fire suppression and ventilation upgrades as a condition of approval, in either case raising capital cost</w:t>
      </w:r>
      <w:r w:rsidR="004F767A">
        <w:rPr>
          <w:lang w:val="en-GB"/>
        </w:rPr>
        <w:t>)</w:t>
      </w:r>
      <w:r w:rsidR="007C10E1" w:rsidRPr="007C10E1">
        <w:rPr>
          <w:lang w:val="en-GB"/>
        </w:rPr>
        <w:t>, and FCR market saturation</w:t>
      </w:r>
      <w:r w:rsidR="00124F85">
        <w:rPr>
          <w:lang w:val="en-GB"/>
        </w:rPr>
        <w:t xml:space="preserve">. </w:t>
      </w:r>
      <w:r w:rsidR="000D1ECF">
        <w:rPr>
          <w:lang w:val="en-GB"/>
        </w:rPr>
        <w:t>Investment</w:t>
      </w:r>
      <w:r w:rsidR="007C10E1" w:rsidRPr="007C10E1">
        <w:rPr>
          <w:lang w:val="en-GB"/>
        </w:rPr>
        <w:t xml:space="preserve"> business cases that looked viable two to three years ago have </w:t>
      </w:r>
      <w:r w:rsidR="0034546F">
        <w:rPr>
          <w:lang w:val="en-GB"/>
        </w:rPr>
        <w:t>weakened</w:t>
      </w:r>
      <w:r w:rsidR="007C10E1" w:rsidRPr="007C10E1">
        <w:rPr>
          <w:lang w:val="en-GB"/>
        </w:rPr>
        <w:t xml:space="preserve"> faster than originally projected. The district-</w:t>
      </w:r>
      <w:r w:rsidR="007C10E1" w:rsidRPr="007C10E1">
        <w:rPr>
          <w:lang w:val="en-GB"/>
        </w:rPr>
        <w:lastRenderedPageBreak/>
        <w:t>scale configurations (C4, C5) face the digital maturity and aggregation gaps described in the previous section; without a clear regulatory path for building participation in DSO local flexibility markets, their deployment potential remains largely theoretical.</w:t>
      </w:r>
    </w:p>
    <w:p w14:paraId="3D83E22A" w14:textId="1FBCE2EA" w:rsidR="003E1E1C" w:rsidRDefault="00096360" w:rsidP="0027244C">
      <w:pPr>
        <w:pStyle w:val="SWCHeading1"/>
      </w:pPr>
      <w:r w:rsidRPr="0027244C">
        <w:t>Conclusions</w:t>
      </w:r>
    </w:p>
    <w:p w14:paraId="0A157D29" w14:textId="76A5A9E4" w:rsidR="00B80F41" w:rsidRPr="00440DCC" w:rsidRDefault="00B80F41" w:rsidP="00440DCC">
      <w:pPr>
        <w:pStyle w:val="SWCText"/>
      </w:pPr>
      <w:r w:rsidRPr="00440DCC">
        <w:t xml:space="preserve">FSC is technically feasible across much of the Swedish building stock. </w:t>
      </w:r>
      <w:r w:rsidR="00CE02D6">
        <w:t>I</w:t>
      </w:r>
      <w:r w:rsidRPr="00440DCC">
        <w:t>n most cases,</w:t>
      </w:r>
      <w:r w:rsidR="00CE02D6">
        <w:t xml:space="preserve"> the main barriers are not technical but </w:t>
      </w:r>
      <w:r w:rsidRPr="00440DCC">
        <w:t>regulatory, economic, and</w:t>
      </w:r>
      <w:r w:rsidR="00A71867">
        <w:t xml:space="preserve"> governance constraints</w:t>
      </w:r>
      <w:r w:rsidRPr="00440DCC">
        <w:t>, and they vary across actor groups.</w:t>
      </w:r>
    </w:p>
    <w:p w14:paraId="45EFA4EB" w14:textId="1B842999" w:rsidR="00B80F41" w:rsidRPr="00440DCC" w:rsidRDefault="00B80F41" w:rsidP="00440DCC">
      <w:pPr>
        <w:pStyle w:val="SWCText"/>
      </w:pPr>
      <w:r w:rsidRPr="00440DCC">
        <w:t xml:space="preserve">Three </w:t>
      </w:r>
      <w:r w:rsidR="002C3748">
        <w:t xml:space="preserve">energy </w:t>
      </w:r>
      <w:r w:rsidRPr="00440DCC">
        <w:t>storage categories apply to Swedish buildings and districts: TES, BITES, and BESS. No single technology c</w:t>
      </w:r>
      <w:r w:rsidR="00AD7BBB">
        <w:t>an co</w:t>
      </w:r>
      <w:r w:rsidRPr="00440DCC">
        <w:t>ver the full</w:t>
      </w:r>
      <w:r w:rsidR="00820AB7">
        <w:t xml:space="preserve"> range of</w:t>
      </w:r>
      <w:r w:rsidRPr="00440DCC">
        <w:t xml:space="preserve"> FSC service</w:t>
      </w:r>
      <w:r w:rsidR="00820AB7">
        <w:t>s</w:t>
      </w:r>
      <w:r w:rsidRPr="00440DCC">
        <w:t xml:space="preserve">. BITES is already present across the entire DH-connected </w:t>
      </w:r>
      <w:r w:rsidR="00B91FCF">
        <w:t>MFB</w:t>
      </w:r>
      <w:r w:rsidRPr="00440DCC">
        <w:t xml:space="preserve"> stock</w:t>
      </w:r>
      <w:r w:rsidR="002F012D">
        <w:t xml:space="preserve"> and can be activated th</w:t>
      </w:r>
      <w:r w:rsidR="00F83332">
        <w:t xml:space="preserve">rough </w:t>
      </w:r>
      <w:r w:rsidRPr="00440DCC">
        <w:t xml:space="preserve">a substation software update, with no hardware investment. TES handles thermal loads cost-effectively from hours to seasons. BESS provides fast electrical response but at far higher cost per stored unit than water-tank </w:t>
      </w:r>
      <w:r w:rsidR="004378AA">
        <w:t>TES</w:t>
      </w:r>
      <w:r w:rsidRPr="00440DCC">
        <w:t>.</w:t>
      </w:r>
    </w:p>
    <w:p w14:paraId="516941FA" w14:textId="3008D0C5" w:rsidR="00B80F41" w:rsidRPr="00440DCC" w:rsidRDefault="00B80F41" w:rsidP="00440DCC">
      <w:pPr>
        <w:pStyle w:val="SWCText"/>
      </w:pPr>
      <w:r w:rsidRPr="00440DCC">
        <w:t>The five configurations a</w:t>
      </w:r>
      <w:r w:rsidR="00CF1075">
        <w:t xml:space="preserve">ddress </w:t>
      </w:r>
      <w:r w:rsidR="003A7A3A">
        <w:t xml:space="preserve">distinct contexts rather than competing for the same application. </w:t>
      </w:r>
      <w:r w:rsidRPr="00440DCC">
        <w:t>C3, the software-</w:t>
      </w:r>
      <w:r w:rsidR="002251CF">
        <w:t>based</w:t>
      </w:r>
      <w:r w:rsidRPr="00440DCC">
        <w:t xml:space="preserve"> BITES option, is the entry point for DH-connected </w:t>
      </w:r>
      <w:r w:rsidR="00D540AD">
        <w:t>MFBs</w:t>
      </w:r>
      <w:r w:rsidRPr="00440DCC">
        <w:t xml:space="preserve">. C2 addresses the </w:t>
      </w:r>
      <w:r w:rsidR="006E0B6D">
        <w:t>SFH</w:t>
      </w:r>
      <w:r w:rsidRPr="00440DCC">
        <w:t xml:space="preserve"> prosumer case, </w:t>
      </w:r>
      <w:r w:rsidR="006F32E9">
        <w:t xml:space="preserve">where HPs and rooftop PV are already present in much of </w:t>
      </w:r>
      <w:r w:rsidRPr="00440DCC">
        <w:t>the Swedish housing stock. C1, C4, and C5 offer greater potential but depend on HP retrofit investment, aggregation infrastructure, and regulatory conditions not yet in place.</w:t>
      </w:r>
    </w:p>
    <w:p w14:paraId="12BD8BC7" w14:textId="039C355B" w:rsidR="00B80F41" w:rsidRPr="00440DCC" w:rsidRDefault="00B80F41" w:rsidP="00440DCC">
      <w:pPr>
        <w:pStyle w:val="SWCText"/>
      </w:pPr>
      <w:r w:rsidRPr="00440DCC">
        <w:t>The interviews revealed a consistent gap between how the FSC literature frames performance and how Swedish practitioners evaluate the same investments. Technical indicators such as renewable integration rates and carbon intensity were not raised as investment criteria by any building owner or installer. The PEN was the one metric that appeared across both the literature and the practitioner interviews. Practitioners optimize it not for its energy content but because it determines EU taxonomy classification and bank credit conditions, which makes it the operative link between research framing and actual investment decisions.</w:t>
      </w:r>
    </w:p>
    <w:p w14:paraId="7FF257F2" w14:textId="26E5DED1" w:rsidR="00227C25" w:rsidRPr="00440DCC" w:rsidRDefault="00B80F41" w:rsidP="00440DCC">
      <w:pPr>
        <w:pStyle w:val="SWCText"/>
      </w:pPr>
      <w:r w:rsidRPr="00440DCC">
        <w:t xml:space="preserve">Technology deployment alone </w:t>
      </w:r>
      <w:r w:rsidR="00A43C6B">
        <w:t>cannot</w:t>
      </w:r>
      <w:r w:rsidR="00C63CB8">
        <w:t xml:space="preserve"> resolve this misalignment.</w:t>
      </w:r>
      <w:r w:rsidRPr="00440DCC">
        <w:t xml:space="preserve"> </w:t>
      </w:r>
      <w:r w:rsidR="003E2099">
        <w:t xml:space="preserve">Three </w:t>
      </w:r>
      <w:r w:rsidR="00DD0F38">
        <w:t>priorities fo</w:t>
      </w:r>
      <w:r w:rsidR="0066588C">
        <w:t>llow from these findings:</w:t>
      </w:r>
      <w:r w:rsidR="00CB596A">
        <w:t xml:space="preserve"> </w:t>
      </w:r>
      <w:r w:rsidR="004D3E4E">
        <w:t xml:space="preserve">reforming the electricity </w:t>
      </w:r>
      <w:r w:rsidR="001D7F74">
        <w:t xml:space="preserve">PEF to reflect the actual Nordic grid carbon intensity, which currently directs investment toward regulatory compliance rather than FSC </w:t>
      </w:r>
      <w:r w:rsidR="002B36EF">
        <w:t xml:space="preserve">performance; </w:t>
      </w:r>
      <w:r w:rsidR="006809F3" w:rsidRPr="006809F3">
        <w:t xml:space="preserve">establishing clearer pathways for building participation in DSO-level flexibility markets, where infrastructure exists but building-side access remains near zero; and developing FSC decision tools tailored to Swedish cooperative housing governance, where volunteer boards </w:t>
      </w:r>
      <w:r w:rsidR="008161DF">
        <w:t>lack the tools to evaluate</w:t>
      </w:r>
      <w:r w:rsidR="000324A3">
        <w:t xml:space="preserve"> and approve FSC investments.</w:t>
      </w:r>
    </w:p>
    <w:p w14:paraId="29FB8970" w14:textId="48CF3B09" w:rsidR="007C2CBE" w:rsidRPr="00875FE6" w:rsidRDefault="00D32EF0" w:rsidP="00875FE6">
      <w:pPr>
        <w:pStyle w:val="SWCHeading1"/>
      </w:pPr>
      <w:r w:rsidRPr="00875FE6">
        <w:t>References</w:t>
      </w:r>
    </w:p>
    <w:p w14:paraId="2B046D14" w14:textId="77777777" w:rsidR="00701F2D" w:rsidRPr="00157671" w:rsidRDefault="009C62B4" w:rsidP="00092122">
      <w:pPr>
        <w:pStyle w:val="Bibliography"/>
        <w:spacing w:after="60"/>
        <w:rPr>
          <w:sz w:val="16"/>
          <w:szCs w:val="16"/>
          <w:lang w:val="en-US" w:eastAsia="fr-FR"/>
        </w:rPr>
      </w:pPr>
      <w:r w:rsidRPr="00157671">
        <w:rPr>
          <w:sz w:val="16"/>
          <w:szCs w:val="16"/>
        </w:rPr>
        <w:fldChar w:fldCharType="begin"/>
      </w:r>
      <w:r w:rsidR="00186402" w:rsidRPr="00157671">
        <w:rPr>
          <w:sz w:val="16"/>
          <w:szCs w:val="16"/>
        </w:rPr>
        <w:instrText xml:space="preserve"> ADDIN ZOTERO_BIBL {"uncited":[],"omitted":[],"custom":[]} CSL_BIBLIOGRAPHY </w:instrText>
      </w:r>
      <w:r w:rsidRPr="00157671">
        <w:rPr>
          <w:sz w:val="16"/>
          <w:szCs w:val="16"/>
        </w:rPr>
        <w:fldChar w:fldCharType="separate"/>
      </w:r>
      <w:r w:rsidR="00701F2D" w:rsidRPr="00157671">
        <w:rPr>
          <w:sz w:val="16"/>
          <w:szCs w:val="16"/>
          <w:lang w:val="en-US" w:eastAsia="fr-FR"/>
        </w:rPr>
        <w:t>Ahmed, S.K., Mohammed, R.A., Nashwan, A.J., Ibrahim, R.H., Abdalla, A.Q., M. Ameen, B.M., Khdhir, R.M., 2025. Using thematic analysis in qualitative research. Journal of Medicine, Surgery, and Public Health 6, 100198. https://doi.org/10.1016/j.glmedi.2025.100198</w:t>
      </w:r>
    </w:p>
    <w:p w14:paraId="63D961EB" w14:textId="77777777" w:rsidR="00701F2D" w:rsidRPr="00157671" w:rsidRDefault="00701F2D" w:rsidP="00092122">
      <w:pPr>
        <w:pStyle w:val="Bibliography"/>
        <w:spacing w:after="60"/>
        <w:rPr>
          <w:sz w:val="16"/>
          <w:szCs w:val="16"/>
          <w:lang w:val="en-US" w:eastAsia="fr-FR"/>
        </w:rPr>
      </w:pPr>
      <w:r w:rsidRPr="00157671">
        <w:rPr>
          <w:sz w:val="16"/>
          <w:szCs w:val="16"/>
          <w:lang w:val="es-MX" w:eastAsia="fr-FR"/>
        </w:rPr>
        <w:t xml:space="preserve">Ahrens Kayayan, V., Cabral, D., Israelsson, K., Gustafsson, M., 2025. </w:t>
      </w:r>
      <w:r w:rsidRPr="00157671">
        <w:rPr>
          <w:sz w:val="16"/>
          <w:szCs w:val="16"/>
          <w:lang w:val="en-US" w:eastAsia="fr-FR"/>
        </w:rPr>
        <w:t>Positive energy districts in Sweden: The impact from heat pumps, photovoltaic systems, and energy recovery from district heating return pipe. Energy and Buildings 334, 115471. https://doi.org/10.1016/j.enbuild.2025.115471</w:t>
      </w:r>
    </w:p>
    <w:p w14:paraId="258E636B"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Airò Farulla, G., Tumminia, G., Sergi, F., Aloisio, D., Cellura, M., Antonucci, V., Ferraro, M., 2021. A Review of Key Performance Indicators for Building Flexibility Quantification to Support the Clean Energy Transition. Energies 14, 5676. https://doi.org/10.3390/en14185676</w:t>
      </w:r>
    </w:p>
    <w:p w14:paraId="6288BAB0"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Atabaki, M.S., Averfalk, H., Widén, K., Möllerström, E., Gadd, H., Persson, U., 2026. Optimising the transition of Swedish energy systems through sector coupling of power and district heating. Energy Conversion and Management 353, 121165. https://doi.org/10.1016/j.enconman.2026.121165</w:t>
      </w:r>
    </w:p>
    <w:p w14:paraId="326EE255"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Averfalk, H., Ingvarsson, P., Persson, U., Gong, M., Werner, S., 2017. Large heat pumps in Swedish district heating systems. Renewable and Sustainable Energy Reviews 79, 1275–1284. https://doi.org/10.1016/j.rser.2017.05.135</w:t>
      </w:r>
    </w:p>
    <w:p w14:paraId="62ED9C09" w14:textId="77777777" w:rsidR="00701F2D" w:rsidRPr="00157671" w:rsidRDefault="00701F2D" w:rsidP="00092122">
      <w:pPr>
        <w:pStyle w:val="Bibliography"/>
        <w:spacing w:after="60"/>
        <w:rPr>
          <w:sz w:val="16"/>
          <w:szCs w:val="16"/>
          <w:lang w:val="en-US" w:eastAsia="fr-FR"/>
        </w:rPr>
      </w:pPr>
      <w:r w:rsidRPr="00B573C3">
        <w:rPr>
          <w:sz w:val="16"/>
          <w:szCs w:val="16"/>
          <w:lang w:val="sv-SE" w:eastAsia="fr-FR"/>
        </w:rPr>
        <w:t xml:space="preserve">Danielski, I., Fröling, M., Joelsson, A., 2012. </w:t>
      </w:r>
      <w:r w:rsidRPr="00157671">
        <w:rPr>
          <w:sz w:val="16"/>
          <w:szCs w:val="16"/>
          <w:lang w:val="en-US" w:eastAsia="fr-FR"/>
        </w:rPr>
        <w:t>Air source heat pumps and their role in the Swedish energy system. Presented at the Conference on the Greening of Industry Network, GIN 22-24 October 2012, Linköping, Sweden.</w:t>
      </w:r>
    </w:p>
    <w:p w14:paraId="5087F835" w14:textId="77777777" w:rsidR="00701F2D" w:rsidRPr="00157671" w:rsidRDefault="00701F2D" w:rsidP="00092122">
      <w:pPr>
        <w:pStyle w:val="Bibliography"/>
        <w:spacing w:after="60"/>
        <w:rPr>
          <w:sz w:val="16"/>
          <w:szCs w:val="16"/>
          <w:lang w:val="en-US" w:eastAsia="fr-FR"/>
        </w:rPr>
      </w:pPr>
      <w:r w:rsidRPr="00157671">
        <w:rPr>
          <w:sz w:val="16"/>
          <w:szCs w:val="16"/>
          <w:lang w:val="es-MX" w:eastAsia="fr-FR"/>
        </w:rPr>
        <w:t xml:space="preserve">Dogkas, G., Tsimpoukis, A., Itskos, G., Del Castillo, J.C., Lozano, I., Gustafsson, O., Nikolopoulos, N., 2025. </w:t>
      </w:r>
      <w:r w:rsidRPr="00157671">
        <w:rPr>
          <w:sz w:val="16"/>
          <w:szCs w:val="16"/>
          <w:lang w:val="en-US" w:eastAsia="fr-FR"/>
        </w:rPr>
        <w:t>Analysis of a hybrid heating system with TRNSYS: district heating, heat pumps and photovoltaics in a multi-apartment building. Energy and Buildings 344, 116011. https://doi.org/10.1016/j.enbuild.2025.116011</w:t>
      </w:r>
    </w:p>
    <w:p w14:paraId="0B49FB86" w14:textId="77777777" w:rsidR="00701F2D" w:rsidRPr="00B573C3" w:rsidRDefault="00701F2D" w:rsidP="00092122">
      <w:pPr>
        <w:pStyle w:val="Bibliography"/>
        <w:spacing w:after="60"/>
        <w:rPr>
          <w:sz w:val="16"/>
          <w:szCs w:val="16"/>
          <w:lang w:val="sv-SE" w:eastAsia="fr-FR"/>
        </w:rPr>
      </w:pPr>
      <w:r w:rsidRPr="00157671">
        <w:rPr>
          <w:sz w:val="16"/>
          <w:szCs w:val="16"/>
          <w:lang w:val="en-US" w:eastAsia="fr-FR"/>
        </w:rPr>
        <w:t xml:space="preserve">Energimyndigheten, 2025. Energy in Sweden: Facts and Figures 2025 [WWW Document]. </w:t>
      </w:r>
      <w:r w:rsidRPr="00B573C3">
        <w:rPr>
          <w:sz w:val="16"/>
          <w:szCs w:val="16"/>
          <w:lang w:val="sv-SE" w:eastAsia="fr-FR"/>
        </w:rPr>
        <w:t>Energimyndigheten. URL https://www.energimyndigheten.se/en/facts-and-figures/publications/ (accessed 8.21.26).</w:t>
      </w:r>
    </w:p>
    <w:p w14:paraId="3042F73B"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European Commission, 2026. Energy Performance of Buildings Directive [WWW Document]. Energy Performance of Buildings Directive. URL https://energy.ec.europa.eu/topics/energy-efficiency/energy-performance-buildings/energy-performance-buildings-directive_en (accessed 9.8.26).</w:t>
      </w:r>
    </w:p>
    <w:p w14:paraId="14136B14"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lastRenderedPageBreak/>
        <w:t>European Commission, 2020. Smart readiness indicator - European Commission [WWW Document]. Smart readiness indicator. URL https://energy.ec.europa.eu/topics/energy-efficiency/energy-performance-buildings/smart-readiness-indicator_en (accessed 9.8.26).</w:t>
      </w:r>
    </w:p>
    <w:p w14:paraId="47FF8D2C" w14:textId="77777777" w:rsidR="00701F2D" w:rsidRPr="00157671" w:rsidRDefault="00701F2D" w:rsidP="00092122">
      <w:pPr>
        <w:pStyle w:val="Bibliography"/>
        <w:spacing w:after="60"/>
        <w:rPr>
          <w:sz w:val="16"/>
          <w:szCs w:val="16"/>
          <w:lang w:val="en-US" w:eastAsia="fr-FR"/>
        </w:rPr>
      </w:pPr>
      <w:r w:rsidRPr="00B573C3">
        <w:rPr>
          <w:sz w:val="16"/>
          <w:szCs w:val="16"/>
          <w:lang w:val="sv-SE" w:eastAsia="fr-FR"/>
        </w:rPr>
        <w:t xml:space="preserve">Fernqvist, N., Broberg, S., Torén, J., Svensson, I.-L., 2023. </w:t>
      </w:r>
      <w:r w:rsidRPr="00157671">
        <w:rPr>
          <w:sz w:val="16"/>
          <w:szCs w:val="16"/>
          <w:lang w:val="en-US" w:eastAsia="fr-FR"/>
        </w:rPr>
        <w:t>District heating as a flexibility service: Challenges in sector coupling for increased solar and wind power production in Sweden. Energy Policy 172, 113332. https://doi.org/10.1016/j.enpol.2022.113332</w:t>
      </w:r>
    </w:p>
    <w:p w14:paraId="31D79F96"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Fischer, D., Madani, H., 2017. On heat pumps in smart grids: A review. Renewable and Sustainable Energy Reviews 70, 342–357. https://doi.org/10.1016/j.rser.2016.11.182</w:t>
      </w:r>
    </w:p>
    <w:p w14:paraId="381205B9"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Goop, J., Nyholm, E., Odenberger, M., Johnsson, F., 2021. Impact of electricity market feedback on investments in solar photovoltaic and battery systems in Swedish single-family dwellings. Renewable Energy 163, 1078–1091. https://doi.org/10.1016/j.renene.2020.06.153</w:t>
      </w:r>
    </w:p>
    <w:p w14:paraId="267267F2"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Hauer, A., Botzov, N., Corsetti, E., Gunasekara, S., Lund, R., Martin, V., Meister, C., Rathgeber, C., Ravotti, R., Schilt, U., Scholten, T., Totschnig, G., Helden, W., 2024. Task 35 Flexible Sector Coupling by the Implementation of Energy Storage Final Report. https://doi.org/10.13140/RG.2.2.25204.46724</w:t>
      </w:r>
    </w:p>
    <w:p w14:paraId="0E0A6B4F" w14:textId="77777777" w:rsidR="00701F2D" w:rsidRPr="00157671" w:rsidRDefault="00701F2D" w:rsidP="00092122">
      <w:pPr>
        <w:pStyle w:val="Bibliography"/>
        <w:spacing w:after="60"/>
        <w:rPr>
          <w:sz w:val="16"/>
          <w:szCs w:val="16"/>
          <w:lang w:val="en-US" w:eastAsia="fr-FR"/>
        </w:rPr>
      </w:pPr>
      <w:r w:rsidRPr="00B573C3">
        <w:rPr>
          <w:sz w:val="16"/>
          <w:szCs w:val="16"/>
          <w:lang w:val="sv-SE" w:eastAsia="fr-FR"/>
        </w:rPr>
        <w:t xml:space="preserve">Huang, P., Lovati, M., Zhang, X., Bales, C., Hallbeck, S., Becker, A., Bergqvist, H., Hedberg, J., Maturi, L., 2019. </w:t>
      </w:r>
      <w:r w:rsidRPr="00157671">
        <w:rPr>
          <w:sz w:val="16"/>
          <w:szCs w:val="16"/>
          <w:lang w:val="en-US" w:eastAsia="fr-FR"/>
        </w:rPr>
        <w:t>Transforming a residential building cluster into electricity prosumers in Sweden: Optimal design of a coupled PV-heat pump-thermal storage-electric vehicle system. Applied Energy 255, 113864. https://doi.org/10.1016/j.apenergy.2019.113864</w:t>
      </w:r>
    </w:p>
    <w:p w14:paraId="40C3789C"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ISO, 2021. ISO 52120-1:2021 [WWW Document]. ISO 52120-1:2021. URL https://www.iso.org/standard/65883.html (accessed 9.8.26).</w:t>
      </w:r>
    </w:p>
    <w:p w14:paraId="25F6DA61" w14:textId="77777777" w:rsidR="00701F2D" w:rsidRPr="00157671" w:rsidRDefault="00701F2D" w:rsidP="00092122">
      <w:pPr>
        <w:pStyle w:val="Bibliography"/>
        <w:spacing w:after="60"/>
        <w:rPr>
          <w:sz w:val="16"/>
          <w:szCs w:val="16"/>
          <w:lang w:val="es-MX" w:eastAsia="fr-FR"/>
        </w:rPr>
      </w:pPr>
      <w:r w:rsidRPr="00157671">
        <w:rPr>
          <w:sz w:val="16"/>
          <w:szCs w:val="16"/>
          <w:lang w:val="en-US" w:eastAsia="fr-FR"/>
        </w:rPr>
        <w:t xml:space="preserve">Johansson, P., 2021. Heat pumps in Sweden -- A historical review. </w:t>
      </w:r>
      <w:r w:rsidRPr="00157671">
        <w:rPr>
          <w:sz w:val="16"/>
          <w:szCs w:val="16"/>
          <w:lang w:val="es-MX" w:eastAsia="fr-FR"/>
        </w:rPr>
        <w:t>Energy 229, 120683. https://doi.org/10.1016/j.energy.2021.120683</w:t>
      </w:r>
    </w:p>
    <w:p w14:paraId="0A248FB0" w14:textId="77777777" w:rsidR="00701F2D" w:rsidRPr="00157671" w:rsidRDefault="00701F2D" w:rsidP="00092122">
      <w:pPr>
        <w:pStyle w:val="Bibliography"/>
        <w:spacing w:after="60"/>
        <w:rPr>
          <w:sz w:val="16"/>
          <w:szCs w:val="16"/>
          <w:lang w:val="en-US" w:eastAsia="fr-FR"/>
        </w:rPr>
      </w:pPr>
      <w:r w:rsidRPr="00157671">
        <w:rPr>
          <w:sz w:val="16"/>
          <w:szCs w:val="16"/>
          <w:lang w:val="es-MX" w:eastAsia="fr-FR"/>
        </w:rPr>
        <w:t xml:space="preserve">Johra, H., Li, H., Pereira, F. de A., Nweye, K., Chamari, L., Nagy, Z., 2023. </w:t>
      </w:r>
      <w:r w:rsidRPr="00157671">
        <w:rPr>
          <w:sz w:val="16"/>
          <w:szCs w:val="16"/>
          <w:lang w:val="en-US" w:eastAsia="fr-FR"/>
        </w:rPr>
        <w:t>IEA EBC Annex 81 – Data-driven smart buildings: Building-to-grid applications, in: Building Simulation. Presented at the Building Simulation 2023, IBPSA, pp. 2530–2537. https://doi.org/10.26868/25222708.2023.1305</w:t>
      </w:r>
    </w:p>
    <w:p w14:paraId="37A8FB40"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Kallio, H., Pietilä, A.-M., Johnson, M., Kangasniemi, M., 2016. Systematic methodological review: developing a framework for a qualitative semi-structured interview guide. Journal of Advanced Nursing 72, 2954–2965. https://doi.org/10.1111/jan.13031</w:t>
      </w:r>
    </w:p>
    <w:p w14:paraId="68BB9572"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Kensby, J., Trüschel, A., Dalenbäck, J.-O., 2015. Potential of residential buildings as thermal energy storage in district heating systems - Results from a pilot test. Applied Energy 137, 773–781. https://doi.org/10.1016/j.apenergy.2014.07.026</w:t>
      </w:r>
    </w:p>
    <w:p w14:paraId="7F613663"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Lund, H., Werner, S., Wiltshire, R., Svendsen, S., Thorsen, J.E., Hvelplund, F., Mathiesen, B.V., 2014. 4th Generation District Heating (4GDH). Energy 68, 1–11. https://doi.org/10.1016/j.energy.2014.02.089</w:t>
      </w:r>
    </w:p>
    <w:p w14:paraId="4F707D75"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Navarro Rivero, M.E., Ge, Z., Jiang, Z., Zhao, Y., Weng, L., Ding, Y., 2023. Thermal energy storage options, in: Power Generation Technologies for Low-Temperature and Distributed Heat. Elsevier, pp. 419–471. https://doi.org/10.1016/B978-0-12-818022-8.00002-8</w:t>
      </w:r>
    </w:p>
    <w:p w14:paraId="2989D755"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Nyholm, E., Goop, J., Odenberger, M., Johnsson, F., 2016. Solar photovoltaic-battery systems in Swedish households – Self-consumption and self-sufficiency. Applied Energy 183, 148–159. https://doi.org/10.1016/j.apenergy.2016.08.172</w:t>
      </w:r>
    </w:p>
    <w:p w14:paraId="2816ABF3"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Olsson, D., Filipsson, P., Trüschel, A., 2023. Feedback Control in Swedish Multi-Family Buildings for Lower Energy Demand and Assured Indoor Temperature—Measurements and Interviews. Energies 16, 6747. https://doi.org/10.3390/en16186747</w:t>
      </w:r>
    </w:p>
    <w:p w14:paraId="08CF5B7A" w14:textId="77777777" w:rsidR="00701F2D" w:rsidRPr="00157671" w:rsidRDefault="00701F2D" w:rsidP="00092122">
      <w:pPr>
        <w:pStyle w:val="Bibliography"/>
        <w:spacing w:after="60"/>
        <w:rPr>
          <w:sz w:val="16"/>
          <w:szCs w:val="16"/>
          <w:lang w:val="es-MX" w:eastAsia="fr-FR"/>
        </w:rPr>
      </w:pPr>
      <w:r w:rsidRPr="00157671">
        <w:rPr>
          <w:sz w:val="16"/>
          <w:szCs w:val="16"/>
          <w:lang w:val="en-US" w:eastAsia="fr-FR"/>
        </w:rPr>
        <w:t xml:space="preserve">Ożadowicz, A., 2022. A Hybrid Approach in Design of Building Energy Management System with Smart Readiness Indicator and Building as a Service Concept. </w:t>
      </w:r>
      <w:r w:rsidRPr="00157671">
        <w:rPr>
          <w:sz w:val="16"/>
          <w:szCs w:val="16"/>
          <w:lang w:val="es-MX" w:eastAsia="fr-FR"/>
        </w:rPr>
        <w:t>Energies 15, 1432. https://doi.org/10.3390/en15041432</w:t>
      </w:r>
    </w:p>
    <w:p w14:paraId="15F514C4" w14:textId="77777777" w:rsidR="00701F2D" w:rsidRPr="00157671" w:rsidRDefault="00701F2D" w:rsidP="00092122">
      <w:pPr>
        <w:pStyle w:val="Bibliography"/>
        <w:spacing w:after="60"/>
        <w:rPr>
          <w:sz w:val="16"/>
          <w:szCs w:val="16"/>
          <w:lang w:val="en-US" w:eastAsia="fr-FR"/>
        </w:rPr>
      </w:pPr>
      <w:r w:rsidRPr="00157671">
        <w:rPr>
          <w:sz w:val="16"/>
          <w:szCs w:val="16"/>
          <w:lang w:val="es-MX" w:eastAsia="fr-FR"/>
        </w:rPr>
        <w:t xml:space="preserve">Pallonetto, F., De Rosa, M., Finn, D.P., 2021. </w:t>
      </w:r>
      <w:r w:rsidRPr="00157671">
        <w:rPr>
          <w:sz w:val="16"/>
          <w:szCs w:val="16"/>
          <w:lang w:val="en-US" w:eastAsia="fr-FR"/>
        </w:rPr>
        <w:t>Impact of intelligent control algorithms on demand response flexibility and thermal comfort in a smart grid ready residential building. Smart Energy 2, 100017. https://doi.org/10.1016/j.segy.2021.100017</w:t>
      </w:r>
    </w:p>
    <w:p w14:paraId="762A5494"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Pastore, L.M., 2026. Sector Coupling and Flexibility Measures in Distributed Renewable Energy Systems: A Comprehensive Review. Sustainability 18, 437. https://doi.org/10.3390/su18010437</w:t>
      </w:r>
    </w:p>
    <w:p w14:paraId="50FBA681"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Plienaitis, G., Daukšys, M., Demetriou, E., Ioannou, B., Fokaides, P., Seduikyte, L., 2023. Evaluation of the Smart Readiness Indicator for Educational Buildings. Buildings 13, 888. https://doi.org/10.3390/buildings13040888</w:t>
      </w:r>
    </w:p>
    <w:p w14:paraId="612F7C8D"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Ramsebner, J., Haas, R., Ajanovic, A., Wietschel, M., 2021. The sector coupling concept: A critical review. WIREs Energy and Environment 10, e396. https://doi.org/10.1002/wene.396</w:t>
      </w:r>
    </w:p>
    <w:p w14:paraId="75CA1751"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Rupar-Gadd, K., Gelius, M., Wickman, P., 2024. Energy Efficiency and Economy with Hybrid Control: District Heating and Heat Pumps in Multi-Family Houses. https://doi.org/10.2139/ssrn.5034859</w:t>
      </w:r>
    </w:p>
    <w:p w14:paraId="64ED866B"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Salpakari, J., Lund, P., 2016. Optimal and rule-based control strategies for energy flexibility in buildings with PV. Applied Energy 161, 425–436. https://doi.org/10.1016/j.apenergy.2015.10.036</w:t>
      </w:r>
    </w:p>
    <w:p w14:paraId="074AAACA"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Transkriptor, 2026. Transcribe Audio to Text | Best AI Transcription Tool [WWW Document]. Transkriptor - Audio to Text Converter. URL https://transkriptor.com/ (accessed 9.8.26).</w:t>
      </w:r>
    </w:p>
    <w:p w14:paraId="5686BAC8" w14:textId="77777777" w:rsidR="00701F2D" w:rsidRPr="00157671" w:rsidRDefault="00701F2D" w:rsidP="00092122">
      <w:pPr>
        <w:pStyle w:val="Bibliography"/>
        <w:spacing w:after="60"/>
        <w:rPr>
          <w:sz w:val="16"/>
          <w:szCs w:val="16"/>
          <w:lang w:val="en-US" w:eastAsia="fr-FR"/>
        </w:rPr>
      </w:pPr>
      <w:r w:rsidRPr="00157671">
        <w:rPr>
          <w:sz w:val="16"/>
          <w:szCs w:val="16"/>
          <w:lang w:val="es-MX" w:eastAsia="fr-FR"/>
        </w:rPr>
        <w:t xml:space="preserve">Vandermeulen, A., Van Der Heijde, B., Helsen, L., 2018. </w:t>
      </w:r>
      <w:r w:rsidRPr="00157671">
        <w:rPr>
          <w:sz w:val="16"/>
          <w:szCs w:val="16"/>
          <w:lang w:val="en-US" w:eastAsia="fr-FR"/>
        </w:rPr>
        <w:t>Controlling district heating and cooling networks to unlock flexibility: A review. Energy 151, 103–115. https://doi.org/10.1016/j.energy.2018.03.034</w:t>
      </w:r>
    </w:p>
    <w:p w14:paraId="09B87BBA"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Varsami, V., Burman, E., 2021. An Evaluation of the Smart Readiness Indicator proposed for Buildings, in: Proceedings of Building Simulation 2021: 17th Conference of IBPSA. Presented at the 2021 Building Simulation Conference, IBPSA, Bruges, Belgium. https://doi.org/10.26868/25222708.2021.30880</w:t>
      </w:r>
    </w:p>
    <w:p w14:paraId="056F45B9"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Wagener, P., 2017. Heat Pumps in Smart Grids: Final report (No. HPT-AN42-1). IEA Heat Pumping Technologies.</w:t>
      </w:r>
    </w:p>
    <w:p w14:paraId="18D271B2" w14:textId="77777777" w:rsidR="00701F2D" w:rsidRPr="00157671" w:rsidRDefault="00701F2D" w:rsidP="00092122">
      <w:pPr>
        <w:pStyle w:val="Bibliography"/>
        <w:spacing w:after="60"/>
        <w:rPr>
          <w:sz w:val="16"/>
          <w:szCs w:val="16"/>
          <w:lang w:val="en-US" w:eastAsia="fr-FR"/>
        </w:rPr>
      </w:pPr>
      <w:r w:rsidRPr="00B573C3">
        <w:rPr>
          <w:sz w:val="16"/>
          <w:szCs w:val="16"/>
          <w:lang w:val="sv-SE" w:eastAsia="fr-FR"/>
        </w:rPr>
        <w:t xml:space="preserve">Wahlström, Å., Maripuu, M.-L., 2021. </w:t>
      </w:r>
      <w:r w:rsidRPr="00157671">
        <w:rPr>
          <w:sz w:val="16"/>
          <w:szCs w:val="16"/>
          <w:lang w:val="en-US" w:eastAsia="fr-FR"/>
        </w:rPr>
        <w:t>Additional requirement to the Swedish nearly zero energy requirements. E3S Web Conf. 246, 14002. https://doi.org/10.1051/e3sconf/202124614002</w:t>
      </w:r>
    </w:p>
    <w:p w14:paraId="5C6088F0"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Walczyk, G., Ożadowicz, A., 2025. Moving Forward in Effective Deployment of the Smart Readiness Indicator and the ISO 52120 Standard to Improve Energy Performance with Building Automation and Control Systems. Energies 18, 1241. https://doi.org/10.3390/en18051241</w:t>
      </w:r>
    </w:p>
    <w:p w14:paraId="7E723FC4"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Werner, S., 2017. District heating and cooling in Sweden. Energy 126, 419–429. https://doi.org/10.1016/j.energy.2017.03.052</w:t>
      </w:r>
    </w:p>
    <w:p w14:paraId="00054794" w14:textId="77777777" w:rsidR="00701F2D" w:rsidRPr="00157671" w:rsidRDefault="00701F2D" w:rsidP="00092122">
      <w:pPr>
        <w:pStyle w:val="Bibliography"/>
        <w:spacing w:after="60"/>
        <w:rPr>
          <w:sz w:val="16"/>
          <w:szCs w:val="16"/>
          <w:lang w:val="en-US" w:eastAsia="fr-FR"/>
        </w:rPr>
      </w:pPr>
      <w:r w:rsidRPr="00157671">
        <w:rPr>
          <w:sz w:val="16"/>
          <w:szCs w:val="16"/>
          <w:lang w:val="en-US" w:eastAsia="fr-FR"/>
        </w:rPr>
        <w:t>Zhou, J., Wu, W., Bellamy, L., Bishop, D., 2025. Thermal energy storage-coupled heat pump systems: Review of configurations and modelling approaches. Renewable and Sustainable Energy Reviews 226, 116226. https://doi.org/10.1016/j.rser.2025.116226</w:t>
      </w:r>
    </w:p>
    <w:p w14:paraId="4C7915CD" w14:textId="6597B887" w:rsidR="00081529" w:rsidRPr="00EB7F16" w:rsidRDefault="009C62B4" w:rsidP="00B573C3">
      <w:pPr>
        <w:pStyle w:val="Bibliography"/>
        <w:spacing w:after="60"/>
        <w:rPr>
          <w:sz w:val="16"/>
          <w:szCs w:val="16"/>
        </w:rPr>
      </w:pPr>
      <w:r w:rsidRPr="00157671">
        <w:rPr>
          <w:sz w:val="16"/>
          <w:szCs w:val="16"/>
        </w:rPr>
        <w:fldChar w:fldCharType="end"/>
      </w:r>
    </w:p>
    <w:sectPr w:rsidR="00081529" w:rsidRPr="00EB7F16" w:rsidSect="009719BF">
      <w:headerReference w:type="even" r:id="rId15"/>
      <w:headerReference w:type="default" r:id="rId16"/>
      <w:footerReference w:type="even" r:id="rId17"/>
      <w:footerReference w:type="default" r:id="rId18"/>
      <w:headerReference w:type="first" r:id="rId19"/>
      <w:footerReference w:type="first" r:id="rId20"/>
      <w:footnotePr>
        <w:numRestart w:val="eachPage"/>
      </w:footnotePr>
      <w:pgSz w:w="11908" w:h="16838"/>
      <w:pgMar w:top="1078" w:right="1440" w:bottom="1440" w:left="1701"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B13CC" w14:textId="77777777" w:rsidR="00100BF2" w:rsidRDefault="00100BF2">
      <w:r>
        <w:separator/>
      </w:r>
    </w:p>
  </w:endnote>
  <w:endnote w:type="continuationSeparator" w:id="0">
    <w:p w14:paraId="65E11BD8" w14:textId="77777777" w:rsidR="00100BF2" w:rsidRDefault="00100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charset w:val="00"/>
    <w:family w:val="roman"/>
    <w:pitch w:val="variable"/>
    <w:sig w:usb0="60000287" w:usb1="00000001" w:usb2="00000000" w:usb3="00000000" w:csb0="0000019F"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53065" w14:textId="77777777" w:rsidR="00AE430F" w:rsidRDefault="00AE43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B185" w14:textId="77777777" w:rsidR="00AE430F" w:rsidRDefault="00AE43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B673" w14:textId="77777777" w:rsidR="00AE430F" w:rsidRDefault="00AE4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38BFD" w14:textId="77777777" w:rsidR="00100BF2" w:rsidRDefault="00100BF2">
      <w:r>
        <w:separator/>
      </w:r>
    </w:p>
  </w:footnote>
  <w:footnote w:type="continuationSeparator" w:id="0">
    <w:p w14:paraId="56199DC8" w14:textId="77777777" w:rsidR="00100BF2" w:rsidRDefault="00100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94D64" w14:textId="77777777" w:rsidR="00AE430F" w:rsidRDefault="00AE43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F944D" w14:textId="77777777" w:rsidR="00AE430F" w:rsidRDefault="00AE43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CBAC5" w14:textId="77777777" w:rsidR="00AE430F" w:rsidRDefault="00AE43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A8F20C1"/>
    <w:multiLevelType w:val="hybridMultilevel"/>
    <w:tmpl w:val="967C78B4"/>
    <w:lvl w:ilvl="0" w:tplc="041D0001">
      <w:start w:val="1"/>
      <w:numFmt w:val="bullet"/>
      <w:lvlText w:val=""/>
      <w:lvlJc w:val="left"/>
      <w:pPr>
        <w:ind w:left="766" w:hanging="360"/>
      </w:pPr>
      <w:rPr>
        <w:rFonts w:ascii="Symbol" w:hAnsi="Symbol" w:hint="default"/>
      </w:rPr>
    </w:lvl>
    <w:lvl w:ilvl="1" w:tplc="041D0003" w:tentative="1">
      <w:start w:val="1"/>
      <w:numFmt w:val="bullet"/>
      <w:lvlText w:val="o"/>
      <w:lvlJc w:val="left"/>
      <w:pPr>
        <w:ind w:left="1486" w:hanging="360"/>
      </w:pPr>
      <w:rPr>
        <w:rFonts w:ascii="Courier New" w:hAnsi="Courier New" w:cs="Courier New" w:hint="default"/>
      </w:rPr>
    </w:lvl>
    <w:lvl w:ilvl="2" w:tplc="041D0005" w:tentative="1">
      <w:start w:val="1"/>
      <w:numFmt w:val="bullet"/>
      <w:lvlText w:val=""/>
      <w:lvlJc w:val="left"/>
      <w:pPr>
        <w:ind w:left="2206" w:hanging="360"/>
      </w:pPr>
      <w:rPr>
        <w:rFonts w:ascii="Wingdings" w:hAnsi="Wingdings" w:hint="default"/>
      </w:rPr>
    </w:lvl>
    <w:lvl w:ilvl="3" w:tplc="041D0001" w:tentative="1">
      <w:start w:val="1"/>
      <w:numFmt w:val="bullet"/>
      <w:lvlText w:val=""/>
      <w:lvlJc w:val="left"/>
      <w:pPr>
        <w:ind w:left="2926" w:hanging="360"/>
      </w:pPr>
      <w:rPr>
        <w:rFonts w:ascii="Symbol" w:hAnsi="Symbol" w:hint="default"/>
      </w:rPr>
    </w:lvl>
    <w:lvl w:ilvl="4" w:tplc="041D0003" w:tentative="1">
      <w:start w:val="1"/>
      <w:numFmt w:val="bullet"/>
      <w:lvlText w:val="o"/>
      <w:lvlJc w:val="left"/>
      <w:pPr>
        <w:ind w:left="3646" w:hanging="360"/>
      </w:pPr>
      <w:rPr>
        <w:rFonts w:ascii="Courier New" w:hAnsi="Courier New" w:cs="Courier New" w:hint="default"/>
      </w:rPr>
    </w:lvl>
    <w:lvl w:ilvl="5" w:tplc="041D0005" w:tentative="1">
      <w:start w:val="1"/>
      <w:numFmt w:val="bullet"/>
      <w:lvlText w:val=""/>
      <w:lvlJc w:val="left"/>
      <w:pPr>
        <w:ind w:left="4366" w:hanging="360"/>
      </w:pPr>
      <w:rPr>
        <w:rFonts w:ascii="Wingdings" w:hAnsi="Wingdings" w:hint="default"/>
      </w:rPr>
    </w:lvl>
    <w:lvl w:ilvl="6" w:tplc="041D0001" w:tentative="1">
      <w:start w:val="1"/>
      <w:numFmt w:val="bullet"/>
      <w:lvlText w:val=""/>
      <w:lvlJc w:val="left"/>
      <w:pPr>
        <w:ind w:left="5086" w:hanging="360"/>
      </w:pPr>
      <w:rPr>
        <w:rFonts w:ascii="Symbol" w:hAnsi="Symbol" w:hint="default"/>
      </w:rPr>
    </w:lvl>
    <w:lvl w:ilvl="7" w:tplc="041D0003" w:tentative="1">
      <w:start w:val="1"/>
      <w:numFmt w:val="bullet"/>
      <w:lvlText w:val="o"/>
      <w:lvlJc w:val="left"/>
      <w:pPr>
        <w:ind w:left="5806" w:hanging="360"/>
      </w:pPr>
      <w:rPr>
        <w:rFonts w:ascii="Courier New" w:hAnsi="Courier New" w:cs="Courier New" w:hint="default"/>
      </w:rPr>
    </w:lvl>
    <w:lvl w:ilvl="8" w:tplc="041D0005" w:tentative="1">
      <w:start w:val="1"/>
      <w:numFmt w:val="bullet"/>
      <w:lvlText w:val=""/>
      <w:lvlJc w:val="left"/>
      <w:pPr>
        <w:ind w:left="6526" w:hanging="360"/>
      </w:pPr>
      <w:rPr>
        <w:rFonts w:ascii="Wingdings" w:hAnsi="Wingdings" w:hint="default"/>
      </w:rPr>
    </w:lvl>
  </w:abstractNum>
  <w:abstractNum w:abstractNumId="7"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8"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7840D4F"/>
    <w:multiLevelType w:val="hybridMultilevel"/>
    <w:tmpl w:val="7A6045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720329734">
    <w:abstractNumId w:val="5"/>
  </w:num>
  <w:num w:numId="2" w16cid:durableId="1085416701">
    <w:abstractNumId w:val="12"/>
  </w:num>
  <w:num w:numId="3" w16cid:durableId="912081166">
    <w:abstractNumId w:val="11"/>
  </w:num>
  <w:num w:numId="4" w16cid:durableId="1540359789">
    <w:abstractNumId w:val="24"/>
  </w:num>
  <w:num w:numId="5" w16cid:durableId="990132014">
    <w:abstractNumId w:val="4"/>
  </w:num>
  <w:num w:numId="6" w16cid:durableId="729578602">
    <w:abstractNumId w:val="3"/>
  </w:num>
  <w:num w:numId="7" w16cid:durableId="1164709369">
    <w:abstractNumId w:val="0"/>
  </w:num>
  <w:num w:numId="8" w16cid:durableId="140466650">
    <w:abstractNumId w:val="2"/>
  </w:num>
  <w:num w:numId="9" w16cid:durableId="1139834691">
    <w:abstractNumId w:val="1"/>
  </w:num>
  <w:num w:numId="10" w16cid:durableId="968898656">
    <w:abstractNumId w:val="7"/>
  </w:num>
  <w:num w:numId="11" w16cid:durableId="2047215575">
    <w:abstractNumId w:val="19"/>
  </w:num>
  <w:num w:numId="12" w16cid:durableId="2005158030">
    <w:abstractNumId w:val="15"/>
  </w:num>
  <w:num w:numId="13" w16cid:durableId="974020239">
    <w:abstractNumId w:val="7"/>
    <w:lvlOverride w:ilvl="0">
      <w:startOverride w:val="1"/>
    </w:lvlOverride>
  </w:num>
  <w:num w:numId="14" w16cid:durableId="1052464643">
    <w:abstractNumId w:val="18"/>
  </w:num>
  <w:num w:numId="15" w16cid:durableId="72942035">
    <w:abstractNumId w:val="8"/>
  </w:num>
  <w:num w:numId="16" w16cid:durableId="844174698">
    <w:abstractNumId w:val="14"/>
  </w:num>
  <w:num w:numId="17" w16cid:durableId="545216803">
    <w:abstractNumId w:val="17"/>
  </w:num>
  <w:num w:numId="18" w16cid:durableId="1123226481">
    <w:abstractNumId w:val="21"/>
  </w:num>
  <w:num w:numId="19" w16cid:durableId="1518273998">
    <w:abstractNumId w:val="10"/>
  </w:num>
  <w:num w:numId="20" w16cid:durableId="1713536686">
    <w:abstractNumId w:val="9"/>
  </w:num>
  <w:num w:numId="21" w16cid:durableId="823472909">
    <w:abstractNumId w:val="13"/>
  </w:num>
  <w:num w:numId="22" w16cid:durableId="83887548">
    <w:abstractNumId w:val="20"/>
  </w:num>
  <w:num w:numId="23" w16cid:durableId="1264075878">
    <w:abstractNumId w:val="16"/>
  </w:num>
  <w:num w:numId="24" w16cid:durableId="1653025824">
    <w:abstractNumId w:val="22"/>
  </w:num>
  <w:num w:numId="25" w16cid:durableId="180749131">
    <w:abstractNumId w:val="19"/>
  </w:num>
  <w:num w:numId="26" w16cid:durableId="945382250">
    <w:abstractNumId w:val="19"/>
  </w:num>
  <w:num w:numId="27" w16cid:durableId="440495296">
    <w:abstractNumId w:val="19"/>
  </w:num>
  <w:num w:numId="28" w16cid:durableId="1549147688">
    <w:abstractNumId w:val="6"/>
  </w:num>
  <w:num w:numId="29" w16cid:durableId="1937325550">
    <w:abstractNumId w:val="19"/>
  </w:num>
  <w:num w:numId="30" w16cid:durableId="45111971">
    <w:abstractNumId w:val="19"/>
  </w:num>
  <w:num w:numId="31" w16cid:durableId="872495399">
    <w:abstractNumId w:val="19"/>
  </w:num>
  <w:num w:numId="32" w16cid:durableId="118836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7cwMTYwNzUyMDI3MDNR0lEKTi0uzszPAykwrAUAU/uCDywAAAA="/>
  </w:docVars>
  <w:rsids>
    <w:rsidRoot w:val="00B2716E"/>
    <w:rsid w:val="00000F20"/>
    <w:rsid w:val="00001CD1"/>
    <w:rsid w:val="00001E5E"/>
    <w:rsid w:val="000027EE"/>
    <w:rsid w:val="00003582"/>
    <w:rsid w:val="000037EC"/>
    <w:rsid w:val="00005037"/>
    <w:rsid w:val="000067DB"/>
    <w:rsid w:val="00006E1F"/>
    <w:rsid w:val="00010262"/>
    <w:rsid w:val="0001156B"/>
    <w:rsid w:val="0001619F"/>
    <w:rsid w:val="000167C6"/>
    <w:rsid w:val="00017806"/>
    <w:rsid w:val="000204EB"/>
    <w:rsid w:val="000217B8"/>
    <w:rsid w:val="0002469D"/>
    <w:rsid w:val="00025FD1"/>
    <w:rsid w:val="00026577"/>
    <w:rsid w:val="000308E4"/>
    <w:rsid w:val="000324A3"/>
    <w:rsid w:val="000326E9"/>
    <w:rsid w:val="000342E7"/>
    <w:rsid w:val="00035C20"/>
    <w:rsid w:val="0004235D"/>
    <w:rsid w:val="00042666"/>
    <w:rsid w:val="000437D2"/>
    <w:rsid w:val="00043A20"/>
    <w:rsid w:val="00043A6B"/>
    <w:rsid w:val="00043CE9"/>
    <w:rsid w:val="00044C57"/>
    <w:rsid w:val="000465F0"/>
    <w:rsid w:val="00046654"/>
    <w:rsid w:val="000507FE"/>
    <w:rsid w:val="0005082E"/>
    <w:rsid w:val="0005265D"/>
    <w:rsid w:val="00052E03"/>
    <w:rsid w:val="000533E4"/>
    <w:rsid w:val="000534F5"/>
    <w:rsid w:val="00053791"/>
    <w:rsid w:val="00053E02"/>
    <w:rsid w:val="00054670"/>
    <w:rsid w:val="00055DB9"/>
    <w:rsid w:val="00056FA9"/>
    <w:rsid w:val="0005731D"/>
    <w:rsid w:val="00057B5E"/>
    <w:rsid w:val="000610B4"/>
    <w:rsid w:val="00061976"/>
    <w:rsid w:val="00061D29"/>
    <w:rsid w:val="00063DAF"/>
    <w:rsid w:val="0006416E"/>
    <w:rsid w:val="0006491A"/>
    <w:rsid w:val="00064956"/>
    <w:rsid w:val="00065CC5"/>
    <w:rsid w:val="00065D4C"/>
    <w:rsid w:val="00066157"/>
    <w:rsid w:val="00066B26"/>
    <w:rsid w:val="000678AC"/>
    <w:rsid w:val="000712A1"/>
    <w:rsid w:val="00074DBF"/>
    <w:rsid w:val="00081529"/>
    <w:rsid w:val="00082EC2"/>
    <w:rsid w:val="0008362E"/>
    <w:rsid w:val="00086712"/>
    <w:rsid w:val="00086C48"/>
    <w:rsid w:val="000877C3"/>
    <w:rsid w:val="000905DE"/>
    <w:rsid w:val="0009063F"/>
    <w:rsid w:val="00092122"/>
    <w:rsid w:val="00092ED5"/>
    <w:rsid w:val="00094D8D"/>
    <w:rsid w:val="0009600F"/>
    <w:rsid w:val="00096360"/>
    <w:rsid w:val="00096867"/>
    <w:rsid w:val="000A0315"/>
    <w:rsid w:val="000A041E"/>
    <w:rsid w:val="000A0ADB"/>
    <w:rsid w:val="000A0CC0"/>
    <w:rsid w:val="000A309A"/>
    <w:rsid w:val="000A30A5"/>
    <w:rsid w:val="000A36B5"/>
    <w:rsid w:val="000A52A1"/>
    <w:rsid w:val="000A6ABF"/>
    <w:rsid w:val="000A6C04"/>
    <w:rsid w:val="000B04BE"/>
    <w:rsid w:val="000B14DD"/>
    <w:rsid w:val="000B1F4D"/>
    <w:rsid w:val="000B1FF2"/>
    <w:rsid w:val="000B30EB"/>
    <w:rsid w:val="000B78A8"/>
    <w:rsid w:val="000C00CE"/>
    <w:rsid w:val="000C0D0F"/>
    <w:rsid w:val="000C2344"/>
    <w:rsid w:val="000C4EA3"/>
    <w:rsid w:val="000D134A"/>
    <w:rsid w:val="000D1ECF"/>
    <w:rsid w:val="000D38FC"/>
    <w:rsid w:val="000D5367"/>
    <w:rsid w:val="000D689D"/>
    <w:rsid w:val="000D6A5C"/>
    <w:rsid w:val="000D6E1A"/>
    <w:rsid w:val="000E1855"/>
    <w:rsid w:val="000E2E25"/>
    <w:rsid w:val="000E2F64"/>
    <w:rsid w:val="000E3344"/>
    <w:rsid w:val="000E5955"/>
    <w:rsid w:val="000E79B8"/>
    <w:rsid w:val="000F4B00"/>
    <w:rsid w:val="000F508A"/>
    <w:rsid w:val="000F739B"/>
    <w:rsid w:val="000F7A88"/>
    <w:rsid w:val="001000EF"/>
    <w:rsid w:val="00100BF2"/>
    <w:rsid w:val="00100C86"/>
    <w:rsid w:val="00100F62"/>
    <w:rsid w:val="00101979"/>
    <w:rsid w:val="001038F8"/>
    <w:rsid w:val="00104EB8"/>
    <w:rsid w:val="0010501A"/>
    <w:rsid w:val="00105874"/>
    <w:rsid w:val="0010653A"/>
    <w:rsid w:val="00106B97"/>
    <w:rsid w:val="0011026E"/>
    <w:rsid w:val="00112930"/>
    <w:rsid w:val="00113BB0"/>
    <w:rsid w:val="0011409F"/>
    <w:rsid w:val="001148BA"/>
    <w:rsid w:val="00114FDE"/>
    <w:rsid w:val="00115DF0"/>
    <w:rsid w:val="00117AD1"/>
    <w:rsid w:val="00122CD4"/>
    <w:rsid w:val="00124CCD"/>
    <w:rsid w:val="00124F85"/>
    <w:rsid w:val="00125D33"/>
    <w:rsid w:val="00127290"/>
    <w:rsid w:val="00134D98"/>
    <w:rsid w:val="00136049"/>
    <w:rsid w:val="00140380"/>
    <w:rsid w:val="00140A85"/>
    <w:rsid w:val="00140EDC"/>
    <w:rsid w:val="001435AB"/>
    <w:rsid w:val="00143CBB"/>
    <w:rsid w:val="00143F06"/>
    <w:rsid w:val="001454E6"/>
    <w:rsid w:val="00145ED6"/>
    <w:rsid w:val="00146B9D"/>
    <w:rsid w:val="00147646"/>
    <w:rsid w:val="0015090D"/>
    <w:rsid w:val="00151D74"/>
    <w:rsid w:val="00153424"/>
    <w:rsid w:val="0015442F"/>
    <w:rsid w:val="00155FB8"/>
    <w:rsid w:val="00157671"/>
    <w:rsid w:val="00157CE5"/>
    <w:rsid w:val="001605BF"/>
    <w:rsid w:val="00160999"/>
    <w:rsid w:val="001609EA"/>
    <w:rsid w:val="00161DDA"/>
    <w:rsid w:val="00163690"/>
    <w:rsid w:val="00163825"/>
    <w:rsid w:val="00164C83"/>
    <w:rsid w:val="00166C42"/>
    <w:rsid w:val="00166F77"/>
    <w:rsid w:val="00171EB3"/>
    <w:rsid w:val="00176EF6"/>
    <w:rsid w:val="001774C4"/>
    <w:rsid w:val="001816A8"/>
    <w:rsid w:val="00181A12"/>
    <w:rsid w:val="00181D1B"/>
    <w:rsid w:val="00182C5A"/>
    <w:rsid w:val="0018411E"/>
    <w:rsid w:val="00184E11"/>
    <w:rsid w:val="00186402"/>
    <w:rsid w:val="0018691F"/>
    <w:rsid w:val="00186950"/>
    <w:rsid w:val="00187617"/>
    <w:rsid w:val="00190553"/>
    <w:rsid w:val="001910CC"/>
    <w:rsid w:val="0019232E"/>
    <w:rsid w:val="0019296E"/>
    <w:rsid w:val="00194E9A"/>
    <w:rsid w:val="001968B5"/>
    <w:rsid w:val="001969B9"/>
    <w:rsid w:val="00196FB0"/>
    <w:rsid w:val="001A117A"/>
    <w:rsid w:val="001A21EF"/>
    <w:rsid w:val="001A2527"/>
    <w:rsid w:val="001A26FD"/>
    <w:rsid w:val="001A5788"/>
    <w:rsid w:val="001A6425"/>
    <w:rsid w:val="001A6AC0"/>
    <w:rsid w:val="001A6D32"/>
    <w:rsid w:val="001A775B"/>
    <w:rsid w:val="001A7F40"/>
    <w:rsid w:val="001B13D6"/>
    <w:rsid w:val="001B39A8"/>
    <w:rsid w:val="001B6139"/>
    <w:rsid w:val="001B6BCF"/>
    <w:rsid w:val="001C14E3"/>
    <w:rsid w:val="001C176E"/>
    <w:rsid w:val="001C1A53"/>
    <w:rsid w:val="001C3A3D"/>
    <w:rsid w:val="001C4EFA"/>
    <w:rsid w:val="001C4FB3"/>
    <w:rsid w:val="001C63A2"/>
    <w:rsid w:val="001C68F0"/>
    <w:rsid w:val="001D0384"/>
    <w:rsid w:val="001D06D7"/>
    <w:rsid w:val="001D237A"/>
    <w:rsid w:val="001D25D7"/>
    <w:rsid w:val="001D356C"/>
    <w:rsid w:val="001D3855"/>
    <w:rsid w:val="001D46EB"/>
    <w:rsid w:val="001D49D6"/>
    <w:rsid w:val="001D758A"/>
    <w:rsid w:val="001D7BBF"/>
    <w:rsid w:val="001D7F74"/>
    <w:rsid w:val="001E1035"/>
    <w:rsid w:val="001E21C4"/>
    <w:rsid w:val="001E2B93"/>
    <w:rsid w:val="001F2881"/>
    <w:rsid w:val="001F4841"/>
    <w:rsid w:val="001F6763"/>
    <w:rsid w:val="001F7151"/>
    <w:rsid w:val="001F78C5"/>
    <w:rsid w:val="00200C1E"/>
    <w:rsid w:val="00202FBC"/>
    <w:rsid w:val="00203F51"/>
    <w:rsid w:val="00205626"/>
    <w:rsid w:val="00206116"/>
    <w:rsid w:val="0020637A"/>
    <w:rsid w:val="00206C4E"/>
    <w:rsid w:val="00206CB2"/>
    <w:rsid w:val="00207989"/>
    <w:rsid w:val="00207D71"/>
    <w:rsid w:val="00211589"/>
    <w:rsid w:val="00212628"/>
    <w:rsid w:val="002173DC"/>
    <w:rsid w:val="00222149"/>
    <w:rsid w:val="00224E26"/>
    <w:rsid w:val="002251CF"/>
    <w:rsid w:val="00225724"/>
    <w:rsid w:val="002258BF"/>
    <w:rsid w:val="0022674C"/>
    <w:rsid w:val="00227C25"/>
    <w:rsid w:val="00230991"/>
    <w:rsid w:val="00230997"/>
    <w:rsid w:val="00231DAC"/>
    <w:rsid w:val="00234CE6"/>
    <w:rsid w:val="00234F61"/>
    <w:rsid w:val="002364B4"/>
    <w:rsid w:val="002364C7"/>
    <w:rsid w:val="00242C59"/>
    <w:rsid w:val="00243214"/>
    <w:rsid w:val="002437C7"/>
    <w:rsid w:val="00245B04"/>
    <w:rsid w:val="00251CFC"/>
    <w:rsid w:val="0025263C"/>
    <w:rsid w:val="00252BA4"/>
    <w:rsid w:val="002534A6"/>
    <w:rsid w:val="0025675B"/>
    <w:rsid w:val="00260C13"/>
    <w:rsid w:val="00260CF5"/>
    <w:rsid w:val="002647A0"/>
    <w:rsid w:val="00264E64"/>
    <w:rsid w:val="0026691B"/>
    <w:rsid w:val="00266E47"/>
    <w:rsid w:val="00267EF7"/>
    <w:rsid w:val="00270E75"/>
    <w:rsid w:val="0027244C"/>
    <w:rsid w:val="0027288C"/>
    <w:rsid w:val="00273019"/>
    <w:rsid w:val="00273341"/>
    <w:rsid w:val="002743A9"/>
    <w:rsid w:val="00274EDC"/>
    <w:rsid w:val="00283003"/>
    <w:rsid w:val="00283244"/>
    <w:rsid w:val="0028341E"/>
    <w:rsid w:val="002834C9"/>
    <w:rsid w:val="00285697"/>
    <w:rsid w:val="00286871"/>
    <w:rsid w:val="002916BE"/>
    <w:rsid w:val="0029195F"/>
    <w:rsid w:val="002959C0"/>
    <w:rsid w:val="00296F61"/>
    <w:rsid w:val="002972D1"/>
    <w:rsid w:val="002A04A9"/>
    <w:rsid w:val="002A39BB"/>
    <w:rsid w:val="002A49C1"/>
    <w:rsid w:val="002A4A34"/>
    <w:rsid w:val="002A4E77"/>
    <w:rsid w:val="002A6A56"/>
    <w:rsid w:val="002A6D59"/>
    <w:rsid w:val="002B2611"/>
    <w:rsid w:val="002B36EF"/>
    <w:rsid w:val="002B3862"/>
    <w:rsid w:val="002B399F"/>
    <w:rsid w:val="002B5566"/>
    <w:rsid w:val="002B601E"/>
    <w:rsid w:val="002C0978"/>
    <w:rsid w:val="002C10A7"/>
    <w:rsid w:val="002C2281"/>
    <w:rsid w:val="002C2F6D"/>
    <w:rsid w:val="002C306C"/>
    <w:rsid w:val="002C33F0"/>
    <w:rsid w:val="002C3748"/>
    <w:rsid w:val="002C39F2"/>
    <w:rsid w:val="002C3CEA"/>
    <w:rsid w:val="002C3FA7"/>
    <w:rsid w:val="002C68AD"/>
    <w:rsid w:val="002C7379"/>
    <w:rsid w:val="002D15D6"/>
    <w:rsid w:val="002D1A4D"/>
    <w:rsid w:val="002D322C"/>
    <w:rsid w:val="002D4864"/>
    <w:rsid w:val="002D50D5"/>
    <w:rsid w:val="002D5EBE"/>
    <w:rsid w:val="002D663D"/>
    <w:rsid w:val="002E0DA3"/>
    <w:rsid w:val="002E1F28"/>
    <w:rsid w:val="002E2A51"/>
    <w:rsid w:val="002E3F18"/>
    <w:rsid w:val="002E4C57"/>
    <w:rsid w:val="002E5D62"/>
    <w:rsid w:val="002E6039"/>
    <w:rsid w:val="002E739E"/>
    <w:rsid w:val="002E7BB9"/>
    <w:rsid w:val="002F012D"/>
    <w:rsid w:val="002F103C"/>
    <w:rsid w:val="002F122B"/>
    <w:rsid w:val="002F1386"/>
    <w:rsid w:val="002F2BE3"/>
    <w:rsid w:val="002F39F1"/>
    <w:rsid w:val="002F3AAB"/>
    <w:rsid w:val="002F5247"/>
    <w:rsid w:val="002F6DE6"/>
    <w:rsid w:val="00300C32"/>
    <w:rsid w:val="0030162C"/>
    <w:rsid w:val="003023F5"/>
    <w:rsid w:val="003032B5"/>
    <w:rsid w:val="00303345"/>
    <w:rsid w:val="00303DEC"/>
    <w:rsid w:val="0030495F"/>
    <w:rsid w:val="003065F8"/>
    <w:rsid w:val="0031080C"/>
    <w:rsid w:val="00310DC5"/>
    <w:rsid w:val="00312B94"/>
    <w:rsid w:val="00312F53"/>
    <w:rsid w:val="00315A6F"/>
    <w:rsid w:val="0032259C"/>
    <w:rsid w:val="00323FDE"/>
    <w:rsid w:val="00324012"/>
    <w:rsid w:val="00324216"/>
    <w:rsid w:val="00324A6D"/>
    <w:rsid w:val="00325537"/>
    <w:rsid w:val="00327E6D"/>
    <w:rsid w:val="003325D6"/>
    <w:rsid w:val="00335127"/>
    <w:rsid w:val="003357AC"/>
    <w:rsid w:val="00337024"/>
    <w:rsid w:val="00337A0F"/>
    <w:rsid w:val="00340EA1"/>
    <w:rsid w:val="00341A16"/>
    <w:rsid w:val="00342DE8"/>
    <w:rsid w:val="0034459D"/>
    <w:rsid w:val="0034546F"/>
    <w:rsid w:val="00347D87"/>
    <w:rsid w:val="00347EA2"/>
    <w:rsid w:val="003504DE"/>
    <w:rsid w:val="0035177A"/>
    <w:rsid w:val="00351D8B"/>
    <w:rsid w:val="00354374"/>
    <w:rsid w:val="00354EE0"/>
    <w:rsid w:val="0035638A"/>
    <w:rsid w:val="003605B9"/>
    <w:rsid w:val="00360DE0"/>
    <w:rsid w:val="00362122"/>
    <w:rsid w:val="00363A7A"/>
    <w:rsid w:val="00364A52"/>
    <w:rsid w:val="00364B6A"/>
    <w:rsid w:val="00364ECF"/>
    <w:rsid w:val="00365CE9"/>
    <w:rsid w:val="003700FB"/>
    <w:rsid w:val="00370CFC"/>
    <w:rsid w:val="00373469"/>
    <w:rsid w:val="00373F97"/>
    <w:rsid w:val="00374216"/>
    <w:rsid w:val="00376AFA"/>
    <w:rsid w:val="003806FA"/>
    <w:rsid w:val="00381A71"/>
    <w:rsid w:val="00383D06"/>
    <w:rsid w:val="00384BD0"/>
    <w:rsid w:val="0038545D"/>
    <w:rsid w:val="003861DF"/>
    <w:rsid w:val="003869E8"/>
    <w:rsid w:val="00391288"/>
    <w:rsid w:val="00391493"/>
    <w:rsid w:val="00391E34"/>
    <w:rsid w:val="00392ECA"/>
    <w:rsid w:val="00395E5A"/>
    <w:rsid w:val="0039742D"/>
    <w:rsid w:val="003A2A5A"/>
    <w:rsid w:val="003A3A38"/>
    <w:rsid w:val="003A788F"/>
    <w:rsid w:val="003A7A3A"/>
    <w:rsid w:val="003A7DB9"/>
    <w:rsid w:val="003B05C1"/>
    <w:rsid w:val="003B0BD1"/>
    <w:rsid w:val="003B14B8"/>
    <w:rsid w:val="003B1F30"/>
    <w:rsid w:val="003B2055"/>
    <w:rsid w:val="003B23AB"/>
    <w:rsid w:val="003B268E"/>
    <w:rsid w:val="003B3CD8"/>
    <w:rsid w:val="003B4A89"/>
    <w:rsid w:val="003B5705"/>
    <w:rsid w:val="003B59C2"/>
    <w:rsid w:val="003B6E00"/>
    <w:rsid w:val="003B7E67"/>
    <w:rsid w:val="003C18DE"/>
    <w:rsid w:val="003C1B31"/>
    <w:rsid w:val="003C1CCB"/>
    <w:rsid w:val="003C28CB"/>
    <w:rsid w:val="003C2B1A"/>
    <w:rsid w:val="003C31A3"/>
    <w:rsid w:val="003C39C6"/>
    <w:rsid w:val="003C784C"/>
    <w:rsid w:val="003D0C22"/>
    <w:rsid w:val="003D39CD"/>
    <w:rsid w:val="003D3C65"/>
    <w:rsid w:val="003E1E1C"/>
    <w:rsid w:val="003E2099"/>
    <w:rsid w:val="003E35AB"/>
    <w:rsid w:val="003E3C2F"/>
    <w:rsid w:val="003E434F"/>
    <w:rsid w:val="003E497B"/>
    <w:rsid w:val="003E5080"/>
    <w:rsid w:val="003E5917"/>
    <w:rsid w:val="003E6066"/>
    <w:rsid w:val="003E6CBE"/>
    <w:rsid w:val="003E77F0"/>
    <w:rsid w:val="003F0403"/>
    <w:rsid w:val="003F275D"/>
    <w:rsid w:val="003F3DA7"/>
    <w:rsid w:val="003F5B99"/>
    <w:rsid w:val="003F699B"/>
    <w:rsid w:val="003F6BC5"/>
    <w:rsid w:val="003F75AC"/>
    <w:rsid w:val="00401294"/>
    <w:rsid w:val="00401929"/>
    <w:rsid w:val="004019FD"/>
    <w:rsid w:val="00401D37"/>
    <w:rsid w:val="00401EFE"/>
    <w:rsid w:val="00403E6A"/>
    <w:rsid w:val="0040536A"/>
    <w:rsid w:val="004053B5"/>
    <w:rsid w:val="004053F6"/>
    <w:rsid w:val="00406E0F"/>
    <w:rsid w:val="00407B91"/>
    <w:rsid w:val="00411E29"/>
    <w:rsid w:val="0041340A"/>
    <w:rsid w:val="00414B75"/>
    <w:rsid w:val="0041607C"/>
    <w:rsid w:val="00417860"/>
    <w:rsid w:val="0042033E"/>
    <w:rsid w:val="00423D61"/>
    <w:rsid w:val="00424F99"/>
    <w:rsid w:val="004260A0"/>
    <w:rsid w:val="004323FC"/>
    <w:rsid w:val="00434868"/>
    <w:rsid w:val="00434BF4"/>
    <w:rsid w:val="0043766C"/>
    <w:rsid w:val="004378AA"/>
    <w:rsid w:val="0044039F"/>
    <w:rsid w:val="00440DCC"/>
    <w:rsid w:val="004447D9"/>
    <w:rsid w:val="0044537E"/>
    <w:rsid w:val="004511C1"/>
    <w:rsid w:val="00451831"/>
    <w:rsid w:val="00451B0E"/>
    <w:rsid w:val="004522C5"/>
    <w:rsid w:val="00454A12"/>
    <w:rsid w:val="00454B99"/>
    <w:rsid w:val="00456369"/>
    <w:rsid w:val="00457A13"/>
    <w:rsid w:val="00460A4F"/>
    <w:rsid w:val="004615D9"/>
    <w:rsid w:val="0046346B"/>
    <w:rsid w:val="004677A8"/>
    <w:rsid w:val="00467DFD"/>
    <w:rsid w:val="004715A5"/>
    <w:rsid w:val="00476879"/>
    <w:rsid w:val="00482335"/>
    <w:rsid w:val="00483307"/>
    <w:rsid w:val="004835FE"/>
    <w:rsid w:val="00485333"/>
    <w:rsid w:val="0048781F"/>
    <w:rsid w:val="00490F10"/>
    <w:rsid w:val="0049195A"/>
    <w:rsid w:val="004919A5"/>
    <w:rsid w:val="00493860"/>
    <w:rsid w:val="00493C81"/>
    <w:rsid w:val="00493E5B"/>
    <w:rsid w:val="00494006"/>
    <w:rsid w:val="0049440B"/>
    <w:rsid w:val="004945CE"/>
    <w:rsid w:val="00494CD4"/>
    <w:rsid w:val="00495494"/>
    <w:rsid w:val="00495C2B"/>
    <w:rsid w:val="004968CE"/>
    <w:rsid w:val="00497674"/>
    <w:rsid w:val="004A0765"/>
    <w:rsid w:val="004A183B"/>
    <w:rsid w:val="004A3506"/>
    <w:rsid w:val="004A5D68"/>
    <w:rsid w:val="004A627A"/>
    <w:rsid w:val="004A655F"/>
    <w:rsid w:val="004A6879"/>
    <w:rsid w:val="004A7788"/>
    <w:rsid w:val="004B2E2F"/>
    <w:rsid w:val="004C0A1E"/>
    <w:rsid w:val="004C1DC1"/>
    <w:rsid w:val="004C20F4"/>
    <w:rsid w:val="004C39AD"/>
    <w:rsid w:val="004C4329"/>
    <w:rsid w:val="004C4EE9"/>
    <w:rsid w:val="004C523B"/>
    <w:rsid w:val="004D0337"/>
    <w:rsid w:val="004D0EB3"/>
    <w:rsid w:val="004D1C85"/>
    <w:rsid w:val="004D1E9D"/>
    <w:rsid w:val="004D24D1"/>
    <w:rsid w:val="004D2758"/>
    <w:rsid w:val="004D3090"/>
    <w:rsid w:val="004D32F3"/>
    <w:rsid w:val="004D3E4E"/>
    <w:rsid w:val="004E01D1"/>
    <w:rsid w:val="004E1AD2"/>
    <w:rsid w:val="004E5D79"/>
    <w:rsid w:val="004F0D55"/>
    <w:rsid w:val="004F3249"/>
    <w:rsid w:val="004F3B08"/>
    <w:rsid w:val="004F4904"/>
    <w:rsid w:val="004F5341"/>
    <w:rsid w:val="004F5FF9"/>
    <w:rsid w:val="004F7059"/>
    <w:rsid w:val="004F7345"/>
    <w:rsid w:val="004F767A"/>
    <w:rsid w:val="00500640"/>
    <w:rsid w:val="005009DC"/>
    <w:rsid w:val="00500D7D"/>
    <w:rsid w:val="00502B31"/>
    <w:rsid w:val="00502E14"/>
    <w:rsid w:val="00503DE2"/>
    <w:rsid w:val="005058F8"/>
    <w:rsid w:val="005067AC"/>
    <w:rsid w:val="00506EA0"/>
    <w:rsid w:val="00510F71"/>
    <w:rsid w:val="0051129D"/>
    <w:rsid w:val="0051231A"/>
    <w:rsid w:val="00513ABF"/>
    <w:rsid w:val="00514890"/>
    <w:rsid w:val="00514C1A"/>
    <w:rsid w:val="0051741D"/>
    <w:rsid w:val="0052021B"/>
    <w:rsid w:val="00520C48"/>
    <w:rsid w:val="00521799"/>
    <w:rsid w:val="00521936"/>
    <w:rsid w:val="00523585"/>
    <w:rsid w:val="00526ACD"/>
    <w:rsid w:val="0052702D"/>
    <w:rsid w:val="00532138"/>
    <w:rsid w:val="00532AD6"/>
    <w:rsid w:val="00532ED0"/>
    <w:rsid w:val="0053356D"/>
    <w:rsid w:val="00533AC4"/>
    <w:rsid w:val="0053532A"/>
    <w:rsid w:val="00536E73"/>
    <w:rsid w:val="005404F1"/>
    <w:rsid w:val="00541A65"/>
    <w:rsid w:val="00541E86"/>
    <w:rsid w:val="00543A17"/>
    <w:rsid w:val="00545256"/>
    <w:rsid w:val="00547EB9"/>
    <w:rsid w:val="00550776"/>
    <w:rsid w:val="00550945"/>
    <w:rsid w:val="005537A0"/>
    <w:rsid w:val="00556004"/>
    <w:rsid w:val="0055671F"/>
    <w:rsid w:val="00560B9B"/>
    <w:rsid w:val="00561E25"/>
    <w:rsid w:val="00566460"/>
    <w:rsid w:val="00566A30"/>
    <w:rsid w:val="0057075C"/>
    <w:rsid w:val="00571ACE"/>
    <w:rsid w:val="005721F8"/>
    <w:rsid w:val="005738C6"/>
    <w:rsid w:val="0057419A"/>
    <w:rsid w:val="0057496B"/>
    <w:rsid w:val="00575B3C"/>
    <w:rsid w:val="00575CE1"/>
    <w:rsid w:val="0057625B"/>
    <w:rsid w:val="00580281"/>
    <w:rsid w:val="005836C7"/>
    <w:rsid w:val="00585772"/>
    <w:rsid w:val="0058624D"/>
    <w:rsid w:val="00590822"/>
    <w:rsid w:val="00590A89"/>
    <w:rsid w:val="0059129C"/>
    <w:rsid w:val="00591720"/>
    <w:rsid w:val="00592171"/>
    <w:rsid w:val="00592BE8"/>
    <w:rsid w:val="005946CB"/>
    <w:rsid w:val="00595F9A"/>
    <w:rsid w:val="00597DB5"/>
    <w:rsid w:val="005A2356"/>
    <w:rsid w:val="005A3EAA"/>
    <w:rsid w:val="005A6577"/>
    <w:rsid w:val="005B3E86"/>
    <w:rsid w:val="005B523E"/>
    <w:rsid w:val="005B58B6"/>
    <w:rsid w:val="005B68C1"/>
    <w:rsid w:val="005B6F55"/>
    <w:rsid w:val="005B7112"/>
    <w:rsid w:val="005B717C"/>
    <w:rsid w:val="005C01D0"/>
    <w:rsid w:val="005C1718"/>
    <w:rsid w:val="005C1AA8"/>
    <w:rsid w:val="005C4CBD"/>
    <w:rsid w:val="005C6AE1"/>
    <w:rsid w:val="005D0068"/>
    <w:rsid w:val="005D1828"/>
    <w:rsid w:val="005D296E"/>
    <w:rsid w:val="005D3342"/>
    <w:rsid w:val="005D46EB"/>
    <w:rsid w:val="005D5580"/>
    <w:rsid w:val="005D5CF6"/>
    <w:rsid w:val="005D6CF5"/>
    <w:rsid w:val="005D74FA"/>
    <w:rsid w:val="005E0D7D"/>
    <w:rsid w:val="005E2423"/>
    <w:rsid w:val="005E24CE"/>
    <w:rsid w:val="005E2934"/>
    <w:rsid w:val="005E3292"/>
    <w:rsid w:val="005E465A"/>
    <w:rsid w:val="005E532F"/>
    <w:rsid w:val="005E7208"/>
    <w:rsid w:val="005F2337"/>
    <w:rsid w:val="005F360F"/>
    <w:rsid w:val="005F3DFB"/>
    <w:rsid w:val="005F45D8"/>
    <w:rsid w:val="005F5DA5"/>
    <w:rsid w:val="005F6F0E"/>
    <w:rsid w:val="0060079B"/>
    <w:rsid w:val="0060098C"/>
    <w:rsid w:val="00603447"/>
    <w:rsid w:val="00603A11"/>
    <w:rsid w:val="00603BE0"/>
    <w:rsid w:val="006046EB"/>
    <w:rsid w:val="00604ADA"/>
    <w:rsid w:val="00605FA2"/>
    <w:rsid w:val="006071E3"/>
    <w:rsid w:val="00607C4E"/>
    <w:rsid w:val="006105B1"/>
    <w:rsid w:val="00610BA5"/>
    <w:rsid w:val="006111D6"/>
    <w:rsid w:val="00613049"/>
    <w:rsid w:val="00613138"/>
    <w:rsid w:val="00613AF9"/>
    <w:rsid w:val="006145DE"/>
    <w:rsid w:val="00614F70"/>
    <w:rsid w:val="00616B71"/>
    <w:rsid w:val="0061732F"/>
    <w:rsid w:val="0062101C"/>
    <w:rsid w:val="006220B3"/>
    <w:rsid w:val="0062257E"/>
    <w:rsid w:val="00622871"/>
    <w:rsid w:val="00622A69"/>
    <w:rsid w:val="006234FE"/>
    <w:rsid w:val="0062505C"/>
    <w:rsid w:val="00625BC2"/>
    <w:rsid w:val="0062624C"/>
    <w:rsid w:val="00626469"/>
    <w:rsid w:val="00627E34"/>
    <w:rsid w:val="006302F5"/>
    <w:rsid w:val="006309AA"/>
    <w:rsid w:val="00631091"/>
    <w:rsid w:val="006324E5"/>
    <w:rsid w:val="00633473"/>
    <w:rsid w:val="00633CE7"/>
    <w:rsid w:val="00636C28"/>
    <w:rsid w:val="006379BD"/>
    <w:rsid w:val="0064115C"/>
    <w:rsid w:val="00642019"/>
    <w:rsid w:val="006420C3"/>
    <w:rsid w:val="0064366F"/>
    <w:rsid w:val="0064403B"/>
    <w:rsid w:val="0064407B"/>
    <w:rsid w:val="00646877"/>
    <w:rsid w:val="006500EC"/>
    <w:rsid w:val="0065155A"/>
    <w:rsid w:val="00652071"/>
    <w:rsid w:val="00653551"/>
    <w:rsid w:val="0065563B"/>
    <w:rsid w:val="00657776"/>
    <w:rsid w:val="00663262"/>
    <w:rsid w:val="00663BC3"/>
    <w:rsid w:val="00664136"/>
    <w:rsid w:val="00664BE3"/>
    <w:rsid w:val="00665471"/>
    <w:rsid w:val="0066588C"/>
    <w:rsid w:val="00665994"/>
    <w:rsid w:val="00666EA5"/>
    <w:rsid w:val="006722C6"/>
    <w:rsid w:val="00673664"/>
    <w:rsid w:val="00674EF5"/>
    <w:rsid w:val="00677A70"/>
    <w:rsid w:val="00677BE0"/>
    <w:rsid w:val="006809F3"/>
    <w:rsid w:val="0068373E"/>
    <w:rsid w:val="00685D19"/>
    <w:rsid w:val="00691E84"/>
    <w:rsid w:val="00692D7F"/>
    <w:rsid w:val="006934FC"/>
    <w:rsid w:val="00694769"/>
    <w:rsid w:val="00694FCC"/>
    <w:rsid w:val="00695455"/>
    <w:rsid w:val="006965B0"/>
    <w:rsid w:val="00696673"/>
    <w:rsid w:val="006A0AE2"/>
    <w:rsid w:val="006A0F44"/>
    <w:rsid w:val="006A1F38"/>
    <w:rsid w:val="006A2F10"/>
    <w:rsid w:val="006A451D"/>
    <w:rsid w:val="006A77D0"/>
    <w:rsid w:val="006B1CCD"/>
    <w:rsid w:val="006B2BA4"/>
    <w:rsid w:val="006B2BB2"/>
    <w:rsid w:val="006B386F"/>
    <w:rsid w:val="006B391E"/>
    <w:rsid w:val="006B3ADB"/>
    <w:rsid w:val="006B3AF2"/>
    <w:rsid w:val="006B458E"/>
    <w:rsid w:val="006B4C9F"/>
    <w:rsid w:val="006B53F6"/>
    <w:rsid w:val="006B5E61"/>
    <w:rsid w:val="006B6E08"/>
    <w:rsid w:val="006B71FA"/>
    <w:rsid w:val="006C0081"/>
    <w:rsid w:val="006C18B9"/>
    <w:rsid w:val="006C1E86"/>
    <w:rsid w:val="006C2DBA"/>
    <w:rsid w:val="006C2FAF"/>
    <w:rsid w:val="006C5822"/>
    <w:rsid w:val="006C756C"/>
    <w:rsid w:val="006C7B08"/>
    <w:rsid w:val="006D34AC"/>
    <w:rsid w:val="006D41FE"/>
    <w:rsid w:val="006D484C"/>
    <w:rsid w:val="006D49E7"/>
    <w:rsid w:val="006D5A1A"/>
    <w:rsid w:val="006E0035"/>
    <w:rsid w:val="006E0B6D"/>
    <w:rsid w:val="006E115F"/>
    <w:rsid w:val="006E1E04"/>
    <w:rsid w:val="006E219B"/>
    <w:rsid w:val="006E4B87"/>
    <w:rsid w:val="006E5333"/>
    <w:rsid w:val="006E62D9"/>
    <w:rsid w:val="006E6C7B"/>
    <w:rsid w:val="006E721C"/>
    <w:rsid w:val="006F32E9"/>
    <w:rsid w:val="006F5B85"/>
    <w:rsid w:val="006F6999"/>
    <w:rsid w:val="006F6CC4"/>
    <w:rsid w:val="00700198"/>
    <w:rsid w:val="007008F4"/>
    <w:rsid w:val="00701F2D"/>
    <w:rsid w:val="007026D5"/>
    <w:rsid w:val="00702AE0"/>
    <w:rsid w:val="007035A9"/>
    <w:rsid w:val="00704B7E"/>
    <w:rsid w:val="00706164"/>
    <w:rsid w:val="00713B4E"/>
    <w:rsid w:val="00713E72"/>
    <w:rsid w:val="0071469D"/>
    <w:rsid w:val="007149A8"/>
    <w:rsid w:val="00715241"/>
    <w:rsid w:val="007174DA"/>
    <w:rsid w:val="00717B65"/>
    <w:rsid w:val="00721217"/>
    <w:rsid w:val="00721AC2"/>
    <w:rsid w:val="00722216"/>
    <w:rsid w:val="00722683"/>
    <w:rsid w:val="0072287E"/>
    <w:rsid w:val="00724624"/>
    <w:rsid w:val="00725ED2"/>
    <w:rsid w:val="00727029"/>
    <w:rsid w:val="00727BA0"/>
    <w:rsid w:val="007300D0"/>
    <w:rsid w:val="00730914"/>
    <w:rsid w:val="00730976"/>
    <w:rsid w:val="007310EC"/>
    <w:rsid w:val="00731C6F"/>
    <w:rsid w:val="0073305C"/>
    <w:rsid w:val="00733847"/>
    <w:rsid w:val="00733EE1"/>
    <w:rsid w:val="007341A3"/>
    <w:rsid w:val="007375B7"/>
    <w:rsid w:val="00737FEE"/>
    <w:rsid w:val="00741F06"/>
    <w:rsid w:val="00745067"/>
    <w:rsid w:val="007466CB"/>
    <w:rsid w:val="007477BC"/>
    <w:rsid w:val="007507D3"/>
    <w:rsid w:val="00750FC5"/>
    <w:rsid w:val="0075218A"/>
    <w:rsid w:val="007522BC"/>
    <w:rsid w:val="00753201"/>
    <w:rsid w:val="007535ED"/>
    <w:rsid w:val="00753861"/>
    <w:rsid w:val="00753BB0"/>
    <w:rsid w:val="0075406E"/>
    <w:rsid w:val="00756702"/>
    <w:rsid w:val="00756E0F"/>
    <w:rsid w:val="00756F92"/>
    <w:rsid w:val="00761B4A"/>
    <w:rsid w:val="00764774"/>
    <w:rsid w:val="00766503"/>
    <w:rsid w:val="00766823"/>
    <w:rsid w:val="00770454"/>
    <w:rsid w:val="007710F7"/>
    <w:rsid w:val="0077136B"/>
    <w:rsid w:val="007717EF"/>
    <w:rsid w:val="007763CB"/>
    <w:rsid w:val="007804A7"/>
    <w:rsid w:val="00781598"/>
    <w:rsid w:val="0078176A"/>
    <w:rsid w:val="0078269D"/>
    <w:rsid w:val="00782ADC"/>
    <w:rsid w:val="007831A2"/>
    <w:rsid w:val="0078399C"/>
    <w:rsid w:val="00783B0A"/>
    <w:rsid w:val="00787978"/>
    <w:rsid w:val="00790422"/>
    <w:rsid w:val="00790660"/>
    <w:rsid w:val="007908F6"/>
    <w:rsid w:val="007912DA"/>
    <w:rsid w:val="007954D9"/>
    <w:rsid w:val="007961DA"/>
    <w:rsid w:val="00797233"/>
    <w:rsid w:val="00797A80"/>
    <w:rsid w:val="007A0B2C"/>
    <w:rsid w:val="007A1346"/>
    <w:rsid w:val="007A36AD"/>
    <w:rsid w:val="007A3A65"/>
    <w:rsid w:val="007A4672"/>
    <w:rsid w:val="007A7443"/>
    <w:rsid w:val="007A7952"/>
    <w:rsid w:val="007A7CBB"/>
    <w:rsid w:val="007B0BDB"/>
    <w:rsid w:val="007B0F13"/>
    <w:rsid w:val="007B2B1D"/>
    <w:rsid w:val="007B33DF"/>
    <w:rsid w:val="007B5843"/>
    <w:rsid w:val="007B7F5B"/>
    <w:rsid w:val="007C02D1"/>
    <w:rsid w:val="007C10E1"/>
    <w:rsid w:val="007C1632"/>
    <w:rsid w:val="007C2999"/>
    <w:rsid w:val="007C2CBE"/>
    <w:rsid w:val="007C579F"/>
    <w:rsid w:val="007C606B"/>
    <w:rsid w:val="007C6612"/>
    <w:rsid w:val="007C6B79"/>
    <w:rsid w:val="007C6BDE"/>
    <w:rsid w:val="007D0678"/>
    <w:rsid w:val="007D1C2C"/>
    <w:rsid w:val="007D43B8"/>
    <w:rsid w:val="007D4507"/>
    <w:rsid w:val="007D4DF0"/>
    <w:rsid w:val="007D510E"/>
    <w:rsid w:val="007D53D2"/>
    <w:rsid w:val="007D7A04"/>
    <w:rsid w:val="007D7EF4"/>
    <w:rsid w:val="007E0BC3"/>
    <w:rsid w:val="007E30CC"/>
    <w:rsid w:val="007E3563"/>
    <w:rsid w:val="007E3DC6"/>
    <w:rsid w:val="007E4024"/>
    <w:rsid w:val="007E52D3"/>
    <w:rsid w:val="007E55A2"/>
    <w:rsid w:val="007F0D48"/>
    <w:rsid w:val="007F47BF"/>
    <w:rsid w:val="007F4FCA"/>
    <w:rsid w:val="007F5435"/>
    <w:rsid w:val="007F5890"/>
    <w:rsid w:val="007F6EF2"/>
    <w:rsid w:val="007F7CE1"/>
    <w:rsid w:val="00800E25"/>
    <w:rsid w:val="00801634"/>
    <w:rsid w:val="0080172F"/>
    <w:rsid w:val="008034E2"/>
    <w:rsid w:val="00803B00"/>
    <w:rsid w:val="0080537B"/>
    <w:rsid w:val="008059FC"/>
    <w:rsid w:val="00805BF3"/>
    <w:rsid w:val="00806697"/>
    <w:rsid w:val="00807262"/>
    <w:rsid w:val="00814824"/>
    <w:rsid w:val="008161DF"/>
    <w:rsid w:val="00816A22"/>
    <w:rsid w:val="00820AB7"/>
    <w:rsid w:val="008219CF"/>
    <w:rsid w:val="00823176"/>
    <w:rsid w:val="008273E5"/>
    <w:rsid w:val="00827D55"/>
    <w:rsid w:val="008303E9"/>
    <w:rsid w:val="00831277"/>
    <w:rsid w:val="00834062"/>
    <w:rsid w:val="00834405"/>
    <w:rsid w:val="00835431"/>
    <w:rsid w:val="00835EA4"/>
    <w:rsid w:val="00836601"/>
    <w:rsid w:val="00836F2E"/>
    <w:rsid w:val="00837104"/>
    <w:rsid w:val="0084064A"/>
    <w:rsid w:val="00840CFC"/>
    <w:rsid w:val="00840E8F"/>
    <w:rsid w:val="0084100F"/>
    <w:rsid w:val="008421AA"/>
    <w:rsid w:val="00842BA8"/>
    <w:rsid w:val="00843C81"/>
    <w:rsid w:val="00845AE3"/>
    <w:rsid w:val="00851963"/>
    <w:rsid w:val="008548FF"/>
    <w:rsid w:val="00855D24"/>
    <w:rsid w:val="00856913"/>
    <w:rsid w:val="00861612"/>
    <w:rsid w:val="00862A41"/>
    <w:rsid w:val="00863368"/>
    <w:rsid w:val="008656E8"/>
    <w:rsid w:val="00865846"/>
    <w:rsid w:val="00866F1B"/>
    <w:rsid w:val="00867387"/>
    <w:rsid w:val="0087414A"/>
    <w:rsid w:val="00874818"/>
    <w:rsid w:val="00875638"/>
    <w:rsid w:val="00875FE6"/>
    <w:rsid w:val="00876C4C"/>
    <w:rsid w:val="00877842"/>
    <w:rsid w:val="00877A06"/>
    <w:rsid w:val="008807EF"/>
    <w:rsid w:val="00883D84"/>
    <w:rsid w:val="00884060"/>
    <w:rsid w:val="00886EEB"/>
    <w:rsid w:val="008870E0"/>
    <w:rsid w:val="00890919"/>
    <w:rsid w:val="00890D93"/>
    <w:rsid w:val="00893500"/>
    <w:rsid w:val="0089382B"/>
    <w:rsid w:val="00893D35"/>
    <w:rsid w:val="00894295"/>
    <w:rsid w:val="00894748"/>
    <w:rsid w:val="00895E97"/>
    <w:rsid w:val="008960FE"/>
    <w:rsid w:val="00897CD2"/>
    <w:rsid w:val="008A2E7C"/>
    <w:rsid w:val="008A308E"/>
    <w:rsid w:val="008A3BBB"/>
    <w:rsid w:val="008A4C3A"/>
    <w:rsid w:val="008A56FD"/>
    <w:rsid w:val="008A6A18"/>
    <w:rsid w:val="008B0110"/>
    <w:rsid w:val="008B3037"/>
    <w:rsid w:val="008B55AE"/>
    <w:rsid w:val="008B5690"/>
    <w:rsid w:val="008B618F"/>
    <w:rsid w:val="008B62F1"/>
    <w:rsid w:val="008B6D48"/>
    <w:rsid w:val="008C1945"/>
    <w:rsid w:val="008C1CBE"/>
    <w:rsid w:val="008C3F2A"/>
    <w:rsid w:val="008C47CA"/>
    <w:rsid w:val="008C5AC4"/>
    <w:rsid w:val="008C69E0"/>
    <w:rsid w:val="008D22F0"/>
    <w:rsid w:val="008D44C5"/>
    <w:rsid w:val="008D5828"/>
    <w:rsid w:val="008D6C8C"/>
    <w:rsid w:val="008D6E33"/>
    <w:rsid w:val="008D766B"/>
    <w:rsid w:val="008D7E85"/>
    <w:rsid w:val="008E0519"/>
    <w:rsid w:val="008E0AE6"/>
    <w:rsid w:val="008E19FF"/>
    <w:rsid w:val="008E40EE"/>
    <w:rsid w:val="008E4A55"/>
    <w:rsid w:val="008E53FF"/>
    <w:rsid w:val="008E76B7"/>
    <w:rsid w:val="008F0B1E"/>
    <w:rsid w:val="008F0E4F"/>
    <w:rsid w:val="008F11D3"/>
    <w:rsid w:val="008F2225"/>
    <w:rsid w:val="008F249D"/>
    <w:rsid w:val="008F3653"/>
    <w:rsid w:val="008F4B86"/>
    <w:rsid w:val="008F4D7F"/>
    <w:rsid w:val="008F5169"/>
    <w:rsid w:val="008F54F8"/>
    <w:rsid w:val="008F5DC2"/>
    <w:rsid w:val="009011AA"/>
    <w:rsid w:val="00901A62"/>
    <w:rsid w:val="00901D32"/>
    <w:rsid w:val="00903A31"/>
    <w:rsid w:val="00905CFC"/>
    <w:rsid w:val="00906CC3"/>
    <w:rsid w:val="00910D7F"/>
    <w:rsid w:val="00910FA9"/>
    <w:rsid w:val="00911CD2"/>
    <w:rsid w:val="009126F3"/>
    <w:rsid w:val="00917D56"/>
    <w:rsid w:val="00921DE3"/>
    <w:rsid w:val="00924EAB"/>
    <w:rsid w:val="009265B4"/>
    <w:rsid w:val="00926B6D"/>
    <w:rsid w:val="00930D8F"/>
    <w:rsid w:val="00931C9D"/>
    <w:rsid w:val="00933A00"/>
    <w:rsid w:val="00933BFD"/>
    <w:rsid w:val="0093488D"/>
    <w:rsid w:val="009361CB"/>
    <w:rsid w:val="00937DD4"/>
    <w:rsid w:val="00941691"/>
    <w:rsid w:val="00942AED"/>
    <w:rsid w:val="00944E25"/>
    <w:rsid w:val="009466B8"/>
    <w:rsid w:val="00946F9C"/>
    <w:rsid w:val="0095148B"/>
    <w:rsid w:val="00951C0D"/>
    <w:rsid w:val="0095216D"/>
    <w:rsid w:val="00952F06"/>
    <w:rsid w:val="00953F15"/>
    <w:rsid w:val="00953F49"/>
    <w:rsid w:val="00955AA2"/>
    <w:rsid w:val="009563D4"/>
    <w:rsid w:val="009642AB"/>
    <w:rsid w:val="0096515E"/>
    <w:rsid w:val="0096521F"/>
    <w:rsid w:val="00966D6C"/>
    <w:rsid w:val="00967AD1"/>
    <w:rsid w:val="00970C4A"/>
    <w:rsid w:val="00970CDC"/>
    <w:rsid w:val="009719BF"/>
    <w:rsid w:val="00974DE3"/>
    <w:rsid w:val="00976E34"/>
    <w:rsid w:val="00977C6F"/>
    <w:rsid w:val="009805D8"/>
    <w:rsid w:val="009808AB"/>
    <w:rsid w:val="00982262"/>
    <w:rsid w:val="00982782"/>
    <w:rsid w:val="00982BCB"/>
    <w:rsid w:val="00982EF4"/>
    <w:rsid w:val="009854E3"/>
    <w:rsid w:val="0098600E"/>
    <w:rsid w:val="00987ABB"/>
    <w:rsid w:val="0099061B"/>
    <w:rsid w:val="00993006"/>
    <w:rsid w:val="00993F03"/>
    <w:rsid w:val="0099435F"/>
    <w:rsid w:val="009949A1"/>
    <w:rsid w:val="009953E1"/>
    <w:rsid w:val="0099622E"/>
    <w:rsid w:val="00996BC5"/>
    <w:rsid w:val="00996BCC"/>
    <w:rsid w:val="009A6D34"/>
    <w:rsid w:val="009A7A53"/>
    <w:rsid w:val="009B39A5"/>
    <w:rsid w:val="009B4564"/>
    <w:rsid w:val="009B4816"/>
    <w:rsid w:val="009B51D9"/>
    <w:rsid w:val="009B6E67"/>
    <w:rsid w:val="009C1BA8"/>
    <w:rsid w:val="009C2D0D"/>
    <w:rsid w:val="009C2D85"/>
    <w:rsid w:val="009C3492"/>
    <w:rsid w:val="009C3E37"/>
    <w:rsid w:val="009C5AA4"/>
    <w:rsid w:val="009C62B4"/>
    <w:rsid w:val="009C66D0"/>
    <w:rsid w:val="009C681A"/>
    <w:rsid w:val="009D00CD"/>
    <w:rsid w:val="009D02D4"/>
    <w:rsid w:val="009D183F"/>
    <w:rsid w:val="009D2622"/>
    <w:rsid w:val="009D3EBB"/>
    <w:rsid w:val="009D5802"/>
    <w:rsid w:val="009D588D"/>
    <w:rsid w:val="009D5A5C"/>
    <w:rsid w:val="009D60E3"/>
    <w:rsid w:val="009D64DD"/>
    <w:rsid w:val="009D6A04"/>
    <w:rsid w:val="009D7631"/>
    <w:rsid w:val="009E0D67"/>
    <w:rsid w:val="009E0E4E"/>
    <w:rsid w:val="009E15DA"/>
    <w:rsid w:val="009E1ED4"/>
    <w:rsid w:val="009E1F4F"/>
    <w:rsid w:val="009E425B"/>
    <w:rsid w:val="009E4985"/>
    <w:rsid w:val="009E4E6E"/>
    <w:rsid w:val="009E5802"/>
    <w:rsid w:val="009E74FB"/>
    <w:rsid w:val="009F056D"/>
    <w:rsid w:val="009F16C5"/>
    <w:rsid w:val="009F1C75"/>
    <w:rsid w:val="009F2F06"/>
    <w:rsid w:val="009F3647"/>
    <w:rsid w:val="009F3E11"/>
    <w:rsid w:val="009F3E84"/>
    <w:rsid w:val="009F400D"/>
    <w:rsid w:val="009F40DD"/>
    <w:rsid w:val="009F4A1D"/>
    <w:rsid w:val="009F64FF"/>
    <w:rsid w:val="009F6AF8"/>
    <w:rsid w:val="009F6E78"/>
    <w:rsid w:val="009F742C"/>
    <w:rsid w:val="009F7C7E"/>
    <w:rsid w:val="009F7FF8"/>
    <w:rsid w:val="00A01148"/>
    <w:rsid w:val="00A0146D"/>
    <w:rsid w:val="00A01E04"/>
    <w:rsid w:val="00A04FA4"/>
    <w:rsid w:val="00A073F5"/>
    <w:rsid w:val="00A12D70"/>
    <w:rsid w:val="00A13219"/>
    <w:rsid w:val="00A167C9"/>
    <w:rsid w:val="00A16F64"/>
    <w:rsid w:val="00A22656"/>
    <w:rsid w:val="00A23B48"/>
    <w:rsid w:val="00A26D55"/>
    <w:rsid w:val="00A27548"/>
    <w:rsid w:val="00A30A15"/>
    <w:rsid w:val="00A319C5"/>
    <w:rsid w:val="00A31B48"/>
    <w:rsid w:val="00A31DC5"/>
    <w:rsid w:val="00A34F30"/>
    <w:rsid w:val="00A354F7"/>
    <w:rsid w:val="00A354FF"/>
    <w:rsid w:val="00A35836"/>
    <w:rsid w:val="00A35ECD"/>
    <w:rsid w:val="00A368AD"/>
    <w:rsid w:val="00A40303"/>
    <w:rsid w:val="00A405CD"/>
    <w:rsid w:val="00A40C81"/>
    <w:rsid w:val="00A412B6"/>
    <w:rsid w:val="00A41B2C"/>
    <w:rsid w:val="00A436CD"/>
    <w:rsid w:val="00A43C6B"/>
    <w:rsid w:val="00A43E25"/>
    <w:rsid w:val="00A44D7F"/>
    <w:rsid w:val="00A46BD0"/>
    <w:rsid w:val="00A475D9"/>
    <w:rsid w:val="00A47E35"/>
    <w:rsid w:val="00A501E2"/>
    <w:rsid w:val="00A5047A"/>
    <w:rsid w:val="00A5180B"/>
    <w:rsid w:val="00A51B6D"/>
    <w:rsid w:val="00A54B17"/>
    <w:rsid w:val="00A55E36"/>
    <w:rsid w:val="00A57600"/>
    <w:rsid w:val="00A6027B"/>
    <w:rsid w:val="00A602E5"/>
    <w:rsid w:val="00A61BB9"/>
    <w:rsid w:val="00A62212"/>
    <w:rsid w:val="00A638A3"/>
    <w:rsid w:val="00A6457C"/>
    <w:rsid w:val="00A64EBA"/>
    <w:rsid w:val="00A65BB7"/>
    <w:rsid w:val="00A67C72"/>
    <w:rsid w:val="00A704F9"/>
    <w:rsid w:val="00A71867"/>
    <w:rsid w:val="00A72761"/>
    <w:rsid w:val="00A72E1D"/>
    <w:rsid w:val="00A73D18"/>
    <w:rsid w:val="00A758CB"/>
    <w:rsid w:val="00A76BB4"/>
    <w:rsid w:val="00A76BF1"/>
    <w:rsid w:val="00A77719"/>
    <w:rsid w:val="00A83D6D"/>
    <w:rsid w:val="00A87292"/>
    <w:rsid w:val="00A8757B"/>
    <w:rsid w:val="00A91503"/>
    <w:rsid w:val="00A92044"/>
    <w:rsid w:val="00A95689"/>
    <w:rsid w:val="00A96D8A"/>
    <w:rsid w:val="00A9727D"/>
    <w:rsid w:val="00AA11B3"/>
    <w:rsid w:val="00AA16B9"/>
    <w:rsid w:val="00AA47DC"/>
    <w:rsid w:val="00AA6B00"/>
    <w:rsid w:val="00AB0FE3"/>
    <w:rsid w:val="00AB3C78"/>
    <w:rsid w:val="00AB614F"/>
    <w:rsid w:val="00AB624E"/>
    <w:rsid w:val="00AB6E9A"/>
    <w:rsid w:val="00AC0AF9"/>
    <w:rsid w:val="00AC2C09"/>
    <w:rsid w:val="00AC3CAA"/>
    <w:rsid w:val="00AC5812"/>
    <w:rsid w:val="00AC6532"/>
    <w:rsid w:val="00AC698C"/>
    <w:rsid w:val="00AC6B6F"/>
    <w:rsid w:val="00AD042E"/>
    <w:rsid w:val="00AD368E"/>
    <w:rsid w:val="00AD3BE5"/>
    <w:rsid w:val="00AD42FB"/>
    <w:rsid w:val="00AD7BBB"/>
    <w:rsid w:val="00AD7CF3"/>
    <w:rsid w:val="00AE11FC"/>
    <w:rsid w:val="00AE1BBA"/>
    <w:rsid w:val="00AE430F"/>
    <w:rsid w:val="00AE4B5B"/>
    <w:rsid w:val="00AE524B"/>
    <w:rsid w:val="00AE544A"/>
    <w:rsid w:val="00AE6354"/>
    <w:rsid w:val="00AF15AF"/>
    <w:rsid w:val="00AF1E3D"/>
    <w:rsid w:val="00AF2411"/>
    <w:rsid w:val="00AF39CD"/>
    <w:rsid w:val="00AF6EB4"/>
    <w:rsid w:val="00AF7E85"/>
    <w:rsid w:val="00B00BE7"/>
    <w:rsid w:val="00B01141"/>
    <w:rsid w:val="00B01AA8"/>
    <w:rsid w:val="00B02864"/>
    <w:rsid w:val="00B02E33"/>
    <w:rsid w:val="00B02FD3"/>
    <w:rsid w:val="00B04CF2"/>
    <w:rsid w:val="00B0761C"/>
    <w:rsid w:val="00B077AB"/>
    <w:rsid w:val="00B07B62"/>
    <w:rsid w:val="00B1032B"/>
    <w:rsid w:val="00B11AF0"/>
    <w:rsid w:val="00B140D5"/>
    <w:rsid w:val="00B15585"/>
    <w:rsid w:val="00B16C16"/>
    <w:rsid w:val="00B214A1"/>
    <w:rsid w:val="00B21BE3"/>
    <w:rsid w:val="00B22D5C"/>
    <w:rsid w:val="00B244E4"/>
    <w:rsid w:val="00B263F0"/>
    <w:rsid w:val="00B2716E"/>
    <w:rsid w:val="00B326E7"/>
    <w:rsid w:val="00B32703"/>
    <w:rsid w:val="00B33D96"/>
    <w:rsid w:val="00B361A6"/>
    <w:rsid w:val="00B3623A"/>
    <w:rsid w:val="00B370CA"/>
    <w:rsid w:val="00B40674"/>
    <w:rsid w:val="00B40E2B"/>
    <w:rsid w:val="00B41879"/>
    <w:rsid w:val="00B431E1"/>
    <w:rsid w:val="00B43520"/>
    <w:rsid w:val="00B47500"/>
    <w:rsid w:val="00B50B7D"/>
    <w:rsid w:val="00B52F28"/>
    <w:rsid w:val="00B54313"/>
    <w:rsid w:val="00B56655"/>
    <w:rsid w:val="00B573C3"/>
    <w:rsid w:val="00B6016A"/>
    <w:rsid w:val="00B60B5F"/>
    <w:rsid w:val="00B62FA6"/>
    <w:rsid w:val="00B6496F"/>
    <w:rsid w:val="00B663FE"/>
    <w:rsid w:val="00B6762A"/>
    <w:rsid w:val="00B677C1"/>
    <w:rsid w:val="00B72777"/>
    <w:rsid w:val="00B736ED"/>
    <w:rsid w:val="00B74D2C"/>
    <w:rsid w:val="00B8064D"/>
    <w:rsid w:val="00B80F06"/>
    <w:rsid w:val="00B80F41"/>
    <w:rsid w:val="00B81CBA"/>
    <w:rsid w:val="00B827C6"/>
    <w:rsid w:val="00B845E7"/>
    <w:rsid w:val="00B8481F"/>
    <w:rsid w:val="00B85412"/>
    <w:rsid w:val="00B8572F"/>
    <w:rsid w:val="00B86388"/>
    <w:rsid w:val="00B90221"/>
    <w:rsid w:val="00B91FCF"/>
    <w:rsid w:val="00B92541"/>
    <w:rsid w:val="00B93F09"/>
    <w:rsid w:val="00B95427"/>
    <w:rsid w:val="00BA0900"/>
    <w:rsid w:val="00BA40BE"/>
    <w:rsid w:val="00BA421F"/>
    <w:rsid w:val="00BA446E"/>
    <w:rsid w:val="00BA639B"/>
    <w:rsid w:val="00BA732A"/>
    <w:rsid w:val="00BB1390"/>
    <w:rsid w:val="00BB4AC6"/>
    <w:rsid w:val="00BB55FA"/>
    <w:rsid w:val="00BB58CD"/>
    <w:rsid w:val="00BB6844"/>
    <w:rsid w:val="00BB6E7F"/>
    <w:rsid w:val="00BB7BC2"/>
    <w:rsid w:val="00BB7F48"/>
    <w:rsid w:val="00BC0C63"/>
    <w:rsid w:val="00BC1239"/>
    <w:rsid w:val="00BC43E2"/>
    <w:rsid w:val="00BC738E"/>
    <w:rsid w:val="00BD0576"/>
    <w:rsid w:val="00BD0E3C"/>
    <w:rsid w:val="00BD20DD"/>
    <w:rsid w:val="00BD73C8"/>
    <w:rsid w:val="00BE0B22"/>
    <w:rsid w:val="00BE155E"/>
    <w:rsid w:val="00BE2BF7"/>
    <w:rsid w:val="00BE3FBB"/>
    <w:rsid w:val="00BE50D0"/>
    <w:rsid w:val="00BE557F"/>
    <w:rsid w:val="00BE56EF"/>
    <w:rsid w:val="00BE5DC3"/>
    <w:rsid w:val="00BF16FE"/>
    <w:rsid w:val="00BF352A"/>
    <w:rsid w:val="00BF3DED"/>
    <w:rsid w:val="00BF648A"/>
    <w:rsid w:val="00C012F5"/>
    <w:rsid w:val="00C03790"/>
    <w:rsid w:val="00C051CC"/>
    <w:rsid w:val="00C0673F"/>
    <w:rsid w:val="00C068BC"/>
    <w:rsid w:val="00C069F0"/>
    <w:rsid w:val="00C10AE3"/>
    <w:rsid w:val="00C12C7A"/>
    <w:rsid w:val="00C139E3"/>
    <w:rsid w:val="00C145D9"/>
    <w:rsid w:val="00C154B9"/>
    <w:rsid w:val="00C17081"/>
    <w:rsid w:val="00C20A85"/>
    <w:rsid w:val="00C233ED"/>
    <w:rsid w:val="00C2364F"/>
    <w:rsid w:val="00C23669"/>
    <w:rsid w:val="00C24AF9"/>
    <w:rsid w:val="00C24E2F"/>
    <w:rsid w:val="00C2508A"/>
    <w:rsid w:val="00C26EB6"/>
    <w:rsid w:val="00C27FD4"/>
    <w:rsid w:val="00C34617"/>
    <w:rsid w:val="00C365E2"/>
    <w:rsid w:val="00C36C0E"/>
    <w:rsid w:val="00C409B4"/>
    <w:rsid w:val="00C40DF0"/>
    <w:rsid w:val="00C41EC0"/>
    <w:rsid w:val="00C4274B"/>
    <w:rsid w:val="00C42CF9"/>
    <w:rsid w:val="00C43793"/>
    <w:rsid w:val="00C47CA3"/>
    <w:rsid w:val="00C508C6"/>
    <w:rsid w:val="00C50A16"/>
    <w:rsid w:val="00C52E7D"/>
    <w:rsid w:val="00C55264"/>
    <w:rsid w:val="00C55701"/>
    <w:rsid w:val="00C57AF9"/>
    <w:rsid w:val="00C57D20"/>
    <w:rsid w:val="00C618FF"/>
    <w:rsid w:val="00C619D7"/>
    <w:rsid w:val="00C61EFE"/>
    <w:rsid w:val="00C622FF"/>
    <w:rsid w:val="00C63920"/>
    <w:rsid w:val="00C63CB8"/>
    <w:rsid w:val="00C65031"/>
    <w:rsid w:val="00C656D7"/>
    <w:rsid w:val="00C6695C"/>
    <w:rsid w:val="00C6760E"/>
    <w:rsid w:val="00C72421"/>
    <w:rsid w:val="00C74A01"/>
    <w:rsid w:val="00C80289"/>
    <w:rsid w:val="00C82DC8"/>
    <w:rsid w:val="00C851FB"/>
    <w:rsid w:val="00C87A7B"/>
    <w:rsid w:val="00C90762"/>
    <w:rsid w:val="00C912C4"/>
    <w:rsid w:val="00C917B4"/>
    <w:rsid w:val="00C92444"/>
    <w:rsid w:val="00C93269"/>
    <w:rsid w:val="00C93761"/>
    <w:rsid w:val="00C939BE"/>
    <w:rsid w:val="00C94212"/>
    <w:rsid w:val="00C96097"/>
    <w:rsid w:val="00C9728A"/>
    <w:rsid w:val="00C978A0"/>
    <w:rsid w:val="00C97946"/>
    <w:rsid w:val="00CA09CF"/>
    <w:rsid w:val="00CA0A64"/>
    <w:rsid w:val="00CA0B3C"/>
    <w:rsid w:val="00CA215D"/>
    <w:rsid w:val="00CA29D4"/>
    <w:rsid w:val="00CA3F48"/>
    <w:rsid w:val="00CA4F91"/>
    <w:rsid w:val="00CA6E54"/>
    <w:rsid w:val="00CA7ABB"/>
    <w:rsid w:val="00CA7E4E"/>
    <w:rsid w:val="00CB57E5"/>
    <w:rsid w:val="00CB596A"/>
    <w:rsid w:val="00CB7EE8"/>
    <w:rsid w:val="00CC0BDA"/>
    <w:rsid w:val="00CC0C0E"/>
    <w:rsid w:val="00CC1276"/>
    <w:rsid w:val="00CC15EE"/>
    <w:rsid w:val="00CC3387"/>
    <w:rsid w:val="00CC60A1"/>
    <w:rsid w:val="00CC6879"/>
    <w:rsid w:val="00CC6F6E"/>
    <w:rsid w:val="00CC6FDC"/>
    <w:rsid w:val="00CD032B"/>
    <w:rsid w:val="00CD1659"/>
    <w:rsid w:val="00CD16C7"/>
    <w:rsid w:val="00CD1D10"/>
    <w:rsid w:val="00CD4EFC"/>
    <w:rsid w:val="00CD58C9"/>
    <w:rsid w:val="00CD7713"/>
    <w:rsid w:val="00CE02D6"/>
    <w:rsid w:val="00CE1C58"/>
    <w:rsid w:val="00CE2A36"/>
    <w:rsid w:val="00CE34EE"/>
    <w:rsid w:val="00CE432C"/>
    <w:rsid w:val="00CE5003"/>
    <w:rsid w:val="00CE56FB"/>
    <w:rsid w:val="00CE5E81"/>
    <w:rsid w:val="00CE6DBB"/>
    <w:rsid w:val="00CE7FC3"/>
    <w:rsid w:val="00CF1075"/>
    <w:rsid w:val="00CF226E"/>
    <w:rsid w:val="00CF2B6D"/>
    <w:rsid w:val="00CF3C45"/>
    <w:rsid w:val="00CF4B84"/>
    <w:rsid w:val="00CF6D6D"/>
    <w:rsid w:val="00CF71EB"/>
    <w:rsid w:val="00D016C8"/>
    <w:rsid w:val="00D045E9"/>
    <w:rsid w:val="00D04AA0"/>
    <w:rsid w:val="00D0520C"/>
    <w:rsid w:val="00D05B60"/>
    <w:rsid w:val="00D07091"/>
    <w:rsid w:val="00D10365"/>
    <w:rsid w:val="00D11916"/>
    <w:rsid w:val="00D13B37"/>
    <w:rsid w:val="00D14555"/>
    <w:rsid w:val="00D176DD"/>
    <w:rsid w:val="00D17DCC"/>
    <w:rsid w:val="00D20392"/>
    <w:rsid w:val="00D20996"/>
    <w:rsid w:val="00D223BB"/>
    <w:rsid w:val="00D24440"/>
    <w:rsid w:val="00D26BFE"/>
    <w:rsid w:val="00D27917"/>
    <w:rsid w:val="00D31359"/>
    <w:rsid w:val="00D31BF6"/>
    <w:rsid w:val="00D32EF0"/>
    <w:rsid w:val="00D33394"/>
    <w:rsid w:val="00D34665"/>
    <w:rsid w:val="00D35E52"/>
    <w:rsid w:val="00D36FA6"/>
    <w:rsid w:val="00D37819"/>
    <w:rsid w:val="00D41E9A"/>
    <w:rsid w:val="00D41F32"/>
    <w:rsid w:val="00D4349E"/>
    <w:rsid w:val="00D439F1"/>
    <w:rsid w:val="00D43F24"/>
    <w:rsid w:val="00D4584A"/>
    <w:rsid w:val="00D46514"/>
    <w:rsid w:val="00D472A9"/>
    <w:rsid w:val="00D50F53"/>
    <w:rsid w:val="00D53F31"/>
    <w:rsid w:val="00D540AD"/>
    <w:rsid w:val="00D5584D"/>
    <w:rsid w:val="00D6011F"/>
    <w:rsid w:val="00D62269"/>
    <w:rsid w:val="00D62EDC"/>
    <w:rsid w:val="00D6332E"/>
    <w:rsid w:val="00D6370D"/>
    <w:rsid w:val="00D63D44"/>
    <w:rsid w:val="00D6456F"/>
    <w:rsid w:val="00D649B8"/>
    <w:rsid w:val="00D673F1"/>
    <w:rsid w:val="00D8116F"/>
    <w:rsid w:val="00D820AE"/>
    <w:rsid w:val="00D8279C"/>
    <w:rsid w:val="00D85E7A"/>
    <w:rsid w:val="00D906E1"/>
    <w:rsid w:val="00D931A4"/>
    <w:rsid w:val="00D93987"/>
    <w:rsid w:val="00D94F3D"/>
    <w:rsid w:val="00D96D21"/>
    <w:rsid w:val="00D9762E"/>
    <w:rsid w:val="00D976DC"/>
    <w:rsid w:val="00DA0774"/>
    <w:rsid w:val="00DA0E0A"/>
    <w:rsid w:val="00DA183B"/>
    <w:rsid w:val="00DA244B"/>
    <w:rsid w:val="00DA57EC"/>
    <w:rsid w:val="00DA6482"/>
    <w:rsid w:val="00DA778B"/>
    <w:rsid w:val="00DA7850"/>
    <w:rsid w:val="00DA7F88"/>
    <w:rsid w:val="00DB01EB"/>
    <w:rsid w:val="00DB40B5"/>
    <w:rsid w:val="00DB4948"/>
    <w:rsid w:val="00DB4A54"/>
    <w:rsid w:val="00DB52E7"/>
    <w:rsid w:val="00DB631F"/>
    <w:rsid w:val="00DC0318"/>
    <w:rsid w:val="00DC22D3"/>
    <w:rsid w:val="00DC2BA4"/>
    <w:rsid w:val="00DC4564"/>
    <w:rsid w:val="00DC5B6A"/>
    <w:rsid w:val="00DC68B7"/>
    <w:rsid w:val="00DD0F38"/>
    <w:rsid w:val="00DD157A"/>
    <w:rsid w:val="00DD1FE0"/>
    <w:rsid w:val="00DD295B"/>
    <w:rsid w:val="00DD3D7F"/>
    <w:rsid w:val="00DD59C5"/>
    <w:rsid w:val="00DD63FA"/>
    <w:rsid w:val="00DD7BED"/>
    <w:rsid w:val="00DE0269"/>
    <w:rsid w:val="00DE2B4E"/>
    <w:rsid w:val="00DE575E"/>
    <w:rsid w:val="00DF1AAF"/>
    <w:rsid w:val="00DF1DE2"/>
    <w:rsid w:val="00DF3479"/>
    <w:rsid w:val="00DF4375"/>
    <w:rsid w:val="00DF5D3D"/>
    <w:rsid w:val="00DF714C"/>
    <w:rsid w:val="00DF7C22"/>
    <w:rsid w:val="00E012C5"/>
    <w:rsid w:val="00E0168F"/>
    <w:rsid w:val="00E023A9"/>
    <w:rsid w:val="00E02A6E"/>
    <w:rsid w:val="00E03C63"/>
    <w:rsid w:val="00E04E9F"/>
    <w:rsid w:val="00E06B35"/>
    <w:rsid w:val="00E07A80"/>
    <w:rsid w:val="00E07BA0"/>
    <w:rsid w:val="00E07D1B"/>
    <w:rsid w:val="00E102E1"/>
    <w:rsid w:val="00E13CB7"/>
    <w:rsid w:val="00E13EC4"/>
    <w:rsid w:val="00E218E2"/>
    <w:rsid w:val="00E23FEE"/>
    <w:rsid w:val="00E3342C"/>
    <w:rsid w:val="00E35BA4"/>
    <w:rsid w:val="00E35BA8"/>
    <w:rsid w:val="00E36C96"/>
    <w:rsid w:val="00E37212"/>
    <w:rsid w:val="00E37CBF"/>
    <w:rsid w:val="00E402B0"/>
    <w:rsid w:val="00E43C16"/>
    <w:rsid w:val="00E466AA"/>
    <w:rsid w:val="00E50DFF"/>
    <w:rsid w:val="00E51EFA"/>
    <w:rsid w:val="00E53BCE"/>
    <w:rsid w:val="00E542A6"/>
    <w:rsid w:val="00E548A7"/>
    <w:rsid w:val="00E569FB"/>
    <w:rsid w:val="00E57E49"/>
    <w:rsid w:val="00E605C6"/>
    <w:rsid w:val="00E6160B"/>
    <w:rsid w:val="00E61C50"/>
    <w:rsid w:val="00E61D3C"/>
    <w:rsid w:val="00E62B62"/>
    <w:rsid w:val="00E6531D"/>
    <w:rsid w:val="00E65543"/>
    <w:rsid w:val="00E65D4A"/>
    <w:rsid w:val="00E66FE7"/>
    <w:rsid w:val="00E7237D"/>
    <w:rsid w:val="00E726E3"/>
    <w:rsid w:val="00E735A3"/>
    <w:rsid w:val="00E73945"/>
    <w:rsid w:val="00E75A0A"/>
    <w:rsid w:val="00E76972"/>
    <w:rsid w:val="00E815B7"/>
    <w:rsid w:val="00E8278B"/>
    <w:rsid w:val="00E84A9E"/>
    <w:rsid w:val="00E86D7F"/>
    <w:rsid w:val="00E90824"/>
    <w:rsid w:val="00E9249A"/>
    <w:rsid w:val="00E92F00"/>
    <w:rsid w:val="00E939E3"/>
    <w:rsid w:val="00E940A5"/>
    <w:rsid w:val="00E94F72"/>
    <w:rsid w:val="00E968D3"/>
    <w:rsid w:val="00EA1D17"/>
    <w:rsid w:val="00EA2D25"/>
    <w:rsid w:val="00EA3366"/>
    <w:rsid w:val="00EA50D7"/>
    <w:rsid w:val="00EA56BF"/>
    <w:rsid w:val="00EA61FD"/>
    <w:rsid w:val="00EA6277"/>
    <w:rsid w:val="00EB59EF"/>
    <w:rsid w:val="00EB5F21"/>
    <w:rsid w:val="00EB775A"/>
    <w:rsid w:val="00EB7ADB"/>
    <w:rsid w:val="00EB7F16"/>
    <w:rsid w:val="00EC023C"/>
    <w:rsid w:val="00EC0544"/>
    <w:rsid w:val="00EC3533"/>
    <w:rsid w:val="00EC4AF9"/>
    <w:rsid w:val="00EC4CA1"/>
    <w:rsid w:val="00EC5CAA"/>
    <w:rsid w:val="00EC7098"/>
    <w:rsid w:val="00ED5F56"/>
    <w:rsid w:val="00ED7387"/>
    <w:rsid w:val="00EE0C3C"/>
    <w:rsid w:val="00EE3F84"/>
    <w:rsid w:val="00EE402D"/>
    <w:rsid w:val="00EE7449"/>
    <w:rsid w:val="00EE7938"/>
    <w:rsid w:val="00EF0102"/>
    <w:rsid w:val="00EF181F"/>
    <w:rsid w:val="00EF2120"/>
    <w:rsid w:val="00EF2F33"/>
    <w:rsid w:val="00EF3969"/>
    <w:rsid w:val="00EF47E4"/>
    <w:rsid w:val="00EF4B3B"/>
    <w:rsid w:val="00EF4B3D"/>
    <w:rsid w:val="00EF596C"/>
    <w:rsid w:val="00EF627D"/>
    <w:rsid w:val="00EF7036"/>
    <w:rsid w:val="00F03B5E"/>
    <w:rsid w:val="00F070D0"/>
    <w:rsid w:val="00F07750"/>
    <w:rsid w:val="00F12859"/>
    <w:rsid w:val="00F1338D"/>
    <w:rsid w:val="00F15DB8"/>
    <w:rsid w:val="00F206A4"/>
    <w:rsid w:val="00F214F7"/>
    <w:rsid w:val="00F22551"/>
    <w:rsid w:val="00F238E4"/>
    <w:rsid w:val="00F2541A"/>
    <w:rsid w:val="00F2596B"/>
    <w:rsid w:val="00F2614A"/>
    <w:rsid w:val="00F26720"/>
    <w:rsid w:val="00F32B7B"/>
    <w:rsid w:val="00F3310B"/>
    <w:rsid w:val="00F335A1"/>
    <w:rsid w:val="00F3461D"/>
    <w:rsid w:val="00F3521F"/>
    <w:rsid w:val="00F363F3"/>
    <w:rsid w:val="00F377E9"/>
    <w:rsid w:val="00F40246"/>
    <w:rsid w:val="00F41636"/>
    <w:rsid w:val="00F4393F"/>
    <w:rsid w:val="00F4692B"/>
    <w:rsid w:val="00F46A3A"/>
    <w:rsid w:val="00F46DF8"/>
    <w:rsid w:val="00F51442"/>
    <w:rsid w:val="00F52749"/>
    <w:rsid w:val="00F5375D"/>
    <w:rsid w:val="00F54AAD"/>
    <w:rsid w:val="00F555E2"/>
    <w:rsid w:val="00F57BC5"/>
    <w:rsid w:val="00F60163"/>
    <w:rsid w:val="00F6404E"/>
    <w:rsid w:val="00F644B3"/>
    <w:rsid w:val="00F64A2E"/>
    <w:rsid w:val="00F64D34"/>
    <w:rsid w:val="00F65DAA"/>
    <w:rsid w:val="00F664B4"/>
    <w:rsid w:val="00F6758A"/>
    <w:rsid w:val="00F715C3"/>
    <w:rsid w:val="00F718BD"/>
    <w:rsid w:val="00F7476B"/>
    <w:rsid w:val="00F77F85"/>
    <w:rsid w:val="00F80507"/>
    <w:rsid w:val="00F82D7C"/>
    <w:rsid w:val="00F83332"/>
    <w:rsid w:val="00F838CC"/>
    <w:rsid w:val="00F83CD3"/>
    <w:rsid w:val="00F842D9"/>
    <w:rsid w:val="00F8432D"/>
    <w:rsid w:val="00F85BC9"/>
    <w:rsid w:val="00F85F61"/>
    <w:rsid w:val="00F867E8"/>
    <w:rsid w:val="00F86DCD"/>
    <w:rsid w:val="00F90C04"/>
    <w:rsid w:val="00F9398A"/>
    <w:rsid w:val="00F9508A"/>
    <w:rsid w:val="00F95487"/>
    <w:rsid w:val="00F95DEF"/>
    <w:rsid w:val="00F96BBC"/>
    <w:rsid w:val="00F97919"/>
    <w:rsid w:val="00FA04A6"/>
    <w:rsid w:val="00FA1553"/>
    <w:rsid w:val="00FA2413"/>
    <w:rsid w:val="00FA2A3A"/>
    <w:rsid w:val="00FA2EA2"/>
    <w:rsid w:val="00FA405A"/>
    <w:rsid w:val="00FA4DB0"/>
    <w:rsid w:val="00FA5561"/>
    <w:rsid w:val="00FA5CA9"/>
    <w:rsid w:val="00FA7FCE"/>
    <w:rsid w:val="00FB0CEC"/>
    <w:rsid w:val="00FB12CC"/>
    <w:rsid w:val="00FB2FE8"/>
    <w:rsid w:val="00FB3B08"/>
    <w:rsid w:val="00FB45FB"/>
    <w:rsid w:val="00FB523F"/>
    <w:rsid w:val="00FC09A1"/>
    <w:rsid w:val="00FC1781"/>
    <w:rsid w:val="00FC244F"/>
    <w:rsid w:val="00FC4D34"/>
    <w:rsid w:val="00FC5022"/>
    <w:rsid w:val="00FC53EC"/>
    <w:rsid w:val="00FC71C3"/>
    <w:rsid w:val="00FD062F"/>
    <w:rsid w:val="00FD0960"/>
    <w:rsid w:val="00FD0ECE"/>
    <w:rsid w:val="00FD3685"/>
    <w:rsid w:val="00FD443D"/>
    <w:rsid w:val="00FD79DA"/>
    <w:rsid w:val="00FE2ADC"/>
    <w:rsid w:val="00FE313C"/>
    <w:rsid w:val="00FE38CD"/>
    <w:rsid w:val="00FE3E0E"/>
    <w:rsid w:val="00FE4B32"/>
    <w:rsid w:val="00FE4FE7"/>
    <w:rsid w:val="00FE5997"/>
    <w:rsid w:val="00FE5DC5"/>
    <w:rsid w:val="00FE6EF1"/>
    <w:rsid w:val="00FE76A6"/>
    <w:rsid w:val="00FF0950"/>
    <w:rsid w:val="00FF16E2"/>
    <w:rsid w:val="00FF2BFF"/>
    <w:rsid w:val="00FF38F0"/>
    <w:rsid w:val="00FF47B9"/>
    <w:rsid w:val="00FF4E62"/>
    <w:rsid w:val="00FF5484"/>
    <w:rsid w:val="00FF6BDD"/>
    <w:rsid w:val="00FF70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01F2D"/>
    <w:rPr>
      <w:sz w:val="24"/>
      <w:szCs w:val="24"/>
      <w:lang w:val="en-GB" w:eastAsia="de-DE"/>
    </w:rPr>
  </w:style>
  <w:style w:type="paragraph" w:styleId="Heading1">
    <w:name w:val="heading 1"/>
    <w:basedOn w:val="Normal"/>
    <w:next w:val="Normal"/>
    <w:link w:val="Heading1Char"/>
    <w:uiPriority w:val="9"/>
    <w:qFormat/>
    <w:rsid w:val="004C4EE9"/>
    <w:pPr>
      <w:keepNext/>
      <w:outlineLvl w:val="0"/>
    </w:pPr>
    <w:rPr>
      <w:b/>
      <w:sz w:val="28"/>
      <w:szCs w:val="20"/>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eastAsia="es-ES"/>
    </w:rPr>
  </w:style>
  <w:style w:type="paragraph" w:customStyle="1" w:styleId="AuthorAdress">
    <w:name w:val="AuthorAdress"/>
    <w:basedOn w:val="Normal"/>
    <w:next w:val="Affiliations"/>
    <w:rsid w:val="00155FB8"/>
    <w:pPr>
      <w:spacing w:after="120" w:line="320" w:lineRule="atLeast"/>
      <w:jc w:val="center"/>
    </w:pPr>
    <w:rPr>
      <w:i/>
      <w:lang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E61D3C"/>
    <w:rPr>
      <w:sz w:val="24"/>
      <w:szCs w:val="24"/>
      <w:lang w:val="de-DE" w:eastAsia="de-DE"/>
    </w:rPr>
  </w:style>
  <w:style w:type="paragraph" w:styleId="TOC5">
    <w:name w:val="toc 5"/>
    <w:basedOn w:val="Normal"/>
    <w:uiPriority w:val="1"/>
    <w:qFormat/>
    <w:rsid w:val="00A13219"/>
    <w:pPr>
      <w:widowControl w:val="0"/>
      <w:autoSpaceDE w:val="0"/>
      <w:autoSpaceDN w:val="0"/>
      <w:spacing w:before="573" w:after="240"/>
      <w:ind w:left="2946" w:right="2805"/>
      <w:jc w:val="center"/>
    </w:pPr>
    <w:rPr>
      <w:lang w:val="en-US" w:eastAsia="en-US"/>
    </w:rPr>
  </w:style>
  <w:style w:type="paragraph" w:styleId="BodyText">
    <w:name w:val="Body Text"/>
    <w:basedOn w:val="Normal"/>
    <w:link w:val="BodyTextChar"/>
    <w:uiPriority w:val="1"/>
    <w:qFormat/>
    <w:rsid w:val="00A13219"/>
    <w:pPr>
      <w:widowControl w:val="0"/>
      <w:autoSpaceDE w:val="0"/>
      <w:autoSpaceDN w:val="0"/>
    </w:pPr>
    <w:rPr>
      <w:lang w:val="en-US" w:eastAsia="en-US"/>
    </w:rPr>
  </w:style>
  <w:style w:type="character" w:customStyle="1" w:styleId="BodyTextChar">
    <w:name w:val="Body Text Char"/>
    <w:basedOn w:val="DefaultParagraphFont"/>
    <w:link w:val="BodyText"/>
    <w:uiPriority w:val="1"/>
    <w:rsid w:val="00A13219"/>
    <w:rPr>
      <w:sz w:val="24"/>
      <w:szCs w:val="24"/>
      <w:lang w:val="en-US" w:eastAsia="en-US"/>
    </w:rPr>
  </w:style>
  <w:style w:type="character" w:customStyle="1" w:styleId="Heading1Char">
    <w:name w:val="Heading 1 Char"/>
    <w:basedOn w:val="DefaultParagraphFont"/>
    <w:link w:val="Heading1"/>
    <w:uiPriority w:val="9"/>
    <w:rsid w:val="007D7A04"/>
    <w:rPr>
      <w:b/>
      <w:sz w:val="28"/>
      <w:lang w:val="en-GB" w:eastAsia="de-DE"/>
    </w:rPr>
  </w:style>
  <w:style w:type="paragraph" w:styleId="Bibliography">
    <w:name w:val="Bibliography"/>
    <w:basedOn w:val="Normal"/>
    <w:next w:val="Normal"/>
    <w:uiPriority w:val="37"/>
    <w:unhideWhenUsed/>
    <w:rsid w:val="007D7A04"/>
  </w:style>
  <w:style w:type="paragraph" w:styleId="Header">
    <w:name w:val="header"/>
    <w:basedOn w:val="Normal"/>
    <w:link w:val="HeaderChar"/>
    <w:uiPriority w:val="99"/>
    <w:unhideWhenUsed/>
    <w:rsid w:val="00342DE8"/>
    <w:pPr>
      <w:tabs>
        <w:tab w:val="center" w:pos="4419"/>
        <w:tab w:val="right" w:pos="8838"/>
      </w:tabs>
    </w:pPr>
  </w:style>
  <w:style w:type="character" w:customStyle="1" w:styleId="HeaderChar">
    <w:name w:val="Header Char"/>
    <w:basedOn w:val="DefaultParagraphFont"/>
    <w:link w:val="Header"/>
    <w:uiPriority w:val="99"/>
    <w:rsid w:val="00342DE8"/>
    <w:rPr>
      <w:sz w:val="24"/>
      <w:szCs w:val="24"/>
      <w:lang w:val="en-GB" w:eastAsia="de-DE"/>
    </w:rPr>
  </w:style>
  <w:style w:type="paragraph" w:styleId="Footer">
    <w:name w:val="footer"/>
    <w:basedOn w:val="Normal"/>
    <w:link w:val="FooterChar"/>
    <w:uiPriority w:val="99"/>
    <w:unhideWhenUsed/>
    <w:rsid w:val="00342DE8"/>
    <w:pPr>
      <w:tabs>
        <w:tab w:val="center" w:pos="4419"/>
        <w:tab w:val="right" w:pos="8838"/>
      </w:tabs>
    </w:pPr>
  </w:style>
  <w:style w:type="character" w:customStyle="1" w:styleId="FooterChar">
    <w:name w:val="Footer Char"/>
    <w:basedOn w:val="DefaultParagraphFont"/>
    <w:link w:val="Footer"/>
    <w:uiPriority w:val="99"/>
    <w:rsid w:val="00342DE8"/>
    <w:rPr>
      <w:sz w:val="24"/>
      <w:szCs w:val="24"/>
      <w:lang w:val="en-GB" w:eastAsia="de-DE"/>
    </w:rPr>
  </w:style>
  <w:style w:type="paragraph" w:styleId="Caption">
    <w:name w:val="caption"/>
    <w:basedOn w:val="Normal"/>
    <w:next w:val="Normal"/>
    <w:uiPriority w:val="35"/>
    <w:unhideWhenUsed/>
    <w:qFormat/>
    <w:rsid w:val="001D758A"/>
    <w:pPr>
      <w:spacing w:after="200"/>
    </w:pPr>
    <w:rPr>
      <w:i/>
      <w:iCs/>
      <w:color w:val="1F497D" w:themeColor="text2"/>
      <w:sz w:val="18"/>
      <w:szCs w:val="18"/>
    </w:rPr>
  </w:style>
  <w:style w:type="character" w:styleId="UnresolvedMention">
    <w:name w:val="Unresolved Mention"/>
    <w:basedOn w:val="DefaultParagraphFont"/>
    <w:uiPriority w:val="99"/>
    <w:semiHidden/>
    <w:unhideWhenUsed/>
    <w:rsid w:val="00460A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1692">
      <w:bodyDiv w:val="1"/>
      <w:marLeft w:val="0"/>
      <w:marRight w:val="0"/>
      <w:marTop w:val="0"/>
      <w:marBottom w:val="0"/>
      <w:divBdr>
        <w:top w:val="none" w:sz="0" w:space="0" w:color="auto"/>
        <w:left w:val="none" w:sz="0" w:space="0" w:color="auto"/>
        <w:bottom w:val="none" w:sz="0" w:space="0" w:color="auto"/>
        <w:right w:val="none" w:sz="0" w:space="0" w:color="auto"/>
      </w:divBdr>
    </w:div>
    <w:div w:id="184711814">
      <w:bodyDiv w:val="1"/>
      <w:marLeft w:val="0"/>
      <w:marRight w:val="0"/>
      <w:marTop w:val="0"/>
      <w:marBottom w:val="0"/>
      <w:divBdr>
        <w:top w:val="none" w:sz="0" w:space="0" w:color="auto"/>
        <w:left w:val="none" w:sz="0" w:space="0" w:color="auto"/>
        <w:bottom w:val="none" w:sz="0" w:space="0" w:color="auto"/>
        <w:right w:val="none" w:sz="0" w:space="0" w:color="auto"/>
      </w:divBdr>
    </w:div>
    <w:div w:id="203834955">
      <w:bodyDiv w:val="1"/>
      <w:marLeft w:val="0"/>
      <w:marRight w:val="0"/>
      <w:marTop w:val="0"/>
      <w:marBottom w:val="0"/>
      <w:divBdr>
        <w:top w:val="none" w:sz="0" w:space="0" w:color="auto"/>
        <w:left w:val="none" w:sz="0" w:space="0" w:color="auto"/>
        <w:bottom w:val="none" w:sz="0" w:space="0" w:color="auto"/>
        <w:right w:val="none" w:sz="0" w:space="0" w:color="auto"/>
      </w:divBdr>
    </w:div>
    <w:div w:id="215093689">
      <w:bodyDiv w:val="1"/>
      <w:marLeft w:val="0"/>
      <w:marRight w:val="0"/>
      <w:marTop w:val="0"/>
      <w:marBottom w:val="0"/>
      <w:divBdr>
        <w:top w:val="none" w:sz="0" w:space="0" w:color="auto"/>
        <w:left w:val="none" w:sz="0" w:space="0" w:color="auto"/>
        <w:bottom w:val="none" w:sz="0" w:space="0" w:color="auto"/>
        <w:right w:val="none" w:sz="0" w:space="0" w:color="auto"/>
      </w:divBdr>
    </w:div>
    <w:div w:id="222645857">
      <w:bodyDiv w:val="1"/>
      <w:marLeft w:val="0"/>
      <w:marRight w:val="0"/>
      <w:marTop w:val="0"/>
      <w:marBottom w:val="0"/>
      <w:divBdr>
        <w:top w:val="none" w:sz="0" w:space="0" w:color="auto"/>
        <w:left w:val="none" w:sz="0" w:space="0" w:color="auto"/>
        <w:bottom w:val="none" w:sz="0" w:space="0" w:color="auto"/>
        <w:right w:val="none" w:sz="0" w:space="0" w:color="auto"/>
      </w:divBdr>
    </w:div>
    <w:div w:id="225452545">
      <w:bodyDiv w:val="1"/>
      <w:marLeft w:val="0"/>
      <w:marRight w:val="0"/>
      <w:marTop w:val="0"/>
      <w:marBottom w:val="0"/>
      <w:divBdr>
        <w:top w:val="none" w:sz="0" w:space="0" w:color="auto"/>
        <w:left w:val="none" w:sz="0" w:space="0" w:color="auto"/>
        <w:bottom w:val="none" w:sz="0" w:space="0" w:color="auto"/>
        <w:right w:val="none" w:sz="0" w:space="0" w:color="auto"/>
      </w:divBdr>
    </w:div>
    <w:div w:id="262957626">
      <w:bodyDiv w:val="1"/>
      <w:marLeft w:val="0"/>
      <w:marRight w:val="0"/>
      <w:marTop w:val="0"/>
      <w:marBottom w:val="0"/>
      <w:divBdr>
        <w:top w:val="none" w:sz="0" w:space="0" w:color="auto"/>
        <w:left w:val="none" w:sz="0" w:space="0" w:color="auto"/>
        <w:bottom w:val="none" w:sz="0" w:space="0" w:color="auto"/>
        <w:right w:val="none" w:sz="0" w:space="0" w:color="auto"/>
      </w:divBdr>
    </w:div>
    <w:div w:id="294408000">
      <w:bodyDiv w:val="1"/>
      <w:marLeft w:val="0"/>
      <w:marRight w:val="0"/>
      <w:marTop w:val="0"/>
      <w:marBottom w:val="0"/>
      <w:divBdr>
        <w:top w:val="none" w:sz="0" w:space="0" w:color="auto"/>
        <w:left w:val="none" w:sz="0" w:space="0" w:color="auto"/>
        <w:bottom w:val="none" w:sz="0" w:space="0" w:color="auto"/>
        <w:right w:val="none" w:sz="0" w:space="0" w:color="auto"/>
      </w:divBdr>
    </w:div>
    <w:div w:id="302127846">
      <w:bodyDiv w:val="1"/>
      <w:marLeft w:val="0"/>
      <w:marRight w:val="0"/>
      <w:marTop w:val="0"/>
      <w:marBottom w:val="0"/>
      <w:divBdr>
        <w:top w:val="none" w:sz="0" w:space="0" w:color="auto"/>
        <w:left w:val="none" w:sz="0" w:space="0" w:color="auto"/>
        <w:bottom w:val="none" w:sz="0" w:space="0" w:color="auto"/>
        <w:right w:val="none" w:sz="0" w:space="0" w:color="auto"/>
      </w:divBdr>
    </w:div>
    <w:div w:id="323093844">
      <w:bodyDiv w:val="1"/>
      <w:marLeft w:val="0"/>
      <w:marRight w:val="0"/>
      <w:marTop w:val="0"/>
      <w:marBottom w:val="0"/>
      <w:divBdr>
        <w:top w:val="none" w:sz="0" w:space="0" w:color="auto"/>
        <w:left w:val="none" w:sz="0" w:space="0" w:color="auto"/>
        <w:bottom w:val="none" w:sz="0" w:space="0" w:color="auto"/>
        <w:right w:val="none" w:sz="0" w:space="0" w:color="auto"/>
      </w:divBdr>
    </w:div>
    <w:div w:id="345865986">
      <w:bodyDiv w:val="1"/>
      <w:marLeft w:val="0"/>
      <w:marRight w:val="0"/>
      <w:marTop w:val="0"/>
      <w:marBottom w:val="0"/>
      <w:divBdr>
        <w:top w:val="none" w:sz="0" w:space="0" w:color="auto"/>
        <w:left w:val="none" w:sz="0" w:space="0" w:color="auto"/>
        <w:bottom w:val="none" w:sz="0" w:space="0" w:color="auto"/>
        <w:right w:val="none" w:sz="0" w:space="0" w:color="auto"/>
      </w:divBdr>
    </w:div>
    <w:div w:id="346517245">
      <w:bodyDiv w:val="1"/>
      <w:marLeft w:val="0"/>
      <w:marRight w:val="0"/>
      <w:marTop w:val="0"/>
      <w:marBottom w:val="0"/>
      <w:divBdr>
        <w:top w:val="none" w:sz="0" w:space="0" w:color="auto"/>
        <w:left w:val="none" w:sz="0" w:space="0" w:color="auto"/>
        <w:bottom w:val="none" w:sz="0" w:space="0" w:color="auto"/>
        <w:right w:val="none" w:sz="0" w:space="0" w:color="auto"/>
      </w:divBdr>
    </w:div>
    <w:div w:id="358285711">
      <w:bodyDiv w:val="1"/>
      <w:marLeft w:val="0"/>
      <w:marRight w:val="0"/>
      <w:marTop w:val="0"/>
      <w:marBottom w:val="0"/>
      <w:divBdr>
        <w:top w:val="none" w:sz="0" w:space="0" w:color="auto"/>
        <w:left w:val="none" w:sz="0" w:space="0" w:color="auto"/>
        <w:bottom w:val="none" w:sz="0" w:space="0" w:color="auto"/>
        <w:right w:val="none" w:sz="0" w:space="0" w:color="auto"/>
      </w:divBdr>
    </w:div>
    <w:div w:id="370305448">
      <w:bodyDiv w:val="1"/>
      <w:marLeft w:val="0"/>
      <w:marRight w:val="0"/>
      <w:marTop w:val="0"/>
      <w:marBottom w:val="0"/>
      <w:divBdr>
        <w:top w:val="none" w:sz="0" w:space="0" w:color="auto"/>
        <w:left w:val="none" w:sz="0" w:space="0" w:color="auto"/>
        <w:bottom w:val="none" w:sz="0" w:space="0" w:color="auto"/>
        <w:right w:val="none" w:sz="0" w:space="0" w:color="auto"/>
      </w:divBdr>
    </w:div>
    <w:div w:id="373115243">
      <w:bodyDiv w:val="1"/>
      <w:marLeft w:val="0"/>
      <w:marRight w:val="0"/>
      <w:marTop w:val="0"/>
      <w:marBottom w:val="0"/>
      <w:divBdr>
        <w:top w:val="none" w:sz="0" w:space="0" w:color="auto"/>
        <w:left w:val="none" w:sz="0" w:space="0" w:color="auto"/>
        <w:bottom w:val="none" w:sz="0" w:space="0" w:color="auto"/>
        <w:right w:val="none" w:sz="0" w:space="0" w:color="auto"/>
      </w:divBdr>
    </w:div>
    <w:div w:id="435751287">
      <w:bodyDiv w:val="1"/>
      <w:marLeft w:val="0"/>
      <w:marRight w:val="0"/>
      <w:marTop w:val="0"/>
      <w:marBottom w:val="0"/>
      <w:divBdr>
        <w:top w:val="none" w:sz="0" w:space="0" w:color="auto"/>
        <w:left w:val="none" w:sz="0" w:space="0" w:color="auto"/>
        <w:bottom w:val="none" w:sz="0" w:space="0" w:color="auto"/>
        <w:right w:val="none" w:sz="0" w:space="0" w:color="auto"/>
      </w:divBdr>
    </w:div>
    <w:div w:id="442386267">
      <w:bodyDiv w:val="1"/>
      <w:marLeft w:val="0"/>
      <w:marRight w:val="0"/>
      <w:marTop w:val="0"/>
      <w:marBottom w:val="0"/>
      <w:divBdr>
        <w:top w:val="none" w:sz="0" w:space="0" w:color="auto"/>
        <w:left w:val="none" w:sz="0" w:space="0" w:color="auto"/>
        <w:bottom w:val="none" w:sz="0" w:space="0" w:color="auto"/>
        <w:right w:val="none" w:sz="0" w:space="0" w:color="auto"/>
      </w:divBdr>
    </w:div>
    <w:div w:id="455878239">
      <w:bodyDiv w:val="1"/>
      <w:marLeft w:val="0"/>
      <w:marRight w:val="0"/>
      <w:marTop w:val="0"/>
      <w:marBottom w:val="0"/>
      <w:divBdr>
        <w:top w:val="none" w:sz="0" w:space="0" w:color="auto"/>
        <w:left w:val="none" w:sz="0" w:space="0" w:color="auto"/>
        <w:bottom w:val="none" w:sz="0" w:space="0" w:color="auto"/>
        <w:right w:val="none" w:sz="0" w:space="0" w:color="auto"/>
      </w:divBdr>
    </w:div>
    <w:div w:id="481971268">
      <w:bodyDiv w:val="1"/>
      <w:marLeft w:val="0"/>
      <w:marRight w:val="0"/>
      <w:marTop w:val="0"/>
      <w:marBottom w:val="0"/>
      <w:divBdr>
        <w:top w:val="none" w:sz="0" w:space="0" w:color="auto"/>
        <w:left w:val="none" w:sz="0" w:space="0" w:color="auto"/>
        <w:bottom w:val="none" w:sz="0" w:space="0" w:color="auto"/>
        <w:right w:val="none" w:sz="0" w:space="0" w:color="auto"/>
      </w:divBdr>
    </w:div>
    <w:div w:id="493451470">
      <w:bodyDiv w:val="1"/>
      <w:marLeft w:val="0"/>
      <w:marRight w:val="0"/>
      <w:marTop w:val="0"/>
      <w:marBottom w:val="0"/>
      <w:divBdr>
        <w:top w:val="none" w:sz="0" w:space="0" w:color="auto"/>
        <w:left w:val="none" w:sz="0" w:space="0" w:color="auto"/>
        <w:bottom w:val="none" w:sz="0" w:space="0" w:color="auto"/>
        <w:right w:val="none" w:sz="0" w:space="0" w:color="auto"/>
      </w:divBdr>
    </w:div>
    <w:div w:id="497354023">
      <w:bodyDiv w:val="1"/>
      <w:marLeft w:val="0"/>
      <w:marRight w:val="0"/>
      <w:marTop w:val="0"/>
      <w:marBottom w:val="0"/>
      <w:divBdr>
        <w:top w:val="none" w:sz="0" w:space="0" w:color="auto"/>
        <w:left w:val="none" w:sz="0" w:space="0" w:color="auto"/>
        <w:bottom w:val="none" w:sz="0" w:space="0" w:color="auto"/>
        <w:right w:val="none" w:sz="0" w:space="0" w:color="auto"/>
      </w:divBdr>
    </w:div>
    <w:div w:id="524026530">
      <w:bodyDiv w:val="1"/>
      <w:marLeft w:val="0"/>
      <w:marRight w:val="0"/>
      <w:marTop w:val="0"/>
      <w:marBottom w:val="0"/>
      <w:divBdr>
        <w:top w:val="none" w:sz="0" w:space="0" w:color="auto"/>
        <w:left w:val="none" w:sz="0" w:space="0" w:color="auto"/>
        <w:bottom w:val="none" w:sz="0" w:space="0" w:color="auto"/>
        <w:right w:val="none" w:sz="0" w:space="0" w:color="auto"/>
      </w:divBdr>
    </w:div>
    <w:div w:id="527573425">
      <w:bodyDiv w:val="1"/>
      <w:marLeft w:val="0"/>
      <w:marRight w:val="0"/>
      <w:marTop w:val="0"/>
      <w:marBottom w:val="0"/>
      <w:divBdr>
        <w:top w:val="none" w:sz="0" w:space="0" w:color="auto"/>
        <w:left w:val="none" w:sz="0" w:space="0" w:color="auto"/>
        <w:bottom w:val="none" w:sz="0" w:space="0" w:color="auto"/>
        <w:right w:val="none" w:sz="0" w:space="0" w:color="auto"/>
      </w:divBdr>
    </w:div>
    <w:div w:id="600257109">
      <w:bodyDiv w:val="1"/>
      <w:marLeft w:val="0"/>
      <w:marRight w:val="0"/>
      <w:marTop w:val="0"/>
      <w:marBottom w:val="0"/>
      <w:divBdr>
        <w:top w:val="none" w:sz="0" w:space="0" w:color="auto"/>
        <w:left w:val="none" w:sz="0" w:space="0" w:color="auto"/>
        <w:bottom w:val="none" w:sz="0" w:space="0" w:color="auto"/>
        <w:right w:val="none" w:sz="0" w:space="0" w:color="auto"/>
      </w:divBdr>
    </w:div>
    <w:div w:id="606619179">
      <w:bodyDiv w:val="1"/>
      <w:marLeft w:val="0"/>
      <w:marRight w:val="0"/>
      <w:marTop w:val="0"/>
      <w:marBottom w:val="0"/>
      <w:divBdr>
        <w:top w:val="none" w:sz="0" w:space="0" w:color="auto"/>
        <w:left w:val="none" w:sz="0" w:space="0" w:color="auto"/>
        <w:bottom w:val="none" w:sz="0" w:space="0" w:color="auto"/>
        <w:right w:val="none" w:sz="0" w:space="0" w:color="auto"/>
      </w:divBdr>
    </w:div>
    <w:div w:id="653066833">
      <w:bodyDiv w:val="1"/>
      <w:marLeft w:val="0"/>
      <w:marRight w:val="0"/>
      <w:marTop w:val="0"/>
      <w:marBottom w:val="0"/>
      <w:divBdr>
        <w:top w:val="none" w:sz="0" w:space="0" w:color="auto"/>
        <w:left w:val="none" w:sz="0" w:space="0" w:color="auto"/>
        <w:bottom w:val="none" w:sz="0" w:space="0" w:color="auto"/>
        <w:right w:val="none" w:sz="0" w:space="0" w:color="auto"/>
      </w:divBdr>
    </w:div>
    <w:div w:id="670715844">
      <w:bodyDiv w:val="1"/>
      <w:marLeft w:val="0"/>
      <w:marRight w:val="0"/>
      <w:marTop w:val="0"/>
      <w:marBottom w:val="0"/>
      <w:divBdr>
        <w:top w:val="none" w:sz="0" w:space="0" w:color="auto"/>
        <w:left w:val="none" w:sz="0" w:space="0" w:color="auto"/>
        <w:bottom w:val="none" w:sz="0" w:space="0" w:color="auto"/>
        <w:right w:val="none" w:sz="0" w:space="0" w:color="auto"/>
      </w:divBdr>
    </w:div>
    <w:div w:id="737939459">
      <w:bodyDiv w:val="1"/>
      <w:marLeft w:val="0"/>
      <w:marRight w:val="0"/>
      <w:marTop w:val="0"/>
      <w:marBottom w:val="0"/>
      <w:divBdr>
        <w:top w:val="none" w:sz="0" w:space="0" w:color="auto"/>
        <w:left w:val="none" w:sz="0" w:space="0" w:color="auto"/>
        <w:bottom w:val="none" w:sz="0" w:space="0" w:color="auto"/>
        <w:right w:val="none" w:sz="0" w:space="0" w:color="auto"/>
      </w:divBdr>
    </w:div>
    <w:div w:id="742028595">
      <w:bodyDiv w:val="1"/>
      <w:marLeft w:val="0"/>
      <w:marRight w:val="0"/>
      <w:marTop w:val="0"/>
      <w:marBottom w:val="0"/>
      <w:divBdr>
        <w:top w:val="none" w:sz="0" w:space="0" w:color="auto"/>
        <w:left w:val="none" w:sz="0" w:space="0" w:color="auto"/>
        <w:bottom w:val="none" w:sz="0" w:space="0" w:color="auto"/>
        <w:right w:val="none" w:sz="0" w:space="0" w:color="auto"/>
      </w:divBdr>
    </w:div>
    <w:div w:id="743651116">
      <w:bodyDiv w:val="1"/>
      <w:marLeft w:val="0"/>
      <w:marRight w:val="0"/>
      <w:marTop w:val="0"/>
      <w:marBottom w:val="0"/>
      <w:divBdr>
        <w:top w:val="none" w:sz="0" w:space="0" w:color="auto"/>
        <w:left w:val="none" w:sz="0" w:space="0" w:color="auto"/>
        <w:bottom w:val="none" w:sz="0" w:space="0" w:color="auto"/>
        <w:right w:val="none" w:sz="0" w:space="0" w:color="auto"/>
      </w:divBdr>
    </w:div>
    <w:div w:id="744837241">
      <w:bodyDiv w:val="1"/>
      <w:marLeft w:val="0"/>
      <w:marRight w:val="0"/>
      <w:marTop w:val="0"/>
      <w:marBottom w:val="0"/>
      <w:divBdr>
        <w:top w:val="none" w:sz="0" w:space="0" w:color="auto"/>
        <w:left w:val="none" w:sz="0" w:space="0" w:color="auto"/>
        <w:bottom w:val="none" w:sz="0" w:space="0" w:color="auto"/>
        <w:right w:val="none" w:sz="0" w:space="0" w:color="auto"/>
      </w:divBdr>
    </w:div>
    <w:div w:id="821770591">
      <w:bodyDiv w:val="1"/>
      <w:marLeft w:val="0"/>
      <w:marRight w:val="0"/>
      <w:marTop w:val="0"/>
      <w:marBottom w:val="0"/>
      <w:divBdr>
        <w:top w:val="none" w:sz="0" w:space="0" w:color="auto"/>
        <w:left w:val="none" w:sz="0" w:space="0" w:color="auto"/>
        <w:bottom w:val="none" w:sz="0" w:space="0" w:color="auto"/>
        <w:right w:val="none" w:sz="0" w:space="0" w:color="auto"/>
      </w:divBdr>
    </w:div>
    <w:div w:id="870190254">
      <w:bodyDiv w:val="1"/>
      <w:marLeft w:val="0"/>
      <w:marRight w:val="0"/>
      <w:marTop w:val="0"/>
      <w:marBottom w:val="0"/>
      <w:divBdr>
        <w:top w:val="none" w:sz="0" w:space="0" w:color="auto"/>
        <w:left w:val="none" w:sz="0" w:space="0" w:color="auto"/>
        <w:bottom w:val="none" w:sz="0" w:space="0" w:color="auto"/>
        <w:right w:val="none" w:sz="0" w:space="0" w:color="auto"/>
      </w:divBdr>
    </w:div>
    <w:div w:id="886724673">
      <w:bodyDiv w:val="1"/>
      <w:marLeft w:val="0"/>
      <w:marRight w:val="0"/>
      <w:marTop w:val="0"/>
      <w:marBottom w:val="0"/>
      <w:divBdr>
        <w:top w:val="none" w:sz="0" w:space="0" w:color="auto"/>
        <w:left w:val="none" w:sz="0" w:space="0" w:color="auto"/>
        <w:bottom w:val="none" w:sz="0" w:space="0" w:color="auto"/>
        <w:right w:val="none" w:sz="0" w:space="0" w:color="auto"/>
      </w:divBdr>
    </w:div>
    <w:div w:id="909730162">
      <w:bodyDiv w:val="1"/>
      <w:marLeft w:val="0"/>
      <w:marRight w:val="0"/>
      <w:marTop w:val="0"/>
      <w:marBottom w:val="0"/>
      <w:divBdr>
        <w:top w:val="none" w:sz="0" w:space="0" w:color="auto"/>
        <w:left w:val="none" w:sz="0" w:space="0" w:color="auto"/>
        <w:bottom w:val="none" w:sz="0" w:space="0" w:color="auto"/>
        <w:right w:val="none" w:sz="0" w:space="0" w:color="auto"/>
      </w:divBdr>
    </w:div>
    <w:div w:id="938753630">
      <w:bodyDiv w:val="1"/>
      <w:marLeft w:val="0"/>
      <w:marRight w:val="0"/>
      <w:marTop w:val="0"/>
      <w:marBottom w:val="0"/>
      <w:divBdr>
        <w:top w:val="none" w:sz="0" w:space="0" w:color="auto"/>
        <w:left w:val="none" w:sz="0" w:space="0" w:color="auto"/>
        <w:bottom w:val="none" w:sz="0" w:space="0" w:color="auto"/>
        <w:right w:val="none" w:sz="0" w:space="0" w:color="auto"/>
      </w:divBdr>
    </w:div>
    <w:div w:id="989092150">
      <w:bodyDiv w:val="1"/>
      <w:marLeft w:val="0"/>
      <w:marRight w:val="0"/>
      <w:marTop w:val="0"/>
      <w:marBottom w:val="0"/>
      <w:divBdr>
        <w:top w:val="none" w:sz="0" w:space="0" w:color="auto"/>
        <w:left w:val="none" w:sz="0" w:space="0" w:color="auto"/>
        <w:bottom w:val="none" w:sz="0" w:space="0" w:color="auto"/>
        <w:right w:val="none" w:sz="0" w:space="0" w:color="auto"/>
      </w:divBdr>
    </w:div>
    <w:div w:id="1031034207">
      <w:bodyDiv w:val="1"/>
      <w:marLeft w:val="0"/>
      <w:marRight w:val="0"/>
      <w:marTop w:val="0"/>
      <w:marBottom w:val="0"/>
      <w:divBdr>
        <w:top w:val="none" w:sz="0" w:space="0" w:color="auto"/>
        <w:left w:val="none" w:sz="0" w:space="0" w:color="auto"/>
        <w:bottom w:val="none" w:sz="0" w:space="0" w:color="auto"/>
        <w:right w:val="none" w:sz="0" w:space="0" w:color="auto"/>
      </w:divBdr>
    </w:div>
    <w:div w:id="1033462872">
      <w:bodyDiv w:val="1"/>
      <w:marLeft w:val="0"/>
      <w:marRight w:val="0"/>
      <w:marTop w:val="0"/>
      <w:marBottom w:val="0"/>
      <w:divBdr>
        <w:top w:val="none" w:sz="0" w:space="0" w:color="auto"/>
        <w:left w:val="none" w:sz="0" w:space="0" w:color="auto"/>
        <w:bottom w:val="none" w:sz="0" w:space="0" w:color="auto"/>
        <w:right w:val="none" w:sz="0" w:space="0" w:color="auto"/>
      </w:divBdr>
    </w:div>
    <w:div w:id="1050812619">
      <w:bodyDiv w:val="1"/>
      <w:marLeft w:val="0"/>
      <w:marRight w:val="0"/>
      <w:marTop w:val="0"/>
      <w:marBottom w:val="0"/>
      <w:divBdr>
        <w:top w:val="none" w:sz="0" w:space="0" w:color="auto"/>
        <w:left w:val="none" w:sz="0" w:space="0" w:color="auto"/>
        <w:bottom w:val="none" w:sz="0" w:space="0" w:color="auto"/>
        <w:right w:val="none" w:sz="0" w:space="0" w:color="auto"/>
      </w:divBdr>
    </w:div>
    <w:div w:id="1081176225">
      <w:bodyDiv w:val="1"/>
      <w:marLeft w:val="0"/>
      <w:marRight w:val="0"/>
      <w:marTop w:val="0"/>
      <w:marBottom w:val="0"/>
      <w:divBdr>
        <w:top w:val="none" w:sz="0" w:space="0" w:color="auto"/>
        <w:left w:val="none" w:sz="0" w:space="0" w:color="auto"/>
        <w:bottom w:val="none" w:sz="0" w:space="0" w:color="auto"/>
        <w:right w:val="none" w:sz="0" w:space="0" w:color="auto"/>
      </w:divBdr>
    </w:div>
    <w:div w:id="1209681730">
      <w:bodyDiv w:val="1"/>
      <w:marLeft w:val="0"/>
      <w:marRight w:val="0"/>
      <w:marTop w:val="0"/>
      <w:marBottom w:val="0"/>
      <w:divBdr>
        <w:top w:val="none" w:sz="0" w:space="0" w:color="auto"/>
        <w:left w:val="none" w:sz="0" w:space="0" w:color="auto"/>
        <w:bottom w:val="none" w:sz="0" w:space="0" w:color="auto"/>
        <w:right w:val="none" w:sz="0" w:space="0" w:color="auto"/>
      </w:divBdr>
    </w:div>
    <w:div w:id="1222712556">
      <w:bodyDiv w:val="1"/>
      <w:marLeft w:val="0"/>
      <w:marRight w:val="0"/>
      <w:marTop w:val="0"/>
      <w:marBottom w:val="0"/>
      <w:divBdr>
        <w:top w:val="none" w:sz="0" w:space="0" w:color="auto"/>
        <w:left w:val="none" w:sz="0" w:space="0" w:color="auto"/>
        <w:bottom w:val="none" w:sz="0" w:space="0" w:color="auto"/>
        <w:right w:val="none" w:sz="0" w:space="0" w:color="auto"/>
      </w:divBdr>
    </w:div>
    <w:div w:id="1240559353">
      <w:bodyDiv w:val="1"/>
      <w:marLeft w:val="0"/>
      <w:marRight w:val="0"/>
      <w:marTop w:val="0"/>
      <w:marBottom w:val="0"/>
      <w:divBdr>
        <w:top w:val="none" w:sz="0" w:space="0" w:color="auto"/>
        <w:left w:val="none" w:sz="0" w:space="0" w:color="auto"/>
        <w:bottom w:val="none" w:sz="0" w:space="0" w:color="auto"/>
        <w:right w:val="none" w:sz="0" w:space="0" w:color="auto"/>
      </w:divBdr>
    </w:div>
    <w:div w:id="1249771599">
      <w:bodyDiv w:val="1"/>
      <w:marLeft w:val="0"/>
      <w:marRight w:val="0"/>
      <w:marTop w:val="0"/>
      <w:marBottom w:val="0"/>
      <w:divBdr>
        <w:top w:val="none" w:sz="0" w:space="0" w:color="auto"/>
        <w:left w:val="none" w:sz="0" w:space="0" w:color="auto"/>
        <w:bottom w:val="none" w:sz="0" w:space="0" w:color="auto"/>
        <w:right w:val="none" w:sz="0" w:space="0" w:color="auto"/>
      </w:divBdr>
    </w:div>
    <w:div w:id="1263143865">
      <w:bodyDiv w:val="1"/>
      <w:marLeft w:val="0"/>
      <w:marRight w:val="0"/>
      <w:marTop w:val="0"/>
      <w:marBottom w:val="0"/>
      <w:divBdr>
        <w:top w:val="none" w:sz="0" w:space="0" w:color="auto"/>
        <w:left w:val="none" w:sz="0" w:space="0" w:color="auto"/>
        <w:bottom w:val="none" w:sz="0" w:space="0" w:color="auto"/>
        <w:right w:val="none" w:sz="0" w:space="0" w:color="auto"/>
      </w:divBdr>
    </w:div>
    <w:div w:id="1271428496">
      <w:bodyDiv w:val="1"/>
      <w:marLeft w:val="0"/>
      <w:marRight w:val="0"/>
      <w:marTop w:val="0"/>
      <w:marBottom w:val="0"/>
      <w:divBdr>
        <w:top w:val="none" w:sz="0" w:space="0" w:color="auto"/>
        <w:left w:val="none" w:sz="0" w:space="0" w:color="auto"/>
        <w:bottom w:val="none" w:sz="0" w:space="0" w:color="auto"/>
        <w:right w:val="none" w:sz="0" w:space="0" w:color="auto"/>
      </w:divBdr>
    </w:div>
    <w:div w:id="1325740165">
      <w:bodyDiv w:val="1"/>
      <w:marLeft w:val="0"/>
      <w:marRight w:val="0"/>
      <w:marTop w:val="0"/>
      <w:marBottom w:val="0"/>
      <w:divBdr>
        <w:top w:val="none" w:sz="0" w:space="0" w:color="auto"/>
        <w:left w:val="none" w:sz="0" w:space="0" w:color="auto"/>
        <w:bottom w:val="none" w:sz="0" w:space="0" w:color="auto"/>
        <w:right w:val="none" w:sz="0" w:space="0" w:color="auto"/>
      </w:divBdr>
    </w:div>
    <w:div w:id="1332945318">
      <w:bodyDiv w:val="1"/>
      <w:marLeft w:val="0"/>
      <w:marRight w:val="0"/>
      <w:marTop w:val="0"/>
      <w:marBottom w:val="0"/>
      <w:divBdr>
        <w:top w:val="none" w:sz="0" w:space="0" w:color="auto"/>
        <w:left w:val="none" w:sz="0" w:space="0" w:color="auto"/>
        <w:bottom w:val="none" w:sz="0" w:space="0" w:color="auto"/>
        <w:right w:val="none" w:sz="0" w:space="0" w:color="auto"/>
      </w:divBdr>
    </w:div>
    <w:div w:id="1351571254">
      <w:bodyDiv w:val="1"/>
      <w:marLeft w:val="0"/>
      <w:marRight w:val="0"/>
      <w:marTop w:val="0"/>
      <w:marBottom w:val="0"/>
      <w:divBdr>
        <w:top w:val="none" w:sz="0" w:space="0" w:color="auto"/>
        <w:left w:val="none" w:sz="0" w:space="0" w:color="auto"/>
        <w:bottom w:val="none" w:sz="0" w:space="0" w:color="auto"/>
        <w:right w:val="none" w:sz="0" w:space="0" w:color="auto"/>
      </w:divBdr>
    </w:div>
    <w:div w:id="1356808415">
      <w:bodyDiv w:val="1"/>
      <w:marLeft w:val="0"/>
      <w:marRight w:val="0"/>
      <w:marTop w:val="0"/>
      <w:marBottom w:val="0"/>
      <w:divBdr>
        <w:top w:val="none" w:sz="0" w:space="0" w:color="auto"/>
        <w:left w:val="none" w:sz="0" w:space="0" w:color="auto"/>
        <w:bottom w:val="none" w:sz="0" w:space="0" w:color="auto"/>
        <w:right w:val="none" w:sz="0" w:space="0" w:color="auto"/>
      </w:divBdr>
    </w:div>
    <w:div w:id="1408383935">
      <w:bodyDiv w:val="1"/>
      <w:marLeft w:val="0"/>
      <w:marRight w:val="0"/>
      <w:marTop w:val="0"/>
      <w:marBottom w:val="0"/>
      <w:divBdr>
        <w:top w:val="none" w:sz="0" w:space="0" w:color="auto"/>
        <w:left w:val="none" w:sz="0" w:space="0" w:color="auto"/>
        <w:bottom w:val="none" w:sz="0" w:space="0" w:color="auto"/>
        <w:right w:val="none" w:sz="0" w:space="0" w:color="auto"/>
      </w:divBdr>
    </w:div>
    <w:div w:id="1492327599">
      <w:bodyDiv w:val="1"/>
      <w:marLeft w:val="0"/>
      <w:marRight w:val="0"/>
      <w:marTop w:val="0"/>
      <w:marBottom w:val="0"/>
      <w:divBdr>
        <w:top w:val="none" w:sz="0" w:space="0" w:color="auto"/>
        <w:left w:val="none" w:sz="0" w:space="0" w:color="auto"/>
        <w:bottom w:val="none" w:sz="0" w:space="0" w:color="auto"/>
        <w:right w:val="none" w:sz="0" w:space="0" w:color="auto"/>
      </w:divBdr>
    </w:div>
    <w:div w:id="1552109917">
      <w:bodyDiv w:val="1"/>
      <w:marLeft w:val="0"/>
      <w:marRight w:val="0"/>
      <w:marTop w:val="0"/>
      <w:marBottom w:val="0"/>
      <w:divBdr>
        <w:top w:val="none" w:sz="0" w:space="0" w:color="auto"/>
        <w:left w:val="none" w:sz="0" w:space="0" w:color="auto"/>
        <w:bottom w:val="none" w:sz="0" w:space="0" w:color="auto"/>
        <w:right w:val="none" w:sz="0" w:space="0" w:color="auto"/>
      </w:divBdr>
    </w:div>
    <w:div w:id="1571771608">
      <w:bodyDiv w:val="1"/>
      <w:marLeft w:val="0"/>
      <w:marRight w:val="0"/>
      <w:marTop w:val="0"/>
      <w:marBottom w:val="0"/>
      <w:divBdr>
        <w:top w:val="none" w:sz="0" w:space="0" w:color="auto"/>
        <w:left w:val="none" w:sz="0" w:space="0" w:color="auto"/>
        <w:bottom w:val="none" w:sz="0" w:space="0" w:color="auto"/>
        <w:right w:val="none" w:sz="0" w:space="0" w:color="auto"/>
      </w:divBdr>
    </w:div>
    <w:div w:id="1574730308">
      <w:bodyDiv w:val="1"/>
      <w:marLeft w:val="0"/>
      <w:marRight w:val="0"/>
      <w:marTop w:val="0"/>
      <w:marBottom w:val="0"/>
      <w:divBdr>
        <w:top w:val="none" w:sz="0" w:space="0" w:color="auto"/>
        <w:left w:val="none" w:sz="0" w:space="0" w:color="auto"/>
        <w:bottom w:val="none" w:sz="0" w:space="0" w:color="auto"/>
        <w:right w:val="none" w:sz="0" w:space="0" w:color="auto"/>
      </w:divBdr>
    </w:div>
    <w:div w:id="1602757222">
      <w:bodyDiv w:val="1"/>
      <w:marLeft w:val="0"/>
      <w:marRight w:val="0"/>
      <w:marTop w:val="0"/>
      <w:marBottom w:val="0"/>
      <w:divBdr>
        <w:top w:val="none" w:sz="0" w:space="0" w:color="auto"/>
        <w:left w:val="none" w:sz="0" w:space="0" w:color="auto"/>
        <w:bottom w:val="none" w:sz="0" w:space="0" w:color="auto"/>
        <w:right w:val="none" w:sz="0" w:space="0" w:color="auto"/>
      </w:divBdr>
    </w:div>
    <w:div w:id="1695493762">
      <w:bodyDiv w:val="1"/>
      <w:marLeft w:val="0"/>
      <w:marRight w:val="0"/>
      <w:marTop w:val="0"/>
      <w:marBottom w:val="0"/>
      <w:divBdr>
        <w:top w:val="none" w:sz="0" w:space="0" w:color="auto"/>
        <w:left w:val="none" w:sz="0" w:space="0" w:color="auto"/>
        <w:bottom w:val="none" w:sz="0" w:space="0" w:color="auto"/>
        <w:right w:val="none" w:sz="0" w:space="0" w:color="auto"/>
      </w:divBdr>
    </w:div>
    <w:div w:id="1723558256">
      <w:bodyDiv w:val="1"/>
      <w:marLeft w:val="0"/>
      <w:marRight w:val="0"/>
      <w:marTop w:val="0"/>
      <w:marBottom w:val="0"/>
      <w:divBdr>
        <w:top w:val="none" w:sz="0" w:space="0" w:color="auto"/>
        <w:left w:val="none" w:sz="0" w:space="0" w:color="auto"/>
        <w:bottom w:val="none" w:sz="0" w:space="0" w:color="auto"/>
        <w:right w:val="none" w:sz="0" w:space="0" w:color="auto"/>
      </w:divBdr>
    </w:div>
    <w:div w:id="1724937566">
      <w:bodyDiv w:val="1"/>
      <w:marLeft w:val="0"/>
      <w:marRight w:val="0"/>
      <w:marTop w:val="0"/>
      <w:marBottom w:val="0"/>
      <w:divBdr>
        <w:top w:val="none" w:sz="0" w:space="0" w:color="auto"/>
        <w:left w:val="none" w:sz="0" w:space="0" w:color="auto"/>
        <w:bottom w:val="none" w:sz="0" w:space="0" w:color="auto"/>
        <w:right w:val="none" w:sz="0" w:space="0" w:color="auto"/>
      </w:divBdr>
    </w:div>
    <w:div w:id="1773863808">
      <w:bodyDiv w:val="1"/>
      <w:marLeft w:val="0"/>
      <w:marRight w:val="0"/>
      <w:marTop w:val="0"/>
      <w:marBottom w:val="0"/>
      <w:divBdr>
        <w:top w:val="none" w:sz="0" w:space="0" w:color="auto"/>
        <w:left w:val="none" w:sz="0" w:space="0" w:color="auto"/>
        <w:bottom w:val="none" w:sz="0" w:space="0" w:color="auto"/>
        <w:right w:val="none" w:sz="0" w:space="0" w:color="auto"/>
      </w:divBdr>
    </w:div>
    <w:div w:id="1807892712">
      <w:bodyDiv w:val="1"/>
      <w:marLeft w:val="0"/>
      <w:marRight w:val="0"/>
      <w:marTop w:val="0"/>
      <w:marBottom w:val="0"/>
      <w:divBdr>
        <w:top w:val="none" w:sz="0" w:space="0" w:color="auto"/>
        <w:left w:val="none" w:sz="0" w:space="0" w:color="auto"/>
        <w:bottom w:val="none" w:sz="0" w:space="0" w:color="auto"/>
        <w:right w:val="none" w:sz="0" w:space="0" w:color="auto"/>
      </w:divBdr>
    </w:div>
    <w:div w:id="1899507488">
      <w:bodyDiv w:val="1"/>
      <w:marLeft w:val="0"/>
      <w:marRight w:val="0"/>
      <w:marTop w:val="0"/>
      <w:marBottom w:val="0"/>
      <w:divBdr>
        <w:top w:val="none" w:sz="0" w:space="0" w:color="auto"/>
        <w:left w:val="none" w:sz="0" w:space="0" w:color="auto"/>
        <w:bottom w:val="none" w:sz="0" w:space="0" w:color="auto"/>
        <w:right w:val="none" w:sz="0" w:space="0" w:color="auto"/>
      </w:divBdr>
    </w:div>
    <w:div w:id="1935941644">
      <w:bodyDiv w:val="1"/>
      <w:marLeft w:val="0"/>
      <w:marRight w:val="0"/>
      <w:marTop w:val="0"/>
      <w:marBottom w:val="0"/>
      <w:divBdr>
        <w:top w:val="none" w:sz="0" w:space="0" w:color="auto"/>
        <w:left w:val="none" w:sz="0" w:space="0" w:color="auto"/>
        <w:bottom w:val="none" w:sz="0" w:space="0" w:color="auto"/>
        <w:right w:val="none" w:sz="0" w:space="0" w:color="auto"/>
      </w:divBdr>
    </w:div>
    <w:div w:id="1986473293">
      <w:bodyDiv w:val="1"/>
      <w:marLeft w:val="0"/>
      <w:marRight w:val="0"/>
      <w:marTop w:val="0"/>
      <w:marBottom w:val="0"/>
      <w:divBdr>
        <w:top w:val="none" w:sz="0" w:space="0" w:color="auto"/>
        <w:left w:val="none" w:sz="0" w:space="0" w:color="auto"/>
        <w:bottom w:val="none" w:sz="0" w:space="0" w:color="auto"/>
        <w:right w:val="none" w:sz="0" w:space="0" w:color="auto"/>
      </w:divBdr>
    </w:div>
    <w:div w:id="2007199573">
      <w:bodyDiv w:val="1"/>
      <w:marLeft w:val="0"/>
      <w:marRight w:val="0"/>
      <w:marTop w:val="0"/>
      <w:marBottom w:val="0"/>
      <w:divBdr>
        <w:top w:val="none" w:sz="0" w:space="0" w:color="auto"/>
        <w:left w:val="none" w:sz="0" w:space="0" w:color="auto"/>
        <w:bottom w:val="none" w:sz="0" w:space="0" w:color="auto"/>
        <w:right w:val="none" w:sz="0" w:space="0" w:color="auto"/>
      </w:divBdr>
    </w:div>
    <w:div w:id="2032998165">
      <w:bodyDiv w:val="1"/>
      <w:marLeft w:val="0"/>
      <w:marRight w:val="0"/>
      <w:marTop w:val="0"/>
      <w:marBottom w:val="0"/>
      <w:divBdr>
        <w:top w:val="none" w:sz="0" w:space="0" w:color="auto"/>
        <w:left w:val="none" w:sz="0" w:space="0" w:color="auto"/>
        <w:bottom w:val="none" w:sz="0" w:space="0" w:color="auto"/>
        <w:right w:val="none" w:sz="0" w:space="0" w:color="auto"/>
      </w:divBdr>
    </w:div>
    <w:div w:id="2056152121">
      <w:bodyDiv w:val="1"/>
      <w:marLeft w:val="0"/>
      <w:marRight w:val="0"/>
      <w:marTop w:val="0"/>
      <w:marBottom w:val="0"/>
      <w:divBdr>
        <w:top w:val="none" w:sz="0" w:space="0" w:color="auto"/>
        <w:left w:val="none" w:sz="0" w:space="0" w:color="auto"/>
        <w:bottom w:val="none" w:sz="0" w:space="0" w:color="auto"/>
        <w:right w:val="none" w:sz="0" w:space="0" w:color="auto"/>
      </w:divBdr>
    </w:div>
    <w:div w:id="211216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comg@kth.se" TargetMode="External"/><Relationship Id="rId13" Type="http://schemas.openxmlformats.org/officeDocument/2006/relationships/image" Target="media/image2.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elson.sommerfeldt@energy.kth.s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rafael.gomez.garcia@ri.se"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sngu@kth.se" TargetMode="External"/><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89B8343-F440-CB45-9706-D9B60D9DC259}">
  <we:reference id="wa200010725" version="1.0.0.1" store="es-MX" storeType="OMEX"/>
  <we:alternateReferences>
    <we:reference id="WA200010725" version="1.0.0.1" store="WA200010725" storeType="OMEX"/>
  </we:alternateReferences>
  <we:properties>
    <we:property name="claude.fileId" value="&quot;6d5ff737-b863-427a-a8a5-6f4dc75d45f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Fer23</b:Tag>
    <b:SourceType>JournalArticle</b:SourceType>
    <b:Guid>{8D98974A-D1E5-4EDA-90A4-B92EC360AC22}</b:Guid>
    <b:Title>District heating as a flexibility service: Challenges in sector coupling for increased solar and wind power production in Sweden</b:Title>
    <b:JournalName>Energy Policy</b:JournalName>
    <b:Year>2023</b:Year>
    <b:Pages>113332</b:Pages>
    <b:Volume>172</b:Volume>
    <b:Issue>January</b:Issue>
    <b:Author>
      <b:Author>
        <b:NameList>
          <b:Person>
            <b:Last>Fernqvist</b:Last>
            <b:First>Niklas</b:First>
          </b:Person>
          <b:Person>
            <b:Last>Broberg </b:Last>
            <b:First>Sarah</b:First>
          </b:Person>
          <b:Person>
            <b:Last>Torén</b:Last>
            <b:First>Johan</b:First>
          </b:Person>
          <b:Person>
            <b:Last>Svensson</b:Last>
            <b:First>Inger-Lise</b:First>
          </b:Person>
        </b:NameList>
      </b:Author>
    </b:Author>
    <b:DOI>https://doi.org/10.1016/j.enpol.2022.113332</b:DOI>
    <b:RefOrder>1</b:RefOrder>
  </b:Source>
  <b:Source>
    <b:Tag>Swe25</b:Tag>
    <b:SourceType>Report</b:SourceType>
    <b:Guid>{C50A7133-3A19-49FB-A335-CC3203E01AD2}</b:Guid>
    <b:Title>Energy in Sweden: Facts and Figures 2025</b:Title>
    <b:Year>2025</b:Year>
    <b:Publisher>Swedish Energy Agency</b:Publisher>
    <b:City>Eskilstuna</b:City>
    <b:Author>
      <b:Author>
        <b:Corporate>Swedish Energy Agency</b:Corporate>
      </b:Author>
    </b:Author>
    <b:Medium>Online</b:Medium>
    <b:YearAccessed>2026</b:YearAccessed>
    <b:MonthAccessed>04</b:MonthAccessed>
    <b:DayAccessed>09</b:DayAccessed>
    <b:URL>https://www.energimyndigheten.se/en/facts-and-figures/publications/ </b:URL>
    <b:RefOrder>2</b:RefOrder>
  </b:Source>
  <b:Source>
    <b:Tag>IEA20</b:Tag>
    <b:SourceType>InternetSite</b:SourceType>
    <b:Guid>{7E0E6FC5-DFEC-4952-A262-E5A9622C3773}</b:Guid>
    <b:Author>
      <b:Author>
        <b:Corporate>IEA ES</b:Corporate>
      </b:Author>
    </b:Author>
    <b:Title>Annex 35- Flexible Sector Coupling</b:Title>
    <b:ProductionCompany>International Energy Agency (IEA)- Energy Conservation through Energy Storage (ECES)</b:ProductionCompany>
    <b:Year>2024</b:Year>
    <b:YearAccessed>2023</b:YearAccessed>
    <b:MonthAccessed>November</b:MonthAccessed>
    <b:DayAccessed>30</b:DayAccessed>
    <b:URL>https://iea-eces.org/annex-35/</b:URL>
    <b:LCID>en-GB</b:LCID>
    <b:RefOrder>3</b:RefOrder>
  </b:Source>
  <b:Source>
    <b:Tag>Oża22</b:Tag>
    <b:SourceType>JournalArticle</b:SourceType>
    <b:Guid>{B74C0D34-051B-4ACE-A60B-B74BF2A9E307}</b:Guid>
    <b:Title>A Hybrid Approach in Design of Building Energy Management System with Smart Readiness Indicator and Building as a Service Concept</b:Title>
    <b:Year>2022</b:Year>
    <b:Author>
      <b:Author>
        <b:NameList>
          <b:Person>
            <b:Last>Ożadowicz</b:Last>
            <b:First>Andrzej</b:First>
          </b:Person>
        </b:NameList>
      </b:Author>
    </b:Author>
    <b:JournalName>Energies</b:JournalName>
    <b:Pages>1432</b:Pages>
    <b:Volume>15</b:Volume>
    <b:Issue>4</b:Issue>
    <b:DOI>https://doi.org/10.3390/en15041432</b:DOI>
    <b:RefOrder>4</b:RefOrder>
  </b:Source>
  <b:Source>
    <b:Tag>Wal25</b:Tag>
    <b:SourceType>JournalArticle</b:SourceType>
    <b:Guid>{D7982A3B-AD1A-40E0-B6B5-7A793C8FD769}</b:Guid>
    <b:Title>Moving Forward in Effective Deployment of the Smart Readiness Indicator and the ISO 52120 Standard to Improve Energy Performance with Building Automation and Control Systems</b:Title>
    <b:JournalName>Energies</b:JournalName>
    <b:Year>2025</b:Year>
    <b:Pages>1241</b:Pages>
    <b:Volume>18</b:Volume>
    <b:Issue>5</b:Issue>
    <b:Author>
      <b:Author>
        <b:NameList>
          <b:Person>
            <b:Last>Walczyk</b:Last>
            <b:First>Gabriela</b:First>
          </b:Person>
          <b:Person>
            <b:Last>Ożadowicz</b:Last>
            <b:First>Andrzej</b:First>
          </b:Person>
        </b:NameList>
      </b:Author>
    </b:Author>
    <b:DOI>https://doi.org/10.3390/en18051241</b:DOI>
    <b:RefOrder>6</b:RefOrder>
  </b:Source>
  <b:Source>
    <b:Tag>Pli23</b:Tag>
    <b:SourceType>JournalArticle</b:SourceType>
    <b:Guid>{EC64FEA1-0981-461C-A8FF-E1AD0A9E382D}</b:Guid>
    <b:Title>Evaluation of the Smart Readiness Indicator for Educational Buildings</b:Title>
    <b:JournalName>Buildings</b:JournalName>
    <b:Year>2023</b:Year>
    <b:Pages>888</b:Pages>
    <b:Volume>13</b:Volume>
    <b:Issue>4</b:Issue>
    <b:Author>
      <b:Author>
        <b:NameList>
          <b:Person>
            <b:Last>Plienaitis</b:Last>
            <b:First>Gvidas</b:First>
          </b:Person>
          <b:Person>
            <b:Last>Daukšys</b:Last>
            <b:First>Mindaugas</b:First>
          </b:Person>
          <b:Person>
            <b:Last>Demetriou</b:Last>
            <b:First>Evi</b:First>
          </b:Person>
          <b:Person>
            <b:Last>Ioannou</b:Last>
            <b:First>Byron</b:First>
          </b:Person>
          <b:Person>
            <b:Last>Fokaides</b:Last>
            <b:Middle>A.</b:Middle>
            <b:First>Paris</b:First>
          </b:Person>
          <b:Person>
            <b:Last>Seduikyte</b:Last>
            <b:First>Lina</b:First>
          </b:Person>
        </b:NameList>
      </b:Author>
    </b:Author>
    <b:DOI>https://doi.org/10.3390/buildings13040888</b:DOI>
    <b:LCID>en-GB</b:LCID>
    <b:RefOrder>5</b:RefOrder>
  </b:Source>
</b:Sources>
</file>

<file path=customXml/itemProps1.xml><?xml version="1.0" encoding="utf-8"?>
<ds:datastoreItem xmlns:ds="http://schemas.openxmlformats.org/officeDocument/2006/customXml" ds:itemID="{3462ED3B-B4AA-5B45-9F9B-747FC305C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3540</TotalTime>
  <Pages>12</Pages>
  <Words>35338</Words>
  <Characters>187295</Characters>
  <Application>Microsoft Office Word</Application>
  <DocSecurity>0</DocSecurity>
  <Lines>1560</Lines>
  <Paragraphs>444</Paragraphs>
  <ScaleCrop>false</ScaleCrop>
  <HeadingPairs>
    <vt:vector size="8" baseType="variant">
      <vt:variant>
        <vt:lpstr>Título</vt:lpstr>
      </vt:variant>
      <vt:variant>
        <vt:i4>1</vt:i4>
      </vt:variant>
      <vt:variant>
        <vt:lpstr>Titel</vt:lpstr>
      </vt:variant>
      <vt:variant>
        <vt:i4>1</vt:i4>
      </vt:variant>
      <vt:variant>
        <vt:lpstr>Title</vt:lpstr>
      </vt:variant>
      <vt:variant>
        <vt:i4>1</vt:i4>
      </vt:variant>
      <vt:variant>
        <vt:lpstr>Titre</vt:lpstr>
      </vt:variant>
      <vt:variant>
        <vt:i4>1</vt:i4>
      </vt:variant>
    </vt:vector>
  </HeadingPairs>
  <TitlesOfParts>
    <vt:vector size="4" baseType="lpstr">
      <vt:lpstr>ISES SWC2015 – Paper Formatting Guidelines</vt:lpstr>
      <vt:lpstr>ISES SWC2015 – Paper Formatting Guidelines</vt:lpstr>
      <vt:lpstr>ISES SWC2015 – Paper Formatting Guidelines</vt:lpstr>
      <vt:lpstr>EuroSun 2006 – Paper Formatting Guidelines</vt:lpstr>
    </vt:vector>
  </TitlesOfParts>
  <Company>Oxford Brookes University</Company>
  <LinksUpToDate>false</LinksUpToDate>
  <CharactersWithSpaces>222189</CharactersWithSpaces>
  <SharedDoc>false</SharedDoc>
  <HLinks>
    <vt:vector size="30" baseType="variant">
      <vt:variant>
        <vt:i4>327716</vt:i4>
      </vt:variant>
      <vt:variant>
        <vt:i4>9</vt:i4>
      </vt:variant>
      <vt:variant>
        <vt:i4>0</vt:i4>
      </vt:variant>
      <vt:variant>
        <vt:i4>5</vt:i4>
      </vt:variant>
      <vt:variant>
        <vt:lpwstr>mailto:nelson.sommerfeldt@energy.kth.se</vt:lpwstr>
      </vt:variant>
      <vt:variant>
        <vt:lpwstr/>
      </vt:variant>
      <vt:variant>
        <vt:i4>4391024</vt:i4>
      </vt:variant>
      <vt:variant>
        <vt:i4>6</vt:i4>
      </vt:variant>
      <vt:variant>
        <vt:i4>0</vt:i4>
      </vt:variant>
      <vt:variant>
        <vt:i4>5</vt:i4>
      </vt:variant>
      <vt:variant>
        <vt:lpwstr>mailto:rafael.gomez.garcia@ri.se</vt:lpwstr>
      </vt:variant>
      <vt:variant>
        <vt:lpwstr/>
      </vt:variant>
      <vt:variant>
        <vt:i4>589857</vt:i4>
      </vt:variant>
      <vt:variant>
        <vt:i4>3</vt:i4>
      </vt:variant>
      <vt:variant>
        <vt:i4>0</vt:i4>
      </vt:variant>
      <vt:variant>
        <vt:i4>5</vt:i4>
      </vt:variant>
      <vt:variant>
        <vt:lpwstr>mailto:sngu@kth.se</vt:lpwstr>
      </vt:variant>
      <vt:variant>
        <vt:lpwstr/>
      </vt:variant>
      <vt:variant>
        <vt:i4>327743</vt:i4>
      </vt:variant>
      <vt:variant>
        <vt:i4>0</vt:i4>
      </vt:variant>
      <vt:variant>
        <vt:i4>0</vt:i4>
      </vt:variant>
      <vt:variant>
        <vt:i4>5</vt:i4>
      </vt:variant>
      <vt:variant>
        <vt:lpwstr>mailto:marcomg@kth.se</vt:lpwstr>
      </vt:variant>
      <vt:variant>
        <vt:lpwstr/>
      </vt:variant>
      <vt:variant>
        <vt:i4>3539000</vt:i4>
      </vt:variant>
      <vt:variant>
        <vt:i4>0</vt:i4>
      </vt:variant>
      <vt:variant>
        <vt:i4>0</vt:i4>
      </vt:variant>
      <vt:variant>
        <vt:i4>5</vt:i4>
      </vt:variant>
      <vt:variant>
        <vt:lpwstr>https://transkriptor.com/?utm_source=google-ads&amp;utm_medium=cpc&amp;utm_campaign=TSK/Tier5/EN/Search/Computer/Brand&amp;utm_agid=155307394929&amp;utm_adgroup=Brand&amp;utm_term=transkriptor&amp;creative=670153595408&amp;device=c&amp;placement=&amp;targetid=kwd-354897067339&amp;matchtype=e&amp;network=g&amp;devicemodel=&amp;gad_source=1&amp;gad_campaignid=20457434367&amp;gbraid=0AAAAAoXF0mbxTWfMPABltA_pZI1UY-dcx&amp;gclid=Cj0KCQjw79nUBhCgARIsADSHka3gx2Cc1rq8g7pegNMxJnyH1MKQTy2BPCOu9KlCAXQVomylv5yQqxAaAk8hEALw_wc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Saman Nimali Gunasekara</cp:lastModifiedBy>
  <cp:revision>540</cp:revision>
  <cp:lastPrinted>2026-09-02T08:57:00Z</cp:lastPrinted>
  <dcterms:created xsi:type="dcterms:W3CDTF">2026-08-31T11:55:00Z</dcterms:created>
  <dcterms:modified xsi:type="dcterms:W3CDTF">2026-09-10T08:59:00Z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ZOTERO_PREF_1">
    <vt:lpwstr>&lt;data data-version="3" zotero-version="9.0.6"&gt;&lt;session id="wuWlKevR"/&gt;&lt;style id="http://www.zotero.org/styles/elsevier-harvard" hasBibliography="1" bibliographyStyleHasBeenSet="1"/&gt;&lt;prefs&gt;&lt;pref name="fieldType" value="Field"/&gt;&lt;/prefs&gt;&lt;/data&gt;</vt:lpwstr>
  </property>
</Properties>
</file>