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C622" w14:textId="2244B01D" w:rsidR="00DB52E7" w:rsidRDefault="004053B5" w:rsidP="00B32703">
      <w:pPr>
        <w:pStyle w:val="SWCTitle"/>
        <w:rPr>
          <w:sz w:val="28"/>
          <w:szCs w:val="28"/>
        </w:rPr>
      </w:pPr>
      <w:r w:rsidRPr="0C79E7B2">
        <w:rPr>
          <w:sz w:val="28"/>
          <w:szCs w:val="28"/>
        </w:rPr>
        <w:t>EuroSun</w:t>
      </w:r>
      <w:r w:rsidR="00FC1781" w:rsidRPr="0C79E7B2">
        <w:rPr>
          <w:sz w:val="28"/>
          <w:szCs w:val="28"/>
        </w:rPr>
        <w:t>202</w:t>
      </w:r>
      <w:r w:rsidR="00FA4DF8" w:rsidRPr="0C79E7B2">
        <w:rPr>
          <w:sz w:val="28"/>
          <w:szCs w:val="28"/>
        </w:rPr>
        <w:t>6</w:t>
      </w:r>
    </w:p>
    <w:p w14:paraId="0AEA32C9" w14:textId="7EE0835A" w:rsidR="005A74E4" w:rsidRPr="005A74E4" w:rsidRDefault="005A74E4" w:rsidP="005A74E4">
      <w:pPr>
        <w:pStyle w:val="SWCTitle"/>
        <w:rPr>
          <w:sz w:val="28"/>
          <w:szCs w:val="28"/>
        </w:rPr>
      </w:pPr>
      <w:r w:rsidRPr="005A74E4">
        <w:rPr>
          <w:sz w:val="28"/>
          <w:szCs w:val="28"/>
        </w:rPr>
        <w:t>SHC T</w:t>
      </w:r>
      <w:r w:rsidR="009044E7">
        <w:rPr>
          <w:sz w:val="28"/>
          <w:szCs w:val="28"/>
        </w:rPr>
        <w:t>ASK</w:t>
      </w:r>
      <w:r w:rsidRPr="005A74E4">
        <w:rPr>
          <w:sz w:val="28"/>
          <w:szCs w:val="28"/>
        </w:rPr>
        <w:t xml:space="preserve"> 70 / EBC A</w:t>
      </w:r>
      <w:r w:rsidR="009044E7">
        <w:rPr>
          <w:sz w:val="28"/>
          <w:szCs w:val="28"/>
        </w:rPr>
        <w:t>NNEX</w:t>
      </w:r>
      <w:r w:rsidRPr="005A74E4">
        <w:rPr>
          <w:sz w:val="28"/>
          <w:szCs w:val="28"/>
        </w:rPr>
        <w:t xml:space="preserve"> 90</w:t>
      </w:r>
      <w:r w:rsidR="009044E7">
        <w:rPr>
          <w:sz w:val="28"/>
          <w:szCs w:val="28"/>
        </w:rPr>
        <w:br/>
      </w:r>
      <w:r w:rsidRPr="005A74E4">
        <w:rPr>
          <w:sz w:val="28"/>
          <w:szCs w:val="28"/>
        </w:rPr>
        <w:t>L</w:t>
      </w:r>
      <w:r w:rsidR="009044E7">
        <w:rPr>
          <w:sz w:val="28"/>
          <w:szCs w:val="28"/>
        </w:rPr>
        <w:t>OW</w:t>
      </w:r>
      <w:r w:rsidRPr="005A74E4">
        <w:rPr>
          <w:sz w:val="28"/>
          <w:szCs w:val="28"/>
        </w:rPr>
        <w:t xml:space="preserve"> C</w:t>
      </w:r>
      <w:r w:rsidR="009044E7">
        <w:rPr>
          <w:sz w:val="28"/>
          <w:szCs w:val="28"/>
        </w:rPr>
        <w:t>ARBON</w:t>
      </w:r>
      <w:r w:rsidRPr="005A74E4">
        <w:rPr>
          <w:sz w:val="28"/>
          <w:szCs w:val="28"/>
        </w:rPr>
        <w:t>, H</w:t>
      </w:r>
      <w:r w:rsidR="009044E7">
        <w:rPr>
          <w:sz w:val="28"/>
          <w:szCs w:val="28"/>
        </w:rPr>
        <w:t>IGH</w:t>
      </w:r>
      <w:r w:rsidRPr="005A74E4">
        <w:rPr>
          <w:sz w:val="28"/>
          <w:szCs w:val="28"/>
        </w:rPr>
        <w:t xml:space="preserve"> C</w:t>
      </w:r>
      <w:r w:rsidR="009044E7">
        <w:rPr>
          <w:sz w:val="28"/>
          <w:szCs w:val="28"/>
        </w:rPr>
        <w:t>OMFORT</w:t>
      </w:r>
      <w:r w:rsidRPr="005A74E4">
        <w:rPr>
          <w:sz w:val="28"/>
          <w:szCs w:val="28"/>
        </w:rPr>
        <w:t xml:space="preserve"> I</w:t>
      </w:r>
      <w:r w:rsidR="009044E7">
        <w:rPr>
          <w:sz w:val="28"/>
          <w:szCs w:val="28"/>
        </w:rPr>
        <w:t>NTEGRATED</w:t>
      </w:r>
      <w:r w:rsidRPr="005A74E4">
        <w:rPr>
          <w:sz w:val="28"/>
          <w:szCs w:val="28"/>
        </w:rPr>
        <w:t xml:space="preserve"> L</w:t>
      </w:r>
      <w:r w:rsidR="009044E7">
        <w:rPr>
          <w:sz w:val="28"/>
          <w:szCs w:val="28"/>
        </w:rPr>
        <w:t>IGHTING</w:t>
      </w:r>
    </w:p>
    <w:p w14:paraId="7142D0DC" w14:textId="07AC8C9C" w:rsidR="00D32EF0" w:rsidRDefault="005A74E4" w:rsidP="005A74E4">
      <w:pPr>
        <w:pStyle w:val="SWCTitle"/>
        <w:rPr>
          <w:sz w:val="28"/>
          <w:szCs w:val="28"/>
        </w:rPr>
      </w:pPr>
      <w:r w:rsidRPr="008C3717">
        <w:rPr>
          <w:sz w:val="28"/>
          <w:szCs w:val="28"/>
          <w:lang w:val="en-GB"/>
        </w:rPr>
        <w:t>BOOK ON HUMAN VISUAL AND NON-VISUAL RESPONSE TO THE BUILT ENVIRONMENT</w:t>
      </w:r>
    </w:p>
    <w:p w14:paraId="4B3249DD" w14:textId="404712F0" w:rsidR="0C3545CD" w:rsidRDefault="0C3545CD" w:rsidP="0C3545CD">
      <w:pPr>
        <w:pStyle w:val="SWCTitle"/>
        <w:spacing w:before="0" w:after="0"/>
        <w:jc w:val="left"/>
        <w:rPr>
          <w:rFonts w:ascii="Times New Roman" w:hAnsi="Times New Roman"/>
          <w:b w:val="0"/>
          <w:sz w:val="20"/>
          <w:szCs w:val="20"/>
        </w:rPr>
      </w:pPr>
    </w:p>
    <w:p w14:paraId="5850DC36" w14:textId="737474BD" w:rsidR="006B3D49" w:rsidRPr="006B3D49" w:rsidRDefault="009044E7" w:rsidP="00E917F8">
      <w:pPr>
        <w:pStyle w:val="SWCTitle"/>
        <w:spacing w:before="0" w:after="0"/>
        <w:jc w:val="left"/>
        <w:rPr>
          <w:rFonts w:ascii="Times New Roman" w:hAnsi="Times New Roman"/>
          <w:b w:val="0"/>
          <w:sz w:val="20"/>
          <w:szCs w:val="20"/>
        </w:rPr>
      </w:pPr>
      <w:r w:rsidRPr="008C3717">
        <w:rPr>
          <w:rFonts w:ascii="Times New Roman" w:hAnsi="Times New Roman"/>
          <w:b w:val="0"/>
          <w:sz w:val="20"/>
          <w:szCs w:val="20"/>
          <w:lang w:val="en-GB"/>
        </w:rPr>
        <w:t>Barbara S. Matusiak</w:t>
      </w:r>
      <w:r w:rsidR="008C3717">
        <w:rPr>
          <w:rFonts w:ascii="Times New Roman" w:hAnsi="Times New Roman"/>
          <w:b w:val="0"/>
          <w:sz w:val="20"/>
          <w:szCs w:val="20"/>
          <w:vertAlign w:val="superscript"/>
          <w:lang w:val="en-GB"/>
        </w:rPr>
        <w:t>1</w:t>
      </w:r>
      <w:r w:rsidRPr="008C3717">
        <w:rPr>
          <w:rFonts w:ascii="Times New Roman" w:hAnsi="Times New Roman"/>
          <w:b w:val="0"/>
          <w:sz w:val="20"/>
          <w:szCs w:val="20"/>
          <w:lang w:val="en-GB"/>
        </w:rPr>
        <w:t>, Mandana S. Khanie</w:t>
      </w:r>
      <w:r w:rsidR="008C3717">
        <w:rPr>
          <w:rFonts w:ascii="Times New Roman" w:hAnsi="Times New Roman"/>
          <w:b w:val="0"/>
          <w:sz w:val="20"/>
          <w:szCs w:val="20"/>
          <w:vertAlign w:val="superscript"/>
          <w:lang w:val="en-GB"/>
        </w:rPr>
        <w:t>2</w:t>
      </w:r>
      <w:r w:rsidRPr="008C3717">
        <w:rPr>
          <w:rFonts w:ascii="Times New Roman" w:hAnsi="Times New Roman"/>
          <w:b w:val="0"/>
          <w:sz w:val="20"/>
          <w:szCs w:val="20"/>
          <w:lang w:val="en-GB"/>
        </w:rPr>
        <w:t xml:space="preserve">, </w:t>
      </w:r>
      <w:r w:rsidR="008C3717" w:rsidRPr="008C3717">
        <w:rPr>
          <w:rFonts w:ascii="Times New Roman" w:hAnsi="Times New Roman"/>
          <w:b w:val="0"/>
          <w:sz w:val="20"/>
          <w:szCs w:val="20"/>
          <w:lang w:val="en-GB"/>
        </w:rPr>
        <w:t>Jan de Boer</w:t>
      </w:r>
      <w:r w:rsidR="008C3717">
        <w:rPr>
          <w:rFonts w:ascii="Times New Roman" w:hAnsi="Times New Roman"/>
          <w:b w:val="0"/>
          <w:sz w:val="20"/>
          <w:szCs w:val="20"/>
          <w:vertAlign w:val="superscript"/>
          <w:lang w:val="en-GB"/>
        </w:rPr>
        <w:t>3</w:t>
      </w:r>
      <w:r w:rsidR="008C3717" w:rsidRPr="008C3717">
        <w:rPr>
          <w:rFonts w:ascii="Times New Roman" w:hAnsi="Times New Roman"/>
          <w:b w:val="0"/>
          <w:sz w:val="20"/>
          <w:szCs w:val="20"/>
          <w:lang w:val="en-GB"/>
        </w:rPr>
        <w:t xml:space="preserve">, </w:t>
      </w:r>
      <w:r w:rsidRPr="008C3717">
        <w:rPr>
          <w:rFonts w:ascii="Times New Roman" w:hAnsi="Times New Roman"/>
          <w:b w:val="0"/>
          <w:sz w:val="20"/>
          <w:szCs w:val="20"/>
          <w:lang w:val="en-GB"/>
        </w:rPr>
        <w:t>Edward Barrett</w:t>
      </w:r>
      <w:r w:rsidR="008C3717">
        <w:rPr>
          <w:rFonts w:ascii="Times New Roman" w:hAnsi="Times New Roman"/>
          <w:b w:val="0"/>
          <w:sz w:val="20"/>
          <w:szCs w:val="20"/>
          <w:vertAlign w:val="superscript"/>
          <w:lang w:val="en-GB"/>
        </w:rPr>
        <w:t>2</w:t>
      </w:r>
    </w:p>
    <w:p w14:paraId="43C37383" w14:textId="7CEA6FAC" w:rsidR="008C3717" w:rsidRPr="008C3717" w:rsidRDefault="00F239B4" w:rsidP="008C3717">
      <w:pPr>
        <w:pStyle w:val="SWCTitle"/>
        <w:spacing w:before="0" w:after="0"/>
        <w:jc w:val="left"/>
        <w:rPr>
          <w:rFonts w:ascii="Times New Roman" w:hAnsi="Times New Roman"/>
          <w:b w:val="0"/>
          <w:sz w:val="20"/>
          <w:szCs w:val="22"/>
        </w:rPr>
      </w:pPr>
      <w:r>
        <w:rPr>
          <w:rFonts w:ascii="Times New Roman" w:hAnsi="Times New Roman"/>
          <w:b w:val="0"/>
          <w:sz w:val="20"/>
          <w:szCs w:val="22"/>
        </w:rPr>
        <w:br/>
      </w:r>
      <w:r w:rsidR="008C3717">
        <w:rPr>
          <w:rFonts w:ascii="Times New Roman" w:hAnsi="Times New Roman"/>
          <w:b w:val="0"/>
          <w:sz w:val="20"/>
          <w:szCs w:val="22"/>
          <w:vertAlign w:val="superscript"/>
        </w:rPr>
        <w:t>1</w:t>
      </w:r>
      <w:r>
        <w:rPr>
          <w:rFonts w:ascii="Times New Roman" w:hAnsi="Times New Roman"/>
          <w:b w:val="0"/>
          <w:sz w:val="20"/>
          <w:szCs w:val="22"/>
        </w:rPr>
        <w:t xml:space="preserve"> </w:t>
      </w:r>
      <w:r w:rsidRPr="00F239B4">
        <w:rPr>
          <w:rFonts w:ascii="Times New Roman" w:hAnsi="Times New Roman"/>
          <w:b w:val="0"/>
          <w:sz w:val="20"/>
          <w:szCs w:val="22"/>
        </w:rPr>
        <w:t>Norwegian University of Science and Technology</w:t>
      </w:r>
      <w:r w:rsidR="008D4405">
        <w:rPr>
          <w:rFonts w:ascii="Times New Roman" w:hAnsi="Times New Roman"/>
          <w:b w:val="0"/>
          <w:sz w:val="20"/>
          <w:szCs w:val="22"/>
        </w:rPr>
        <w:t xml:space="preserve"> NTNU, Trondheim (Norway)</w:t>
      </w:r>
      <w:r w:rsidR="008C3717">
        <w:rPr>
          <w:rFonts w:ascii="Times New Roman" w:hAnsi="Times New Roman"/>
          <w:b w:val="0"/>
          <w:sz w:val="20"/>
          <w:szCs w:val="22"/>
        </w:rPr>
        <w:t xml:space="preserve">, </w:t>
      </w:r>
      <w:r w:rsidR="008C3717" w:rsidRPr="008C3717">
        <w:rPr>
          <w:rFonts w:ascii="Times New Roman" w:hAnsi="Times New Roman"/>
          <w:b w:val="0"/>
          <w:sz w:val="20"/>
          <w:szCs w:val="22"/>
          <w:lang w:val="en-GB"/>
        </w:rPr>
        <w:t>barbara.matusiak@ntnu.no</w:t>
      </w:r>
    </w:p>
    <w:p w14:paraId="311CE447" w14:textId="3C334B45" w:rsidR="006B3D49" w:rsidRDefault="008C3717" w:rsidP="00E917F8">
      <w:pPr>
        <w:pStyle w:val="SWCTitle"/>
        <w:spacing w:before="0" w:after="0"/>
        <w:jc w:val="left"/>
        <w:rPr>
          <w:rFonts w:ascii="Times New Roman" w:hAnsi="Times New Roman"/>
          <w:b w:val="0"/>
          <w:sz w:val="20"/>
          <w:szCs w:val="22"/>
        </w:rPr>
      </w:pPr>
      <w:r>
        <w:rPr>
          <w:rFonts w:ascii="Times New Roman" w:hAnsi="Times New Roman"/>
          <w:b w:val="0"/>
          <w:sz w:val="20"/>
          <w:szCs w:val="22"/>
          <w:vertAlign w:val="superscript"/>
        </w:rPr>
        <w:t>2</w:t>
      </w:r>
      <w:r w:rsidR="00F239B4">
        <w:rPr>
          <w:rFonts w:ascii="Times New Roman" w:hAnsi="Times New Roman"/>
          <w:b w:val="0"/>
          <w:sz w:val="20"/>
          <w:szCs w:val="22"/>
        </w:rPr>
        <w:t xml:space="preserve"> </w:t>
      </w:r>
      <w:r w:rsidR="00F239B4" w:rsidRPr="00F239B4">
        <w:rPr>
          <w:rFonts w:ascii="Times New Roman" w:hAnsi="Times New Roman"/>
          <w:b w:val="0"/>
          <w:sz w:val="20"/>
          <w:szCs w:val="22"/>
        </w:rPr>
        <w:t>UCL Institute for Environmental Design and Engineering (IEDE)</w:t>
      </w:r>
      <w:r w:rsidR="008D4405">
        <w:rPr>
          <w:rFonts w:ascii="Times New Roman" w:hAnsi="Times New Roman"/>
          <w:b w:val="0"/>
          <w:sz w:val="20"/>
          <w:szCs w:val="22"/>
        </w:rPr>
        <w:t>, London (United Kingdom)</w:t>
      </w:r>
    </w:p>
    <w:p w14:paraId="3EE13E21" w14:textId="4EAF9425" w:rsidR="008C3717" w:rsidRPr="006B3D49" w:rsidRDefault="008C3717" w:rsidP="00E917F8">
      <w:pPr>
        <w:pStyle w:val="SWCTitle"/>
        <w:spacing w:before="0" w:after="0"/>
        <w:jc w:val="left"/>
        <w:rPr>
          <w:rFonts w:ascii="Times New Roman" w:hAnsi="Times New Roman"/>
          <w:b w:val="0"/>
          <w:sz w:val="20"/>
          <w:szCs w:val="22"/>
        </w:rPr>
      </w:pPr>
      <w:r>
        <w:rPr>
          <w:rFonts w:ascii="Times New Roman" w:hAnsi="Times New Roman"/>
          <w:b w:val="0"/>
          <w:sz w:val="20"/>
          <w:szCs w:val="22"/>
          <w:vertAlign w:val="superscript"/>
        </w:rPr>
        <w:t>3</w:t>
      </w:r>
      <w:r>
        <w:rPr>
          <w:rFonts w:ascii="Times New Roman" w:hAnsi="Times New Roman"/>
          <w:b w:val="0"/>
          <w:sz w:val="20"/>
          <w:szCs w:val="22"/>
        </w:rPr>
        <w:t xml:space="preserve"> Fraunhofer Institute for Building Physics IBP, Stuttgart (Germany)</w:t>
      </w:r>
    </w:p>
    <w:p w14:paraId="3A7DF4B5" w14:textId="6F51DBA9" w:rsidR="001A775B" w:rsidRDefault="0C3545CD" w:rsidP="0C3545CD">
      <w:pPr>
        <w:pStyle w:val="SWCSummary"/>
        <w:pBdr>
          <w:bottom w:val="single" w:sz="6" w:space="1" w:color="auto"/>
        </w:pBdr>
      </w:pPr>
      <w:r>
        <w:t>Summary</w:t>
      </w:r>
    </w:p>
    <w:p w14:paraId="2D9BF0A8" w14:textId="06C53BD3" w:rsidR="0031685E" w:rsidRDefault="00994515" w:rsidP="00994515">
      <w:pPr>
        <w:pStyle w:val="SWCText"/>
        <w:pBdr>
          <w:bottom w:val="single" w:sz="6" w:space="1" w:color="auto"/>
        </w:pBdr>
      </w:pPr>
      <w:r>
        <w:t>Research on human responses to light is moving beyond frameworks developed decades ago. The discovery of intrinsically photosensitive retinal ganglion cells in 2002 transformed understanding of light perception. Light affects not only vision but also important physiological and behavioral processes. Emerging findings suggest that near-ultraviolet and near-infrared radiation may also influence humans. The significance of non-visual and beyond-visual effects is proving broader than previously assumed. Visual research is likewise improving knowledge of window views and their relationship to glare perception. Attention has therefore expanded from indoor lighting conditions to the environment outside the window. The book examines recent discoveries and their practical implications for lighting research and application. Its contributions are mainly drawn on the international work of IEA SHC Task 70 and its four subtasks. The content is based on 34 recent scientific articles and doctoral theses, each condensed to about six pages. Carefully adapted illustrations support the subjects, and the articles are organized into six thematic parts.</w:t>
      </w:r>
    </w:p>
    <w:p w14:paraId="5AB3A3E7" w14:textId="590F6861" w:rsidR="008D4405" w:rsidRDefault="00994515" w:rsidP="00994515">
      <w:pPr>
        <w:pStyle w:val="SWCText"/>
        <w:pBdr>
          <w:bottom w:val="single" w:sz="6" w:space="1" w:color="auto"/>
        </w:pBdr>
        <w:rPr>
          <w:i/>
          <w:iCs/>
        </w:rPr>
      </w:pPr>
      <w:r w:rsidRPr="008C3717">
        <w:rPr>
          <w:i/>
          <w:iCs/>
          <w:lang w:val="en-GB"/>
        </w:rPr>
        <w:t>Keywords: human response to light, non-visual effects of lighting, visual comfort and glare, window view quality, user-</w:t>
      </w:r>
      <w:r w:rsidR="00883CD1" w:rsidRPr="008C3717">
        <w:rPr>
          <w:i/>
          <w:iCs/>
          <w:lang w:val="en-GB"/>
        </w:rPr>
        <w:t>centred</w:t>
      </w:r>
      <w:r w:rsidRPr="008C3717">
        <w:rPr>
          <w:i/>
          <w:iCs/>
          <w:lang w:val="en-GB"/>
        </w:rPr>
        <w:t xml:space="preserve"> lighting research</w:t>
      </w:r>
    </w:p>
    <w:p w14:paraId="378F0C31" w14:textId="79ABF5A6" w:rsidR="00D32EF0" w:rsidRPr="006309AA" w:rsidRDefault="008D4405" w:rsidP="00490F10">
      <w:pPr>
        <w:pStyle w:val="SWCHeading1"/>
      </w:pPr>
      <w:r w:rsidRPr="008D4405">
        <w:rPr>
          <w:lang w:val="de-DE"/>
        </w:rPr>
        <w:t>Background</w:t>
      </w:r>
    </w:p>
    <w:p w14:paraId="3C6FF7F9" w14:textId="17745105" w:rsidR="008D4405" w:rsidRPr="008C3717" w:rsidRDefault="008D4405" w:rsidP="007C1632">
      <w:pPr>
        <w:pStyle w:val="SWCText"/>
        <w:rPr>
          <w:lang w:val="en-GB"/>
        </w:rPr>
      </w:pPr>
      <w:r w:rsidRPr="008C3717">
        <w:rPr>
          <w:lang w:val="en-GB"/>
        </w:rPr>
        <w:t xml:space="preserve">Despite major research advances, our understanding of human responses to the visual environment remains grounded in frameworks developed decades ago. The discovery of the intrinsically photosensitive retinal ganglion cells (ipRGC) in the human retina in 2002 by David Berson marks an era in which the human response to light is about to be completely rewritten. It turns out that humans’ response to light extends well beyond the visual aspects of vision, with a much greater role in regulating physiological and </w:t>
      </w:r>
      <w:proofErr w:type="spellStart"/>
      <w:r w:rsidRPr="008C3717">
        <w:rPr>
          <w:lang w:val="en-GB"/>
        </w:rPr>
        <w:t>behavioral</w:t>
      </w:r>
      <w:proofErr w:type="spellEnd"/>
      <w:r w:rsidRPr="008C3717">
        <w:rPr>
          <w:lang w:val="en-GB"/>
        </w:rPr>
        <w:t xml:space="preserve"> processes than previously assumed. The emerging evidence also points to broader spectral ranges, spanning the near ultraviolet and near infrared ranges, that influence us in ways that we are only beginning to understand. The importance of non-visual and beyond-visual effects surprises us with its scope and importance. Moreover, even within research purely dealing with visual responses, the view out of the window and the complex relation between the perception of glare and the quality of the window view are about to be much better understood. The focus has shifted from indoor lighting conditions to a broader perspective of including the environment outside the window and its contribution to the visual experience. These developments raise important questions: what can we learn from these emerging developments in research, and what are the practical implications? To answer these questions, we summarize the newest research results in a book form</w:t>
      </w:r>
      <w:r w:rsidR="00E33E41" w:rsidRPr="008C3717">
        <w:rPr>
          <w:lang w:val="en-GB"/>
        </w:rPr>
        <w:t xml:space="preserve"> (Figure 1)</w:t>
      </w:r>
      <w:r w:rsidRPr="008C3717">
        <w:rPr>
          <w:lang w:val="en-GB"/>
        </w:rPr>
        <w:t>.</w:t>
      </w:r>
    </w:p>
    <w:p w14:paraId="2ADC4480" w14:textId="74709783" w:rsidR="00E33E41" w:rsidRDefault="00E33E41" w:rsidP="00E33E41">
      <w:pPr>
        <w:pStyle w:val="SWCText"/>
        <w:jc w:val="center"/>
        <w:rPr>
          <w:lang w:val="de-DE"/>
        </w:rPr>
      </w:pPr>
      <w:r>
        <w:rPr>
          <w:noProof/>
          <w:lang w:val="de-DE"/>
        </w:rPr>
        <w:lastRenderedPageBreak/>
        <w:drawing>
          <wp:inline distT="0" distB="0" distL="0" distR="0" wp14:anchorId="7A858250" wp14:editId="33C075E2">
            <wp:extent cx="4269327" cy="3251200"/>
            <wp:effectExtent l="0" t="0" r="0" b="6350"/>
            <wp:docPr id="103881757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98299" cy="3273263"/>
                    </a:xfrm>
                    <a:prstGeom prst="rect">
                      <a:avLst/>
                    </a:prstGeom>
                    <a:noFill/>
                  </pic:spPr>
                </pic:pic>
              </a:graphicData>
            </a:graphic>
          </wp:inline>
        </w:drawing>
      </w:r>
    </w:p>
    <w:p w14:paraId="36A7F793" w14:textId="53DBAF92" w:rsidR="00E33E41" w:rsidRDefault="00E33E41" w:rsidP="00E33E41">
      <w:pPr>
        <w:pStyle w:val="SWCTableFigureCaption"/>
      </w:pPr>
      <w:r>
        <w:t xml:space="preserve">Fig. </w:t>
      </w:r>
      <w:r w:rsidRPr="006309AA">
        <w:t>1</w:t>
      </w:r>
      <w:r>
        <w:t xml:space="preserve">: </w:t>
      </w:r>
      <w:r w:rsidRPr="00E33E41">
        <w:t>Symbolic book cover</w:t>
      </w:r>
    </w:p>
    <w:p w14:paraId="685C065D" w14:textId="2A7E53A6" w:rsidR="008D4405" w:rsidRDefault="008D4405" w:rsidP="008D4405">
      <w:pPr>
        <w:pStyle w:val="SWCHeading1"/>
      </w:pPr>
      <w:r w:rsidRPr="008D4405">
        <w:t>Content</w:t>
      </w:r>
    </w:p>
    <w:p w14:paraId="20C9465A" w14:textId="77777777" w:rsidR="00E33E41" w:rsidRPr="008C3717" w:rsidRDefault="008D4405" w:rsidP="007C1632">
      <w:pPr>
        <w:pStyle w:val="SWCText"/>
        <w:rPr>
          <w:lang w:val="en-GB"/>
        </w:rPr>
      </w:pPr>
      <w:r w:rsidRPr="008C3717">
        <w:rPr>
          <w:lang w:val="en-GB"/>
        </w:rPr>
        <w:t>The book takes the pulse of research that has been developed in recent years across countries and continents. Most authors are members of the IEA SHC Task 70 Subtask B – Visual and non-visual User Requirements. In addition, the expertise from all other subtasks is included, namely A – Low Carbon Lighting and Passive Solar, C – Digitalized Lighting Solutions, and D – Lab and Field Study Performance Tracking. The content of the book is literary based on thirty-four recently published scientific articles or doctoral thesis</w:t>
      </w:r>
      <w:r w:rsidR="00E33E41" w:rsidRPr="008C3717">
        <w:rPr>
          <w:lang w:val="en-GB"/>
        </w:rPr>
        <w:t xml:space="preserve"> (Figure 2)</w:t>
      </w:r>
      <w:r w:rsidRPr="008C3717">
        <w:rPr>
          <w:lang w:val="en-GB"/>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79"/>
      </w:tblGrid>
      <w:tr w:rsidR="00E812A5" w:rsidRPr="008C3717" w14:paraId="46763472" w14:textId="77777777" w:rsidTr="0081438B">
        <w:trPr>
          <w:trHeight w:val="6293"/>
        </w:trPr>
        <w:tc>
          <w:tcPr>
            <w:tcW w:w="9064" w:type="dxa"/>
          </w:tcPr>
          <w:p w14:paraId="4A51FD7B" w14:textId="02B018E6" w:rsidR="00E812A5" w:rsidRPr="008C3717" w:rsidRDefault="0081438B" w:rsidP="007C1632">
            <w:pPr>
              <w:pStyle w:val="SWCText"/>
              <w:rPr>
                <w:lang w:val="en-GB"/>
              </w:rPr>
            </w:pPr>
            <w:r w:rsidRPr="00E812A5">
              <w:rPr>
                <w:noProof/>
                <w:lang w:val="de-DE"/>
              </w:rPr>
              <w:drawing>
                <wp:anchor distT="0" distB="0" distL="114300" distR="114300" simplePos="0" relativeHeight="251661312" behindDoc="0" locked="0" layoutInCell="1" allowOverlap="1" wp14:anchorId="0154965A" wp14:editId="2EDCD593">
                  <wp:simplePos x="0" y="0"/>
                  <wp:positionH relativeFrom="column">
                    <wp:posOffset>3040380</wp:posOffset>
                  </wp:positionH>
                  <wp:positionV relativeFrom="paragraph">
                    <wp:posOffset>1624542</wp:posOffset>
                  </wp:positionV>
                  <wp:extent cx="1615150" cy="2340000"/>
                  <wp:effectExtent l="152400" t="152400" r="366395" b="365125"/>
                  <wp:wrapNone/>
                  <wp:docPr id="24" name="Grafik 23">
                    <a:extLst xmlns:a="http://schemas.openxmlformats.org/drawingml/2006/main">
                      <a:ext uri="{FF2B5EF4-FFF2-40B4-BE49-F238E27FC236}">
                        <a16:creationId xmlns:a16="http://schemas.microsoft.com/office/drawing/2014/main" id="{0FCD60C6-FC10-8485-91B7-7C604BFE6C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fik 23">
                            <a:extLst>
                              <a:ext uri="{FF2B5EF4-FFF2-40B4-BE49-F238E27FC236}">
                                <a16:creationId xmlns:a16="http://schemas.microsoft.com/office/drawing/2014/main" id="{0FCD60C6-FC10-8485-91B7-7C604BFE6CE2}"/>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15150" cy="234000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E812A5">
              <w:rPr>
                <w:noProof/>
                <w:lang w:val="de-DE"/>
              </w:rPr>
              <w:drawing>
                <wp:anchor distT="0" distB="0" distL="114300" distR="114300" simplePos="0" relativeHeight="251660288" behindDoc="0" locked="0" layoutInCell="1" allowOverlap="1" wp14:anchorId="629E222F" wp14:editId="0AD88116">
                  <wp:simplePos x="0" y="0"/>
                  <wp:positionH relativeFrom="column">
                    <wp:posOffset>2701925</wp:posOffset>
                  </wp:positionH>
                  <wp:positionV relativeFrom="paragraph">
                    <wp:posOffset>6562</wp:posOffset>
                  </wp:positionV>
                  <wp:extent cx="1623121" cy="2340000"/>
                  <wp:effectExtent l="152400" t="152400" r="358140" b="365125"/>
                  <wp:wrapNone/>
                  <wp:docPr id="17" name="Grafik 16">
                    <a:extLst xmlns:a="http://schemas.openxmlformats.org/drawingml/2006/main">
                      <a:ext uri="{FF2B5EF4-FFF2-40B4-BE49-F238E27FC236}">
                        <a16:creationId xmlns:a16="http://schemas.microsoft.com/office/drawing/2014/main" id="{46591DD6-C1CA-6484-5C8C-2FB7959E68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fik 16">
                            <a:extLst>
                              <a:ext uri="{FF2B5EF4-FFF2-40B4-BE49-F238E27FC236}">
                                <a16:creationId xmlns:a16="http://schemas.microsoft.com/office/drawing/2014/main" id="{46591DD6-C1CA-6484-5C8C-2FB7959E686C}"/>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23121" cy="234000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E812A5">
              <w:rPr>
                <w:noProof/>
                <w:lang w:val="de-DE"/>
              </w:rPr>
              <w:drawing>
                <wp:anchor distT="0" distB="0" distL="114300" distR="114300" simplePos="0" relativeHeight="251659264" behindDoc="0" locked="0" layoutInCell="1" allowOverlap="1" wp14:anchorId="6ED13C19" wp14:editId="743AB256">
                  <wp:simplePos x="0" y="0"/>
                  <wp:positionH relativeFrom="column">
                    <wp:posOffset>1163955</wp:posOffset>
                  </wp:positionH>
                  <wp:positionV relativeFrom="paragraph">
                    <wp:posOffset>1482513</wp:posOffset>
                  </wp:positionV>
                  <wp:extent cx="1628497" cy="2340000"/>
                  <wp:effectExtent l="152400" t="152400" r="353060" b="365125"/>
                  <wp:wrapNone/>
                  <wp:docPr id="13" name="Grafik 12">
                    <a:extLst xmlns:a="http://schemas.openxmlformats.org/drawingml/2006/main">
                      <a:ext uri="{FF2B5EF4-FFF2-40B4-BE49-F238E27FC236}">
                        <a16:creationId xmlns:a16="http://schemas.microsoft.com/office/drawing/2014/main" id="{619C3F94-5975-EAD1-E0DB-BE0DCA6022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 12">
                            <a:extLst>
                              <a:ext uri="{FF2B5EF4-FFF2-40B4-BE49-F238E27FC236}">
                                <a16:creationId xmlns:a16="http://schemas.microsoft.com/office/drawing/2014/main" id="{619C3F94-5975-EAD1-E0DB-BE0DCA602232}"/>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28497" cy="234000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E812A5">
              <w:rPr>
                <w:noProof/>
                <w:lang w:val="de-DE"/>
              </w:rPr>
              <w:drawing>
                <wp:anchor distT="0" distB="0" distL="114300" distR="114300" simplePos="0" relativeHeight="251658240" behindDoc="0" locked="0" layoutInCell="1" allowOverlap="1" wp14:anchorId="74EE04EA" wp14:editId="0419FE3A">
                  <wp:simplePos x="0" y="0"/>
                  <wp:positionH relativeFrom="column">
                    <wp:posOffset>673947</wp:posOffset>
                  </wp:positionH>
                  <wp:positionV relativeFrom="paragraph">
                    <wp:posOffset>53975</wp:posOffset>
                  </wp:positionV>
                  <wp:extent cx="1603528" cy="2340000"/>
                  <wp:effectExtent l="152400" t="152400" r="358775" b="365125"/>
                  <wp:wrapNone/>
                  <wp:docPr id="6" name="Grafik 5">
                    <a:extLst xmlns:a="http://schemas.openxmlformats.org/drawingml/2006/main">
                      <a:ext uri="{FF2B5EF4-FFF2-40B4-BE49-F238E27FC236}">
                        <a16:creationId xmlns:a16="http://schemas.microsoft.com/office/drawing/2014/main" id="{93873AD0-825A-2E6C-3125-37BB5ACE4E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5">
                            <a:extLst>
                              <a:ext uri="{FF2B5EF4-FFF2-40B4-BE49-F238E27FC236}">
                                <a16:creationId xmlns:a16="http://schemas.microsoft.com/office/drawing/2014/main" id="{93873AD0-825A-2E6C-3125-37BB5ACE4EA3}"/>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03528" cy="234000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E812A5" w:rsidRPr="008C3717">
              <w:rPr>
                <w:lang w:val="en-GB"/>
              </w:rPr>
              <w:t xml:space="preserve">   </w:t>
            </w:r>
          </w:p>
        </w:tc>
      </w:tr>
    </w:tbl>
    <w:p w14:paraId="2256A87A" w14:textId="77777777" w:rsidR="00994515" w:rsidRDefault="00994515" w:rsidP="00E33E41">
      <w:pPr>
        <w:pStyle w:val="SWCTableFigureCaption"/>
      </w:pPr>
    </w:p>
    <w:p w14:paraId="58DDBDDA" w14:textId="017FE3E6" w:rsidR="00E33E41" w:rsidRDefault="00E33E41" w:rsidP="00E33E41">
      <w:pPr>
        <w:pStyle w:val="SWCTableFigureCaption"/>
      </w:pPr>
      <w:r>
        <w:t xml:space="preserve">Fig. 2: </w:t>
      </w:r>
      <w:r w:rsidRPr="00E33E41">
        <w:t>Example of one of thirty-four articles comprising the book</w:t>
      </w:r>
    </w:p>
    <w:p w14:paraId="52EB9C23" w14:textId="0343BE07" w:rsidR="008D4405" w:rsidRPr="008C3717" w:rsidRDefault="008D4405" w:rsidP="007C1632">
      <w:pPr>
        <w:pStyle w:val="SWCText"/>
        <w:rPr>
          <w:lang w:val="en-GB"/>
        </w:rPr>
      </w:pPr>
      <w:r w:rsidRPr="008C3717">
        <w:rPr>
          <w:lang w:val="en-GB"/>
        </w:rPr>
        <w:lastRenderedPageBreak/>
        <w:t>Each article is shortened to about six pages, which helps to convey the new scientific discoveries in a short, simple, and convincing way. Illustrations are carefully chosen and adjusted to the research topic and to the book’s layout. The articles are structured in six parts.</w:t>
      </w:r>
    </w:p>
    <w:p w14:paraId="548F50FA" w14:textId="77777777" w:rsidR="008D4405" w:rsidRPr="008D4405" w:rsidRDefault="008D4405" w:rsidP="008D4405">
      <w:pPr>
        <w:pStyle w:val="SWCText"/>
      </w:pPr>
      <w:r w:rsidRPr="008D4405">
        <w:t>Part 1. Visual Stress &amp; Mitigation: Improved understanding of the visual environment for humans</w:t>
      </w:r>
    </w:p>
    <w:p w14:paraId="1922604A" w14:textId="38B7F40A" w:rsidR="008D4405" w:rsidRPr="008D4405" w:rsidRDefault="008D4405" w:rsidP="008D4405">
      <w:pPr>
        <w:pStyle w:val="SWCText"/>
      </w:pPr>
      <w:r w:rsidRPr="008D4405">
        <w:t>Part 2. Window View: Understanding of window view. Relationship between window view and urban morphology</w:t>
      </w:r>
    </w:p>
    <w:p w14:paraId="56D4BCB7" w14:textId="77777777" w:rsidR="008D4405" w:rsidRPr="008D4405" w:rsidRDefault="008D4405" w:rsidP="008D4405">
      <w:pPr>
        <w:pStyle w:val="SWCText"/>
      </w:pPr>
      <w:r w:rsidRPr="008D4405">
        <w:t>Part 3. Non-Visual Effects: New developments in non-visual aspects. Measurement and assessment methods of non-visual aspects</w:t>
      </w:r>
    </w:p>
    <w:p w14:paraId="3A589D69" w14:textId="77777777" w:rsidR="008D4405" w:rsidRPr="008D4405" w:rsidRDefault="008D4405" w:rsidP="008D4405">
      <w:pPr>
        <w:pStyle w:val="SWCText"/>
      </w:pPr>
      <w:r w:rsidRPr="008D4405">
        <w:t>Part 4. Digital Tools: Digital tools and emerging technologies</w:t>
      </w:r>
    </w:p>
    <w:p w14:paraId="749B9251" w14:textId="77777777" w:rsidR="008D4405" w:rsidRPr="008D4405" w:rsidRDefault="008D4405" w:rsidP="008D4405">
      <w:pPr>
        <w:pStyle w:val="SWCText"/>
      </w:pPr>
      <w:r w:rsidRPr="008D4405">
        <w:t>Part 5. Case Study: Applied case studies and practical implementation</w:t>
      </w:r>
    </w:p>
    <w:p w14:paraId="7BE64509" w14:textId="0F493114" w:rsidR="008D4405" w:rsidRDefault="008D4405" w:rsidP="008D4405">
      <w:pPr>
        <w:pStyle w:val="SWCText"/>
      </w:pPr>
      <w:r w:rsidRPr="008C3717">
        <w:rPr>
          <w:lang w:val="en-GB"/>
        </w:rPr>
        <w:t>Part 6. Carbon Footprint: Carbon footprint and sustainability considerations</w:t>
      </w:r>
    </w:p>
    <w:p w14:paraId="757AA318" w14:textId="77777777" w:rsidR="00E33E41" w:rsidRPr="00E33E41" w:rsidRDefault="00E33E41" w:rsidP="00E33E41">
      <w:pPr>
        <w:pStyle w:val="SWCHeading1"/>
      </w:pPr>
      <w:r w:rsidRPr="00E33E41">
        <w:t>Publication</w:t>
      </w:r>
    </w:p>
    <w:p w14:paraId="1B25A7D5" w14:textId="12567710" w:rsidR="008D4405" w:rsidRPr="008C3717" w:rsidRDefault="008C3717" w:rsidP="00E33E41">
      <w:pPr>
        <w:pStyle w:val="SWCText"/>
        <w:rPr>
          <w:lang w:val="en-GB"/>
        </w:rPr>
      </w:pPr>
      <w:r>
        <w:rPr>
          <w:lang w:val="en-GB"/>
        </w:rPr>
        <w:t>The book is planned to be published end of</w:t>
      </w:r>
      <w:r w:rsidR="00E33E41" w:rsidRPr="008C3717">
        <w:rPr>
          <w:lang w:val="en-GB"/>
        </w:rPr>
        <w:t xml:space="preserve"> 2026 in the IEA SHC Book Series with Wiley: https://www.iea-shc.org/shc-book-series</w:t>
      </w:r>
    </w:p>
    <w:sectPr w:rsidR="008D4405" w:rsidRPr="008C3717" w:rsidSect="00650BA1">
      <w:footnotePr>
        <w:numRestart w:val="eachPage"/>
      </w:footnotePr>
      <w:pgSz w:w="11908" w:h="16838" w:code="9"/>
      <w:pgMar w:top="902" w:right="1228" w:bottom="1079" w:left="1701" w:header="284" w:footer="284" w:gutter="0"/>
      <w:cols w:space="34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FF438" w14:textId="77777777" w:rsidR="006A6927" w:rsidRDefault="006A6927">
      <w:r>
        <w:separator/>
      </w:r>
    </w:p>
  </w:endnote>
  <w:endnote w:type="continuationSeparator" w:id="0">
    <w:p w14:paraId="17E0AF3F" w14:textId="77777777" w:rsidR="006A6927" w:rsidRDefault="006A6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3D67D" w14:textId="77777777" w:rsidR="006A6927" w:rsidRDefault="006A6927">
      <w:r>
        <w:separator/>
      </w:r>
    </w:p>
  </w:footnote>
  <w:footnote w:type="continuationSeparator" w:id="0">
    <w:p w14:paraId="54ADABF8" w14:textId="77777777" w:rsidR="006A6927" w:rsidRDefault="006A69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Aufzhlungszeichen"/>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1"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6"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7"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640279AF"/>
    <w:multiLevelType w:val="hybridMultilevel"/>
    <w:tmpl w:val="6AEA0D5A"/>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0"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11"/>
  </w:num>
  <w:num w:numId="3" w16cid:durableId="1779980318">
    <w:abstractNumId w:val="10"/>
  </w:num>
  <w:num w:numId="4" w16cid:durableId="691154539">
    <w:abstractNumId w:val="22"/>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6"/>
  </w:num>
  <w:num w:numId="11" w16cid:durableId="95492358">
    <w:abstractNumId w:val="18"/>
  </w:num>
  <w:num w:numId="12" w16cid:durableId="355472642">
    <w:abstractNumId w:val="14"/>
  </w:num>
  <w:num w:numId="13" w16cid:durableId="311523580">
    <w:abstractNumId w:val="6"/>
    <w:lvlOverride w:ilvl="0">
      <w:startOverride w:val="1"/>
    </w:lvlOverride>
  </w:num>
  <w:num w:numId="14" w16cid:durableId="1496726486">
    <w:abstractNumId w:val="17"/>
  </w:num>
  <w:num w:numId="15" w16cid:durableId="1806385346">
    <w:abstractNumId w:val="7"/>
  </w:num>
  <w:num w:numId="16" w16cid:durableId="1758162859">
    <w:abstractNumId w:val="13"/>
  </w:num>
  <w:num w:numId="17" w16cid:durableId="569772207">
    <w:abstractNumId w:val="16"/>
  </w:num>
  <w:num w:numId="18" w16cid:durableId="1080835087">
    <w:abstractNumId w:val="20"/>
  </w:num>
  <w:num w:numId="19" w16cid:durableId="1514802717">
    <w:abstractNumId w:val="9"/>
  </w:num>
  <w:num w:numId="20" w16cid:durableId="1328480391">
    <w:abstractNumId w:val="8"/>
  </w:num>
  <w:num w:numId="21" w16cid:durableId="1166094805">
    <w:abstractNumId w:val="12"/>
  </w:num>
  <w:num w:numId="22" w16cid:durableId="679743871">
    <w:abstractNumId w:val="19"/>
  </w:num>
  <w:num w:numId="23" w16cid:durableId="612976666">
    <w:abstractNumId w:val="15"/>
  </w:num>
  <w:num w:numId="24" w16cid:durableId="782998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trackedChanges" w:enforcement="0"/>
  <w:defaultTabStop w:val="720"/>
  <w:hyphenationZone w:val="425"/>
  <w:drawingGridHorizontalSpacing w:val="120"/>
  <w:displayHorizontalDrawingGridEvery w:val="2"/>
  <w:noPunctuationKerning/>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5037"/>
    <w:rsid w:val="000067DB"/>
    <w:rsid w:val="00010262"/>
    <w:rsid w:val="0002379F"/>
    <w:rsid w:val="00031F13"/>
    <w:rsid w:val="0004235D"/>
    <w:rsid w:val="0005003E"/>
    <w:rsid w:val="000533E4"/>
    <w:rsid w:val="000534F5"/>
    <w:rsid w:val="00053E02"/>
    <w:rsid w:val="00055DB9"/>
    <w:rsid w:val="00057B5E"/>
    <w:rsid w:val="00066B26"/>
    <w:rsid w:val="00066F72"/>
    <w:rsid w:val="000678AC"/>
    <w:rsid w:val="000712A1"/>
    <w:rsid w:val="00074DBF"/>
    <w:rsid w:val="00092ED5"/>
    <w:rsid w:val="0009315C"/>
    <w:rsid w:val="000A0ADB"/>
    <w:rsid w:val="000A1CC8"/>
    <w:rsid w:val="000A30A5"/>
    <w:rsid w:val="000A36B5"/>
    <w:rsid w:val="000A52A1"/>
    <w:rsid w:val="000B04BE"/>
    <w:rsid w:val="000B09B5"/>
    <w:rsid w:val="000B1F4D"/>
    <w:rsid w:val="000C2344"/>
    <w:rsid w:val="000C2555"/>
    <w:rsid w:val="000D64B9"/>
    <w:rsid w:val="000D6E1A"/>
    <w:rsid w:val="000E1855"/>
    <w:rsid w:val="000E6CBA"/>
    <w:rsid w:val="000F739B"/>
    <w:rsid w:val="0010501A"/>
    <w:rsid w:val="00115D3B"/>
    <w:rsid w:val="0013222F"/>
    <w:rsid w:val="00136177"/>
    <w:rsid w:val="0015090D"/>
    <w:rsid w:val="00150B42"/>
    <w:rsid w:val="00155FB8"/>
    <w:rsid w:val="00157CE5"/>
    <w:rsid w:val="001647D2"/>
    <w:rsid w:val="00166C42"/>
    <w:rsid w:val="00176EF6"/>
    <w:rsid w:val="001904A7"/>
    <w:rsid w:val="0019232E"/>
    <w:rsid w:val="00194E9A"/>
    <w:rsid w:val="001968B5"/>
    <w:rsid w:val="001969B9"/>
    <w:rsid w:val="001A117A"/>
    <w:rsid w:val="001A775B"/>
    <w:rsid w:val="001A7F40"/>
    <w:rsid w:val="001B13D6"/>
    <w:rsid w:val="001B6BCF"/>
    <w:rsid w:val="001B7B01"/>
    <w:rsid w:val="001C3A3D"/>
    <w:rsid w:val="001C63A2"/>
    <w:rsid w:val="001D0384"/>
    <w:rsid w:val="001D4912"/>
    <w:rsid w:val="001E2B93"/>
    <w:rsid w:val="001F1AAA"/>
    <w:rsid w:val="001F2881"/>
    <w:rsid w:val="00205626"/>
    <w:rsid w:val="00206116"/>
    <w:rsid w:val="00212628"/>
    <w:rsid w:val="0022299B"/>
    <w:rsid w:val="00225724"/>
    <w:rsid w:val="002331FE"/>
    <w:rsid w:val="00243214"/>
    <w:rsid w:val="002470B2"/>
    <w:rsid w:val="00247A55"/>
    <w:rsid w:val="00257EAA"/>
    <w:rsid w:val="002647A0"/>
    <w:rsid w:val="00266E47"/>
    <w:rsid w:val="00270E75"/>
    <w:rsid w:val="0027288C"/>
    <w:rsid w:val="00273341"/>
    <w:rsid w:val="00281D0B"/>
    <w:rsid w:val="002972D1"/>
    <w:rsid w:val="002A04A9"/>
    <w:rsid w:val="002A39BB"/>
    <w:rsid w:val="002B417A"/>
    <w:rsid w:val="002C089D"/>
    <w:rsid w:val="002C101B"/>
    <w:rsid w:val="002C68AD"/>
    <w:rsid w:val="002D322C"/>
    <w:rsid w:val="002D4864"/>
    <w:rsid w:val="002E5D62"/>
    <w:rsid w:val="002F1386"/>
    <w:rsid w:val="002F1D87"/>
    <w:rsid w:val="002F6B87"/>
    <w:rsid w:val="00303345"/>
    <w:rsid w:val="0031685E"/>
    <w:rsid w:val="003357AC"/>
    <w:rsid w:val="0035638A"/>
    <w:rsid w:val="003605B9"/>
    <w:rsid w:val="00362122"/>
    <w:rsid w:val="00364A52"/>
    <w:rsid w:val="00373F97"/>
    <w:rsid w:val="0037406D"/>
    <w:rsid w:val="00374216"/>
    <w:rsid w:val="0038545D"/>
    <w:rsid w:val="003869E8"/>
    <w:rsid w:val="00391288"/>
    <w:rsid w:val="00393777"/>
    <w:rsid w:val="00395E5A"/>
    <w:rsid w:val="00395F5E"/>
    <w:rsid w:val="0039742D"/>
    <w:rsid w:val="003A3A38"/>
    <w:rsid w:val="003A7DB9"/>
    <w:rsid w:val="003B2055"/>
    <w:rsid w:val="003C0806"/>
    <w:rsid w:val="003C18DE"/>
    <w:rsid w:val="003C1B31"/>
    <w:rsid w:val="003C2B1A"/>
    <w:rsid w:val="003C39C6"/>
    <w:rsid w:val="003C7E95"/>
    <w:rsid w:val="003D0C22"/>
    <w:rsid w:val="003D6941"/>
    <w:rsid w:val="003E1E1C"/>
    <w:rsid w:val="003F0403"/>
    <w:rsid w:val="003F5B99"/>
    <w:rsid w:val="004019FD"/>
    <w:rsid w:val="00403E6A"/>
    <w:rsid w:val="004053B5"/>
    <w:rsid w:val="0040615A"/>
    <w:rsid w:val="00411E29"/>
    <w:rsid w:val="004127FA"/>
    <w:rsid w:val="0042033E"/>
    <w:rsid w:val="004357AD"/>
    <w:rsid w:val="00453296"/>
    <w:rsid w:val="00467DFD"/>
    <w:rsid w:val="00476879"/>
    <w:rsid w:val="00490F10"/>
    <w:rsid w:val="00493C81"/>
    <w:rsid w:val="00494006"/>
    <w:rsid w:val="004A14C9"/>
    <w:rsid w:val="004A3506"/>
    <w:rsid w:val="004B0CD4"/>
    <w:rsid w:val="004C39AD"/>
    <w:rsid w:val="004C4EE9"/>
    <w:rsid w:val="004E5D79"/>
    <w:rsid w:val="004F4904"/>
    <w:rsid w:val="004F5FF9"/>
    <w:rsid w:val="00500640"/>
    <w:rsid w:val="00500D7D"/>
    <w:rsid w:val="005067AC"/>
    <w:rsid w:val="00514890"/>
    <w:rsid w:val="0051584D"/>
    <w:rsid w:val="00521A24"/>
    <w:rsid w:val="0053048D"/>
    <w:rsid w:val="00532138"/>
    <w:rsid w:val="0053532A"/>
    <w:rsid w:val="005404F1"/>
    <w:rsid w:val="00544D85"/>
    <w:rsid w:val="00550776"/>
    <w:rsid w:val="00556004"/>
    <w:rsid w:val="00566460"/>
    <w:rsid w:val="0057075C"/>
    <w:rsid w:val="005721F8"/>
    <w:rsid w:val="005836C7"/>
    <w:rsid w:val="00587B8A"/>
    <w:rsid w:val="005A74E4"/>
    <w:rsid w:val="005B3E86"/>
    <w:rsid w:val="005B6F55"/>
    <w:rsid w:val="005D1066"/>
    <w:rsid w:val="005D5CF6"/>
    <w:rsid w:val="005E04EA"/>
    <w:rsid w:val="005E0D7D"/>
    <w:rsid w:val="005E7208"/>
    <w:rsid w:val="005F106F"/>
    <w:rsid w:val="00607C4E"/>
    <w:rsid w:val="00613AF9"/>
    <w:rsid w:val="0061732F"/>
    <w:rsid w:val="00620700"/>
    <w:rsid w:val="0062257E"/>
    <w:rsid w:val="00625BC2"/>
    <w:rsid w:val="00627E34"/>
    <w:rsid w:val="006309AA"/>
    <w:rsid w:val="00633473"/>
    <w:rsid w:val="006379BD"/>
    <w:rsid w:val="0064403B"/>
    <w:rsid w:val="006500EC"/>
    <w:rsid w:val="00650BA1"/>
    <w:rsid w:val="00652071"/>
    <w:rsid w:val="00652D7E"/>
    <w:rsid w:val="00653551"/>
    <w:rsid w:val="0065563B"/>
    <w:rsid w:val="00665471"/>
    <w:rsid w:val="006722C6"/>
    <w:rsid w:val="00672F13"/>
    <w:rsid w:val="00692D7F"/>
    <w:rsid w:val="006A0AE2"/>
    <w:rsid w:val="006A2F10"/>
    <w:rsid w:val="006A6927"/>
    <w:rsid w:val="006A77D0"/>
    <w:rsid w:val="006B3D49"/>
    <w:rsid w:val="006B4C9F"/>
    <w:rsid w:val="006C756C"/>
    <w:rsid w:val="006D19E1"/>
    <w:rsid w:val="006D4A96"/>
    <w:rsid w:val="006F3259"/>
    <w:rsid w:val="006F5B85"/>
    <w:rsid w:val="00702AE0"/>
    <w:rsid w:val="00713D37"/>
    <w:rsid w:val="007174DA"/>
    <w:rsid w:val="00722B51"/>
    <w:rsid w:val="00725ED2"/>
    <w:rsid w:val="007400DF"/>
    <w:rsid w:val="007535ED"/>
    <w:rsid w:val="0075406E"/>
    <w:rsid w:val="00756702"/>
    <w:rsid w:val="00762EA3"/>
    <w:rsid w:val="007763CB"/>
    <w:rsid w:val="007804A7"/>
    <w:rsid w:val="007908F6"/>
    <w:rsid w:val="007954D9"/>
    <w:rsid w:val="007A7952"/>
    <w:rsid w:val="007B0BDB"/>
    <w:rsid w:val="007B33DF"/>
    <w:rsid w:val="007C1632"/>
    <w:rsid w:val="007C36EF"/>
    <w:rsid w:val="007C6BDE"/>
    <w:rsid w:val="007D0678"/>
    <w:rsid w:val="007D1C2C"/>
    <w:rsid w:val="007E7634"/>
    <w:rsid w:val="00800E25"/>
    <w:rsid w:val="00801634"/>
    <w:rsid w:val="0080537B"/>
    <w:rsid w:val="0081438B"/>
    <w:rsid w:val="008219CF"/>
    <w:rsid w:val="008314FC"/>
    <w:rsid w:val="00834062"/>
    <w:rsid w:val="00837104"/>
    <w:rsid w:val="00840E8F"/>
    <w:rsid w:val="0084100F"/>
    <w:rsid w:val="00844F36"/>
    <w:rsid w:val="00845AE3"/>
    <w:rsid w:val="0087241B"/>
    <w:rsid w:val="00883CD1"/>
    <w:rsid w:val="00893500"/>
    <w:rsid w:val="008A0437"/>
    <w:rsid w:val="008A11F0"/>
    <w:rsid w:val="008B618F"/>
    <w:rsid w:val="008C3717"/>
    <w:rsid w:val="008D4405"/>
    <w:rsid w:val="008D44C5"/>
    <w:rsid w:val="008D7E85"/>
    <w:rsid w:val="008E19FF"/>
    <w:rsid w:val="008E53FF"/>
    <w:rsid w:val="008F249D"/>
    <w:rsid w:val="008F54F8"/>
    <w:rsid w:val="009011AA"/>
    <w:rsid w:val="009015EF"/>
    <w:rsid w:val="009044E7"/>
    <w:rsid w:val="00904774"/>
    <w:rsid w:val="00906CC3"/>
    <w:rsid w:val="00917D56"/>
    <w:rsid w:val="00931C9D"/>
    <w:rsid w:val="00933A00"/>
    <w:rsid w:val="00933BFD"/>
    <w:rsid w:val="00941691"/>
    <w:rsid w:val="00942AED"/>
    <w:rsid w:val="00944E25"/>
    <w:rsid w:val="00953F15"/>
    <w:rsid w:val="009642AB"/>
    <w:rsid w:val="00976A7F"/>
    <w:rsid w:val="00982BCB"/>
    <w:rsid w:val="00993F03"/>
    <w:rsid w:val="0099435F"/>
    <w:rsid w:val="00994515"/>
    <w:rsid w:val="00996BC5"/>
    <w:rsid w:val="009A6D34"/>
    <w:rsid w:val="009B4816"/>
    <w:rsid w:val="009C1BA8"/>
    <w:rsid w:val="009C2D0D"/>
    <w:rsid w:val="009C3492"/>
    <w:rsid w:val="009C49C6"/>
    <w:rsid w:val="009C5AA4"/>
    <w:rsid w:val="009D02D4"/>
    <w:rsid w:val="009D60E3"/>
    <w:rsid w:val="009E0D67"/>
    <w:rsid w:val="009E4985"/>
    <w:rsid w:val="009F16C5"/>
    <w:rsid w:val="009F3E11"/>
    <w:rsid w:val="009F6AF8"/>
    <w:rsid w:val="009F6E78"/>
    <w:rsid w:val="009F7A4B"/>
    <w:rsid w:val="009F7C7E"/>
    <w:rsid w:val="00A01148"/>
    <w:rsid w:val="00A31DC5"/>
    <w:rsid w:val="00A40C81"/>
    <w:rsid w:val="00A436CD"/>
    <w:rsid w:val="00A5180B"/>
    <w:rsid w:val="00A55E36"/>
    <w:rsid w:val="00A6457C"/>
    <w:rsid w:val="00A8223C"/>
    <w:rsid w:val="00A8757B"/>
    <w:rsid w:val="00A92044"/>
    <w:rsid w:val="00A9727D"/>
    <w:rsid w:val="00AA16B9"/>
    <w:rsid w:val="00AA47DC"/>
    <w:rsid w:val="00AB624E"/>
    <w:rsid w:val="00AC14C0"/>
    <w:rsid w:val="00AC2C09"/>
    <w:rsid w:val="00AC6B6F"/>
    <w:rsid w:val="00AE11FC"/>
    <w:rsid w:val="00AE6354"/>
    <w:rsid w:val="00AF15AF"/>
    <w:rsid w:val="00AF6EB4"/>
    <w:rsid w:val="00B01141"/>
    <w:rsid w:val="00B02E33"/>
    <w:rsid w:val="00B04CF2"/>
    <w:rsid w:val="00B12803"/>
    <w:rsid w:val="00B214A1"/>
    <w:rsid w:val="00B22D5C"/>
    <w:rsid w:val="00B263F0"/>
    <w:rsid w:val="00B2716E"/>
    <w:rsid w:val="00B31661"/>
    <w:rsid w:val="00B32703"/>
    <w:rsid w:val="00B47522"/>
    <w:rsid w:val="00B5097B"/>
    <w:rsid w:val="00B54313"/>
    <w:rsid w:val="00B60B5F"/>
    <w:rsid w:val="00B6496F"/>
    <w:rsid w:val="00B8064D"/>
    <w:rsid w:val="00B80F06"/>
    <w:rsid w:val="00B81FBC"/>
    <w:rsid w:val="00B827C6"/>
    <w:rsid w:val="00B84CEB"/>
    <w:rsid w:val="00B86327"/>
    <w:rsid w:val="00B93F09"/>
    <w:rsid w:val="00BA23FC"/>
    <w:rsid w:val="00BB1390"/>
    <w:rsid w:val="00BC738E"/>
    <w:rsid w:val="00BD0576"/>
    <w:rsid w:val="00BE50D0"/>
    <w:rsid w:val="00BF16FE"/>
    <w:rsid w:val="00C012F5"/>
    <w:rsid w:val="00C068BC"/>
    <w:rsid w:val="00C17081"/>
    <w:rsid w:val="00C20A85"/>
    <w:rsid w:val="00C253AF"/>
    <w:rsid w:val="00C27FD4"/>
    <w:rsid w:val="00C365E2"/>
    <w:rsid w:val="00C44EFB"/>
    <w:rsid w:val="00C55264"/>
    <w:rsid w:val="00C635E7"/>
    <w:rsid w:val="00C6695C"/>
    <w:rsid w:val="00C97946"/>
    <w:rsid w:val="00CA4F91"/>
    <w:rsid w:val="00CA7ABB"/>
    <w:rsid w:val="00CB57E5"/>
    <w:rsid w:val="00CB7EE8"/>
    <w:rsid w:val="00CC0BDA"/>
    <w:rsid w:val="00CC3B0C"/>
    <w:rsid w:val="00CC445A"/>
    <w:rsid w:val="00CD4EFC"/>
    <w:rsid w:val="00CE432C"/>
    <w:rsid w:val="00CE6DBB"/>
    <w:rsid w:val="00D0520C"/>
    <w:rsid w:val="00D14555"/>
    <w:rsid w:val="00D17DCC"/>
    <w:rsid w:val="00D31359"/>
    <w:rsid w:val="00D32EF0"/>
    <w:rsid w:val="00D34665"/>
    <w:rsid w:val="00D35E52"/>
    <w:rsid w:val="00D36FA6"/>
    <w:rsid w:val="00D41E9A"/>
    <w:rsid w:val="00D53F31"/>
    <w:rsid w:val="00D5584D"/>
    <w:rsid w:val="00D62269"/>
    <w:rsid w:val="00D62EDC"/>
    <w:rsid w:val="00D63D44"/>
    <w:rsid w:val="00D976DC"/>
    <w:rsid w:val="00DA244B"/>
    <w:rsid w:val="00DA7F88"/>
    <w:rsid w:val="00DB52E7"/>
    <w:rsid w:val="00DC0318"/>
    <w:rsid w:val="00DD1D5F"/>
    <w:rsid w:val="00DE0269"/>
    <w:rsid w:val="00E012C5"/>
    <w:rsid w:val="00E023A9"/>
    <w:rsid w:val="00E07D1B"/>
    <w:rsid w:val="00E1006D"/>
    <w:rsid w:val="00E218E2"/>
    <w:rsid w:val="00E22006"/>
    <w:rsid w:val="00E23FEE"/>
    <w:rsid w:val="00E33E41"/>
    <w:rsid w:val="00E53F82"/>
    <w:rsid w:val="00E548A7"/>
    <w:rsid w:val="00E57E49"/>
    <w:rsid w:val="00E61C50"/>
    <w:rsid w:val="00E65D4A"/>
    <w:rsid w:val="00E7237D"/>
    <w:rsid w:val="00E812A5"/>
    <w:rsid w:val="00E917F8"/>
    <w:rsid w:val="00E9249A"/>
    <w:rsid w:val="00EA34C6"/>
    <w:rsid w:val="00EA50D7"/>
    <w:rsid w:val="00EA56BF"/>
    <w:rsid w:val="00EC3533"/>
    <w:rsid w:val="00ED62B3"/>
    <w:rsid w:val="00ED7123"/>
    <w:rsid w:val="00EE40FA"/>
    <w:rsid w:val="00EF2F33"/>
    <w:rsid w:val="00EF596C"/>
    <w:rsid w:val="00F0298C"/>
    <w:rsid w:val="00F07750"/>
    <w:rsid w:val="00F10047"/>
    <w:rsid w:val="00F239B4"/>
    <w:rsid w:val="00F30A77"/>
    <w:rsid w:val="00F42737"/>
    <w:rsid w:val="00F4393F"/>
    <w:rsid w:val="00F46A3A"/>
    <w:rsid w:val="00F5375D"/>
    <w:rsid w:val="00F5454E"/>
    <w:rsid w:val="00F715C3"/>
    <w:rsid w:val="00F718BD"/>
    <w:rsid w:val="00F77F3D"/>
    <w:rsid w:val="00F80507"/>
    <w:rsid w:val="00F83CD3"/>
    <w:rsid w:val="00F85F61"/>
    <w:rsid w:val="00F95487"/>
    <w:rsid w:val="00F95DEF"/>
    <w:rsid w:val="00FA1553"/>
    <w:rsid w:val="00FA4DF8"/>
    <w:rsid w:val="00FB45FB"/>
    <w:rsid w:val="00FC09A1"/>
    <w:rsid w:val="00FC1374"/>
    <w:rsid w:val="00FC1781"/>
    <w:rsid w:val="00FC244F"/>
    <w:rsid w:val="00FD79DA"/>
    <w:rsid w:val="00FE2ADC"/>
    <w:rsid w:val="00FE5997"/>
    <w:rsid w:val="00FF0950"/>
    <w:rsid w:val="00FF5484"/>
    <w:rsid w:val="00FF6BDD"/>
    <w:rsid w:val="0C3545CD"/>
    <w:rsid w:val="0C79E7B2"/>
    <w:rsid w:val="138FE9CB"/>
    <w:rsid w:val="2B8E5DD9"/>
    <w:rsid w:val="2C8553D4"/>
    <w:rsid w:val="2D07F011"/>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1A8223"/>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4C4EE9"/>
    <w:rPr>
      <w:sz w:val="24"/>
      <w:szCs w:val="24"/>
      <w:lang w:val="de-DE" w:eastAsia="de-DE"/>
    </w:rPr>
  </w:style>
  <w:style w:type="paragraph" w:styleId="berschrift1">
    <w:name w:val="heading 1"/>
    <w:basedOn w:val="Standard"/>
    <w:next w:val="Standard"/>
    <w:rsid w:val="004C4EE9"/>
    <w:pPr>
      <w:keepNext/>
      <w:outlineLvl w:val="0"/>
    </w:pPr>
    <w:rPr>
      <w:b/>
      <w:sz w:val="28"/>
      <w:szCs w:val="20"/>
      <w:lang w:val="en-GB"/>
    </w:rPr>
  </w:style>
  <w:style w:type="paragraph" w:styleId="berschrift2">
    <w:name w:val="heading 2"/>
    <w:basedOn w:val="Standard"/>
    <w:next w:val="Standard"/>
    <w:autoRedefine/>
    <w:rsid w:val="004C4EE9"/>
    <w:pPr>
      <w:keepNext/>
      <w:spacing w:before="240" w:after="60"/>
      <w:outlineLvl w:val="1"/>
    </w:pPr>
    <w:rPr>
      <w:rFonts w:cs="Arial"/>
      <w:bCs/>
      <w:iCs/>
      <w:sz w:val="22"/>
      <w:szCs w:val="22"/>
    </w:rPr>
  </w:style>
  <w:style w:type="paragraph" w:styleId="berschrift3">
    <w:name w:val="heading 3"/>
    <w:basedOn w:val="Standard"/>
    <w:next w:val="Standard"/>
    <w:autoRedefine/>
    <w:rsid w:val="004C4EE9"/>
    <w:pPr>
      <w:keepNext/>
      <w:outlineLvl w:val="2"/>
    </w:pPr>
    <w:rPr>
      <w:b/>
      <w:lang w:val="en-GB"/>
    </w:rPr>
  </w:style>
  <w:style w:type="paragraph" w:styleId="berschrift4">
    <w:name w:val="heading 4"/>
    <w:basedOn w:val="Standard"/>
    <w:next w:val="Standard"/>
    <w:rsid w:val="004C4EE9"/>
    <w:pPr>
      <w:keepNext/>
      <w:spacing w:before="240" w:after="60"/>
      <w:outlineLvl w:val="3"/>
    </w:pPr>
    <w:rPr>
      <w:b/>
      <w:bCs/>
      <w:sz w:val="28"/>
      <w:szCs w:val="28"/>
    </w:rPr>
  </w:style>
  <w:style w:type="paragraph" w:styleId="berschrift5">
    <w:name w:val="heading 5"/>
    <w:basedOn w:val="Standard"/>
    <w:next w:val="Standard"/>
    <w:autoRedefine/>
    <w:rsid w:val="004C4EE9"/>
    <w:pPr>
      <w:keepNext/>
      <w:outlineLvl w:val="4"/>
    </w:pPr>
    <w:rPr>
      <w:b/>
      <w:sz w:val="20"/>
      <w:szCs w:val="20"/>
      <w:lang w:val="en-GB"/>
    </w:rPr>
  </w:style>
  <w:style w:type="paragraph" w:styleId="berschrift6">
    <w:name w:val="heading 6"/>
    <w:basedOn w:val="Standard"/>
    <w:next w:val="Standard"/>
    <w:autoRedefine/>
    <w:rsid w:val="004C4EE9"/>
    <w:pPr>
      <w:keepNext/>
      <w:jc w:val="center"/>
      <w:outlineLvl w:val="5"/>
    </w:pPr>
    <w:rPr>
      <w:rFonts w:cs="Arial"/>
      <w:color w:val="000000"/>
      <w:sz w:val="22"/>
      <w:szCs w:val="22"/>
    </w:rPr>
  </w:style>
  <w:style w:type="paragraph" w:styleId="berschrift7">
    <w:name w:val="heading 7"/>
    <w:basedOn w:val="Standard"/>
    <w:next w:val="Standard"/>
    <w:rsid w:val="004C4EE9"/>
    <w:pPr>
      <w:spacing w:before="240" w:after="60"/>
      <w:outlineLvl w:val="6"/>
    </w:pPr>
  </w:style>
  <w:style w:type="paragraph" w:styleId="berschrift8">
    <w:name w:val="heading 8"/>
    <w:basedOn w:val="Standard"/>
    <w:next w:val="Standard"/>
    <w:rsid w:val="004C4EE9"/>
    <w:pPr>
      <w:spacing w:before="240" w:after="60"/>
      <w:outlineLvl w:val="7"/>
    </w:pPr>
    <w:rPr>
      <w:i/>
      <w:iCs/>
    </w:rPr>
  </w:style>
  <w:style w:type="paragraph" w:styleId="berschrift9">
    <w:name w:val="heading 9"/>
    <w:basedOn w:val="Standard"/>
    <w:next w:val="Standard"/>
    <w:rsid w:val="004C4EE9"/>
    <w:pPr>
      <w:spacing w:before="240" w:after="60"/>
      <w:outlineLvl w:val="8"/>
    </w:pPr>
    <w:rPr>
      <w:rFonts w:ascii="Arial" w:hAnsi="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ufzhlungszeichen">
    <w:name w:val="List Bullet"/>
    <w:basedOn w:val="Standard"/>
    <w:autoRedefine/>
    <w:rsid w:val="00A55E36"/>
    <w:pPr>
      <w:numPr>
        <w:numId w:val="1"/>
      </w:numPr>
    </w:pPr>
  </w:style>
  <w:style w:type="character" w:customStyle="1" w:styleId="texto">
    <w:name w:val="texto"/>
    <w:basedOn w:val="Absatz-Standardschriftart"/>
    <w:rsid w:val="00A6457C"/>
  </w:style>
  <w:style w:type="character" w:styleId="Kommentarzeichen">
    <w:name w:val="annotation reference"/>
    <w:basedOn w:val="Absatz-Standardschriftart"/>
    <w:semiHidden/>
    <w:rsid w:val="009E4985"/>
    <w:rPr>
      <w:sz w:val="16"/>
      <w:szCs w:val="16"/>
    </w:rPr>
  </w:style>
  <w:style w:type="paragraph" w:styleId="Kommentartext">
    <w:name w:val="annotation text"/>
    <w:basedOn w:val="Standard"/>
    <w:semiHidden/>
    <w:rsid w:val="009E4985"/>
    <w:rPr>
      <w:sz w:val="20"/>
      <w:szCs w:val="20"/>
    </w:rPr>
  </w:style>
  <w:style w:type="character" w:customStyle="1" w:styleId="SWCBulletedListCar">
    <w:name w:val="SWC_BulletedList Car"/>
    <w:basedOn w:val="Absatz-Standardschriftar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Absatz-Standardschriftart"/>
    <w:link w:val="CPV-7Heading1Character"/>
    <w:rsid w:val="00FE2ADC"/>
    <w:rPr>
      <w:b/>
      <w:color w:val="000000"/>
      <w:sz w:val="22"/>
      <w:szCs w:val="24"/>
      <w:lang w:val="en-US" w:eastAsia="de-DE" w:bidi="ar-SA"/>
    </w:rPr>
  </w:style>
  <w:style w:type="paragraph" w:customStyle="1" w:styleId="SWCHeading11">
    <w:name w:val="SWC_Heading1.1"/>
    <w:basedOn w:val="SWCHeading1"/>
    <w:next w:val="Standard"/>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Kommentarthema">
    <w:name w:val="annotation subject"/>
    <w:basedOn w:val="Kommentartext"/>
    <w:next w:val="Kommentar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Absatz-Standardschriftart"/>
    <w:rsid w:val="005D5CF6"/>
    <w:rPr>
      <w:color w:val="0000FF"/>
      <w:u w:val="single"/>
    </w:rPr>
  </w:style>
  <w:style w:type="paragraph" w:styleId="Sprechblasentext">
    <w:name w:val="Balloon Text"/>
    <w:basedOn w:val="Standard"/>
    <w:semiHidden/>
    <w:rsid w:val="009E4985"/>
    <w:rPr>
      <w:rFonts w:ascii="Tahoma" w:hAnsi="Tahoma" w:cs="Tahoma"/>
      <w:sz w:val="16"/>
      <w:szCs w:val="16"/>
    </w:rPr>
  </w:style>
  <w:style w:type="paragraph" w:customStyle="1" w:styleId="SP09Heading111">
    <w:name w:val="SP09_Heading1.1.1"/>
    <w:basedOn w:val="Standard"/>
    <w:rsid w:val="00DC0318"/>
    <w:pPr>
      <w:spacing w:before="160" w:after="80" w:line="240" w:lineRule="exact"/>
    </w:pPr>
    <w:rPr>
      <w:b/>
      <w:color w:val="000000"/>
      <w:sz w:val="20"/>
      <w:szCs w:val="22"/>
      <w:lang w:val="en-US"/>
    </w:rPr>
  </w:style>
  <w:style w:type="table" w:styleId="Tabellenraster">
    <w:name w:val="Table Grid"/>
    <w:basedOn w:val="NormaleTabelle"/>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Standard"/>
    <w:next w:val="AuthorAdress"/>
    <w:rsid w:val="00155FB8"/>
    <w:pPr>
      <w:spacing w:after="240"/>
      <w:jc w:val="center"/>
    </w:pPr>
    <w:rPr>
      <w:szCs w:val="20"/>
      <w:lang w:val="en-GB" w:eastAsia="es-ES"/>
    </w:rPr>
  </w:style>
  <w:style w:type="paragraph" w:customStyle="1" w:styleId="AuthorAdress">
    <w:name w:val="AuthorAdress"/>
    <w:basedOn w:val="Standard"/>
    <w:next w:val="Affiliations"/>
    <w:rsid w:val="00155FB8"/>
    <w:pPr>
      <w:spacing w:after="120" w:line="320" w:lineRule="atLeast"/>
      <w:jc w:val="center"/>
    </w:pPr>
    <w:rPr>
      <w:i/>
      <w:lang w:val="en-GB" w:eastAsia="es-ES"/>
    </w:rPr>
  </w:style>
  <w:style w:type="paragraph" w:customStyle="1" w:styleId="TableText">
    <w:name w:val="TableText"/>
    <w:basedOn w:val="Standard"/>
    <w:next w:val="Standard"/>
    <w:rsid w:val="00155FB8"/>
    <w:pPr>
      <w:jc w:val="center"/>
    </w:pPr>
    <w:rPr>
      <w:sz w:val="20"/>
      <w:szCs w:val="20"/>
      <w:lang w:val="es-ES" w:eastAsia="es-ES"/>
    </w:rPr>
  </w:style>
  <w:style w:type="paragraph" w:customStyle="1" w:styleId="Text">
    <w:name w:val="Text"/>
    <w:basedOn w:val="Standard"/>
    <w:rsid w:val="009B4816"/>
    <w:pPr>
      <w:spacing w:after="240" w:line="320" w:lineRule="atLeast"/>
      <w:jc w:val="both"/>
    </w:pPr>
    <w:rPr>
      <w:szCs w:val="20"/>
      <w:lang w:val="en-GB" w:eastAsia="es-ES"/>
    </w:rPr>
  </w:style>
  <w:style w:type="paragraph" w:customStyle="1" w:styleId="FigureCaption">
    <w:name w:val="FigureCaption"/>
    <w:basedOn w:val="Standard"/>
    <w:next w:val="Standard"/>
    <w:rsid w:val="00AC2C09"/>
    <w:pPr>
      <w:jc w:val="center"/>
    </w:pPr>
    <w:rPr>
      <w:szCs w:val="20"/>
      <w:lang w:val="es-ES" w:eastAsia="es-ES"/>
    </w:rPr>
  </w:style>
  <w:style w:type="paragraph" w:customStyle="1" w:styleId="Title2">
    <w:name w:val="Title2"/>
    <w:basedOn w:val="Standard"/>
    <w:link w:val="Title2CarCar"/>
    <w:rsid w:val="00AC2C09"/>
    <w:pPr>
      <w:keepNext/>
      <w:spacing w:before="240" w:after="120" w:line="320" w:lineRule="atLeast"/>
    </w:pPr>
    <w:rPr>
      <w:b/>
      <w:szCs w:val="20"/>
      <w:lang w:val="en-GB" w:eastAsia="es-ES"/>
    </w:rPr>
  </w:style>
  <w:style w:type="character" w:customStyle="1" w:styleId="Title2CarCar">
    <w:name w:val="Title2 Car Car"/>
    <w:basedOn w:val="Absatz-Standardschriftar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Standard"/>
    <w:link w:val="SWCHeading1Car"/>
    <w:qFormat/>
    <w:rsid w:val="002972D1"/>
    <w:pPr>
      <w:numPr>
        <w:numId w:val="11"/>
      </w:numPr>
      <w:spacing w:before="360" w:after="120" w:line="280" w:lineRule="exact"/>
      <w:ind w:left="714" w:hanging="357"/>
      <w:jc w:val="center"/>
    </w:pPr>
    <w:rPr>
      <w:rFonts w:ascii="Arial" w:hAnsi="Arial"/>
      <w:b/>
      <w:color w:val="000000"/>
      <w:szCs w:val="24"/>
      <w:lang w:val="en-US" w:eastAsia="de-DE"/>
    </w:rPr>
  </w:style>
  <w:style w:type="paragraph" w:customStyle="1" w:styleId="SP09Heading11">
    <w:name w:val="SP09_Heading1.1"/>
    <w:next w:val="Standard"/>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unotentext">
    <w:name w:val="footnote text"/>
    <w:basedOn w:val="Standard"/>
    <w:semiHidden/>
    <w:rsid w:val="003869E8"/>
    <w:rPr>
      <w:sz w:val="20"/>
      <w:szCs w:val="20"/>
    </w:rPr>
  </w:style>
  <w:style w:type="character" w:styleId="Funotenzeichen">
    <w:name w:val="footnote reference"/>
    <w:basedOn w:val="Absatz-Standardschriftar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Absatz-Standardschriftar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tzhaltertext">
    <w:name w:val="Placeholder Text"/>
    <w:basedOn w:val="Absatz-Standardschriftart"/>
    <w:uiPriority w:val="99"/>
    <w:semiHidden/>
    <w:rsid w:val="00653551"/>
    <w:rPr>
      <w:color w:val="808080"/>
    </w:rPr>
  </w:style>
  <w:style w:type="character" w:customStyle="1" w:styleId="NichtaufgelsteErwhnung1">
    <w:name w:val="Nicht aufgelöste Erwähnung1"/>
    <w:basedOn w:val="Absatz-Standardschriftart"/>
    <w:uiPriority w:val="99"/>
    <w:semiHidden/>
    <w:unhideWhenUsed/>
    <w:rsid w:val="00E218E2"/>
    <w:rPr>
      <w:color w:val="605E5C"/>
      <w:shd w:val="clear" w:color="auto" w:fill="E1DFDD"/>
    </w:rPr>
  </w:style>
  <w:style w:type="paragraph" w:styleId="berarbeitung">
    <w:name w:val="Revision"/>
    <w:hidden/>
    <w:uiPriority w:val="99"/>
    <w:semiHidden/>
    <w:rsid w:val="00FA4DF8"/>
    <w:rPr>
      <w:sz w:val="24"/>
      <w:szCs w:val="24"/>
      <w:lang w:val="de-DE" w:eastAsia="de-DE"/>
    </w:rPr>
  </w:style>
  <w:style w:type="paragraph" w:styleId="Kopfzeile">
    <w:name w:val="header"/>
    <w:basedOn w:val="Standard"/>
    <w:link w:val="KopfzeileZchn"/>
    <w:uiPriority w:val="99"/>
    <w:unhideWhenUsed/>
    <w:rsid w:val="00FC1374"/>
    <w:pPr>
      <w:tabs>
        <w:tab w:val="center" w:pos="4536"/>
        <w:tab w:val="right" w:pos="9072"/>
      </w:tabs>
    </w:pPr>
  </w:style>
  <w:style w:type="character" w:customStyle="1" w:styleId="KopfzeileZchn">
    <w:name w:val="Kopfzeile Zchn"/>
    <w:basedOn w:val="Absatz-Standardschriftart"/>
    <w:link w:val="Kopfzeile"/>
    <w:uiPriority w:val="99"/>
    <w:rsid w:val="00FC1374"/>
    <w:rPr>
      <w:sz w:val="24"/>
      <w:szCs w:val="24"/>
      <w:lang w:val="de-DE" w:eastAsia="de-DE"/>
    </w:rPr>
  </w:style>
  <w:style w:type="paragraph" w:styleId="Fuzeile">
    <w:name w:val="footer"/>
    <w:basedOn w:val="Standard"/>
    <w:link w:val="FuzeileZchn"/>
    <w:uiPriority w:val="99"/>
    <w:unhideWhenUsed/>
    <w:rsid w:val="00FC1374"/>
    <w:pPr>
      <w:tabs>
        <w:tab w:val="center" w:pos="4536"/>
        <w:tab w:val="right" w:pos="9072"/>
      </w:tabs>
    </w:pPr>
  </w:style>
  <w:style w:type="character" w:customStyle="1" w:styleId="FuzeileZchn">
    <w:name w:val="Fußzeile Zchn"/>
    <w:basedOn w:val="Absatz-Standardschriftart"/>
    <w:link w:val="Fuzeile"/>
    <w:uiPriority w:val="99"/>
    <w:rsid w:val="00FC1374"/>
    <w:rPr>
      <w:sz w:val="24"/>
      <w:szCs w:val="24"/>
      <w:lang w:val="de-DE" w:eastAsia="de-DE"/>
    </w:rPr>
  </w:style>
  <w:style w:type="character" w:styleId="NichtaufgelsteErwhnung">
    <w:name w:val="Unresolved Mention"/>
    <w:basedOn w:val="Absatz-Standardschriftart"/>
    <w:uiPriority w:val="99"/>
    <w:semiHidden/>
    <w:unhideWhenUsed/>
    <w:rsid w:val="00650B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719</Words>
  <Characters>4168</Characters>
  <Application>Microsoft Office Word</Application>
  <DocSecurity>0</DocSecurity>
  <Lines>65</Lines>
  <Paragraphs>25</Paragraphs>
  <ScaleCrop>false</ScaleCrop>
  <HeadingPairs>
    <vt:vector size="2" baseType="variant">
      <vt:variant>
        <vt:lpstr>Titel</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Reith, Andreas</cp:lastModifiedBy>
  <cp:revision>68</cp:revision>
  <cp:lastPrinted>2023-02-22T18:40:00Z</cp:lastPrinted>
  <dcterms:created xsi:type="dcterms:W3CDTF">2026-05-19T21:06:00Z</dcterms:created>
  <dcterms:modified xsi:type="dcterms:W3CDTF">2026-09-10T08:06:00Z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