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3F5D5BE4" w14:textId="6BDFE91C" w:rsidR="0063711C" w:rsidRDefault="0063711C" w:rsidP="00B32703">
      <w:pPr>
        <w:pStyle w:val="SWCTitle"/>
        <w:rPr>
          <w:sz w:val="28"/>
          <w:szCs w:val="28"/>
        </w:rPr>
      </w:pPr>
      <w:r>
        <w:rPr>
          <w:sz w:val="28"/>
          <w:szCs w:val="28"/>
        </w:rPr>
        <w:t>INTEGRATING MEDIUM-TEMPERATURE HEAT PUMPS AND BIOMASS CHP IN DISTRICT HEATING NETWORKS: SYSTEM-LEVEL COST, EMISSIONS AND HYDRAULIC TRADE-OFFS</w:t>
      </w:r>
    </w:p>
    <w:p w14:paraId="4B3249DD" w14:textId="404712F0" w:rsidR="0C3545CD" w:rsidRPr="00901953" w:rsidRDefault="0C3545CD" w:rsidP="0C3545CD">
      <w:pPr>
        <w:pStyle w:val="SWCTitle"/>
        <w:spacing w:before="0" w:after="0"/>
        <w:jc w:val="left"/>
        <w:rPr>
          <w:rFonts w:ascii="Times New Roman" w:hAnsi="Times New Roman"/>
          <w:b w:val="0"/>
          <w:sz w:val="20"/>
          <w:szCs w:val="20"/>
        </w:rPr>
      </w:pPr>
    </w:p>
    <w:p w14:paraId="5850DC36" w14:textId="45FBF79C" w:rsidR="006B3D49" w:rsidRPr="006B3D49" w:rsidRDefault="00EB6728" w:rsidP="00E917F8">
      <w:pPr>
        <w:pStyle w:val="SWCTitle"/>
        <w:spacing w:before="0" w:after="0"/>
        <w:jc w:val="left"/>
        <w:rPr>
          <w:rFonts w:ascii="Times New Roman" w:hAnsi="Times New Roman"/>
          <w:b w:val="0"/>
          <w:sz w:val="20"/>
          <w:szCs w:val="20"/>
        </w:rPr>
      </w:pPr>
      <w:r w:rsidRPr="0040581F">
        <w:rPr>
          <w:rFonts w:ascii="Times New Roman" w:hAnsi="Times New Roman"/>
          <w:b w:val="0"/>
          <w:sz w:val="20"/>
          <w:szCs w:val="20"/>
        </w:rPr>
        <w:t>Luca Vittorio Valentini</w:t>
      </w:r>
      <w:r w:rsidR="0C3545CD" w:rsidRPr="0040581F">
        <w:rPr>
          <w:rFonts w:ascii="Times New Roman" w:hAnsi="Times New Roman"/>
          <w:b w:val="0"/>
          <w:sz w:val="20"/>
          <w:szCs w:val="20"/>
        </w:rPr>
        <w:t xml:space="preserve"> (corresponding author), </w:t>
      </w:r>
      <w:r w:rsidRPr="0040581F">
        <w:rPr>
          <w:rFonts w:ascii="Times New Roman" w:hAnsi="Times New Roman"/>
          <w:b w:val="0"/>
          <w:sz w:val="20"/>
          <w:szCs w:val="20"/>
        </w:rPr>
        <w:t>Alexander Thür</w:t>
      </w:r>
      <w:r w:rsidR="0C3545CD" w:rsidRPr="0040581F">
        <w:rPr>
          <w:rFonts w:ascii="Times New Roman" w:hAnsi="Times New Roman"/>
          <w:b w:val="0"/>
          <w:sz w:val="20"/>
          <w:szCs w:val="20"/>
        </w:rPr>
        <w:t xml:space="preserve">, </w:t>
      </w:r>
      <w:r w:rsidRPr="0040581F">
        <w:rPr>
          <w:rFonts w:ascii="Times New Roman" w:hAnsi="Times New Roman"/>
          <w:b w:val="0"/>
          <w:sz w:val="20"/>
          <w:szCs w:val="20"/>
        </w:rPr>
        <w:t>Wolfgang Streicher</w:t>
      </w:r>
    </w:p>
    <w:p w14:paraId="311CE447" w14:textId="6E56F1C3" w:rsidR="006B3D49" w:rsidRPr="006B3D49" w:rsidRDefault="00EB6728"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University of Innsbruck, Unit of Energy Efficient Building</w:t>
      </w:r>
    </w:p>
    <w:p w14:paraId="18FA38F1" w14:textId="1885BABB" w:rsidR="006B3D49" w:rsidRDefault="00EB6728"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luca.valentini@uibk.ac.at</w:t>
      </w:r>
    </w:p>
    <w:p w14:paraId="3A7DF4B5" w14:textId="6F51DBA9" w:rsidR="001A775B" w:rsidRDefault="0C3545CD" w:rsidP="0C3545CD">
      <w:pPr>
        <w:pStyle w:val="SWCSummary"/>
        <w:pBdr>
          <w:bottom w:val="single" w:sz="6" w:space="1" w:color="auto"/>
        </w:pBdr>
      </w:pPr>
      <w:r>
        <w:t>Summary</w:t>
      </w:r>
    </w:p>
    <w:p w14:paraId="14915301" w14:textId="4EACA8EC" w:rsidR="00E41EC8" w:rsidRDefault="00E41EC8" w:rsidP="008A0437">
      <w:pPr>
        <w:pStyle w:val="SWCText"/>
        <w:pBdr>
          <w:bottom w:val="single" w:sz="6" w:space="1" w:color="auto"/>
        </w:pBdr>
      </w:pPr>
      <w:r w:rsidRPr="00E41EC8">
        <w:t xml:space="preserve">This study evaluates system‑level </w:t>
      </w:r>
      <w:r w:rsidR="00761B6C">
        <w:t>impact</w:t>
      </w:r>
      <w:r w:rsidRPr="00E41EC8">
        <w:t xml:space="preserve">s of integrating a </w:t>
      </w:r>
      <w:r w:rsidR="008F0CFA">
        <w:t xml:space="preserve">sewage-water </w:t>
      </w:r>
      <w:r w:rsidRPr="00E41EC8">
        <w:t xml:space="preserve">medium‑temperature heat pump into a planned </w:t>
      </w:r>
      <w:r w:rsidR="0099278F">
        <w:t>4</w:t>
      </w:r>
      <w:r w:rsidR="0099278F" w:rsidRPr="0099278F">
        <w:rPr>
          <w:vertAlign w:val="superscript"/>
        </w:rPr>
        <w:t>th</w:t>
      </w:r>
      <w:r w:rsidR="0099278F">
        <w:t xml:space="preserve"> generation </w:t>
      </w:r>
      <w:r w:rsidRPr="00E41EC8">
        <w:t>district heating (</w:t>
      </w:r>
      <w:r w:rsidR="0099278F">
        <w:t>4G</w:t>
      </w:r>
      <w:r w:rsidRPr="00E41EC8">
        <w:t>DH) network containing a</w:t>
      </w:r>
      <w:r w:rsidR="00714951">
        <w:t xml:space="preserve"> </w:t>
      </w:r>
      <w:r w:rsidRPr="00E41EC8">
        <w:t xml:space="preserve">biomass CHP (internal‑combustion gas engine) and an electric boiler. </w:t>
      </w:r>
      <w:r w:rsidR="00714951">
        <w:t>In this study,</w:t>
      </w:r>
      <w:r w:rsidRPr="00E41EC8">
        <w:t xml:space="preserve"> a </w:t>
      </w:r>
      <w:r w:rsidR="005C248E">
        <w:t>b</w:t>
      </w:r>
      <w:r w:rsidRPr="00E41EC8">
        <w:t>enchmark return‑to‑supply configuration is co</w:t>
      </w:r>
      <w:r w:rsidR="002048F9">
        <w:t>mpar</w:t>
      </w:r>
      <w:r w:rsidRPr="00E41EC8">
        <w:t xml:space="preserve">ed with a </w:t>
      </w:r>
      <w:r w:rsidR="00C61486">
        <w:t>s</w:t>
      </w:r>
      <w:r w:rsidRPr="00E41EC8">
        <w:t xml:space="preserve">tudy case in which the heat pump preheats network return upstream of the CHP, using annual simulations in the Leanheat Network tool with explicit </w:t>
      </w:r>
      <w:r w:rsidR="004C0DFC">
        <w:t>main-pipes</w:t>
      </w:r>
      <w:r w:rsidRPr="00E41EC8">
        <w:t xml:space="preserve"> topology. The Study case reduces annual operating costs by 11.</w:t>
      </w:r>
      <w:r w:rsidR="003E5256">
        <w:t>4</w:t>
      </w:r>
      <w:r w:rsidRPr="00E41EC8">
        <w:t>% (1,</w:t>
      </w:r>
      <w:r w:rsidR="003E5256">
        <w:t>703</w:t>
      </w:r>
      <w:r w:rsidRPr="00E41EC8">
        <w:t xml:space="preserve"> </w:t>
      </w:r>
      <w:r w:rsidR="00144AFA">
        <w:t>vs.</w:t>
      </w:r>
      <w:r w:rsidRPr="00E41EC8">
        <w:t xml:space="preserve"> 1,</w:t>
      </w:r>
      <w:r w:rsidR="003E5256">
        <w:t>510</w:t>
      </w:r>
      <w:r w:rsidRPr="00E41EC8">
        <w:t xml:space="preserve"> </w:t>
      </w:r>
      <w:proofErr w:type="spellStart"/>
      <w:r w:rsidRPr="00E41EC8">
        <w:t>k</w:t>
      </w:r>
      <w:r w:rsidR="00735610">
        <w:t>EUR</w:t>
      </w:r>
      <w:proofErr w:type="spellEnd"/>
      <w:r w:rsidRPr="00E41EC8">
        <w:t>/y</w:t>
      </w:r>
      <w:r w:rsidR="00144AFA">
        <w:t>ear</w:t>
      </w:r>
      <w:r w:rsidRPr="00E41EC8">
        <w:t xml:space="preserve">) and </w:t>
      </w:r>
      <w:r w:rsidR="00DD00F2" w:rsidRPr="00196F7F">
        <w:rPr>
          <w:lang w:val="en-GB"/>
        </w:rPr>
        <w:t>CO</w:t>
      </w:r>
      <w:r w:rsidR="00DD00F2" w:rsidRPr="00196F7F">
        <w:rPr>
          <w:vertAlign w:val="subscript"/>
          <w:lang w:val="en-GB"/>
        </w:rPr>
        <w:t>2</w:t>
      </w:r>
      <w:r w:rsidRPr="00E41EC8">
        <w:t>‑eq. emissions by 15.</w:t>
      </w:r>
      <w:r w:rsidR="002B037D">
        <w:t>0</w:t>
      </w:r>
      <w:r w:rsidRPr="00E41EC8">
        <w:t>% (</w:t>
      </w:r>
      <w:r w:rsidR="003E5256">
        <w:t>801</w:t>
      </w:r>
      <w:r w:rsidRPr="00E41EC8">
        <w:t>.</w:t>
      </w:r>
      <w:r w:rsidR="003E5256">
        <w:t>9</w:t>
      </w:r>
      <w:r w:rsidRPr="00E41EC8">
        <w:t xml:space="preserve"> </w:t>
      </w:r>
      <w:r w:rsidR="00144AFA">
        <w:t>vs.</w:t>
      </w:r>
      <w:r w:rsidRPr="00E41EC8">
        <w:t xml:space="preserve"> 6</w:t>
      </w:r>
      <w:r w:rsidR="003E5256">
        <w:t>8</w:t>
      </w:r>
      <w:r w:rsidRPr="00E41EC8">
        <w:t xml:space="preserve">1.4 t </w:t>
      </w:r>
      <w:r w:rsidR="00DD00F2" w:rsidRPr="00196F7F">
        <w:rPr>
          <w:lang w:val="en-GB"/>
        </w:rPr>
        <w:t>CO</w:t>
      </w:r>
      <w:r w:rsidR="00DD00F2" w:rsidRPr="00196F7F">
        <w:rPr>
          <w:vertAlign w:val="subscript"/>
          <w:lang w:val="en-GB"/>
        </w:rPr>
        <w:t>2</w:t>
      </w:r>
      <w:r w:rsidRPr="00E41EC8">
        <w:t>‑eq./y</w:t>
      </w:r>
      <w:r w:rsidR="00144AFA">
        <w:t>ea</w:t>
      </w:r>
      <w:r w:rsidRPr="00E41EC8">
        <w:t xml:space="preserve">r). Benefits </w:t>
      </w:r>
      <w:r w:rsidR="001A1875">
        <w:t>stem</w:t>
      </w:r>
      <w:r w:rsidRPr="00E41EC8">
        <w:t xml:space="preserve"> mainly from an improved heat‑pump seasonal performance factor (SPF: 2.73 </w:t>
      </w:r>
      <w:r w:rsidR="00144AFA">
        <w:t>vs.</w:t>
      </w:r>
      <w:r w:rsidRPr="00E41EC8">
        <w:t xml:space="preserve"> 3.46) and, secondarily, a 4.5% reduction in network thermal losses (3,939 </w:t>
      </w:r>
      <w:r w:rsidR="00144AFA">
        <w:t>vs.</w:t>
      </w:r>
      <w:r w:rsidRPr="00E41EC8">
        <w:t xml:space="preserve"> 3,761 MWh/y</w:t>
      </w:r>
      <w:r w:rsidR="00144AFA">
        <w:t>ea</w:t>
      </w:r>
      <w:r w:rsidRPr="00E41EC8">
        <w:t xml:space="preserve">r). </w:t>
      </w:r>
      <w:r w:rsidR="003B14C5">
        <w:t xml:space="preserve">The main drawback of the Study case is the increased hydraulic stress due to the reduced supply-return temperature difference: the flow rate through the CHP doubles, and electricity consumption of feeding pumps increases. </w:t>
      </w:r>
      <w:r w:rsidRPr="00E41EC8">
        <w:t>Because CHP performance was modelled as fixed for the studied engine, results are not directly transferable to</w:t>
      </w:r>
      <w:r w:rsidR="00067208">
        <w:t xml:space="preserve"> other</w:t>
      </w:r>
      <w:r w:rsidRPr="00E41EC8">
        <w:t xml:space="preserve"> CHP technologies (e.g., steam turbines or ORC) that are sensitive to condenser or extraction temperature. The authors recommend adopting heat‑pump return preheating for its clear cost and emissions advantages while assessing CHP heat‑exchanger capacity and acceptable operating temperatures early in project planning to ensure reliable combined heat and power performance.</w:t>
      </w:r>
    </w:p>
    <w:p w14:paraId="267A2E4F" w14:textId="1D1149F3" w:rsidR="00EB6728" w:rsidRDefault="00EB6728" w:rsidP="00EB6728">
      <w:pPr>
        <w:pStyle w:val="SWCText"/>
        <w:pBdr>
          <w:bottom w:val="single" w:sz="6" w:space="1" w:color="auto"/>
        </w:pBdr>
        <w:rPr>
          <w:i/>
          <w:iCs/>
        </w:rPr>
      </w:pPr>
      <w:r w:rsidRPr="00A97B94">
        <w:rPr>
          <w:i/>
          <w:iCs/>
        </w:rPr>
        <w:t>Keywords</w:t>
      </w:r>
      <w:r w:rsidRPr="0004545F">
        <w:rPr>
          <w:i/>
          <w:iCs/>
        </w:rPr>
        <w:t xml:space="preserve">: </w:t>
      </w:r>
      <w:r>
        <w:rPr>
          <w:i/>
          <w:iCs/>
        </w:rPr>
        <w:t>district heating networks, heat pumps, ammonia heat pumps for district heating</w:t>
      </w:r>
      <w:r w:rsidR="00407E98">
        <w:rPr>
          <w:i/>
          <w:iCs/>
        </w:rPr>
        <w:t>, combined-heat-and-power</w:t>
      </w:r>
    </w:p>
    <w:p w14:paraId="01458796" w14:textId="0A45C076" w:rsidR="00FA4DF8" w:rsidRDefault="002C089D" w:rsidP="001A775B">
      <w:pPr>
        <w:pStyle w:val="SWCText"/>
        <w:pBdr>
          <w:bottom w:val="single" w:sz="6" w:space="1" w:color="auto"/>
        </w:pBdr>
        <w:rPr>
          <w:i/>
          <w:iCs/>
        </w:rPr>
      </w:pPr>
      <w:r>
        <w:rPr>
          <w:i/>
          <w:iCs/>
        </w:rPr>
        <w:t>Field of application for the findings:</w:t>
      </w:r>
      <w:r w:rsidR="00EB6728">
        <w:rPr>
          <w:i/>
          <w:iCs/>
        </w:rPr>
        <w:t xml:space="preserve"> district heating operation</w:t>
      </w:r>
    </w:p>
    <w:p w14:paraId="185A319D" w14:textId="7B0FE517" w:rsidR="002C089D" w:rsidRDefault="00CC3B0C" w:rsidP="001A775B">
      <w:pPr>
        <w:pStyle w:val="SWCText"/>
        <w:pBdr>
          <w:bottom w:val="single" w:sz="6" w:space="1" w:color="auto"/>
        </w:pBdr>
        <w:rPr>
          <w:i/>
          <w:iCs/>
        </w:rPr>
      </w:pPr>
      <w:r>
        <w:rPr>
          <w:i/>
          <w:iCs/>
        </w:rPr>
        <w:t>Addressed audience:</w:t>
      </w:r>
      <w:r w:rsidR="00EB6728">
        <w:rPr>
          <w:i/>
          <w:iCs/>
        </w:rPr>
        <w:t xml:space="preserve"> researchers</w:t>
      </w:r>
    </w:p>
    <w:p w14:paraId="378F0C31" w14:textId="12A9515F" w:rsidR="00D32EF0" w:rsidRPr="006309AA" w:rsidRDefault="00EB6728" w:rsidP="00490F10">
      <w:pPr>
        <w:pStyle w:val="SWCHeading1"/>
      </w:pPr>
      <w:r>
        <w:t>Introduction</w:t>
      </w:r>
    </w:p>
    <w:p w14:paraId="6F1A7857" w14:textId="576D6CD2" w:rsidR="00EB6728" w:rsidRPr="00196F7F" w:rsidRDefault="00EB6728" w:rsidP="00EB6728">
      <w:pPr>
        <w:pStyle w:val="SWCText"/>
        <w:rPr>
          <w:lang w:val="en-GB"/>
        </w:rPr>
      </w:pPr>
      <w:r w:rsidRPr="00196F7F">
        <w:rPr>
          <w:lang w:val="en-GB"/>
        </w:rPr>
        <w:t>Heat pumps (HPs) are increasingly deployed in district heating (DH) systems as a decarbonization measure. Recent literature describes multiple integration approaches: medium–high-temperature HPs in fourth-generation DH (4GDH) topologies (Sayegh et al.</w:t>
      </w:r>
      <w:r w:rsidR="005C248E">
        <w:rPr>
          <w:lang w:val="en-GB"/>
        </w:rPr>
        <w:t>,</w:t>
      </w:r>
      <w:r w:rsidRPr="00196F7F">
        <w:rPr>
          <w:lang w:val="en-GB"/>
        </w:rPr>
        <w:t xml:space="preserve"> 2018), booster HPs for domestic hot water in fifth‑generation DH (5GDH) (Zhu et al.</w:t>
      </w:r>
      <w:r w:rsidR="005C248E">
        <w:rPr>
          <w:lang w:val="en-GB"/>
        </w:rPr>
        <w:t xml:space="preserve">, </w:t>
      </w:r>
      <w:r w:rsidRPr="00196F7F">
        <w:rPr>
          <w:lang w:val="en-GB"/>
        </w:rPr>
        <w:t>2023), and hybrid configurations combining decentralized HPs with other heat sources in the DH network (Soleimani et al.</w:t>
      </w:r>
      <w:r w:rsidR="005C248E">
        <w:rPr>
          <w:lang w:val="en-GB"/>
        </w:rPr>
        <w:t xml:space="preserve">, </w:t>
      </w:r>
      <w:r w:rsidRPr="00196F7F">
        <w:rPr>
          <w:lang w:val="en-GB"/>
        </w:rPr>
        <w:t>2025). Studies indicate potential operational cost savings and CO</w:t>
      </w:r>
      <w:r w:rsidRPr="00196F7F">
        <w:rPr>
          <w:vertAlign w:val="subscript"/>
          <w:lang w:val="en-GB"/>
        </w:rPr>
        <w:t>2</w:t>
      </w:r>
      <w:r w:rsidRPr="00196F7F">
        <w:rPr>
          <w:lang w:val="en-GB"/>
        </w:rPr>
        <w:t xml:space="preserve"> reductions from DH–HP integration, but the magnitude of benefits depends strongly on how the HP is connected to the heat source and sink (</w:t>
      </w:r>
      <w:proofErr w:type="spellStart"/>
      <w:r w:rsidRPr="00196F7F">
        <w:rPr>
          <w:lang w:val="en-GB"/>
        </w:rPr>
        <w:t>Ommen</w:t>
      </w:r>
      <w:proofErr w:type="spellEnd"/>
      <w:r w:rsidRPr="00196F7F">
        <w:rPr>
          <w:lang w:val="en-GB"/>
        </w:rPr>
        <w:t xml:space="preserve"> et al.</w:t>
      </w:r>
      <w:r w:rsidR="005C248E">
        <w:rPr>
          <w:lang w:val="en-GB"/>
        </w:rPr>
        <w:t xml:space="preserve">, </w:t>
      </w:r>
      <w:r w:rsidRPr="00196F7F">
        <w:rPr>
          <w:lang w:val="en-GB"/>
        </w:rPr>
        <w:t>2014; Barco-Burgos et al.</w:t>
      </w:r>
      <w:r w:rsidR="005C248E">
        <w:rPr>
          <w:lang w:val="en-GB"/>
        </w:rPr>
        <w:t>,</w:t>
      </w:r>
      <w:r w:rsidRPr="00196F7F">
        <w:rPr>
          <w:lang w:val="en-GB"/>
        </w:rPr>
        <w:t xml:space="preserve"> 2022). </w:t>
      </w:r>
    </w:p>
    <w:p w14:paraId="3C82F76A" w14:textId="0D2676D4" w:rsidR="00EB6728" w:rsidRPr="005C5F5D" w:rsidRDefault="00EB6728" w:rsidP="00EB6728">
      <w:pPr>
        <w:pStyle w:val="SWCHeading11"/>
      </w:pPr>
      <w:r w:rsidRPr="005C5F5D">
        <w:t>1.1. Research gap, novelty, and scope</w:t>
      </w:r>
    </w:p>
    <w:p w14:paraId="0EBC9999" w14:textId="13B621C0" w:rsidR="00140A27" w:rsidRDefault="00EB6728" w:rsidP="00196F7F">
      <w:pPr>
        <w:pStyle w:val="SWCHeading11"/>
        <w:jc w:val="both"/>
        <w:rPr>
          <w:rFonts w:ascii="Times New Roman" w:hAnsi="Times New Roman"/>
          <w:i w:val="0"/>
        </w:rPr>
      </w:pPr>
      <w:r w:rsidRPr="00196F7F">
        <w:rPr>
          <w:rFonts w:ascii="Times New Roman" w:hAnsi="Times New Roman"/>
          <w:i w:val="0"/>
        </w:rPr>
        <w:t>Low-temperature HPs can be particularly advantageous when the</w:t>
      </w:r>
      <w:r w:rsidR="00660196">
        <w:rPr>
          <w:rFonts w:ascii="Times New Roman" w:hAnsi="Times New Roman"/>
          <w:i w:val="0"/>
        </w:rPr>
        <w:t>y</w:t>
      </w:r>
      <w:r w:rsidRPr="00196F7F">
        <w:rPr>
          <w:rFonts w:ascii="Times New Roman" w:hAnsi="Times New Roman"/>
          <w:i w:val="0"/>
        </w:rPr>
        <w:t xml:space="preserve"> exploit relatively cool sinks. A pre-heating of the return line, where the HP raises the temperature up to an intermediate temperature level, tends to increase COP/SPF compared to lifting to a warmer sink temperature. Prior numerical examples (</w:t>
      </w:r>
      <w:proofErr w:type="spellStart"/>
      <w:r w:rsidRPr="00196F7F">
        <w:rPr>
          <w:rFonts w:ascii="Times New Roman" w:hAnsi="Times New Roman"/>
          <w:i w:val="0"/>
        </w:rPr>
        <w:t>Ommen</w:t>
      </w:r>
      <w:proofErr w:type="spellEnd"/>
      <w:r w:rsidRPr="00196F7F">
        <w:rPr>
          <w:rFonts w:ascii="Times New Roman" w:hAnsi="Times New Roman"/>
          <w:i w:val="0"/>
        </w:rPr>
        <w:t xml:space="preserve"> et al.</w:t>
      </w:r>
      <w:r w:rsidR="00140A27">
        <w:rPr>
          <w:rFonts w:ascii="Times New Roman" w:hAnsi="Times New Roman"/>
          <w:i w:val="0"/>
        </w:rPr>
        <w:t>,</w:t>
      </w:r>
      <w:r w:rsidRPr="00196F7F">
        <w:rPr>
          <w:rFonts w:ascii="Times New Roman" w:hAnsi="Times New Roman"/>
          <w:i w:val="0"/>
        </w:rPr>
        <w:t xml:space="preserve"> 2014; Barco-Burgos et al.</w:t>
      </w:r>
      <w:r w:rsidR="00140A27">
        <w:rPr>
          <w:rFonts w:ascii="Times New Roman" w:hAnsi="Times New Roman"/>
          <w:i w:val="0"/>
        </w:rPr>
        <w:t xml:space="preserve">, </w:t>
      </w:r>
      <w:r w:rsidRPr="00196F7F">
        <w:rPr>
          <w:rFonts w:ascii="Times New Roman" w:hAnsi="Times New Roman"/>
          <w:i w:val="0"/>
        </w:rPr>
        <w:t xml:space="preserve">2022) report favourable HP performance for pre-heating layouts, but they impose boundary conditions at the </w:t>
      </w:r>
      <w:r w:rsidR="005F2A14">
        <w:rPr>
          <w:rFonts w:ascii="Times New Roman" w:hAnsi="Times New Roman"/>
          <w:i w:val="0"/>
        </w:rPr>
        <w:t>component</w:t>
      </w:r>
      <w:r w:rsidRPr="00196F7F">
        <w:rPr>
          <w:rFonts w:ascii="Times New Roman" w:hAnsi="Times New Roman"/>
          <w:i w:val="0"/>
        </w:rPr>
        <w:t xml:space="preserve"> level rather than modelling network-scale interactions. </w:t>
      </w:r>
      <w:r w:rsidR="00140A27" w:rsidRPr="00140A27">
        <w:rPr>
          <w:rFonts w:ascii="Times New Roman" w:hAnsi="Times New Roman"/>
          <w:i w:val="0"/>
        </w:rPr>
        <w:t xml:space="preserve">Component </w:t>
      </w:r>
      <w:r w:rsidR="00140A27">
        <w:rPr>
          <w:rFonts w:ascii="Times New Roman" w:hAnsi="Times New Roman"/>
          <w:i w:val="0"/>
        </w:rPr>
        <w:t>analysis</w:t>
      </w:r>
      <w:r w:rsidR="00140A27" w:rsidRPr="00140A27">
        <w:rPr>
          <w:rFonts w:ascii="Times New Roman" w:hAnsi="Times New Roman"/>
          <w:i w:val="0"/>
        </w:rPr>
        <w:t xml:space="preserve"> alone do</w:t>
      </w:r>
      <w:r w:rsidR="00140A27">
        <w:rPr>
          <w:rFonts w:ascii="Times New Roman" w:hAnsi="Times New Roman"/>
          <w:i w:val="0"/>
        </w:rPr>
        <w:t>es</w:t>
      </w:r>
      <w:r w:rsidR="00140A27" w:rsidRPr="00140A27">
        <w:rPr>
          <w:rFonts w:ascii="Times New Roman" w:hAnsi="Times New Roman"/>
          <w:i w:val="0"/>
        </w:rPr>
        <w:t xml:space="preserve"> not reveal whether HP pre‑heating helps or harms the system (or by how much): downstream efficiencies and recoverable heat depend on the network’s actual supply</w:t>
      </w:r>
      <w:r w:rsidR="00140A27">
        <w:rPr>
          <w:rFonts w:ascii="Times New Roman" w:hAnsi="Times New Roman"/>
          <w:i w:val="0"/>
        </w:rPr>
        <w:t xml:space="preserve"> and </w:t>
      </w:r>
      <w:r w:rsidR="00140A27" w:rsidRPr="00140A27">
        <w:rPr>
          <w:rFonts w:ascii="Times New Roman" w:hAnsi="Times New Roman"/>
          <w:i w:val="0"/>
        </w:rPr>
        <w:t>return temperatures.</w:t>
      </w:r>
    </w:p>
    <w:p w14:paraId="3C276402" w14:textId="4786D7FB" w:rsidR="00453296" w:rsidRPr="00196F7F" w:rsidRDefault="00EB6728" w:rsidP="007C1632">
      <w:pPr>
        <w:pStyle w:val="SWCText"/>
        <w:rPr>
          <w:lang w:val="en-GB"/>
        </w:rPr>
      </w:pPr>
      <w:r w:rsidRPr="00196F7F">
        <w:rPr>
          <w:lang w:val="en-GB"/>
        </w:rPr>
        <w:t xml:space="preserve">This study explicitly models the hydraulic integration of a medium‑temperature heat pump with two co‑located </w:t>
      </w:r>
      <w:r w:rsidRPr="00196F7F">
        <w:rPr>
          <w:lang w:val="en-GB"/>
        </w:rPr>
        <w:lastRenderedPageBreak/>
        <w:t xml:space="preserve">downstream plants, a biomass combined heat and power (CHP) unit and an electric boiler (P2H), within a </w:t>
      </w:r>
      <w:r w:rsidR="00C34DD2">
        <w:rPr>
          <w:lang w:val="en-GB"/>
        </w:rPr>
        <w:t xml:space="preserve">4GDH </w:t>
      </w:r>
      <w:r w:rsidRPr="00196F7F">
        <w:rPr>
          <w:lang w:val="en-GB"/>
        </w:rPr>
        <w:t xml:space="preserve">network. In the proposed series layout, the HP pre heats the return up to an intermediate temperature level, so the biomass CHP sees elevated inlet temperatures compared with the conventional configuration. </w:t>
      </w:r>
    </w:p>
    <w:p w14:paraId="3D83E22A" w14:textId="5B959837" w:rsidR="003E1E1C" w:rsidRPr="00196F7F" w:rsidRDefault="00EB6728" w:rsidP="00490F10">
      <w:pPr>
        <w:pStyle w:val="SWCHeading1"/>
        <w:rPr>
          <w:lang w:val="en-GB"/>
        </w:rPr>
      </w:pPr>
      <w:r w:rsidRPr="00196F7F">
        <w:rPr>
          <w:lang w:val="en-GB"/>
        </w:rPr>
        <w:t>Methods</w:t>
      </w:r>
    </w:p>
    <w:p w14:paraId="07882D6B" w14:textId="2CB714CD" w:rsidR="00D32EF0" w:rsidRPr="005C5F5D" w:rsidRDefault="00EB6728" w:rsidP="009F7C7E">
      <w:pPr>
        <w:pStyle w:val="SWCHeading11"/>
      </w:pPr>
      <w:r w:rsidRPr="005C5F5D">
        <w:t>2</w:t>
      </w:r>
      <w:r w:rsidR="0084100F" w:rsidRPr="005C5F5D">
        <w:t xml:space="preserve">.1 </w:t>
      </w:r>
      <w:r w:rsidRPr="005C5F5D">
        <w:t>Network model</w:t>
      </w:r>
    </w:p>
    <w:p w14:paraId="7AD2CE5F" w14:textId="567CACFF" w:rsidR="00EB6728" w:rsidRPr="00196F7F" w:rsidRDefault="00EB6728" w:rsidP="00196F7F">
      <w:pPr>
        <w:pStyle w:val="SWCText"/>
        <w:rPr>
          <w:lang w:val="en-GB"/>
        </w:rPr>
      </w:pPr>
      <w:r w:rsidRPr="00196F7F">
        <w:rPr>
          <w:lang w:val="en-GB"/>
        </w:rPr>
        <w:t xml:space="preserve">The case study examines a DH network in Austria that is currently in the planning phase. The backbone topology and four consumer clusters were identified in an ongoing feasibility study. Backbone pipe diameters and lengths follow the planning documents. The yearly energy density is approximately 1.5 MWh/m. Pipe insulation and friction factors </w:t>
      </w:r>
      <w:r w:rsidR="005F2A14">
        <w:rPr>
          <w:lang w:val="en-GB"/>
        </w:rPr>
        <w:t>are derived from</w:t>
      </w:r>
      <w:r w:rsidRPr="00196F7F">
        <w:rPr>
          <w:lang w:val="en-GB"/>
        </w:rPr>
        <w:t xml:space="preserve"> manufacturer datasheets. Feeder pipe diameters to consumer clusters are sized to meet </w:t>
      </w:r>
      <w:r w:rsidR="00100CA7">
        <w:rPr>
          <w:lang w:val="en-GB"/>
        </w:rPr>
        <w:t xml:space="preserve">a </w:t>
      </w:r>
      <w:r w:rsidRPr="00196F7F">
        <w:rPr>
          <w:lang w:val="en-GB"/>
        </w:rPr>
        <w:t>peak velocity constraint</w:t>
      </w:r>
      <w:r w:rsidR="00100CA7">
        <w:rPr>
          <w:lang w:val="en-GB"/>
        </w:rPr>
        <w:t xml:space="preserve"> of 2 m/s</w:t>
      </w:r>
      <w:r w:rsidRPr="00196F7F">
        <w:rPr>
          <w:lang w:val="en-GB"/>
        </w:rPr>
        <w:t xml:space="preserve">. Annual simulation runs are performed with the </w:t>
      </w:r>
      <w:r w:rsidR="005F2A14">
        <w:rPr>
          <w:lang w:val="en-GB"/>
        </w:rPr>
        <w:t xml:space="preserve">DH </w:t>
      </w:r>
      <w:r w:rsidRPr="00196F7F">
        <w:rPr>
          <w:lang w:val="en-GB"/>
        </w:rPr>
        <w:t xml:space="preserve">simulation tool Leanheat Network (Danfoss, Leanheat Network) </w:t>
      </w:r>
      <w:r w:rsidR="0037705F">
        <w:rPr>
          <w:lang w:val="en-GB"/>
        </w:rPr>
        <w:t>with</w:t>
      </w:r>
      <w:r w:rsidRPr="00196F7F">
        <w:rPr>
          <w:lang w:val="en-GB"/>
        </w:rPr>
        <w:t xml:space="preserve"> </w:t>
      </w:r>
      <w:r w:rsidR="00602EF5" w:rsidRPr="00602EF5">
        <w:rPr>
          <w:lang w:val="en-GB"/>
        </w:rPr>
        <w:t>15-minute</w:t>
      </w:r>
      <w:r w:rsidRPr="00196F7F">
        <w:rPr>
          <w:lang w:val="en-GB"/>
        </w:rPr>
        <w:t xml:space="preserve"> timesteps.</w:t>
      </w:r>
    </w:p>
    <w:p w14:paraId="5F5D76FF" w14:textId="4A38A076" w:rsidR="00EB6728" w:rsidRPr="005C5F5D" w:rsidRDefault="00EB6728" w:rsidP="00EB6728">
      <w:pPr>
        <w:pStyle w:val="SWCHeading11"/>
      </w:pPr>
      <w:r w:rsidRPr="005C5F5D">
        <w:t>2.2 Heat demand and consumers grouping</w:t>
      </w:r>
    </w:p>
    <w:p w14:paraId="63D681A7" w14:textId="0A44F82A" w:rsidR="00EB6728" w:rsidRPr="00196F7F" w:rsidRDefault="00EB6728" w:rsidP="00EB6728">
      <w:pPr>
        <w:pStyle w:val="SWCText"/>
        <w:rPr>
          <w:lang w:val="en-GB"/>
        </w:rPr>
      </w:pPr>
      <w:r w:rsidRPr="00196F7F">
        <w:rPr>
          <w:lang w:val="en-GB"/>
        </w:rPr>
        <w:t>The network heat demand comprises space heating (SH) and domestic hot water (DHW) for buildings (residential and public: schools, offices, supermarkets, hospital), with no industrial consumers present. Annual SH and DHW demands for each consumer are taken from a feasibility study for the planned DH network. SH consumption profiles are derived based on room to outdoor temperature difference</w:t>
      </w:r>
      <w:r w:rsidR="00DB69A6">
        <w:rPr>
          <w:lang w:val="en-GB"/>
        </w:rPr>
        <w:t xml:space="preserve"> (including night setback)</w:t>
      </w:r>
      <w:r w:rsidRPr="00196F7F">
        <w:rPr>
          <w:lang w:val="en-GB"/>
        </w:rPr>
        <w:t xml:space="preserve">, and considering in a simplified way the effect of building thermal inertia and solar gains. DHW consumption is </w:t>
      </w:r>
      <w:r w:rsidR="00264E71" w:rsidRPr="00264E71">
        <w:rPr>
          <w:lang w:val="en-GB"/>
        </w:rPr>
        <w:t>modelled</w:t>
      </w:r>
      <w:r w:rsidRPr="00196F7F">
        <w:rPr>
          <w:lang w:val="en-GB"/>
        </w:rPr>
        <w:t xml:space="preserve"> following standard profiles (Fuentes et al.</w:t>
      </w:r>
      <w:r w:rsidR="00C5135D">
        <w:rPr>
          <w:lang w:val="en-GB"/>
        </w:rPr>
        <w:t xml:space="preserve">, </w:t>
      </w:r>
      <w:r w:rsidRPr="00196F7F">
        <w:rPr>
          <w:lang w:val="en-GB"/>
        </w:rPr>
        <w:t xml:space="preserve">2018) with randomized household profiles </w:t>
      </w:r>
      <w:r w:rsidR="0037705F">
        <w:rPr>
          <w:lang w:val="en-GB"/>
        </w:rPr>
        <w:t>to account for</w:t>
      </w:r>
      <w:r w:rsidRPr="00196F7F">
        <w:rPr>
          <w:lang w:val="en-GB"/>
        </w:rPr>
        <w:t xml:space="preserve"> simultaneity. Consumers are aggregated in four clusters based on their location in the network.  </w:t>
      </w:r>
    </w:p>
    <w:p w14:paraId="34B885E1" w14:textId="3738C753" w:rsidR="00EB6728" w:rsidRPr="00196F7F" w:rsidRDefault="00EB6728" w:rsidP="00196F7F">
      <w:pPr>
        <w:pStyle w:val="SWCText"/>
        <w:rPr>
          <w:lang w:val="en-GB"/>
        </w:rPr>
      </w:pPr>
      <w:r w:rsidRPr="00196F7F">
        <w:rPr>
          <w:lang w:val="en-GB"/>
        </w:rPr>
        <w:t>The feasibility study identified a different supply temperature requirement between clusters:</w:t>
      </w:r>
    </w:p>
    <w:p w14:paraId="330784F5" w14:textId="5BFFA2CD" w:rsidR="00EB6728" w:rsidRPr="00196F7F" w:rsidRDefault="00EB6728" w:rsidP="00EB6728">
      <w:pPr>
        <w:pStyle w:val="SWCBulletedList"/>
        <w:rPr>
          <w:lang w:val="en-GB"/>
        </w:rPr>
      </w:pPr>
      <w:r w:rsidRPr="00196F7F">
        <w:rPr>
          <w:lang w:val="en-GB"/>
        </w:rPr>
        <w:t xml:space="preserve">Cluster 1 has a supply temperature requirement </w:t>
      </w:r>
      <w:r w:rsidR="00352CE1">
        <w:rPr>
          <w:lang w:val="en-GB"/>
        </w:rPr>
        <w:t xml:space="preserve">at secondary side </w:t>
      </w:r>
      <w:r w:rsidRPr="00196F7F">
        <w:rPr>
          <w:lang w:val="en-GB"/>
        </w:rPr>
        <w:t xml:space="preserve">of 65 °C both in the heating season (01.09 to 31.05) and in the </w:t>
      </w:r>
      <w:r w:rsidR="00D470B7" w:rsidRPr="00D470B7">
        <w:rPr>
          <w:lang w:val="en-GB"/>
        </w:rPr>
        <w:t>summer</w:t>
      </w:r>
      <w:r w:rsidRPr="00196F7F">
        <w:rPr>
          <w:lang w:val="en-GB"/>
        </w:rPr>
        <w:t xml:space="preserve"> season (01.06 to 31.08).</w:t>
      </w:r>
    </w:p>
    <w:p w14:paraId="221FA1A4" w14:textId="425EB607" w:rsidR="00EB6728" w:rsidRPr="00196F7F" w:rsidRDefault="00EB6728" w:rsidP="00EB6728">
      <w:pPr>
        <w:pStyle w:val="SWCBulletedList"/>
        <w:rPr>
          <w:lang w:val="en-GB"/>
        </w:rPr>
      </w:pPr>
      <w:r w:rsidRPr="00196F7F">
        <w:rPr>
          <w:lang w:val="en-GB"/>
        </w:rPr>
        <w:t xml:space="preserve">Clusters 2 to 4 have a supply temperature requirement </w:t>
      </w:r>
      <w:r w:rsidR="00352CE1">
        <w:rPr>
          <w:lang w:val="en-GB"/>
        </w:rPr>
        <w:t xml:space="preserve">at secondary side </w:t>
      </w:r>
      <w:r w:rsidRPr="00196F7F">
        <w:rPr>
          <w:lang w:val="en-GB"/>
        </w:rPr>
        <w:t>of 80 °C in the heating season (01.09 to 31.05) and 65 °C in the Summer season (01.06 to 31.08).</w:t>
      </w:r>
    </w:p>
    <w:p w14:paraId="5DCB218E" w14:textId="7A2A4E04" w:rsidR="00EB6728" w:rsidRPr="00196F7F" w:rsidRDefault="00EB6728" w:rsidP="00196F7F">
      <w:pPr>
        <w:pStyle w:val="SWCBulletedList"/>
        <w:numPr>
          <w:ilvl w:val="0"/>
          <w:numId w:val="0"/>
        </w:numPr>
        <w:rPr>
          <w:lang w:val="en-GB"/>
        </w:rPr>
      </w:pPr>
      <w:r w:rsidRPr="00196F7F">
        <w:rPr>
          <w:lang w:val="en-GB"/>
        </w:rPr>
        <w:t xml:space="preserve">Figure 1 summarizes the test-year total DH demand and its distribution. </w:t>
      </w:r>
    </w:p>
    <w:p w14:paraId="7F6441E1" w14:textId="77777777" w:rsidR="00EB6728" w:rsidRPr="00196F7F" w:rsidRDefault="00EB6728" w:rsidP="00EB6728">
      <w:pPr>
        <w:pStyle w:val="SWCText"/>
        <w:jc w:val="center"/>
        <w:rPr>
          <w:b/>
          <w:bCs/>
          <w:color w:val="FF0000"/>
          <w:lang w:val="en-GB"/>
        </w:rPr>
      </w:pPr>
      <w:r w:rsidRPr="00196F7F">
        <w:rPr>
          <w:b/>
          <w:bCs/>
          <w:noProof/>
          <w:color w:val="FF0000"/>
          <w:lang w:val="en-GB"/>
        </w:rPr>
        <w:drawing>
          <wp:inline distT="0" distB="0" distL="0" distR="0" wp14:anchorId="72AB776F" wp14:editId="3711CE78">
            <wp:extent cx="5565775" cy="2609215"/>
            <wp:effectExtent l="0" t="0" r="0" b="63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565775" cy="2609215"/>
                    </a:xfrm>
                    <a:prstGeom prst="rect">
                      <a:avLst/>
                    </a:prstGeom>
                  </pic:spPr>
                </pic:pic>
              </a:graphicData>
            </a:graphic>
          </wp:inline>
        </w:drawing>
      </w:r>
    </w:p>
    <w:p w14:paraId="4440528B" w14:textId="77777777" w:rsidR="00EB6728" w:rsidRPr="00196F7F" w:rsidRDefault="00EB6728" w:rsidP="00DE43D6">
      <w:pPr>
        <w:pStyle w:val="SWCTableFigureCaption"/>
        <w:rPr>
          <w:noProof/>
        </w:rPr>
      </w:pPr>
      <w:r w:rsidRPr="00196F7F">
        <w:rPr>
          <w:noProof/>
        </w:rPr>
        <w:t>Fig. 1 (left): Total DH consumption (excluding heat losses) [kW] (left y-axis) and ambient temperature [°C] for the test-year. Fig. 1 (right): Duration curve for the same DH Consumption (excluding heat losses) [kW].</w:t>
      </w:r>
    </w:p>
    <w:p w14:paraId="36244DEF" w14:textId="3FB62E7F" w:rsidR="00EB6728" w:rsidRPr="005C5F5D" w:rsidRDefault="00EB6728" w:rsidP="00196F7F">
      <w:pPr>
        <w:pStyle w:val="SWCText"/>
        <w:rPr>
          <w:lang w:val="en-GB"/>
        </w:rPr>
      </w:pPr>
      <w:r w:rsidRPr="00196F7F">
        <w:rPr>
          <w:lang w:val="en-GB"/>
        </w:rPr>
        <w:t>The left panel shows the time evolution of total DH consumption excluding network’s distribution heat losses (left axis) and ambient temperature for 2025 (right axis). The right panel shows the duration curve of the same DH consumption, which ranges from a minimum of 509 kW to a maximum of 6,980 kW for the test year.</w:t>
      </w:r>
      <w:r w:rsidR="00274B48">
        <w:rPr>
          <w:lang w:val="en-GB"/>
        </w:rPr>
        <w:t xml:space="preserve"> The total DH consumption for the test-year 2025 is equal to 24,070 MWh: 8786 MWh demand for Cluster 1, and 15284 MWh for Clusters 2 to 4. </w:t>
      </w:r>
    </w:p>
    <w:p w14:paraId="5E17C076" w14:textId="771781D4" w:rsidR="00EB6728" w:rsidRPr="005C5F5D" w:rsidRDefault="00EB6728" w:rsidP="00EB6728">
      <w:pPr>
        <w:pStyle w:val="SWCHeading11"/>
      </w:pPr>
      <w:r w:rsidRPr="005C5F5D">
        <w:lastRenderedPageBreak/>
        <w:t>2.3 Simulation scenarios and hydraulics</w:t>
      </w:r>
    </w:p>
    <w:p w14:paraId="56A5139F" w14:textId="77777777" w:rsidR="00EB6728" w:rsidRPr="00196F7F" w:rsidRDefault="00EB6728" w:rsidP="00EB6728">
      <w:pPr>
        <w:pStyle w:val="SWCText"/>
        <w:rPr>
          <w:lang w:val="en-GB"/>
        </w:rPr>
      </w:pPr>
      <w:r w:rsidRPr="00196F7F">
        <w:rPr>
          <w:lang w:val="en-GB"/>
        </w:rPr>
        <w:t xml:space="preserve">The study compares two different scenarios: Benchmark and Study case. Each scenario considers different hydraulic connection and control logic for the heating plants. </w:t>
      </w:r>
    </w:p>
    <w:p w14:paraId="702F4047" w14:textId="1D587EA7" w:rsidR="00EB6728" w:rsidRDefault="00EB6728" w:rsidP="000E23EB">
      <w:pPr>
        <w:pStyle w:val="SWCText"/>
        <w:rPr>
          <w:lang w:val="en-GB"/>
        </w:rPr>
      </w:pPr>
      <w:r w:rsidRPr="00196F7F">
        <w:rPr>
          <w:lang w:val="en-GB"/>
        </w:rPr>
        <w:t xml:space="preserve">Benchmark (Figure 2): all three plants (HP, biomass CHP, and P2H) are </w:t>
      </w:r>
      <w:r w:rsidR="008F0CFA">
        <w:rPr>
          <w:lang w:val="en-GB"/>
        </w:rPr>
        <w:t xml:space="preserve">all </w:t>
      </w:r>
      <w:r w:rsidRPr="00196F7F">
        <w:rPr>
          <w:lang w:val="en-GB"/>
        </w:rPr>
        <w:t>connected in parallel supplying the same supply setpoint temperature to the network.</w:t>
      </w:r>
    </w:p>
    <w:p w14:paraId="639560A4" w14:textId="65C268AF" w:rsidR="000E23EB" w:rsidRPr="00196F7F" w:rsidRDefault="000E23EB" w:rsidP="00EB6728">
      <w:pPr>
        <w:pStyle w:val="SWCText"/>
        <w:jc w:val="center"/>
        <w:rPr>
          <w:lang w:val="en-GB"/>
        </w:rPr>
      </w:pPr>
      <w:r>
        <w:rPr>
          <w:noProof/>
          <w:lang w:val="en-GB"/>
        </w:rPr>
        <w:drawing>
          <wp:inline distT="0" distB="0" distL="0" distR="0" wp14:anchorId="1DB13DCD" wp14:editId="1B1595A6">
            <wp:extent cx="4519010" cy="1501102"/>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8880" cy="1511024"/>
                    </a:xfrm>
                    <a:prstGeom prst="rect">
                      <a:avLst/>
                    </a:prstGeom>
                    <a:noFill/>
                  </pic:spPr>
                </pic:pic>
              </a:graphicData>
            </a:graphic>
          </wp:inline>
        </w:drawing>
      </w:r>
    </w:p>
    <w:p w14:paraId="5FC1E6EA" w14:textId="77777777" w:rsidR="00EB6728" w:rsidRPr="00196F7F" w:rsidRDefault="00EB6728" w:rsidP="00DE43D6">
      <w:pPr>
        <w:pStyle w:val="SWCTableFigureCaption"/>
        <w:rPr>
          <w:noProof/>
        </w:rPr>
      </w:pPr>
      <w:r w:rsidRPr="00196F7F">
        <w:rPr>
          <w:noProof/>
        </w:rPr>
        <w:t>Fig. 2: Conceptual hydraulic scheme used in the Benchmark scenario</w:t>
      </w:r>
    </w:p>
    <w:p w14:paraId="7D286D40" w14:textId="69DBA380" w:rsidR="00EB6728" w:rsidRDefault="00EB6728" w:rsidP="00AE21BF">
      <w:pPr>
        <w:pStyle w:val="SWCText"/>
        <w:rPr>
          <w:lang w:val="en-GB"/>
        </w:rPr>
      </w:pPr>
      <w:r w:rsidRPr="00196F7F">
        <w:rPr>
          <w:lang w:val="en-GB"/>
        </w:rPr>
        <w:t>Study case (Figure 3): the HP is installed upstream the biomass CHP and the electric boiler (P2H). It primarily supplies Cluster 1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sup,HP</m:t>
            </m:r>
          </m:sub>
        </m:sSub>
        <m:r>
          <w:rPr>
            <w:rFonts w:ascii="Cambria Math" w:hAnsi="Cambria Math"/>
            <w:lang w:val="en-GB"/>
          </w:rPr>
          <m:t xml:space="preserve"> = 70 °C</m:t>
        </m:r>
      </m:oMath>
      <w:r w:rsidRPr="00196F7F">
        <w:rPr>
          <w:lang w:val="en-GB"/>
        </w:rPr>
        <w:t>) and can also feed a controlled flow into the intermediate pipe toward Clusters 2 to 4.</w:t>
      </w:r>
    </w:p>
    <w:p w14:paraId="6CB89906" w14:textId="1286B811" w:rsidR="00AE21BF" w:rsidRPr="00196F7F" w:rsidRDefault="00AE21BF" w:rsidP="00EB6728">
      <w:pPr>
        <w:pStyle w:val="SWCText"/>
        <w:jc w:val="center"/>
        <w:rPr>
          <w:lang w:val="en-GB"/>
        </w:rPr>
      </w:pPr>
      <w:r>
        <w:rPr>
          <w:noProof/>
          <w:lang w:val="en-GB"/>
        </w:rPr>
        <w:drawing>
          <wp:inline distT="0" distB="0" distL="0" distR="0" wp14:anchorId="0F352A75" wp14:editId="36F9B94C">
            <wp:extent cx="5626000" cy="31750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002" cy="3181773"/>
                    </a:xfrm>
                    <a:prstGeom prst="rect">
                      <a:avLst/>
                    </a:prstGeom>
                    <a:noFill/>
                  </pic:spPr>
                </pic:pic>
              </a:graphicData>
            </a:graphic>
          </wp:inline>
        </w:drawing>
      </w:r>
    </w:p>
    <w:p w14:paraId="12F4255E" w14:textId="77777777" w:rsidR="00EB6728" w:rsidRPr="00196F7F" w:rsidRDefault="00EB6728" w:rsidP="00DE43D6">
      <w:pPr>
        <w:pStyle w:val="SWCTableFigureCaption"/>
        <w:rPr>
          <w:noProof/>
        </w:rPr>
      </w:pPr>
      <w:r w:rsidRPr="00196F7F">
        <w:rPr>
          <w:noProof/>
        </w:rPr>
        <w:t>Fig. 3: Conceptual hydraulic scheme used in the Study case scenario</w:t>
      </w:r>
    </w:p>
    <w:p w14:paraId="2E1AF255" w14:textId="581CB15C" w:rsidR="00EB6728" w:rsidRPr="00196F7F" w:rsidRDefault="00EB6728" w:rsidP="00EB6728">
      <w:pPr>
        <w:pStyle w:val="SWCText"/>
        <w:rPr>
          <w:lang w:val="en-GB"/>
        </w:rPr>
      </w:pPr>
      <w:r w:rsidRPr="00196F7F">
        <w:rPr>
          <w:lang w:val="en-GB"/>
        </w:rPr>
        <w:t xml:space="preserve">A </w:t>
      </w:r>
      <w:r w:rsidR="00055F03">
        <w:rPr>
          <w:lang w:val="en-GB"/>
        </w:rPr>
        <w:t>bypass</w:t>
      </w:r>
      <w:r w:rsidRPr="00196F7F">
        <w:rPr>
          <w:lang w:val="en-GB"/>
        </w:rPr>
        <w:t xml:space="preserve"> pump draws a portion of the return line flow and mixes it with the HP flow delivered through the intermediate pipe to form the supply feed for Clusters 2</w:t>
      </w:r>
      <w:r w:rsidR="008B49D5">
        <w:rPr>
          <w:lang w:val="en-GB"/>
        </w:rPr>
        <w:t xml:space="preserve"> to </w:t>
      </w:r>
      <w:r w:rsidRPr="00196F7F">
        <w:rPr>
          <w:lang w:val="en-GB"/>
        </w:rPr>
        <w:t xml:space="preserve">4. The mixed flow 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sup,Bypass</m:t>
            </m:r>
          </m:sub>
        </m:sSub>
      </m:oMath>
      <w:r w:rsidRPr="00196F7F">
        <w:rPr>
          <w:lang w:val="en-GB"/>
        </w:rPr>
        <w:t xml:space="preserve"> is then heated up by the downstream biomass CHP and/or the P2H so that the supply setpoint for Clusters 2 to 4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sup,P2H</m:t>
            </m:r>
          </m:sub>
        </m:sSub>
      </m:oMath>
      <w:r w:rsidRPr="00196F7F">
        <w:rPr>
          <w:lang w:val="en-GB"/>
        </w:rPr>
        <w:t xml:space="preserve"> = 90 °C) is met.</w:t>
      </w:r>
    </w:p>
    <w:p w14:paraId="5ACF6E95" w14:textId="43CFB2AF" w:rsidR="00EB6728" w:rsidRPr="00196F7F" w:rsidRDefault="00EB6728" w:rsidP="00EB6728">
      <w:pPr>
        <w:pStyle w:val="SWCText"/>
        <w:rPr>
          <w:lang w:val="en-GB"/>
        </w:rPr>
      </w:pPr>
      <w:r w:rsidRPr="00196F7F">
        <w:rPr>
          <w:lang w:val="en-GB"/>
        </w:rPr>
        <w:t>If total network demand falls below biomass CHP nominal capacity, the HP is switched off and the CHP unit supplies the network alone in return-to-supply (</w:t>
      </w:r>
      <w:proofErr w:type="spellStart"/>
      <w:r w:rsidRPr="00196F7F">
        <w:rPr>
          <w:lang w:val="en-GB"/>
        </w:rPr>
        <w:t>RtS</w:t>
      </w:r>
      <w:proofErr w:type="spellEnd"/>
      <w:r w:rsidRPr="00196F7F">
        <w:rPr>
          <w:lang w:val="en-GB"/>
        </w:rPr>
        <w:t>) configuration</w:t>
      </w:r>
      <w:r w:rsidR="000346AA">
        <w:rPr>
          <w:lang w:val="en-GB"/>
        </w:rPr>
        <w:t>, according to the hydraulic scheme shown in Figure 2</w:t>
      </w:r>
      <w:r w:rsidRPr="00196F7F">
        <w:rPr>
          <w:lang w:val="en-GB"/>
        </w:rPr>
        <w:t xml:space="preserve">. </w:t>
      </w:r>
    </w:p>
    <w:p w14:paraId="62D243D0" w14:textId="22B1DE6E" w:rsidR="00EB6728" w:rsidRPr="00196F7F" w:rsidRDefault="00EB6728" w:rsidP="00EB6728">
      <w:pPr>
        <w:pStyle w:val="SWCText"/>
        <w:rPr>
          <w:lang w:val="en-GB"/>
        </w:rPr>
      </w:pPr>
      <w:r w:rsidRPr="00196F7F">
        <w:rPr>
          <w:lang w:val="en-GB"/>
        </w:rPr>
        <w:t xml:space="preserve">In order to simplify the modelling of the hydraulics of biomass CHP and P2H (electric boiler) the modelled configuration differs from the real hydraulic configuration. Figure </w:t>
      </w:r>
      <w:r w:rsidR="00997BC0" w:rsidRPr="00196F7F">
        <w:rPr>
          <w:lang w:val="en-GB"/>
        </w:rPr>
        <w:t>4</w:t>
      </w:r>
      <w:r w:rsidRPr="00196F7F">
        <w:rPr>
          <w:lang w:val="en-GB"/>
        </w:rPr>
        <w:t xml:space="preserve"> shows: a) the modelled biomass CHP and P2H (electric boiler) hydraulics in the simulation tool, and b) the real hydraulics of biomass CHP and P2H (electric boiler). </w:t>
      </w:r>
    </w:p>
    <w:p w14:paraId="78CAB87F" w14:textId="77777777" w:rsidR="00E052F3" w:rsidRPr="00196F7F" w:rsidRDefault="00E052F3" w:rsidP="00E052F3">
      <w:pPr>
        <w:pStyle w:val="SWCText"/>
        <w:jc w:val="center"/>
        <w:rPr>
          <w:lang w:val="en-GB"/>
        </w:rPr>
      </w:pPr>
      <w:r w:rsidRPr="00196F7F">
        <w:rPr>
          <w:noProof/>
          <w:lang w:val="en-GB"/>
        </w:rPr>
        <w:lastRenderedPageBreak/>
        <w:drawing>
          <wp:inline distT="0" distB="0" distL="0" distR="0" wp14:anchorId="7C3D85F9" wp14:editId="5F4995E5">
            <wp:extent cx="4508573" cy="2450004"/>
            <wp:effectExtent l="0" t="0" r="635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43187" cy="2468813"/>
                    </a:xfrm>
                    <a:prstGeom prst="rect">
                      <a:avLst/>
                    </a:prstGeom>
                    <a:noFill/>
                  </pic:spPr>
                </pic:pic>
              </a:graphicData>
            </a:graphic>
          </wp:inline>
        </w:drawing>
      </w:r>
    </w:p>
    <w:p w14:paraId="1414C7B1" w14:textId="77777777" w:rsidR="00E052F3" w:rsidRPr="00196F7F" w:rsidRDefault="00E052F3" w:rsidP="00DE43D6">
      <w:pPr>
        <w:pStyle w:val="SWCTableFigureCaption"/>
      </w:pPr>
      <w:r w:rsidRPr="00196F7F">
        <w:t>Fig. 4: Conceptual hydraulics for the Biomass CHP and P2H (electric boiler): a) Configuration modelled in the simulation tool; b) Actual plant connection, where the flow is split between the CHP and the P2H.</w:t>
      </w:r>
    </w:p>
    <w:p w14:paraId="5FE9CF40" w14:textId="7520665E" w:rsidR="00E052F3" w:rsidRPr="00196F7F" w:rsidRDefault="00E052F3" w:rsidP="00E052F3">
      <w:pPr>
        <w:pStyle w:val="SWCText"/>
        <w:rPr>
          <w:color w:val="auto"/>
          <w:lang w:val="en-GB"/>
        </w:rPr>
      </w:pPr>
      <w:r w:rsidRPr="00196F7F">
        <w:rPr>
          <w:color w:val="auto"/>
          <w:lang w:val="en-GB"/>
        </w:rPr>
        <w:t xml:space="preserve">Under the modelled hydraulics (Fig. </w:t>
      </w:r>
      <w:r w:rsidR="00997BC0" w:rsidRPr="00196F7F">
        <w:rPr>
          <w:color w:val="auto"/>
          <w:lang w:val="en-GB"/>
        </w:rPr>
        <w:t>4</w:t>
      </w:r>
      <w:r w:rsidRPr="00196F7F">
        <w:rPr>
          <w:color w:val="auto"/>
          <w:lang w:val="en-GB"/>
        </w:rPr>
        <w:t>a) both CHP and P2H serve the volume flow demanded by clusters 2 to 4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Clusters 2-4</m:t>
            </m:r>
          </m:sub>
        </m:sSub>
      </m:oMath>
      <w:r w:rsidRPr="00196F7F">
        <w:rPr>
          <w:color w:val="auto"/>
          <w:lang w:val="en-GB"/>
        </w:rPr>
        <w:t xml:space="preserve">). At peak load, the CHP supply temperature reaches only 80 °C (below the 90 °C setpoint). Under the real hydraulics (Fig. </w:t>
      </w:r>
      <w:r w:rsidR="00997BC0" w:rsidRPr="00196F7F">
        <w:rPr>
          <w:color w:val="auto"/>
          <w:lang w:val="en-GB"/>
        </w:rPr>
        <w:t>4</w:t>
      </w:r>
      <w:r w:rsidRPr="00196F7F">
        <w:rPr>
          <w:color w:val="auto"/>
          <w:lang w:val="en-GB"/>
        </w:rPr>
        <w:t>b), the CHP supplies a controlled portion of flow to clusters 2 to 4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Clusters 2-4</m:t>
            </m:r>
          </m:sub>
        </m:sSub>
      </m:oMath>
      <w:r w:rsidRPr="00196F7F">
        <w:rPr>
          <w:color w:val="auto"/>
          <w:lang w:val="en-GB"/>
        </w:rPr>
        <w:t xml:space="preserve">) and is regulated to reach the supply setpoint temperature </w:t>
      </w:r>
      <m:oMath>
        <m:sSub>
          <m:sSubPr>
            <m:ctrlPr>
              <w:rPr>
                <w:rFonts w:ascii="Cambria Math" w:hAnsi="Cambria Math"/>
                <w:i/>
                <w:color w:val="auto"/>
                <w:lang w:val="en-GB"/>
              </w:rPr>
            </m:ctrlPr>
          </m:sSubPr>
          <m:e>
            <m:r>
              <w:rPr>
                <w:rFonts w:ascii="Cambria Math" w:hAnsi="Cambria Math"/>
                <w:color w:val="auto"/>
                <w:lang w:val="en-GB"/>
              </w:rPr>
              <m:t>T</m:t>
            </m:r>
          </m:e>
          <m:sub>
            <m:r>
              <w:rPr>
                <w:rFonts w:ascii="Cambria Math" w:hAnsi="Cambria Math"/>
                <w:color w:val="auto"/>
                <w:lang w:val="en-GB"/>
              </w:rPr>
              <m:t>sup,CHP</m:t>
            </m:r>
          </m:sub>
        </m:sSub>
        <m:r>
          <w:rPr>
            <w:rFonts w:ascii="Cambria Math" w:hAnsi="Cambria Math"/>
            <w:color w:val="auto"/>
            <w:lang w:val="en-GB"/>
          </w:rPr>
          <m:t>=90 °C</m:t>
        </m:r>
      </m:oMath>
      <w:r w:rsidRPr="00196F7F">
        <w:rPr>
          <w:color w:val="auto"/>
          <w:lang w:val="en-GB"/>
        </w:rPr>
        <w:t>, with the P2H delivering the remaining flow (</w:t>
      </w:r>
      <m:oMath>
        <m:sSub>
          <m:sSubPr>
            <m:ctrlPr>
              <w:rPr>
                <w:rFonts w:ascii="Cambria Math" w:hAnsi="Cambria Math"/>
                <w:i/>
                <w:color w:val="auto"/>
                <w:lang w:val="en-GB"/>
              </w:rPr>
            </m:ctrlPr>
          </m:sSubPr>
          <m:e>
            <m:acc>
              <m:accPr>
                <m:chr m:val="̇"/>
                <m:ctrlPr>
                  <w:rPr>
                    <w:rFonts w:ascii="Cambria Math" w:hAnsi="Cambria Math"/>
                    <w:i/>
                    <w:color w:val="auto"/>
                    <w:lang w:val="en-GB"/>
                  </w:rPr>
                </m:ctrlPr>
              </m:accPr>
              <m:e>
                <m:r>
                  <w:rPr>
                    <w:rFonts w:ascii="Cambria Math" w:hAnsi="Cambria Math"/>
                    <w:color w:val="auto"/>
                    <w:lang w:val="en-GB"/>
                  </w:rPr>
                  <m:t>V</m:t>
                </m:r>
              </m:e>
            </m:acc>
          </m:e>
          <m:sub>
            <m:r>
              <w:rPr>
                <w:rFonts w:ascii="Cambria Math" w:hAnsi="Cambria Math"/>
                <w:color w:val="auto"/>
                <w:lang w:val="en-GB"/>
              </w:rPr>
              <m:t>P2H</m:t>
            </m:r>
          </m:sub>
        </m:sSub>
      </m:oMath>
      <w:r w:rsidRPr="00196F7F">
        <w:rPr>
          <w:color w:val="auto"/>
          <w:lang w:val="en-GB"/>
        </w:rPr>
        <w:t>).</w:t>
      </w:r>
      <w:r w:rsidR="003E4C90">
        <w:rPr>
          <w:color w:val="auto"/>
          <w:lang w:val="en-GB"/>
        </w:rPr>
        <w:t xml:space="preserve"> This simplification is possible because the total branch flow is identical in the model and the real plants’ connection, so the CHP/P2H flow split can be calculated in post-processing to enforce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sup,CHP</m:t>
            </m:r>
          </m:sub>
        </m:sSub>
        <m:r>
          <w:rPr>
            <w:rFonts w:ascii="Cambria Math" w:hAnsi="Cambria Math"/>
            <w:lang w:val="en-GB"/>
          </w:rPr>
          <m:t>=90 °C</m:t>
        </m:r>
      </m:oMath>
      <w:r w:rsidR="003E4C90">
        <w:rPr>
          <w:lang w:val="en-GB"/>
        </w:rPr>
        <w:t>.</w:t>
      </w:r>
    </w:p>
    <w:p w14:paraId="0D7F4E72" w14:textId="5DC95A67" w:rsidR="00C76183" w:rsidRPr="005C5F5D" w:rsidRDefault="00C76183" w:rsidP="00C76183">
      <w:pPr>
        <w:pStyle w:val="SWCHeading11"/>
      </w:pPr>
      <w:bookmarkStart w:id="0" w:name="_Hlk237944683"/>
      <w:r w:rsidRPr="005C5F5D">
        <w:t xml:space="preserve">2.4 Heating plants: supply temperatures and control </w:t>
      </w:r>
    </w:p>
    <w:bookmarkEnd w:id="0"/>
    <w:p w14:paraId="015D7052" w14:textId="77777777" w:rsidR="00C76183" w:rsidRPr="00196F7F" w:rsidRDefault="00C76183" w:rsidP="00C76183">
      <w:pPr>
        <w:pStyle w:val="SWCText"/>
        <w:rPr>
          <w:lang w:val="en-GB"/>
        </w:rPr>
      </w:pPr>
      <w:r w:rsidRPr="00196F7F">
        <w:rPr>
          <w:lang w:val="en-GB"/>
        </w:rPr>
        <w:t xml:space="preserve">For both the Benchmark and Study case scenario, the thermal power supplied by the heating plants is controlled based on volume flow in a constant temperature variable flow (CT-VF) manner. The thermal power supplied by each plant is controlled based on the following merit order: </w:t>
      </w:r>
    </w:p>
    <w:p w14:paraId="78AAB4D4" w14:textId="788BF685" w:rsidR="00C76183" w:rsidRPr="00196F7F" w:rsidRDefault="00C76183" w:rsidP="000B65BD">
      <w:pPr>
        <w:pStyle w:val="SWCText"/>
        <w:numPr>
          <w:ilvl w:val="0"/>
          <w:numId w:val="26"/>
        </w:numPr>
        <w:rPr>
          <w:lang w:val="en-GB"/>
        </w:rPr>
      </w:pPr>
      <w:r w:rsidRPr="00196F7F">
        <w:rPr>
          <w:lang w:val="en-GB"/>
        </w:rPr>
        <w:t>Biomass CHP: maximum thermal power: 2</w:t>
      </w:r>
      <w:r w:rsidR="005D6C9C">
        <w:rPr>
          <w:lang w:val="en-GB"/>
        </w:rPr>
        <w:t>,</w:t>
      </w:r>
      <w:r w:rsidRPr="00196F7F">
        <w:rPr>
          <w:lang w:val="en-GB"/>
        </w:rPr>
        <w:t>000 kW; minimum thermal power: 500 kW.</w:t>
      </w:r>
    </w:p>
    <w:p w14:paraId="47E82E50" w14:textId="50E15A81" w:rsidR="00C76183" w:rsidRPr="00196F7F" w:rsidRDefault="00C76183" w:rsidP="000B65BD">
      <w:pPr>
        <w:pStyle w:val="SWCText"/>
        <w:numPr>
          <w:ilvl w:val="0"/>
          <w:numId w:val="26"/>
        </w:numPr>
        <w:rPr>
          <w:lang w:val="en-GB"/>
        </w:rPr>
      </w:pPr>
      <w:r w:rsidRPr="00196F7F">
        <w:rPr>
          <w:lang w:val="en-GB"/>
        </w:rPr>
        <w:t>Sewage‑water source HP: maximum thermal power: 4</w:t>
      </w:r>
      <w:r w:rsidR="005D6C9C">
        <w:rPr>
          <w:lang w:val="en-GB"/>
        </w:rPr>
        <w:t>,</w:t>
      </w:r>
      <w:r w:rsidRPr="00196F7F">
        <w:rPr>
          <w:lang w:val="en-GB"/>
        </w:rPr>
        <w:t xml:space="preserve">000 kW (4 </w:t>
      </w:r>
      <w:r w:rsidR="005D6C9C">
        <w:rPr>
          <w:lang w:val="en-GB"/>
        </w:rPr>
        <w:t>unit</w:t>
      </w:r>
      <w:r w:rsidRPr="00196F7F">
        <w:rPr>
          <w:lang w:val="en-GB"/>
        </w:rPr>
        <w:t>s in parallel, each with a nominal power of 1,000 kW) (measured 15‑min source inlet temp</w:t>
      </w:r>
      <w:r w:rsidR="00E157BB">
        <w:rPr>
          <w:lang w:val="en-GB"/>
        </w:rPr>
        <w:t>erature</w:t>
      </w:r>
      <w:r w:rsidRPr="00196F7F">
        <w:rPr>
          <w:lang w:val="en-GB"/>
        </w:rPr>
        <w:t>s 8–22 °C); minimum thermal power: 500 kW.</w:t>
      </w:r>
    </w:p>
    <w:p w14:paraId="13DE045D" w14:textId="7059D862" w:rsidR="00EB6728" w:rsidRPr="00196F7F" w:rsidRDefault="00C76183" w:rsidP="000B65BD">
      <w:pPr>
        <w:pStyle w:val="SWCText"/>
        <w:numPr>
          <w:ilvl w:val="0"/>
          <w:numId w:val="26"/>
        </w:numPr>
        <w:rPr>
          <w:lang w:val="en-GB"/>
        </w:rPr>
      </w:pPr>
      <w:r w:rsidRPr="00196F7F">
        <w:rPr>
          <w:lang w:val="en-GB"/>
        </w:rPr>
        <w:t>P2H electric boiler: maximum thermal power: 3</w:t>
      </w:r>
      <w:r w:rsidR="005D6C9C">
        <w:rPr>
          <w:lang w:val="en-GB"/>
        </w:rPr>
        <w:t>,</w:t>
      </w:r>
      <w:r w:rsidRPr="00196F7F">
        <w:rPr>
          <w:lang w:val="en-GB"/>
        </w:rPr>
        <w:t xml:space="preserve">000 kW; minimum thermal power: 0 kW.  </w:t>
      </w:r>
    </w:p>
    <w:p w14:paraId="4BF7EA45" w14:textId="7E6BEB4B" w:rsidR="00C76183" w:rsidRPr="00196F7F" w:rsidRDefault="00C76183" w:rsidP="00C76183">
      <w:pPr>
        <w:pStyle w:val="SWCText"/>
        <w:rPr>
          <w:lang w:val="en-GB"/>
        </w:rPr>
      </w:pPr>
      <w:r w:rsidRPr="00196F7F">
        <w:rPr>
          <w:lang w:val="en-GB"/>
        </w:rPr>
        <w:t>For both the Benchmark and Study case scenario, the return temperature at consumers is set equal to 50 °C during the heating season (01.09 to 31.05), and equal to 55 °C during the Summer (01.06 to 31.08).</w:t>
      </w:r>
      <w:r w:rsidR="008F7A45">
        <w:rPr>
          <w:lang w:val="en-GB"/>
        </w:rPr>
        <w:t xml:space="preserve"> </w:t>
      </w:r>
      <w:r w:rsidR="001D135D">
        <w:rPr>
          <w:lang w:val="en-GB"/>
        </w:rPr>
        <w:t xml:space="preserve">The higher summer return temperature reflects operation of the DHW circulation loop, which is </w:t>
      </w:r>
      <w:r w:rsidR="00A50F9D">
        <w:rPr>
          <w:lang w:val="en-GB"/>
        </w:rPr>
        <w:t>maintained at minimum 55 °C to prevent Legionella growth</w:t>
      </w:r>
      <w:r w:rsidR="008F7A45">
        <w:rPr>
          <w:lang w:val="en-GB"/>
        </w:rPr>
        <w:t xml:space="preserve">. </w:t>
      </w:r>
    </w:p>
    <w:p w14:paraId="276A4091" w14:textId="4EEAB666" w:rsidR="00C76183" w:rsidRPr="00196F7F" w:rsidRDefault="00C76183" w:rsidP="00C76183">
      <w:pPr>
        <w:pStyle w:val="SWCText"/>
        <w:rPr>
          <w:lang w:val="en-GB"/>
        </w:rPr>
      </w:pPr>
      <w:r w:rsidRPr="00196F7F">
        <w:rPr>
          <w:b/>
          <w:bCs/>
          <w:lang w:val="en-GB"/>
        </w:rPr>
        <w:t>Benchmark hydraulics and control</w:t>
      </w:r>
      <w:r w:rsidRPr="00196F7F">
        <w:rPr>
          <w:lang w:val="en-GB"/>
        </w:rPr>
        <w:t xml:space="preserve">. During the heating season (01.09 to 31.05), the network is supplied according to the merit order by all the plants in the network: biomass CHP, HP, P2H. </w:t>
      </w:r>
      <w:r w:rsidR="00B61D1D">
        <w:rPr>
          <w:lang w:val="en-GB"/>
        </w:rPr>
        <w:t>T</w:t>
      </w:r>
      <w:r w:rsidRPr="00196F7F">
        <w:rPr>
          <w:lang w:val="en-GB"/>
        </w:rPr>
        <w:t xml:space="preserve">he set point for supply temperature is 90 °C from all plants. </w:t>
      </w:r>
    </w:p>
    <w:p w14:paraId="323BBA71" w14:textId="527EF342" w:rsidR="00C76183" w:rsidRPr="00196F7F" w:rsidRDefault="00C76183" w:rsidP="00C76183">
      <w:pPr>
        <w:pStyle w:val="SWCText"/>
        <w:rPr>
          <w:lang w:val="en-GB"/>
        </w:rPr>
      </w:pPr>
      <w:r w:rsidRPr="00196F7F">
        <w:rPr>
          <w:lang w:val="en-GB"/>
        </w:rPr>
        <w:t>During the Summer (01.06 to 31.08), the lower network demand permits the network to be supplied by the biomass CHP alone. The biomass CHP is supplying the network at 75 °C supply temperature. A lower supply setpoint temperature is possible</w:t>
      </w:r>
      <w:r w:rsidR="00CB6602">
        <w:rPr>
          <w:lang w:val="en-GB"/>
        </w:rPr>
        <w:t xml:space="preserve"> </w:t>
      </w:r>
      <w:r w:rsidR="00CB6602" w:rsidRPr="00196F7F">
        <w:rPr>
          <w:lang w:val="en-GB"/>
        </w:rPr>
        <w:t xml:space="preserve">due to the absence of </w:t>
      </w:r>
      <w:r w:rsidR="00CB6602">
        <w:rPr>
          <w:lang w:val="en-GB"/>
        </w:rPr>
        <w:t>SH</w:t>
      </w:r>
      <w:r w:rsidR="00CB6602" w:rsidRPr="00196F7F">
        <w:rPr>
          <w:lang w:val="en-GB"/>
        </w:rPr>
        <w:t xml:space="preserve"> demand in this period</w:t>
      </w:r>
      <w:r w:rsidR="00CB6602">
        <w:rPr>
          <w:lang w:val="en-GB"/>
        </w:rPr>
        <w:t>,</w:t>
      </w:r>
      <w:r w:rsidRPr="00196F7F">
        <w:rPr>
          <w:lang w:val="en-GB"/>
        </w:rPr>
        <w:t xml:space="preserve"> </w:t>
      </w:r>
      <w:r w:rsidR="00CB6602">
        <w:rPr>
          <w:lang w:val="en-GB"/>
        </w:rPr>
        <w:t>and useful to keep the flow rate high enough to respect supply temperature limits at consumers’ substations</w:t>
      </w:r>
      <w:r w:rsidRPr="00196F7F">
        <w:rPr>
          <w:lang w:val="en-GB"/>
        </w:rPr>
        <w:t xml:space="preserve">. </w:t>
      </w:r>
    </w:p>
    <w:p w14:paraId="1F565192" w14:textId="386C4AA2" w:rsidR="00C76183" w:rsidRPr="005C5F5D" w:rsidRDefault="00C76183" w:rsidP="00196F7F">
      <w:pPr>
        <w:pStyle w:val="SWCText"/>
        <w:rPr>
          <w:lang w:val="en-GB"/>
        </w:rPr>
      </w:pPr>
      <w:r w:rsidRPr="00196F7F">
        <w:rPr>
          <w:b/>
          <w:bCs/>
          <w:lang w:val="en-GB"/>
        </w:rPr>
        <w:t>Study case hydraulics and control</w:t>
      </w:r>
      <w:r w:rsidRPr="00196F7F">
        <w:rPr>
          <w:lang w:val="en-GB"/>
        </w:rPr>
        <w:t>. In Winter (01.10 to 30.04), the heating plants are operated according to the series connection represented in Figure 3. The supply temperature setpoints are:</w:t>
      </w:r>
    </w:p>
    <w:p w14:paraId="006505DA" w14:textId="12D4DB6D" w:rsidR="00C76183" w:rsidRPr="00196F7F" w:rsidRDefault="00C76183" w:rsidP="00C76183">
      <w:pPr>
        <w:pStyle w:val="SWCBulletedList"/>
        <w:rPr>
          <w:lang w:val="en-GB"/>
        </w:rPr>
      </w:pPr>
      <w:r w:rsidRPr="00196F7F">
        <w:rPr>
          <w:lang w:val="en-GB"/>
        </w:rPr>
        <w:t>70 °C for the HP unit</w:t>
      </w:r>
    </w:p>
    <w:p w14:paraId="092D3906" w14:textId="4AD7FDCA" w:rsidR="00FD0D1F" w:rsidRPr="00FD0D1F" w:rsidRDefault="00C76183" w:rsidP="00196F7F">
      <w:pPr>
        <w:pStyle w:val="SWCBulletedList"/>
        <w:rPr>
          <w:color w:val="auto"/>
          <w:lang w:val="en-GB"/>
        </w:rPr>
      </w:pPr>
      <w:r w:rsidRPr="00196F7F">
        <w:rPr>
          <w:lang w:val="en-GB"/>
        </w:rPr>
        <w:t xml:space="preserve">90 °C for the unit biomass CHP + P2H. </w:t>
      </w:r>
      <w:bookmarkStart w:id="1" w:name="_Hlk237944643"/>
    </w:p>
    <w:p w14:paraId="4A01ABCA" w14:textId="03F77DA0" w:rsidR="00C76183" w:rsidRPr="00196F7F" w:rsidRDefault="00FD0D1F" w:rsidP="00C76183">
      <w:pPr>
        <w:pStyle w:val="SWCText"/>
        <w:rPr>
          <w:color w:val="auto"/>
          <w:lang w:val="en-GB"/>
        </w:rPr>
      </w:pPr>
      <w:r w:rsidRPr="00FD0D1F">
        <w:rPr>
          <w:color w:val="auto"/>
          <w:lang w:val="en-GB"/>
        </w:rPr>
        <w:t xml:space="preserve">When the demanded volume flow in the network is low enough, the biomass CHP is able to supply 90 °C to the </w:t>
      </w:r>
      <w:r w:rsidRPr="00FD0D1F">
        <w:rPr>
          <w:color w:val="auto"/>
          <w:lang w:val="en-GB"/>
        </w:rPr>
        <w:lastRenderedPageBreak/>
        <w:t>network and the P2H is shut down. In case the maximum power (2</w:t>
      </w:r>
      <w:r w:rsidR="00E41D65">
        <w:rPr>
          <w:color w:val="auto"/>
          <w:lang w:val="en-GB"/>
        </w:rPr>
        <w:t>,</w:t>
      </w:r>
      <w:r w:rsidRPr="00FD0D1F">
        <w:rPr>
          <w:color w:val="auto"/>
          <w:lang w:val="en-GB"/>
        </w:rPr>
        <w:t>000 kW) provided by the CHP is not enough, the P2H post-heats the supply line to provide the 90 °C set-temperature.</w:t>
      </w:r>
      <w:r w:rsidR="00E41D65">
        <w:rPr>
          <w:color w:val="auto"/>
          <w:lang w:val="en-GB"/>
        </w:rPr>
        <w:t xml:space="preserve"> </w:t>
      </w:r>
      <w:r w:rsidR="00C76183" w:rsidRPr="00196F7F">
        <w:rPr>
          <w:color w:val="auto"/>
          <w:lang w:val="en-GB"/>
        </w:rPr>
        <w:t xml:space="preserve">In order to guarantee the correct realization of the merit order, a </w:t>
      </w:r>
      <w:r w:rsidR="00055F03">
        <w:rPr>
          <w:color w:val="auto"/>
          <w:lang w:val="en-GB"/>
        </w:rPr>
        <w:t>bypass</w:t>
      </w:r>
      <w:r w:rsidR="00C76183" w:rsidRPr="00196F7F">
        <w:rPr>
          <w:color w:val="auto"/>
          <w:lang w:val="en-GB"/>
        </w:rPr>
        <w:t xml:space="preserve"> pump (Figure </w:t>
      </w:r>
      <w:r w:rsidR="00E41D65">
        <w:rPr>
          <w:color w:val="auto"/>
          <w:lang w:val="en-GB"/>
        </w:rPr>
        <w:t>4</w:t>
      </w:r>
      <w:r w:rsidR="00C76183" w:rsidRPr="00196F7F">
        <w:rPr>
          <w:color w:val="auto"/>
          <w:lang w:val="en-GB"/>
        </w:rPr>
        <w:t>) is installed upstream the biomass CHP. In cases of low demand, the HP is modulating the power (and volume flow) down, while the additional flow demanded by the network is bypassed from the return line upstream the CHP. In this way, the biomass CHP can provide its maximum thermal power (2000 kW) to the network (base-load operation).</w:t>
      </w:r>
    </w:p>
    <w:p w14:paraId="21ED6BD0" w14:textId="50CC93DE" w:rsidR="00981865" w:rsidRPr="00981865" w:rsidRDefault="00C76183" w:rsidP="00C76183">
      <w:pPr>
        <w:pStyle w:val="SWCText"/>
        <w:rPr>
          <w:color w:val="auto"/>
          <w:lang w:val="en-GB"/>
        </w:rPr>
      </w:pPr>
      <w:r w:rsidRPr="00196F7F">
        <w:rPr>
          <w:color w:val="auto"/>
          <w:lang w:val="en-GB"/>
        </w:rPr>
        <w:t>However, the flow modulation from the HP is constrained by the satisfaction of the demand in Cluster 1. If the HP modulation needed to respect the merit order would go below this threshold, the HP supplies the thermal power demanded by Cluster 1 at 70 °C, while the biomass CHP supplies Clusters 2 to 4 with 90 °C. In this case, both plants are supplying the network in return-to-supply</w:t>
      </w:r>
      <w:r w:rsidR="006912C1">
        <w:rPr>
          <w:color w:val="auto"/>
          <w:lang w:val="en-GB"/>
        </w:rPr>
        <w:t xml:space="preserve"> (</w:t>
      </w:r>
      <w:proofErr w:type="spellStart"/>
      <w:r w:rsidR="006912C1">
        <w:rPr>
          <w:color w:val="auto"/>
          <w:lang w:val="en-GB"/>
        </w:rPr>
        <w:t>RtS</w:t>
      </w:r>
      <w:proofErr w:type="spellEnd"/>
      <w:r w:rsidR="006912C1">
        <w:rPr>
          <w:color w:val="auto"/>
          <w:lang w:val="en-GB"/>
        </w:rPr>
        <w:t>)</w:t>
      </w:r>
      <w:r w:rsidRPr="00196F7F">
        <w:rPr>
          <w:color w:val="auto"/>
          <w:lang w:val="en-GB"/>
        </w:rPr>
        <w:t xml:space="preserve"> connection</w:t>
      </w:r>
      <w:r w:rsidR="00AD37DF">
        <w:rPr>
          <w:color w:val="auto"/>
          <w:lang w:val="en-GB"/>
        </w:rPr>
        <w:t xml:space="preserve"> and the flow rate in the intermediate pipe is null</w:t>
      </w:r>
      <w:r w:rsidRPr="00196F7F">
        <w:rPr>
          <w:color w:val="auto"/>
          <w:lang w:val="en-GB"/>
        </w:rPr>
        <w:t xml:space="preserve">. </w:t>
      </w:r>
      <w:r w:rsidR="00981865" w:rsidRPr="00981865">
        <w:rPr>
          <w:color w:val="auto"/>
        </w:rPr>
        <w:t>The switch between heat</w:t>
      </w:r>
      <w:r w:rsidR="00981865" w:rsidRPr="00981865">
        <w:rPr>
          <w:color w:val="auto"/>
        </w:rPr>
        <w:noBreakHyphen/>
        <w:t xml:space="preserve">pump preheating and the </w:t>
      </w:r>
      <w:proofErr w:type="spellStart"/>
      <w:r w:rsidR="00981865" w:rsidRPr="00981865">
        <w:rPr>
          <w:color w:val="auto"/>
        </w:rPr>
        <w:t>RtS</w:t>
      </w:r>
      <w:proofErr w:type="spellEnd"/>
      <w:r w:rsidR="00981865" w:rsidRPr="00981865">
        <w:rPr>
          <w:color w:val="auto"/>
        </w:rPr>
        <w:t xml:space="preserve"> configuration cause</w:t>
      </w:r>
      <w:r w:rsidR="00981865">
        <w:rPr>
          <w:color w:val="auto"/>
        </w:rPr>
        <w:t>s</w:t>
      </w:r>
      <w:r w:rsidR="00981865" w:rsidRPr="00981865">
        <w:rPr>
          <w:color w:val="auto"/>
        </w:rPr>
        <w:t xml:space="preserve"> substantial changes in the flow regime in the intermediate pipe. These changes produce short</w:t>
      </w:r>
      <w:r w:rsidR="00981865" w:rsidRPr="00981865">
        <w:rPr>
          <w:color w:val="auto"/>
        </w:rPr>
        <w:noBreakHyphen/>
        <w:t>term hydraulic and thermal transients (e.g., pressure and flow oscillations, brief temperature swings) that cannot be resolved with the 15</w:t>
      </w:r>
      <w:r w:rsidR="00981865" w:rsidRPr="00981865">
        <w:rPr>
          <w:color w:val="auto"/>
        </w:rPr>
        <w:noBreakHyphen/>
        <w:t>minute timestep used in annual simulations. These dynamic effects are therefore neglected in this study</w:t>
      </w:r>
      <w:r w:rsidR="00981865">
        <w:rPr>
          <w:color w:val="auto"/>
        </w:rPr>
        <w:t xml:space="preserve"> but</w:t>
      </w:r>
      <w:r w:rsidR="00981865" w:rsidRPr="00981865">
        <w:rPr>
          <w:color w:val="auto"/>
        </w:rPr>
        <w:t xml:space="preserve"> they must be addressed in detailed operational or commissioning analyses and are assumed to be manageable by plant control systems in practice.</w:t>
      </w:r>
    </w:p>
    <w:p w14:paraId="216ABEC8" w14:textId="65F885E1" w:rsidR="00DC658A" w:rsidRDefault="00DC658A" w:rsidP="00C76183">
      <w:pPr>
        <w:pStyle w:val="SWCText"/>
        <w:rPr>
          <w:color w:val="auto"/>
          <w:lang w:val="en-GB"/>
        </w:rPr>
      </w:pPr>
      <w:r w:rsidRPr="00DC658A">
        <w:rPr>
          <w:color w:val="auto"/>
          <w:lang w:val="en-GB"/>
        </w:rPr>
        <w:t xml:space="preserve">In the </w:t>
      </w:r>
      <w:r>
        <w:rPr>
          <w:color w:val="auto"/>
          <w:lang w:val="en-GB"/>
        </w:rPr>
        <w:t xml:space="preserve">pure </w:t>
      </w:r>
      <w:r w:rsidRPr="00DC658A">
        <w:rPr>
          <w:color w:val="auto"/>
          <w:lang w:val="en-GB"/>
        </w:rPr>
        <w:t>series arrangement</w:t>
      </w:r>
      <w:r>
        <w:rPr>
          <w:color w:val="auto"/>
          <w:lang w:val="en-GB"/>
        </w:rPr>
        <w:t>, with no flow bled by the bypass pump,</w:t>
      </w:r>
      <w:r w:rsidRPr="00DC658A">
        <w:rPr>
          <w:color w:val="auto"/>
          <w:lang w:val="en-GB"/>
        </w:rPr>
        <w:t xml:space="preserve"> the same mass flow passes through the upstream HP and the downstream CHP/P2H</w:t>
      </w:r>
      <w:r>
        <w:rPr>
          <w:color w:val="auto"/>
          <w:lang w:val="en-GB"/>
        </w:rPr>
        <w:t>.</w:t>
      </w:r>
      <w:r w:rsidRPr="00DC658A">
        <w:rPr>
          <w:color w:val="auto"/>
          <w:lang w:val="en-GB"/>
        </w:rPr>
        <w:t xml:space="preserve"> </w:t>
      </w:r>
      <w:r>
        <w:rPr>
          <w:color w:val="auto"/>
          <w:lang w:val="en-GB"/>
        </w:rPr>
        <w:t>T</w:t>
      </w:r>
      <w:r w:rsidRPr="00DC658A">
        <w:rPr>
          <w:color w:val="auto"/>
          <w:lang w:val="en-GB"/>
        </w:rPr>
        <w:t>herefore</w:t>
      </w:r>
      <w:r>
        <w:rPr>
          <w:color w:val="auto"/>
          <w:lang w:val="en-GB"/>
        </w:rPr>
        <w:t>,</w:t>
      </w:r>
      <w:r w:rsidRPr="00DC658A">
        <w:rPr>
          <w:color w:val="auto"/>
          <w:lang w:val="en-GB"/>
        </w:rPr>
        <w:t xml:space="preserve"> the HP contribution to downstream clusters is limited by its temperature lift relative to the total lift required to reach the downstream setpoint</w:t>
      </w:r>
      <w:r w:rsidR="001D2F8C">
        <w:rPr>
          <w:color w:val="auto"/>
          <w:lang w:val="en-GB"/>
        </w:rPr>
        <w:t xml:space="preserve"> (90 °C)</w:t>
      </w:r>
      <w:r w:rsidRPr="00DC658A">
        <w:rPr>
          <w:color w:val="auto"/>
          <w:lang w:val="en-GB"/>
        </w:rPr>
        <w:t>.</w:t>
      </w:r>
      <w:r>
        <w:rPr>
          <w:color w:val="auto"/>
          <w:lang w:val="en-GB"/>
        </w:rPr>
        <w:t xml:space="preserve"> </w:t>
      </w:r>
      <w:r w:rsidR="0000752D">
        <w:rPr>
          <w:color w:val="auto"/>
          <w:lang w:val="en-GB"/>
        </w:rPr>
        <w:t>Assuming a constant specific heat for the working fluid (water)</w:t>
      </w:r>
      <w:r>
        <w:rPr>
          <w:color w:val="auto"/>
          <w:lang w:val="en-GB"/>
        </w:rPr>
        <w:t xml:space="preserve">, the </w:t>
      </w:r>
      <w:r w:rsidR="0000752D">
        <w:rPr>
          <w:color w:val="auto"/>
          <w:lang w:val="en-GB"/>
        </w:rPr>
        <w:t xml:space="preserve">HP’s </w:t>
      </w:r>
      <w:r>
        <w:rPr>
          <w:color w:val="auto"/>
          <w:lang w:val="en-GB"/>
        </w:rPr>
        <w:t>maximum contribution to clusters 2 to 4 is constrained by the temperature lift</w:t>
      </w:r>
      <w:r w:rsidR="0000752D">
        <w:rPr>
          <w:color w:val="auto"/>
          <w:lang w:val="en-GB"/>
        </w:rPr>
        <w:t>s as</w:t>
      </w:r>
      <w:r w:rsidR="001C59DA">
        <w:rPr>
          <w:color w:val="auto"/>
          <w:lang w:val="en-GB"/>
        </w:rPr>
        <w:t xml:space="preserve">: </w:t>
      </w:r>
    </w:p>
    <w:p w14:paraId="6F27E1B0" w14:textId="51E171CC" w:rsidR="001C59DA" w:rsidRPr="001C59DA" w:rsidRDefault="00000000" w:rsidP="00C76183">
      <w:pPr>
        <w:pStyle w:val="SWCText"/>
        <w:rPr>
          <w:lang w:val="en-GB"/>
        </w:rPr>
      </w:pPr>
      <m:oMathPara>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HP,max,2-4</m:t>
              </m:r>
            </m:sub>
          </m:sSub>
          <m:r>
            <w:rPr>
              <w:rFonts w:ascii="Cambria Math" w:hAnsi="Cambria Math"/>
              <w:lang w:val="en-GB"/>
            </w:rPr>
            <m:t>=</m:t>
          </m:r>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clusters 2-4</m:t>
              </m:r>
            </m:sub>
          </m:sSub>
          <m: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ret</m:t>
                  </m:r>
                </m:sub>
              </m:sSub>
            </m:num>
            <m:den>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sup,CHP</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ret</m:t>
                  </m:r>
                </m:sub>
              </m:sSub>
            </m:den>
          </m:f>
          <m:r>
            <w:rPr>
              <w:rFonts w:ascii="Cambria Math" w:hAnsi="Cambria Math"/>
              <w:lang w:val="en-GB"/>
            </w:rPr>
            <m:t xml:space="preserve">                                          (</m:t>
          </m:r>
          <m:r>
            <m:rPr>
              <m:sty m:val="p"/>
            </m:rPr>
            <w:rPr>
              <w:rFonts w:ascii="Cambria Math" w:hAnsi="Cambria Math"/>
              <w:lang w:val="en-GB"/>
            </w:rPr>
            <m:t>eq. 1</m:t>
          </m:r>
          <m:r>
            <w:rPr>
              <w:rFonts w:ascii="Cambria Math" w:hAnsi="Cambria Math"/>
              <w:lang w:val="en-GB"/>
            </w:rPr>
            <m:t>)</m:t>
          </m:r>
        </m:oMath>
      </m:oMathPara>
    </w:p>
    <w:p w14:paraId="33887FFB" w14:textId="30436951" w:rsidR="001C59DA" w:rsidRDefault="0000752D" w:rsidP="00C76183">
      <w:pPr>
        <w:pStyle w:val="SWCText"/>
        <w:rPr>
          <w:color w:val="auto"/>
          <w:lang w:val="en-GB"/>
        </w:rPr>
      </w:pPr>
      <w:r>
        <w:rPr>
          <w:color w:val="auto"/>
          <w:lang w:val="en-GB"/>
        </w:rPr>
        <w:t>and, i</w:t>
      </w:r>
      <w:r w:rsidR="001C59DA">
        <w:rPr>
          <w:color w:val="auto"/>
          <w:lang w:val="en-GB"/>
        </w:rPr>
        <w:t xml:space="preserve">ncluding the thermal demand at cluster 1, the HP absolute limit is: </w:t>
      </w:r>
    </w:p>
    <w:p w14:paraId="31EE5355" w14:textId="38CF7761" w:rsidR="001C59DA" w:rsidRPr="001C59DA" w:rsidRDefault="00000000" w:rsidP="00C76183">
      <w:pPr>
        <w:pStyle w:val="SWCText"/>
        <w:rPr>
          <w:lang w:val="en-GB"/>
        </w:rPr>
      </w:pPr>
      <m:oMathPara>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HP,max</m:t>
              </m:r>
            </m:sub>
          </m:sSub>
          <m:r>
            <w:rPr>
              <w:rFonts w:ascii="Cambria Math" w:hAnsi="Cambria Math"/>
              <w:lang w:val="en-GB"/>
            </w:rPr>
            <m:t>=</m:t>
          </m:r>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cluster 1</m:t>
              </m:r>
            </m:sub>
          </m:sSub>
          <m:r>
            <w:rPr>
              <w:rFonts w:ascii="Cambria Math" w:hAnsi="Cambria Math"/>
              <w:lang w:val="en-GB"/>
            </w:rPr>
            <m:t>+</m:t>
          </m:r>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clusters 2-4</m:t>
              </m:r>
            </m:sub>
          </m:sSub>
          <m: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ret</m:t>
                  </m:r>
                </m:sub>
              </m:sSub>
            </m:num>
            <m:den>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sup,CHP</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ret</m:t>
                  </m:r>
                </m:sub>
              </m:sSub>
            </m:den>
          </m:f>
          <m:r>
            <w:rPr>
              <w:rFonts w:ascii="Cambria Math" w:hAnsi="Cambria Math"/>
              <w:lang w:val="en-GB"/>
            </w:rPr>
            <m:t xml:space="preserve">                           (</m:t>
          </m:r>
          <m:r>
            <m:rPr>
              <m:sty m:val="p"/>
            </m:rPr>
            <w:rPr>
              <w:rFonts w:ascii="Cambria Math" w:hAnsi="Cambria Math"/>
              <w:lang w:val="en-GB"/>
            </w:rPr>
            <m:t>eq. 2</m:t>
          </m:r>
          <m:r>
            <w:rPr>
              <w:rFonts w:ascii="Cambria Math" w:hAnsi="Cambria Math"/>
              <w:lang w:val="en-GB"/>
            </w:rPr>
            <m:t>)</m:t>
          </m:r>
        </m:oMath>
      </m:oMathPara>
    </w:p>
    <w:p w14:paraId="260E42F7" w14:textId="292EA122" w:rsidR="00083A88" w:rsidRPr="00083A88" w:rsidRDefault="00083A88" w:rsidP="00C76183">
      <w:pPr>
        <w:pStyle w:val="SWCText"/>
        <w:rPr>
          <w:color w:val="auto"/>
        </w:rPr>
      </w:pPr>
      <w:r>
        <w:rPr>
          <w:color w:val="auto"/>
          <w:lang w:val="en-GB"/>
        </w:rPr>
        <w:t xml:space="preserve">If the demand at clusters 2 to 4 exceeds the temperature-limited contributions of HP and CHP, the electric boiler (P2H) provides the remaining post-heating. Example: with </w:t>
      </w:r>
      <m:oMath>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ret</m:t>
            </m:r>
          </m:sub>
        </m:sSub>
        <m:r>
          <w:rPr>
            <w:rFonts w:ascii="Cambria Math" w:hAnsi="Cambria Math"/>
            <w:lang w:val="en-GB"/>
          </w:rPr>
          <m:t>=50 °C</m:t>
        </m:r>
      </m:oMath>
      <w:r>
        <w:rPr>
          <w:lang w:val="en-GB"/>
        </w:rPr>
        <w:t xml:space="preserve">, </w:t>
      </w:r>
      <m:oMath>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r>
          <w:rPr>
            <w:rFonts w:ascii="Cambria Math" w:hAnsi="Cambria Math"/>
            <w:lang w:val="en-GB"/>
          </w:rPr>
          <m:t>=70 °C</m:t>
        </m:r>
      </m:oMath>
      <w:r>
        <w:rPr>
          <w:lang w:val="en-GB"/>
        </w:rPr>
        <w:t xml:space="preserve"> and </w:t>
      </w:r>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cluster 1</m:t>
            </m:r>
          </m:sub>
        </m:sSub>
        <m:r>
          <w:rPr>
            <w:rFonts w:ascii="Cambria Math" w:hAnsi="Cambria Math"/>
            <w:lang w:val="en-GB"/>
          </w:rPr>
          <m:t>=0 kW</m:t>
        </m:r>
      </m:oMath>
      <w:r>
        <w:rPr>
          <w:lang w:val="en-GB"/>
        </w:rPr>
        <w:t xml:space="preserve">, </w:t>
      </w:r>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clusters 2-4</m:t>
            </m:r>
          </m:sub>
        </m:sSub>
        <m:r>
          <w:rPr>
            <w:rFonts w:ascii="Cambria Math" w:hAnsi="Cambria Math"/>
            <w:lang w:val="en-GB"/>
          </w:rPr>
          <m:t>=5000 kW</m:t>
        </m:r>
      </m:oMath>
      <w:r>
        <w:rPr>
          <w:lang w:val="en-GB"/>
        </w:rPr>
        <w:t xml:space="preserve"> </w:t>
      </w:r>
      <w:r w:rsidRPr="00083A88">
        <w:t>→</w:t>
      </w:r>
      <w:r>
        <w:t xml:space="preserve"> </w:t>
      </w:r>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HP,max</m:t>
            </m:r>
          </m:sub>
        </m:sSub>
        <m:r>
          <w:rPr>
            <w:rFonts w:ascii="Cambria Math" w:hAnsi="Cambria Math"/>
            <w:lang w:val="en-GB"/>
          </w:rPr>
          <m:t>=</m:t>
        </m:r>
        <m:r>
          <m:rPr>
            <m:sty m:val="p"/>
          </m:rPr>
          <w:rPr>
            <w:rFonts w:ascii="Cambria Math" w:hAnsi="Cambria Math"/>
            <w:lang w:val="en-GB"/>
          </w:rPr>
          <m:t>0 + 5000*(20/40) = 2500 kW</m:t>
        </m:r>
      </m:oMath>
      <w:r>
        <w:rPr>
          <w:lang w:val="en-GB"/>
        </w:rPr>
        <w:t xml:space="preserve">; with </w:t>
      </w:r>
      <m:oMath>
        <m:sSub>
          <m:sSubPr>
            <m:ctrlPr>
              <w:rPr>
                <w:rFonts w:ascii="Cambria Math" w:hAnsi="Cambria Math"/>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CHP</m:t>
            </m:r>
          </m:sub>
        </m:sSub>
        <m:r>
          <w:rPr>
            <w:rFonts w:ascii="Cambria Math" w:hAnsi="Cambria Math"/>
            <w:lang w:val="en-GB"/>
          </w:rPr>
          <m:t>=2000 kW</m:t>
        </m:r>
      </m:oMath>
      <w:r>
        <w:rPr>
          <w:lang w:val="en-GB"/>
        </w:rPr>
        <w:t xml:space="preserve">, the P2H supplies the remaining 500 kW. </w:t>
      </w:r>
      <w:r w:rsidR="000E6FD5">
        <w:rPr>
          <w:lang w:val="en-GB"/>
        </w:rPr>
        <w:t xml:space="preserve">In practice this extreme case is unlikely: Cluster 1 represents roughly </w:t>
      </w:r>
      <w:r w:rsidR="00BE3C31">
        <w:rPr>
          <w:lang w:val="en-GB"/>
        </w:rPr>
        <w:t>37</w:t>
      </w:r>
      <w:r w:rsidR="000E6FD5">
        <w:rPr>
          <w:lang w:val="en-GB"/>
        </w:rPr>
        <w:t>% of total demand, the temperature-limit only becomes relevant for total demand above 4000 kW (below this the HP never provides more than 50% of demand by merit order), and cold weather conditions that produce 5,000 kW demand in Clusters 2 to 4 would almost certainly produce substantial simultaneous demand in Cluster 1 (</w:t>
      </w:r>
      <w:r w:rsidR="00590413">
        <w:rPr>
          <w:lang w:val="en-GB"/>
        </w:rPr>
        <w:t>SH</w:t>
      </w:r>
      <w:r w:rsidR="000E6FD5">
        <w:rPr>
          <w:lang w:val="en-GB"/>
        </w:rPr>
        <w:t xml:space="preserve"> drives </w:t>
      </w:r>
      <w:r w:rsidR="00BE4864">
        <w:rPr>
          <w:lang w:val="en-GB"/>
        </w:rPr>
        <w:t>demand</w:t>
      </w:r>
      <w:r w:rsidR="000E6FD5">
        <w:rPr>
          <w:lang w:val="en-GB"/>
        </w:rPr>
        <w:t xml:space="preserve"> in Winter). Therefore, the scenario is physically possible but of very low probability in the analysed year. </w:t>
      </w:r>
    </w:p>
    <w:p w14:paraId="4E0FC98C" w14:textId="2E2D9733" w:rsidR="00C76183" w:rsidRPr="00196F7F" w:rsidRDefault="00C76183" w:rsidP="00C76183">
      <w:pPr>
        <w:pStyle w:val="SWCText"/>
        <w:rPr>
          <w:color w:val="auto"/>
          <w:lang w:val="en-GB"/>
        </w:rPr>
      </w:pPr>
      <w:r w:rsidRPr="00196F7F">
        <w:rPr>
          <w:color w:val="auto"/>
          <w:lang w:val="en-GB"/>
        </w:rPr>
        <w:t xml:space="preserve">In Mid-season (01.05 to 31.05 and 01.09 to 30.09), the heating demand is relatively low, so the control is realized so that the HP supplies the thermal power demanded by Cluster 1 while the biomass CHP supplies the thermal power demanded by Clusters 2 to 4.  </w:t>
      </w:r>
    </w:p>
    <w:p w14:paraId="4EB3E7A2" w14:textId="77777777" w:rsidR="00C76183" w:rsidRPr="00196F7F" w:rsidRDefault="00C76183" w:rsidP="00C76183">
      <w:pPr>
        <w:pStyle w:val="SWCText"/>
        <w:rPr>
          <w:color w:val="auto"/>
          <w:lang w:val="en-GB"/>
        </w:rPr>
      </w:pPr>
      <w:r w:rsidRPr="00196F7F">
        <w:rPr>
          <w:color w:val="auto"/>
          <w:lang w:val="en-GB"/>
        </w:rPr>
        <w:t xml:space="preserve">During the Summer (01.06 to 31.08), the network is supplied in the same way described in the Benchmark scenario. The CHP is running alone, supplying the network at 75 °C supply temperature. </w:t>
      </w:r>
    </w:p>
    <w:bookmarkEnd w:id="1"/>
    <w:p w14:paraId="6E6AE9BC" w14:textId="2ED2B950" w:rsidR="00C76183" w:rsidRPr="005C5F5D" w:rsidRDefault="00C76183" w:rsidP="00C76183">
      <w:pPr>
        <w:pStyle w:val="SWCHeading11"/>
      </w:pPr>
      <w:r w:rsidRPr="005C5F5D">
        <w:t>2.5 Heating plants modelling</w:t>
      </w:r>
    </w:p>
    <w:p w14:paraId="3B7A4CC8" w14:textId="1000B1B4" w:rsidR="00C76183" w:rsidRPr="00A35615" w:rsidRDefault="00C76183" w:rsidP="00196F7F">
      <w:pPr>
        <w:pStyle w:val="SWCText"/>
      </w:pPr>
      <w:r w:rsidRPr="00196F7F">
        <w:rPr>
          <w:b/>
          <w:bCs/>
          <w:lang w:val="en-GB"/>
        </w:rPr>
        <w:t>Heat Pump and P2H efficiency</w:t>
      </w:r>
      <w:r w:rsidRPr="00196F7F">
        <w:rPr>
          <w:lang w:val="en-GB"/>
        </w:rPr>
        <w:t xml:space="preserve">. The heat pump considered in the study consists in a group of </w:t>
      </w:r>
      <w:r w:rsidR="007F679C">
        <w:rPr>
          <w:lang w:val="en-GB"/>
        </w:rPr>
        <w:t>four</w:t>
      </w:r>
      <w:r w:rsidRPr="00196F7F">
        <w:rPr>
          <w:lang w:val="en-GB"/>
        </w:rPr>
        <w:t xml:space="preserve"> ammonia HPs installed in parallel. </w:t>
      </w:r>
      <w:r w:rsidR="00AD37DF">
        <w:rPr>
          <w:lang w:val="en-GB"/>
        </w:rPr>
        <w:t>The</w:t>
      </w:r>
      <w:r w:rsidRPr="00196F7F">
        <w:rPr>
          <w:lang w:val="en-GB"/>
        </w:rPr>
        <w:t xml:space="preserve"> HP </w:t>
      </w:r>
      <w:r w:rsidR="00AD37DF">
        <w:rPr>
          <w:lang w:val="en-GB"/>
        </w:rPr>
        <w:t>group</w:t>
      </w:r>
      <w:r w:rsidRPr="00196F7F">
        <w:rPr>
          <w:lang w:val="en-GB"/>
        </w:rPr>
        <w:t xml:space="preserve"> has a </w:t>
      </w:r>
      <w:r w:rsidR="00AD37DF">
        <w:rPr>
          <w:lang w:val="en-GB"/>
        </w:rPr>
        <w:t xml:space="preserve">total </w:t>
      </w:r>
      <w:r w:rsidRPr="00196F7F">
        <w:rPr>
          <w:lang w:val="en-GB"/>
        </w:rPr>
        <w:t xml:space="preserve">maximum power of </w:t>
      </w:r>
      <w:r w:rsidR="00AD37DF">
        <w:rPr>
          <w:lang w:val="en-GB"/>
        </w:rPr>
        <w:t>4</w:t>
      </w:r>
      <w:r w:rsidRPr="00196F7F">
        <w:rPr>
          <w:lang w:val="en-GB"/>
        </w:rPr>
        <w:t>,000 kW and a minimum power of 500 kW. The evaporator of the HP-group is supplied by sewage water. The temperature of the inlet sewage water channel has been monitored for one year and it ranges from 8 to 22 °C. The HP efficiency is evaluated using a Carnot-based COP model:</w:t>
      </w:r>
    </w:p>
    <w:p w14:paraId="0FBAE940" w14:textId="319D06E6" w:rsidR="00C76183" w:rsidRPr="00196F7F" w:rsidRDefault="00C76183" w:rsidP="00C76183">
      <w:pPr>
        <w:pStyle w:val="SWCText"/>
        <w:rPr>
          <w:lang w:val="en-GB"/>
        </w:rPr>
      </w:pPr>
      <m:oMathPara>
        <m:oMath>
          <m:r>
            <w:rPr>
              <w:rFonts w:ascii="Cambria Math" w:hAnsi="Cambria Math"/>
              <w:lang w:val="en-GB"/>
            </w:rPr>
            <m:t>COP=</m:t>
          </m:r>
          <m:sSub>
            <m:sSubPr>
              <m:ctrlPr>
                <w:rPr>
                  <w:rFonts w:ascii="Cambria Math" w:hAnsi="Cambria Math"/>
                  <w:lang w:val="en-GB"/>
                </w:rPr>
              </m:ctrlPr>
            </m:sSubPr>
            <m:e>
              <m:r>
                <w:rPr>
                  <w:rFonts w:ascii="Cambria Math" w:hAnsi="Cambria Math"/>
                  <w:lang w:val="en-GB"/>
                </w:rPr>
                <m:t>η</m:t>
              </m:r>
            </m:e>
            <m:sub>
              <m:r>
                <w:rPr>
                  <w:rFonts w:ascii="Cambria Math" w:hAnsi="Cambria Math"/>
                  <w:lang w:val="en-GB"/>
                </w:rPr>
                <m:t>Carnot</m:t>
              </m:r>
            </m:sub>
          </m:sSub>
          <m: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num>
            <m:den>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r>
                <w:rPr>
                  <w:rFonts w:ascii="Cambria Math" w:hAnsi="Cambria Math"/>
                  <w:lang w:val="en-GB"/>
                </w:rPr>
                <m:t>-</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in,source</m:t>
                  </m:r>
                </m:sub>
              </m:sSub>
            </m:den>
          </m:f>
          <m:r>
            <w:rPr>
              <w:rFonts w:ascii="Cambria Math" w:hAnsi="Cambria Math"/>
              <w:lang w:val="en-GB"/>
            </w:rPr>
            <m:t xml:space="preserve">                                                     (</m:t>
          </m:r>
          <m:r>
            <m:rPr>
              <m:sty m:val="p"/>
            </m:rPr>
            <w:rPr>
              <w:rFonts w:ascii="Cambria Math" w:hAnsi="Cambria Math"/>
              <w:lang w:val="en-GB"/>
            </w:rPr>
            <m:t>eq. 3</m:t>
          </m:r>
          <m:r>
            <w:rPr>
              <w:rFonts w:ascii="Cambria Math" w:hAnsi="Cambria Math"/>
              <w:lang w:val="en-GB"/>
            </w:rPr>
            <m:t>)</m:t>
          </m:r>
        </m:oMath>
      </m:oMathPara>
    </w:p>
    <w:p w14:paraId="139262C2" w14:textId="40E10FE9" w:rsidR="00C76183" w:rsidRPr="00681B75" w:rsidRDefault="00240E8C" w:rsidP="00196F7F">
      <w:pPr>
        <w:pStyle w:val="SWCText"/>
        <w:rPr>
          <w:lang w:val="en-GB"/>
        </w:rPr>
      </w:pPr>
      <w:r>
        <w:rPr>
          <w:lang w:val="en-GB"/>
        </w:rPr>
        <w:t>w</w:t>
      </w:r>
      <w:r w:rsidR="00391AB2" w:rsidRPr="00196F7F">
        <w:rPr>
          <w:lang w:val="en-GB"/>
        </w:rPr>
        <w:t>here temperatures are in Kelvin.</w:t>
      </w:r>
      <w:r w:rsidR="00681B75">
        <w:rPr>
          <w:lang w:val="en-GB"/>
        </w:rPr>
        <w:t xml:space="preserve"> Here,</w:t>
      </w:r>
      <w:r w:rsidR="00391AB2" w:rsidRPr="00196F7F">
        <w:rPr>
          <w:lang w:val="en-GB"/>
        </w:rPr>
        <w:t xml:space="preserve"> </w:t>
      </w:r>
      <m:oMath>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sup,HP</m:t>
            </m:r>
          </m:sub>
        </m:sSub>
      </m:oMath>
      <w:r w:rsidR="00391AB2" w:rsidRPr="00196F7F">
        <w:rPr>
          <w:lang w:val="en-GB"/>
        </w:rPr>
        <w:t xml:space="preserve"> is the HP supply temperature</w:t>
      </w:r>
      <w:r w:rsidR="00681B75">
        <w:rPr>
          <w:lang w:val="en-GB"/>
        </w:rPr>
        <w:t>.</w:t>
      </w:r>
      <w:r w:rsidR="00391AB2" w:rsidRPr="00196F7F">
        <w:rPr>
          <w:lang w:val="en-GB"/>
        </w:rPr>
        <w:t xml:space="preserve"> </w:t>
      </w:r>
      <m:oMath>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in,source</m:t>
            </m:r>
          </m:sub>
        </m:sSub>
      </m:oMath>
      <w:r w:rsidR="00391AB2" w:rsidRPr="00196F7F">
        <w:rPr>
          <w:lang w:val="en-GB"/>
        </w:rPr>
        <w:t xml:space="preserve"> is the </w:t>
      </w:r>
      <w:r w:rsidR="00681B75">
        <w:rPr>
          <w:lang w:val="en-GB"/>
        </w:rPr>
        <w:t xml:space="preserve">inlet temperature of the secondary fluid feeding the evaporator, not the raw sewage water temperature. The sewage stream </w:t>
      </w:r>
      <w:r w:rsidR="00681B75" w:rsidRPr="00681B75">
        <w:t xml:space="preserve">exchanges </w:t>
      </w:r>
      <w:r w:rsidR="00681B75" w:rsidRPr="00681B75">
        <w:lastRenderedPageBreak/>
        <w:t>heat via an intermediate heat exchanger to a secondary loop that feeds the evaporator</w:t>
      </w:r>
      <w:r w:rsidR="00681B75">
        <w:t xml:space="preserve">, and 3 K are subtracted to the sewage water temperature to represent the temperature loss across the exchanger. </w:t>
      </w:r>
      <w:r w:rsidR="00391AB2" w:rsidRPr="00196F7F">
        <w:rPr>
          <w:lang w:val="en-GB"/>
        </w:rPr>
        <w:t xml:space="preserve">The factor </w:t>
      </w:r>
      <m:oMath>
        <m:sSub>
          <m:sSubPr>
            <m:ctrlPr>
              <w:rPr>
                <w:rFonts w:ascii="Cambria Math" w:hAnsi="Cambria Math"/>
                <w:lang w:val="en-GB"/>
              </w:rPr>
            </m:ctrlPr>
          </m:sSubPr>
          <m:e>
            <m:r>
              <w:rPr>
                <w:rFonts w:ascii="Cambria Math" w:hAnsi="Cambria Math"/>
                <w:lang w:val="en-GB"/>
              </w:rPr>
              <m:t>η</m:t>
            </m:r>
          </m:e>
          <m:sub>
            <m:r>
              <w:rPr>
                <w:rFonts w:ascii="Cambria Math" w:hAnsi="Cambria Math"/>
                <w:lang w:val="en-GB"/>
              </w:rPr>
              <m:t>Carnot</m:t>
            </m:r>
          </m:sub>
        </m:sSub>
        <m:r>
          <w:rPr>
            <w:rFonts w:ascii="Cambria Math" w:hAnsi="Cambria Math"/>
            <w:lang w:val="en-GB"/>
          </w:rPr>
          <m:t xml:space="preserve"> </m:t>
        </m:r>
      </m:oMath>
      <w:r w:rsidR="00391AB2" w:rsidRPr="00196F7F">
        <w:rPr>
          <w:lang w:val="en-GB"/>
        </w:rPr>
        <w:t xml:space="preserve">accounts for real-machine irreversibilities and auxiliary loads; </w:t>
      </w:r>
      <m:oMath>
        <m:sSub>
          <m:sSubPr>
            <m:ctrlPr>
              <w:rPr>
                <w:rFonts w:ascii="Cambria Math" w:hAnsi="Cambria Math"/>
                <w:lang w:val="en-GB"/>
              </w:rPr>
            </m:ctrlPr>
          </m:sSubPr>
          <m:e>
            <m:r>
              <w:rPr>
                <w:rFonts w:ascii="Cambria Math" w:hAnsi="Cambria Math"/>
                <w:lang w:val="en-GB"/>
              </w:rPr>
              <m:t>η</m:t>
            </m:r>
          </m:e>
          <m:sub>
            <m:r>
              <w:rPr>
                <w:rFonts w:ascii="Cambria Math" w:hAnsi="Cambria Math"/>
                <w:lang w:val="en-GB"/>
              </w:rPr>
              <m:t>Carnot</m:t>
            </m:r>
          </m:sub>
        </m:sSub>
        <m:r>
          <w:rPr>
            <w:rFonts w:ascii="Cambria Math" w:hAnsi="Cambria Math"/>
            <w:lang w:val="en-GB"/>
          </w:rPr>
          <m:t>=0.60</m:t>
        </m:r>
      </m:oMath>
      <w:r w:rsidR="00391AB2" w:rsidRPr="00196F7F">
        <w:rPr>
          <w:lang w:val="en-GB"/>
        </w:rPr>
        <w:t xml:space="preserve"> is adopted based on calibration to manufacturer performance data. </w:t>
      </w:r>
      <w:r w:rsidR="00391AB2" w:rsidRPr="00196F7F">
        <w:rPr>
          <w:color w:val="auto"/>
          <w:lang w:val="en-GB"/>
        </w:rPr>
        <w:t xml:space="preserve">The P2H is modelled with a constant thermal efficiency of 0.99. </w:t>
      </w:r>
    </w:p>
    <w:p w14:paraId="3532EFC4" w14:textId="2F19C91B" w:rsidR="00DF47B4" w:rsidRDefault="00391AB2" w:rsidP="00F56F66">
      <w:pPr>
        <w:pStyle w:val="SWCText"/>
        <w:rPr>
          <w:lang w:val="en-GB"/>
        </w:rPr>
      </w:pPr>
      <w:r w:rsidRPr="00196F7F">
        <w:rPr>
          <w:b/>
          <w:bCs/>
          <w:lang w:val="en-GB"/>
        </w:rPr>
        <w:t>Biomass CHP</w:t>
      </w:r>
      <w:r w:rsidRPr="00196F7F">
        <w:rPr>
          <w:lang w:val="en-GB"/>
        </w:rPr>
        <w:t>. The study considers a gas engine biomass CHP (internal combustion engine) running on gas from biomass gasification</w:t>
      </w:r>
      <w:r w:rsidR="00C3514D">
        <w:rPr>
          <w:lang w:val="en-GB"/>
        </w:rPr>
        <w:t xml:space="preserve"> (Figure 5)</w:t>
      </w:r>
      <w:r w:rsidRPr="00196F7F">
        <w:rPr>
          <w:lang w:val="en-GB"/>
        </w:rPr>
        <w:t xml:space="preserve">. For gas‑engine CHP the recoverable heat is delivered via two streams: the exhaust‑gas heat exchanger, and the engine coolant circuit. </w:t>
      </w:r>
      <w:r w:rsidR="008E1DEF">
        <w:rPr>
          <w:lang w:val="en-GB"/>
        </w:rPr>
        <w:t xml:space="preserve">As shown in Figure 5, the DH return line is pre-heated by the cooling circuit and post-heated by the exhaust gas. </w:t>
      </w:r>
      <w:r w:rsidRPr="00196F7F">
        <w:rPr>
          <w:lang w:val="en-GB"/>
        </w:rPr>
        <w:t>In this study the planned increase of CHP inlet temperature is limited to 70 °C, in line with manufacturer guidance, so as to avoid operational limits: exhaust</w:t>
      </w:r>
      <w:r w:rsidR="00172425">
        <w:rPr>
          <w:lang w:val="en-GB"/>
        </w:rPr>
        <w:t xml:space="preserve"> </w:t>
      </w:r>
      <w:r w:rsidRPr="00196F7F">
        <w:rPr>
          <w:lang w:val="en-GB"/>
        </w:rPr>
        <w:t>gas recovery is constrained by the need to prevent flue‑gas condensation in the chimney, and the engine cooling circuit has an indicated maximum acceptable return temperature of 70 °C. Within this bound no reduction in the CHP’s nominal electrical or thermal output is assumed, nor in its electrical or thermal efficiencies.</w:t>
      </w:r>
      <w:r w:rsidR="006D0927">
        <w:rPr>
          <w:lang w:val="en-GB"/>
        </w:rPr>
        <w:t xml:space="preserve"> </w:t>
      </w:r>
    </w:p>
    <w:p w14:paraId="37D8166B" w14:textId="64973F01" w:rsidR="00F56F66" w:rsidRDefault="00F56F66" w:rsidP="006D0927">
      <w:pPr>
        <w:pStyle w:val="SWCText"/>
        <w:jc w:val="center"/>
        <w:rPr>
          <w:lang w:val="en-GB"/>
        </w:rPr>
      </w:pPr>
      <w:r>
        <w:rPr>
          <w:noProof/>
          <w:lang w:val="en-GB"/>
        </w:rPr>
        <w:drawing>
          <wp:inline distT="0" distB="0" distL="0" distR="0" wp14:anchorId="57228A95" wp14:editId="0B44CDE1">
            <wp:extent cx="3943350" cy="22151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70497" cy="2230359"/>
                    </a:xfrm>
                    <a:prstGeom prst="rect">
                      <a:avLst/>
                    </a:prstGeom>
                    <a:noFill/>
                  </pic:spPr>
                </pic:pic>
              </a:graphicData>
            </a:graphic>
          </wp:inline>
        </w:drawing>
      </w:r>
    </w:p>
    <w:p w14:paraId="492B7317" w14:textId="6D0D6030" w:rsidR="00575AE3" w:rsidRPr="00575AE3" w:rsidRDefault="00575AE3" w:rsidP="00DE43D6">
      <w:pPr>
        <w:pStyle w:val="SWCTableFigureCaption"/>
        <w:rPr>
          <w:noProof/>
        </w:rPr>
      </w:pPr>
      <w:r w:rsidRPr="00196F7F">
        <w:rPr>
          <w:noProof/>
        </w:rPr>
        <w:t>Fig. 5:</w:t>
      </w:r>
      <w:r w:rsidR="00C3514D">
        <w:rPr>
          <w:noProof/>
        </w:rPr>
        <w:t xml:space="preserve"> </w:t>
      </w:r>
      <w:r w:rsidR="00F4582A">
        <w:rPr>
          <w:noProof/>
        </w:rPr>
        <w:t>Working principle of the biomass gasification CHP considered in the study. Own representation from Strzalka et a</w:t>
      </w:r>
      <w:r w:rsidR="00E416D4">
        <w:rPr>
          <w:noProof/>
        </w:rPr>
        <w:t>l</w:t>
      </w:r>
      <w:r w:rsidR="00F4582A">
        <w:rPr>
          <w:noProof/>
        </w:rPr>
        <w:t>., 2017</w:t>
      </w:r>
      <w:r w:rsidRPr="00196F7F">
        <w:rPr>
          <w:noProof/>
        </w:rPr>
        <w:t>.</w:t>
      </w:r>
    </w:p>
    <w:p w14:paraId="4EFF7AD5" w14:textId="7045E86E" w:rsidR="0022126C" w:rsidRPr="005C5F5D" w:rsidRDefault="0022126C" w:rsidP="0022126C">
      <w:pPr>
        <w:pStyle w:val="SWCHeading11"/>
      </w:pPr>
      <w:r w:rsidRPr="005C5F5D">
        <w:t xml:space="preserve">2.6 Calculation of costs and </w:t>
      </w:r>
      <w:r w:rsidR="00DF1E16" w:rsidRPr="00196F7F">
        <w:t>CO</w:t>
      </w:r>
      <w:r w:rsidR="00DF1E16" w:rsidRPr="00196F7F">
        <w:rPr>
          <w:vertAlign w:val="subscript"/>
        </w:rPr>
        <w:t>2</w:t>
      </w:r>
      <w:r w:rsidRPr="005C5F5D">
        <w:t xml:space="preserve"> emissions</w:t>
      </w:r>
    </w:p>
    <w:p w14:paraId="3F019644" w14:textId="222215B8" w:rsidR="00EB6728" w:rsidRPr="00196F7F" w:rsidRDefault="0022126C" w:rsidP="0022126C">
      <w:pPr>
        <w:pStyle w:val="SWCText"/>
        <w:rPr>
          <w:lang w:val="en-GB"/>
        </w:rPr>
      </w:pPr>
      <w:r w:rsidRPr="00196F7F">
        <w:rPr>
          <w:lang w:val="en-GB"/>
        </w:rPr>
        <w:t>The operational expenses (OPEX) for heat</w:t>
      </w:r>
      <w:r w:rsidR="00E4737B">
        <w:rPr>
          <w:lang w:val="en-GB"/>
        </w:rPr>
        <w:t>ing</w:t>
      </w:r>
      <w:r w:rsidRPr="00196F7F">
        <w:rPr>
          <w:lang w:val="en-GB"/>
        </w:rPr>
        <w:t xml:space="preserve"> plants are limited to the direct cost of heat production. Other OPEX components (auxiliary electricity, maintenance, insurance, etc.) are neglected. These omitted OPEX items are assumed equal across the compared operating scenarios and therefore are not expected to affect the relative outcomes. Capital Expenditure (CAPEX) is excluded since the study compares alternative operation strategies</w:t>
      </w:r>
      <w:r w:rsidR="00B1052B">
        <w:rPr>
          <w:lang w:val="en-GB"/>
        </w:rPr>
        <w:t xml:space="preserve">, and the different scenarios </w:t>
      </w:r>
      <w:r w:rsidR="00C371C5">
        <w:rPr>
          <w:lang w:val="en-GB"/>
        </w:rPr>
        <w:t>are assumed to have</w:t>
      </w:r>
      <w:r w:rsidR="00B1052B">
        <w:rPr>
          <w:lang w:val="en-GB"/>
        </w:rPr>
        <w:t xml:space="preserve"> the same CAPEX</w:t>
      </w:r>
      <w:r w:rsidRPr="00196F7F">
        <w:rPr>
          <w:lang w:val="en-GB"/>
        </w:rPr>
        <w:t xml:space="preserve">.   </w:t>
      </w:r>
    </w:p>
    <w:p w14:paraId="02004376" w14:textId="2D6AB473" w:rsidR="0022126C" w:rsidRPr="00196F7F" w:rsidRDefault="00561FC4" w:rsidP="00196F7F">
      <w:pPr>
        <w:pStyle w:val="SWCText"/>
        <w:rPr>
          <w:lang w:val="en-GB"/>
        </w:rPr>
      </w:pPr>
      <w:r w:rsidRPr="00196F7F">
        <w:rPr>
          <w:lang w:val="en-GB"/>
        </w:rPr>
        <w:t>Heat from the HP, and from the electric boiler (P2H) is priced using the day-ahead energy-component of the electricity price for Austria in year 2025 (</w:t>
      </w:r>
      <w:r w:rsidR="002911DF">
        <w:rPr>
          <w:lang w:val="en-GB"/>
        </w:rPr>
        <w:t>Fraunhofer ISE, Energy-Charts</w:t>
      </w:r>
      <w:r w:rsidRPr="00196F7F">
        <w:rPr>
          <w:lang w:val="en-GB"/>
        </w:rPr>
        <w:t>). Total electricity cost includes the energy-component of the electricity price and additional price-charges (grid-usage price, taxes, etc.). The HP cost of heat is computed using a variable COP dependent on source temperature (Section 2.5).</w:t>
      </w:r>
    </w:p>
    <w:p w14:paraId="1549F822" w14:textId="6BAB13B1" w:rsidR="00EB6728" w:rsidRPr="00196F7F" w:rsidRDefault="00561FC4" w:rsidP="00196F7F">
      <w:pPr>
        <w:pStyle w:val="SWCText"/>
        <w:rPr>
          <w:lang w:val="en-GB"/>
        </w:rPr>
      </w:pPr>
      <w:r w:rsidRPr="00196F7F">
        <w:rPr>
          <w:lang w:val="en-GB"/>
        </w:rPr>
        <w:t xml:space="preserve">The cost of heat for the biomass CHP is </w:t>
      </w:r>
      <w:r w:rsidR="00CE0350">
        <w:rPr>
          <w:lang w:val="en-GB"/>
        </w:rPr>
        <w:t>fixed at</w:t>
      </w:r>
      <w:r w:rsidRPr="00196F7F">
        <w:rPr>
          <w:lang w:val="en-GB"/>
        </w:rPr>
        <w:t xml:space="preserve"> 50 </w:t>
      </w:r>
      <w:r w:rsidR="006E7671">
        <w:rPr>
          <w:lang w:val="en-GB"/>
        </w:rPr>
        <w:t>EUR</w:t>
      </w:r>
      <w:r w:rsidRPr="00196F7F">
        <w:rPr>
          <w:lang w:val="en-GB"/>
        </w:rPr>
        <w:t>/MWh</w:t>
      </w:r>
      <w:r w:rsidR="00CE0350">
        <w:rPr>
          <w:lang w:val="en-GB"/>
        </w:rPr>
        <w:t xml:space="preserve"> throughout the year</w:t>
      </w:r>
      <w:r w:rsidRPr="00196F7F">
        <w:rPr>
          <w:lang w:val="en-GB"/>
        </w:rPr>
        <w:t xml:space="preserve">.  The specific </w:t>
      </w:r>
      <w:r w:rsidR="00DF1E16" w:rsidRPr="00196F7F">
        <w:rPr>
          <w:lang w:val="en-GB"/>
        </w:rPr>
        <w:t>CO</w:t>
      </w:r>
      <w:r w:rsidR="00DF1E16" w:rsidRPr="00196F7F">
        <w:rPr>
          <w:vertAlign w:val="subscript"/>
          <w:lang w:val="en-GB"/>
        </w:rPr>
        <w:t>2</w:t>
      </w:r>
      <w:r w:rsidRPr="00196F7F">
        <w:rPr>
          <w:lang w:val="en-GB"/>
        </w:rPr>
        <w:t xml:space="preserve"> emission for the fuel of the biomass CHP is assumed to be equal to </w:t>
      </w:r>
      <m:oMath>
        <m:sSub>
          <m:sSubPr>
            <m:ctrlPr>
              <w:rPr>
                <w:rFonts w:ascii="Cambria Math" w:hAnsi="Cambria Math"/>
                <w:i/>
                <w:color w:val="auto"/>
                <w:lang w:val="en-GB"/>
              </w:rPr>
            </m:ctrlPr>
          </m:sSubPr>
          <m:e>
            <m:r>
              <w:rPr>
                <w:rFonts w:ascii="Cambria Math" w:hAnsi="Cambria Math"/>
                <w:color w:val="auto"/>
                <w:lang w:val="en-GB"/>
              </w:rPr>
              <m:t>e</m:t>
            </m:r>
          </m:e>
          <m:sub>
            <m:r>
              <w:rPr>
                <w:rFonts w:ascii="Cambria Math" w:hAnsi="Cambria Math"/>
                <w:color w:val="auto"/>
                <w:lang w:val="en-GB"/>
              </w:rPr>
              <m:t>fuel</m:t>
            </m:r>
          </m:sub>
        </m:sSub>
      </m:oMath>
      <w:r w:rsidR="00D14855" w:rsidRPr="00196F7F">
        <w:rPr>
          <w:lang w:val="en-GB"/>
        </w:rPr>
        <w:t xml:space="preserve">= </w:t>
      </w:r>
      <w:r w:rsidRPr="00196F7F">
        <w:rPr>
          <w:lang w:val="en-GB"/>
        </w:rPr>
        <w:t>9 g</w:t>
      </w:r>
      <w:r w:rsidR="00DF1E16" w:rsidRPr="00DF1E16">
        <w:rPr>
          <w:lang w:val="en-GB"/>
        </w:rPr>
        <w:t xml:space="preserve"> </w:t>
      </w:r>
      <w:r w:rsidR="00DF1E16" w:rsidRPr="00196F7F">
        <w:rPr>
          <w:lang w:val="en-GB"/>
        </w:rPr>
        <w:t>CO</w:t>
      </w:r>
      <w:r w:rsidR="00DF1E16" w:rsidRPr="00196F7F">
        <w:rPr>
          <w:vertAlign w:val="subscript"/>
          <w:lang w:val="en-GB"/>
        </w:rPr>
        <w:t>2</w:t>
      </w:r>
      <w:r w:rsidRPr="00196F7F">
        <w:rPr>
          <w:lang w:val="en-GB"/>
        </w:rPr>
        <w:t xml:space="preserve">/kWh, as reported in the </w:t>
      </w:r>
      <w:r w:rsidR="00A73554">
        <w:rPr>
          <w:lang w:val="en-GB"/>
        </w:rPr>
        <w:t xml:space="preserve">guidelines of the Austrian Institute of Civil Engineering </w:t>
      </w:r>
      <w:r w:rsidRPr="00196F7F">
        <w:rPr>
          <w:lang w:val="en-GB"/>
        </w:rPr>
        <w:t>(</w:t>
      </w:r>
      <w:r w:rsidRPr="00D226D7">
        <w:t>OIB-</w:t>
      </w:r>
      <w:proofErr w:type="spellStart"/>
      <w:r w:rsidRPr="00D226D7">
        <w:t>Richtlinie</w:t>
      </w:r>
      <w:proofErr w:type="spellEnd"/>
      <w:r w:rsidRPr="00196F7F">
        <w:rPr>
          <w:lang w:val="en-GB"/>
        </w:rPr>
        <w:t xml:space="preserve"> 6</w:t>
      </w:r>
      <w:r w:rsidR="001426BD">
        <w:rPr>
          <w:lang w:val="en-GB"/>
        </w:rPr>
        <w:t>,</w:t>
      </w:r>
      <w:r w:rsidRPr="00196F7F">
        <w:rPr>
          <w:lang w:val="en-GB"/>
        </w:rPr>
        <w:t xml:space="preserve"> 2025). The specific </w:t>
      </w:r>
      <w:r w:rsidR="00DF1E16" w:rsidRPr="00196F7F">
        <w:rPr>
          <w:lang w:val="en-GB"/>
        </w:rPr>
        <w:t>CO</w:t>
      </w:r>
      <w:r w:rsidR="00DF1E16" w:rsidRPr="00196F7F">
        <w:rPr>
          <w:vertAlign w:val="subscript"/>
          <w:lang w:val="en-GB"/>
        </w:rPr>
        <w:t>2</w:t>
      </w:r>
      <w:r w:rsidRPr="00196F7F">
        <w:rPr>
          <w:lang w:val="en-GB"/>
        </w:rPr>
        <w:t xml:space="preserve"> emission per unit of heat produced is calculated as:</w:t>
      </w:r>
    </w:p>
    <w:p w14:paraId="4F440481" w14:textId="052B0DFE" w:rsidR="00EB6728" w:rsidRPr="00A35615" w:rsidRDefault="00000000" w:rsidP="00196F7F">
      <w:pPr>
        <w:rPr>
          <w:szCs w:val="20"/>
        </w:rPr>
      </w:pPr>
      <m:oMathPara>
        <m:oMath>
          <m:sSub>
            <m:sSubPr>
              <m:ctrlPr>
                <w:rPr>
                  <w:rFonts w:ascii="Cambria Math" w:hAnsi="Cambria Math"/>
                  <w:i/>
                  <w:sz w:val="20"/>
                  <w:szCs w:val="22"/>
                  <w:lang w:val="en-GB"/>
                </w:rPr>
              </m:ctrlPr>
            </m:sSubPr>
            <m:e>
              <m:r>
                <w:rPr>
                  <w:rFonts w:ascii="Cambria Math" w:hAnsi="Cambria Math"/>
                  <w:sz w:val="20"/>
                  <w:szCs w:val="22"/>
                  <w:lang w:val="en-GB"/>
                </w:rPr>
                <m:t>e</m:t>
              </m:r>
            </m:e>
            <m:sub>
              <m:r>
                <w:rPr>
                  <w:rFonts w:ascii="Cambria Math" w:hAnsi="Cambria Math"/>
                  <w:sz w:val="20"/>
                  <w:szCs w:val="22"/>
                  <w:lang w:val="en-GB"/>
                </w:rPr>
                <m:t>CHP</m:t>
              </m:r>
            </m:sub>
          </m:sSub>
          <m:r>
            <w:rPr>
              <w:rFonts w:ascii="Cambria Math" w:hAnsi="Cambria Math"/>
              <w:sz w:val="20"/>
              <w:szCs w:val="22"/>
              <w:lang w:val="en-GB"/>
            </w:rPr>
            <m:t>=</m:t>
          </m:r>
          <m:f>
            <m:fPr>
              <m:ctrlPr>
                <w:rPr>
                  <w:rFonts w:ascii="Cambria Math" w:hAnsi="Cambria Math"/>
                  <w:i/>
                  <w:sz w:val="20"/>
                  <w:szCs w:val="22"/>
                  <w:lang w:val="en-GB"/>
                </w:rPr>
              </m:ctrlPr>
            </m:fPr>
            <m:num>
              <m:sSub>
                <m:sSubPr>
                  <m:ctrlPr>
                    <w:rPr>
                      <w:rFonts w:ascii="Cambria Math" w:hAnsi="Cambria Math"/>
                      <w:i/>
                      <w:sz w:val="20"/>
                      <w:szCs w:val="22"/>
                      <w:lang w:val="en-GB"/>
                    </w:rPr>
                  </m:ctrlPr>
                </m:sSubPr>
                <m:e>
                  <m:r>
                    <w:rPr>
                      <w:rFonts w:ascii="Cambria Math" w:hAnsi="Cambria Math"/>
                      <w:sz w:val="20"/>
                      <w:szCs w:val="22"/>
                      <w:lang w:val="en-GB"/>
                    </w:rPr>
                    <m:t>e</m:t>
                  </m:r>
                </m:e>
                <m:sub>
                  <m:r>
                    <w:rPr>
                      <w:rFonts w:ascii="Cambria Math" w:hAnsi="Cambria Math"/>
                      <w:sz w:val="20"/>
                      <w:szCs w:val="22"/>
                      <w:lang w:val="en-GB"/>
                    </w:rPr>
                    <m:t>fuel</m:t>
                  </m:r>
                </m:sub>
              </m:sSub>
            </m:num>
            <m:den>
              <w:bookmarkStart w:id="2" w:name="_Hlk237617506"/>
              <m:sSub>
                <m:sSubPr>
                  <m:ctrlPr>
                    <w:rPr>
                      <w:rFonts w:ascii="Cambria Math" w:hAnsi="Cambria Math"/>
                      <w:i/>
                      <w:sz w:val="20"/>
                      <w:szCs w:val="22"/>
                      <w:lang w:val="en-GB"/>
                    </w:rPr>
                  </m:ctrlPr>
                </m:sSubPr>
                <m:e>
                  <m:r>
                    <w:rPr>
                      <w:rFonts w:ascii="Cambria Math" w:hAnsi="Cambria Math"/>
                      <w:sz w:val="20"/>
                      <w:szCs w:val="22"/>
                      <w:lang w:val="en-GB"/>
                    </w:rPr>
                    <m:t>η</m:t>
                  </m:r>
                </m:e>
                <m:sub>
                  <m:r>
                    <w:rPr>
                      <w:rFonts w:ascii="Cambria Math" w:hAnsi="Cambria Math"/>
                      <w:sz w:val="20"/>
                      <w:szCs w:val="22"/>
                      <w:lang w:val="en-GB"/>
                    </w:rPr>
                    <m:t>CHP</m:t>
                  </m:r>
                </m:sub>
              </m:sSub>
              <w:bookmarkEnd w:id="2"/>
            </m:den>
          </m:f>
          <m:r>
            <w:rPr>
              <w:rFonts w:ascii="Cambria Math" w:hAnsi="Cambria Math"/>
              <w:sz w:val="20"/>
              <w:szCs w:val="22"/>
              <w:lang w:val="en-GB"/>
            </w:rPr>
            <m:t xml:space="preserve">                                                           (</m:t>
          </m:r>
          <m:r>
            <m:rPr>
              <m:sty m:val="p"/>
            </m:rPr>
            <w:rPr>
              <w:rFonts w:ascii="Cambria Math" w:hAnsi="Cambria Math"/>
              <w:sz w:val="20"/>
              <w:szCs w:val="22"/>
              <w:lang w:val="en-GB"/>
            </w:rPr>
            <m:t>eq.4</m:t>
          </m:r>
          <m:r>
            <w:rPr>
              <w:rFonts w:ascii="Cambria Math" w:hAnsi="Cambria Math"/>
              <w:sz w:val="20"/>
              <w:szCs w:val="22"/>
              <w:lang w:val="en-GB"/>
            </w:rPr>
            <m:t>)</m:t>
          </m:r>
        </m:oMath>
      </m:oMathPara>
    </w:p>
    <w:p w14:paraId="6B75857F" w14:textId="77777777" w:rsidR="00561FC4" w:rsidRPr="00196F7F" w:rsidRDefault="00561FC4" w:rsidP="00B214A1">
      <w:pPr>
        <w:pStyle w:val="SWCText"/>
        <w:rPr>
          <w:lang w:val="en-GB"/>
        </w:rPr>
      </w:pPr>
    </w:p>
    <w:p w14:paraId="3755B7A6" w14:textId="2B8FA35B" w:rsidR="00561FC4" w:rsidRPr="00196F7F" w:rsidRDefault="00561FC4" w:rsidP="00561FC4">
      <w:pPr>
        <w:pStyle w:val="SWCText"/>
        <w:rPr>
          <w:color w:val="auto"/>
          <w:lang w:val="en-GB"/>
        </w:rPr>
      </w:pPr>
      <w:r w:rsidRPr="00196F7F">
        <w:rPr>
          <w:color w:val="auto"/>
          <w:lang w:val="en-GB"/>
        </w:rPr>
        <w:t xml:space="preserve">Where </w:t>
      </w:r>
      <m:oMath>
        <m:sSub>
          <m:sSubPr>
            <m:ctrlPr>
              <w:rPr>
                <w:rFonts w:ascii="Cambria Math" w:hAnsi="Cambria Math"/>
                <w:i/>
                <w:color w:val="auto"/>
                <w:lang w:val="en-GB"/>
              </w:rPr>
            </m:ctrlPr>
          </m:sSubPr>
          <m:e>
            <m:r>
              <w:rPr>
                <w:rFonts w:ascii="Cambria Math" w:hAnsi="Cambria Math"/>
                <w:color w:val="auto"/>
                <w:lang w:val="en-GB"/>
              </w:rPr>
              <m:t>η</m:t>
            </m:r>
          </m:e>
          <m:sub>
            <m:r>
              <w:rPr>
                <w:rFonts w:ascii="Cambria Math" w:hAnsi="Cambria Math"/>
                <w:color w:val="auto"/>
                <w:lang w:val="en-GB"/>
              </w:rPr>
              <m:t>CHP</m:t>
            </m:r>
          </m:sub>
        </m:sSub>
      </m:oMath>
      <w:r w:rsidRPr="00196F7F">
        <w:rPr>
          <w:color w:val="auto"/>
          <w:lang w:val="en-GB"/>
        </w:rPr>
        <w:t xml:space="preserve"> is the total efficiency of the CHP, equal to 0.82. The specific </w:t>
      </w:r>
      <w:r w:rsidR="00DF1E16" w:rsidRPr="00196F7F">
        <w:rPr>
          <w:lang w:val="en-GB"/>
        </w:rPr>
        <w:t>CO</w:t>
      </w:r>
      <w:r w:rsidR="00DF1E16" w:rsidRPr="00196F7F">
        <w:rPr>
          <w:vertAlign w:val="subscript"/>
          <w:lang w:val="en-GB"/>
        </w:rPr>
        <w:t>2</w:t>
      </w:r>
      <w:r w:rsidRPr="00196F7F">
        <w:rPr>
          <w:color w:val="auto"/>
          <w:lang w:val="en-GB"/>
        </w:rPr>
        <w:t xml:space="preserve">-eq. emission per unit of heat produced </w:t>
      </w:r>
      <m:oMath>
        <m:sSub>
          <m:sSubPr>
            <m:ctrlPr>
              <w:rPr>
                <w:rFonts w:ascii="Cambria Math" w:hAnsi="Cambria Math"/>
                <w:i/>
                <w:color w:val="auto"/>
                <w:lang w:val="en-GB"/>
              </w:rPr>
            </m:ctrlPr>
          </m:sSubPr>
          <m:e>
            <m:r>
              <w:rPr>
                <w:rFonts w:ascii="Cambria Math" w:hAnsi="Cambria Math"/>
                <w:color w:val="auto"/>
                <w:lang w:val="en-GB"/>
              </w:rPr>
              <m:t>e</m:t>
            </m:r>
          </m:e>
          <m:sub>
            <m:r>
              <w:rPr>
                <w:rFonts w:ascii="Cambria Math" w:hAnsi="Cambria Math"/>
                <w:color w:val="auto"/>
                <w:lang w:val="en-GB"/>
              </w:rPr>
              <m:t>CHP</m:t>
            </m:r>
          </m:sub>
        </m:sSub>
      </m:oMath>
      <w:r w:rsidRPr="00196F7F">
        <w:rPr>
          <w:color w:val="auto"/>
          <w:lang w:val="en-GB"/>
        </w:rPr>
        <w:t xml:space="preserve"> is equal to 11 g</w:t>
      </w:r>
      <w:r w:rsidR="00DF1E16" w:rsidRPr="00DF1E16">
        <w:rPr>
          <w:lang w:val="en-GB"/>
        </w:rPr>
        <w:t xml:space="preserve"> </w:t>
      </w:r>
      <w:r w:rsidR="00DF1E16" w:rsidRPr="00196F7F">
        <w:rPr>
          <w:lang w:val="en-GB"/>
        </w:rPr>
        <w:t>CO</w:t>
      </w:r>
      <w:r w:rsidR="00DF1E16" w:rsidRPr="00196F7F">
        <w:rPr>
          <w:vertAlign w:val="subscript"/>
          <w:lang w:val="en-GB"/>
        </w:rPr>
        <w:t>2</w:t>
      </w:r>
      <w:r w:rsidRPr="00196F7F">
        <w:rPr>
          <w:color w:val="auto"/>
          <w:lang w:val="en-GB"/>
        </w:rPr>
        <w:t>/kWh.</w:t>
      </w:r>
      <w:r w:rsidR="004C2B4F">
        <w:rPr>
          <w:color w:val="auto"/>
          <w:lang w:val="en-GB"/>
        </w:rPr>
        <w:t xml:space="preserve"> According to the assumptions chosen, the thermal output of the biomass CHP is treated as having near-zero </w:t>
      </w:r>
      <w:r w:rsidR="00DF1E16" w:rsidRPr="00196F7F">
        <w:rPr>
          <w:lang w:val="en-GB"/>
        </w:rPr>
        <w:t>CO</w:t>
      </w:r>
      <w:r w:rsidR="00DF1E16" w:rsidRPr="00196F7F">
        <w:rPr>
          <w:vertAlign w:val="subscript"/>
          <w:lang w:val="en-GB"/>
        </w:rPr>
        <w:t>2</w:t>
      </w:r>
      <w:r w:rsidR="004C2B4F">
        <w:rPr>
          <w:color w:val="auto"/>
          <w:lang w:val="en-GB"/>
        </w:rPr>
        <w:t xml:space="preserve"> emissions. Different allocation and accounting methods for biomass assign different emission factors and can therefore change the overall results.</w:t>
      </w:r>
    </w:p>
    <w:p w14:paraId="408B8F66" w14:textId="77305367" w:rsidR="00561FC4" w:rsidRPr="00196F7F" w:rsidRDefault="00561FC4" w:rsidP="00561FC4">
      <w:pPr>
        <w:pStyle w:val="SWCText"/>
        <w:rPr>
          <w:color w:val="auto"/>
          <w:lang w:val="en-GB"/>
        </w:rPr>
      </w:pPr>
      <w:r w:rsidRPr="00196F7F">
        <w:rPr>
          <w:color w:val="auto"/>
          <w:lang w:val="en-GB"/>
        </w:rPr>
        <w:t>For the HP</w:t>
      </w:r>
      <w:r w:rsidR="00B96B9D">
        <w:rPr>
          <w:color w:val="auto"/>
          <w:lang w:val="en-GB"/>
        </w:rPr>
        <w:t>,</w:t>
      </w:r>
      <w:r w:rsidRPr="00196F7F">
        <w:rPr>
          <w:color w:val="auto"/>
          <w:lang w:val="en-GB"/>
        </w:rPr>
        <w:t xml:space="preserve"> the electric boiler (P2H), </w:t>
      </w:r>
      <w:r w:rsidR="00B96B9D">
        <w:rPr>
          <w:color w:val="auto"/>
          <w:lang w:val="en-GB"/>
        </w:rPr>
        <w:t xml:space="preserve">and feeding pumps, </w:t>
      </w:r>
      <w:r w:rsidRPr="00196F7F">
        <w:rPr>
          <w:color w:val="auto"/>
          <w:lang w:val="en-GB"/>
        </w:rPr>
        <w:t xml:space="preserve">the </w:t>
      </w:r>
      <w:r w:rsidR="00DF1E16" w:rsidRPr="00196F7F">
        <w:rPr>
          <w:lang w:val="en-GB"/>
        </w:rPr>
        <w:t>CO</w:t>
      </w:r>
      <w:r w:rsidR="00DF1E16" w:rsidRPr="00196F7F">
        <w:rPr>
          <w:vertAlign w:val="subscript"/>
          <w:lang w:val="en-GB"/>
        </w:rPr>
        <w:t>2</w:t>
      </w:r>
      <w:r w:rsidRPr="00196F7F">
        <w:rPr>
          <w:color w:val="auto"/>
          <w:lang w:val="en-GB"/>
        </w:rPr>
        <w:t>-eq. emission is related to their respective electricity consumption. The monthly carbon intensity of electricity</w:t>
      </w:r>
      <w:r w:rsidR="00696FEA">
        <w:rPr>
          <w:color w:val="auto"/>
          <w:lang w:val="en-GB"/>
        </w:rPr>
        <w:t xml:space="preserve"> for</w:t>
      </w:r>
      <w:r w:rsidRPr="00196F7F">
        <w:rPr>
          <w:color w:val="auto"/>
          <w:lang w:val="en-GB"/>
        </w:rPr>
        <w:t xml:space="preserve"> is sourced from (</w:t>
      </w:r>
      <w:r w:rsidR="002911DF" w:rsidRPr="002911DF">
        <w:rPr>
          <w:color w:val="auto"/>
        </w:rPr>
        <w:t xml:space="preserve">Ember Energy Research </w:t>
      </w:r>
      <w:r w:rsidR="002911DF" w:rsidRPr="002911DF">
        <w:rPr>
          <w:color w:val="auto"/>
        </w:rPr>
        <w:lastRenderedPageBreak/>
        <w:t>CIC</w:t>
      </w:r>
      <w:r w:rsidRPr="00196F7F">
        <w:rPr>
          <w:color w:val="auto"/>
          <w:lang w:val="en-GB"/>
        </w:rPr>
        <w:t>)</w:t>
      </w:r>
      <w:r w:rsidR="00696FEA">
        <w:rPr>
          <w:color w:val="auto"/>
          <w:lang w:val="en-GB"/>
        </w:rPr>
        <w:t xml:space="preserve"> for the test year 2025,</w:t>
      </w:r>
      <w:r w:rsidR="00FA062F">
        <w:rPr>
          <w:color w:val="auto"/>
          <w:lang w:val="en-GB"/>
        </w:rPr>
        <w:t xml:space="preserve"> and it ranges from a maximum</w:t>
      </w:r>
      <w:r w:rsidR="00696FEA">
        <w:rPr>
          <w:color w:val="auto"/>
          <w:lang w:val="en-GB"/>
        </w:rPr>
        <w:t xml:space="preserve"> of</w:t>
      </w:r>
      <w:r w:rsidR="00FA062F">
        <w:rPr>
          <w:color w:val="auto"/>
          <w:lang w:val="en-GB"/>
        </w:rPr>
        <w:t xml:space="preserve"> 165</w:t>
      </w:r>
      <w:r w:rsidR="00811918">
        <w:rPr>
          <w:color w:val="auto"/>
          <w:lang w:val="en-GB"/>
        </w:rPr>
        <w:t xml:space="preserve"> </w:t>
      </w:r>
      <w:r w:rsidR="00FA062F">
        <w:rPr>
          <w:color w:val="auto"/>
          <w:lang w:val="en-GB"/>
        </w:rPr>
        <w:t xml:space="preserve">g </w:t>
      </w:r>
      <w:r w:rsidR="00FA062F" w:rsidRPr="00196F7F">
        <w:rPr>
          <w:lang w:val="en-GB"/>
        </w:rPr>
        <w:t>CO</w:t>
      </w:r>
      <w:r w:rsidR="00FA062F" w:rsidRPr="00196F7F">
        <w:rPr>
          <w:vertAlign w:val="subscript"/>
          <w:lang w:val="en-GB"/>
        </w:rPr>
        <w:t>2</w:t>
      </w:r>
      <w:r w:rsidR="00FA062F" w:rsidRPr="00196F7F">
        <w:rPr>
          <w:color w:val="auto"/>
          <w:lang w:val="en-GB"/>
        </w:rPr>
        <w:t>/kWh</w:t>
      </w:r>
      <w:r w:rsidR="00AD25FA">
        <w:rPr>
          <w:color w:val="auto"/>
          <w:lang w:val="en-GB"/>
        </w:rPr>
        <w:t xml:space="preserve"> in January to a minimum </w:t>
      </w:r>
      <w:r w:rsidR="00696FEA">
        <w:rPr>
          <w:color w:val="auto"/>
          <w:lang w:val="en-GB"/>
        </w:rPr>
        <w:t xml:space="preserve">of </w:t>
      </w:r>
      <w:r w:rsidR="00AD25FA">
        <w:rPr>
          <w:color w:val="auto"/>
          <w:lang w:val="en-GB"/>
        </w:rPr>
        <w:t xml:space="preserve">42 g </w:t>
      </w:r>
      <w:r w:rsidR="00AD25FA" w:rsidRPr="00196F7F">
        <w:rPr>
          <w:lang w:val="en-GB"/>
        </w:rPr>
        <w:t>CO</w:t>
      </w:r>
      <w:r w:rsidR="00AD25FA" w:rsidRPr="00196F7F">
        <w:rPr>
          <w:vertAlign w:val="subscript"/>
          <w:lang w:val="en-GB"/>
        </w:rPr>
        <w:t>2</w:t>
      </w:r>
      <w:r w:rsidR="00AD25FA" w:rsidRPr="00196F7F">
        <w:rPr>
          <w:color w:val="auto"/>
          <w:lang w:val="en-GB"/>
        </w:rPr>
        <w:t>/kWh</w:t>
      </w:r>
      <w:r w:rsidR="00696FEA">
        <w:rPr>
          <w:color w:val="auto"/>
          <w:lang w:val="en-GB"/>
        </w:rPr>
        <w:t xml:space="preserve"> in August</w:t>
      </w:r>
      <w:r w:rsidRPr="00196F7F">
        <w:rPr>
          <w:color w:val="auto"/>
          <w:lang w:val="en-GB"/>
        </w:rPr>
        <w:t xml:space="preserve">. The total annual </w:t>
      </w:r>
      <w:r w:rsidR="00DF1E16" w:rsidRPr="00196F7F">
        <w:rPr>
          <w:lang w:val="en-GB"/>
        </w:rPr>
        <w:t>CO</w:t>
      </w:r>
      <w:r w:rsidR="00DF1E16" w:rsidRPr="00196F7F">
        <w:rPr>
          <w:vertAlign w:val="subscript"/>
          <w:lang w:val="en-GB"/>
        </w:rPr>
        <w:t>2</w:t>
      </w:r>
      <w:r w:rsidRPr="00196F7F">
        <w:rPr>
          <w:color w:val="auto"/>
          <w:lang w:val="en-GB"/>
        </w:rPr>
        <w:t>-eq. emission is calculated by summing the monthly components both for the HP</w:t>
      </w:r>
      <w:r w:rsidR="006F175F">
        <w:rPr>
          <w:color w:val="auto"/>
          <w:lang w:val="en-GB"/>
        </w:rPr>
        <w:t xml:space="preserve">, </w:t>
      </w:r>
      <w:r w:rsidRPr="00196F7F">
        <w:rPr>
          <w:color w:val="auto"/>
          <w:lang w:val="en-GB"/>
        </w:rPr>
        <w:t>the electric boiler (P2H)</w:t>
      </w:r>
      <w:r w:rsidR="006F175F">
        <w:rPr>
          <w:color w:val="auto"/>
          <w:lang w:val="en-GB"/>
        </w:rPr>
        <w:t>, and feeding pumps</w:t>
      </w:r>
      <w:r w:rsidRPr="00196F7F">
        <w:rPr>
          <w:color w:val="auto"/>
          <w:lang w:val="en-GB"/>
        </w:rPr>
        <w:t>.</w:t>
      </w:r>
      <w:r w:rsidR="00B96B9D">
        <w:rPr>
          <w:color w:val="auto"/>
          <w:lang w:val="en-GB"/>
        </w:rPr>
        <w:t xml:space="preserve"> For both scenarios, a fixed </w:t>
      </w:r>
      <w:r w:rsidR="00DF1E16" w:rsidRPr="00196F7F">
        <w:rPr>
          <w:lang w:val="en-GB"/>
        </w:rPr>
        <w:t>CO</w:t>
      </w:r>
      <w:r w:rsidR="00DF1E16" w:rsidRPr="00196F7F">
        <w:rPr>
          <w:vertAlign w:val="subscript"/>
          <w:lang w:val="en-GB"/>
        </w:rPr>
        <w:t>2</w:t>
      </w:r>
      <w:r w:rsidR="00B96B9D">
        <w:rPr>
          <w:color w:val="auto"/>
          <w:lang w:val="en-GB"/>
        </w:rPr>
        <w:t xml:space="preserve"> price of 80 EUR/ton </w:t>
      </w:r>
      <w:r w:rsidR="00590C53">
        <w:rPr>
          <w:color w:val="auto"/>
          <w:lang w:val="en-GB"/>
        </w:rPr>
        <w:t xml:space="preserve">is considered, which represents an approximate average for the European carbon price in 2025 (European Commission, EU ETS). </w:t>
      </w:r>
    </w:p>
    <w:p w14:paraId="3D84A15F" w14:textId="1DC604C5" w:rsidR="00561FC4" w:rsidRPr="00196F7F" w:rsidRDefault="00867ABC" w:rsidP="00196F7F">
      <w:pPr>
        <w:pStyle w:val="SWCHeading1"/>
        <w:rPr>
          <w:lang w:val="en-GB"/>
        </w:rPr>
      </w:pPr>
      <w:r w:rsidRPr="00196F7F">
        <w:rPr>
          <w:lang w:val="en-GB"/>
        </w:rPr>
        <w:t>Results</w:t>
      </w:r>
    </w:p>
    <w:p w14:paraId="475AFD2D" w14:textId="40032DD5" w:rsidR="00867ABC" w:rsidRPr="005C5F5D" w:rsidRDefault="00867ABC" w:rsidP="00867ABC">
      <w:pPr>
        <w:pStyle w:val="SWCHeading11"/>
      </w:pPr>
      <w:r w:rsidRPr="005C5F5D">
        <w:t>3.1 Study case scenario results</w:t>
      </w:r>
    </w:p>
    <w:p w14:paraId="55020ACF" w14:textId="0C40B471" w:rsidR="00867ABC" w:rsidRPr="00196F7F" w:rsidRDefault="00867ABC" w:rsidP="00867ABC">
      <w:pPr>
        <w:pStyle w:val="SWCText"/>
        <w:rPr>
          <w:lang w:val="en-GB"/>
        </w:rPr>
      </w:pPr>
      <w:r w:rsidRPr="00196F7F">
        <w:rPr>
          <w:lang w:val="en-GB"/>
        </w:rPr>
        <w:t xml:space="preserve">In this section the results related to the Study case scenario are reported. Figure </w:t>
      </w:r>
      <w:r w:rsidR="00F4582A">
        <w:rPr>
          <w:lang w:val="en-GB"/>
        </w:rPr>
        <w:t>6</w:t>
      </w:r>
      <w:r w:rsidRPr="00196F7F">
        <w:rPr>
          <w:lang w:val="en-GB"/>
        </w:rPr>
        <w:t xml:space="preserve"> shows three time-dependent plots (17-20 January) illustrating the Study</w:t>
      </w:r>
      <w:r w:rsidR="0096408B">
        <w:rPr>
          <w:lang w:val="en-GB"/>
        </w:rPr>
        <w:t xml:space="preserve"> </w:t>
      </w:r>
      <w:r w:rsidRPr="00196F7F">
        <w:rPr>
          <w:lang w:val="en-GB"/>
        </w:rPr>
        <w:t xml:space="preserve">case hydraulics and control during peak demand. </w:t>
      </w:r>
    </w:p>
    <w:p w14:paraId="6A4D25FF" w14:textId="77777777" w:rsidR="00867ABC" w:rsidRPr="00196F7F" w:rsidRDefault="00867ABC" w:rsidP="00867ABC">
      <w:pPr>
        <w:pStyle w:val="SWCText"/>
        <w:jc w:val="center"/>
        <w:rPr>
          <w:noProof/>
          <w:color w:val="FF0000"/>
          <w:lang w:val="en-GB"/>
        </w:rPr>
      </w:pPr>
      <w:r w:rsidRPr="00196F7F">
        <w:rPr>
          <w:noProof/>
          <w:color w:val="FF0000"/>
          <w:lang w:val="en-GB"/>
        </w:rPr>
        <w:drawing>
          <wp:inline distT="0" distB="0" distL="0" distR="0" wp14:anchorId="18A3E356" wp14:editId="7830CCFF">
            <wp:extent cx="5650992" cy="3032212"/>
            <wp:effectExtent l="0" t="0" r="6985"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rcRect l="7583" t="3086" r="5749" b="3425"/>
                    <a:stretch/>
                  </pic:blipFill>
                  <pic:spPr bwMode="auto">
                    <a:xfrm>
                      <a:off x="0" y="0"/>
                      <a:ext cx="5650992" cy="3032212"/>
                    </a:xfrm>
                    <a:prstGeom prst="rect">
                      <a:avLst/>
                    </a:prstGeom>
                    <a:ln>
                      <a:noFill/>
                    </a:ln>
                    <a:extLst>
                      <a:ext uri="{53640926-AAD7-44D8-BBD7-CCE9431645EC}">
                        <a14:shadowObscured xmlns:a14="http://schemas.microsoft.com/office/drawing/2010/main"/>
                      </a:ext>
                    </a:extLst>
                  </pic:spPr>
                </pic:pic>
              </a:graphicData>
            </a:graphic>
          </wp:inline>
        </w:drawing>
      </w:r>
    </w:p>
    <w:p w14:paraId="2CB78CDE" w14:textId="26E31317" w:rsidR="00867ABC" w:rsidRPr="00196F7F" w:rsidRDefault="00867ABC" w:rsidP="00DE43D6">
      <w:pPr>
        <w:pStyle w:val="SWCTableFigureCaption"/>
        <w:rPr>
          <w:noProof/>
        </w:rPr>
      </w:pPr>
      <w:bookmarkStart w:id="3" w:name="_Hlk237598814"/>
      <w:r w:rsidRPr="00196F7F">
        <w:rPr>
          <w:noProof/>
        </w:rPr>
        <w:t xml:space="preserve">Fig. </w:t>
      </w:r>
      <w:r w:rsidR="00F4582A">
        <w:rPr>
          <w:noProof/>
        </w:rPr>
        <w:t>6</w:t>
      </w:r>
      <w:r w:rsidRPr="00196F7F">
        <w:rPr>
          <w:noProof/>
        </w:rPr>
        <w:t xml:space="preserve">: Study‑case time series (17–20 Jan): plant thermal outputs [kW] (top), mass flow rates [kg/s] (middle), and temperatures [°C] (bottom), showing HP feeding and </w:t>
      </w:r>
      <w:r w:rsidR="00055F03">
        <w:rPr>
          <w:noProof/>
        </w:rPr>
        <w:t>bypass</w:t>
      </w:r>
      <w:r w:rsidRPr="00196F7F">
        <w:rPr>
          <w:noProof/>
        </w:rPr>
        <w:t>/series lifting dynamics.</w:t>
      </w:r>
    </w:p>
    <w:bookmarkEnd w:id="3"/>
    <w:p w14:paraId="4F9BC9D3" w14:textId="555320B1" w:rsidR="0062142E" w:rsidRDefault="0062142E" w:rsidP="00867ABC">
      <w:pPr>
        <w:pStyle w:val="SWCText"/>
        <w:rPr>
          <w:lang w:val="en-GB"/>
        </w:rPr>
      </w:pPr>
      <w:r w:rsidRPr="00196F7F">
        <w:rPr>
          <w:lang w:val="en-GB"/>
        </w:rPr>
        <w:t>Top</w:t>
      </w:r>
      <w:r w:rsidR="0053491C">
        <w:rPr>
          <w:lang w:val="en-GB"/>
        </w:rPr>
        <w:t xml:space="preserve"> (Thermal power production)</w:t>
      </w:r>
      <w:r w:rsidRPr="00196F7F">
        <w:rPr>
          <w:lang w:val="en-GB"/>
        </w:rPr>
        <w:t xml:space="preserve">: thermal output of each plant (biomass CHP, HP, P2H). Middle (Mass flow rates): mass flow through the intermediate pipe (black) and the bypass pump (blue), and the mass flow to clusters 2-4 (pink), i.e. the sum of intermediate pipe and </w:t>
      </w:r>
      <w:r w:rsidR="00055F03">
        <w:rPr>
          <w:lang w:val="en-GB"/>
        </w:rPr>
        <w:t>bypass</w:t>
      </w:r>
      <w:r w:rsidRPr="00196F7F">
        <w:rPr>
          <w:lang w:val="en-GB"/>
        </w:rPr>
        <w:t xml:space="preserve"> pump flows. Bottom (Temperature Levels): return temperature at the bypass pump (blue), supply temperature in the intermediate pipe (cyan), supply temperature downstream the </w:t>
      </w:r>
      <w:r w:rsidR="00055F03">
        <w:rPr>
          <w:lang w:val="en-GB"/>
        </w:rPr>
        <w:t>bypass</w:t>
      </w:r>
      <w:r w:rsidRPr="00196F7F">
        <w:rPr>
          <w:lang w:val="en-GB"/>
        </w:rPr>
        <w:t xml:space="preserve"> (resulting from the mixing) (magenta), the supply temperature downstream the CHP (orange), and the supply temperature downstream the P2H (= 90 °C) (red dotted).</w:t>
      </w:r>
    </w:p>
    <w:p w14:paraId="2B79061F" w14:textId="2EEAF61E" w:rsidR="00867ABC" w:rsidRPr="00196F7F" w:rsidRDefault="00867ABC" w:rsidP="00867ABC">
      <w:pPr>
        <w:pStyle w:val="SWCText"/>
        <w:rPr>
          <w:lang w:val="en-GB"/>
        </w:rPr>
      </w:pPr>
      <w:r w:rsidRPr="00196F7F">
        <w:rPr>
          <w:lang w:val="en-GB"/>
        </w:rPr>
        <w:t>On January 17th, between midnight and 5:00 AM, the HP (green) is modulating the power and flow rate according to the merit order. In order to permit the CHP to supply the nominal baseload power of 2</w:t>
      </w:r>
      <w:r w:rsidR="00816ACE">
        <w:rPr>
          <w:lang w:val="en-GB"/>
        </w:rPr>
        <w:t>,</w:t>
      </w:r>
      <w:r w:rsidRPr="00196F7F">
        <w:rPr>
          <w:lang w:val="en-GB"/>
        </w:rPr>
        <w:t xml:space="preserve">000 kW (black), the bypass pump (blue) is </w:t>
      </w:r>
      <w:r w:rsidR="00055F03">
        <w:rPr>
          <w:lang w:val="en-GB"/>
        </w:rPr>
        <w:t>extracting</w:t>
      </w:r>
      <w:r w:rsidRPr="00196F7F">
        <w:rPr>
          <w:lang w:val="en-GB"/>
        </w:rPr>
        <w:t xml:space="preserve"> a portion of the flow from the return line. In this demand condition, the CHP is supplied with a temperature around 63 °C and it is able to satisfy the supply setpoint temperature of 90 °C, with null the</w:t>
      </w:r>
      <w:r w:rsidR="00B52018">
        <w:rPr>
          <w:lang w:val="en-GB"/>
        </w:rPr>
        <w:t>r</w:t>
      </w:r>
      <w:r w:rsidRPr="00196F7F">
        <w:rPr>
          <w:lang w:val="en-GB"/>
        </w:rPr>
        <w:t xml:space="preserve">mal input from the P2H. </w:t>
      </w:r>
    </w:p>
    <w:p w14:paraId="5CECA156" w14:textId="188D82E7" w:rsidR="00867ABC" w:rsidRPr="00196F7F" w:rsidRDefault="00867ABC" w:rsidP="00867ABC">
      <w:pPr>
        <w:pStyle w:val="SWCText"/>
        <w:rPr>
          <w:lang w:val="en-GB"/>
        </w:rPr>
      </w:pPr>
      <w:r w:rsidRPr="00196F7F">
        <w:rPr>
          <w:lang w:val="en-GB"/>
        </w:rPr>
        <w:t>On Janu</w:t>
      </w:r>
      <w:r w:rsidR="00B52018">
        <w:rPr>
          <w:lang w:val="en-GB"/>
        </w:rPr>
        <w:t>a</w:t>
      </w:r>
      <w:r w:rsidRPr="00196F7F">
        <w:rPr>
          <w:lang w:val="en-GB"/>
        </w:rPr>
        <w:t xml:space="preserve">ry 19th, between 5:00 and 22:00, the HP (green) is supplying its maximum power and flow rate according to the merit order. In order to satisfy the demand at clusters 2 to 4, the bypass pump is </w:t>
      </w:r>
      <w:r w:rsidR="00055F03">
        <w:rPr>
          <w:lang w:val="en-GB"/>
        </w:rPr>
        <w:t>extract</w:t>
      </w:r>
      <w:r w:rsidRPr="00196F7F">
        <w:rPr>
          <w:lang w:val="en-GB"/>
        </w:rPr>
        <w:t xml:space="preserve">ing a controlled flow rate (blue) in order to satisfy the flow requirement from clusters 2 to 4 (magenta). In this demand condition, the CHP supplies its </w:t>
      </w:r>
      <w:proofErr w:type="gramStart"/>
      <w:r w:rsidRPr="00196F7F">
        <w:rPr>
          <w:lang w:val="en-GB"/>
        </w:rPr>
        <w:t>2</w:t>
      </w:r>
      <w:r w:rsidR="00816ACE">
        <w:rPr>
          <w:lang w:val="en-GB"/>
        </w:rPr>
        <w:t>,</w:t>
      </w:r>
      <w:r w:rsidRPr="00196F7F">
        <w:rPr>
          <w:lang w:val="en-GB"/>
        </w:rPr>
        <w:t>000 kW</w:t>
      </w:r>
      <w:proofErr w:type="gramEnd"/>
      <w:r w:rsidRPr="00196F7F">
        <w:rPr>
          <w:lang w:val="en-GB"/>
        </w:rPr>
        <w:t xml:space="preserve"> maximum power but </w:t>
      </w:r>
      <w:r w:rsidR="0047741E">
        <w:rPr>
          <w:lang w:val="en-GB"/>
        </w:rPr>
        <w:t>since</w:t>
      </w:r>
      <w:r w:rsidRPr="00196F7F">
        <w:rPr>
          <w:lang w:val="en-GB"/>
        </w:rPr>
        <w:t xml:space="preserve"> the flow rate </w:t>
      </w:r>
      <w:r w:rsidR="0047741E">
        <w:rPr>
          <w:lang w:val="en-GB"/>
        </w:rPr>
        <w:t xml:space="preserve">is </w:t>
      </w:r>
      <w:r w:rsidRPr="00196F7F">
        <w:rPr>
          <w:lang w:val="en-GB"/>
        </w:rPr>
        <w:t xml:space="preserve">too high, it is only able to supply a temperature around 80 °C. The P2H provides the missing thermal power (blue), reaching the supply setpoint temperature of 90 °C.    </w:t>
      </w:r>
    </w:p>
    <w:p w14:paraId="76CC6ECA" w14:textId="6EC6291D" w:rsidR="00867ABC" w:rsidRPr="00196F7F" w:rsidRDefault="00867ABC" w:rsidP="00867ABC">
      <w:pPr>
        <w:pStyle w:val="SWCText"/>
        <w:rPr>
          <w:lang w:val="en-GB"/>
        </w:rPr>
      </w:pPr>
      <w:r w:rsidRPr="00196F7F">
        <w:rPr>
          <w:lang w:val="en-GB"/>
        </w:rPr>
        <w:t xml:space="preserve">Figure </w:t>
      </w:r>
      <w:r w:rsidR="00F4582A">
        <w:rPr>
          <w:lang w:val="en-GB"/>
        </w:rPr>
        <w:t>7</w:t>
      </w:r>
      <w:r w:rsidRPr="00196F7F">
        <w:rPr>
          <w:lang w:val="en-GB"/>
        </w:rPr>
        <w:t xml:space="preserve"> shows three time-dependent plots (11-14 April) illustrating the </w:t>
      </w:r>
      <w:r w:rsidR="0096408B">
        <w:rPr>
          <w:lang w:val="en-GB"/>
        </w:rPr>
        <w:t>S</w:t>
      </w:r>
      <w:r w:rsidRPr="00196F7F">
        <w:rPr>
          <w:lang w:val="en-GB"/>
        </w:rPr>
        <w:t>tudy</w:t>
      </w:r>
      <w:r w:rsidR="0096408B">
        <w:rPr>
          <w:lang w:val="en-GB"/>
        </w:rPr>
        <w:t xml:space="preserve"> </w:t>
      </w:r>
      <w:r w:rsidRPr="00196F7F">
        <w:rPr>
          <w:lang w:val="en-GB"/>
        </w:rPr>
        <w:t xml:space="preserve">case hydraulics and control during moderate demand. The variables are reported in subplots, organised in the same way explained for Figure </w:t>
      </w:r>
      <w:r w:rsidR="00F4582A">
        <w:rPr>
          <w:lang w:val="en-GB"/>
        </w:rPr>
        <w:t>6</w:t>
      </w:r>
      <w:r w:rsidRPr="00196F7F">
        <w:rPr>
          <w:lang w:val="en-GB"/>
        </w:rPr>
        <w:t>.</w:t>
      </w:r>
    </w:p>
    <w:p w14:paraId="1559ECEE" w14:textId="77777777" w:rsidR="00867ABC" w:rsidRPr="00196F7F" w:rsidRDefault="00867ABC" w:rsidP="00867ABC">
      <w:pPr>
        <w:pStyle w:val="SWCText"/>
        <w:jc w:val="center"/>
        <w:rPr>
          <w:noProof/>
          <w:color w:val="FF0000"/>
          <w:lang w:val="en-GB"/>
        </w:rPr>
      </w:pPr>
      <w:r w:rsidRPr="00196F7F">
        <w:rPr>
          <w:noProof/>
          <w:color w:val="FF0000"/>
          <w:lang w:val="en-GB"/>
        </w:rPr>
        <w:lastRenderedPageBreak/>
        <w:drawing>
          <wp:inline distT="0" distB="0" distL="0" distR="0" wp14:anchorId="64D9D8AF" wp14:editId="5F1305AB">
            <wp:extent cx="5649868" cy="2988860"/>
            <wp:effectExtent l="0" t="0" r="8255" b="254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rotWithShape="1">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rcRect l="7313" t="3247" r="5414" b="3939"/>
                    <a:stretch/>
                  </pic:blipFill>
                  <pic:spPr bwMode="auto">
                    <a:xfrm>
                      <a:off x="0" y="0"/>
                      <a:ext cx="5675205" cy="3002263"/>
                    </a:xfrm>
                    <a:prstGeom prst="rect">
                      <a:avLst/>
                    </a:prstGeom>
                    <a:ln>
                      <a:noFill/>
                    </a:ln>
                    <a:extLst>
                      <a:ext uri="{53640926-AAD7-44D8-BBD7-CCE9431645EC}">
                        <a14:shadowObscured xmlns:a14="http://schemas.microsoft.com/office/drawing/2010/main"/>
                      </a:ext>
                    </a:extLst>
                  </pic:spPr>
                </pic:pic>
              </a:graphicData>
            </a:graphic>
          </wp:inline>
        </w:drawing>
      </w:r>
    </w:p>
    <w:p w14:paraId="35E31CEF" w14:textId="5F028453" w:rsidR="00867ABC" w:rsidRPr="00196F7F" w:rsidRDefault="00867ABC" w:rsidP="00DE43D6">
      <w:pPr>
        <w:pStyle w:val="SWCTableFigureCaption"/>
        <w:rPr>
          <w:noProof/>
        </w:rPr>
      </w:pPr>
      <w:r w:rsidRPr="00196F7F">
        <w:rPr>
          <w:noProof/>
        </w:rPr>
        <w:t xml:space="preserve">Fig. </w:t>
      </w:r>
      <w:r w:rsidR="00F4582A">
        <w:rPr>
          <w:noProof/>
        </w:rPr>
        <w:t>7</w:t>
      </w:r>
      <w:r w:rsidRPr="00196F7F">
        <w:rPr>
          <w:noProof/>
        </w:rPr>
        <w:t>: Study‑case time series (11–14 Apr): plant thermal outputs [kW] (top), mass flow rates [kg/s] (middle), and temperatures [°C] (bottom), showing the shift between series and parallel operation of the biomass CHP.</w:t>
      </w:r>
    </w:p>
    <w:p w14:paraId="55F7BB31" w14:textId="4C5ACC8C" w:rsidR="00867ABC" w:rsidRPr="00196F7F" w:rsidRDefault="00867ABC" w:rsidP="00867ABC">
      <w:pPr>
        <w:pStyle w:val="SWCText"/>
        <w:rPr>
          <w:lang w:val="en-GB"/>
        </w:rPr>
      </w:pPr>
      <w:r w:rsidRPr="00196F7F">
        <w:rPr>
          <w:lang w:val="en-GB"/>
        </w:rPr>
        <w:t>On April 11th, between 05:00 and 21:00, the HP is modulating the power and flow to the network according to the merit order. In this time-window, the HP is supplying some flow to the CHP through the intermediate pipe (black). A non-null flow is pumped from the bypass pump (blue) to permit the CHP to supply the nominal baseload power of 2</w:t>
      </w:r>
      <w:r w:rsidR="00816ACE">
        <w:rPr>
          <w:lang w:val="en-GB"/>
        </w:rPr>
        <w:t>,</w:t>
      </w:r>
      <w:r w:rsidRPr="00196F7F">
        <w:rPr>
          <w:lang w:val="en-GB"/>
        </w:rPr>
        <w:t xml:space="preserve">000 kW (black). </w:t>
      </w:r>
      <w:r w:rsidR="00296796">
        <w:rPr>
          <w:lang w:val="en-GB"/>
        </w:rPr>
        <w:t>Under</w:t>
      </w:r>
      <w:r w:rsidRPr="00196F7F">
        <w:rPr>
          <w:lang w:val="en-GB"/>
        </w:rPr>
        <w:t xml:space="preserve"> this demand condition, the biomass CHP </w:t>
      </w:r>
      <w:r w:rsidR="00296796">
        <w:rPr>
          <w:lang w:val="en-GB"/>
        </w:rPr>
        <w:t>remains</w:t>
      </w:r>
      <w:r w:rsidRPr="00196F7F">
        <w:rPr>
          <w:lang w:val="en-GB"/>
        </w:rPr>
        <w:t xml:space="preserve"> connected in supply</w:t>
      </w:r>
      <w:r w:rsidR="008F07A8" w:rsidRPr="00196F7F">
        <w:rPr>
          <w:lang w:val="en-GB"/>
        </w:rPr>
        <w:t>-</w:t>
      </w:r>
      <w:r w:rsidRPr="00196F7F">
        <w:rPr>
          <w:lang w:val="en-GB"/>
        </w:rPr>
        <w:t>to</w:t>
      </w:r>
      <w:r w:rsidR="008F07A8" w:rsidRPr="00196F7F">
        <w:rPr>
          <w:lang w:val="en-GB"/>
        </w:rPr>
        <w:t>-</w:t>
      </w:r>
      <w:r w:rsidRPr="00196F7F">
        <w:rPr>
          <w:lang w:val="en-GB"/>
        </w:rPr>
        <w:t>supply configuration (</w:t>
      </w:r>
      <w:proofErr w:type="spellStart"/>
      <w:r w:rsidRPr="00196F7F">
        <w:rPr>
          <w:lang w:val="en-GB"/>
        </w:rPr>
        <w:t>StS</w:t>
      </w:r>
      <w:proofErr w:type="spellEnd"/>
      <w:r w:rsidRPr="00196F7F">
        <w:rPr>
          <w:lang w:val="en-GB"/>
        </w:rPr>
        <w:t xml:space="preserve"> - black), even </w:t>
      </w:r>
      <w:r w:rsidR="00296796">
        <w:rPr>
          <w:lang w:val="en-GB"/>
        </w:rPr>
        <w:t>if</w:t>
      </w:r>
      <w:r w:rsidRPr="00196F7F">
        <w:rPr>
          <w:lang w:val="en-GB"/>
        </w:rPr>
        <w:t xml:space="preserve"> the </w:t>
      </w:r>
      <w:r w:rsidR="00296796">
        <w:rPr>
          <w:lang w:val="en-GB"/>
        </w:rPr>
        <w:t xml:space="preserve">effective </w:t>
      </w:r>
      <w:r w:rsidRPr="00196F7F">
        <w:rPr>
          <w:lang w:val="en-GB"/>
        </w:rPr>
        <w:t xml:space="preserve">series </w:t>
      </w:r>
      <w:r w:rsidR="00296796">
        <w:rPr>
          <w:lang w:val="en-GB"/>
        </w:rPr>
        <w:t>coupling is reduced</w:t>
      </w:r>
      <w:r w:rsidRPr="00196F7F">
        <w:rPr>
          <w:lang w:val="en-GB"/>
        </w:rPr>
        <w:t xml:space="preserve"> by the flow rate </w:t>
      </w:r>
      <w:r w:rsidR="00055F03">
        <w:rPr>
          <w:lang w:val="en-GB"/>
        </w:rPr>
        <w:t>passing</w:t>
      </w:r>
      <w:r w:rsidRPr="00196F7F">
        <w:rPr>
          <w:lang w:val="en-GB"/>
        </w:rPr>
        <w:t xml:space="preserve"> through the bypass pump (blue). </w:t>
      </w:r>
    </w:p>
    <w:p w14:paraId="347A2F94" w14:textId="69B2D8F1" w:rsidR="00867ABC" w:rsidRPr="00196F7F" w:rsidRDefault="00867ABC" w:rsidP="00867ABC">
      <w:pPr>
        <w:pStyle w:val="SWCText"/>
        <w:rPr>
          <w:lang w:val="en-GB"/>
        </w:rPr>
      </w:pPr>
      <w:r w:rsidRPr="00196F7F">
        <w:rPr>
          <w:lang w:val="en-GB"/>
        </w:rPr>
        <w:t>During the night between April 11th and April 12th, the merit order would require the HP to modul</w:t>
      </w:r>
      <w:r w:rsidR="004B21BF">
        <w:rPr>
          <w:lang w:val="en-GB"/>
        </w:rPr>
        <w:t>at</w:t>
      </w:r>
      <w:r w:rsidRPr="00196F7F">
        <w:rPr>
          <w:lang w:val="en-GB"/>
        </w:rPr>
        <w:t xml:space="preserve">e its thermal power and flow so much that it would not be able to satisfy the demand at Cluster 1. At this demand condition, the merit order is </w:t>
      </w:r>
      <w:r w:rsidR="00B52018" w:rsidRPr="005C5F5D">
        <w:rPr>
          <w:lang w:val="en-GB"/>
        </w:rPr>
        <w:t>overruled</w:t>
      </w:r>
      <w:r w:rsidRPr="00196F7F">
        <w:rPr>
          <w:lang w:val="en-GB"/>
        </w:rPr>
        <w:t xml:space="preserve"> and the HP (green) is supplying the thermal power and flow rate to satisfy Cluster 1 only. In this case, the flow rate provided by the HP to the CHP through the intermediate pipe (black) is null and the biomass CHP is, in practise, operated in return-to-supply (</w:t>
      </w:r>
      <w:proofErr w:type="spellStart"/>
      <w:r w:rsidRPr="00196F7F">
        <w:rPr>
          <w:lang w:val="en-GB"/>
        </w:rPr>
        <w:t>RtS</w:t>
      </w:r>
      <w:proofErr w:type="spellEnd"/>
      <w:r w:rsidRPr="00196F7F">
        <w:rPr>
          <w:lang w:val="en-GB"/>
        </w:rPr>
        <w:t xml:space="preserve"> - red), satisfying the demand of clusters 2 to 4.</w:t>
      </w:r>
    </w:p>
    <w:p w14:paraId="7B4E3C6E" w14:textId="6478E1FB" w:rsidR="002672E1" w:rsidRPr="005C5F5D" w:rsidRDefault="002672E1" w:rsidP="002672E1">
      <w:pPr>
        <w:pStyle w:val="SWCHeading11"/>
      </w:pPr>
      <w:r w:rsidRPr="005C5F5D">
        <w:t>3.2 Overall results</w:t>
      </w:r>
    </w:p>
    <w:p w14:paraId="3AB59499" w14:textId="65D4C3E5" w:rsidR="00867ABC" w:rsidRPr="00196F7F" w:rsidRDefault="002672E1" w:rsidP="00B214A1">
      <w:pPr>
        <w:pStyle w:val="SWCText"/>
        <w:rPr>
          <w:lang w:val="en-GB"/>
        </w:rPr>
      </w:pPr>
      <w:r w:rsidRPr="00196F7F">
        <w:rPr>
          <w:lang w:val="en-GB"/>
        </w:rPr>
        <w:t>In this section the annual results related to the network operation in Benchmark and Study case connection and control are reported for the test-year considered. Table 1 reports the annual heat-related key performance indicators (KPIs) for both the Benchmark (second column) and the Study case (third column), together with a</w:t>
      </w:r>
      <w:r w:rsidR="007528D4">
        <w:rPr>
          <w:lang w:val="en-GB"/>
        </w:rPr>
        <w:t>n absolute and</w:t>
      </w:r>
      <w:r w:rsidRPr="00196F7F">
        <w:rPr>
          <w:lang w:val="en-GB"/>
        </w:rPr>
        <w:t xml:space="preserve"> percentage variation for each KPI between Benchmark and Study case (fourth </w:t>
      </w:r>
      <w:r w:rsidR="007528D4">
        <w:rPr>
          <w:lang w:val="en-GB"/>
        </w:rPr>
        <w:t xml:space="preserve">and fifth </w:t>
      </w:r>
      <w:r w:rsidRPr="00196F7F">
        <w:rPr>
          <w:lang w:val="en-GB"/>
        </w:rPr>
        <w:t>column).</w:t>
      </w:r>
    </w:p>
    <w:p w14:paraId="79DDB570" w14:textId="29AC4EDD" w:rsidR="000F2A17" w:rsidRPr="00196F7F" w:rsidRDefault="000F2A17" w:rsidP="00DE43D6">
      <w:pPr>
        <w:pStyle w:val="SWCTableFigureCaption"/>
        <w:rPr>
          <w:lang w:val="en-GB"/>
        </w:rPr>
      </w:pPr>
      <w:r w:rsidRPr="00196F7F">
        <w:rPr>
          <w:lang w:val="en-GB"/>
        </w:rPr>
        <w:t xml:space="preserve">Tab. 1: Annual heat-related KPIs </w:t>
      </w:r>
      <w:r w:rsidR="00BA354C">
        <w:rPr>
          <w:lang w:val="en-GB"/>
        </w:rPr>
        <w:t>for the B</w:t>
      </w:r>
      <w:r w:rsidR="00BA354C" w:rsidRPr="00196F7F">
        <w:rPr>
          <w:lang w:val="en-GB"/>
        </w:rPr>
        <w:t xml:space="preserve">enchmark and Study case </w:t>
      </w:r>
      <w:r w:rsidR="00BA354C" w:rsidRPr="00DE43D6">
        <w:t>scenarios</w:t>
      </w:r>
      <w:r w:rsidR="00BA354C">
        <w:rPr>
          <w:lang w:val="en-GB"/>
        </w:rPr>
        <w:t>, with absolute variation and percentage variation relative to the Benchmark.</w:t>
      </w:r>
    </w:p>
    <w:tbl>
      <w:tblPr>
        <w:tblStyle w:val="TableGrid"/>
        <w:tblW w:w="9301" w:type="dxa"/>
        <w:jc w:val="center"/>
        <w:tblLook w:val="01E0" w:firstRow="1" w:lastRow="1" w:firstColumn="1" w:lastColumn="1" w:noHBand="0" w:noVBand="0"/>
      </w:tblPr>
      <w:tblGrid>
        <w:gridCol w:w="2965"/>
        <w:gridCol w:w="1584"/>
        <w:gridCol w:w="1584"/>
        <w:gridCol w:w="1584"/>
        <w:gridCol w:w="1584"/>
      </w:tblGrid>
      <w:tr w:rsidR="00FB0F44" w:rsidRPr="005C5F5D" w14:paraId="7915537E" w14:textId="77777777" w:rsidTr="00F00D93">
        <w:trPr>
          <w:trHeight w:val="259"/>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49868758" w14:textId="77777777" w:rsidR="00FB0F44" w:rsidRPr="005C5F5D" w:rsidRDefault="00FB0F44" w:rsidP="00035259">
            <w:pPr>
              <w:pStyle w:val="SWCTableHeader"/>
            </w:pPr>
            <w:r w:rsidRPr="005C5F5D">
              <w:t>KPI</w:t>
            </w:r>
          </w:p>
        </w:tc>
        <w:tc>
          <w:tcPr>
            <w:tcW w:w="1584" w:type="dxa"/>
            <w:tcBorders>
              <w:top w:val="single" w:sz="4" w:space="0" w:color="auto"/>
              <w:left w:val="single" w:sz="4" w:space="0" w:color="auto"/>
              <w:bottom w:val="single" w:sz="4" w:space="0" w:color="auto"/>
              <w:right w:val="single" w:sz="4" w:space="0" w:color="auto"/>
            </w:tcBorders>
            <w:vAlign w:val="center"/>
            <w:hideMark/>
          </w:tcPr>
          <w:p w14:paraId="490305F9" w14:textId="77777777" w:rsidR="00FB0F44" w:rsidRPr="005C5F5D" w:rsidRDefault="00FB0F44" w:rsidP="00035259">
            <w:pPr>
              <w:pStyle w:val="SWCTableHeader"/>
            </w:pPr>
            <w:r w:rsidRPr="005C5F5D">
              <w:t>Benchmark</w:t>
            </w:r>
          </w:p>
        </w:tc>
        <w:tc>
          <w:tcPr>
            <w:tcW w:w="1584" w:type="dxa"/>
            <w:tcBorders>
              <w:top w:val="single" w:sz="4" w:space="0" w:color="auto"/>
              <w:left w:val="single" w:sz="4" w:space="0" w:color="auto"/>
              <w:bottom w:val="single" w:sz="4" w:space="0" w:color="auto"/>
              <w:right w:val="single" w:sz="4" w:space="0" w:color="auto"/>
            </w:tcBorders>
            <w:vAlign w:val="center"/>
            <w:hideMark/>
          </w:tcPr>
          <w:p w14:paraId="1408F47B" w14:textId="0ED312B6" w:rsidR="00FB0F44" w:rsidRPr="005C5F5D" w:rsidRDefault="00FB0F44" w:rsidP="00035259">
            <w:pPr>
              <w:pStyle w:val="SWCTableHeader"/>
            </w:pPr>
            <w:r w:rsidRPr="005C5F5D">
              <w:t>Study</w:t>
            </w:r>
            <w:r w:rsidR="00FA7CF0">
              <w:t xml:space="preserve"> </w:t>
            </w:r>
            <w:r w:rsidRPr="005C5F5D">
              <w:t>case</w:t>
            </w:r>
          </w:p>
        </w:tc>
        <w:tc>
          <w:tcPr>
            <w:tcW w:w="1584" w:type="dxa"/>
            <w:tcBorders>
              <w:top w:val="single" w:sz="4" w:space="0" w:color="auto"/>
              <w:left w:val="single" w:sz="4" w:space="0" w:color="auto"/>
              <w:bottom w:val="single" w:sz="4" w:space="0" w:color="auto"/>
              <w:right w:val="single" w:sz="4" w:space="0" w:color="auto"/>
            </w:tcBorders>
            <w:vAlign w:val="center"/>
          </w:tcPr>
          <w:p w14:paraId="75E4C476" w14:textId="1DCD07FD" w:rsidR="00FB0F44" w:rsidRPr="005C5F5D" w:rsidRDefault="00FB0F44" w:rsidP="00F00D93">
            <w:pPr>
              <w:pStyle w:val="SWCTableHeader"/>
            </w:pPr>
            <w:r>
              <w:t>Absolute Variation</w:t>
            </w:r>
          </w:p>
        </w:tc>
        <w:tc>
          <w:tcPr>
            <w:tcW w:w="1584" w:type="dxa"/>
            <w:tcBorders>
              <w:top w:val="single" w:sz="4" w:space="0" w:color="auto"/>
              <w:left w:val="single" w:sz="4" w:space="0" w:color="auto"/>
              <w:bottom w:val="single" w:sz="4" w:space="0" w:color="auto"/>
              <w:right w:val="single" w:sz="4" w:space="0" w:color="auto"/>
            </w:tcBorders>
            <w:vAlign w:val="center"/>
          </w:tcPr>
          <w:p w14:paraId="3697D00D" w14:textId="4F57C9C7" w:rsidR="00FB0F44" w:rsidRPr="005C5F5D" w:rsidRDefault="00FB0F44" w:rsidP="00035259">
            <w:pPr>
              <w:pStyle w:val="SWCTableHeader"/>
            </w:pPr>
            <w:r w:rsidRPr="005C5F5D">
              <w:t>Percentage Variation</w:t>
            </w:r>
          </w:p>
        </w:tc>
      </w:tr>
      <w:tr w:rsidR="00FB0F44" w:rsidRPr="005C5F5D" w14:paraId="6ACE321F" w14:textId="77777777" w:rsidTr="00F00D93">
        <w:trPr>
          <w:trHeight w:val="259"/>
          <w:jc w:val="center"/>
        </w:trPr>
        <w:tc>
          <w:tcPr>
            <w:tcW w:w="2965" w:type="dxa"/>
            <w:vAlign w:val="center"/>
          </w:tcPr>
          <w:p w14:paraId="423101A2" w14:textId="77777777" w:rsidR="00FB0F44" w:rsidRPr="00A35615" w:rsidRDefault="00FB0F44" w:rsidP="00196F7F">
            <w:pPr>
              <w:pStyle w:val="SWCText"/>
              <w:jc w:val="center"/>
            </w:pPr>
            <w:r w:rsidRPr="00196F7F">
              <w:rPr>
                <w:lang w:val="en-GB"/>
              </w:rPr>
              <w:t>Heat Consumption [MWh] (INPUT)</w:t>
            </w:r>
          </w:p>
        </w:tc>
        <w:tc>
          <w:tcPr>
            <w:tcW w:w="1584" w:type="dxa"/>
            <w:vAlign w:val="center"/>
          </w:tcPr>
          <w:p w14:paraId="6D187D3D" w14:textId="77777777" w:rsidR="00FB0F44" w:rsidRPr="00A35615" w:rsidRDefault="00FB0F44" w:rsidP="00196F7F">
            <w:pPr>
              <w:pStyle w:val="SWCText"/>
              <w:jc w:val="center"/>
            </w:pPr>
            <w:r w:rsidRPr="00196F7F">
              <w:rPr>
                <w:lang w:val="en-GB"/>
              </w:rPr>
              <w:t>24070</w:t>
            </w:r>
          </w:p>
        </w:tc>
        <w:tc>
          <w:tcPr>
            <w:tcW w:w="1584" w:type="dxa"/>
            <w:vAlign w:val="center"/>
          </w:tcPr>
          <w:p w14:paraId="5F8981BF" w14:textId="77777777" w:rsidR="00FB0F44" w:rsidRPr="00A35615" w:rsidRDefault="00FB0F44" w:rsidP="00196F7F">
            <w:pPr>
              <w:pStyle w:val="SWCText"/>
              <w:jc w:val="center"/>
            </w:pPr>
            <w:r w:rsidRPr="00196F7F">
              <w:rPr>
                <w:lang w:val="en-GB"/>
              </w:rPr>
              <w:t>24070</w:t>
            </w:r>
          </w:p>
        </w:tc>
        <w:tc>
          <w:tcPr>
            <w:tcW w:w="1584" w:type="dxa"/>
            <w:vAlign w:val="center"/>
          </w:tcPr>
          <w:p w14:paraId="327E725D" w14:textId="07C0D4F4" w:rsidR="00FB0F44" w:rsidRPr="00196F7F" w:rsidRDefault="00FB0F44" w:rsidP="00F00D93">
            <w:pPr>
              <w:pStyle w:val="SWCText"/>
              <w:jc w:val="center"/>
              <w:rPr>
                <w:lang w:val="en-GB"/>
              </w:rPr>
            </w:pPr>
            <w:r>
              <w:rPr>
                <w:lang w:val="en-GB"/>
              </w:rPr>
              <w:t>0</w:t>
            </w:r>
          </w:p>
        </w:tc>
        <w:tc>
          <w:tcPr>
            <w:tcW w:w="1584" w:type="dxa"/>
            <w:vAlign w:val="center"/>
          </w:tcPr>
          <w:p w14:paraId="39436E81" w14:textId="6451D5A8" w:rsidR="00FB0F44" w:rsidRPr="00A35615" w:rsidRDefault="00FB0F44" w:rsidP="00196F7F">
            <w:pPr>
              <w:pStyle w:val="SWCText"/>
              <w:jc w:val="center"/>
            </w:pPr>
            <w:r w:rsidRPr="00196F7F">
              <w:rPr>
                <w:lang w:val="en-GB"/>
              </w:rPr>
              <w:t>0.0%</w:t>
            </w:r>
          </w:p>
        </w:tc>
      </w:tr>
      <w:tr w:rsidR="00FB0F44" w:rsidRPr="005C5F5D" w14:paraId="5BDDEF93" w14:textId="77777777" w:rsidTr="00F00D93">
        <w:tblPrEx>
          <w:jc w:val="left"/>
          <w:tblLook w:val="04A0" w:firstRow="1" w:lastRow="0" w:firstColumn="1" w:lastColumn="0" w:noHBand="0" w:noVBand="1"/>
        </w:tblPrEx>
        <w:trPr>
          <w:trHeight w:val="259"/>
        </w:trPr>
        <w:tc>
          <w:tcPr>
            <w:tcW w:w="2965" w:type="dxa"/>
            <w:noWrap/>
            <w:vAlign w:val="center"/>
            <w:hideMark/>
          </w:tcPr>
          <w:p w14:paraId="0AC016FE" w14:textId="0724D547" w:rsidR="00FB0F44" w:rsidRPr="00196F7F" w:rsidRDefault="00FB0F44" w:rsidP="00196F7F">
            <w:pPr>
              <w:pStyle w:val="SWCText"/>
              <w:jc w:val="center"/>
              <w:rPr>
                <w:lang w:val="en-GB"/>
              </w:rPr>
            </w:pPr>
            <w:r w:rsidRPr="00196F7F">
              <w:rPr>
                <w:lang w:val="en-GB"/>
              </w:rPr>
              <w:t>Heat Production [MWh]</w:t>
            </w:r>
          </w:p>
        </w:tc>
        <w:tc>
          <w:tcPr>
            <w:tcW w:w="1584" w:type="dxa"/>
            <w:noWrap/>
            <w:vAlign w:val="center"/>
            <w:hideMark/>
          </w:tcPr>
          <w:p w14:paraId="063EBC82" w14:textId="77777777" w:rsidR="00FB0F44" w:rsidRPr="00196F7F" w:rsidRDefault="00FB0F44" w:rsidP="00196F7F">
            <w:pPr>
              <w:pStyle w:val="SWCText"/>
              <w:jc w:val="center"/>
              <w:rPr>
                <w:lang w:val="en-GB"/>
              </w:rPr>
            </w:pPr>
            <w:r w:rsidRPr="00196F7F">
              <w:rPr>
                <w:lang w:val="en-GB"/>
              </w:rPr>
              <w:t>28009</w:t>
            </w:r>
          </w:p>
        </w:tc>
        <w:tc>
          <w:tcPr>
            <w:tcW w:w="1584" w:type="dxa"/>
            <w:noWrap/>
            <w:vAlign w:val="center"/>
            <w:hideMark/>
          </w:tcPr>
          <w:p w14:paraId="2FD27D7A" w14:textId="77777777" w:rsidR="00FB0F44" w:rsidRPr="00196F7F" w:rsidRDefault="00FB0F44" w:rsidP="00196F7F">
            <w:pPr>
              <w:pStyle w:val="SWCText"/>
              <w:jc w:val="center"/>
              <w:rPr>
                <w:lang w:val="en-GB"/>
              </w:rPr>
            </w:pPr>
            <w:r w:rsidRPr="00196F7F">
              <w:rPr>
                <w:lang w:val="en-GB"/>
              </w:rPr>
              <w:t>27831</w:t>
            </w:r>
          </w:p>
        </w:tc>
        <w:tc>
          <w:tcPr>
            <w:tcW w:w="1584" w:type="dxa"/>
            <w:vAlign w:val="center"/>
          </w:tcPr>
          <w:p w14:paraId="76A6A6A7" w14:textId="558FFA26" w:rsidR="00FB0F44" w:rsidRPr="00196F7F" w:rsidRDefault="000767E6" w:rsidP="00F00D93">
            <w:pPr>
              <w:pStyle w:val="SWCText"/>
              <w:jc w:val="center"/>
              <w:rPr>
                <w:lang w:val="en-GB"/>
              </w:rPr>
            </w:pPr>
            <w:r>
              <w:rPr>
                <w:lang w:val="en-GB"/>
              </w:rPr>
              <w:t>-178</w:t>
            </w:r>
          </w:p>
        </w:tc>
        <w:tc>
          <w:tcPr>
            <w:tcW w:w="1584" w:type="dxa"/>
            <w:noWrap/>
            <w:vAlign w:val="center"/>
            <w:hideMark/>
          </w:tcPr>
          <w:p w14:paraId="39247847" w14:textId="37F61594" w:rsidR="00FB0F44" w:rsidRPr="00196F7F" w:rsidRDefault="00FB0F44" w:rsidP="00196F7F">
            <w:pPr>
              <w:pStyle w:val="SWCText"/>
              <w:jc w:val="center"/>
              <w:rPr>
                <w:lang w:val="en-GB"/>
              </w:rPr>
            </w:pPr>
            <w:r w:rsidRPr="00196F7F">
              <w:rPr>
                <w:lang w:val="en-GB"/>
              </w:rPr>
              <w:t>-0.6%</w:t>
            </w:r>
          </w:p>
        </w:tc>
      </w:tr>
      <w:tr w:rsidR="00FB0F44" w:rsidRPr="005C5F5D" w14:paraId="20A60B2E" w14:textId="77777777" w:rsidTr="00F00D93">
        <w:tblPrEx>
          <w:jc w:val="left"/>
          <w:tblLook w:val="04A0" w:firstRow="1" w:lastRow="0" w:firstColumn="1" w:lastColumn="0" w:noHBand="0" w:noVBand="1"/>
        </w:tblPrEx>
        <w:trPr>
          <w:trHeight w:val="259"/>
        </w:trPr>
        <w:tc>
          <w:tcPr>
            <w:tcW w:w="2965" w:type="dxa"/>
            <w:noWrap/>
            <w:vAlign w:val="center"/>
            <w:hideMark/>
          </w:tcPr>
          <w:p w14:paraId="4189D89E" w14:textId="77777777" w:rsidR="00FB0F44" w:rsidRPr="00196F7F" w:rsidRDefault="00FB0F44" w:rsidP="00196F7F">
            <w:pPr>
              <w:pStyle w:val="SWCText"/>
              <w:jc w:val="center"/>
              <w:rPr>
                <w:lang w:val="en-GB"/>
              </w:rPr>
            </w:pPr>
            <w:r w:rsidRPr="00196F7F">
              <w:rPr>
                <w:lang w:val="en-GB"/>
              </w:rPr>
              <w:t>Network Heat Losses [MWh]</w:t>
            </w:r>
          </w:p>
        </w:tc>
        <w:tc>
          <w:tcPr>
            <w:tcW w:w="1584" w:type="dxa"/>
            <w:noWrap/>
            <w:vAlign w:val="center"/>
            <w:hideMark/>
          </w:tcPr>
          <w:p w14:paraId="6048084D" w14:textId="77777777" w:rsidR="00FB0F44" w:rsidRPr="00196F7F" w:rsidRDefault="00FB0F44" w:rsidP="00196F7F">
            <w:pPr>
              <w:pStyle w:val="SWCText"/>
              <w:jc w:val="center"/>
              <w:rPr>
                <w:lang w:val="en-GB"/>
              </w:rPr>
            </w:pPr>
            <w:r w:rsidRPr="00196F7F">
              <w:rPr>
                <w:lang w:val="en-GB"/>
              </w:rPr>
              <w:t>3939</w:t>
            </w:r>
          </w:p>
        </w:tc>
        <w:tc>
          <w:tcPr>
            <w:tcW w:w="1584" w:type="dxa"/>
            <w:noWrap/>
            <w:vAlign w:val="center"/>
            <w:hideMark/>
          </w:tcPr>
          <w:p w14:paraId="4673692F" w14:textId="77777777" w:rsidR="00FB0F44" w:rsidRPr="00196F7F" w:rsidRDefault="00FB0F44" w:rsidP="00196F7F">
            <w:pPr>
              <w:pStyle w:val="SWCText"/>
              <w:jc w:val="center"/>
              <w:rPr>
                <w:lang w:val="en-GB"/>
              </w:rPr>
            </w:pPr>
            <w:r w:rsidRPr="00196F7F">
              <w:rPr>
                <w:lang w:val="en-GB"/>
              </w:rPr>
              <w:t>3761</w:t>
            </w:r>
          </w:p>
        </w:tc>
        <w:tc>
          <w:tcPr>
            <w:tcW w:w="1584" w:type="dxa"/>
            <w:vAlign w:val="center"/>
          </w:tcPr>
          <w:p w14:paraId="28A79C6B" w14:textId="1B295D27" w:rsidR="00FB0F44" w:rsidRPr="00196F7F" w:rsidRDefault="000767E6" w:rsidP="00F00D93">
            <w:pPr>
              <w:pStyle w:val="SWCText"/>
              <w:jc w:val="center"/>
              <w:rPr>
                <w:lang w:val="en-GB"/>
              </w:rPr>
            </w:pPr>
            <w:r>
              <w:rPr>
                <w:lang w:val="en-GB"/>
              </w:rPr>
              <w:t>-178</w:t>
            </w:r>
          </w:p>
        </w:tc>
        <w:tc>
          <w:tcPr>
            <w:tcW w:w="1584" w:type="dxa"/>
            <w:noWrap/>
            <w:vAlign w:val="center"/>
            <w:hideMark/>
          </w:tcPr>
          <w:p w14:paraId="5497098A" w14:textId="72545757" w:rsidR="00FB0F44" w:rsidRPr="00196F7F" w:rsidRDefault="00FB0F44" w:rsidP="00196F7F">
            <w:pPr>
              <w:pStyle w:val="SWCText"/>
              <w:jc w:val="center"/>
              <w:rPr>
                <w:lang w:val="en-GB"/>
              </w:rPr>
            </w:pPr>
            <w:r w:rsidRPr="00196F7F">
              <w:rPr>
                <w:lang w:val="en-GB"/>
              </w:rPr>
              <w:t>-4.5%</w:t>
            </w:r>
          </w:p>
        </w:tc>
      </w:tr>
      <w:tr w:rsidR="00FB0F44" w:rsidRPr="005C5F5D" w14:paraId="2A077B8E" w14:textId="77777777" w:rsidTr="00F00D93">
        <w:tblPrEx>
          <w:jc w:val="left"/>
          <w:tblLook w:val="04A0" w:firstRow="1" w:lastRow="0" w:firstColumn="1" w:lastColumn="0" w:noHBand="0" w:noVBand="1"/>
        </w:tblPrEx>
        <w:trPr>
          <w:trHeight w:val="259"/>
        </w:trPr>
        <w:tc>
          <w:tcPr>
            <w:tcW w:w="2965" w:type="dxa"/>
            <w:noWrap/>
            <w:vAlign w:val="center"/>
            <w:hideMark/>
          </w:tcPr>
          <w:p w14:paraId="12F30626" w14:textId="77777777" w:rsidR="00FB0F44" w:rsidRPr="00196F7F" w:rsidRDefault="00FB0F44" w:rsidP="00196F7F">
            <w:pPr>
              <w:pStyle w:val="SWCText"/>
              <w:jc w:val="center"/>
              <w:rPr>
                <w:lang w:val="en-GB"/>
              </w:rPr>
            </w:pPr>
            <w:r w:rsidRPr="00196F7F">
              <w:rPr>
                <w:lang w:val="en-GB"/>
              </w:rPr>
              <w:t>Biomass CHP Production [MWh]</w:t>
            </w:r>
          </w:p>
        </w:tc>
        <w:tc>
          <w:tcPr>
            <w:tcW w:w="1584" w:type="dxa"/>
            <w:noWrap/>
            <w:vAlign w:val="center"/>
            <w:hideMark/>
          </w:tcPr>
          <w:p w14:paraId="103FAC29" w14:textId="77777777" w:rsidR="00FB0F44" w:rsidRPr="00196F7F" w:rsidRDefault="00FB0F44" w:rsidP="00196F7F">
            <w:pPr>
              <w:pStyle w:val="SWCText"/>
              <w:jc w:val="center"/>
              <w:rPr>
                <w:lang w:val="en-GB"/>
              </w:rPr>
            </w:pPr>
            <w:r w:rsidRPr="00196F7F">
              <w:rPr>
                <w:lang w:val="en-GB"/>
              </w:rPr>
              <w:t>15398</w:t>
            </w:r>
          </w:p>
        </w:tc>
        <w:tc>
          <w:tcPr>
            <w:tcW w:w="1584" w:type="dxa"/>
            <w:noWrap/>
            <w:vAlign w:val="center"/>
            <w:hideMark/>
          </w:tcPr>
          <w:p w14:paraId="75BC57E4" w14:textId="77777777" w:rsidR="00FB0F44" w:rsidRPr="00196F7F" w:rsidRDefault="00FB0F44" w:rsidP="00196F7F">
            <w:pPr>
              <w:pStyle w:val="SWCText"/>
              <w:jc w:val="center"/>
              <w:rPr>
                <w:lang w:val="en-GB"/>
              </w:rPr>
            </w:pPr>
            <w:r w:rsidRPr="00196F7F">
              <w:rPr>
                <w:lang w:val="en-GB"/>
              </w:rPr>
              <w:t>14467</w:t>
            </w:r>
          </w:p>
        </w:tc>
        <w:tc>
          <w:tcPr>
            <w:tcW w:w="1584" w:type="dxa"/>
            <w:vAlign w:val="center"/>
          </w:tcPr>
          <w:p w14:paraId="48C75284" w14:textId="5CA46DB7" w:rsidR="00FB0F44" w:rsidRPr="00196F7F" w:rsidRDefault="000767E6" w:rsidP="00F00D93">
            <w:pPr>
              <w:pStyle w:val="SWCText"/>
              <w:jc w:val="center"/>
              <w:rPr>
                <w:lang w:val="en-GB"/>
              </w:rPr>
            </w:pPr>
            <w:r>
              <w:rPr>
                <w:lang w:val="en-GB"/>
              </w:rPr>
              <w:t>-931</w:t>
            </w:r>
          </w:p>
        </w:tc>
        <w:tc>
          <w:tcPr>
            <w:tcW w:w="1584" w:type="dxa"/>
            <w:noWrap/>
            <w:vAlign w:val="center"/>
            <w:hideMark/>
          </w:tcPr>
          <w:p w14:paraId="5584AC1B" w14:textId="4128796E" w:rsidR="00FB0F44" w:rsidRPr="00196F7F" w:rsidRDefault="00FB0F44" w:rsidP="00196F7F">
            <w:pPr>
              <w:pStyle w:val="SWCText"/>
              <w:jc w:val="center"/>
              <w:rPr>
                <w:lang w:val="en-GB"/>
              </w:rPr>
            </w:pPr>
            <w:r w:rsidRPr="00196F7F">
              <w:rPr>
                <w:lang w:val="en-GB"/>
              </w:rPr>
              <w:t>-6.0%</w:t>
            </w:r>
          </w:p>
        </w:tc>
      </w:tr>
      <w:tr w:rsidR="00FB0F44" w:rsidRPr="005C5F5D" w14:paraId="794ABEA3" w14:textId="77777777" w:rsidTr="00F00D93">
        <w:tblPrEx>
          <w:jc w:val="left"/>
          <w:tblLook w:val="04A0" w:firstRow="1" w:lastRow="0" w:firstColumn="1" w:lastColumn="0" w:noHBand="0" w:noVBand="1"/>
        </w:tblPrEx>
        <w:trPr>
          <w:trHeight w:val="259"/>
        </w:trPr>
        <w:tc>
          <w:tcPr>
            <w:tcW w:w="2965" w:type="dxa"/>
            <w:noWrap/>
            <w:vAlign w:val="center"/>
            <w:hideMark/>
          </w:tcPr>
          <w:p w14:paraId="5E17B2DB" w14:textId="77777777" w:rsidR="00FB0F44" w:rsidRPr="00196F7F" w:rsidRDefault="00FB0F44" w:rsidP="00196F7F">
            <w:pPr>
              <w:pStyle w:val="SWCText"/>
              <w:jc w:val="center"/>
              <w:rPr>
                <w:lang w:val="en-GB"/>
              </w:rPr>
            </w:pPr>
            <w:r w:rsidRPr="00196F7F">
              <w:rPr>
                <w:lang w:val="en-GB"/>
              </w:rPr>
              <w:t>HP Production [MWh]</w:t>
            </w:r>
          </w:p>
        </w:tc>
        <w:tc>
          <w:tcPr>
            <w:tcW w:w="1584" w:type="dxa"/>
            <w:noWrap/>
            <w:vAlign w:val="center"/>
            <w:hideMark/>
          </w:tcPr>
          <w:p w14:paraId="4E355D7D" w14:textId="77777777" w:rsidR="00FB0F44" w:rsidRPr="00196F7F" w:rsidRDefault="00FB0F44" w:rsidP="00196F7F">
            <w:pPr>
              <w:pStyle w:val="SWCText"/>
              <w:jc w:val="center"/>
              <w:rPr>
                <w:lang w:val="en-GB"/>
              </w:rPr>
            </w:pPr>
            <w:r w:rsidRPr="00196F7F">
              <w:rPr>
                <w:lang w:val="en-GB"/>
              </w:rPr>
              <w:t>12476</w:t>
            </w:r>
          </w:p>
        </w:tc>
        <w:tc>
          <w:tcPr>
            <w:tcW w:w="1584" w:type="dxa"/>
            <w:noWrap/>
            <w:vAlign w:val="center"/>
            <w:hideMark/>
          </w:tcPr>
          <w:p w14:paraId="70506DC2" w14:textId="77777777" w:rsidR="00FB0F44" w:rsidRPr="00196F7F" w:rsidRDefault="00FB0F44" w:rsidP="00196F7F">
            <w:pPr>
              <w:pStyle w:val="SWCText"/>
              <w:jc w:val="center"/>
              <w:rPr>
                <w:lang w:val="en-GB"/>
              </w:rPr>
            </w:pPr>
            <w:r w:rsidRPr="00196F7F">
              <w:rPr>
                <w:lang w:val="en-GB"/>
              </w:rPr>
              <w:t>13163</w:t>
            </w:r>
          </w:p>
        </w:tc>
        <w:tc>
          <w:tcPr>
            <w:tcW w:w="1584" w:type="dxa"/>
            <w:vAlign w:val="center"/>
          </w:tcPr>
          <w:p w14:paraId="4ACF3B92" w14:textId="1641C321" w:rsidR="00FB0F44" w:rsidRPr="00196F7F" w:rsidRDefault="000767E6" w:rsidP="00F00D93">
            <w:pPr>
              <w:pStyle w:val="SWCText"/>
              <w:jc w:val="center"/>
              <w:rPr>
                <w:lang w:val="en-GB"/>
              </w:rPr>
            </w:pPr>
            <w:r>
              <w:rPr>
                <w:lang w:val="en-GB"/>
              </w:rPr>
              <w:t>687</w:t>
            </w:r>
          </w:p>
        </w:tc>
        <w:tc>
          <w:tcPr>
            <w:tcW w:w="1584" w:type="dxa"/>
            <w:noWrap/>
            <w:vAlign w:val="center"/>
            <w:hideMark/>
          </w:tcPr>
          <w:p w14:paraId="588F9426" w14:textId="21B57ED3" w:rsidR="00FB0F44" w:rsidRPr="00196F7F" w:rsidRDefault="00FB0F44" w:rsidP="00196F7F">
            <w:pPr>
              <w:pStyle w:val="SWCText"/>
              <w:jc w:val="center"/>
              <w:rPr>
                <w:lang w:val="en-GB"/>
              </w:rPr>
            </w:pPr>
            <w:r w:rsidRPr="00196F7F">
              <w:rPr>
                <w:lang w:val="en-GB"/>
              </w:rPr>
              <w:t>+5.5%</w:t>
            </w:r>
          </w:p>
        </w:tc>
      </w:tr>
      <w:tr w:rsidR="00FB0F44" w:rsidRPr="005C5F5D" w14:paraId="4E8563F7" w14:textId="77777777" w:rsidTr="00F00D93">
        <w:tblPrEx>
          <w:jc w:val="left"/>
          <w:tblLook w:val="04A0" w:firstRow="1" w:lastRow="0" w:firstColumn="1" w:lastColumn="0" w:noHBand="0" w:noVBand="1"/>
        </w:tblPrEx>
        <w:trPr>
          <w:trHeight w:val="259"/>
        </w:trPr>
        <w:tc>
          <w:tcPr>
            <w:tcW w:w="2965" w:type="dxa"/>
            <w:noWrap/>
            <w:vAlign w:val="center"/>
            <w:hideMark/>
          </w:tcPr>
          <w:p w14:paraId="2AD8CCB2" w14:textId="77777777" w:rsidR="00FB0F44" w:rsidRPr="00196F7F" w:rsidRDefault="00FB0F44" w:rsidP="00196F7F">
            <w:pPr>
              <w:pStyle w:val="SWCText"/>
              <w:jc w:val="center"/>
              <w:rPr>
                <w:lang w:val="en-GB"/>
              </w:rPr>
            </w:pPr>
            <w:r w:rsidRPr="00196F7F">
              <w:rPr>
                <w:lang w:val="en-GB"/>
              </w:rPr>
              <w:t>P2H Production [MWh]</w:t>
            </w:r>
          </w:p>
        </w:tc>
        <w:tc>
          <w:tcPr>
            <w:tcW w:w="1584" w:type="dxa"/>
            <w:noWrap/>
            <w:vAlign w:val="center"/>
            <w:hideMark/>
          </w:tcPr>
          <w:p w14:paraId="5A319038" w14:textId="77777777" w:rsidR="00FB0F44" w:rsidRPr="00196F7F" w:rsidRDefault="00FB0F44" w:rsidP="00196F7F">
            <w:pPr>
              <w:pStyle w:val="SWCText"/>
              <w:jc w:val="center"/>
              <w:rPr>
                <w:lang w:val="en-GB"/>
              </w:rPr>
            </w:pPr>
            <w:r w:rsidRPr="00196F7F">
              <w:rPr>
                <w:lang w:val="en-GB"/>
              </w:rPr>
              <w:t>146</w:t>
            </w:r>
          </w:p>
        </w:tc>
        <w:tc>
          <w:tcPr>
            <w:tcW w:w="1584" w:type="dxa"/>
            <w:noWrap/>
            <w:vAlign w:val="center"/>
            <w:hideMark/>
          </w:tcPr>
          <w:p w14:paraId="3A76A017" w14:textId="77777777" w:rsidR="00FB0F44" w:rsidRPr="00196F7F" w:rsidRDefault="00FB0F44" w:rsidP="00196F7F">
            <w:pPr>
              <w:pStyle w:val="SWCText"/>
              <w:jc w:val="center"/>
              <w:rPr>
                <w:lang w:val="en-GB"/>
              </w:rPr>
            </w:pPr>
            <w:r w:rsidRPr="00196F7F">
              <w:rPr>
                <w:lang w:val="en-GB"/>
              </w:rPr>
              <w:t>147</w:t>
            </w:r>
          </w:p>
        </w:tc>
        <w:tc>
          <w:tcPr>
            <w:tcW w:w="1584" w:type="dxa"/>
            <w:vAlign w:val="center"/>
          </w:tcPr>
          <w:p w14:paraId="5CF78211" w14:textId="73E795A3" w:rsidR="00FB0F44" w:rsidRPr="00196F7F" w:rsidRDefault="000767E6" w:rsidP="00F00D93">
            <w:pPr>
              <w:pStyle w:val="SWCText"/>
              <w:jc w:val="center"/>
              <w:rPr>
                <w:lang w:val="en-GB"/>
              </w:rPr>
            </w:pPr>
            <w:r>
              <w:rPr>
                <w:lang w:val="en-GB"/>
              </w:rPr>
              <w:t>1</w:t>
            </w:r>
          </w:p>
        </w:tc>
        <w:tc>
          <w:tcPr>
            <w:tcW w:w="1584" w:type="dxa"/>
            <w:noWrap/>
            <w:vAlign w:val="center"/>
            <w:hideMark/>
          </w:tcPr>
          <w:p w14:paraId="73E873D6" w14:textId="0B2D1E7E" w:rsidR="00FB0F44" w:rsidRPr="00196F7F" w:rsidRDefault="00FB0F44" w:rsidP="00196F7F">
            <w:pPr>
              <w:pStyle w:val="SWCText"/>
              <w:jc w:val="center"/>
              <w:rPr>
                <w:lang w:val="en-GB"/>
              </w:rPr>
            </w:pPr>
            <w:r w:rsidRPr="00196F7F">
              <w:rPr>
                <w:lang w:val="en-GB"/>
              </w:rPr>
              <w:t>+1.0%</w:t>
            </w:r>
          </w:p>
        </w:tc>
      </w:tr>
      <w:tr w:rsidR="00FB0F44" w:rsidRPr="005C5F5D" w14:paraId="21B446B1" w14:textId="77777777" w:rsidTr="00F00D93">
        <w:tblPrEx>
          <w:jc w:val="left"/>
          <w:tblLook w:val="04A0" w:firstRow="1" w:lastRow="0" w:firstColumn="1" w:lastColumn="0" w:noHBand="0" w:noVBand="1"/>
        </w:tblPrEx>
        <w:trPr>
          <w:trHeight w:val="259"/>
        </w:trPr>
        <w:tc>
          <w:tcPr>
            <w:tcW w:w="2965" w:type="dxa"/>
            <w:noWrap/>
            <w:vAlign w:val="center"/>
            <w:hideMark/>
          </w:tcPr>
          <w:p w14:paraId="128E9AFB" w14:textId="223B5A29" w:rsidR="00FB0F44" w:rsidRPr="00196F7F" w:rsidRDefault="00FB0F44" w:rsidP="00196F7F">
            <w:pPr>
              <w:pStyle w:val="SWCText"/>
              <w:jc w:val="center"/>
              <w:rPr>
                <w:lang w:val="en-GB"/>
              </w:rPr>
            </w:pPr>
            <w:r w:rsidRPr="00196F7F">
              <w:rPr>
                <w:lang w:val="en-GB"/>
              </w:rPr>
              <w:lastRenderedPageBreak/>
              <w:t>Total Pump E</w:t>
            </w:r>
            <w:r w:rsidR="008C7EF6">
              <w:rPr>
                <w:lang w:val="en-GB"/>
              </w:rPr>
              <w:t>lectricity</w:t>
            </w:r>
            <w:r w:rsidRPr="00196F7F">
              <w:rPr>
                <w:lang w:val="en-GB"/>
              </w:rPr>
              <w:t xml:space="preserve"> [MWh]</w:t>
            </w:r>
          </w:p>
        </w:tc>
        <w:tc>
          <w:tcPr>
            <w:tcW w:w="1584" w:type="dxa"/>
            <w:noWrap/>
            <w:vAlign w:val="center"/>
            <w:hideMark/>
          </w:tcPr>
          <w:p w14:paraId="03DC5D43" w14:textId="77777777" w:rsidR="00FB0F44" w:rsidRPr="00196F7F" w:rsidRDefault="00FB0F44" w:rsidP="00196F7F">
            <w:pPr>
              <w:pStyle w:val="SWCText"/>
              <w:jc w:val="center"/>
              <w:rPr>
                <w:lang w:val="en-GB"/>
              </w:rPr>
            </w:pPr>
            <w:r w:rsidRPr="00196F7F">
              <w:rPr>
                <w:lang w:val="en-GB"/>
              </w:rPr>
              <w:t>64.5</w:t>
            </w:r>
          </w:p>
        </w:tc>
        <w:tc>
          <w:tcPr>
            <w:tcW w:w="1584" w:type="dxa"/>
            <w:noWrap/>
            <w:vAlign w:val="center"/>
            <w:hideMark/>
          </w:tcPr>
          <w:p w14:paraId="37F29128" w14:textId="77777777" w:rsidR="00FB0F44" w:rsidRPr="00196F7F" w:rsidRDefault="00FB0F44" w:rsidP="00196F7F">
            <w:pPr>
              <w:pStyle w:val="SWCText"/>
              <w:jc w:val="center"/>
              <w:rPr>
                <w:lang w:val="en-GB"/>
              </w:rPr>
            </w:pPr>
            <w:r w:rsidRPr="00196F7F">
              <w:rPr>
                <w:lang w:val="en-GB"/>
              </w:rPr>
              <w:t>83.4</w:t>
            </w:r>
          </w:p>
        </w:tc>
        <w:tc>
          <w:tcPr>
            <w:tcW w:w="1584" w:type="dxa"/>
            <w:vAlign w:val="center"/>
          </w:tcPr>
          <w:p w14:paraId="71EA362C" w14:textId="28E2A260" w:rsidR="00FB0F44" w:rsidRPr="00196F7F" w:rsidRDefault="000767E6" w:rsidP="00F00D93">
            <w:pPr>
              <w:pStyle w:val="SWCText"/>
              <w:jc w:val="center"/>
              <w:rPr>
                <w:lang w:val="en-GB"/>
              </w:rPr>
            </w:pPr>
            <w:r>
              <w:rPr>
                <w:lang w:val="en-GB"/>
              </w:rPr>
              <w:t>18.9</w:t>
            </w:r>
          </w:p>
        </w:tc>
        <w:tc>
          <w:tcPr>
            <w:tcW w:w="1584" w:type="dxa"/>
            <w:noWrap/>
            <w:vAlign w:val="center"/>
            <w:hideMark/>
          </w:tcPr>
          <w:p w14:paraId="6FB77FC0" w14:textId="1E45AC28" w:rsidR="00FB0F44" w:rsidRPr="00196F7F" w:rsidRDefault="00FB0F44" w:rsidP="00196F7F">
            <w:pPr>
              <w:pStyle w:val="SWCText"/>
              <w:jc w:val="center"/>
              <w:rPr>
                <w:lang w:val="en-GB"/>
              </w:rPr>
            </w:pPr>
            <w:r w:rsidRPr="00196F7F">
              <w:rPr>
                <w:lang w:val="en-GB"/>
              </w:rPr>
              <w:t>+29.2%</w:t>
            </w:r>
          </w:p>
        </w:tc>
      </w:tr>
      <w:tr w:rsidR="00FB0F44" w:rsidRPr="005C5F5D" w14:paraId="5AC3AB2A" w14:textId="77777777" w:rsidTr="00F00D93">
        <w:tblPrEx>
          <w:jc w:val="left"/>
          <w:tblLook w:val="04A0" w:firstRow="1" w:lastRow="0" w:firstColumn="1" w:lastColumn="0" w:noHBand="0" w:noVBand="1"/>
        </w:tblPrEx>
        <w:trPr>
          <w:trHeight w:val="259"/>
        </w:trPr>
        <w:tc>
          <w:tcPr>
            <w:tcW w:w="2965" w:type="dxa"/>
            <w:noWrap/>
            <w:vAlign w:val="center"/>
            <w:hideMark/>
          </w:tcPr>
          <w:p w14:paraId="18A361BE" w14:textId="77777777" w:rsidR="00FB0F44" w:rsidRPr="00196F7F" w:rsidRDefault="00FB0F44" w:rsidP="00196F7F">
            <w:pPr>
              <w:pStyle w:val="SWCText"/>
              <w:jc w:val="center"/>
              <w:rPr>
                <w:lang w:val="en-GB"/>
              </w:rPr>
            </w:pPr>
            <w:r w:rsidRPr="00196F7F">
              <w:rPr>
                <w:lang w:val="en-GB"/>
              </w:rPr>
              <w:t>SPF HP Annual [-]</w:t>
            </w:r>
          </w:p>
        </w:tc>
        <w:tc>
          <w:tcPr>
            <w:tcW w:w="1584" w:type="dxa"/>
            <w:noWrap/>
            <w:vAlign w:val="center"/>
            <w:hideMark/>
          </w:tcPr>
          <w:p w14:paraId="4EE96F31" w14:textId="77777777" w:rsidR="00FB0F44" w:rsidRPr="00196F7F" w:rsidRDefault="00FB0F44" w:rsidP="00196F7F">
            <w:pPr>
              <w:pStyle w:val="SWCText"/>
              <w:jc w:val="center"/>
              <w:rPr>
                <w:lang w:val="en-GB"/>
              </w:rPr>
            </w:pPr>
            <w:r w:rsidRPr="00196F7F">
              <w:rPr>
                <w:lang w:val="en-GB"/>
              </w:rPr>
              <w:t>2.73</w:t>
            </w:r>
          </w:p>
        </w:tc>
        <w:tc>
          <w:tcPr>
            <w:tcW w:w="1584" w:type="dxa"/>
            <w:noWrap/>
            <w:vAlign w:val="center"/>
            <w:hideMark/>
          </w:tcPr>
          <w:p w14:paraId="6C5B9B57" w14:textId="77777777" w:rsidR="00FB0F44" w:rsidRPr="00196F7F" w:rsidRDefault="00FB0F44" w:rsidP="00196F7F">
            <w:pPr>
              <w:pStyle w:val="SWCText"/>
              <w:jc w:val="center"/>
              <w:rPr>
                <w:lang w:val="en-GB"/>
              </w:rPr>
            </w:pPr>
            <w:r w:rsidRPr="00196F7F">
              <w:rPr>
                <w:lang w:val="en-GB"/>
              </w:rPr>
              <w:t>3.46</w:t>
            </w:r>
          </w:p>
        </w:tc>
        <w:tc>
          <w:tcPr>
            <w:tcW w:w="1584" w:type="dxa"/>
            <w:vAlign w:val="center"/>
          </w:tcPr>
          <w:p w14:paraId="7C233C99" w14:textId="05E72D37" w:rsidR="00FB0F44" w:rsidRPr="00196F7F" w:rsidRDefault="000767E6" w:rsidP="00F00D93">
            <w:pPr>
              <w:pStyle w:val="SWCText"/>
              <w:jc w:val="center"/>
              <w:rPr>
                <w:lang w:val="en-GB"/>
              </w:rPr>
            </w:pPr>
            <w:r>
              <w:rPr>
                <w:lang w:val="en-GB"/>
              </w:rPr>
              <w:t>0.73</w:t>
            </w:r>
          </w:p>
        </w:tc>
        <w:tc>
          <w:tcPr>
            <w:tcW w:w="1584" w:type="dxa"/>
            <w:noWrap/>
            <w:vAlign w:val="center"/>
            <w:hideMark/>
          </w:tcPr>
          <w:p w14:paraId="11635211" w14:textId="412D264D" w:rsidR="00FB0F44" w:rsidRPr="00196F7F" w:rsidRDefault="00FB0F44" w:rsidP="00196F7F">
            <w:pPr>
              <w:pStyle w:val="SWCText"/>
              <w:jc w:val="center"/>
              <w:rPr>
                <w:lang w:val="en-GB"/>
              </w:rPr>
            </w:pPr>
            <w:r w:rsidRPr="00196F7F">
              <w:rPr>
                <w:lang w:val="en-GB"/>
              </w:rPr>
              <w:t>+26.6%</w:t>
            </w:r>
          </w:p>
        </w:tc>
      </w:tr>
    </w:tbl>
    <w:p w14:paraId="79B44F61" w14:textId="69F0D4E1" w:rsidR="00867ABC" w:rsidRPr="00196F7F" w:rsidRDefault="00867ABC" w:rsidP="00B214A1">
      <w:pPr>
        <w:pStyle w:val="SWCText"/>
        <w:rPr>
          <w:lang w:val="en-GB"/>
        </w:rPr>
      </w:pPr>
    </w:p>
    <w:p w14:paraId="77FB8828" w14:textId="3FDE4C18" w:rsidR="00982FBD" w:rsidRPr="00196F7F" w:rsidRDefault="00982FBD" w:rsidP="00982FBD">
      <w:pPr>
        <w:pStyle w:val="SWCText"/>
        <w:rPr>
          <w:lang w:val="en-GB"/>
        </w:rPr>
      </w:pPr>
      <w:r w:rsidRPr="00196F7F">
        <w:rPr>
          <w:lang w:val="en-GB"/>
        </w:rPr>
        <w:t xml:space="preserve">Due to reduced network heat losses (3,761 vs. 3,939 MWh), </w:t>
      </w:r>
      <w:r w:rsidR="00564472">
        <w:rPr>
          <w:lang w:val="en-GB"/>
        </w:rPr>
        <w:t xml:space="preserve">the </w:t>
      </w:r>
      <w:r w:rsidRPr="00196F7F">
        <w:rPr>
          <w:lang w:val="en-GB"/>
        </w:rPr>
        <w:t xml:space="preserve">total annual heat production is lower in the Study case compared to the Benchmark, while </w:t>
      </w:r>
      <w:r w:rsidR="00564472">
        <w:rPr>
          <w:lang w:val="en-GB"/>
        </w:rPr>
        <w:t xml:space="preserve">the </w:t>
      </w:r>
      <w:r w:rsidRPr="00196F7F">
        <w:rPr>
          <w:lang w:val="en-GB"/>
        </w:rPr>
        <w:t>annual pump</w:t>
      </w:r>
      <w:r w:rsidR="00B24EF4">
        <w:rPr>
          <w:lang w:val="en-GB"/>
        </w:rPr>
        <w:t xml:space="preserve"> electric</w:t>
      </w:r>
      <w:r w:rsidRPr="00196F7F">
        <w:rPr>
          <w:lang w:val="en-GB"/>
        </w:rPr>
        <w:t xml:space="preserve"> energy increases by 29.2% (83.4 vs. 64.5 MWh). Lower heat losses are due to a lower supply temperature (70 °C vs. 90 °C) for the portion of the network supplied by the HP. Higher pump</w:t>
      </w:r>
      <w:r w:rsidR="00B24EF4">
        <w:rPr>
          <w:lang w:val="en-GB"/>
        </w:rPr>
        <w:t xml:space="preserve"> electric</w:t>
      </w:r>
      <w:r w:rsidRPr="00196F7F">
        <w:rPr>
          <w:lang w:val="en-GB"/>
        </w:rPr>
        <w:t xml:space="preserve"> energy is caused by the reduced temperature difference on the HP‑supplied branch to Cluster 1 and the </w:t>
      </w:r>
      <w:r w:rsidR="00055F03">
        <w:rPr>
          <w:lang w:val="en-GB"/>
        </w:rPr>
        <w:t>bypass</w:t>
      </w:r>
      <w:r w:rsidRPr="00196F7F">
        <w:rPr>
          <w:lang w:val="en-GB"/>
        </w:rPr>
        <w:t xml:space="preserve"> pump node (70/50 °C → 20 K vs. 90/50 °C→ 40 K), which raises mass flow for the same heat delivery.</w:t>
      </w:r>
    </w:p>
    <w:p w14:paraId="07A34BB0" w14:textId="6786A0FA" w:rsidR="00982FBD" w:rsidRPr="00196F7F" w:rsidRDefault="00982FBD" w:rsidP="00982FBD">
      <w:pPr>
        <w:pStyle w:val="SWCText"/>
        <w:rPr>
          <w:lang w:val="en-GB"/>
        </w:rPr>
      </w:pPr>
      <w:r w:rsidRPr="00196F7F">
        <w:rPr>
          <w:lang w:val="en-GB"/>
        </w:rPr>
        <w:t xml:space="preserve">Due to the different control logic applied in mid-season months, the HP is used to a higher degree in the Study case when it is operated to supply Cluster 1 only (+5.5%). </w:t>
      </w:r>
      <w:r w:rsidR="00EB278A" w:rsidRPr="005C5F5D">
        <w:rPr>
          <w:lang w:val="en-GB"/>
        </w:rPr>
        <w:t>Vice versa</w:t>
      </w:r>
      <w:r w:rsidRPr="00196F7F">
        <w:rPr>
          <w:lang w:val="en-GB"/>
        </w:rPr>
        <w:t xml:space="preserve">, in the Benchmark scenario, the HP is used in mid-season months only when the heating demand in the network is above the nominal power supplied by the biomass CHP alone. Complementarily, the CHP is used to a higher degree in the Benchmark compared to the Study case (+6.0%). </w:t>
      </w:r>
    </w:p>
    <w:p w14:paraId="1E9B5ACF" w14:textId="77777777" w:rsidR="00982FBD" w:rsidRDefault="00982FBD" w:rsidP="00982FBD">
      <w:pPr>
        <w:pStyle w:val="SWCText"/>
        <w:rPr>
          <w:lang w:val="en-GB"/>
        </w:rPr>
      </w:pPr>
      <w:r w:rsidRPr="00196F7F">
        <w:rPr>
          <w:lang w:val="en-GB"/>
        </w:rPr>
        <w:t>The annual results show an increase in HP seasonal performance factor (SPF) between the Benchmark and the Study case: from 2.73 to 3.46 (+26.6%). This is obviously due to the lower supply temperature delivered by the HP in the Study case scenario.</w:t>
      </w:r>
    </w:p>
    <w:p w14:paraId="69FC286A" w14:textId="06CC0763" w:rsidR="009D097D" w:rsidRPr="00196F7F" w:rsidRDefault="009D097D" w:rsidP="009D097D">
      <w:pPr>
        <w:pStyle w:val="SWCText"/>
        <w:rPr>
          <w:lang w:val="en-GB"/>
        </w:rPr>
      </w:pPr>
      <w:r w:rsidRPr="00196F7F">
        <w:rPr>
          <w:lang w:val="en-GB"/>
        </w:rPr>
        <w:t xml:space="preserve">Table </w:t>
      </w:r>
      <w:r>
        <w:rPr>
          <w:lang w:val="en-GB"/>
        </w:rPr>
        <w:t>2</w:t>
      </w:r>
      <w:r w:rsidRPr="00196F7F">
        <w:rPr>
          <w:lang w:val="en-GB"/>
        </w:rPr>
        <w:t xml:space="preserve"> reports the annual </w:t>
      </w:r>
      <w:r w:rsidR="00DF1E16" w:rsidRPr="00196F7F">
        <w:rPr>
          <w:lang w:val="en-GB"/>
        </w:rPr>
        <w:t>CO</w:t>
      </w:r>
      <w:r w:rsidR="00DF1E16" w:rsidRPr="00196F7F">
        <w:rPr>
          <w:vertAlign w:val="subscript"/>
          <w:lang w:val="en-GB"/>
        </w:rPr>
        <w:t>2</w:t>
      </w:r>
      <w:r w:rsidRPr="00196F7F">
        <w:rPr>
          <w:lang w:val="en-GB"/>
        </w:rPr>
        <w:t xml:space="preserve"> equivalent (</w:t>
      </w:r>
      <w:r w:rsidR="00DF1E16" w:rsidRPr="00196F7F">
        <w:rPr>
          <w:lang w:val="en-GB"/>
        </w:rPr>
        <w:t>CO</w:t>
      </w:r>
      <w:r w:rsidR="00DF1E16" w:rsidRPr="00196F7F">
        <w:rPr>
          <w:vertAlign w:val="subscript"/>
          <w:lang w:val="en-GB"/>
        </w:rPr>
        <w:t>2</w:t>
      </w:r>
      <w:r w:rsidRPr="00196F7F">
        <w:rPr>
          <w:lang w:val="en-GB"/>
        </w:rPr>
        <w:t xml:space="preserve">-eq.) emissions for both the Benchmark (second column) and the Study case (third column), together with </w:t>
      </w:r>
      <w:r>
        <w:rPr>
          <w:lang w:val="en-GB"/>
        </w:rPr>
        <w:t>the absolute and</w:t>
      </w:r>
      <w:r w:rsidRPr="00196F7F">
        <w:rPr>
          <w:lang w:val="en-GB"/>
        </w:rPr>
        <w:t xml:space="preserve"> percentage variation for each KPI between Benchmark and Study case (fourth </w:t>
      </w:r>
      <w:r>
        <w:rPr>
          <w:lang w:val="en-GB"/>
        </w:rPr>
        <w:t xml:space="preserve">and fifth </w:t>
      </w:r>
      <w:r w:rsidRPr="00196F7F">
        <w:rPr>
          <w:lang w:val="en-GB"/>
        </w:rPr>
        <w:t>column).</w:t>
      </w:r>
    </w:p>
    <w:p w14:paraId="09A76791" w14:textId="5CBC8D0F" w:rsidR="009D097D" w:rsidRPr="00196F7F" w:rsidRDefault="009D097D" w:rsidP="00DE43D6">
      <w:pPr>
        <w:pStyle w:val="SWCTableFigureCaption"/>
        <w:rPr>
          <w:lang w:val="en-GB"/>
        </w:rPr>
      </w:pPr>
      <w:r w:rsidRPr="00196F7F">
        <w:rPr>
          <w:lang w:val="en-GB"/>
        </w:rPr>
        <w:t xml:space="preserve">Tab. </w:t>
      </w:r>
      <w:r>
        <w:rPr>
          <w:lang w:val="en-GB"/>
        </w:rPr>
        <w:t>2</w:t>
      </w:r>
      <w:r w:rsidRPr="00196F7F">
        <w:rPr>
          <w:lang w:val="en-GB"/>
        </w:rPr>
        <w:t>: Annual CO</w:t>
      </w:r>
      <w:r w:rsidRPr="00196F7F">
        <w:rPr>
          <w:vertAlign w:val="subscript"/>
          <w:lang w:val="en-GB"/>
        </w:rPr>
        <w:t>2</w:t>
      </w:r>
      <w:r w:rsidRPr="00196F7F">
        <w:rPr>
          <w:lang w:val="en-GB"/>
        </w:rPr>
        <w:t xml:space="preserve"> equivalent emissions </w:t>
      </w:r>
      <w:r>
        <w:rPr>
          <w:lang w:val="en-GB"/>
        </w:rPr>
        <w:t>for the B</w:t>
      </w:r>
      <w:r w:rsidRPr="00196F7F">
        <w:rPr>
          <w:lang w:val="en-GB"/>
        </w:rPr>
        <w:t>enchmark and Study case scenarios</w:t>
      </w:r>
      <w:r>
        <w:rPr>
          <w:lang w:val="en-GB"/>
        </w:rPr>
        <w:t xml:space="preserve">, with absolute variation and percentage variation relative to the </w:t>
      </w:r>
      <w:r w:rsidRPr="00DE43D6">
        <w:t>Benchmark</w:t>
      </w:r>
      <w:r>
        <w:rPr>
          <w:lang w:val="en-GB"/>
        </w:rPr>
        <w:t>.</w:t>
      </w:r>
    </w:p>
    <w:tbl>
      <w:tblPr>
        <w:tblStyle w:val="TableGrid"/>
        <w:tblW w:w="9355" w:type="dxa"/>
        <w:jc w:val="center"/>
        <w:tblLook w:val="01E0" w:firstRow="1" w:lastRow="1" w:firstColumn="1" w:lastColumn="1" w:noHBand="0" w:noVBand="0"/>
      </w:tblPr>
      <w:tblGrid>
        <w:gridCol w:w="3595"/>
        <w:gridCol w:w="1440"/>
        <w:gridCol w:w="1440"/>
        <w:gridCol w:w="1440"/>
        <w:gridCol w:w="1440"/>
      </w:tblGrid>
      <w:tr w:rsidR="009D097D" w:rsidRPr="005C5F5D" w14:paraId="6E531DBB" w14:textId="77777777" w:rsidTr="000F0F62">
        <w:trPr>
          <w:trHeight w:val="325"/>
          <w:jc w:val="center"/>
        </w:trPr>
        <w:tc>
          <w:tcPr>
            <w:tcW w:w="3595" w:type="dxa"/>
            <w:tcBorders>
              <w:top w:val="single" w:sz="4" w:space="0" w:color="auto"/>
              <w:left w:val="single" w:sz="4" w:space="0" w:color="auto"/>
              <w:bottom w:val="single" w:sz="4" w:space="0" w:color="auto"/>
              <w:right w:val="single" w:sz="4" w:space="0" w:color="auto"/>
            </w:tcBorders>
            <w:vAlign w:val="center"/>
            <w:hideMark/>
          </w:tcPr>
          <w:p w14:paraId="763CDF38" w14:textId="77777777" w:rsidR="009D097D" w:rsidRPr="005C5F5D" w:rsidRDefault="009D097D" w:rsidP="000F0F62">
            <w:pPr>
              <w:pStyle w:val="SWCTableHeader"/>
            </w:pPr>
            <w:r w:rsidRPr="005C5F5D">
              <w:t>KPI</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84C545E" w14:textId="77777777" w:rsidR="009D097D" w:rsidRPr="005C5F5D" w:rsidRDefault="009D097D" w:rsidP="000F0F62">
            <w:pPr>
              <w:pStyle w:val="SWCTableHeader"/>
            </w:pPr>
            <w:r w:rsidRPr="005C5F5D">
              <w:t>Benchmark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34D58B7" w14:textId="77777777" w:rsidR="009D097D" w:rsidRPr="005C5F5D" w:rsidRDefault="009D097D" w:rsidP="000F0F62">
            <w:pPr>
              <w:pStyle w:val="SWCTableHeader"/>
            </w:pPr>
            <w:r w:rsidRPr="005C5F5D">
              <w:t>Study</w:t>
            </w:r>
            <w:r>
              <w:t xml:space="preserve"> </w:t>
            </w:r>
            <w:r w:rsidRPr="005C5F5D">
              <w:t>case</w:t>
            </w:r>
          </w:p>
        </w:tc>
        <w:tc>
          <w:tcPr>
            <w:tcW w:w="1440" w:type="dxa"/>
            <w:tcBorders>
              <w:top w:val="single" w:sz="4" w:space="0" w:color="auto"/>
              <w:left w:val="single" w:sz="4" w:space="0" w:color="auto"/>
              <w:bottom w:val="single" w:sz="4" w:space="0" w:color="auto"/>
              <w:right w:val="single" w:sz="4" w:space="0" w:color="auto"/>
            </w:tcBorders>
            <w:vAlign w:val="center"/>
          </w:tcPr>
          <w:p w14:paraId="095131A9" w14:textId="77777777" w:rsidR="009D097D" w:rsidRPr="005C5F5D" w:rsidRDefault="009D097D" w:rsidP="000F0F62">
            <w:pPr>
              <w:pStyle w:val="SWCTableHeader"/>
            </w:pPr>
            <w:r>
              <w:t>Absolute Variation</w:t>
            </w:r>
          </w:p>
        </w:tc>
        <w:tc>
          <w:tcPr>
            <w:tcW w:w="1440" w:type="dxa"/>
            <w:tcBorders>
              <w:top w:val="single" w:sz="4" w:space="0" w:color="auto"/>
              <w:left w:val="single" w:sz="4" w:space="0" w:color="auto"/>
              <w:bottom w:val="single" w:sz="4" w:space="0" w:color="auto"/>
              <w:right w:val="single" w:sz="4" w:space="0" w:color="auto"/>
            </w:tcBorders>
            <w:vAlign w:val="center"/>
          </w:tcPr>
          <w:p w14:paraId="0AEAD752" w14:textId="77777777" w:rsidR="009D097D" w:rsidRPr="005C5F5D" w:rsidRDefault="009D097D" w:rsidP="000F0F62">
            <w:pPr>
              <w:pStyle w:val="SWCTableHeader"/>
            </w:pPr>
            <w:r w:rsidRPr="005C5F5D">
              <w:t>Percentage Variation</w:t>
            </w:r>
          </w:p>
        </w:tc>
      </w:tr>
      <w:tr w:rsidR="009D097D" w:rsidRPr="005C5F5D" w14:paraId="60874987" w14:textId="77777777" w:rsidTr="000F0F62">
        <w:trPr>
          <w:trHeight w:val="300"/>
          <w:jc w:val="center"/>
        </w:trPr>
        <w:tc>
          <w:tcPr>
            <w:tcW w:w="3595" w:type="dxa"/>
            <w:noWrap/>
            <w:vAlign w:val="center"/>
            <w:hideMark/>
          </w:tcPr>
          <w:p w14:paraId="05A890F0" w14:textId="77777777" w:rsidR="009D097D" w:rsidRPr="00196F7F" w:rsidRDefault="009D097D" w:rsidP="000F0F62">
            <w:pPr>
              <w:pStyle w:val="SWCText"/>
              <w:jc w:val="center"/>
              <w:rPr>
                <w:lang w:val="en-GB"/>
              </w:rPr>
            </w:pPr>
            <w:r w:rsidRPr="00196F7F">
              <w:rPr>
                <w:lang w:val="en-GB"/>
              </w:rPr>
              <w:t>CO</w:t>
            </w:r>
            <w:r w:rsidRPr="00196F7F">
              <w:rPr>
                <w:vertAlign w:val="subscript"/>
                <w:lang w:val="en-GB"/>
              </w:rPr>
              <w:t>2</w:t>
            </w:r>
            <w:r w:rsidRPr="00196F7F">
              <w:rPr>
                <w:lang w:val="en-GB"/>
              </w:rPr>
              <w:t>-eq. emission Biomass CHP [ton]</w:t>
            </w:r>
          </w:p>
        </w:tc>
        <w:tc>
          <w:tcPr>
            <w:tcW w:w="1440" w:type="dxa"/>
            <w:noWrap/>
            <w:vAlign w:val="center"/>
            <w:hideMark/>
          </w:tcPr>
          <w:p w14:paraId="2ECD005C" w14:textId="77777777" w:rsidR="009D097D" w:rsidRPr="00196F7F" w:rsidRDefault="009D097D" w:rsidP="000F0F62">
            <w:pPr>
              <w:pStyle w:val="SWCText"/>
              <w:jc w:val="center"/>
              <w:rPr>
                <w:lang w:val="en-GB"/>
              </w:rPr>
            </w:pPr>
            <w:r w:rsidRPr="00196F7F">
              <w:rPr>
                <w:lang w:val="en-GB"/>
              </w:rPr>
              <w:t>168.5</w:t>
            </w:r>
          </w:p>
        </w:tc>
        <w:tc>
          <w:tcPr>
            <w:tcW w:w="1440" w:type="dxa"/>
            <w:noWrap/>
            <w:vAlign w:val="center"/>
            <w:hideMark/>
          </w:tcPr>
          <w:p w14:paraId="0993939B" w14:textId="77777777" w:rsidR="009D097D" w:rsidRPr="00196F7F" w:rsidRDefault="009D097D" w:rsidP="000F0F62">
            <w:pPr>
              <w:pStyle w:val="SWCText"/>
              <w:jc w:val="center"/>
              <w:rPr>
                <w:lang w:val="en-GB"/>
              </w:rPr>
            </w:pPr>
            <w:r w:rsidRPr="00196F7F">
              <w:rPr>
                <w:lang w:val="en-GB"/>
              </w:rPr>
              <w:t>158.4</w:t>
            </w:r>
          </w:p>
        </w:tc>
        <w:tc>
          <w:tcPr>
            <w:tcW w:w="1440" w:type="dxa"/>
            <w:vAlign w:val="center"/>
          </w:tcPr>
          <w:p w14:paraId="7D924E0A" w14:textId="77777777" w:rsidR="009D097D" w:rsidRPr="00196F7F" w:rsidRDefault="009D097D" w:rsidP="000F0F62">
            <w:pPr>
              <w:pStyle w:val="SWCText"/>
              <w:jc w:val="center"/>
              <w:rPr>
                <w:lang w:val="en-GB"/>
              </w:rPr>
            </w:pPr>
            <w:r>
              <w:rPr>
                <w:lang w:val="en-GB"/>
              </w:rPr>
              <w:t>-10.2</w:t>
            </w:r>
          </w:p>
        </w:tc>
        <w:tc>
          <w:tcPr>
            <w:tcW w:w="1440" w:type="dxa"/>
            <w:noWrap/>
            <w:vAlign w:val="center"/>
            <w:hideMark/>
          </w:tcPr>
          <w:p w14:paraId="70C8C054" w14:textId="77777777" w:rsidR="009D097D" w:rsidRPr="00196F7F" w:rsidRDefault="009D097D" w:rsidP="000F0F62">
            <w:pPr>
              <w:pStyle w:val="SWCText"/>
              <w:jc w:val="center"/>
              <w:rPr>
                <w:lang w:val="en-GB"/>
              </w:rPr>
            </w:pPr>
            <w:r w:rsidRPr="00196F7F">
              <w:rPr>
                <w:lang w:val="en-GB"/>
              </w:rPr>
              <w:t>-6.0%</w:t>
            </w:r>
          </w:p>
        </w:tc>
      </w:tr>
      <w:tr w:rsidR="009D097D" w:rsidRPr="005C5F5D" w14:paraId="673A27EF" w14:textId="77777777" w:rsidTr="000F0F62">
        <w:trPr>
          <w:trHeight w:val="300"/>
          <w:jc w:val="center"/>
        </w:trPr>
        <w:tc>
          <w:tcPr>
            <w:tcW w:w="3595" w:type="dxa"/>
            <w:noWrap/>
            <w:vAlign w:val="center"/>
            <w:hideMark/>
          </w:tcPr>
          <w:p w14:paraId="411CB95A" w14:textId="77777777" w:rsidR="009D097D" w:rsidRPr="00196F7F" w:rsidRDefault="009D097D" w:rsidP="000F0F62">
            <w:pPr>
              <w:pStyle w:val="SWCText"/>
              <w:jc w:val="center"/>
              <w:rPr>
                <w:lang w:val="en-GB"/>
              </w:rPr>
            </w:pPr>
            <w:r w:rsidRPr="00196F7F">
              <w:rPr>
                <w:lang w:val="en-GB"/>
              </w:rPr>
              <w:t>CO</w:t>
            </w:r>
            <w:r w:rsidRPr="00196F7F">
              <w:rPr>
                <w:vertAlign w:val="subscript"/>
                <w:lang w:val="en-GB"/>
              </w:rPr>
              <w:t>2</w:t>
            </w:r>
            <w:r w:rsidRPr="00196F7F">
              <w:rPr>
                <w:lang w:val="en-GB"/>
              </w:rPr>
              <w:t>-eq. emission HP [ton]</w:t>
            </w:r>
          </w:p>
        </w:tc>
        <w:tc>
          <w:tcPr>
            <w:tcW w:w="1440" w:type="dxa"/>
            <w:noWrap/>
            <w:vAlign w:val="center"/>
            <w:hideMark/>
          </w:tcPr>
          <w:p w14:paraId="05FF8E76" w14:textId="77777777" w:rsidR="009D097D" w:rsidRPr="00196F7F" w:rsidRDefault="009D097D" w:rsidP="000F0F62">
            <w:pPr>
              <w:pStyle w:val="SWCText"/>
              <w:jc w:val="center"/>
              <w:rPr>
                <w:lang w:val="en-GB"/>
              </w:rPr>
            </w:pPr>
            <w:r w:rsidRPr="00196F7F">
              <w:rPr>
                <w:lang w:val="en-GB"/>
              </w:rPr>
              <w:t>604.0</w:t>
            </w:r>
          </w:p>
        </w:tc>
        <w:tc>
          <w:tcPr>
            <w:tcW w:w="1440" w:type="dxa"/>
            <w:noWrap/>
            <w:vAlign w:val="center"/>
            <w:hideMark/>
          </w:tcPr>
          <w:p w14:paraId="3808F366" w14:textId="77777777" w:rsidR="009D097D" w:rsidRPr="00196F7F" w:rsidRDefault="009D097D" w:rsidP="000F0F62">
            <w:pPr>
              <w:pStyle w:val="SWCText"/>
              <w:jc w:val="center"/>
              <w:rPr>
                <w:lang w:val="en-GB"/>
              </w:rPr>
            </w:pPr>
            <w:r w:rsidRPr="00196F7F">
              <w:rPr>
                <w:lang w:val="en-GB"/>
              </w:rPr>
              <w:t>489.3</w:t>
            </w:r>
          </w:p>
        </w:tc>
        <w:tc>
          <w:tcPr>
            <w:tcW w:w="1440" w:type="dxa"/>
            <w:vAlign w:val="center"/>
          </w:tcPr>
          <w:p w14:paraId="4A6E622D" w14:textId="77777777" w:rsidR="009D097D" w:rsidRPr="00196F7F" w:rsidRDefault="009D097D" w:rsidP="000F0F62">
            <w:pPr>
              <w:pStyle w:val="SWCText"/>
              <w:jc w:val="center"/>
              <w:rPr>
                <w:lang w:val="en-GB"/>
              </w:rPr>
            </w:pPr>
            <w:r>
              <w:rPr>
                <w:lang w:val="en-GB"/>
              </w:rPr>
              <w:t>-114.7</w:t>
            </w:r>
          </w:p>
        </w:tc>
        <w:tc>
          <w:tcPr>
            <w:tcW w:w="1440" w:type="dxa"/>
            <w:noWrap/>
            <w:vAlign w:val="center"/>
            <w:hideMark/>
          </w:tcPr>
          <w:p w14:paraId="07B93530" w14:textId="77777777" w:rsidR="009D097D" w:rsidRPr="00196F7F" w:rsidRDefault="009D097D" w:rsidP="000F0F62">
            <w:pPr>
              <w:pStyle w:val="SWCText"/>
              <w:jc w:val="center"/>
              <w:rPr>
                <w:lang w:val="en-GB"/>
              </w:rPr>
            </w:pPr>
            <w:r w:rsidRPr="00196F7F">
              <w:rPr>
                <w:lang w:val="en-GB"/>
              </w:rPr>
              <w:t>-19.0%</w:t>
            </w:r>
          </w:p>
        </w:tc>
      </w:tr>
      <w:tr w:rsidR="009D097D" w:rsidRPr="005C5F5D" w14:paraId="25112045" w14:textId="77777777" w:rsidTr="000F0F62">
        <w:trPr>
          <w:trHeight w:val="300"/>
          <w:jc w:val="center"/>
        </w:trPr>
        <w:tc>
          <w:tcPr>
            <w:tcW w:w="3595" w:type="dxa"/>
            <w:noWrap/>
            <w:vAlign w:val="center"/>
            <w:hideMark/>
          </w:tcPr>
          <w:p w14:paraId="3D1AF030" w14:textId="77777777" w:rsidR="009D097D" w:rsidRPr="00196F7F" w:rsidRDefault="009D097D" w:rsidP="000F0F62">
            <w:pPr>
              <w:pStyle w:val="SWCText"/>
              <w:jc w:val="center"/>
              <w:rPr>
                <w:lang w:val="en-GB"/>
              </w:rPr>
            </w:pPr>
            <w:r w:rsidRPr="00196F7F">
              <w:rPr>
                <w:lang w:val="en-GB"/>
              </w:rPr>
              <w:t>CO</w:t>
            </w:r>
            <w:r w:rsidRPr="00196F7F">
              <w:rPr>
                <w:vertAlign w:val="subscript"/>
                <w:lang w:val="en-GB"/>
              </w:rPr>
              <w:t>2</w:t>
            </w:r>
            <w:r w:rsidRPr="00196F7F">
              <w:rPr>
                <w:lang w:val="en-GB"/>
              </w:rPr>
              <w:t>-eq. emission P2H [ton]</w:t>
            </w:r>
          </w:p>
        </w:tc>
        <w:tc>
          <w:tcPr>
            <w:tcW w:w="1440" w:type="dxa"/>
            <w:noWrap/>
            <w:vAlign w:val="center"/>
            <w:hideMark/>
          </w:tcPr>
          <w:p w14:paraId="4D7D3EA6" w14:textId="77777777" w:rsidR="009D097D" w:rsidRPr="00196F7F" w:rsidRDefault="009D097D" w:rsidP="000F0F62">
            <w:pPr>
              <w:pStyle w:val="SWCText"/>
              <w:jc w:val="center"/>
              <w:rPr>
                <w:lang w:val="en-GB"/>
              </w:rPr>
            </w:pPr>
            <w:r w:rsidRPr="00196F7F">
              <w:rPr>
                <w:lang w:val="en-GB"/>
              </w:rPr>
              <w:t>21.9</w:t>
            </w:r>
          </w:p>
        </w:tc>
        <w:tc>
          <w:tcPr>
            <w:tcW w:w="1440" w:type="dxa"/>
            <w:noWrap/>
            <w:vAlign w:val="center"/>
            <w:hideMark/>
          </w:tcPr>
          <w:p w14:paraId="58D93EA5" w14:textId="77777777" w:rsidR="009D097D" w:rsidRPr="00196F7F" w:rsidRDefault="009D097D" w:rsidP="000F0F62">
            <w:pPr>
              <w:pStyle w:val="SWCText"/>
              <w:jc w:val="center"/>
              <w:rPr>
                <w:lang w:val="en-GB"/>
              </w:rPr>
            </w:pPr>
            <w:r w:rsidRPr="00196F7F">
              <w:rPr>
                <w:lang w:val="en-GB"/>
              </w:rPr>
              <w:t>23.8</w:t>
            </w:r>
          </w:p>
        </w:tc>
        <w:tc>
          <w:tcPr>
            <w:tcW w:w="1440" w:type="dxa"/>
            <w:vAlign w:val="center"/>
          </w:tcPr>
          <w:p w14:paraId="21451FB4" w14:textId="46B9EBB4" w:rsidR="009D097D" w:rsidRPr="00196F7F" w:rsidRDefault="009D097D" w:rsidP="000F0F62">
            <w:pPr>
              <w:pStyle w:val="SWCText"/>
              <w:jc w:val="center"/>
              <w:rPr>
                <w:lang w:val="en-GB"/>
              </w:rPr>
            </w:pPr>
            <w:r>
              <w:rPr>
                <w:lang w:val="en-GB"/>
              </w:rPr>
              <w:t>1.9</w:t>
            </w:r>
          </w:p>
        </w:tc>
        <w:tc>
          <w:tcPr>
            <w:tcW w:w="1440" w:type="dxa"/>
            <w:noWrap/>
            <w:vAlign w:val="center"/>
            <w:hideMark/>
          </w:tcPr>
          <w:p w14:paraId="73DDF51C" w14:textId="77777777" w:rsidR="009D097D" w:rsidRPr="00196F7F" w:rsidRDefault="009D097D" w:rsidP="000F0F62">
            <w:pPr>
              <w:pStyle w:val="SWCText"/>
              <w:jc w:val="center"/>
              <w:rPr>
                <w:lang w:val="en-GB"/>
              </w:rPr>
            </w:pPr>
            <w:r w:rsidRPr="00196F7F">
              <w:rPr>
                <w:lang w:val="en-GB"/>
              </w:rPr>
              <w:t>+8.7%</w:t>
            </w:r>
          </w:p>
        </w:tc>
      </w:tr>
      <w:tr w:rsidR="009D097D" w:rsidRPr="000D41BC" w14:paraId="49BA0F20" w14:textId="77777777" w:rsidTr="000F0F62">
        <w:trPr>
          <w:trHeight w:val="300"/>
          <w:jc w:val="center"/>
        </w:trPr>
        <w:tc>
          <w:tcPr>
            <w:tcW w:w="3595" w:type="dxa"/>
            <w:noWrap/>
            <w:vAlign w:val="center"/>
          </w:tcPr>
          <w:p w14:paraId="1D0FBC87" w14:textId="77777777" w:rsidR="009D097D" w:rsidRPr="00196F7F" w:rsidRDefault="009D097D" w:rsidP="000F0F62">
            <w:pPr>
              <w:pStyle w:val="SWCText"/>
              <w:jc w:val="center"/>
              <w:rPr>
                <w:lang w:val="en-GB"/>
              </w:rPr>
            </w:pPr>
            <w:r w:rsidRPr="00196F7F">
              <w:rPr>
                <w:lang w:val="en-GB"/>
              </w:rPr>
              <w:t>CO</w:t>
            </w:r>
            <w:r w:rsidRPr="00196F7F">
              <w:rPr>
                <w:vertAlign w:val="subscript"/>
                <w:lang w:val="en-GB"/>
              </w:rPr>
              <w:t>2</w:t>
            </w:r>
            <w:r w:rsidRPr="00196F7F">
              <w:rPr>
                <w:lang w:val="en-GB"/>
              </w:rPr>
              <w:t xml:space="preserve">-eq. emission </w:t>
            </w:r>
            <w:r>
              <w:rPr>
                <w:lang w:val="en-GB"/>
              </w:rPr>
              <w:t>Pump electricity</w:t>
            </w:r>
            <w:r w:rsidRPr="00196F7F">
              <w:rPr>
                <w:lang w:val="en-GB"/>
              </w:rPr>
              <w:t xml:space="preserve"> [ton]</w:t>
            </w:r>
          </w:p>
        </w:tc>
        <w:tc>
          <w:tcPr>
            <w:tcW w:w="1440" w:type="dxa"/>
            <w:noWrap/>
            <w:vAlign w:val="center"/>
          </w:tcPr>
          <w:p w14:paraId="7FC04920" w14:textId="77777777" w:rsidR="009D097D" w:rsidRPr="00196F7F" w:rsidRDefault="009D097D" w:rsidP="000F0F62">
            <w:pPr>
              <w:pStyle w:val="SWCText"/>
              <w:jc w:val="center"/>
              <w:rPr>
                <w:lang w:val="en-GB"/>
              </w:rPr>
            </w:pPr>
            <w:r>
              <w:rPr>
                <w:lang w:val="en-GB"/>
              </w:rPr>
              <w:t>7.5</w:t>
            </w:r>
          </w:p>
        </w:tc>
        <w:tc>
          <w:tcPr>
            <w:tcW w:w="1440" w:type="dxa"/>
            <w:noWrap/>
            <w:vAlign w:val="center"/>
          </w:tcPr>
          <w:p w14:paraId="0EC258C6" w14:textId="77777777" w:rsidR="009D097D" w:rsidRPr="00196F7F" w:rsidRDefault="009D097D" w:rsidP="000F0F62">
            <w:pPr>
              <w:pStyle w:val="SWCText"/>
              <w:jc w:val="center"/>
              <w:rPr>
                <w:lang w:val="en-GB"/>
              </w:rPr>
            </w:pPr>
            <w:r>
              <w:rPr>
                <w:lang w:val="en-GB"/>
              </w:rPr>
              <w:t>9.9</w:t>
            </w:r>
          </w:p>
        </w:tc>
        <w:tc>
          <w:tcPr>
            <w:tcW w:w="1440" w:type="dxa"/>
            <w:vAlign w:val="center"/>
          </w:tcPr>
          <w:p w14:paraId="50D4590E" w14:textId="77777777" w:rsidR="009D097D" w:rsidRDefault="009D097D" w:rsidP="000F0F62">
            <w:pPr>
              <w:pStyle w:val="SWCText"/>
              <w:jc w:val="center"/>
              <w:rPr>
                <w:lang w:val="en-GB"/>
              </w:rPr>
            </w:pPr>
            <w:r>
              <w:rPr>
                <w:lang w:val="en-GB"/>
              </w:rPr>
              <w:t>2.5</w:t>
            </w:r>
          </w:p>
        </w:tc>
        <w:tc>
          <w:tcPr>
            <w:tcW w:w="1440" w:type="dxa"/>
            <w:noWrap/>
            <w:vAlign w:val="center"/>
          </w:tcPr>
          <w:p w14:paraId="7D693F9B" w14:textId="77777777" w:rsidR="009D097D" w:rsidRPr="00196F7F" w:rsidRDefault="009D097D" w:rsidP="000F0F62">
            <w:pPr>
              <w:pStyle w:val="SWCText"/>
              <w:jc w:val="center"/>
              <w:rPr>
                <w:lang w:val="en-GB"/>
              </w:rPr>
            </w:pPr>
            <w:r>
              <w:rPr>
                <w:lang w:val="en-GB"/>
              </w:rPr>
              <w:t>+33.4%</w:t>
            </w:r>
          </w:p>
        </w:tc>
      </w:tr>
      <w:tr w:rsidR="009D097D" w:rsidRPr="005C5F5D" w14:paraId="07507BE0" w14:textId="77777777" w:rsidTr="000F0F62">
        <w:trPr>
          <w:trHeight w:val="300"/>
          <w:jc w:val="center"/>
        </w:trPr>
        <w:tc>
          <w:tcPr>
            <w:tcW w:w="3595" w:type="dxa"/>
            <w:noWrap/>
            <w:vAlign w:val="center"/>
            <w:hideMark/>
          </w:tcPr>
          <w:p w14:paraId="01E3152C" w14:textId="77777777" w:rsidR="009D097D" w:rsidRPr="00196F7F" w:rsidRDefault="009D097D" w:rsidP="000F0F62">
            <w:pPr>
              <w:pStyle w:val="SWCText"/>
              <w:jc w:val="center"/>
              <w:rPr>
                <w:lang w:val="en-GB"/>
              </w:rPr>
            </w:pPr>
            <w:r w:rsidRPr="00196F7F">
              <w:rPr>
                <w:lang w:val="en-GB"/>
              </w:rPr>
              <w:t>CO</w:t>
            </w:r>
            <w:r w:rsidRPr="00196F7F">
              <w:rPr>
                <w:vertAlign w:val="subscript"/>
                <w:lang w:val="en-GB"/>
              </w:rPr>
              <w:t>2</w:t>
            </w:r>
            <w:r w:rsidRPr="00196F7F">
              <w:rPr>
                <w:lang w:val="en-GB"/>
              </w:rPr>
              <w:t>-eq. emission overall [ton]</w:t>
            </w:r>
          </w:p>
        </w:tc>
        <w:tc>
          <w:tcPr>
            <w:tcW w:w="1440" w:type="dxa"/>
            <w:noWrap/>
            <w:vAlign w:val="center"/>
            <w:hideMark/>
          </w:tcPr>
          <w:p w14:paraId="7FAFE497" w14:textId="77777777" w:rsidR="009D097D" w:rsidRPr="00196F7F" w:rsidRDefault="009D097D" w:rsidP="000F0F62">
            <w:pPr>
              <w:pStyle w:val="SWCText"/>
              <w:jc w:val="center"/>
              <w:rPr>
                <w:lang w:val="en-GB"/>
              </w:rPr>
            </w:pPr>
            <w:r>
              <w:rPr>
                <w:lang w:val="en-GB"/>
              </w:rPr>
              <w:t>801</w:t>
            </w:r>
            <w:r w:rsidRPr="00196F7F">
              <w:rPr>
                <w:lang w:val="en-GB"/>
              </w:rPr>
              <w:t>.</w:t>
            </w:r>
            <w:r>
              <w:rPr>
                <w:lang w:val="en-GB"/>
              </w:rPr>
              <w:t>9</w:t>
            </w:r>
          </w:p>
        </w:tc>
        <w:tc>
          <w:tcPr>
            <w:tcW w:w="1440" w:type="dxa"/>
            <w:noWrap/>
            <w:vAlign w:val="center"/>
            <w:hideMark/>
          </w:tcPr>
          <w:p w14:paraId="19E16A20" w14:textId="77777777" w:rsidR="009D097D" w:rsidRPr="00196F7F" w:rsidRDefault="009D097D" w:rsidP="000F0F62">
            <w:pPr>
              <w:pStyle w:val="SWCText"/>
              <w:jc w:val="center"/>
              <w:rPr>
                <w:lang w:val="en-GB"/>
              </w:rPr>
            </w:pPr>
            <w:r w:rsidRPr="00196F7F">
              <w:rPr>
                <w:lang w:val="en-GB"/>
              </w:rPr>
              <w:t>6</w:t>
            </w:r>
            <w:r>
              <w:rPr>
                <w:lang w:val="en-GB"/>
              </w:rPr>
              <w:t>81</w:t>
            </w:r>
            <w:r w:rsidRPr="00196F7F">
              <w:rPr>
                <w:lang w:val="en-GB"/>
              </w:rPr>
              <w:t>.</w:t>
            </w:r>
            <w:r>
              <w:rPr>
                <w:lang w:val="en-GB"/>
              </w:rPr>
              <w:t>4</w:t>
            </w:r>
          </w:p>
        </w:tc>
        <w:tc>
          <w:tcPr>
            <w:tcW w:w="1440" w:type="dxa"/>
            <w:vAlign w:val="center"/>
          </w:tcPr>
          <w:p w14:paraId="77B0FC01" w14:textId="77777777" w:rsidR="009D097D" w:rsidRPr="00196F7F" w:rsidRDefault="009D097D" w:rsidP="000F0F62">
            <w:pPr>
              <w:pStyle w:val="SWCText"/>
              <w:jc w:val="center"/>
              <w:rPr>
                <w:lang w:val="en-GB"/>
              </w:rPr>
            </w:pPr>
            <w:r>
              <w:rPr>
                <w:lang w:val="en-GB"/>
              </w:rPr>
              <w:t>-120.5</w:t>
            </w:r>
          </w:p>
        </w:tc>
        <w:tc>
          <w:tcPr>
            <w:tcW w:w="1440" w:type="dxa"/>
            <w:noWrap/>
            <w:vAlign w:val="center"/>
            <w:hideMark/>
          </w:tcPr>
          <w:p w14:paraId="5BC09CE9" w14:textId="77777777" w:rsidR="009D097D" w:rsidRPr="00196F7F" w:rsidRDefault="009D097D" w:rsidP="000F0F62">
            <w:pPr>
              <w:pStyle w:val="SWCText"/>
              <w:jc w:val="center"/>
              <w:rPr>
                <w:lang w:val="en-GB"/>
              </w:rPr>
            </w:pPr>
            <w:r w:rsidRPr="00196F7F">
              <w:rPr>
                <w:lang w:val="en-GB"/>
              </w:rPr>
              <w:t>-15.</w:t>
            </w:r>
            <w:r>
              <w:rPr>
                <w:lang w:val="en-GB"/>
              </w:rPr>
              <w:t>0</w:t>
            </w:r>
            <w:r w:rsidRPr="00196F7F">
              <w:rPr>
                <w:lang w:val="en-GB"/>
              </w:rPr>
              <w:t>%</w:t>
            </w:r>
          </w:p>
        </w:tc>
      </w:tr>
      <w:tr w:rsidR="009D097D" w:rsidRPr="005C5F5D" w14:paraId="12D0DBD6" w14:textId="77777777" w:rsidTr="000F0F62">
        <w:trPr>
          <w:trHeight w:val="300"/>
          <w:jc w:val="center"/>
        </w:trPr>
        <w:tc>
          <w:tcPr>
            <w:tcW w:w="3595" w:type="dxa"/>
            <w:noWrap/>
            <w:vAlign w:val="center"/>
            <w:hideMark/>
          </w:tcPr>
          <w:p w14:paraId="35AD0310" w14:textId="77777777" w:rsidR="009D097D" w:rsidRPr="00196F7F" w:rsidRDefault="009D097D" w:rsidP="000F0F62">
            <w:pPr>
              <w:pStyle w:val="SWCText"/>
              <w:jc w:val="center"/>
              <w:rPr>
                <w:lang w:val="en-GB"/>
              </w:rPr>
            </w:pPr>
            <w:r w:rsidRPr="00196F7F">
              <w:rPr>
                <w:lang w:val="en-GB"/>
              </w:rPr>
              <w:t>Specific CO</w:t>
            </w:r>
            <w:r w:rsidRPr="00196F7F">
              <w:rPr>
                <w:vertAlign w:val="subscript"/>
                <w:lang w:val="en-GB"/>
              </w:rPr>
              <w:t>2</w:t>
            </w:r>
            <w:r w:rsidRPr="00196F7F">
              <w:rPr>
                <w:lang w:val="en-GB"/>
              </w:rPr>
              <w:t>-eq. emission [gCO</w:t>
            </w:r>
            <w:r w:rsidRPr="00196F7F">
              <w:rPr>
                <w:vertAlign w:val="subscript"/>
                <w:lang w:val="en-GB"/>
              </w:rPr>
              <w:t>2</w:t>
            </w:r>
            <w:r w:rsidRPr="00196F7F">
              <w:rPr>
                <w:lang w:val="en-GB"/>
              </w:rPr>
              <w:t>/</w:t>
            </w:r>
            <w:proofErr w:type="spellStart"/>
            <w:r w:rsidRPr="00196F7F">
              <w:rPr>
                <w:lang w:val="en-GB"/>
              </w:rPr>
              <w:t>kWh</w:t>
            </w:r>
            <w:r w:rsidRPr="00196F7F">
              <w:rPr>
                <w:vertAlign w:val="subscript"/>
                <w:lang w:val="en-GB"/>
              </w:rPr>
              <w:t>th</w:t>
            </w:r>
            <w:proofErr w:type="spellEnd"/>
            <w:r w:rsidRPr="00196F7F">
              <w:rPr>
                <w:lang w:val="en-GB"/>
              </w:rPr>
              <w:t>]</w:t>
            </w:r>
          </w:p>
        </w:tc>
        <w:tc>
          <w:tcPr>
            <w:tcW w:w="1440" w:type="dxa"/>
            <w:noWrap/>
            <w:vAlign w:val="center"/>
            <w:hideMark/>
          </w:tcPr>
          <w:p w14:paraId="495B499D" w14:textId="77777777" w:rsidR="009D097D" w:rsidRPr="00196F7F" w:rsidRDefault="009D097D" w:rsidP="000F0F62">
            <w:pPr>
              <w:pStyle w:val="SWCText"/>
              <w:jc w:val="center"/>
              <w:rPr>
                <w:lang w:val="en-GB"/>
              </w:rPr>
            </w:pPr>
            <w:r w:rsidRPr="00196F7F">
              <w:rPr>
                <w:lang w:val="en-GB"/>
              </w:rPr>
              <w:t>28.</w:t>
            </w:r>
            <w:r>
              <w:rPr>
                <w:lang w:val="en-GB"/>
              </w:rPr>
              <w:t>7</w:t>
            </w:r>
          </w:p>
        </w:tc>
        <w:tc>
          <w:tcPr>
            <w:tcW w:w="1440" w:type="dxa"/>
            <w:noWrap/>
            <w:vAlign w:val="center"/>
            <w:hideMark/>
          </w:tcPr>
          <w:p w14:paraId="4E23ECD8" w14:textId="77777777" w:rsidR="009D097D" w:rsidRPr="00196F7F" w:rsidRDefault="009D097D" w:rsidP="000F0F62">
            <w:pPr>
              <w:pStyle w:val="SWCText"/>
              <w:jc w:val="center"/>
              <w:rPr>
                <w:lang w:val="en-GB"/>
              </w:rPr>
            </w:pPr>
            <w:r w:rsidRPr="00196F7F">
              <w:rPr>
                <w:lang w:val="en-GB"/>
              </w:rPr>
              <w:t>24.</w:t>
            </w:r>
            <w:r>
              <w:rPr>
                <w:lang w:val="en-GB"/>
              </w:rPr>
              <w:t>5</w:t>
            </w:r>
          </w:p>
        </w:tc>
        <w:tc>
          <w:tcPr>
            <w:tcW w:w="1440" w:type="dxa"/>
            <w:vAlign w:val="center"/>
          </w:tcPr>
          <w:p w14:paraId="5341E805" w14:textId="77777777" w:rsidR="009D097D" w:rsidRPr="00196F7F" w:rsidRDefault="009D097D" w:rsidP="000F0F62">
            <w:pPr>
              <w:pStyle w:val="SWCText"/>
              <w:jc w:val="center"/>
              <w:rPr>
                <w:lang w:val="en-GB"/>
              </w:rPr>
            </w:pPr>
            <w:r>
              <w:rPr>
                <w:lang w:val="en-GB"/>
              </w:rPr>
              <w:t>-4.2</w:t>
            </w:r>
          </w:p>
        </w:tc>
        <w:tc>
          <w:tcPr>
            <w:tcW w:w="1440" w:type="dxa"/>
            <w:noWrap/>
            <w:vAlign w:val="center"/>
            <w:hideMark/>
          </w:tcPr>
          <w:p w14:paraId="226EE195" w14:textId="77777777" w:rsidR="009D097D" w:rsidRPr="00196F7F" w:rsidRDefault="009D097D" w:rsidP="000F0F62">
            <w:pPr>
              <w:pStyle w:val="SWCText"/>
              <w:jc w:val="center"/>
              <w:rPr>
                <w:lang w:val="en-GB"/>
              </w:rPr>
            </w:pPr>
            <w:r w:rsidRPr="00196F7F">
              <w:rPr>
                <w:lang w:val="en-GB"/>
              </w:rPr>
              <w:t>-1</w:t>
            </w:r>
            <w:r>
              <w:rPr>
                <w:lang w:val="en-GB"/>
              </w:rPr>
              <w:t>4</w:t>
            </w:r>
            <w:r w:rsidRPr="00196F7F">
              <w:rPr>
                <w:lang w:val="en-GB"/>
              </w:rPr>
              <w:t>.</w:t>
            </w:r>
            <w:r>
              <w:rPr>
                <w:lang w:val="en-GB"/>
              </w:rPr>
              <w:t>5</w:t>
            </w:r>
            <w:r w:rsidRPr="00196F7F">
              <w:rPr>
                <w:lang w:val="en-GB"/>
              </w:rPr>
              <w:t>%</w:t>
            </w:r>
          </w:p>
        </w:tc>
      </w:tr>
    </w:tbl>
    <w:p w14:paraId="718E57E3" w14:textId="77777777" w:rsidR="009D097D" w:rsidRPr="00196F7F" w:rsidRDefault="009D097D" w:rsidP="009D097D">
      <w:pPr>
        <w:pStyle w:val="SWCText"/>
        <w:rPr>
          <w:lang w:val="en-GB"/>
        </w:rPr>
      </w:pPr>
    </w:p>
    <w:p w14:paraId="7CCE93AD" w14:textId="0CCCBD72" w:rsidR="009D097D" w:rsidRPr="00196F7F" w:rsidRDefault="009D097D" w:rsidP="009D097D">
      <w:pPr>
        <w:pStyle w:val="SWCText"/>
        <w:rPr>
          <w:lang w:val="en-GB"/>
        </w:rPr>
      </w:pPr>
      <w:r w:rsidRPr="00196F7F">
        <w:rPr>
          <w:lang w:val="en-GB"/>
        </w:rPr>
        <w:t xml:space="preserve">In the Study case the </w:t>
      </w:r>
      <w:r w:rsidR="00DF1E16" w:rsidRPr="00196F7F">
        <w:rPr>
          <w:lang w:val="en-GB"/>
        </w:rPr>
        <w:t>CO</w:t>
      </w:r>
      <w:r w:rsidR="00DF1E16" w:rsidRPr="00196F7F">
        <w:rPr>
          <w:vertAlign w:val="subscript"/>
          <w:lang w:val="en-GB"/>
        </w:rPr>
        <w:t>2</w:t>
      </w:r>
      <w:r w:rsidRPr="00196F7F">
        <w:rPr>
          <w:lang w:val="en-GB"/>
        </w:rPr>
        <w:t xml:space="preserve">-eq. emission associated to the biomass CHP is decreased by 6.0% due to the accordingly lower use of the CHP compared to the Benchmark scenario (158.4 vs. 168.5 ton). Despite the higher heat production from the HP in the Study case, the </w:t>
      </w:r>
      <w:r w:rsidR="00DF1E16" w:rsidRPr="00196F7F">
        <w:rPr>
          <w:lang w:val="en-GB"/>
        </w:rPr>
        <w:t>CO</w:t>
      </w:r>
      <w:r w:rsidR="00DF1E16" w:rsidRPr="00196F7F">
        <w:rPr>
          <w:vertAlign w:val="subscript"/>
          <w:lang w:val="en-GB"/>
        </w:rPr>
        <w:t>2</w:t>
      </w:r>
      <w:r w:rsidRPr="00196F7F">
        <w:rPr>
          <w:lang w:val="en-GB"/>
        </w:rPr>
        <w:t xml:space="preserve">-eq. emission for the HP is reduced in the Study case by 19.0% (489.3 vs. 604.0 ton) thanks to the higher HP SPF (3.46 vs. 2.73). The </w:t>
      </w:r>
      <w:r>
        <w:rPr>
          <w:lang w:val="en-GB"/>
        </w:rPr>
        <w:t xml:space="preserve">total </w:t>
      </w:r>
      <w:r w:rsidR="00DF1E16" w:rsidRPr="00196F7F">
        <w:rPr>
          <w:lang w:val="en-GB"/>
        </w:rPr>
        <w:t>CO</w:t>
      </w:r>
      <w:r w:rsidR="00DF1E16" w:rsidRPr="00196F7F">
        <w:rPr>
          <w:vertAlign w:val="subscript"/>
          <w:lang w:val="en-GB"/>
        </w:rPr>
        <w:t>2</w:t>
      </w:r>
      <w:r w:rsidRPr="00196F7F">
        <w:rPr>
          <w:lang w:val="en-GB"/>
        </w:rPr>
        <w:t>-eq. emission for the</w:t>
      </w:r>
      <w:r>
        <w:rPr>
          <w:lang w:val="en-GB"/>
        </w:rPr>
        <w:t xml:space="preserve"> electric boiler</w:t>
      </w:r>
      <w:r w:rsidRPr="00196F7F">
        <w:rPr>
          <w:lang w:val="en-GB"/>
        </w:rPr>
        <w:t xml:space="preserve"> </w:t>
      </w:r>
      <w:r>
        <w:rPr>
          <w:lang w:val="en-GB"/>
        </w:rPr>
        <w:t>(</w:t>
      </w:r>
      <w:r w:rsidRPr="00196F7F">
        <w:rPr>
          <w:lang w:val="en-GB"/>
        </w:rPr>
        <w:t>P2H</w:t>
      </w:r>
      <w:r>
        <w:rPr>
          <w:lang w:val="en-GB"/>
        </w:rPr>
        <w:t>)</w:t>
      </w:r>
      <w:r w:rsidRPr="00196F7F">
        <w:rPr>
          <w:lang w:val="en-GB"/>
        </w:rPr>
        <w:t xml:space="preserve"> is low in comparison </w:t>
      </w:r>
      <w:r>
        <w:rPr>
          <w:lang w:val="en-GB"/>
        </w:rPr>
        <w:t>with</w:t>
      </w:r>
      <w:r w:rsidRPr="00196F7F">
        <w:rPr>
          <w:lang w:val="en-GB"/>
        </w:rPr>
        <w:t xml:space="preserve"> biomass CHP and HP in both scenarios (23.8 vs. 21.9 ton). </w:t>
      </w:r>
      <w:r>
        <w:rPr>
          <w:lang w:val="en-GB"/>
        </w:rPr>
        <w:t xml:space="preserve">The </w:t>
      </w:r>
      <w:r w:rsidR="00DF1E16" w:rsidRPr="00196F7F">
        <w:rPr>
          <w:lang w:val="en-GB"/>
        </w:rPr>
        <w:t>CO</w:t>
      </w:r>
      <w:r w:rsidR="00DF1E16" w:rsidRPr="00196F7F">
        <w:rPr>
          <w:vertAlign w:val="subscript"/>
          <w:lang w:val="en-GB"/>
        </w:rPr>
        <w:t>2</w:t>
      </w:r>
      <w:r w:rsidRPr="00196F7F">
        <w:rPr>
          <w:lang w:val="en-GB"/>
        </w:rPr>
        <w:t>-eq. emission</w:t>
      </w:r>
      <w:r>
        <w:rPr>
          <w:lang w:val="en-GB"/>
        </w:rPr>
        <w:t xml:space="preserve"> related to pump electricity is 33.4% higher in the Study case </w:t>
      </w:r>
      <w:r w:rsidRPr="00196F7F">
        <w:rPr>
          <w:lang w:val="en-GB"/>
        </w:rPr>
        <w:t>but th</w:t>
      </w:r>
      <w:r>
        <w:rPr>
          <w:lang w:val="en-GB"/>
        </w:rPr>
        <w:t>ey</w:t>
      </w:r>
      <w:r w:rsidRPr="00196F7F">
        <w:rPr>
          <w:lang w:val="en-GB"/>
        </w:rPr>
        <w:t xml:space="preserve"> account for a marginal part of the total </w:t>
      </w:r>
      <w:r>
        <w:rPr>
          <w:lang w:val="en-GB"/>
        </w:rPr>
        <w:t>emissions</w:t>
      </w:r>
      <w:r w:rsidRPr="00196F7F">
        <w:rPr>
          <w:lang w:val="en-GB"/>
        </w:rPr>
        <w:t xml:space="preserve"> of the system (</w:t>
      </w:r>
      <w:r>
        <w:rPr>
          <w:lang w:val="en-GB"/>
        </w:rPr>
        <w:t>9.9</w:t>
      </w:r>
      <w:r w:rsidRPr="00196F7F">
        <w:rPr>
          <w:lang w:val="en-GB"/>
        </w:rPr>
        <w:t xml:space="preserve"> vs. </w:t>
      </w:r>
      <w:r>
        <w:rPr>
          <w:lang w:val="en-GB"/>
        </w:rPr>
        <w:t>7.5</w:t>
      </w:r>
      <w:r w:rsidRPr="00196F7F">
        <w:rPr>
          <w:lang w:val="en-GB"/>
        </w:rPr>
        <w:t xml:space="preserve"> </w:t>
      </w:r>
      <w:r>
        <w:rPr>
          <w:lang w:val="en-GB"/>
        </w:rPr>
        <w:t>ton</w:t>
      </w:r>
      <w:r w:rsidRPr="00196F7F">
        <w:rPr>
          <w:lang w:val="en-GB"/>
        </w:rPr>
        <w:t>)</w:t>
      </w:r>
    </w:p>
    <w:p w14:paraId="61EA062F" w14:textId="00A74F68" w:rsidR="009D097D" w:rsidRPr="00196F7F" w:rsidRDefault="009D097D" w:rsidP="00982FBD">
      <w:pPr>
        <w:pStyle w:val="SWCText"/>
        <w:rPr>
          <w:lang w:val="en-GB"/>
        </w:rPr>
      </w:pPr>
      <w:r w:rsidRPr="00196F7F">
        <w:rPr>
          <w:lang w:val="en-GB"/>
        </w:rPr>
        <w:t xml:space="preserve">The overall </w:t>
      </w:r>
      <w:r w:rsidR="00DF1E16" w:rsidRPr="00196F7F">
        <w:rPr>
          <w:lang w:val="en-GB"/>
        </w:rPr>
        <w:t>CO</w:t>
      </w:r>
      <w:r w:rsidR="00DF1E16" w:rsidRPr="00196F7F">
        <w:rPr>
          <w:vertAlign w:val="subscript"/>
          <w:lang w:val="en-GB"/>
        </w:rPr>
        <w:t>2</w:t>
      </w:r>
      <w:r w:rsidRPr="00196F7F">
        <w:rPr>
          <w:lang w:val="en-GB"/>
        </w:rPr>
        <w:t>-eq. emission</w:t>
      </w:r>
      <w:r w:rsidR="006227E9">
        <w:rPr>
          <w:lang w:val="en-GB"/>
        </w:rPr>
        <w:t>, calculated as the sum of all single contributions,</w:t>
      </w:r>
      <w:r w:rsidRPr="00196F7F">
        <w:rPr>
          <w:lang w:val="en-GB"/>
        </w:rPr>
        <w:t xml:space="preserve"> is 15.</w:t>
      </w:r>
      <w:r>
        <w:rPr>
          <w:lang w:val="en-GB"/>
        </w:rPr>
        <w:t>0</w:t>
      </w:r>
      <w:r w:rsidRPr="00196F7F">
        <w:rPr>
          <w:lang w:val="en-GB"/>
        </w:rPr>
        <w:t>% lower in the Study case scenario compared to the Benchmark scenario (6</w:t>
      </w:r>
      <w:r>
        <w:rPr>
          <w:lang w:val="en-GB"/>
        </w:rPr>
        <w:t>8</w:t>
      </w:r>
      <w:r w:rsidRPr="00196F7F">
        <w:rPr>
          <w:lang w:val="en-GB"/>
        </w:rPr>
        <w:t xml:space="preserve">1.4 vs. </w:t>
      </w:r>
      <w:r>
        <w:rPr>
          <w:lang w:val="en-GB"/>
        </w:rPr>
        <w:t>801</w:t>
      </w:r>
      <w:r w:rsidRPr="00196F7F">
        <w:rPr>
          <w:lang w:val="en-GB"/>
        </w:rPr>
        <w:t>.</w:t>
      </w:r>
      <w:r>
        <w:rPr>
          <w:lang w:val="en-GB"/>
        </w:rPr>
        <w:t>9</w:t>
      </w:r>
      <w:r w:rsidRPr="00196F7F">
        <w:rPr>
          <w:lang w:val="en-GB"/>
        </w:rPr>
        <w:t xml:space="preserve"> ton). The specific </w:t>
      </w:r>
      <w:r w:rsidR="00DF1E16" w:rsidRPr="00196F7F">
        <w:rPr>
          <w:lang w:val="en-GB"/>
        </w:rPr>
        <w:t>CO</w:t>
      </w:r>
      <w:r w:rsidR="00DF1E16" w:rsidRPr="00196F7F">
        <w:rPr>
          <w:vertAlign w:val="subscript"/>
          <w:lang w:val="en-GB"/>
        </w:rPr>
        <w:t>2</w:t>
      </w:r>
      <w:r w:rsidRPr="00196F7F">
        <w:rPr>
          <w:lang w:val="en-GB"/>
        </w:rPr>
        <w:t xml:space="preserve">-eq. emission is calculated by dividing the overall emission for the total heat production in both scenarios. The percentage reduction of specific </w:t>
      </w:r>
      <w:r w:rsidR="00DF1E16" w:rsidRPr="00196F7F">
        <w:rPr>
          <w:lang w:val="en-GB"/>
        </w:rPr>
        <w:t>CO</w:t>
      </w:r>
      <w:r w:rsidR="00DF1E16" w:rsidRPr="00196F7F">
        <w:rPr>
          <w:vertAlign w:val="subscript"/>
          <w:lang w:val="en-GB"/>
        </w:rPr>
        <w:t>2</w:t>
      </w:r>
      <w:r w:rsidRPr="00196F7F">
        <w:rPr>
          <w:lang w:val="en-GB"/>
        </w:rPr>
        <w:t>-eq. emission in the Study case scenario (-1</w:t>
      </w:r>
      <w:r>
        <w:rPr>
          <w:lang w:val="en-GB"/>
        </w:rPr>
        <w:t>4</w:t>
      </w:r>
      <w:r w:rsidRPr="00196F7F">
        <w:rPr>
          <w:lang w:val="en-GB"/>
        </w:rPr>
        <w:t>.</w:t>
      </w:r>
      <w:r>
        <w:rPr>
          <w:lang w:val="en-GB"/>
        </w:rPr>
        <w:t>5</w:t>
      </w:r>
      <w:r w:rsidRPr="00196F7F">
        <w:rPr>
          <w:lang w:val="en-GB"/>
        </w:rPr>
        <w:t>%) is slightly lower than the percentage reduction of overall emission (-15.</w:t>
      </w:r>
      <w:r>
        <w:rPr>
          <w:lang w:val="en-GB"/>
        </w:rPr>
        <w:t>0</w:t>
      </w:r>
      <w:r w:rsidRPr="00196F7F">
        <w:rPr>
          <w:lang w:val="en-GB"/>
        </w:rPr>
        <w:t>%) due to the slightly lower heat production in the Study case scenario compared to the Benchmark (due to slightly lower heat losses in the network).</w:t>
      </w:r>
    </w:p>
    <w:p w14:paraId="5723B7AB" w14:textId="1A03A154" w:rsidR="000F2A17" w:rsidRPr="00196F7F" w:rsidRDefault="00982FBD" w:rsidP="00982FBD">
      <w:pPr>
        <w:pStyle w:val="SWCText"/>
        <w:rPr>
          <w:lang w:val="en-GB"/>
        </w:rPr>
      </w:pPr>
      <w:r w:rsidRPr="00196F7F">
        <w:rPr>
          <w:lang w:val="en-GB"/>
        </w:rPr>
        <w:t xml:space="preserve">Table </w:t>
      </w:r>
      <w:r w:rsidR="009D097D">
        <w:rPr>
          <w:lang w:val="en-GB"/>
        </w:rPr>
        <w:t>3</w:t>
      </w:r>
      <w:r w:rsidRPr="00196F7F">
        <w:rPr>
          <w:lang w:val="en-GB"/>
        </w:rPr>
        <w:t xml:space="preserve"> reports the annual economic KPIs in thousands of euros </w:t>
      </w:r>
      <w:r w:rsidR="005C2729">
        <w:rPr>
          <w:lang w:val="en-GB"/>
        </w:rPr>
        <w:t>[</w:t>
      </w:r>
      <w:proofErr w:type="spellStart"/>
      <w:r w:rsidRPr="00196F7F">
        <w:rPr>
          <w:lang w:val="en-GB"/>
        </w:rPr>
        <w:t>k</w:t>
      </w:r>
      <w:r w:rsidR="00735610">
        <w:rPr>
          <w:lang w:val="en-GB"/>
        </w:rPr>
        <w:t>EUR</w:t>
      </w:r>
      <w:proofErr w:type="spellEnd"/>
      <w:r w:rsidR="005C2729">
        <w:rPr>
          <w:lang w:val="en-GB"/>
        </w:rPr>
        <w:t>]</w:t>
      </w:r>
      <w:r w:rsidRPr="00196F7F">
        <w:rPr>
          <w:lang w:val="en-GB"/>
        </w:rPr>
        <w:t xml:space="preserve"> for both the Benchmark (second column) and the Study case (third column), </w:t>
      </w:r>
      <w:r w:rsidR="007528D4" w:rsidRPr="00196F7F">
        <w:rPr>
          <w:lang w:val="en-GB"/>
        </w:rPr>
        <w:t xml:space="preserve">together with </w:t>
      </w:r>
      <w:r w:rsidR="009D097D">
        <w:rPr>
          <w:lang w:val="en-GB"/>
        </w:rPr>
        <w:t>the</w:t>
      </w:r>
      <w:r w:rsidR="007528D4">
        <w:rPr>
          <w:lang w:val="en-GB"/>
        </w:rPr>
        <w:t xml:space="preserve"> absolute and</w:t>
      </w:r>
      <w:r w:rsidR="007528D4" w:rsidRPr="00196F7F">
        <w:rPr>
          <w:lang w:val="en-GB"/>
        </w:rPr>
        <w:t xml:space="preserve"> percentage variation for each KPI between </w:t>
      </w:r>
      <w:r w:rsidR="007528D4" w:rsidRPr="00196F7F">
        <w:rPr>
          <w:lang w:val="en-GB"/>
        </w:rPr>
        <w:lastRenderedPageBreak/>
        <w:t xml:space="preserve">Benchmark and Study case (fourth </w:t>
      </w:r>
      <w:r w:rsidR="007528D4">
        <w:rPr>
          <w:lang w:val="en-GB"/>
        </w:rPr>
        <w:t xml:space="preserve">and fifth </w:t>
      </w:r>
      <w:r w:rsidR="007528D4" w:rsidRPr="00196F7F">
        <w:rPr>
          <w:lang w:val="en-GB"/>
        </w:rPr>
        <w:t>column)</w:t>
      </w:r>
      <w:r w:rsidRPr="00196F7F">
        <w:rPr>
          <w:lang w:val="en-GB"/>
        </w:rPr>
        <w:t>.</w:t>
      </w:r>
    </w:p>
    <w:p w14:paraId="5460E9BB" w14:textId="1F748BB2" w:rsidR="00982FBD" w:rsidRPr="00196F7F" w:rsidRDefault="00982FBD" w:rsidP="00DE43D6">
      <w:pPr>
        <w:pStyle w:val="SWCTableFigureCaption"/>
        <w:rPr>
          <w:lang w:val="en-GB"/>
        </w:rPr>
      </w:pPr>
      <w:bookmarkStart w:id="4" w:name="_Hlk237596108"/>
      <w:bookmarkStart w:id="5" w:name="_Hlk237596069"/>
      <w:r w:rsidRPr="00196F7F">
        <w:rPr>
          <w:lang w:val="en-GB"/>
        </w:rPr>
        <w:t xml:space="preserve">Tab. </w:t>
      </w:r>
      <w:r w:rsidR="009D097D">
        <w:rPr>
          <w:lang w:val="en-GB"/>
        </w:rPr>
        <w:t>3</w:t>
      </w:r>
      <w:r w:rsidRPr="00196F7F">
        <w:rPr>
          <w:lang w:val="en-GB"/>
        </w:rPr>
        <w:t>: Annual economic KPIs</w:t>
      </w:r>
      <w:r w:rsidR="00020584">
        <w:rPr>
          <w:lang w:val="en-GB"/>
        </w:rPr>
        <w:t xml:space="preserve"> (OPEX)</w:t>
      </w:r>
      <w:r w:rsidRPr="00196F7F">
        <w:rPr>
          <w:lang w:val="en-GB"/>
        </w:rPr>
        <w:t xml:space="preserve"> </w:t>
      </w:r>
      <w:r w:rsidR="00ED575A">
        <w:rPr>
          <w:lang w:val="en-GB"/>
        </w:rPr>
        <w:t>in thousands of euros [</w:t>
      </w:r>
      <w:proofErr w:type="spellStart"/>
      <w:r w:rsidR="00ED575A">
        <w:rPr>
          <w:lang w:val="en-GB"/>
        </w:rPr>
        <w:t>k</w:t>
      </w:r>
      <w:r w:rsidR="00735610">
        <w:rPr>
          <w:lang w:val="en-GB"/>
        </w:rPr>
        <w:t>EUR</w:t>
      </w:r>
      <w:proofErr w:type="spellEnd"/>
      <w:r w:rsidR="00ED575A">
        <w:rPr>
          <w:lang w:val="en-GB"/>
        </w:rPr>
        <w:t>] for the B</w:t>
      </w:r>
      <w:r w:rsidRPr="00196F7F">
        <w:rPr>
          <w:lang w:val="en-GB"/>
        </w:rPr>
        <w:t>enchmark and Study case scenarios</w:t>
      </w:r>
      <w:r w:rsidR="00ED575A">
        <w:rPr>
          <w:lang w:val="en-GB"/>
        </w:rPr>
        <w:t>, with absolute variation and percentage variation relative to the Benchmark.</w:t>
      </w:r>
    </w:p>
    <w:tbl>
      <w:tblPr>
        <w:tblStyle w:val="TableGrid"/>
        <w:tblW w:w="9360" w:type="dxa"/>
        <w:jc w:val="center"/>
        <w:tblLook w:val="01E0" w:firstRow="1" w:lastRow="1" w:firstColumn="1" w:lastColumn="1" w:noHBand="0" w:noVBand="0"/>
      </w:tblPr>
      <w:tblGrid>
        <w:gridCol w:w="3024"/>
        <w:gridCol w:w="1584"/>
        <w:gridCol w:w="1584"/>
        <w:gridCol w:w="1584"/>
        <w:gridCol w:w="1584"/>
      </w:tblGrid>
      <w:tr w:rsidR="00376971" w:rsidRPr="005C5F5D" w14:paraId="510287F7" w14:textId="77777777" w:rsidTr="007005F5">
        <w:trPr>
          <w:trHeight w:val="259"/>
          <w:jc w:val="center"/>
        </w:trPr>
        <w:tc>
          <w:tcPr>
            <w:tcW w:w="3024" w:type="dxa"/>
            <w:tcBorders>
              <w:top w:val="single" w:sz="4" w:space="0" w:color="auto"/>
              <w:left w:val="single" w:sz="4" w:space="0" w:color="auto"/>
              <w:bottom w:val="single" w:sz="4" w:space="0" w:color="auto"/>
              <w:right w:val="single" w:sz="4" w:space="0" w:color="auto"/>
            </w:tcBorders>
            <w:vAlign w:val="center"/>
            <w:hideMark/>
          </w:tcPr>
          <w:p w14:paraId="24F39795" w14:textId="77777777" w:rsidR="00376971" w:rsidRPr="005C5F5D" w:rsidRDefault="00376971" w:rsidP="00035259">
            <w:pPr>
              <w:pStyle w:val="SWCTableHeader"/>
            </w:pPr>
            <w:bookmarkStart w:id="6" w:name="_Hlk237596083"/>
            <w:bookmarkEnd w:id="4"/>
            <w:r w:rsidRPr="005C5F5D">
              <w:t>KPI</w:t>
            </w:r>
          </w:p>
        </w:tc>
        <w:tc>
          <w:tcPr>
            <w:tcW w:w="1584" w:type="dxa"/>
            <w:tcBorders>
              <w:top w:val="single" w:sz="4" w:space="0" w:color="auto"/>
              <w:left w:val="single" w:sz="4" w:space="0" w:color="auto"/>
              <w:bottom w:val="single" w:sz="4" w:space="0" w:color="auto"/>
              <w:right w:val="single" w:sz="4" w:space="0" w:color="auto"/>
            </w:tcBorders>
            <w:vAlign w:val="center"/>
            <w:hideMark/>
          </w:tcPr>
          <w:p w14:paraId="300AF124" w14:textId="77777777" w:rsidR="00376971" w:rsidRPr="005C5F5D" w:rsidRDefault="00376971" w:rsidP="00035259">
            <w:pPr>
              <w:pStyle w:val="SWCTableHeader"/>
            </w:pPr>
            <w:r w:rsidRPr="005C5F5D">
              <w:t>Benchmark</w:t>
            </w:r>
          </w:p>
        </w:tc>
        <w:tc>
          <w:tcPr>
            <w:tcW w:w="1584" w:type="dxa"/>
            <w:tcBorders>
              <w:top w:val="single" w:sz="4" w:space="0" w:color="auto"/>
              <w:left w:val="single" w:sz="4" w:space="0" w:color="auto"/>
              <w:bottom w:val="single" w:sz="4" w:space="0" w:color="auto"/>
              <w:right w:val="single" w:sz="4" w:space="0" w:color="auto"/>
            </w:tcBorders>
            <w:vAlign w:val="center"/>
            <w:hideMark/>
          </w:tcPr>
          <w:p w14:paraId="2ED1CCE5" w14:textId="08A480F5" w:rsidR="00376971" w:rsidRPr="005C5F5D" w:rsidRDefault="00376971" w:rsidP="00035259">
            <w:pPr>
              <w:pStyle w:val="SWCTableHeader"/>
            </w:pPr>
            <w:r w:rsidRPr="005C5F5D">
              <w:t>Study</w:t>
            </w:r>
            <w:r w:rsidR="00FA7CF0">
              <w:t xml:space="preserve"> </w:t>
            </w:r>
            <w:r w:rsidRPr="005C5F5D">
              <w:t>case</w:t>
            </w:r>
          </w:p>
        </w:tc>
        <w:tc>
          <w:tcPr>
            <w:tcW w:w="1584" w:type="dxa"/>
            <w:tcBorders>
              <w:top w:val="single" w:sz="4" w:space="0" w:color="auto"/>
              <w:left w:val="single" w:sz="4" w:space="0" w:color="auto"/>
              <w:bottom w:val="single" w:sz="4" w:space="0" w:color="auto"/>
              <w:right w:val="single" w:sz="4" w:space="0" w:color="auto"/>
            </w:tcBorders>
            <w:vAlign w:val="center"/>
          </w:tcPr>
          <w:p w14:paraId="32391696" w14:textId="1A8F92B2" w:rsidR="00376971" w:rsidRPr="005C5F5D" w:rsidRDefault="00376971" w:rsidP="00376971">
            <w:pPr>
              <w:pStyle w:val="SWCTableHeader"/>
            </w:pPr>
            <w:r>
              <w:t>Absolute Variation</w:t>
            </w:r>
          </w:p>
        </w:tc>
        <w:tc>
          <w:tcPr>
            <w:tcW w:w="1584" w:type="dxa"/>
            <w:tcBorders>
              <w:top w:val="single" w:sz="4" w:space="0" w:color="auto"/>
              <w:left w:val="single" w:sz="4" w:space="0" w:color="auto"/>
              <w:bottom w:val="single" w:sz="4" w:space="0" w:color="auto"/>
              <w:right w:val="single" w:sz="4" w:space="0" w:color="auto"/>
            </w:tcBorders>
            <w:vAlign w:val="center"/>
          </w:tcPr>
          <w:p w14:paraId="41AE265D" w14:textId="6E1B8E90" w:rsidR="00376971" w:rsidRPr="005C5F5D" w:rsidRDefault="00376971" w:rsidP="00035259">
            <w:pPr>
              <w:pStyle w:val="SWCTableHeader"/>
            </w:pPr>
            <w:r w:rsidRPr="005C5F5D">
              <w:t>Percentage Variation</w:t>
            </w:r>
          </w:p>
        </w:tc>
      </w:tr>
      <w:tr w:rsidR="00376971" w:rsidRPr="005C5F5D" w14:paraId="575F34AF" w14:textId="77777777" w:rsidTr="007005F5">
        <w:tblPrEx>
          <w:jc w:val="left"/>
          <w:tblLook w:val="04A0" w:firstRow="1" w:lastRow="0" w:firstColumn="1" w:lastColumn="0" w:noHBand="0" w:noVBand="1"/>
        </w:tblPrEx>
        <w:trPr>
          <w:trHeight w:val="259"/>
        </w:trPr>
        <w:tc>
          <w:tcPr>
            <w:tcW w:w="3024" w:type="dxa"/>
            <w:noWrap/>
            <w:vAlign w:val="center"/>
            <w:hideMark/>
          </w:tcPr>
          <w:p w14:paraId="6926E1D3" w14:textId="499A824C" w:rsidR="00376971" w:rsidRPr="00196F7F" w:rsidRDefault="00376971" w:rsidP="00196F7F">
            <w:pPr>
              <w:pStyle w:val="SWCText"/>
              <w:jc w:val="center"/>
              <w:rPr>
                <w:lang w:val="en-GB"/>
              </w:rPr>
            </w:pPr>
            <w:r w:rsidRPr="00196F7F">
              <w:rPr>
                <w:lang w:val="en-GB"/>
              </w:rPr>
              <w:t>Cost of heat Biomass CHP [</w:t>
            </w:r>
            <w:proofErr w:type="spellStart"/>
            <w:r w:rsidRPr="00196F7F">
              <w:rPr>
                <w:lang w:val="en-GB"/>
              </w:rPr>
              <w:t>k</w:t>
            </w:r>
            <w:r w:rsidR="00735610">
              <w:rPr>
                <w:lang w:val="en-GB"/>
              </w:rPr>
              <w:t>EUR</w:t>
            </w:r>
            <w:proofErr w:type="spellEnd"/>
            <w:r w:rsidRPr="00196F7F">
              <w:rPr>
                <w:lang w:val="en-GB"/>
              </w:rPr>
              <w:t>]</w:t>
            </w:r>
          </w:p>
        </w:tc>
        <w:tc>
          <w:tcPr>
            <w:tcW w:w="1584" w:type="dxa"/>
            <w:noWrap/>
            <w:vAlign w:val="center"/>
            <w:hideMark/>
          </w:tcPr>
          <w:p w14:paraId="13B2465A" w14:textId="77777777" w:rsidR="00376971" w:rsidRPr="00196F7F" w:rsidRDefault="00376971" w:rsidP="00196F7F">
            <w:pPr>
              <w:pStyle w:val="SWCText"/>
              <w:jc w:val="center"/>
              <w:rPr>
                <w:lang w:val="en-GB"/>
              </w:rPr>
            </w:pPr>
            <w:r w:rsidRPr="00196F7F">
              <w:rPr>
                <w:lang w:val="en-GB"/>
              </w:rPr>
              <w:t>770</w:t>
            </w:r>
          </w:p>
        </w:tc>
        <w:tc>
          <w:tcPr>
            <w:tcW w:w="1584" w:type="dxa"/>
            <w:noWrap/>
            <w:vAlign w:val="center"/>
            <w:hideMark/>
          </w:tcPr>
          <w:p w14:paraId="3941B759" w14:textId="77777777" w:rsidR="00376971" w:rsidRPr="00196F7F" w:rsidRDefault="00376971" w:rsidP="00196F7F">
            <w:pPr>
              <w:pStyle w:val="SWCText"/>
              <w:jc w:val="center"/>
              <w:rPr>
                <w:lang w:val="en-GB"/>
              </w:rPr>
            </w:pPr>
            <w:r w:rsidRPr="00196F7F">
              <w:rPr>
                <w:lang w:val="en-GB"/>
              </w:rPr>
              <w:t>723</w:t>
            </w:r>
          </w:p>
        </w:tc>
        <w:tc>
          <w:tcPr>
            <w:tcW w:w="1584" w:type="dxa"/>
            <w:vAlign w:val="center"/>
          </w:tcPr>
          <w:p w14:paraId="306F3B78" w14:textId="5D96E2CC" w:rsidR="00376971" w:rsidRPr="00196F7F" w:rsidRDefault="00D579D5" w:rsidP="00376971">
            <w:pPr>
              <w:pStyle w:val="SWCText"/>
              <w:jc w:val="center"/>
              <w:rPr>
                <w:lang w:val="en-GB"/>
              </w:rPr>
            </w:pPr>
            <w:r>
              <w:rPr>
                <w:lang w:val="en-GB"/>
              </w:rPr>
              <w:t>-47</w:t>
            </w:r>
          </w:p>
        </w:tc>
        <w:tc>
          <w:tcPr>
            <w:tcW w:w="1584" w:type="dxa"/>
            <w:noWrap/>
            <w:vAlign w:val="center"/>
            <w:hideMark/>
          </w:tcPr>
          <w:p w14:paraId="2923A434" w14:textId="53243E1A" w:rsidR="00376971" w:rsidRPr="00196F7F" w:rsidRDefault="00376971" w:rsidP="00196F7F">
            <w:pPr>
              <w:pStyle w:val="SWCText"/>
              <w:jc w:val="center"/>
              <w:rPr>
                <w:lang w:val="en-GB"/>
              </w:rPr>
            </w:pPr>
            <w:r w:rsidRPr="00196F7F">
              <w:rPr>
                <w:lang w:val="en-GB"/>
              </w:rPr>
              <w:t>-6.0%</w:t>
            </w:r>
          </w:p>
        </w:tc>
      </w:tr>
      <w:tr w:rsidR="00376971" w:rsidRPr="005C5F5D" w14:paraId="60FDFAF0" w14:textId="77777777" w:rsidTr="007005F5">
        <w:tblPrEx>
          <w:jc w:val="left"/>
          <w:tblLook w:val="04A0" w:firstRow="1" w:lastRow="0" w:firstColumn="1" w:lastColumn="0" w:noHBand="0" w:noVBand="1"/>
        </w:tblPrEx>
        <w:trPr>
          <w:trHeight w:val="259"/>
        </w:trPr>
        <w:tc>
          <w:tcPr>
            <w:tcW w:w="3024" w:type="dxa"/>
            <w:noWrap/>
            <w:vAlign w:val="center"/>
            <w:hideMark/>
          </w:tcPr>
          <w:p w14:paraId="7A74F696" w14:textId="66D401FB" w:rsidR="00376971" w:rsidRPr="00196F7F" w:rsidRDefault="00376971" w:rsidP="00196F7F">
            <w:pPr>
              <w:pStyle w:val="SWCText"/>
              <w:jc w:val="center"/>
              <w:rPr>
                <w:lang w:val="en-GB"/>
              </w:rPr>
            </w:pPr>
            <w:r w:rsidRPr="00196F7F">
              <w:rPr>
                <w:lang w:val="en-GB"/>
              </w:rPr>
              <w:t>Cost of heat HP [</w:t>
            </w:r>
            <w:proofErr w:type="spellStart"/>
            <w:r w:rsidRPr="00196F7F">
              <w:rPr>
                <w:lang w:val="en-GB"/>
              </w:rPr>
              <w:t>k</w:t>
            </w:r>
            <w:r w:rsidR="00735610">
              <w:rPr>
                <w:lang w:val="en-GB"/>
              </w:rPr>
              <w:t>EUR</w:t>
            </w:r>
            <w:proofErr w:type="spellEnd"/>
            <w:r w:rsidRPr="00196F7F">
              <w:rPr>
                <w:lang w:val="en-GB"/>
              </w:rPr>
              <w:t>]</w:t>
            </w:r>
          </w:p>
        </w:tc>
        <w:tc>
          <w:tcPr>
            <w:tcW w:w="1584" w:type="dxa"/>
            <w:noWrap/>
            <w:vAlign w:val="center"/>
            <w:hideMark/>
          </w:tcPr>
          <w:p w14:paraId="7424D099" w14:textId="77777777" w:rsidR="00376971" w:rsidRPr="00196F7F" w:rsidRDefault="00376971" w:rsidP="00196F7F">
            <w:pPr>
              <w:pStyle w:val="SWCText"/>
              <w:jc w:val="center"/>
              <w:rPr>
                <w:lang w:val="en-GB"/>
              </w:rPr>
            </w:pPr>
            <w:r w:rsidRPr="00196F7F">
              <w:rPr>
                <w:lang w:val="en-GB"/>
              </w:rPr>
              <w:t>813</w:t>
            </w:r>
          </w:p>
        </w:tc>
        <w:tc>
          <w:tcPr>
            <w:tcW w:w="1584" w:type="dxa"/>
            <w:noWrap/>
            <w:vAlign w:val="center"/>
            <w:hideMark/>
          </w:tcPr>
          <w:p w14:paraId="43638461" w14:textId="77777777" w:rsidR="00376971" w:rsidRPr="00196F7F" w:rsidRDefault="00376971" w:rsidP="00196F7F">
            <w:pPr>
              <w:pStyle w:val="SWCText"/>
              <w:jc w:val="center"/>
              <w:rPr>
                <w:lang w:val="en-GB"/>
              </w:rPr>
            </w:pPr>
            <w:r w:rsidRPr="00196F7F">
              <w:rPr>
                <w:lang w:val="en-GB"/>
              </w:rPr>
              <w:t>669</w:t>
            </w:r>
          </w:p>
        </w:tc>
        <w:tc>
          <w:tcPr>
            <w:tcW w:w="1584" w:type="dxa"/>
            <w:vAlign w:val="center"/>
          </w:tcPr>
          <w:p w14:paraId="33C7A884" w14:textId="0EF07427" w:rsidR="00376971" w:rsidRPr="00196F7F" w:rsidRDefault="00D579D5" w:rsidP="00376971">
            <w:pPr>
              <w:pStyle w:val="SWCText"/>
              <w:jc w:val="center"/>
              <w:rPr>
                <w:lang w:val="en-GB"/>
              </w:rPr>
            </w:pPr>
            <w:r>
              <w:rPr>
                <w:lang w:val="en-GB"/>
              </w:rPr>
              <w:t>-144</w:t>
            </w:r>
          </w:p>
        </w:tc>
        <w:tc>
          <w:tcPr>
            <w:tcW w:w="1584" w:type="dxa"/>
            <w:noWrap/>
            <w:vAlign w:val="center"/>
            <w:hideMark/>
          </w:tcPr>
          <w:p w14:paraId="5BDA4E62" w14:textId="36494422" w:rsidR="00376971" w:rsidRPr="00196F7F" w:rsidRDefault="00376971" w:rsidP="00196F7F">
            <w:pPr>
              <w:pStyle w:val="SWCText"/>
              <w:jc w:val="center"/>
              <w:rPr>
                <w:lang w:val="en-GB"/>
              </w:rPr>
            </w:pPr>
            <w:r w:rsidRPr="00196F7F">
              <w:rPr>
                <w:lang w:val="en-GB"/>
              </w:rPr>
              <w:t>-17.7%</w:t>
            </w:r>
          </w:p>
        </w:tc>
      </w:tr>
      <w:tr w:rsidR="00376971" w:rsidRPr="005C5F5D" w14:paraId="72E59726" w14:textId="77777777" w:rsidTr="007005F5">
        <w:tblPrEx>
          <w:jc w:val="left"/>
          <w:tblLook w:val="04A0" w:firstRow="1" w:lastRow="0" w:firstColumn="1" w:lastColumn="0" w:noHBand="0" w:noVBand="1"/>
        </w:tblPrEx>
        <w:trPr>
          <w:trHeight w:val="259"/>
        </w:trPr>
        <w:tc>
          <w:tcPr>
            <w:tcW w:w="3024" w:type="dxa"/>
            <w:noWrap/>
            <w:vAlign w:val="center"/>
            <w:hideMark/>
          </w:tcPr>
          <w:p w14:paraId="0A90B443" w14:textId="7DCB12FB" w:rsidR="00376971" w:rsidRPr="00196F7F" w:rsidRDefault="00376971" w:rsidP="00196F7F">
            <w:pPr>
              <w:pStyle w:val="SWCText"/>
              <w:jc w:val="center"/>
              <w:rPr>
                <w:lang w:val="en-GB"/>
              </w:rPr>
            </w:pPr>
            <w:r w:rsidRPr="00196F7F">
              <w:rPr>
                <w:lang w:val="en-GB"/>
              </w:rPr>
              <w:t>Cost of heat P2H [</w:t>
            </w:r>
            <w:proofErr w:type="spellStart"/>
            <w:r w:rsidRPr="00196F7F">
              <w:rPr>
                <w:lang w:val="en-GB"/>
              </w:rPr>
              <w:t>k</w:t>
            </w:r>
            <w:r w:rsidR="00735610">
              <w:rPr>
                <w:lang w:val="en-GB"/>
              </w:rPr>
              <w:t>EUR</w:t>
            </w:r>
            <w:proofErr w:type="spellEnd"/>
            <w:r w:rsidRPr="00196F7F">
              <w:rPr>
                <w:lang w:val="en-GB"/>
              </w:rPr>
              <w:t>]</w:t>
            </w:r>
          </w:p>
        </w:tc>
        <w:tc>
          <w:tcPr>
            <w:tcW w:w="1584" w:type="dxa"/>
            <w:noWrap/>
            <w:vAlign w:val="center"/>
            <w:hideMark/>
          </w:tcPr>
          <w:p w14:paraId="6C603778" w14:textId="77777777" w:rsidR="00376971" w:rsidRPr="00196F7F" w:rsidRDefault="00376971" w:rsidP="00196F7F">
            <w:pPr>
              <w:pStyle w:val="SWCText"/>
              <w:jc w:val="center"/>
              <w:rPr>
                <w:lang w:val="en-GB"/>
              </w:rPr>
            </w:pPr>
            <w:r w:rsidRPr="00196F7F">
              <w:rPr>
                <w:lang w:val="en-GB"/>
              </w:rPr>
              <w:t>46.2</w:t>
            </w:r>
          </w:p>
        </w:tc>
        <w:tc>
          <w:tcPr>
            <w:tcW w:w="1584" w:type="dxa"/>
            <w:noWrap/>
            <w:vAlign w:val="center"/>
            <w:hideMark/>
          </w:tcPr>
          <w:p w14:paraId="423CDB39" w14:textId="3C8AA75A" w:rsidR="00376971" w:rsidRPr="00196F7F" w:rsidRDefault="00376971" w:rsidP="00196F7F">
            <w:pPr>
              <w:pStyle w:val="SWCText"/>
              <w:jc w:val="center"/>
              <w:rPr>
                <w:lang w:val="en-GB"/>
              </w:rPr>
            </w:pPr>
            <w:r>
              <w:rPr>
                <w:lang w:val="en-GB"/>
              </w:rPr>
              <w:t>49.6</w:t>
            </w:r>
          </w:p>
        </w:tc>
        <w:tc>
          <w:tcPr>
            <w:tcW w:w="1584" w:type="dxa"/>
            <w:vAlign w:val="center"/>
          </w:tcPr>
          <w:p w14:paraId="315E08F5" w14:textId="4D32DED2" w:rsidR="00376971" w:rsidRPr="00196F7F" w:rsidRDefault="00D579D5" w:rsidP="00376971">
            <w:pPr>
              <w:pStyle w:val="SWCText"/>
              <w:jc w:val="center"/>
              <w:rPr>
                <w:lang w:val="en-GB"/>
              </w:rPr>
            </w:pPr>
            <w:r>
              <w:rPr>
                <w:lang w:val="en-GB"/>
              </w:rPr>
              <w:t>3.4</w:t>
            </w:r>
          </w:p>
        </w:tc>
        <w:tc>
          <w:tcPr>
            <w:tcW w:w="1584" w:type="dxa"/>
            <w:noWrap/>
            <w:vAlign w:val="center"/>
            <w:hideMark/>
          </w:tcPr>
          <w:p w14:paraId="33B2F173" w14:textId="0D989378" w:rsidR="00376971" w:rsidRPr="00196F7F" w:rsidRDefault="00376971" w:rsidP="00196F7F">
            <w:pPr>
              <w:pStyle w:val="SWCText"/>
              <w:jc w:val="center"/>
              <w:rPr>
                <w:lang w:val="en-GB"/>
              </w:rPr>
            </w:pPr>
            <w:r w:rsidRPr="00196F7F">
              <w:rPr>
                <w:lang w:val="en-GB"/>
              </w:rPr>
              <w:t>+7.4%</w:t>
            </w:r>
          </w:p>
        </w:tc>
      </w:tr>
      <w:tr w:rsidR="00376971" w:rsidRPr="005C5F5D" w14:paraId="313846B0" w14:textId="77777777" w:rsidTr="007005F5">
        <w:tblPrEx>
          <w:jc w:val="left"/>
          <w:tblLook w:val="04A0" w:firstRow="1" w:lastRow="0" w:firstColumn="1" w:lastColumn="0" w:noHBand="0" w:noVBand="1"/>
        </w:tblPrEx>
        <w:trPr>
          <w:trHeight w:val="259"/>
        </w:trPr>
        <w:tc>
          <w:tcPr>
            <w:tcW w:w="3024" w:type="dxa"/>
            <w:noWrap/>
            <w:vAlign w:val="center"/>
            <w:hideMark/>
          </w:tcPr>
          <w:p w14:paraId="6CE48CDB" w14:textId="463A92B4" w:rsidR="00376971" w:rsidRPr="00196F7F" w:rsidRDefault="00376971" w:rsidP="00196F7F">
            <w:pPr>
              <w:pStyle w:val="SWCText"/>
              <w:jc w:val="center"/>
              <w:rPr>
                <w:lang w:val="en-GB"/>
              </w:rPr>
            </w:pPr>
            <w:r w:rsidRPr="00196F7F">
              <w:rPr>
                <w:lang w:val="en-GB"/>
              </w:rPr>
              <w:t>Cost of Pump E</w:t>
            </w:r>
            <w:r w:rsidR="007005F5">
              <w:rPr>
                <w:lang w:val="en-GB"/>
              </w:rPr>
              <w:t>lectricity</w:t>
            </w:r>
            <w:r w:rsidRPr="00196F7F">
              <w:rPr>
                <w:lang w:val="en-GB"/>
              </w:rPr>
              <w:t xml:space="preserve"> [</w:t>
            </w:r>
            <w:proofErr w:type="spellStart"/>
            <w:r w:rsidRPr="00196F7F">
              <w:rPr>
                <w:lang w:val="en-GB"/>
              </w:rPr>
              <w:t>k</w:t>
            </w:r>
            <w:r w:rsidR="00735610">
              <w:rPr>
                <w:lang w:val="en-GB"/>
              </w:rPr>
              <w:t>EUR</w:t>
            </w:r>
            <w:proofErr w:type="spellEnd"/>
            <w:r w:rsidRPr="00196F7F">
              <w:rPr>
                <w:lang w:val="en-GB"/>
              </w:rPr>
              <w:t>]</w:t>
            </w:r>
          </w:p>
        </w:tc>
        <w:tc>
          <w:tcPr>
            <w:tcW w:w="1584" w:type="dxa"/>
            <w:noWrap/>
            <w:vAlign w:val="center"/>
            <w:hideMark/>
          </w:tcPr>
          <w:p w14:paraId="16FC97BC" w14:textId="0D4B1472" w:rsidR="00376971" w:rsidRPr="00196F7F" w:rsidRDefault="00376971" w:rsidP="00196F7F">
            <w:pPr>
              <w:pStyle w:val="SWCText"/>
              <w:jc w:val="center"/>
              <w:rPr>
                <w:lang w:val="en-GB"/>
              </w:rPr>
            </w:pPr>
            <w:r w:rsidRPr="00196F7F">
              <w:rPr>
                <w:lang w:val="en-GB"/>
              </w:rPr>
              <w:t>1</w:t>
            </w:r>
            <w:r>
              <w:rPr>
                <w:lang w:val="en-GB"/>
              </w:rPr>
              <w:t>0</w:t>
            </w:r>
            <w:r w:rsidRPr="00196F7F">
              <w:rPr>
                <w:lang w:val="en-GB"/>
              </w:rPr>
              <w:t>.</w:t>
            </w:r>
            <w:r>
              <w:rPr>
                <w:lang w:val="en-GB"/>
              </w:rPr>
              <w:t>0</w:t>
            </w:r>
          </w:p>
        </w:tc>
        <w:tc>
          <w:tcPr>
            <w:tcW w:w="1584" w:type="dxa"/>
            <w:noWrap/>
            <w:vAlign w:val="center"/>
            <w:hideMark/>
          </w:tcPr>
          <w:p w14:paraId="7355C99B" w14:textId="381918C6" w:rsidR="00376971" w:rsidRPr="00196F7F" w:rsidRDefault="00376971" w:rsidP="00196F7F">
            <w:pPr>
              <w:pStyle w:val="SWCText"/>
              <w:jc w:val="center"/>
              <w:rPr>
                <w:lang w:val="en-GB"/>
              </w:rPr>
            </w:pPr>
            <w:r w:rsidRPr="00196F7F">
              <w:rPr>
                <w:lang w:val="en-GB"/>
              </w:rPr>
              <w:t>1</w:t>
            </w:r>
            <w:r>
              <w:rPr>
                <w:lang w:val="en-GB"/>
              </w:rPr>
              <w:t>3</w:t>
            </w:r>
            <w:r w:rsidRPr="00196F7F">
              <w:rPr>
                <w:lang w:val="en-GB"/>
              </w:rPr>
              <w:t>.</w:t>
            </w:r>
            <w:r>
              <w:rPr>
                <w:lang w:val="en-GB"/>
              </w:rPr>
              <w:t>1</w:t>
            </w:r>
          </w:p>
        </w:tc>
        <w:tc>
          <w:tcPr>
            <w:tcW w:w="1584" w:type="dxa"/>
            <w:vAlign w:val="center"/>
          </w:tcPr>
          <w:p w14:paraId="7E4AC823" w14:textId="57D2A47A" w:rsidR="00376971" w:rsidRPr="00196F7F" w:rsidRDefault="00D579D5" w:rsidP="00376971">
            <w:pPr>
              <w:pStyle w:val="SWCText"/>
              <w:jc w:val="center"/>
              <w:rPr>
                <w:lang w:val="en-GB"/>
              </w:rPr>
            </w:pPr>
            <w:r>
              <w:rPr>
                <w:lang w:val="en-GB"/>
              </w:rPr>
              <w:t>3.1</w:t>
            </w:r>
          </w:p>
        </w:tc>
        <w:tc>
          <w:tcPr>
            <w:tcW w:w="1584" w:type="dxa"/>
            <w:noWrap/>
            <w:vAlign w:val="center"/>
            <w:hideMark/>
          </w:tcPr>
          <w:p w14:paraId="3D2435FF" w14:textId="7F8A78D7" w:rsidR="00376971" w:rsidRPr="00196F7F" w:rsidRDefault="00376971" w:rsidP="00196F7F">
            <w:pPr>
              <w:pStyle w:val="SWCText"/>
              <w:jc w:val="center"/>
              <w:rPr>
                <w:lang w:val="en-GB"/>
              </w:rPr>
            </w:pPr>
            <w:r w:rsidRPr="00196F7F">
              <w:rPr>
                <w:lang w:val="en-GB"/>
              </w:rPr>
              <w:t>+</w:t>
            </w:r>
            <w:r>
              <w:rPr>
                <w:lang w:val="en-GB"/>
              </w:rPr>
              <w:t>31</w:t>
            </w:r>
            <w:r w:rsidRPr="00196F7F">
              <w:rPr>
                <w:lang w:val="en-GB"/>
              </w:rPr>
              <w:t>.</w:t>
            </w:r>
            <w:r>
              <w:rPr>
                <w:lang w:val="en-GB"/>
              </w:rPr>
              <w:t>4</w:t>
            </w:r>
            <w:r w:rsidRPr="00196F7F">
              <w:rPr>
                <w:lang w:val="en-GB"/>
              </w:rPr>
              <w:t>%</w:t>
            </w:r>
          </w:p>
        </w:tc>
      </w:tr>
      <w:tr w:rsidR="007005F5" w:rsidRPr="007005F5" w14:paraId="586BDAD8" w14:textId="77777777" w:rsidTr="007005F5">
        <w:tblPrEx>
          <w:jc w:val="left"/>
          <w:tblLook w:val="04A0" w:firstRow="1" w:lastRow="0" w:firstColumn="1" w:lastColumn="0" w:noHBand="0" w:noVBand="1"/>
        </w:tblPrEx>
        <w:trPr>
          <w:trHeight w:val="259"/>
        </w:trPr>
        <w:tc>
          <w:tcPr>
            <w:tcW w:w="3024" w:type="dxa"/>
            <w:noWrap/>
            <w:vAlign w:val="center"/>
          </w:tcPr>
          <w:p w14:paraId="0CA973BA" w14:textId="21B7F815" w:rsidR="007005F5" w:rsidRPr="00196F7F" w:rsidRDefault="007005F5" w:rsidP="00196F7F">
            <w:pPr>
              <w:pStyle w:val="SWCText"/>
              <w:jc w:val="center"/>
              <w:rPr>
                <w:lang w:val="en-GB"/>
              </w:rPr>
            </w:pPr>
            <w:r>
              <w:rPr>
                <w:lang w:val="en-GB"/>
              </w:rPr>
              <w:t xml:space="preserve">Cost of </w:t>
            </w:r>
            <w:r w:rsidR="00DF1E16" w:rsidRPr="00196F7F">
              <w:rPr>
                <w:lang w:val="en-GB"/>
              </w:rPr>
              <w:t>CO</w:t>
            </w:r>
            <w:r w:rsidR="00DF1E16" w:rsidRPr="00196F7F">
              <w:rPr>
                <w:vertAlign w:val="subscript"/>
                <w:lang w:val="en-GB"/>
              </w:rPr>
              <w:t>2</w:t>
            </w:r>
            <w:r>
              <w:rPr>
                <w:lang w:val="en-GB"/>
              </w:rPr>
              <w:t xml:space="preserve"> emissions [</w:t>
            </w:r>
            <w:proofErr w:type="spellStart"/>
            <w:r>
              <w:rPr>
                <w:lang w:val="en-GB"/>
              </w:rPr>
              <w:t>kEUR</w:t>
            </w:r>
            <w:proofErr w:type="spellEnd"/>
            <w:r>
              <w:rPr>
                <w:lang w:val="en-GB"/>
              </w:rPr>
              <w:t>]</w:t>
            </w:r>
          </w:p>
        </w:tc>
        <w:tc>
          <w:tcPr>
            <w:tcW w:w="1584" w:type="dxa"/>
            <w:noWrap/>
            <w:vAlign w:val="center"/>
          </w:tcPr>
          <w:p w14:paraId="5BC950FA" w14:textId="1381CFE0" w:rsidR="007005F5" w:rsidRPr="00196F7F" w:rsidRDefault="007005F5" w:rsidP="00196F7F">
            <w:pPr>
              <w:pStyle w:val="SWCText"/>
              <w:jc w:val="center"/>
              <w:rPr>
                <w:lang w:val="en-GB"/>
              </w:rPr>
            </w:pPr>
            <w:r>
              <w:rPr>
                <w:lang w:val="en-GB"/>
              </w:rPr>
              <w:t>64.1</w:t>
            </w:r>
          </w:p>
        </w:tc>
        <w:tc>
          <w:tcPr>
            <w:tcW w:w="1584" w:type="dxa"/>
            <w:noWrap/>
            <w:vAlign w:val="center"/>
          </w:tcPr>
          <w:p w14:paraId="55347FAE" w14:textId="296FDC01" w:rsidR="007005F5" w:rsidRPr="00196F7F" w:rsidRDefault="007005F5" w:rsidP="00196F7F">
            <w:pPr>
              <w:pStyle w:val="SWCText"/>
              <w:jc w:val="center"/>
              <w:rPr>
                <w:lang w:val="en-GB"/>
              </w:rPr>
            </w:pPr>
            <w:r>
              <w:rPr>
                <w:lang w:val="en-GB"/>
              </w:rPr>
              <w:t>54.5</w:t>
            </w:r>
          </w:p>
        </w:tc>
        <w:tc>
          <w:tcPr>
            <w:tcW w:w="1584" w:type="dxa"/>
            <w:vAlign w:val="center"/>
          </w:tcPr>
          <w:p w14:paraId="5A130F86" w14:textId="1D683BCF" w:rsidR="007005F5" w:rsidRDefault="007005F5" w:rsidP="00376971">
            <w:pPr>
              <w:pStyle w:val="SWCText"/>
              <w:jc w:val="center"/>
              <w:rPr>
                <w:lang w:val="en-GB"/>
              </w:rPr>
            </w:pPr>
            <w:r>
              <w:rPr>
                <w:lang w:val="en-GB"/>
              </w:rPr>
              <w:t>-9.6</w:t>
            </w:r>
          </w:p>
        </w:tc>
        <w:tc>
          <w:tcPr>
            <w:tcW w:w="1584" w:type="dxa"/>
            <w:noWrap/>
            <w:vAlign w:val="center"/>
          </w:tcPr>
          <w:p w14:paraId="2847754D" w14:textId="30C80501" w:rsidR="007005F5" w:rsidRPr="00196F7F" w:rsidRDefault="007005F5" w:rsidP="00196F7F">
            <w:pPr>
              <w:pStyle w:val="SWCText"/>
              <w:jc w:val="center"/>
              <w:rPr>
                <w:lang w:val="en-GB"/>
              </w:rPr>
            </w:pPr>
            <w:r>
              <w:rPr>
                <w:lang w:val="en-GB"/>
              </w:rPr>
              <w:t>-15.0%</w:t>
            </w:r>
          </w:p>
        </w:tc>
      </w:tr>
      <w:tr w:rsidR="00376971" w:rsidRPr="005C5F5D" w14:paraId="6BBB586C" w14:textId="77777777" w:rsidTr="007005F5">
        <w:tblPrEx>
          <w:jc w:val="left"/>
          <w:tblLook w:val="04A0" w:firstRow="1" w:lastRow="0" w:firstColumn="1" w:lastColumn="0" w:noHBand="0" w:noVBand="1"/>
        </w:tblPrEx>
        <w:trPr>
          <w:trHeight w:val="259"/>
        </w:trPr>
        <w:tc>
          <w:tcPr>
            <w:tcW w:w="3024" w:type="dxa"/>
            <w:noWrap/>
            <w:vAlign w:val="center"/>
            <w:hideMark/>
          </w:tcPr>
          <w:p w14:paraId="56FC999D" w14:textId="2A31272A" w:rsidR="00376971" w:rsidRPr="00196F7F" w:rsidRDefault="00376971" w:rsidP="00196F7F">
            <w:pPr>
              <w:pStyle w:val="SWCText"/>
              <w:jc w:val="center"/>
              <w:rPr>
                <w:lang w:val="en-GB"/>
              </w:rPr>
            </w:pPr>
            <w:r w:rsidRPr="00196F7F">
              <w:rPr>
                <w:lang w:val="en-GB"/>
              </w:rPr>
              <w:t>Total Cost [</w:t>
            </w:r>
            <w:proofErr w:type="spellStart"/>
            <w:r w:rsidRPr="00196F7F">
              <w:rPr>
                <w:lang w:val="en-GB"/>
              </w:rPr>
              <w:t>k</w:t>
            </w:r>
            <w:r w:rsidR="00735610">
              <w:rPr>
                <w:lang w:val="en-GB"/>
              </w:rPr>
              <w:t>EUR</w:t>
            </w:r>
            <w:proofErr w:type="spellEnd"/>
            <w:r w:rsidRPr="00196F7F">
              <w:rPr>
                <w:lang w:val="en-GB"/>
              </w:rPr>
              <w:t>]</w:t>
            </w:r>
          </w:p>
        </w:tc>
        <w:tc>
          <w:tcPr>
            <w:tcW w:w="1584" w:type="dxa"/>
            <w:noWrap/>
            <w:vAlign w:val="center"/>
            <w:hideMark/>
          </w:tcPr>
          <w:p w14:paraId="339E0769" w14:textId="27DAACA9" w:rsidR="00376971" w:rsidRPr="00196F7F" w:rsidRDefault="00376971" w:rsidP="00196F7F">
            <w:pPr>
              <w:pStyle w:val="SWCText"/>
              <w:jc w:val="center"/>
              <w:rPr>
                <w:lang w:val="en-GB"/>
              </w:rPr>
            </w:pPr>
            <w:r w:rsidRPr="00196F7F">
              <w:rPr>
                <w:lang w:val="en-GB"/>
              </w:rPr>
              <w:t>1</w:t>
            </w:r>
            <w:r w:rsidR="007005F5">
              <w:rPr>
                <w:lang w:val="en-GB"/>
              </w:rPr>
              <w:t>703</w:t>
            </w:r>
          </w:p>
        </w:tc>
        <w:tc>
          <w:tcPr>
            <w:tcW w:w="1584" w:type="dxa"/>
            <w:noWrap/>
            <w:vAlign w:val="center"/>
            <w:hideMark/>
          </w:tcPr>
          <w:p w14:paraId="508F05C9" w14:textId="576C5BE4" w:rsidR="00376971" w:rsidRPr="00196F7F" w:rsidRDefault="00376971" w:rsidP="00196F7F">
            <w:pPr>
              <w:pStyle w:val="SWCText"/>
              <w:jc w:val="center"/>
              <w:rPr>
                <w:lang w:val="en-GB"/>
              </w:rPr>
            </w:pPr>
            <w:r w:rsidRPr="00196F7F">
              <w:rPr>
                <w:lang w:val="en-GB"/>
              </w:rPr>
              <w:t>1</w:t>
            </w:r>
            <w:r w:rsidR="007005F5">
              <w:rPr>
                <w:lang w:val="en-GB"/>
              </w:rPr>
              <w:t>510</w:t>
            </w:r>
          </w:p>
        </w:tc>
        <w:tc>
          <w:tcPr>
            <w:tcW w:w="1584" w:type="dxa"/>
            <w:vAlign w:val="center"/>
          </w:tcPr>
          <w:p w14:paraId="3C5817A3" w14:textId="4CF6C7AA" w:rsidR="00376971" w:rsidRPr="00196F7F" w:rsidRDefault="00D579D5" w:rsidP="00376971">
            <w:pPr>
              <w:pStyle w:val="SWCText"/>
              <w:jc w:val="center"/>
              <w:rPr>
                <w:lang w:val="en-GB"/>
              </w:rPr>
            </w:pPr>
            <w:r>
              <w:rPr>
                <w:lang w:val="en-GB"/>
              </w:rPr>
              <w:t>-1</w:t>
            </w:r>
            <w:r w:rsidR="007005F5">
              <w:rPr>
                <w:lang w:val="en-GB"/>
              </w:rPr>
              <w:t>93</w:t>
            </w:r>
          </w:p>
        </w:tc>
        <w:tc>
          <w:tcPr>
            <w:tcW w:w="1584" w:type="dxa"/>
            <w:noWrap/>
            <w:vAlign w:val="center"/>
            <w:hideMark/>
          </w:tcPr>
          <w:p w14:paraId="19DDC42B" w14:textId="433F8087" w:rsidR="00376971" w:rsidRPr="00196F7F" w:rsidRDefault="00376971" w:rsidP="00196F7F">
            <w:pPr>
              <w:pStyle w:val="SWCText"/>
              <w:jc w:val="center"/>
              <w:rPr>
                <w:lang w:val="en-GB"/>
              </w:rPr>
            </w:pPr>
            <w:r w:rsidRPr="00196F7F">
              <w:rPr>
                <w:lang w:val="en-GB"/>
              </w:rPr>
              <w:t>-11.</w:t>
            </w:r>
            <w:r w:rsidR="007005F5">
              <w:rPr>
                <w:lang w:val="en-GB"/>
              </w:rPr>
              <w:t>4</w:t>
            </w:r>
            <w:r w:rsidRPr="00196F7F">
              <w:rPr>
                <w:lang w:val="en-GB"/>
              </w:rPr>
              <w:t>%</w:t>
            </w:r>
          </w:p>
        </w:tc>
      </w:tr>
      <w:bookmarkEnd w:id="5"/>
      <w:bookmarkEnd w:id="6"/>
    </w:tbl>
    <w:p w14:paraId="775DC8F1" w14:textId="102EFBC8" w:rsidR="00982FBD" w:rsidRPr="00196F7F" w:rsidRDefault="00982FBD" w:rsidP="00982FBD">
      <w:pPr>
        <w:pStyle w:val="SWCText"/>
        <w:rPr>
          <w:lang w:val="en-GB"/>
        </w:rPr>
      </w:pPr>
    </w:p>
    <w:p w14:paraId="757DD5BC" w14:textId="1F85240B" w:rsidR="00982FBD" w:rsidRPr="00196F7F" w:rsidRDefault="009B11C0" w:rsidP="00982FBD">
      <w:pPr>
        <w:pStyle w:val="SWCText"/>
        <w:rPr>
          <w:lang w:val="en-GB"/>
        </w:rPr>
      </w:pPr>
      <w:r w:rsidRPr="00196F7F">
        <w:rPr>
          <w:lang w:val="en-GB"/>
        </w:rPr>
        <w:t xml:space="preserve">In the Study case the cost of heat of biomass CHP is lower by 6.0% due to the accordingly lower heat production from the CHP compared to the Benchmark scenario. In fact, the specific cost of heat of the biomass CHP is identical in both scenarios and equal to 50 </w:t>
      </w:r>
      <w:r w:rsidR="00735610">
        <w:rPr>
          <w:lang w:val="en-GB"/>
        </w:rPr>
        <w:t>EUR</w:t>
      </w:r>
      <w:r w:rsidRPr="00196F7F">
        <w:rPr>
          <w:lang w:val="en-GB"/>
        </w:rPr>
        <w:t xml:space="preserve">/MWh (Section 2.6). Despite the higher heat production from the HP in the Study case (13,163 vs. 12,476 MWh), the HP annual cost of heat in the Study case is 17.7% lower in the Study case (669 vs. 813 </w:t>
      </w:r>
      <w:proofErr w:type="spellStart"/>
      <w:r w:rsidRPr="00196F7F">
        <w:rPr>
          <w:lang w:val="en-GB"/>
        </w:rPr>
        <w:t>k</w:t>
      </w:r>
      <w:r w:rsidR="00735610">
        <w:rPr>
          <w:lang w:val="en-GB"/>
        </w:rPr>
        <w:t>EUR</w:t>
      </w:r>
      <w:proofErr w:type="spellEnd"/>
      <w:r w:rsidRPr="00196F7F">
        <w:rPr>
          <w:lang w:val="en-GB"/>
        </w:rPr>
        <w:t xml:space="preserve">) due to the higher HP SPF in the Study case (3.46 vs. 2.73). The HP specific cost of heat is reduced from 65.2 to 50.8 </w:t>
      </w:r>
      <w:r w:rsidR="00735610">
        <w:rPr>
          <w:lang w:val="en-GB"/>
        </w:rPr>
        <w:t>EUR</w:t>
      </w:r>
      <w:r w:rsidRPr="00196F7F">
        <w:rPr>
          <w:lang w:val="en-GB"/>
        </w:rPr>
        <w:t xml:space="preserve">/MWh in the Study case, lowering it to almost the same specific cost of heat of the biomass CHP. The cost of pump energy is </w:t>
      </w:r>
      <w:r w:rsidR="00625287">
        <w:rPr>
          <w:lang w:val="en-GB"/>
        </w:rPr>
        <w:t>31</w:t>
      </w:r>
      <w:r w:rsidRPr="00196F7F">
        <w:rPr>
          <w:lang w:val="en-GB"/>
        </w:rPr>
        <w:t>.</w:t>
      </w:r>
      <w:r w:rsidR="00625287">
        <w:rPr>
          <w:lang w:val="en-GB"/>
        </w:rPr>
        <w:t>4</w:t>
      </w:r>
      <w:r w:rsidRPr="00196F7F">
        <w:rPr>
          <w:lang w:val="en-GB"/>
        </w:rPr>
        <w:t>% higher in the Study case but this accounts for a marginal part of the total cost of the system (1</w:t>
      </w:r>
      <w:r w:rsidR="00C35421">
        <w:rPr>
          <w:lang w:val="en-GB"/>
        </w:rPr>
        <w:t>3</w:t>
      </w:r>
      <w:r w:rsidRPr="00196F7F">
        <w:rPr>
          <w:lang w:val="en-GB"/>
        </w:rPr>
        <w:t>.</w:t>
      </w:r>
      <w:r w:rsidR="00C35421">
        <w:rPr>
          <w:lang w:val="en-GB"/>
        </w:rPr>
        <w:t>1</w:t>
      </w:r>
      <w:r w:rsidRPr="00196F7F">
        <w:rPr>
          <w:lang w:val="en-GB"/>
        </w:rPr>
        <w:t xml:space="preserve"> vs. 1</w:t>
      </w:r>
      <w:r w:rsidR="00C35421">
        <w:rPr>
          <w:lang w:val="en-GB"/>
        </w:rPr>
        <w:t>0</w:t>
      </w:r>
      <w:r w:rsidRPr="00196F7F">
        <w:rPr>
          <w:lang w:val="en-GB"/>
        </w:rPr>
        <w:t>.</w:t>
      </w:r>
      <w:r w:rsidR="00C35421">
        <w:rPr>
          <w:lang w:val="en-GB"/>
        </w:rPr>
        <w:t>0</w:t>
      </w:r>
      <w:r w:rsidRPr="00196F7F">
        <w:rPr>
          <w:lang w:val="en-GB"/>
        </w:rPr>
        <w:t xml:space="preserve"> </w:t>
      </w:r>
      <w:proofErr w:type="spellStart"/>
      <w:r w:rsidRPr="00196F7F">
        <w:rPr>
          <w:lang w:val="en-GB"/>
        </w:rPr>
        <w:t>k</w:t>
      </w:r>
      <w:r w:rsidR="00735610">
        <w:rPr>
          <w:lang w:val="en-GB"/>
        </w:rPr>
        <w:t>EUR</w:t>
      </w:r>
      <w:proofErr w:type="spellEnd"/>
      <w:r w:rsidRPr="00196F7F">
        <w:rPr>
          <w:lang w:val="en-GB"/>
        </w:rPr>
        <w:t>).</w:t>
      </w:r>
      <w:r w:rsidR="00E27BA6">
        <w:rPr>
          <w:lang w:val="en-GB"/>
        </w:rPr>
        <w:t xml:space="preserve"> The cost of </w:t>
      </w:r>
      <w:r w:rsidR="00DF1E16" w:rsidRPr="00196F7F">
        <w:rPr>
          <w:lang w:val="en-GB"/>
        </w:rPr>
        <w:t>CO</w:t>
      </w:r>
      <w:r w:rsidR="00DF1E16" w:rsidRPr="00196F7F">
        <w:rPr>
          <w:vertAlign w:val="subscript"/>
          <w:lang w:val="en-GB"/>
        </w:rPr>
        <w:t>2</w:t>
      </w:r>
      <w:r w:rsidR="00E27BA6">
        <w:rPr>
          <w:lang w:val="en-GB"/>
        </w:rPr>
        <w:t xml:space="preserve"> emissions is 1</w:t>
      </w:r>
      <w:r w:rsidR="008776A5">
        <w:rPr>
          <w:lang w:val="en-GB"/>
        </w:rPr>
        <w:t>5</w:t>
      </w:r>
      <w:r w:rsidR="00E27BA6">
        <w:rPr>
          <w:lang w:val="en-GB"/>
        </w:rPr>
        <w:t>.</w:t>
      </w:r>
      <w:r w:rsidR="008776A5">
        <w:rPr>
          <w:lang w:val="en-GB"/>
        </w:rPr>
        <w:t>0</w:t>
      </w:r>
      <w:r w:rsidR="00E27BA6">
        <w:rPr>
          <w:lang w:val="en-GB"/>
        </w:rPr>
        <w:t xml:space="preserve">% lower in the Study case (64.1 vs. 54.5 </w:t>
      </w:r>
      <w:proofErr w:type="spellStart"/>
      <w:r w:rsidR="00E27BA6">
        <w:rPr>
          <w:lang w:val="en-GB"/>
        </w:rPr>
        <w:t>kEUR</w:t>
      </w:r>
      <w:proofErr w:type="spellEnd"/>
      <w:r w:rsidR="00E27BA6">
        <w:rPr>
          <w:lang w:val="en-GB"/>
        </w:rPr>
        <w:t xml:space="preserve">). </w:t>
      </w:r>
    </w:p>
    <w:p w14:paraId="75E93F54" w14:textId="7C8C644E" w:rsidR="00766687" w:rsidRPr="00196F7F" w:rsidRDefault="00766687" w:rsidP="00766687">
      <w:pPr>
        <w:pStyle w:val="SWCText"/>
        <w:rPr>
          <w:lang w:val="en-GB"/>
        </w:rPr>
      </w:pPr>
      <w:r w:rsidRPr="00196F7F">
        <w:rPr>
          <w:lang w:val="en-GB"/>
        </w:rPr>
        <w:t>The total cost</w:t>
      </w:r>
      <w:r w:rsidR="009E1E6B">
        <w:rPr>
          <w:lang w:val="en-GB"/>
        </w:rPr>
        <w:t xml:space="preserve"> is</w:t>
      </w:r>
      <w:r w:rsidRPr="00196F7F">
        <w:rPr>
          <w:lang w:val="en-GB"/>
        </w:rPr>
        <w:t xml:space="preserve"> calculated by summing the cost of heat production for all the plants in the network</w:t>
      </w:r>
      <w:r w:rsidR="009E1E6B">
        <w:rPr>
          <w:lang w:val="en-GB"/>
        </w:rPr>
        <w:t>, the</w:t>
      </w:r>
      <w:r w:rsidRPr="00196F7F">
        <w:rPr>
          <w:lang w:val="en-GB"/>
        </w:rPr>
        <w:t xml:space="preserve"> cost of pumping </w:t>
      </w:r>
      <w:r w:rsidR="00B24EF4">
        <w:rPr>
          <w:lang w:val="en-GB"/>
        </w:rPr>
        <w:t xml:space="preserve">electric </w:t>
      </w:r>
      <w:r w:rsidRPr="00196F7F">
        <w:rPr>
          <w:lang w:val="en-GB"/>
        </w:rPr>
        <w:t>energy</w:t>
      </w:r>
      <w:r w:rsidR="009E1E6B">
        <w:rPr>
          <w:lang w:val="en-GB"/>
        </w:rPr>
        <w:t xml:space="preserve">, and the cost of </w:t>
      </w:r>
      <w:r w:rsidR="00DF1E16" w:rsidRPr="00196F7F">
        <w:rPr>
          <w:lang w:val="en-GB"/>
        </w:rPr>
        <w:t>CO</w:t>
      </w:r>
      <w:r w:rsidR="00DF1E16" w:rsidRPr="00196F7F">
        <w:rPr>
          <w:vertAlign w:val="subscript"/>
          <w:lang w:val="en-GB"/>
        </w:rPr>
        <w:t>2</w:t>
      </w:r>
      <w:r w:rsidR="009E1E6B">
        <w:rPr>
          <w:lang w:val="en-GB"/>
        </w:rPr>
        <w:t xml:space="preserve"> emissions, and it</w:t>
      </w:r>
      <w:r w:rsidRPr="00196F7F">
        <w:rPr>
          <w:lang w:val="en-GB"/>
        </w:rPr>
        <w:t xml:space="preserve"> is reduced by </w:t>
      </w:r>
      <w:r w:rsidR="004D0B0E">
        <w:rPr>
          <w:lang w:val="en-GB"/>
        </w:rPr>
        <w:t xml:space="preserve">193 </w:t>
      </w:r>
      <w:proofErr w:type="spellStart"/>
      <w:r w:rsidR="004D0B0E">
        <w:rPr>
          <w:lang w:val="en-GB"/>
        </w:rPr>
        <w:t>kEUR</w:t>
      </w:r>
      <w:proofErr w:type="spellEnd"/>
      <w:r w:rsidR="004D0B0E">
        <w:rPr>
          <w:lang w:val="en-GB"/>
        </w:rPr>
        <w:t xml:space="preserve"> (-</w:t>
      </w:r>
      <w:r w:rsidRPr="00196F7F">
        <w:rPr>
          <w:lang w:val="en-GB"/>
        </w:rPr>
        <w:t>11.</w:t>
      </w:r>
      <w:r w:rsidR="004D0B0E">
        <w:rPr>
          <w:lang w:val="en-GB"/>
        </w:rPr>
        <w:t>4</w:t>
      </w:r>
      <w:r w:rsidRPr="00196F7F">
        <w:rPr>
          <w:lang w:val="en-GB"/>
        </w:rPr>
        <w:t>%</w:t>
      </w:r>
      <w:r w:rsidR="004D0B0E">
        <w:rPr>
          <w:lang w:val="en-GB"/>
        </w:rPr>
        <w:t>)</w:t>
      </w:r>
      <w:r w:rsidRPr="00196F7F">
        <w:rPr>
          <w:lang w:val="en-GB"/>
        </w:rPr>
        <w:t xml:space="preserve"> in the Study case scenario compared to the Benchmark (1,</w:t>
      </w:r>
      <w:r w:rsidR="004D0B0E">
        <w:rPr>
          <w:lang w:val="en-GB"/>
        </w:rPr>
        <w:t>703</w:t>
      </w:r>
      <w:r w:rsidRPr="00196F7F">
        <w:rPr>
          <w:lang w:val="en-GB"/>
        </w:rPr>
        <w:t xml:space="preserve"> vs. 1,</w:t>
      </w:r>
      <w:r w:rsidR="004D0B0E">
        <w:rPr>
          <w:lang w:val="en-GB"/>
        </w:rPr>
        <w:t xml:space="preserve"> </w:t>
      </w:r>
      <w:r w:rsidR="007925BA">
        <w:rPr>
          <w:lang w:val="en-GB"/>
        </w:rPr>
        <w:t>5</w:t>
      </w:r>
      <w:r w:rsidR="004D0B0E">
        <w:rPr>
          <w:lang w:val="en-GB"/>
        </w:rPr>
        <w:t>10</w:t>
      </w:r>
      <w:r w:rsidRPr="00196F7F">
        <w:rPr>
          <w:lang w:val="en-GB"/>
        </w:rPr>
        <w:t xml:space="preserve"> </w:t>
      </w:r>
      <w:proofErr w:type="spellStart"/>
      <w:r w:rsidRPr="00196F7F">
        <w:rPr>
          <w:lang w:val="en-GB"/>
        </w:rPr>
        <w:t>k</w:t>
      </w:r>
      <w:r w:rsidR="00735610">
        <w:rPr>
          <w:lang w:val="en-GB"/>
        </w:rPr>
        <w:t>EUR</w:t>
      </w:r>
      <w:proofErr w:type="spellEnd"/>
      <w:r w:rsidRPr="00196F7F">
        <w:rPr>
          <w:lang w:val="en-GB"/>
        </w:rPr>
        <w:t xml:space="preserve">). </w:t>
      </w:r>
    </w:p>
    <w:p w14:paraId="5AE749DB" w14:textId="584B55BE" w:rsidR="0017590A" w:rsidRPr="005C5F5D" w:rsidRDefault="0017590A" w:rsidP="0017590A">
      <w:pPr>
        <w:pStyle w:val="SWCHeading11"/>
      </w:pPr>
      <w:r w:rsidRPr="005C5F5D">
        <w:t>3.3 Biomass CHP operating conditions</w:t>
      </w:r>
    </w:p>
    <w:p w14:paraId="361A66FE" w14:textId="2F0967A1" w:rsidR="0017590A" w:rsidRPr="00196F7F" w:rsidRDefault="0017590A" w:rsidP="0017590A">
      <w:pPr>
        <w:pStyle w:val="SWCText"/>
        <w:rPr>
          <w:lang w:val="en-GB"/>
        </w:rPr>
      </w:pPr>
      <w:r w:rsidRPr="00196F7F">
        <w:rPr>
          <w:b/>
          <w:bCs/>
          <w:lang w:val="en-GB"/>
        </w:rPr>
        <w:t>Benchmark scenario</w:t>
      </w:r>
      <w:r w:rsidRPr="00196F7F">
        <w:rPr>
          <w:lang w:val="en-GB"/>
        </w:rPr>
        <w:t>. In the Benchmark scenario, in Winter, the biomass CHP provides the baseload to the DH network, operating at very stable volume flow and temperature conditions. The nominal volume flow rate elaborated by the CHP is calculated as:</w:t>
      </w:r>
    </w:p>
    <w:bookmarkStart w:id="7" w:name="_Hlk237599709"/>
    <w:p w14:paraId="569C6B5C" w14:textId="0E37F757" w:rsidR="0017590A" w:rsidRPr="00196F7F" w:rsidRDefault="00000000" w:rsidP="0017590A">
      <w:pPr>
        <w:pStyle w:val="SWCText"/>
        <w:rPr>
          <w:sz w:val="16"/>
          <w:szCs w:val="18"/>
          <w:lang w:val="en-GB"/>
        </w:rPr>
      </w:pPr>
      <m:oMathPara>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V</m:t>
                  </m:r>
                </m:e>
              </m:acc>
            </m:e>
            <m:sub>
              <m:r>
                <w:rPr>
                  <w:rFonts w:ascii="Cambria Math" w:hAnsi="Cambria Math"/>
                  <w:noProof/>
                  <w:color w:val="auto"/>
                  <w:lang w:val="en-GB"/>
                </w:rPr>
                <m:t>CHP,nom</m:t>
              </m:r>
            </m:sub>
          </m:sSub>
          <w:bookmarkEnd w:id="7"/>
          <m:r>
            <w:rPr>
              <w:rFonts w:ascii="Cambria Math" w:hAnsi="Cambria Math"/>
              <w:noProof/>
              <w:color w:val="auto"/>
              <w:lang w:val="en-GB"/>
            </w:rPr>
            <m:t>=</m:t>
          </m:r>
          <m:f>
            <m:fPr>
              <m:ctrlPr>
                <w:rPr>
                  <w:rFonts w:ascii="Cambria Math" w:hAnsi="Cambria Math"/>
                  <w:i/>
                  <w:noProof/>
                  <w:color w:val="auto"/>
                  <w:lang w:val="en-GB"/>
                </w:rPr>
              </m:ctrlPr>
            </m:fPr>
            <m:num>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Q</m:t>
                      </m:r>
                    </m:e>
                  </m:acc>
                </m:e>
                <m:sub>
                  <m:r>
                    <w:rPr>
                      <w:rFonts w:ascii="Cambria Math" w:hAnsi="Cambria Math"/>
                      <w:noProof/>
                      <w:color w:val="auto"/>
                      <w:lang w:val="en-GB"/>
                    </w:rPr>
                    <m:t>CHP,nom</m:t>
                  </m:r>
                </m:sub>
              </m:sSub>
            </m:num>
            <m:den>
              <m:r>
                <w:rPr>
                  <w:rFonts w:ascii="Cambria Math" w:hAnsi="Cambria Math"/>
                  <w:noProof/>
                  <w:color w:val="auto"/>
                  <w:lang w:val="en-GB"/>
                </w:rPr>
                <m:t>ρ*</m:t>
              </m:r>
              <m:sSub>
                <m:sSubPr>
                  <m:ctrlPr>
                    <w:rPr>
                      <w:rFonts w:ascii="Cambria Math" w:hAnsi="Cambria Math"/>
                      <w:i/>
                      <w:noProof/>
                      <w:color w:val="auto"/>
                      <w:lang w:val="en-GB"/>
                    </w:rPr>
                  </m:ctrlPr>
                </m:sSubPr>
                <m:e>
                  <m:r>
                    <w:rPr>
                      <w:rFonts w:ascii="Cambria Math" w:hAnsi="Cambria Math"/>
                      <w:noProof/>
                      <w:color w:val="auto"/>
                      <w:lang w:val="en-GB"/>
                    </w:rPr>
                    <m:t>c</m:t>
                  </m:r>
                </m:e>
                <m:sub>
                  <m:r>
                    <w:rPr>
                      <w:rFonts w:ascii="Cambria Math" w:hAnsi="Cambria Math"/>
                      <w:noProof/>
                      <w:color w:val="auto"/>
                      <w:lang w:val="en-GB"/>
                    </w:rPr>
                    <m:t>p</m:t>
                  </m:r>
                </m:sub>
              </m:sSub>
              <m:r>
                <w:rPr>
                  <w:rFonts w:ascii="Cambria Math" w:hAnsi="Cambria Math"/>
                  <w:noProof/>
                  <w:color w:val="auto"/>
                  <w:lang w:val="en-GB"/>
                </w:rPr>
                <m:t>*(</m:t>
              </m:r>
              <m:sSub>
                <m:sSubPr>
                  <m:ctrlPr>
                    <w:rPr>
                      <w:rFonts w:ascii="Cambria Math" w:hAnsi="Cambria Math"/>
                      <w:i/>
                      <w:noProof/>
                      <w:color w:val="auto"/>
                      <w:lang w:val="en-GB"/>
                    </w:rPr>
                  </m:ctrlPr>
                </m:sSubPr>
                <m:e>
                  <m:r>
                    <w:rPr>
                      <w:rFonts w:ascii="Cambria Math" w:hAnsi="Cambria Math"/>
                      <w:noProof/>
                      <w:color w:val="auto"/>
                      <w:lang w:val="en-GB"/>
                    </w:rPr>
                    <m:t>T</m:t>
                  </m:r>
                </m:e>
                <m:sub>
                  <m:r>
                    <w:rPr>
                      <w:rFonts w:ascii="Cambria Math" w:hAnsi="Cambria Math"/>
                      <w:noProof/>
                      <w:color w:val="auto"/>
                      <w:lang w:val="en-GB"/>
                    </w:rPr>
                    <m:t>sup,CHP</m:t>
                  </m:r>
                </m:sub>
              </m:sSub>
              <m:r>
                <w:rPr>
                  <w:rFonts w:ascii="Cambria Math" w:hAnsi="Cambria Math"/>
                  <w:noProof/>
                  <w:color w:val="auto"/>
                  <w:lang w:val="en-GB"/>
                </w:rPr>
                <m:t>-</m:t>
              </m:r>
              <m:sSub>
                <m:sSubPr>
                  <m:ctrlPr>
                    <w:rPr>
                      <w:rFonts w:ascii="Cambria Math" w:hAnsi="Cambria Math"/>
                      <w:i/>
                      <w:noProof/>
                      <w:color w:val="auto"/>
                      <w:lang w:val="en-GB"/>
                    </w:rPr>
                  </m:ctrlPr>
                </m:sSubPr>
                <m:e>
                  <m:r>
                    <w:rPr>
                      <w:rFonts w:ascii="Cambria Math" w:hAnsi="Cambria Math"/>
                      <w:noProof/>
                      <w:color w:val="auto"/>
                      <w:lang w:val="en-GB"/>
                    </w:rPr>
                    <m:t>T</m:t>
                  </m:r>
                </m:e>
                <m:sub>
                  <m:r>
                    <w:rPr>
                      <w:rFonts w:ascii="Cambria Math" w:hAnsi="Cambria Math"/>
                      <w:noProof/>
                      <w:color w:val="auto"/>
                      <w:lang w:val="en-GB"/>
                    </w:rPr>
                    <m:t>ret,CHP</m:t>
                  </m:r>
                </m:sub>
              </m:sSub>
              <m:r>
                <w:rPr>
                  <w:rFonts w:ascii="Cambria Math" w:hAnsi="Cambria Math"/>
                  <w:noProof/>
                  <w:color w:val="auto"/>
                  <w:lang w:val="en-GB"/>
                </w:rPr>
                <m:t>)</m:t>
              </m:r>
            </m:den>
          </m:f>
          <m:r>
            <w:rPr>
              <w:rFonts w:ascii="Cambria Math" w:hAnsi="Cambria Math"/>
              <w:noProof/>
              <w:color w:val="auto"/>
              <w:lang w:val="en-GB"/>
            </w:rPr>
            <m:t xml:space="preserve">                                        </m:t>
          </m:r>
          <m:r>
            <m:rPr>
              <m:sty m:val="p"/>
            </m:rPr>
            <w:rPr>
              <w:rFonts w:ascii="Cambria Math" w:hAnsi="Cambria Math"/>
              <w:noProof/>
              <w:color w:val="auto"/>
              <w:lang w:val="en-GB"/>
            </w:rPr>
            <m:t>(eq.5)</m:t>
          </m:r>
        </m:oMath>
      </m:oMathPara>
    </w:p>
    <w:p w14:paraId="37475477" w14:textId="7BBB5157" w:rsidR="00242147" w:rsidRPr="00196F7F" w:rsidRDefault="00242147" w:rsidP="00242147">
      <w:pPr>
        <w:pStyle w:val="SWCText"/>
        <w:rPr>
          <w:noProof/>
          <w:color w:val="auto"/>
          <w:lang w:val="en-GB"/>
        </w:rPr>
      </w:pPr>
      <w:r w:rsidRPr="00196F7F">
        <w:rPr>
          <w:noProof/>
          <w:color w:val="auto"/>
          <w:lang w:val="en-GB"/>
        </w:rPr>
        <w:t xml:space="preserve">Where </w:t>
      </w:r>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Q</m:t>
                </m:r>
              </m:e>
            </m:acc>
          </m:e>
          <m:sub>
            <m:r>
              <w:rPr>
                <w:rFonts w:ascii="Cambria Math" w:hAnsi="Cambria Math"/>
                <w:noProof/>
                <w:color w:val="auto"/>
                <w:lang w:val="en-GB"/>
              </w:rPr>
              <m:t>CHP,nom</m:t>
            </m:r>
          </m:sub>
        </m:sSub>
      </m:oMath>
      <w:r w:rsidRPr="00196F7F">
        <w:rPr>
          <w:noProof/>
          <w:color w:val="auto"/>
          <w:lang w:val="en-GB"/>
        </w:rPr>
        <w:t xml:space="preserve"> is the nominal thermal power from the biomass CHP (2</w:t>
      </w:r>
      <w:r w:rsidR="00FE67BC">
        <w:rPr>
          <w:noProof/>
          <w:color w:val="auto"/>
          <w:lang w:val="en-GB"/>
        </w:rPr>
        <w:t>,</w:t>
      </w:r>
      <w:r w:rsidRPr="00196F7F">
        <w:rPr>
          <w:noProof/>
          <w:color w:val="auto"/>
          <w:lang w:val="en-GB"/>
        </w:rPr>
        <w:t xml:space="preserve">000 kW), and </w:t>
      </w:r>
      <m:oMath>
        <m:r>
          <w:rPr>
            <w:rFonts w:ascii="Cambria Math" w:hAnsi="Cambria Math"/>
            <w:noProof/>
            <w:color w:val="auto"/>
            <w:lang w:val="en-GB"/>
          </w:rPr>
          <m:t>ρ</m:t>
        </m:r>
      </m:oMath>
      <w:r w:rsidRPr="00196F7F">
        <w:rPr>
          <w:noProof/>
          <w:color w:val="auto"/>
          <w:lang w:val="en-GB"/>
        </w:rPr>
        <w:t xml:space="preserve"> and </w:t>
      </w:r>
      <m:oMath>
        <m:sSub>
          <m:sSubPr>
            <m:ctrlPr>
              <w:rPr>
                <w:rFonts w:ascii="Cambria Math" w:hAnsi="Cambria Math"/>
                <w:i/>
                <w:noProof/>
                <w:color w:val="auto"/>
                <w:lang w:val="en-GB"/>
              </w:rPr>
            </m:ctrlPr>
          </m:sSubPr>
          <m:e>
            <m:r>
              <w:rPr>
                <w:rFonts w:ascii="Cambria Math" w:hAnsi="Cambria Math"/>
                <w:noProof/>
                <w:color w:val="auto"/>
                <w:lang w:val="en-GB"/>
              </w:rPr>
              <m:t>c</m:t>
            </m:r>
          </m:e>
          <m:sub>
            <m:r>
              <w:rPr>
                <w:rFonts w:ascii="Cambria Math" w:hAnsi="Cambria Math"/>
                <w:noProof/>
                <w:color w:val="auto"/>
                <w:lang w:val="en-GB"/>
              </w:rPr>
              <m:t>p</m:t>
            </m:r>
          </m:sub>
        </m:sSub>
      </m:oMath>
      <w:r w:rsidRPr="00196F7F">
        <w:rPr>
          <w:noProof/>
          <w:color w:val="auto"/>
          <w:lang w:val="en-GB"/>
        </w:rPr>
        <w:t xml:space="preserve"> are water density and specific heat respectively. The return temperature </w:t>
      </w:r>
      <m:oMath>
        <m:sSub>
          <m:sSubPr>
            <m:ctrlPr>
              <w:rPr>
                <w:rFonts w:ascii="Cambria Math" w:hAnsi="Cambria Math"/>
                <w:i/>
                <w:noProof/>
                <w:color w:val="auto"/>
                <w:lang w:val="en-GB"/>
              </w:rPr>
            </m:ctrlPr>
          </m:sSubPr>
          <m:e>
            <m:r>
              <w:rPr>
                <w:rFonts w:ascii="Cambria Math" w:hAnsi="Cambria Math"/>
                <w:noProof/>
                <w:color w:val="auto"/>
                <w:lang w:val="en-GB"/>
              </w:rPr>
              <m:t>T</m:t>
            </m:r>
          </m:e>
          <m:sub>
            <m:r>
              <w:rPr>
                <w:rFonts w:ascii="Cambria Math" w:hAnsi="Cambria Math"/>
                <w:noProof/>
                <w:color w:val="auto"/>
                <w:lang w:val="en-GB"/>
              </w:rPr>
              <m:t>ret,CHP</m:t>
            </m:r>
          </m:sub>
        </m:sSub>
      </m:oMath>
      <w:r w:rsidRPr="00196F7F">
        <w:rPr>
          <w:noProof/>
          <w:color w:val="auto"/>
          <w:lang w:val="en-GB"/>
        </w:rPr>
        <w:t xml:space="preserve"> to be used for the </w:t>
      </w:r>
      <w:r w:rsidR="008A781D">
        <w:rPr>
          <w:noProof/>
          <w:color w:val="auto"/>
          <w:lang w:val="en-GB"/>
        </w:rPr>
        <w:t xml:space="preserve">heat exchanger </w:t>
      </w:r>
      <w:r w:rsidR="009D51DD">
        <w:rPr>
          <w:noProof/>
          <w:color w:val="auto"/>
          <w:lang w:val="en-GB"/>
        </w:rPr>
        <w:t>sizing in nominal conditions</w:t>
      </w:r>
      <w:r w:rsidRPr="00196F7F">
        <w:rPr>
          <w:noProof/>
          <w:color w:val="auto"/>
          <w:lang w:val="en-GB"/>
        </w:rPr>
        <w:t xml:space="preserve"> is 50 °C. The supply temperature </w:t>
      </w:r>
      <m:oMath>
        <m:sSub>
          <m:sSubPr>
            <m:ctrlPr>
              <w:rPr>
                <w:rFonts w:ascii="Cambria Math" w:hAnsi="Cambria Math"/>
                <w:i/>
                <w:noProof/>
                <w:color w:val="auto"/>
                <w:lang w:val="en-GB"/>
              </w:rPr>
            </m:ctrlPr>
          </m:sSubPr>
          <m:e>
            <m:r>
              <w:rPr>
                <w:rFonts w:ascii="Cambria Math" w:hAnsi="Cambria Math"/>
                <w:noProof/>
                <w:color w:val="auto"/>
                <w:lang w:val="en-GB"/>
              </w:rPr>
              <m:t>T</m:t>
            </m:r>
          </m:e>
          <m:sub>
            <m:r>
              <w:rPr>
                <w:rFonts w:ascii="Cambria Math" w:hAnsi="Cambria Math"/>
                <w:noProof/>
                <w:color w:val="auto"/>
                <w:lang w:val="en-GB"/>
              </w:rPr>
              <m:t>sup,CHP</m:t>
            </m:r>
          </m:sub>
        </m:sSub>
      </m:oMath>
      <w:r w:rsidRPr="00196F7F">
        <w:rPr>
          <w:noProof/>
          <w:color w:val="auto"/>
          <w:lang w:val="en-GB"/>
        </w:rPr>
        <w:t xml:space="preserve"> is the supply setpoint temperature (= 90 °C). The resulting </w:t>
      </w:r>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V</m:t>
                </m:r>
              </m:e>
            </m:acc>
          </m:e>
          <m:sub>
            <m:r>
              <w:rPr>
                <w:rFonts w:ascii="Cambria Math" w:hAnsi="Cambria Math"/>
                <w:noProof/>
                <w:color w:val="auto"/>
                <w:lang w:val="en-GB"/>
              </w:rPr>
              <m:t>CHP,nom</m:t>
            </m:r>
          </m:sub>
        </m:sSub>
      </m:oMath>
      <w:r w:rsidRPr="00196F7F">
        <w:rPr>
          <w:noProof/>
          <w:color w:val="auto"/>
          <w:lang w:val="en-GB"/>
        </w:rPr>
        <w:t xml:space="preserve"> in the Benchmark scenario is equal to 44.0 m</w:t>
      </w:r>
      <w:r w:rsidRPr="00196F7F">
        <w:rPr>
          <w:noProof/>
          <w:color w:val="auto"/>
          <w:vertAlign w:val="superscript"/>
          <w:lang w:val="en-GB"/>
        </w:rPr>
        <w:t>3</w:t>
      </w:r>
      <w:r w:rsidRPr="00196F7F">
        <w:rPr>
          <w:noProof/>
          <w:color w:val="auto"/>
          <w:lang w:val="en-GB"/>
        </w:rPr>
        <w:t>/h.</w:t>
      </w:r>
    </w:p>
    <w:p w14:paraId="1D6D6B3B" w14:textId="6CA866B3" w:rsidR="008446FF" w:rsidRPr="00196F7F" w:rsidRDefault="00242147" w:rsidP="008446FF">
      <w:pPr>
        <w:pStyle w:val="SWCText"/>
        <w:rPr>
          <w:noProof/>
          <w:color w:val="auto"/>
          <w:lang w:val="en-GB"/>
        </w:rPr>
      </w:pPr>
      <w:r w:rsidRPr="00196F7F">
        <w:rPr>
          <w:b/>
          <w:bCs/>
          <w:lang w:val="en-GB"/>
        </w:rPr>
        <w:t>Study-case scenario</w:t>
      </w:r>
      <w:r w:rsidRPr="00196F7F">
        <w:rPr>
          <w:lang w:val="en-GB"/>
        </w:rPr>
        <w:t xml:space="preserve">. In the </w:t>
      </w:r>
      <w:r w:rsidR="008446FF" w:rsidRPr="00196F7F">
        <w:rPr>
          <w:lang w:val="en-GB"/>
        </w:rPr>
        <w:t>S</w:t>
      </w:r>
      <w:r w:rsidRPr="00196F7F">
        <w:rPr>
          <w:lang w:val="en-GB"/>
        </w:rPr>
        <w:t>tudy</w:t>
      </w:r>
      <w:r w:rsidR="008446FF" w:rsidRPr="00196F7F">
        <w:rPr>
          <w:lang w:val="en-GB"/>
        </w:rPr>
        <w:t xml:space="preserve"> </w:t>
      </w:r>
      <w:r w:rsidRPr="00196F7F">
        <w:rPr>
          <w:lang w:val="en-GB"/>
        </w:rPr>
        <w:t xml:space="preserve">case scenario and according to the real hydraulic connection (Figure </w:t>
      </w:r>
      <w:r w:rsidR="006319B6">
        <w:rPr>
          <w:lang w:val="en-GB"/>
        </w:rPr>
        <w:t>4b</w:t>
      </w:r>
      <w:r w:rsidRPr="00196F7F">
        <w:rPr>
          <w:lang w:val="en-GB"/>
        </w:rPr>
        <w:t xml:space="preserve">), </w:t>
      </w:r>
      <w:r w:rsidR="008446FF" w:rsidRPr="00196F7F">
        <w:rPr>
          <w:noProof/>
          <w:color w:val="auto"/>
          <w:lang w:val="en-GB"/>
        </w:rPr>
        <w:t xml:space="preserve">the biomass CHP never elaborates a higher volume flow </w:t>
      </w:r>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V</m:t>
                </m:r>
              </m:e>
            </m:acc>
          </m:e>
          <m:sub>
            <m:r>
              <w:rPr>
                <w:rFonts w:ascii="Cambria Math" w:hAnsi="Cambria Math"/>
                <w:noProof/>
                <w:color w:val="auto"/>
                <w:lang w:val="en-GB"/>
              </w:rPr>
              <m:t>CHP</m:t>
            </m:r>
          </m:sub>
        </m:sSub>
      </m:oMath>
      <w:r w:rsidR="008446FF" w:rsidRPr="00196F7F">
        <w:rPr>
          <w:noProof/>
          <w:color w:val="auto"/>
          <w:lang w:val="en-GB"/>
        </w:rPr>
        <w:t xml:space="preserve"> than the nominal one defined by (</w:t>
      </w:r>
      <w:r w:rsidR="006319B6">
        <w:rPr>
          <w:noProof/>
          <w:color w:val="auto"/>
          <w:lang w:val="en-GB"/>
        </w:rPr>
        <w:t xml:space="preserve">eq. </w:t>
      </w:r>
      <w:r w:rsidR="00F85914">
        <w:rPr>
          <w:noProof/>
          <w:color w:val="auto"/>
          <w:lang w:val="en-GB"/>
        </w:rPr>
        <w:t>5</w:t>
      </w:r>
      <w:r w:rsidR="008446FF" w:rsidRPr="00196F7F">
        <w:rPr>
          <w:noProof/>
          <w:color w:val="auto"/>
          <w:lang w:val="en-GB"/>
        </w:rPr>
        <w:t>). In this case</w:t>
      </w:r>
      <w:r w:rsidR="009F7DB6">
        <w:rPr>
          <w:noProof/>
          <w:color w:val="auto"/>
          <w:lang w:val="en-GB"/>
        </w:rPr>
        <w:t xml:space="preserve"> though</w:t>
      </w:r>
      <w:r w:rsidR="008446FF" w:rsidRPr="00196F7F">
        <w:rPr>
          <w:noProof/>
          <w:color w:val="auto"/>
          <w:lang w:val="en-GB"/>
        </w:rPr>
        <w:t xml:space="preserve">, the return temperature </w:t>
      </w:r>
      <m:oMath>
        <m:sSub>
          <m:sSubPr>
            <m:ctrlPr>
              <w:rPr>
                <w:rFonts w:ascii="Cambria Math" w:hAnsi="Cambria Math"/>
                <w:i/>
                <w:noProof/>
                <w:color w:val="auto"/>
                <w:lang w:val="en-GB"/>
              </w:rPr>
            </m:ctrlPr>
          </m:sSubPr>
          <m:e>
            <m:r>
              <w:rPr>
                <w:rFonts w:ascii="Cambria Math" w:hAnsi="Cambria Math"/>
                <w:noProof/>
                <w:color w:val="auto"/>
                <w:lang w:val="en-GB"/>
              </w:rPr>
              <m:t>T</m:t>
            </m:r>
          </m:e>
          <m:sub>
            <m:r>
              <w:rPr>
                <w:rFonts w:ascii="Cambria Math" w:hAnsi="Cambria Math"/>
                <w:noProof/>
                <w:color w:val="auto"/>
                <w:lang w:val="en-GB"/>
              </w:rPr>
              <m:t>ret,CHP</m:t>
            </m:r>
          </m:sub>
        </m:sSub>
      </m:oMath>
      <w:r w:rsidR="008446FF" w:rsidRPr="00196F7F">
        <w:rPr>
          <w:noProof/>
          <w:color w:val="auto"/>
          <w:lang w:val="en-GB"/>
        </w:rPr>
        <w:t xml:space="preserve"> to be used for the</w:t>
      </w:r>
      <w:r w:rsidR="008A781D">
        <w:rPr>
          <w:noProof/>
          <w:color w:val="auto"/>
          <w:lang w:val="en-GB"/>
        </w:rPr>
        <w:t xml:space="preserve"> heat exchanger sizing</w:t>
      </w:r>
      <w:r w:rsidR="008446FF" w:rsidRPr="00196F7F">
        <w:rPr>
          <w:noProof/>
          <w:color w:val="auto"/>
          <w:lang w:val="en-GB"/>
        </w:rPr>
        <w:t xml:space="preserve"> is 70 °C,</w:t>
      </w:r>
      <w:r w:rsidR="008A781D">
        <w:rPr>
          <w:noProof/>
          <w:color w:val="auto"/>
          <w:lang w:val="en-GB"/>
        </w:rPr>
        <w:t xml:space="preserve"> neglecting temperature loss </w:t>
      </w:r>
      <w:r w:rsidR="008446FF" w:rsidRPr="00196F7F">
        <w:rPr>
          <w:noProof/>
          <w:color w:val="auto"/>
          <w:lang w:val="en-GB"/>
        </w:rPr>
        <w:t xml:space="preserve">in the intermediate pipe line. The resulting </w:t>
      </w:r>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V</m:t>
                </m:r>
              </m:e>
            </m:acc>
          </m:e>
          <m:sub>
            <m:r>
              <w:rPr>
                <w:rFonts w:ascii="Cambria Math" w:hAnsi="Cambria Math"/>
                <w:noProof/>
                <w:color w:val="auto"/>
                <w:lang w:val="en-GB"/>
              </w:rPr>
              <m:t>CHP,nom</m:t>
            </m:r>
          </m:sub>
        </m:sSub>
      </m:oMath>
      <w:r w:rsidR="008446FF" w:rsidRPr="00196F7F">
        <w:rPr>
          <w:noProof/>
          <w:color w:val="auto"/>
          <w:lang w:val="en-GB"/>
        </w:rPr>
        <w:t xml:space="preserve"> in the Study case scenario is equal to 88.0 m</w:t>
      </w:r>
      <w:r w:rsidR="008446FF" w:rsidRPr="00196F7F">
        <w:rPr>
          <w:noProof/>
          <w:color w:val="auto"/>
          <w:vertAlign w:val="superscript"/>
          <w:lang w:val="en-GB"/>
        </w:rPr>
        <w:t>3</w:t>
      </w:r>
      <w:r w:rsidR="008446FF" w:rsidRPr="00196F7F">
        <w:rPr>
          <w:noProof/>
          <w:color w:val="auto"/>
          <w:lang w:val="en-GB"/>
        </w:rPr>
        <w:t>/h, which is the double compared to the maximum volume flow in the Benchmark scenario.</w:t>
      </w:r>
    </w:p>
    <w:p w14:paraId="122D1155" w14:textId="65AAB24A" w:rsidR="00242147" w:rsidRPr="00196F7F" w:rsidRDefault="008446FF" w:rsidP="00196F7F">
      <w:pPr>
        <w:pStyle w:val="SWCHeading1"/>
        <w:rPr>
          <w:lang w:val="en-GB"/>
        </w:rPr>
      </w:pPr>
      <w:r w:rsidRPr="00196F7F">
        <w:rPr>
          <w:lang w:val="en-GB"/>
        </w:rPr>
        <w:t>Discussion</w:t>
      </w:r>
    </w:p>
    <w:p w14:paraId="7282BF3C" w14:textId="1C0308B9" w:rsidR="008446FF" w:rsidRPr="00196F7F" w:rsidRDefault="008446FF" w:rsidP="008446FF">
      <w:pPr>
        <w:pStyle w:val="SWCText"/>
        <w:rPr>
          <w:lang w:val="en-GB"/>
        </w:rPr>
      </w:pPr>
      <w:r w:rsidRPr="00196F7F">
        <w:rPr>
          <w:lang w:val="en-GB"/>
        </w:rPr>
        <w:t>The Study case hydraulics and control reduce total operating costs by 11.</w:t>
      </w:r>
      <w:r w:rsidR="00754050">
        <w:rPr>
          <w:lang w:val="en-GB"/>
        </w:rPr>
        <w:t>4</w:t>
      </w:r>
      <w:r w:rsidRPr="00196F7F">
        <w:rPr>
          <w:lang w:val="en-GB"/>
        </w:rPr>
        <w:t>%</w:t>
      </w:r>
      <w:r w:rsidR="001B761E">
        <w:rPr>
          <w:lang w:val="en-GB"/>
        </w:rPr>
        <w:t xml:space="preserve"> (</w:t>
      </w:r>
      <w:r w:rsidR="001B761E" w:rsidRPr="00B674BB">
        <w:rPr>
          <w:lang w:val="en-GB"/>
        </w:rPr>
        <w:t>1,</w:t>
      </w:r>
      <w:r w:rsidR="00754050">
        <w:rPr>
          <w:lang w:val="en-GB"/>
        </w:rPr>
        <w:t>703</w:t>
      </w:r>
      <w:r w:rsidR="001B761E" w:rsidRPr="00B674BB">
        <w:rPr>
          <w:lang w:val="en-GB"/>
        </w:rPr>
        <w:t xml:space="preserve"> vs. 1,</w:t>
      </w:r>
      <w:r w:rsidR="00754050">
        <w:rPr>
          <w:lang w:val="en-GB"/>
        </w:rPr>
        <w:t>510</w:t>
      </w:r>
      <w:r w:rsidR="001B761E" w:rsidRPr="00B674BB">
        <w:rPr>
          <w:lang w:val="en-GB"/>
        </w:rPr>
        <w:t xml:space="preserve"> </w:t>
      </w:r>
      <w:proofErr w:type="spellStart"/>
      <w:r w:rsidR="001B761E" w:rsidRPr="00B674BB">
        <w:rPr>
          <w:lang w:val="en-GB"/>
        </w:rPr>
        <w:t>k</w:t>
      </w:r>
      <w:r w:rsidR="00735610">
        <w:rPr>
          <w:lang w:val="en-GB"/>
        </w:rPr>
        <w:t>EUR</w:t>
      </w:r>
      <w:proofErr w:type="spellEnd"/>
      <w:r w:rsidR="001B761E">
        <w:rPr>
          <w:lang w:val="en-GB"/>
        </w:rPr>
        <w:t>)</w:t>
      </w:r>
      <w:r w:rsidRPr="00196F7F">
        <w:rPr>
          <w:lang w:val="en-GB"/>
        </w:rPr>
        <w:t xml:space="preserve"> and </w:t>
      </w:r>
      <w:r w:rsidR="00DF1E16" w:rsidRPr="00196F7F">
        <w:rPr>
          <w:lang w:val="en-GB"/>
        </w:rPr>
        <w:t>CO</w:t>
      </w:r>
      <w:r w:rsidR="00DF1E16" w:rsidRPr="00196F7F">
        <w:rPr>
          <w:vertAlign w:val="subscript"/>
          <w:lang w:val="en-GB"/>
        </w:rPr>
        <w:t>2</w:t>
      </w:r>
      <w:r w:rsidRPr="00196F7F">
        <w:rPr>
          <w:lang w:val="en-GB"/>
        </w:rPr>
        <w:t>‑eq. emission by 15.</w:t>
      </w:r>
      <w:r w:rsidR="00E272F3">
        <w:rPr>
          <w:lang w:val="en-GB"/>
        </w:rPr>
        <w:t>0</w:t>
      </w:r>
      <w:r w:rsidRPr="00196F7F">
        <w:rPr>
          <w:lang w:val="en-GB"/>
        </w:rPr>
        <w:t>%</w:t>
      </w:r>
      <w:r w:rsidR="001B761E">
        <w:rPr>
          <w:lang w:val="en-GB"/>
        </w:rPr>
        <w:t xml:space="preserve"> (</w:t>
      </w:r>
      <w:r w:rsidR="006E46B4">
        <w:rPr>
          <w:lang w:val="en-GB"/>
        </w:rPr>
        <w:t>801.9</w:t>
      </w:r>
      <w:r w:rsidR="001B761E">
        <w:rPr>
          <w:lang w:val="en-GB"/>
        </w:rPr>
        <w:t xml:space="preserve"> </w:t>
      </w:r>
      <w:r w:rsidR="001B761E" w:rsidRPr="00B674BB">
        <w:rPr>
          <w:lang w:val="en-GB"/>
        </w:rPr>
        <w:t xml:space="preserve">vs. </w:t>
      </w:r>
      <w:r w:rsidR="001B761E">
        <w:rPr>
          <w:lang w:val="en-GB"/>
        </w:rPr>
        <w:t>6</w:t>
      </w:r>
      <w:r w:rsidR="006E46B4">
        <w:rPr>
          <w:lang w:val="en-GB"/>
        </w:rPr>
        <w:t>8</w:t>
      </w:r>
      <w:r w:rsidR="001B761E">
        <w:rPr>
          <w:lang w:val="en-GB"/>
        </w:rPr>
        <w:t>1.4</w:t>
      </w:r>
      <w:r w:rsidR="001B761E" w:rsidRPr="00B674BB">
        <w:rPr>
          <w:lang w:val="en-GB"/>
        </w:rPr>
        <w:t xml:space="preserve"> ton</w:t>
      </w:r>
      <w:r w:rsidR="001B761E">
        <w:rPr>
          <w:lang w:val="en-GB"/>
        </w:rPr>
        <w:t>)</w:t>
      </w:r>
      <w:r w:rsidRPr="00196F7F">
        <w:rPr>
          <w:lang w:val="en-GB"/>
        </w:rPr>
        <w:t xml:space="preserve"> relative to the Benchmark. The dominant driver for these reductions is the increased </w:t>
      </w:r>
      <w:r w:rsidR="00026763">
        <w:rPr>
          <w:lang w:val="en-GB"/>
        </w:rPr>
        <w:t>seasonal performance factor (</w:t>
      </w:r>
      <w:r w:rsidRPr="00196F7F">
        <w:rPr>
          <w:lang w:val="en-GB"/>
        </w:rPr>
        <w:t>SPF</w:t>
      </w:r>
      <w:r w:rsidR="00026763">
        <w:rPr>
          <w:lang w:val="en-GB"/>
        </w:rPr>
        <w:t>)</w:t>
      </w:r>
      <w:r w:rsidRPr="00196F7F">
        <w:rPr>
          <w:lang w:val="en-GB"/>
        </w:rPr>
        <w:t xml:space="preserve"> of the heat pump</w:t>
      </w:r>
      <w:r w:rsidR="00026763">
        <w:rPr>
          <w:lang w:val="en-GB"/>
        </w:rPr>
        <w:t xml:space="preserve"> (2.73 vs. 3.46)</w:t>
      </w:r>
      <w:r w:rsidRPr="00196F7F">
        <w:rPr>
          <w:lang w:val="en-GB"/>
        </w:rPr>
        <w:t xml:space="preserve">, which delivers the same heat </w:t>
      </w:r>
      <w:r w:rsidR="00FB30EA">
        <w:rPr>
          <w:lang w:val="en-GB"/>
        </w:rPr>
        <w:lastRenderedPageBreak/>
        <w:t>production</w:t>
      </w:r>
      <w:r w:rsidRPr="00196F7F">
        <w:rPr>
          <w:lang w:val="en-GB"/>
        </w:rPr>
        <w:t xml:space="preserve"> with lower electricity consumption. A secondary contributor is a 4.5% reduction in network thermal losses (3,761 vs. 3,939 MWh) that reduces the heat production required to meet the demand. </w:t>
      </w:r>
      <w:r w:rsidR="00026763">
        <w:rPr>
          <w:lang w:val="en-GB"/>
        </w:rPr>
        <w:t xml:space="preserve">Economic </w:t>
      </w:r>
      <w:r w:rsidRPr="00196F7F">
        <w:rPr>
          <w:lang w:val="en-GB"/>
        </w:rPr>
        <w:t>benefits are mildly offset by a</w:t>
      </w:r>
      <w:r w:rsidR="001B761E">
        <w:rPr>
          <w:lang w:val="en-GB"/>
        </w:rPr>
        <w:t xml:space="preserve">n </w:t>
      </w:r>
      <w:r w:rsidRPr="00196F7F">
        <w:rPr>
          <w:lang w:val="en-GB"/>
        </w:rPr>
        <w:t>increase in pumping costs</w:t>
      </w:r>
      <w:r w:rsidR="00026763">
        <w:rPr>
          <w:lang w:val="en-GB"/>
        </w:rPr>
        <w:t xml:space="preserve"> (10.0 vs. 13.1 </w:t>
      </w:r>
      <w:proofErr w:type="spellStart"/>
      <w:r w:rsidR="00026763">
        <w:rPr>
          <w:lang w:val="en-GB"/>
        </w:rPr>
        <w:t>k</w:t>
      </w:r>
      <w:r w:rsidR="00735610">
        <w:rPr>
          <w:lang w:val="en-GB"/>
        </w:rPr>
        <w:t>EUR</w:t>
      </w:r>
      <w:proofErr w:type="spellEnd"/>
      <w:r w:rsidR="00026763">
        <w:rPr>
          <w:lang w:val="en-GB"/>
        </w:rPr>
        <w:t>)</w:t>
      </w:r>
      <w:r w:rsidRPr="00196F7F">
        <w:rPr>
          <w:lang w:val="en-GB"/>
        </w:rPr>
        <w:t>, caused by the smaller temperature spread between supply and return. Results are reported using Austria’s 2025 electricity price and grid carbon intensity</w:t>
      </w:r>
      <w:r w:rsidR="005A4CB3">
        <w:rPr>
          <w:lang w:val="en-GB"/>
        </w:rPr>
        <w:t>.</w:t>
      </w:r>
      <w:r w:rsidRPr="00196F7F">
        <w:rPr>
          <w:lang w:val="en-GB"/>
        </w:rPr>
        <w:t xml:space="preserve"> </w:t>
      </w:r>
      <w:r w:rsidR="005A4CB3">
        <w:rPr>
          <w:lang w:val="en-GB"/>
        </w:rPr>
        <w:t>W</w:t>
      </w:r>
      <w:r w:rsidRPr="00196F7F">
        <w:rPr>
          <w:lang w:val="en-GB"/>
        </w:rPr>
        <w:t xml:space="preserve">hile absolute cost and emission values will change under different market or </w:t>
      </w:r>
      <w:r w:rsidR="00FE67BC">
        <w:rPr>
          <w:lang w:val="en-GB"/>
        </w:rPr>
        <w:t xml:space="preserve">electric </w:t>
      </w:r>
      <w:r w:rsidRPr="00196F7F">
        <w:rPr>
          <w:lang w:val="en-GB"/>
        </w:rPr>
        <w:t>grid conditions, the comparison between Benchmark and Study case remains internally consistent.</w:t>
      </w:r>
    </w:p>
    <w:p w14:paraId="66B240E2" w14:textId="64E97099" w:rsidR="008446FF" w:rsidRPr="00196F7F" w:rsidRDefault="00785380" w:rsidP="008446FF">
      <w:pPr>
        <w:pStyle w:val="SWCText"/>
        <w:rPr>
          <w:noProof/>
          <w:lang w:val="en-GB"/>
        </w:rPr>
      </w:pPr>
      <w:r w:rsidRPr="00196F7F">
        <w:rPr>
          <w:noProof/>
          <w:lang w:val="en-GB"/>
        </w:rPr>
        <w:t xml:space="preserve">The main drawback of the Study case scenario is the doubled nominal flow rate through the biomass CHP </w:t>
      </w:r>
      <m:oMath>
        <m:sSub>
          <m:sSubPr>
            <m:ctrlPr>
              <w:rPr>
                <w:rFonts w:ascii="Cambria Math" w:hAnsi="Cambria Math"/>
                <w:i/>
                <w:noProof/>
                <w:color w:val="auto"/>
                <w:lang w:val="en-GB"/>
              </w:rPr>
            </m:ctrlPr>
          </m:sSubPr>
          <m:e>
            <m:acc>
              <m:accPr>
                <m:chr m:val="̇"/>
                <m:ctrlPr>
                  <w:rPr>
                    <w:rFonts w:ascii="Cambria Math" w:hAnsi="Cambria Math"/>
                    <w:i/>
                    <w:noProof/>
                    <w:color w:val="auto"/>
                    <w:lang w:val="en-GB"/>
                  </w:rPr>
                </m:ctrlPr>
              </m:accPr>
              <m:e>
                <m:r>
                  <w:rPr>
                    <w:rFonts w:ascii="Cambria Math" w:hAnsi="Cambria Math"/>
                    <w:noProof/>
                    <w:color w:val="auto"/>
                    <w:lang w:val="en-GB"/>
                  </w:rPr>
                  <m:t>V</m:t>
                </m:r>
              </m:e>
            </m:acc>
          </m:e>
          <m:sub>
            <m:r>
              <w:rPr>
                <w:rFonts w:ascii="Cambria Math" w:hAnsi="Cambria Math"/>
                <w:noProof/>
                <w:color w:val="auto"/>
                <w:lang w:val="en-GB"/>
              </w:rPr>
              <m:t>CHP,nom</m:t>
            </m:r>
          </m:sub>
        </m:sSub>
      </m:oMath>
      <w:r w:rsidR="007241B5">
        <w:rPr>
          <w:noProof/>
          <w:color w:val="auto"/>
          <w:lang w:val="en-GB"/>
        </w:rPr>
        <w:t xml:space="preserve"> caused by the smaller temperature spread between supply and return</w:t>
      </w:r>
      <w:r w:rsidRPr="00196F7F">
        <w:rPr>
          <w:noProof/>
          <w:lang w:val="en-GB"/>
        </w:rPr>
        <w:t>. This has two practical consequences: (i) if a larger heat exchanger</w:t>
      </w:r>
      <w:r w:rsidR="007241B5">
        <w:rPr>
          <w:noProof/>
          <w:lang w:val="en-GB"/>
        </w:rPr>
        <w:t xml:space="preserve"> to the DH line</w:t>
      </w:r>
      <w:r w:rsidRPr="00196F7F">
        <w:rPr>
          <w:noProof/>
          <w:lang w:val="en-GB"/>
        </w:rPr>
        <w:t xml:space="preserve"> must be installed, capital expenditures increase; (ii) if the existing heat exchanger is retained, its finite heat transfer capacity (UA: overall heat-transfer coefficient times exchanger area) can limit recoverable thermal power, reducing the CHP’s deliverable heat. Alternatively, recoverable thermal power can be maintained only if the temperature of the available heat source (e.g., flue gases or engine coolant) is raised, which may not be possible for all CHP designs or operating conditions.</w:t>
      </w:r>
    </w:p>
    <w:p w14:paraId="5EA0B0D7" w14:textId="3DA4F0D3" w:rsidR="008446FF" w:rsidRPr="00196F7F" w:rsidRDefault="008446FF" w:rsidP="00196F7F">
      <w:pPr>
        <w:pStyle w:val="SWCHeading1"/>
        <w:rPr>
          <w:lang w:val="en-GB"/>
        </w:rPr>
      </w:pPr>
      <w:r w:rsidRPr="00196F7F">
        <w:rPr>
          <w:lang w:val="en-GB"/>
        </w:rPr>
        <w:t>Conclusions</w:t>
      </w:r>
    </w:p>
    <w:p w14:paraId="38C1B278" w14:textId="4AF19071" w:rsidR="00EA7DD8" w:rsidRPr="00196F7F" w:rsidRDefault="008446FF" w:rsidP="00B214A1">
      <w:pPr>
        <w:pStyle w:val="SWCText"/>
        <w:rPr>
          <w:lang w:val="en-GB"/>
        </w:rPr>
      </w:pPr>
      <w:r w:rsidRPr="00196F7F">
        <w:rPr>
          <w:lang w:val="en-GB"/>
        </w:rPr>
        <w:t xml:space="preserve">Heat pumps are increasingly deployed in district heating (DH) to reduce </w:t>
      </w:r>
      <w:r w:rsidR="00DF1E16" w:rsidRPr="00196F7F">
        <w:rPr>
          <w:lang w:val="en-GB"/>
        </w:rPr>
        <w:t>CO</w:t>
      </w:r>
      <w:r w:rsidR="00DF1E16" w:rsidRPr="00196F7F">
        <w:rPr>
          <w:vertAlign w:val="subscript"/>
          <w:lang w:val="en-GB"/>
        </w:rPr>
        <w:t>2</w:t>
      </w:r>
      <w:r w:rsidRPr="00196F7F">
        <w:rPr>
          <w:lang w:val="en-GB"/>
        </w:rPr>
        <w:t xml:space="preserve"> emissions. Prior work has evaluated HPs at the component level, examining SPF gains from lowering the HP heat sink</w:t>
      </w:r>
      <w:r w:rsidR="00A74211">
        <w:rPr>
          <w:lang w:val="en-GB"/>
        </w:rPr>
        <w:t xml:space="preserve"> temperature</w:t>
      </w:r>
      <w:r w:rsidRPr="00196F7F">
        <w:rPr>
          <w:lang w:val="en-GB"/>
        </w:rPr>
        <w:t>, whereas this study examines system level consequences of integrating a HP into a DH network together with other plants. This study compares a Benchmark return to supply (</w:t>
      </w:r>
      <w:proofErr w:type="spellStart"/>
      <w:r w:rsidRPr="00196F7F">
        <w:rPr>
          <w:lang w:val="en-GB"/>
        </w:rPr>
        <w:t>RtS</w:t>
      </w:r>
      <w:proofErr w:type="spellEnd"/>
      <w:r w:rsidRPr="00196F7F">
        <w:rPr>
          <w:lang w:val="en-GB"/>
        </w:rPr>
        <w:t>) configuration with a Study case in which a medium temperature HP pre</w:t>
      </w:r>
      <w:r w:rsidR="00A74211">
        <w:rPr>
          <w:lang w:val="en-GB"/>
        </w:rPr>
        <w:t>-</w:t>
      </w:r>
      <w:r w:rsidRPr="00196F7F">
        <w:rPr>
          <w:lang w:val="en-GB"/>
        </w:rPr>
        <w:t>heats the network return upstream of a co</w:t>
      </w:r>
      <w:r w:rsidR="00077A32">
        <w:rPr>
          <w:lang w:val="en-GB"/>
        </w:rPr>
        <w:t>-</w:t>
      </w:r>
      <w:r w:rsidRPr="00196F7F">
        <w:rPr>
          <w:lang w:val="en-GB"/>
        </w:rPr>
        <w:t xml:space="preserve">located biomass CHP (internal combustion engine fed by biomass gasification) and an electric boiler (P2H). The analysis uses a planned DH network as case study. Annual simulations for a representative test year were run in the Leanheat Network tool, with the network </w:t>
      </w:r>
      <w:r w:rsidR="002E78C0">
        <w:rPr>
          <w:lang w:val="en-GB"/>
        </w:rPr>
        <w:t>main-pipes</w:t>
      </w:r>
      <w:r w:rsidRPr="00196F7F">
        <w:rPr>
          <w:lang w:val="en-GB"/>
        </w:rPr>
        <w:t xml:space="preserve"> topology explicitly modelled to compare the two configurations.  </w:t>
      </w:r>
      <w:r w:rsidR="00B1052B">
        <w:rPr>
          <w:lang w:val="en-GB"/>
        </w:rPr>
        <w:t>The s</w:t>
      </w:r>
      <w:r w:rsidRPr="00196F7F">
        <w:rPr>
          <w:lang w:val="en-GB"/>
        </w:rPr>
        <w:t>tudy case reduces total operating costs by 11.</w:t>
      </w:r>
      <w:r w:rsidR="006F0DC2">
        <w:rPr>
          <w:lang w:val="en-GB"/>
        </w:rPr>
        <w:t>4</w:t>
      </w:r>
      <w:r w:rsidRPr="00196F7F">
        <w:rPr>
          <w:lang w:val="en-GB"/>
        </w:rPr>
        <w:t>%</w:t>
      </w:r>
      <w:r w:rsidR="007E0BC5">
        <w:rPr>
          <w:lang w:val="en-GB"/>
        </w:rPr>
        <w:t xml:space="preserve"> (</w:t>
      </w:r>
      <w:r w:rsidR="007E0BC5" w:rsidRPr="00B674BB">
        <w:rPr>
          <w:lang w:val="en-GB"/>
        </w:rPr>
        <w:t>1,</w:t>
      </w:r>
      <w:r w:rsidR="006F0DC2">
        <w:rPr>
          <w:lang w:val="en-GB"/>
        </w:rPr>
        <w:t>703</w:t>
      </w:r>
      <w:r w:rsidR="007E0BC5" w:rsidRPr="00B674BB">
        <w:rPr>
          <w:lang w:val="en-GB"/>
        </w:rPr>
        <w:t xml:space="preserve"> vs. 1,</w:t>
      </w:r>
      <w:r w:rsidR="006F0DC2">
        <w:rPr>
          <w:lang w:val="en-GB"/>
        </w:rPr>
        <w:t>510</w:t>
      </w:r>
      <w:r w:rsidR="007E0BC5" w:rsidRPr="00B674BB">
        <w:rPr>
          <w:lang w:val="en-GB"/>
        </w:rPr>
        <w:t xml:space="preserve"> </w:t>
      </w:r>
      <w:proofErr w:type="spellStart"/>
      <w:r w:rsidR="007E0BC5" w:rsidRPr="00B674BB">
        <w:rPr>
          <w:lang w:val="en-GB"/>
        </w:rPr>
        <w:t>k</w:t>
      </w:r>
      <w:r w:rsidR="00735610">
        <w:rPr>
          <w:lang w:val="en-GB"/>
        </w:rPr>
        <w:t>EUR</w:t>
      </w:r>
      <w:proofErr w:type="spellEnd"/>
      <w:r w:rsidR="00F86984">
        <w:rPr>
          <w:lang w:val="en-GB"/>
        </w:rPr>
        <w:t>/year</w:t>
      </w:r>
      <w:r w:rsidR="007E0BC5">
        <w:rPr>
          <w:lang w:val="en-GB"/>
        </w:rPr>
        <w:t>)</w:t>
      </w:r>
      <w:r w:rsidRPr="00196F7F">
        <w:rPr>
          <w:lang w:val="en-GB"/>
        </w:rPr>
        <w:t xml:space="preserve"> and </w:t>
      </w:r>
      <w:r w:rsidR="00DF1E16" w:rsidRPr="00196F7F">
        <w:rPr>
          <w:lang w:val="en-GB"/>
        </w:rPr>
        <w:t>CO</w:t>
      </w:r>
      <w:r w:rsidR="00DF1E16" w:rsidRPr="00196F7F">
        <w:rPr>
          <w:vertAlign w:val="subscript"/>
          <w:lang w:val="en-GB"/>
        </w:rPr>
        <w:t>2</w:t>
      </w:r>
      <w:r w:rsidRPr="00196F7F">
        <w:rPr>
          <w:lang w:val="en-GB"/>
        </w:rPr>
        <w:t xml:space="preserve"> eq. emissions by 15.</w:t>
      </w:r>
      <w:r w:rsidR="002C04C4">
        <w:rPr>
          <w:lang w:val="en-GB"/>
        </w:rPr>
        <w:t>0</w:t>
      </w:r>
      <w:r w:rsidRPr="00196F7F">
        <w:rPr>
          <w:lang w:val="en-GB"/>
        </w:rPr>
        <w:t xml:space="preserve">% </w:t>
      </w:r>
      <w:r w:rsidR="007E0BC5">
        <w:rPr>
          <w:lang w:val="en-GB"/>
        </w:rPr>
        <w:t>(</w:t>
      </w:r>
      <w:r w:rsidR="006F0DC2">
        <w:rPr>
          <w:lang w:val="en-GB"/>
        </w:rPr>
        <w:t>801</w:t>
      </w:r>
      <w:r w:rsidR="007E0BC5">
        <w:rPr>
          <w:lang w:val="en-GB"/>
        </w:rPr>
        <w:t>.</w:t>
      </w:r>
      <w:r w:rsidR="006F0DC2">
        <w:rPr>
          <w:lang w:val="en-GB"/>
        </w:rPr>
        <w:t>9</w:t>
      </w:r>
      <w:r w:rsidR="007E0BC5">
        <w:rPr>
          <w:lang w:val="en-GB"/>
        </w:rPr>
        <w:t xml:space="preserve"> </w:t>
      </w:r>
      <w:r w:rsidR="007E0BC5" w:rsidRPr="00B674BB">
        <w:rPr>
          <w:lang w:val="en-GB"/>
        </w:rPr>
        <w:t xml:space="preserve">vs. </w:t>
      </w:r>
      <w:r w:rsidR="007E0BC5">
        <w:rPr>
          <w:lang w:val="en-GB"/>
        </w:rPr>
        <w:t>6</w:t>
      </w:r>
      <w:r w:rsidR="006F0DC2">
        <w:rPr>
          <w:lang w:val="en-GB"/>
        </w:rPr>
        <w:t>8</w:t>
      </w:r>
      <w:r w:rsidR="007E0BC5">
        <w:rPr>
          <w:lang w:val="en-GB"/>
        </w:rPr>
        <w:t>1.4</w:t>
      </w:r>
      <w:r w:rsidR="007E0BC5" w:rsidRPr="00B674BB">
        <w:rPr>
          <w:lang w:val="en-GB"/>
        </w:rPr>
        <w:t xml:space="preserve"> ton</w:t>
      </w:r>
      <w:r w:rsidR="00F86984">
        <w:rPr>
          <w:lang w:val="en-GB"/>
        </w:rPr>
        <w:t>nes</w:t>
      </w:r>
      <w:r w:rsidR="005A3B5A">
        <w:rPr>
          <w:lang w:val="en-GB"/>
        </w:rPr>
        <w:t xml:space="preserve"> </w:t>
      </w:r>
      <w:r w:rsidR="00DF1E16" w:rsidRPr="00196F7F">
        <w:rPr>
          <w:lang w:val="en-GB"/>
        </w:rPr>
        <w:t>CO</w:t>
      </w:r>
      <w:r w:rsidR="00DF1E16" w:rsidRPr="00196F7F">
        <w:rPr>
          <w:vertAlign w:val="subscript"/>
          <w:lang w:val="en-GB"/>
        </w:rPr>
        <w:t>2</w:t>
      </w:r>
      <w:r w:rsidR="005A3B5A">
        <w:rPr>
          <w:lang w:val="en-GB"/>
        </w:rPr>
        <w:t>-eq.</w:t>
      </w:r>
      <w:r w:rsidR="00F86984">
        <w:rPr>
          <w:lang w:val="en-GB"/>
        </w:rPr>
        <w:t>/year</w:t>
      </w:r>
      <w:r w:rsidR="007E0BC5">
        <w:rPr>
          <w:lang w:val="en-GB"/>
        </w:rPr>
        <w:t xml:space="preserve">) </w:t>
      </w:r>
      <w:r w:rsidRPr="00196F7F">
        <w:rPr>
          <w:lang w:val="en-GB"/>
        </w:rPr>
        <w:t xml:space="preserve">relative to the Benchmark. The primary </w:t>
      </w:r>
      <w:r w:rsidR="00EA7DD8">
        <w:rPr>
          <w:lang w:val="en-GB"/>
        </w:rPr>
        <w:t xml:space="preserve">reason for costs and emissions reductions </w:t>
      </w:r>
      <w:r w:rsidRPr="00196F7F">
        <w:rPr>
          <w:lang w:val="en-GB"/>
        </w:rPr>
        <w:t xml:space="preserve">is </w:t>
      </w:r>
      <w:r w:rsidR="00EA7DD8">
        <w:rPr>
          <w:lang w:val="en-GB"/>
        </w:rPr>
        <w:t xml:space="preserve">an improved HP </w:t>
      </w:r>
      <w:r w:rsidR="00077A32">
        <w:rPr>
          <w:lang w:val="en-GB"/>
        </w:rPr>
        <w:t>seasonal performance factor (SPF</w:t>
      </w:r>
      <w:r w:rsidR="00EA7DD8">
        <w:rPr>
          <w:lang w:val="en-GB"/>
        </w:rPr>
        <w:t xml:space="preserve">: </w:t>
      </w:r>
      <w:r w:rsidR="00077A32">
        <w:rPr>
          <w:lang w:val="en-GB"/>
        </w:rPr>
        <w:t xml:space="preserve">2.73 </w:t>
      </w:r>
      <w:r w:rsidR="00EA7DD8">
        <w:rPr>
          <w:lang w:val="en-GB"/>
        </w:rPr>
        <w:t xml:space="preserve">in Benchmark </w:t>
      </w:r>
      <w:r w:rsidR="00077A32">
        <w:rPr>
          <w:lang w:val="en-GB"/>
        </w:rPr>
        <w:t>vs. 3.46</w:t>
      </w:r>
      <w:r w:rsidR="00EA7DD8">
        <w:rPr>
          <w:lang w:val="en-GB"/>
        </w:rPr>
        <w:t xml:space="preserve"> in Study case</w:t>
      </w:r>
      <w:r w:rsidR="00077A32">
        <w:rPr>
          <w:lang w:val="en-GB"/>
        </w:rPr>
        <w:t>)</w:t>
      </w:r>
      <w:r w:rsidRPr="00196F7F">
        <w:rPr>
          <w:lang w:val="en-GB"/>
        </w:rPr>
        <w:t xml:space="preserve">, </w:t>
      </w:r>
      <w:r w:rsidR="00EA7DD8">
        <w:rPr>
          <w:lang w:val="en-GB"/>
        </w:rPr>
        <w:t>which lowers electricity consumption</w:t>
      </w:r>
      <w:r w:rsidRPr="00196F7F">
        <w:rPr>
          <w:lang w:val="en-GB"/>
        </w:rPr>
        <w:t xml:space="preserve">. </w:t>
      </w:r>
      <w:r w:rsidR="00EA7DD8">
        <w:rPr>
          <w:lang w:val="en-GB"/>
        </w:rPr>
        <w:t>A secondary reason is a 4.5% reduction in network thermal losses (3939 vs. 3761 MWh</w:t>
      </w:r>
      <w:r w:rsidR="003868F9">
        <w:rPr>
          <w:lang w:val="en-GB"/>
        </w:rPr>
        <w:t>/year</w:t>
      </w:r>
      <w:r w:rsidR="00EA7DD8">
        <w:rPr>
          <w:lang w:val="en-GB"/>
        </w:rPr>
        <w:t xml:space="preserve">). </w:t>
      </w:r>
      <w:r w:rsidRPr="00196F7F">
        <w:rPr>
          <w:lang w:val="en-GB"/>
        </w:rPr>
        <w:t>The main drawback is the hydraulic impact at the biomass CHP: the Study case roughly doubles the nominal CHP flow, which may necessitate a larger heat recovery exchanger or, if the existing exchanger is retained, constrain recoverable thermal power and thus the CHP’s deliverable heat. Additionally, higher pumping</w:t>
      </w:r>
      <w:r w:rsidR="00A74211">
        <w:rPr>
          <w:lang w:val="en-GB"/>
        </w:rPr>
        <w:t xml:space="preserve"> electric</w:t>
      </w:r>
      <w:r w:rsidRPr="00196F7F">
        <w:rPr>
          <w:lang w:val="en-GB"/>
        </w:rPr>
        <w:t xml:space="preserve"> energy is an unavoidable trade‑off when </w:t>
      </w:r>
      <w:r w:rsidR="00AC189D">
        <w:rPr>
          <w:lang w:val="en-GB"/>
        </w:rPr>
        <w:t>difference between supply and return temperature</w:t>
      </w:r>
      <w:r w:rsidRPr="00196F7F">
        <w:rPr>
          <w:lang w:val="en-GB"/>
        </w:rPr>
        <w:t xml:space="preserve"> is reduced. Finally, because CHP performance was treated as fixed for the internal‑combustion engine studied, these results cannot be reliably extrapolated to CHP technologies whose electrical</w:t>
      </w:r>
      <w:r w:rsidR="005F0315">
        <w:rPr>
          <w:lang w:val="en-GB"/>
        </w:rPr>
        <w:t xml:space="preserve"> and </w:t>
      </w:r>
      <w:r w:rsidRPr="00196F7F">
        <w:rPr>
          <w:lang w:val="en-GB"/>
        </w:rPr>
        <w:t xml:space="preserve">thermal output </w:t>
      </w:r>
      <w:r w:rsidR="005F0315">
        <w:rPr>
          <w:lang w:val="en-GB"/>
        </w:rPr>
        <w:t>are</w:t>
      </w:r>
      <w:r w:rsidRPr="00196F7F">
        <w:rPr>
          <w:lang w:val="en-GB"/>
        </w:rPr>
        <w:t xml:space="preserve"> sensitive to condenser or extraction temperature.</w:t>
      </w:r>
      <w:r w:rsidR="00E55FCD">
        <w:rPr>
          <w:lang w:val="en-GB"/>
        </w:rPr>
        <w:t xml:space="preserve"> The authors recommend integrating heat pump preheating, which can yield considerable cost and emissions reductions, while early in project planning assessing CHP heat recovery exchanger capacity, the temperature levels the CHP can tolerate, and any necessary CHP hardware upgrades.</w:t>
      </w:r>
    </w:p>
    <w:p w14:paraId="48600F45" w14:textId="1E5474DC" w:rsidR="008446FF" w:rsidRPr="00196F7F" w:rsidRDefault="008446FF" w:rsidP="00196F7F">
      <w:pPr>
        <w:pStyle w:val="SWCHeading1"/>
        <w:rPr>
          <w:lang w:val="en-GB"/>
        </w:rPr>
      </w:pPr>
      <w:r w:rsidRPr="00196F7F">
        <w:rPr>
          <w:lang w:val="en-GB"/>
        </w:rPr>
        <w:t>Outlook</w:t>
      </w:r>
    </w:p>
    <w:p w14:paraId="4DEF0EA0" w14:textId="674EF18E" w:rsidR="008446FF" w:rsidRPr="00196F7F" w:rsidRDefault="008446FF" w:rsidP="00B214A1">
      <w:pPr>
        <w:pStyle w:val="SWCText"/>
        <w:rPr>
          <w:lang w:val="en-GB"/>
        </w:rPr>
      </w:pPr>
      <w:r w:rsidRPr="00196F7F">
        <w:rPr>
          <w:lang w:val="en-GB"/>
        </w:rPr>
        <w:t xml:space="preserve">The implications of HP‑preheating </w:t>
      </w:r>
      <w:r w:rsidR="00EB278A">
        <w:rPr>
          <w:lang w:val="en-GB"/>
        </w:rPr>
        <w:t>on a downstream-located</w:t>
      </w:r>
      <w:r w:rsidRPr="00196F7F">
        <w:rPr>
          <w:lang w:val="en-GB"/>
        </w:rPr>
        <w:t xml:space="preserve"> CHP are technology‑dependent. For the internal‑combustion gas engine considered in this study, inlet temperatures are constrained to manufacturer guidance (≤70 °C) and </w:t>
      </w:r>
      <w:r w:rsidR="00253A58">
        <w:rPr>
          <w:lang w:val="en-GB"/>
        </w:rPr>
        <w:t>have a</w:t>
      </w:r>
      <w:r w:rsidRPr="00196F7F">
        <w:rPr>
          <w:lang w:val="en-GB"/>
        </w:rPr>
        <w:t xml:space="preserve"> negligible impact on electrical and thermal efficiencies. By contrast, other biomass CHP technologies can be much more sensitive: steam‑expansion turbines (back‑pressure or extraction) and ORC units exhibit thermodynamic coupling between turbine </w:t>
      </w:r>
      <w:r w:rsidR="00077A32">
        <w:rPr>
          <w:lang w:val="en-GB"/>
        </w:rPr>
        <w:t>expansion/</w:t>
      </w:r>
      <w:r w:rsidRPr="00196F7F">
        <w:rPr>
          <w:lang w:val="en-GB"/>
        </w:rPr>
        <w:t xml:space="preserve">condensing conditions and heat‑recovery temperature. Raising the heat‑sink (condenser/extraction) temperature can increase condensing pressure or degrade ORC cycle performance, reducing electrical output and altering electrical and thermal efficiencies. Consequently, the results obtained in this study for an internal combustion engine cannot be reliably extrapolated to other CHP technologies. To address this, future work will extend the present system level modelling to steam expansion turbines and ORC units, explicitly capturing the coupling between DH temperature levels, condenser/extraction temperature and CHP performance to identify thresholds where return preheating or intermediate temperature </w:t>
      </w:r>
      <w:r w:rsidR="00077A32">
        <w:rPr>
          <w:lang w:val="en-GB"/>
        </w:rPr>
        <w:t xml:space="preserve">HP </w:t>
      </w:r>
      <w:r w:rsidRPr="00196F7F">
        <w:rPr>
          <w:lang w:val="en-GB"/>
        </w:rPr>
        <w:t>pre heating is beneficial or counterproductive.</w:t>
      </w:r>
    </w:p>
    <w:p w14:paraId="51FDF63C" w14:textId="6A3E1BF2" w:rsidR="008446FF" w:rsidRPr="00196F7F" w:rsidRDefault="008446FF" w:rsidP="00196F7F">
      <w:pPr>
        <w:pStyle w:val="SWCHeading1"/>
        <w:rPr>
          <w:lang w:val="en-GB"/>
        </w:rPr>
      </w:pPr>
      <w:r w:rsidRPr="00196F7F">
        <w:rPr>
          <w:lang w:val="en-GB"/>
        </w:rPr>
        <w:lastRenderedPageBreak/>
        <w:t>References</w:t>
      </w:r>
    </w:p>
    <w:p w14:paraId="7BA30304" w14:textId="13902AAE" w:rsidR="005A68FA" w:rsidRPr="00196F7F" w:rsidRDefault="005A68FA" w:rsidP="00F60ED0">
      <w:pPr>
        <w:pStyle w:val="SWCText"/>
      </w:pPr>
      <w:r w:rsidRPr="005A68FA">
        <w:t xml:space="preserve">Barco-Burgos J., Bruno J.C., </w:t>
      </w:r>
      <w:proofErr w:type="spellStart"/>
      <w:r w:rsidRPr="005A68FA">
        <w:t>Eicker</w:t>
      </w:r>
      <w:proofErr w:type="spellEnd"/>
      <w:r w:rsidRPr="005A68FA">
        <w:t xml:space="preserve"> U., Saldana-Robles A.L, </w:t>
      </w:r>
      <w:proofErr w:type="spellStart"/>
      <w:r w:rsidRPr="005A68FA">
        <w:t>Alcantar</w:t>
      </w:r>
      <w:proofErr w:type="spellEnd"/>
      <w:r w:rsidRPr="005A68FA">
        <w:t>-Camarena V., “Review on the integration of high-temperature heat pumps in district heating and cooling networks”, Energy, vol. 239, p. 122378, 2022.</w:t>
      </w:r>
    </w:p>
    <w:p w14:paraId="35A12AAA" w14:textId="1DE8B823" w:rsidR="005A68FA" w:rsidRDefault="005A68FA" w:rsidP="00F60ED0">
      <w:pPr>
        <w:pStyle w:val="SWCText"/>
        <w:rPr>
          <w:lang w:val="en-GB"/>
        </w:rPr>
      </w:pPr>
      <w:r w:rsidRPr="005A68FA">
        <w:rPr>
          <w:lang w:val="en-GB"/>
        </w:rPr>
        <w:t>Danfoss Leanheat Network, version 3.0. Simulation software. Available at</w:t>
      </w:r>
      <w:r w:rsidR="001D43A0">
        <w:rPr>
          <w:lang w:val="en-GB"/>
        </w:rPr>
        <w:t xml:space="preserve"> URL</w:t>
      </w:r>
      <w:r w:rsidRPr="005A68FA">
        <w:rPr>
          <w:lang w:val="en-GB"/>
        </w:rPr>
        <w:t>: https://www.danfoss.com/en/products/dhs/software-solutions/products/danfoss-leanheat-software-suite-services/leanheat-network/#tab-overview. (</w:t>
      </w:r>
      <w:r>
        <w:rPr>
          <w:lang w:val="en-GB"/>
        </w:rPr>
        <w:t>visited on</w:t>
      </w:r>
      <w:r w:rsidRPr="005A68FA">
        <w:rPr>
          <w:lang w:val="en-GB"/>
        </w:rPr>
        <w:t xml:space="preserve"> </w:t>
      </w:r>
      <w:r>
        <w:rPr>
          <w:lang w:val="en-GB"/>
        </w:rPr>
        <w:t>10.03.</w:t>
      </w:r>
      <w:r w:rsidRPr="005A68FA">
        <w:rPr>
          <w:lang w:val="en-GB"/>
        </w:rPr>
        <w:t>2026).</w:t>
      </w:r>
    </w:p>
    <w:p w14:paraId="6D4EA84F" w14:textId="439785D2" w:rsidR="003E1E77" w:rsidRDefault="002911DF" w:rsidP="00F60ED0">
      <w:pPr>
        <w:pStyle w:val="SWCText"/>
        <w:rPr>
          <w:lang w:val="en-GB"/>
        </w:rPr>
      </w:pPr>
      <w:r w:rsidRPr="002911DF">
        <w:t>Ember Energy Research CIC</w:t>
      </w:r>
      <w:r w:rsidR="00721F17">
        <w:rPr>
          <w:lang w:val="en-GB"/>
        </w:rPr>
        <w:t xml:space="preserve">. URL: </w:t>
      </w:r>
      <w:r w:rsidR="003E1E77" w:rsidRPr="003E1E77">
        <w:rPr>
          <w:lang w:val="en-GB"/>
        </w:rPr>
        <w:t>https://ember-energy.org/data/electricity-data-explorer/?entity=Austria&amp;chart=trend&amp;data=co2_intensity&amp;fuel=total (visited on 13.08.2026)</w:t>
      </w:r>
    </w:p>
    <w:p w14:paraId="76D5AFC7" w14:textId="247545F8" w:rsidR="003E1E77" w:rsidRDefault="003E1E77" w:rsidP="00F60ED0">
      <w:pPr>
        <w:pStyle w:val="SWCText"/>
        <w:rPr>
          <w:lang w:val="en-GB"/>
        </w:rPr>
      </w:pPr>
      <w:r w:rsidRPr="003E1E77">
        <w:rPr>
          <w:lang w:val="en-GB"/>
        </w:rPr>
        <w:t>Energy Charts – Price spot market. URL: https://www.energy-charts.info/charts/price_spot_market/chart.htm?l=en&amp;c=AT (visited on 10.08.2026)</w:t>
      </w:r>
    </w:p>
    <w:p w14:paraId="0AF7F90E" w14:textId="7432A81E" w:rsidR="00721F17" w:rsidRDefault="00721F17" w:rsidP="00F60ED0">
      <w:pPr>
        <w:pStyle w:val="SWCText"/>
        <w:rPr>
          <w:lang w:val="en-GB"/>
        </w:rPr>
      </w:pPr>
      <w:r>
        <w:rPr>
          <w:lang w:val="en-GB"/>
        </w:rPr>
        <w:t xml:space="preserve">European Commission – EU Emission Trading System. URL: </w:t>
      </w:r>
      <w:r w:rsidRPr="00721F17">
        <w:rPr>
          <w:lang w:val="en-GB"/>
        </w:rPr>
        <w:t>https://climate.ec.europa.eu/areas-action/carbon-markets/eu-emissions-trading-system-eu-ets_en</w:t>
      </w:r>
      <w:r>
        <w:rPr>
          <w:lang w:val="en-GB"/>
        </w:rPr>
        <w:t xml:space="preserve"> (visited on 26.08.2026)</w:t>
      </w:r>
    </w:p>
    <w:p w14:paraId="0065577E" w14:textId="77777777" w:rsidR="003E1E77" w:rsidRPr="003E1E77" w:rsidRDefault="003E1E77" w:rsidP="003E1E77">
      <w:pPr>
        <w:pStyle w:val="SWCText"/>
        <w:rPr>
          <w:lang w:val="en-GB"/>
        </w:rPr>
      </w:pPr>
      <w:proofErr w:type="spellStart"/>
      <w:r w:rsidRPr="003E1E77">
        <w:rPr>
          <w:lang w:val="en-GB"/>
        </w:rPr>
        <w:t>Ommen</w:t>
      </w:r>
      <w:proofErr w:type="spellEnd"/>
      <w:r w:rsidRPr="003E1E77">
        <w:rPr>
          <w:lang w:val="en-GB"/>
        </w:rPr>
        <w:t xml:space="preserve"> T., </w:t>
      </w:r>
      <w:proofErr w:type="spellStart"/>
      <w:r w:rsidRPr="003E1E77">
        <w:rPr>
          <w:lang w:val="en-GB"/>
        </w:rPr>
        <w:t>Markussen</w:t>
      </w:r>
      <w:proofErr w:type="spellEnd"/>
      <w:r w:rsidRPr="003E1E77">
        <w:rPr>
          <w:lang w:val="en-GB"/>
        </w:rPr>
        <w:t xml:space="preserve"> W. B., </w:t>
      </w:r>
      <w:proofErr w:type="spellStart"/>
      <w:r w:rsidRPr="003E1E77">
        <w:rPr>
          <w:lang w:val="en-GB"/>
        </w:rPr>
        <w:t>Elmegaard</w:t>
      </w:r>
      <w:proofErr w:type="spellEnd"/>
      <w:r w:rsidRPr="003E1E77">
        <w:rPr>
          <w:lang w:val="en-GB"/>
        </w:rPr>
        <w:t xml:space="preserve"> B., “Heat pumps in combined heat and power systems”, Energy, vol. 76, p. 989-1000, 2014.</w:t>
      </w:r>
    </w:p>
    <w:p w14:paraId="4657B023" w14:textId="4ADA2576" w:rsidR="003E1E77" w:rsidRPr="00196F7F" w:rsidRDefault="003E1E77" w:rsidP="003E1E77">
      <w:pPr>
        <w:pStyle w:val="SWCText"/>
        <w:rPr>
          <w:lang w:val="de-AT"/>
        </w:rPr>
      </w:pPr>
      <w:proofErr w:type="spellStart"/>
      <w:r w:rsidRPr="00196F7F">
        <w:rPr>
          <w:lang w:val="de-AT"/>
        </w:rPr>
        <w:t>Richlinien</w:t>
      </w:r>
      <w:proofErr w:type="spellEnd"/>
      <w:r w:rsidRPr="00196F7F">
        <w:rPr>
          <w:lang w:val="de-AT"/>
        </w:rPr>
        <w:t xml:space="preserve"> des </w:t>
      </w:r>
      <w:proofErr w:type="spellStart"/>
      <w:r w:rsidRPr="00196F7F">
        <w:rPr>
          <w:lang w:val="de-AT"/>
        </w:rPr>
        <w:t>Osterreichischen</w:t>
      </w:r>
      <w:proofErr w:type="spellEnd"/>
      <w:r w:rsidRPr="00196F7F">
        <w:rPr>
          <w:lang w:val="de-AT"/>
        </w:rPr>
        <w:t xml:space="preserve"> Institut für Bautechnik. “OIB-Richtlinie 6 – Energieeinsparung und Wärmeschutz“, September 2025.</w:t>
      </w:r>
    </w:p>
    <w:p w14:paraId="2AD3230C" w14:textId="036EA25E" w:rsidR="00F60ED0" w:rsidRPr="00196F7F" w:rsidRDefault="00F60ED0" w:rsidP="00F60ED0">
      <w:pPr>
        <w:pStyle w:val="SWCText"/>
        <w:rPr>
          <w:lang w:val="en-GB"/>
        </w:rPr>
      </w:pPr>
      <w:r w:rsidRPr="00196F7F">
        <w:rPr>
          <w:lang w:val="en-GB"/>
        </w:rPr>
        <w:t xml:space="preserve">Sayegh M.A., </w:t>
      </w:r>
      <w:proofErr w:type="spellStart"/>
      <w:r w:rsidRPr="00196F7F">
        <w:rPr>
          <w:lang w:val="en-GB"/>
        </w:rPr>
        <w:t>Jadwiszczak</w:t>
      </w:r>
      <w:proofErr w:type="spellEnd"/>
      <w:r w:rsidRPr="00196F7F">
        <w:rPr>
          <w:lang w:val="en-GB"/>
        </w:rPr>
        <w:t xml:space="preserve"> P., </w:t>
      </w:r>
      <w:proofErr w:type="spellStart"/>
      <w:r w:rsidRPr="00196F7F">
        <w:rPr>
          <w:lang w:val="en-GB"/>
        </w:rPr>
        <w:t>Axcell</w:t>
      </w:r>
      <w:proofErr w:type="spellEnd"/>
      <w:r w:rsidRPr="00196F7F">
        <w:rPr>
          <w:lang w:val="en-GB"/>
        </w:rPr>
        <w:t xml:space="preserve"> B.P., </w:t>
      </w:r>
      <w:proofErr w:type="spellStart"/>
      <w:r w:rsidRPr="00196F7F">
        <w:rPr>
          <w:lang w:val="en-GB"/>
        </w:rPr>
        <w:t>Niemierka</w:t>
      </w:r>
      <w:proofErr w:type="spellEnd"/>
      <w:r w:rsidRPr="00196F7F">
        <w:rPr>
          <w:lang w:val="en-GB"/>
        </w:rPr>
        <w:t xml:space="preserve"> E., </w:t>
      </w:r>
      <w:proofErr w:type="spellStart"/>
      <w:r w:rsidRPr="00196F7F">
        <w:rPr>
          <w:lang w:val="en-GB"/>
        </w:rPr>
        <w:t>Brys</w:t>
      </w:r>
      <w:proofErr w:type="spellEnd"/>
      <w:r w:rsidRPr="00196F7F">
        <w:rPr>
          <w:lang w:val="en-GB"/>
        </w:rPr>
        <w:t xml:space="preserve"> K., </w:t>
      </w:r>
      <w:proofErr w:type="spellStart"/>
      <w:r w:rsidRPr="00196F7F">
        <w:rPr>
          <w:lang w:val="en-GB"/>
        </w:rPr>
        <w:t>Jouhara</w:t>
      </w:r>
      <w:proofErr w:type="spellEnd"/>
      <w:r w:rsidRPr="00196F7F">
        <w:rPr>
          <w:lang w:val="en-GB"/>
        </w:rPr>
        <w:t xml:space="preserve"> H., “Heat pump placement, connection and operational modes in European district heating”, Energy &amp; Buildings, vol. 166, p. 122-144, 2018.</w:t>
      </w:r>
    </w:p>
    <w:p w14:paraId="34727B35" w14:textId="77777777" w:rsidR="00F60ED0" w:rsidRDefault="00F60ED0" w:rsidP="00F60ED0">
      <w:pPr>
        <w:pStyle w:val="SWCText"/>
        <w:rPr>
          <w:lang w:val="en-GB"/>
        </w:rPr>
      </w:pPr>
      <w:r w:rsidRPr="00196F7F">
        <w:rPr>
          <w:lang w:val="en-GB"/>
        </w:rPr>
        <w:t xml:space="preserve">Soleimani A., </w:t>
      </w:r>
      <w:proofErr w:type="spellStart"/>
      <w:r w:rsidRPr="00196F7F">
        <w:rPr>
          <w:lang w:val="en-GB"/>
        </w:rPr>
        <w:t>Davidsson</w:t>
      </w:r>
      <w:proofErr w:type="spellEnd"/>
      <w:r w:rsidRPr="00196F7F">
        <w:rPr>
          <w:lang w:val="en-GB"/>
        </w:rPr>
        <w:t xml:space="preserve"> P., </w:t>
      </w:r>
      <w:proofErr w:type="spellStart"/>
      <w:r w:rsidRPr="00196F7F">
        <w:rPr>
          <w:lang w:val="en-GB"/>
        </w:rPr>
        <w:t>Malekian</w:t>
      </w:r>
      <w:proofErr w:type="spellEnd"/>
      <w:r w:rsidRPr="00196F7F">
        <w:rPr>
          <w:lang w:val="en-GB"/>
        </w:rPr>
        <w:t xml:space="preserve"> R., </w:t>
      </w:r>
      <w:proofErr w:type="spellStart"/>
      <w:r w:rsidRPr="00196F7F">
        <w:rPr>
          <w:lang w:val="en-GB"/>
        </w:rPr>
        <w:t>Spalazzese</w:t>
      </w:r>
      <w:proofErr w:type="spellEnd"/>
      <w:r w:rsidRPr="00196F7F">
        <w:rPr>
          <w:lang w:val="en-GB"/>
        </w:rPr>
        <w:t xml:space="preserve"> R., “</w:t>
      </w:r>
      <w:proofErr w:type="spellStart"/>
      <w:r w:rsidRPr="00196F7F">
        <w:rPr>
          <w:lang w:val="en-GB"/>
        </w:rPr>
        <w:t>Modeling</w:t>
      </w:r>
      <w:proofErr w:type="spellEnd"/>
      <w:r w:rsidRPr="00196F7F">
        <w:rPr>
          <w:lang w:val="en-GB"/>
        </w:rPr>
        <w:t xml:space="preserve"> hybrid energy systems integrating heat pumps and district heating: A systematic review”, Energy &amp; Buildings, vol. 329, 115253, 2025.</w:t>
      </w:r>
    </w:p>
    <w:p w14:paraId="4BD38420" w14:textId="769D1E01" w:rsidR="00B84170" w:rsidRPr="00B84170" w:rsidRDefault="00B84170" w:rsidP="00F60ED0">
      <w:pPr>
        <w:pStyle w:val="SWCText"/>
      </w:pPr>
      <w:proofErr w:type="spellStart"/>
      <w:r w:rsidRPr="00B84170">
        <w:t>Strzalka</w:t>
      </w:r>
      <w:proofErr w:type="spellEnd"/>
      <w:r w:rsidRPr="00B84170">
        <w:t xml:space="preserve"> R., Schneider D., </w:t>
      </w:r>
      <w:proofErr w:type="spellStart"/>
      <w:r w:rsidRPr="00B84170">
        <w:t>Eicker</w:t>
      </w:r>
      <w:proofErr w:type="spellEnd"/>
      <w:r w:rsidRPr="00B84170">
        <w:t xml:space="preserve"> U., “Current status of bio</w:t>
      </w:r>
      <w:r>
        <w:t>energy technologies in Germany”, Renewable and Sustainable Energy Reviews, vol. 72, p. 801-820, 2017.</w:t>
      </w:r>
    </w:p>
    <w:p w14:paraId="777A31E9" w14:textId="48FB81BA" w:rsidR="009B55A6" w:rsidRPr="00196F7F" w:rsidRDefault="003E1E77" w:rsidP="00B214A1">
      <w:pPr>
        <w:pStyle w:val="SWCText"/>
        <w:rPr>
          <w:lang w:val="en-GB"/>
        </w:rPr>
      </w:pPr>
      <w:r w:rsidRPr="003E1E77">
        <w:rPr>
          <w:lang w:val="en-GB"/>
        </w:rPr>
        <w:t xml:space="preserve">Zhu T., Du Y., Liang J., </w:t>
      </w:r>
      <w:proofErr w:type="spellStart"/>
      <w:r w:rsidRPr="003E1E77">
        <w:rPr>
          <w:lang w:val="en-GB"/>
        </w:rPr>
        <w:t>Rohlfs</w:t>
      </w:r>
      <w:proofErr w:type="spellEnd"/>
      <w:r w:rsidRPr="003E1E77">
        <w:rPr>
          <w:lang w:val="en-GB"/>
        </w:rPr>
        <w:t xml:space="preserve"> W., Thorsen J. E., </w:t>
      </w:r>
      <w:proofErr w:type="spellStart"/>
      <w:r w:rsidRPr="003E1E77">
        <w:rPr>
          <w:lang w:val="en-GB"/>
        </w:rPr>
        <w:t>Elmegaard</w:t>
      </w:r>
      <w:proofErr w:type="spellEnd"/>
      <w:r w:rsidRPr="003E1E77">
        <w:rPr>
          <w:lang w:val="en-GB"/>
        </w:rPr>
        <w:t xml:space="preserve"> B., “Integration of booster heat pumps in ultra-low temperature district heating network: Prototype demonstration and refrigerant charge investigation”, Energy &amp; Buildings, vol. 298, 113516, 2023.</w:t>
      </w:r>
    </w:p>
    <w:p w14:paraId="263188FC" w14:textId="77777777" w:rsidR="008F54F8" w:rsidRDefault="008F54F8" w:rsidP="002601EC">
      <w:pPr>
        <w:pStyle w:val="SWCText"/>
      </w:pPr>
    </w:p>
    <w:sectPr w:rsidR="008F54F8" w:rsidSect="00196F7F">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EE543" w14:textId="77777777" w:rsidR="00A615D7" w:rsidRDefault="00A615D7">
      <w:r>
        <w:separator/>
      </w:r>
    </w:p>
  </w:endnote>
  <w:endnote w:type="continuationSeparator" w:id="0">
    <w:p w14:paraId="041A1406" w14:textId="77777777" w:rsidR="00A615D7" w:rsidRDefault="00A6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53F86" w14:textId="77777777" w:rsidR="00A615D7" w:rsidRDefault="00A615D7">
      <w:r>
        <w:separator/>
      </w:r>
    </w:p>
  </w:footnote>
  <w:footnote w:type="continuationSeparator" w:id="0">
    <w:p w14:paraId="19500F64" w14:textId="77777777" w:rsidR="00A615D7" w:rsidRDefault="00A61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60A5198"/>
    <w:multiLevelType w:val="hybridMultilevel"/>
    <w:tmpl w:val="8A848E22"/>
    <w:lvl w:ilvl="0" w:tplc="7494CE5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94B35F9"/>
    <w:multiLevelType w:val="hybridMultilevel"/>
    <w:tmpl w:val="6226C90E"/>
    <w:lvl w:ilvl="0" w:tplc="7494CE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7C495D85"/>
    <w:multiLevelType w:val="hybridMultilevel"/>
    <w:tmpl w:val="9558D0EA"/>
    <w:lvl w:ilvl="0" w:tplc="66BE1D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2247392">
    <w:abstractNumId w:val="5"/>
  </w:num>
  <w:num w:numId="2" w16cid:durableId="1124035355">
    <w:abstractNumId w:val="12"/>
  </w:num>
  <w:num w:numId="3" w16cid:durableId="1706251371">
    <w:abstractNumId w:val="10"/>
  </w:num>
  <w:num w:numId="4" w16cid:durableId="962925499">
    <w:abstractNumId w:val="24"/>
  </w:num>
  <w:num w:numId="5" w16cid:durableId="2045858819">
    <w:abstractNumId w:val="4"/>
  </w:num>
  <w:num w:numId="6" w16cid:durableId="900018047">
    <w:abstractNumId w:val="3"/>
  </w:num>
  <w:num w:numId="7" w16cid:durableId="1647935292">
    <w:abstractNumId w:val="0"/>
  </w:num>
  <w:num w:numId="8" w16cid:durableId="1799716204">
    <w:abstractNumId w:val="2"/>
  </w:num>
  <w:num w:numId="9" w16cid:durableId="2023969678">
    <w:abstractNumId w:val="1"/>
  </w:num>
  <w:num w:numId="10" w16cid:durableId="14383423">
    <w:abstractNumId w:val="6"/>
  </w:num>
  <w:num w:numId="11" w16cid:durableId="1066608854">
    <w:abstractNumId w:val="19"/>
  </w:num>
  <w:num w:numId="12" w16cid:durableId="314649626">
    <w:abstractNumId w:val="15"/>
  </w:num>
  <w:num w:numId="13" w16cid:durableId="1759787190">
    <w:abstractNumId w:val="6"/>
    <w:lvlOverride w:ilvl="0">
      <w:startOverride w:val="1"/>
    </w:lvlOverride>
  </w:num>
  <w:num w:numId="14" w16cid:durableId="179324290">
    <w:abstractNumId w:val="18"/>
  </w:num>
  <w:num w:numId="15" w16cid:durableId="120853973">
    <w:abstractNumId w:val="7"/>
  </w:num>
  <w:num w:numId="16" w16cid:durableId="2141338808">
    <w:abstractNumId w:val="14"/>
  </w:num>
  <w:num w:numId="17" w16cid:durableId="502284818">
    <w:abstractNumId w:val="17"/>
  </w:num>
  <w:num w:numId="18" w16cid:durableId="2121222660">
    <w:abstractNumId w:val="21"/>
  </w:num>
  <w:num w:numId="19" w16cid:durableId="1620334460">
    <w:abstractNumId w:val="9"/>
  </w:num>
  <w:num w:numId="20" w16cid:durableId="1084301113">
    <w:abstractNumId w:val="8"/>
  </w:num>
  <w:num w:numId="21" w16cid:durableId="135686352">
    <w:abstractNumId w:val="13"/>
  </w:num>
  <w:num w:numId="22" w16cid:durableId="950815796">
    <w:abstractNumId w:val="20"/>
  </w:num>
  <w:num w:numId="23" w16cid:durableId="1031341115">
    <w:abstractNumId w:val="16"/>
  </w:num>
  <w:num w:numId="24" w16cid:durableId="762190190">
    <w:abstractNumId w:val="22"/>
  </w:num>
  <w:num w:numId="25" w16cid:durableId="1756658650">
    <w:abstractNumId w:val="25"/>
  </w:num>
  <w:num w:numId="26" w16cid:durableId="760300332">
    <w:abstractNumId w:val="11"/>
  </w:num>
  <w:num w:numId="27" w16cid:durableId="19367452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BF3"/>
    <w:rsid w:val="000067DB"/>
    <w:rsid w:val="0000752D"/>
    <w:rsid w:val="00010262"/>
    <w:rsid w:val="00020584"/>
    <w:rsid w:val="0002379F"/>
    <w:rsid w:val="00024E7D"/>
    <w:rsid w:val="00026763"/>
    <w:rsid w:val="00031F13"/>
    <w:rsid w:val="000346AA"/>
    <w:rsid w:val="0004235D"/>
    <w:rsid w:val="0005003E"/>
    <w:rsid w:val="000533E4"/>
    <w:rsid w:val="000534F5"/>
    <w:rsid w:val="00053E02"/>
    <w:rsid w:val="00055DB9"/>
    <w:rsid w:val="00055F03"/>
    <w:rsid w:val="00057B5E"/>
    <w:rsid w:val="00066B26"/>
    <w:rsid w:val="00066F72"/>
    <w:rsid w:val="00067208"/>
    <w:rsid w:val="000678AC"/>
    <w:rsid w:val="000712A1"/>
    <w:rsid w:val="00074DBF"/>
    <w:rsid w:val="000767E6"/>
    <w:rsid w:val="00077A32"/>
    <w:rsid w:val="00081EE4"/>
    <w:rsid w:val="00083A88"/>
    <w:rsid w:val="00092ED5"/>
    <w:rsid w:val="000A03A8"/>
    <w:rsid w:val="000A0ADB"/>
    <w:rsid w:val="000A1CC8"/>
    <w:rsid w:val="000A30A5"/>
    <w:rsid w:val="000A36B5"/>
    <w:rsid w:val="000A52A1"/>
    <w:rsid w:val="000B04BE"/>
    <w:rsid w:val="000B09B5"/>
    <w:rsid w:val="000B1F4D"/>
    <w:rsid w:val="000B65BD"/>
    <w:rsid w:val="000C2344"/>
    <w:rsid w:val="000D41BC"/>
    <w:rsid w:val="000D64B9"/>
    <w:rsid w:val="000D6E1A"/>
    <w:rsid w:val="000E1855"/>
    <w:rsid w:val="000E23EB"/>
    <w:rsid w:val="000E6CBA"/>
    <w:rsid w:val="000E6FD5"/>
    <w:rsid w:val="000F1086"/>
    <w:rsid w:val="000F2A17"/>
    <w:rsid w:val="000F739B"/>
    <w:rsid w:val="00100CA7"/>
    <w:rsid w:val="0010501A"/>
    <w:rsid w:val="00115D3B"/>
    <w:rsid w:val="0013222F"/>
    <w:rsid w:val="00136177"/>
    <w:rsid w:val="00140A27"/>
    <w:rsid w:val="001426BD"/>
    <w:rsid w:val="00144AFA"/>
    <w:rsid w:val="0015090D"/>
    <w:rsid w:val="00150B42"/>
    <w:rsid w:val="00155FB8"/>
    <w:rsid w:val="00157CE5"/>
    <w:rsid w:val="00162B2D"/>
    <w:rsid w:val="001647D2"/>
    <w:rsid w:val="00166C42"/>
    <w:rsid w:val="00172425"/>
    <w:rsid w:val="00174103"/>
    <w:rsid w:val="0017590A"/>
    <w:rsid w:val="00176EF6"/>
    <w:rsid w:val="0018208D"/>
    <w:rsid w:val="001904A7"/>
    <w:rsid w:val="0019232E"/>
    <w:rsid w:val="00194E9A"/>
    <w:rsid w:val="001968B5"/>
    <w:rsid w:val="001969B9"/>
    <w:rsid w:val="00196F7F"/>
    <w:rsid w:val="001A09F8"/>
    <w:rsid w:val="001A117A"/>
    <w:rsid w:val="001A1875"/>
    <w:rsid w:val="001A775B"/>
    <w:rsid w:val="001A7F40"/>
    <w:rsid w:val="001B13D6"/>
    <w:rsid w:val="001B6BCF"/>
    <w:rsid w:val="001B761E"/>
    <w:rsid w:val="001B7B01"/>
    <w:rsid w:val="001C3A3D"/>
    <w:rsid w:val="001C59DA"/>
    <w:rsid w:val="001C63A2"/>
    <w:rsid w:val="001D0384"/>
    <w:rsid w:val="001D135D"/>
    <w:rsid w:val="001D2E58"/>
    <w:rsid w:val="001D2F8C"/>
    <w:rsid w:val="001D43A0"/>
    <w:rsid w:val="001D4912"/>
    <w:rsid w:val="001D57FF"/>
    <w:rsid w:val="001E2B93"/>
    <w:rsid w:val="001F1AAA"/>
    <w:rsid w:val="001F1C37"/>
    <w:rsid w:val="001F2881"/>
    <w:rsid w:val="001F3C15"/>
    <w:rsid w:val="00202BD1"/>
    <w:rsid w:val="002048F9"/>
    <w:rsid w:val="00205626"/>
    <w:rsid w:val="00206116"/>
    <w:rsid w:val="00212628"/>
    <w:rsid w:val="0022126C"/>
    <w:rsid w:val="00221EB9"/>
    <w:rsid w:val="0022299B"/>
    <w:rsid w:val="0022330E"/>
    <w:rsid w:val="00225724"/>
    <w:rsid w:val="002261E8"/>
    <w:rsid w:val="002331FE"/>
    <w:rsid w:val="00240C85"/>
    <w:rsid w:val="00240E8C"/>
    <w:rsid w:val="0024113D"/>
    <w:rsid w:val="00242147"/>
    <w:rsid w:val="00243214"/>
    <w:rsid w:val="0024599E"/>
    <w:rsid w:val="002470B2"/>
    <w:rsid w:val="00247A55"/>
    <w:rsid w:val="0025196C"/>
    <w:rsid w:val="00253A58"/>
    <w:rsid w:val="002601EC"/>
    <w:rsid w:val="002647A0"/>
    <w:rsid w:val="00264E71"/>
    <w:rsid w:val="00266E47"/>
    <w:rsid w:val="002672E1"/>
    <w:rsid w:val="00270E75"/>
    <w:rsid w:val="0027288C"/>
    <w:rsid w:val="00273341"/>
    <w:rsid w:val="00274B48"/>
    <w:rsid w:val="00281D0B"/>
    <w:rsid w:val="00282E49"/>
    <w:rsid w:val="002847B3"/>
    <w:rsid w:val="002911DF"/>
    <w:rsid w:val="00296796"/>
    <w:rsid w:val="0029713A"/>
    <w:rsid w:val="002972D1"/>
    <w:rsid w:val="002A04A9"/>
    <w:rsid w:val="002A39BB"/>
    <w:rsid w:val="002A46DB"/>
    <w:rsid w:val="002B037D"/>
    <w:rsid w:val="002B417A"/>
    <w:rsid w:val="002C04C4"/>
    <w:rsid w:val="002C089D"/>
    <w:rsid w:val="002C101B"/>
    <w:rsid w:val="002C2D71"/>
    <w:rsid w:val="002C68AD"/>
    <w:rsid w:val="002D322C"/>
    <w:rsid w:val="002D4864"/>
    <w:rsid w:val="002E5D62"/>
    <w:rsid w:val="002E78C0"/>
    <w:rsid w:val="002F1386"/>
    <w:rsid w:val="002F1D87"/>
    <w:rsid w:val="002F53D9"/>
    <w:rsid w:val="002F6B87"/>
    <w:rsid w:val="00303345"/>
    <w:rsid w:val="0030357F"/>
    <w:rsid w:val="00315158"/>
    <w:rsid w:val="0031685E"/>
    <w:rsid w:val="003357AC"/>
    <w:rsid w:val="003373C3"/>
    <w:rsid w:val="00352189"/>
    <w:rsid w:val="00352CE1"/>
    <w:rsid w:val="0035638A"/>
    <w:rsid w:val="00356B40"/>
    <w:rsid w:val="003605B9"/>
    <w:rsid w:val="00362122"/>
    <w:rsid w:val="00364A52"/>
    <w:rsid w:val="00373B0F"/>
    <w:rsid w:val="00373F97"/>
    <w:rsid w:val="0037406D"/>
    <w:rsid w:val="00374216"/>
    <w:rsid w:val="00376971"/>
    <w:rsid w:val="0037705F"/>
    <w:rsid w:val="0038545D"/>
    <w:rsid w:val="003868F9"/>
    <w:rsid w:val="003869E8"/>
    <w:rsid w:val="00391288"/>
    <w:rsid w:val="00391AB2"/>
    <w:rsid w:val="0039290C"/>
    <w:rsid w:val="00393777"/>
    <w:rsid w:val="00395E5A"/>
    <w:rsid w:val="00395F5E"/>
    <w:rsid w:val="0039742D"/>
    <w:rsid w:val="003A33AF"/>
    <w:rsid w:val="003A3A38"/>
    <w:rsid w:val="003A7DB9"/>
    <w:rsid w:val="003B0D2E"/>
    <w:rsid w:val="003B14C5"/>
    <w:rsid w:val="003B15DC"/>
    <w:rsid w:val="003B2055"/>
    <w:rsid w:val="003B632D"/>
    <w:rsid w:val="003C0806"/>
    <w:rsid w:val="003C18DE"/>
    <w:rsid w:val="003C1B31"/>
    <w:rsid w:val="003C2B1A"/>
    <w:rsid w:val="003C39C6"/>
    <w:rsid w:val="003C7E95"/>
    <w:rsid w:val="003D0C22"/>
    <w:rsid w:val="003D2018"/>
    <w:rsid w:val="003D3938"/>
    <w:rsid w:val="003D6941"/>
    <w:rsid w:val="003E1E1C"/>
    <w:rsid w:val="003E1E77"/>
    <w:rsid w:val="003E4C90"/>
    <w:rsid w:val="003E5256"/>
    <w:rsid w:val="003F0403"/>
    <w:rsid w:val="003F5B99"/>
    <w:rsid w:val="004019FD"/>
    <w:rsid w:val="00403E6A"/>
    <w:rsid w:val="004053B5"/>
    <w:rsid w:val="0040581F"/>
    <w:rsid w:val="0040615A"/>
    <w:rsid w:val="00407E98"/>
    <w:rsid w:val="00411E29"/>
    <w:rsid w:val="004127FA"/>
    <w:rsid w:val="00416793"/>
    <w:rsid w:val="0042033E"/>
    <w:rsid w:val="004357AD"/>
    <w:rsid w:val="00453296"/>
    <w:rsid w:val="0046315E"/>
    <w:rsid w:val="0046326B"/>
    <w:rsid w:val="00467DFD"/>
    <w:rsid w:val="00473B65"/>
    <w:rsid w:val="00475261"/>
    <w:rsid w:val="00476879"/>
    <w:rsid w:val="0047741E"/>
    <w:rsid w:val="00490F10"/>
    <w:rsid w:val="00493C81"/>
    <w:rsid w:val="00494006"/>
    <w:rsid w:val="004971D5"/>
    <w:rsid w:val="004A14C9"/>
    <w:rsid w:val="004A3506"/>
    <w:rsid w:val="004B0CD4"/>
    <w:rsid w:val="004B21BF"/>
    <w:rsid w:val="004C0DFC"/>
    <w:rsid w:val="004C2B4F"/>
    <w:rsid w:val="004C39AD"/>
    <w:rsid w:val="004C4EE9"/>
    <w:rsid w:val="004D0B0E"/>
    <w:rsid w:val="004D123B"/>
    <w:rsid w:val="004E2698"/>
    <w:rsid w:val="004E5D79"/>
    <w:rsid w:val="004F0BAF"/>
    <w:rsid w:val="004F4904"/>
    <w:rsid w:val="004F5FF9"/>
    <w:rsid w:val="00500640"/>
    <w:rsid w:val="00500D7D"/>
    <w:rsid w:val="005067AC"/>
    <w:rsid w:val="00510999"/>
    <w:rsid w:val="00514890"/>
    <w:rsid w:val="0051584D"/>
    <w:rsid w:val="00521A24"/>
    <w:rsid w:val="00524D23"/>
    <w:rsid w:val="0053048D"/>
    <w:rsid w:val="00532138"/>
    <w:rsid w:val="0053491C"/>
    <w:rsid w:val="0053532A"/>
    <w:rsid w:val="005404F1"/>
    <w:rsid w:val="00544D85"/>
    <w:rsid w:val="00550776"/>
    <w:rsid w:val="00556004"/>
    <w:rsid w:val="0055618C"/>
    <w:rsid w:val="00561FC4"/>
    <w:rsid w:val="00564472"/>
    <w:rsid w:val="00566460"/>
    <w:rsid w:val="0057075C"/>
    <w:rsid w:val="0057117E"/>
    <w:rsid w:val="005721F8"/>
    <w:rsid w:val="00575AE3"/>
    <w:rsid w:val="005836C7"/>
    <w:rsid w:val="00587B8A"/>
    <w:rsid w:val="00590413"/>
    <w:rsid w:val="00590C53"/>
    <w:rsid w:val="00597628"/>
    <w:rsid w:val="005A2BC9"/>
    <w:rsid w:val="005A3B5A"/>
    <w:rsid w:val="005A4CB3"/>
    <w:rsid w:val="005A68FA"/>
    <w:rsid w:val="005B3E86"/>
    <w:rsid w:val="005B6F55"/>
    <w:rsid w:val="005C248E"/>
    <w:rsid w:val="005C2729"/>
    <w:rsid w:val="005C5F5D"/>
    <w:rsid w:val="005D1066"/>
    <w:rsid w:val="005D5CF6"/>
    <w:rsid w:val="005D6C9C"/>
    <w:rsid w:val="005E04EA"/>
    <w:rsid w:val="005E0D7D"/>
    <w:rsid w:val="005E1BA5"/>
    <w:rsid w:val="005E7208"/>
    <w:rsid w:val="005F0315"/>
    <w:rsid w:val="005F106F"/>
    <w:rsid w:val="005F2A14"/>
    <w:rsid w:val="00602EF5"/>
    <w:rsid w:val="00607C4E"/>
    <w:rsid w:val="00613AF9"/>
    <w:rsid w:val="006162CA"/>
    <w:rsid w:val="0061732F"/>
    <w:rsid w:val="0062142E"/>
    <w:rsid w:val="0062257E"/>
    <w:rsid w:val="006227E9"/>
    <w:rsid w:val="00625287"/>
    <w:rsid w:val="00625BC2"/>
    <w:rsid w:val="00627E34"/>
    <w:rsid w:val="006309AA"/>
    <w:rsid w:val="006316CA"/>
    <w:rsid w:val="006319B6"/>
    <w:rsid w:val="00633473"/>
    <w:rsid w:val="00636ED9"/>
    <w:rsid w:val="0063711C"/>
    <w:rsid w:val="006379BD"/>
    <w:rsid w:val="0064403B"/>
    <w:rsid w:val="006500EC"/>
    <w:rsid w:val="00652071"/>
    <w:rsid w:val="00652D7E"/>
    <w:rsid w:val="00653551"/>
    <w:rsid w:val="00654C54"/>
    <w:rsid w:val="0065563B"/>
    <w:rsid w:val="00660196"/>
    <w:rsid w:val="00665471"/>
    <w:rsid w:val="006722C6"/>
    <w:rsid w:val="006765E6"/>
    <w:rsid w:val="00681B75"/>
    <w:rsid w:val="00683D42"/>
    <w:rsid w:val="0068525B"/>
    <w:rsid w:val="006912C1"/>
    <w:rsid w:val="00692D7F"/>
    <w:rsid w:val="00696FEA"/>
    <w:rsid w:val="006A0AE2"/>
    <w:rsid w:val="006A2F10"/>
    <w:rsid w:val="006A77D0"/>
    <w:rsid w:val="006B3D49"/>
    <w:rsid w:val="006B4C9F"/>
    <w:rsid w:val="006C756C"/>
    <w:rsid w:val="006D0927"/>
    <w:rsid w:val="006D19E1"/>
    <w:rsid w:val="006D387B"/>
    <w:rsid w:val="006D4A96"/>
    <w:rsid w:val="006E46B4"/>
    <w:rsid w:val="006E7671"/>
    <w:rsid w:val="006F0DC2"/>
    <w:rsid w:val="006F175F"/>
    <w:rsid w:val="006F3259"/>
    <w:rsid w:val="006F5B85"/>
    <w:rsid w:val="007005F5"/>
    <w:rsid w:val="00702AE0"/>
    <w:rsid w:val="00714951"/>
    <w:rsid w:val="007174DA"/>
    <w:rsid w:val="00721F17"/>
    <w:rsid w:val="00722B51"/>
    <w:rsid w:val="007241B5"/>
    <w:rsid w:val="00725ED2"/>
    <w:rsid w:val="00735610"/>
    <w:rsid w:val="007400DF"/>
    <w:rsid w:val="007528D4"/>
    <w:rsid w:val="007535ED"/>
    <w:rsid w:val="00754050"/>
    <w:rsid w:val="0075406E"/>
    <w:rsid w:val="00756702"/>
    <w:rsid w:val="00760623"/>
    <w:rsid w:val="00761B6C"/>
    <w:rsid w:val="00762EA3"/>
    <w:rsid w:val="00766687"/>
    <w:rsid w:val="00773B5E"/>
    <w:rsid w:val="007763CB"/>
    <w:rsid w:val="007804A7"/>
    <w:rsid w:val="00785380"/>
    <w:rsid w:val="007908F6"/>
    <w:rsid w:val="007925BA"/>
    <w:rsid w:val="00793EE9"/>
    <w:rsid w:val="007954D9"/>
    <w:rsid w:val="007A7952"/>
    <w:rsid w:val="007B0BDB"/>
    <w:rsid w:val="007B33DF"/>
    <w:rsid w:val="007C1632"/>
    <w:rsid w:val="007C36EF"/>
    <w:rsid w:val="007C6BDE"/>
    <w:rsid w:val="007D0678"/>
    <w:rsid w:val="007D1A42"/>
    <w:rsid w:val="007D1C2C"/>
    <w:rsid w:val="007D50F3"/>
    <w:rsid w:val="007E0BC5"/>
    <w:rsid w:val="007E3E8B"/>
    <w:rsid w:val="007E7634"/>
    <w:rsid w:val="007F679C"/>
    <w:rsid w:val="00800E25"/>
    <w:rsid w:val="00801634"/>
    <w:rsid w:val="0080537B"/>
    <w:rsid w:val="00810603"/>
    <w:rsid w:val="00811918"/>
    <w:rsid w:val="00816ACE"/>
    <w:rsid w:val="008219CF"/>
    <w:rsid w:val="008314FC"/>
    <w:rsid w:val="00834062"/>
    <w:rsid w:val="00836AB3"/>
    <w:rsid w:val="00837104"/>
    <w:rsid w:val="00840E8F"/>
    <w:rsid w:val="0084100F"/>
    <w:rsid w:val="008446FF"/>
    <w:rsid w:val="00844F36"/>
    <w:rsid w:val="00845AE3"/>
    <w:rsid w:val="00867ABC"/>
    <w:rsid w:val="0087241B"/>
    <w:rsid w:val="008776A5"/>
    <w:rsid w:val="00893500"/>
    <w:rsid w:val="00897E8D"/>
    <w:rsid w:val="008A0437"/>
    <w:rsid w:val="008A781D"/>
    <w:rsid w:val="008B49D5"/>
    <w:rsid w:val="008B618F"/>
    <w:rsid w:val="008C7EF6"/>
    <w:rsid w:val="008D44C5"/>
    <w:rsid w:val="008D7E85"/>
    <w:rsid w:val="008E19FF"/>
    <w:rsid w:val="008E1DEF"/>
    <w:rsid w:val="008E53FF"/>
    <w:rsid w:val="008F07A8"/>
    <w:rsid w:val="008F0CFA"/>
    <w:rsid w:val="008F249D"/>
    <w:rsid w:val="008F3A58"/>
    <w:rsid w:val="008F54F8"/>
    <w:rsid w:val="008F7A45"/>
    <w:rsid w:val="009011AA"/>
    <w:rsid w:val="009015EF"/>
    <w:rsid w:val="00901953"/>
    <w:rsid w:val="00904774"/>
    <w:rsid w:val="00906CC3"/>
    <w:rsid w:val="00917D56"/>
    <w:rsid w:val="00930D11"/>
    <w:rsid w:val="00931C9D"/>
    <w:rsid w:val="00933A00"/>
    <w:rsid w:val="00933BFD"/>
    <w:rsid w:val="009400F4"/>
    <w:rsid w:val="00941691"/>
    <w:rsid w:val="00942AED"/>
    <w:rsid w:val="00943046"/>
    <w:rsid w:val="00944E25"/>
    <w:rsid w:val="00953F15"/>
    <w:rsid w:val="0096408B"/>
    <w:rsid w:val="009642AB"/>
    <w:rsid w:val="00966EFB"/>
    <w:rsid w:val="00976A7F"/>
    <w:rsid w:val="00981865"/>
    <w:rsid w:val="00982BCB"/>
    <w:rsid w:val="00982FBD"/>
    <w:rsid w:val="0099278F"/>
    <w:rsid w:val="00993942"/>
    <w:rsid w:val="00993F03"/>
    <w:rsid w:val="0099435F"/>
    <w:rsid w:val="0099527A"/>
    <w:rsid w:val="00996BC5"/>
    <w:rsid w:val="00997BC0"/>
    <w:rsid w:val="009A6D34"/>
    <w:rsid w:val="009B11C0"/>
    <w:rsid w:val="009B4816"/>
    <w:rsid w:val="009B55A6"/>
    <w:rsid w:val="009B7F4B"/>
    <w:rsid w:val="009C05D1"/>
    <w:rsid w:val="009C1BA8"/>
    <w:rsid w:val="009C2D0D"/>
    <w:rsid w:val="009C3492"/>
    <w:rsid w:val="009C49C6"/>
    <w:rsid w:val="009C5AA4"/>
    <w:rsid w:val="009C77BE"/>
    <w:rsid w:val="009C7E58"/>
    <w:rsid w:val="009D02D4"/>
    <w:rsid w:val="009D097D"/>
    <w:rsid w:val="009D51DD"/>
    <w:rsid w:val="009D60E3"/>
    <w:rsid w:val="009E0D67"/>
    <w:rsid w:val="009E1E6B"/>
    <w:rsid w:val="009E4985"/>
    <w:rsid w:val="009F16C5"/>
    <w:rsid w:val="009F3E11"/>
    <w:rsid w:val="009F6AF8"/>
    <w:rsid w:val="009F6E78"/>
    <w:rsid w:val="009F7142"/>
    <w:rsid w:val="009F7A4B"/>
    <w:rsid w:val="009F7C7E"/>
    <w:rsid w:val="009F7DB6"/>
    <w:rsid w:val="00A01148"/>
    <w:rsid w:val="00A13B0A"/>
    <w:rsid w:val="00A25E04"/>
    <w:rsid w:val="00A305C9"/>
    <w:rsid w:val="00A31DC5"/>
    <w:rsid w:val="00A35615"/>
    <w:rsid w:val="00A40C81"/>
    <w:rsid w:val="00A436CD"/>
    <w:rsid w:val="00A50F9D"/>
    <w:rsid w:val="00A5180B"/>
    <w:rsid w:val="00A55CD4"/>
    <w:rsid w:val="00A55E36"/>
    <w:rsid w:val="00A5719A"/>
    <w:rsid w:val="00A615D7"/>
    <w:rsid w:val="00A6457C"/>
    <w:rsid w:val="00A73554"/>
    <w:rsid w:val="00A74211"/>
    <w:rsid w:val="00A8223C"/>
    <w:rsid w:val="00A8757B"/>
    <w:rsid w:val="00A92044"/>
    <w:rsid w:val="00A9727D"/>
    <w:rsid w:val="00AA16B9"/>
    <w:rsid w:val="00AA3DFF"/>
    <w:rsid w:val="00AA47DC"/>
    <w:rsid w:val="00AA4DA8"/>
    <w:rsid w:val="00AB624E"/>
    <w:rsid w:val="00AC189D"/>
    <w:rsid w:val="00AC2C09"/>
    <w:rsid w:val="00AC6B6F"/>
    <w:rsid w:val="00AD25FA"/>
    <w:rsid w:val="00AD37DF"/>
    <w:rsid w:val="00AE11FC"/>
    <w:rsid w:val="00AE21BF"/>
    <w:rsid w:val="00AE4CC7"/>
    <w:rsid w:val="00AE6354"/>
    <w:rsid w:val="00AF049A"/>
    <w:rsid w:val="00AF15AF"/>
    <w:rsid w:val="00AF3A9C"/>
    <w:rsid w:val="00AF6EB4"/>
    <w:rsid w:val="00B01141"/>
    <w:rsid w:val="00B02E33"/>
    <w:rsid w:val="00B04CF2"/>
    <w:rsid w:val="00B1052B"/>
    <w:rsid w:val="00B12803"/>
    <w:rsid w:val="00B214A1"/>
    <w:rsid w:val="00B22C34"/>
    <w:rsid w:val="00B22D5C"/>
    <w:rsid w:val="00B24EF4"/>
    <w:rsid w:val="00B263F0"/>
    <w:rsid w:val="00B27017"/>
    <w:rsid w:val="00B2716E"/>
    <w:rsid w:val="00B31661"/>
    <w:rsid w:val="00B32703"/>
    <w:rsid w:val="00B44939"/>
    <w:rsid w:val="00B47522"/>
    <w:rsid w:val="00B5097B"/>
    <w:rsid w:val="00B52018"/>
    <w:rsid w:val="00B54313"/>
    <w:rsid w:val="00B60B5F"/>
    <w:rsid w:val="00B61D1D"/>
    <w:rsid w:val="00B6496F"/>
    <w:rsid w:val="00B70297"/>
    <w:rsid w:val="00B8064D"/>
    <w:rsid w:val="00B80F06"/>
    <w:rsid w:val="00B827C6"/>
    <w:rsid w:val="00B84170"/>
    <w:rsid w:val="00B84CEB"/>
    <w:rsid w:val="00B86327"/>
    <w:rsid w:val="00B93F09"/>
    <w:rsid w:val="00B96B9D"/>
    <w:rsid w:val="00BA23FC"/>
    <w:rsid w:val="00BA354C"/>
    <w:rsid w:val="00BB0263"/>
    <w:rsid w:val="00BB1390"/>
    <w:rsid w:val="00BC738E"/>
    <w:rsid w:val="00BD0576"/>
    <w:rsid w:val="00BE3C31"/>
    <w:rsid w:val="00BE4864"/>
    <w:rsid w:val="00BE50D0"/>
    <w:rsid w:val="00BF16FE"/>
    <w:rsid w:val="00C012F5"/>
    <w:rsid w:val="00C068BC"/>
    <w:rsid w:val="00C17081"/>
    <w:rsid w:val="00C177C3"/>
    <w:rsid w:val="00C20A85"/>
    <w:rsid w:val="00C265B0"/>
    <w:rsid w:val="00C27FD4"/>
    <w:rsid w:val="00C3298D"/>
    <w:rsid w:val="00C34DD2"/>
    <w:rsid w:val="00C3514D"/>
    <w:rsid w:val="00C35421"/>
    <w:rsid w:val="00C365E2"/>
    <w:rsid w:val="00C371C5"/>
    <w:rsid w:val="00C42FE1"/>
    <w:rsid w:val="00C44EFB"/>
    <w:rsid w:val="00C5135D"/>
    <w:rsid w:val="00C54A12"/>
    <w:rsid w:val="00C55264"/>
    <w:rsid w:val="00C61486"/>
    <w:rsid w:val="00C64222"/>
    <w:rsid w:val="00C6695C"/>
    <w:rsid w:val="00C76183"/>
    <w:rsid w:val="00C97946"/>
    <w:rsid w:val="00CA4F91"/>
    <w:rsid w:val="00CA7ABB"/>
    <w:rsid w:val="00CB57E5"/>
    <w:rsid w:val="00CB6602"/>
    <w:rsid w:val="00CB7EE8"/>
    <w:rsid w:val="00CC0BDA"/>
    <w:rsid w:val="00CC3B0C"/>
    <w:rsid w:val="00CC445A"/>
    <w:rsid w:val="00CD1337"/>
    <w:rsid w:val="00CD3A36"/>
    <w:rsid w:val="00CD4EFC"/>
    <w:rsid w:val="00CE0350"/>
    <w:rsid w:val="00CE432C"/>
    <w:rsid w:val="00CE6DBB"/>
    <w:rsid w:val="00D0520C"/>
    <w:rsid w:val="00D07887"/>
    <w:rsid w:val="00D14555"/>
    <w:rsid w:val="00D14855"/>
    <w:rsid w:val="00D17DCC"/>
    <w:rsid w:val="00D226D7"/>
    <w:rsid w:val="00D31359"/>
    <w:rsid w:val="00D329EF"/>
    <w:rsid w:val="00D32EF0"/>
    <w:rsid w:val="00D34665"/>
    <w:rsid w:val="00D35E52"/>
    <w:rsid w:val="00D36FA6"/>
    <w:rsid w:val="00D40984"/>
    <w:rsid w:val="00D41A12"/>
    <w:rsid w:val="00D41E9A"/>
    <w:rsid w:val="00D470B7"/>
    <w:rsid w:val="00D53F31"/>
    <w:rsid w:val="00D5584D"/>
    <w:rsid w:val="00D579D5"/>
    <w:rsid w:val="00D62269"/>
    <w:rsid w:val="00D62EDC"/>
    <w:rsid w:val="00D63D44"/>
    <w:rsid w:val="00D65CD8"/>
    <w:rsid w:val="00D8372E"/>
    <w:rsid w:val="00D9545A"/>
    <w:rsid w:val="00D95F86"/>
    <w:rsid w:val="00D976DC"/>
    <w:rsid w:val="00DA244B"/>
    <w:rsid w:val="00DA4F8E"/>
    <w:rsid w:val="00DA7F88"/>
    <w:rsid w:val="00DB52E7"/>
    <w:rsid w:val="00DB69A6"/>
    <w:rsid w:val="00DC0318"/>
    <w:rsid w:val="00DC16B5"/>
    <w:rsid w:val="00DC658A"/>
    <w:rsid w:val="00DD00F2"/>
    <w:rsid w:val="00DD1D5F"/>
    <w:rsid w:val="00DD3DAE"/>
    <w:rsid w:val="00DE0269"/>
    <w:rsid w:val="00DE43D6"/>
    <w:rsid w:val="00DF1E16"/>
    <w:rsid w:val="00DF47B4"/>
    <w:rsid w:val="00DF5E35"/>
    <w:rsid w:val="00E012C5"/>
    <w:rsid w:val="00E023A9"/>
    <w:rsid w:val="00E052F3"/>
    <w:rsid w:val="00E07D1B"/>
    <w:rsid w:val="00E1006D"/>
    <w:rsid w:val="00E14676"/>
    <w:rsid w:val="00E157BB"/>
    <w:rsid w:val="00E218E2"/>
    <w:rsid w:val="00E23FEE"/>
    <w:rsid w:val="00E24C39"/>
    <w:rsid w:val="00E272F3"/>
    <w:rsid w:val="00E27BA6"/>
    <w:rsid w:val="00E416D4"/>
    <w:rsid w:val="00E41D65"/>
    <w:rsid w:val="00E41EC8"/>
    <w:rsid w:val="00E4737B"/>
    <w:rsid w:val="00E53F82"/>
    <w:rsid w:val="00E548A7"/>
    <w:rsid w:val="00E55FCD"/>
    <w:rsid w:val="00E57E49"/>
    <w:rsid w:val="00E61C50"/>
    <w:rsid w:val="00E65D4A"/>
    <w:rsid w:val="00E7237D"/>
    <w:rsid w:val="00E80310"/>
    <w:rsid w:val="00E917F8"/>
    <w:rsid w:val="00E91DE0"/>
    <w:rsid w:val="00E9249A"/>
    <w:rsid w:val="00E94513"/>
    <w:rsid w:val="00EA34C6"/>
    <w:rsid w:val="00EA50D7"/>
    <w:rsid w:val="00EA56BF"/>
    <w:rsid w:val="00EA7DD8"/>
    <w:rsid w:val="00EB278A"/>
    <w:rsid w:val="00EB6728"/>
    <w:rsid w:val="00EC3533"/>
    <w:rsid w:val="00ED575A"/>
    <w:rsid w:val="00ED7123"/>
    <w:rsid w:val="00EE40FA"/>
    <w:rsid w:val="00EE5F79"/>
    <w:rsid w:val="00EF2F33"/>
    <w:rsid w:val="00EF596C"/>
    <w:rsid w:val="00F00D93"/>
    <w:rsid w:val="00F0298C"/>
    <w:rsid w:val="00F07070"/>
    <w:rsid w:val="00F07750"/>
    <w:rsid w:val="00F10047"/>
    <w:rsid w:val="00F1690E"/>
    <w:rsid w:val="00F30A77"/>
    <w:rsid w:val="00F33435"/>
    <w:rsid w:val="00F4393F"/>
    <w:rsid w:val="00F4522B"/>
    <w:rsid w:val="00F4582A"/>
    <w:rsid w:val="00F46A3A"/>
    <w:rsid w:val="00F5353A"/>
    <w:rsid w:val="00F5375D"/>
    <w:rsid w:val="00F5454E"/>
    <w:rsid w:val="00F56F66"/>
    <w:rsid w:val="00F60505"/>
    <w:rsid w:val="00F60ED0"/>
    <w:rsid w:val="00F715C3"/>
    <w:rsid w:val="00F718BD"/>
    <w:rsid w:val="00F725C3"/>
    <w:rsid w:val="00F76522"/>
    <w:rsid w:val="00F77F3D"/>
    <w:rsid w:val="00F80507"/>
    <w:rsid w:val="00F83CD3"/>
    <w:rsid w:val="00F85914"/>
    <w:rsid w:val="00F85F61"/>
    <w:rsid w:val="00F86984"/>
    <w:rsid w:val="00F8780B"/>
    <w:rsid w:val="00F95487"/>
    <w:rsid w:val="00F95DEF"/>
    <w:rsid w:val="00FA062F"/>
    <w:rsid w:val="00FA1553"/>
    <w:rsid w:val="00FA4DF8"/>
    <w:rsid w:val="00FA5440"/>
    <w:rsid w:val="00FA7CF0"/>
    <w:rsid w:val="00FB0F44"/>
    <w:rsid w:val="00FB30EA"/>
    <w:rsid w:val="00FB45FB"/>
    <w:rsid w:val="00FB5D32"/>
    <w:rsid w:val="00FC09A1"/>
    <w:rsid w:val="00FC1374"/>
    <w:rsid w:val="00FC1781"/>
    <w:rsid w:val="00FC244F"/>
    <w:rsid w:val="00FC571D"/>
    <w:rsid w:val="00FD0D1F"/>
    <w:rsid w:val="00FD79DA"/>
    <w:rsid w:val="00FE28AB"/>
    <w:rsid w:val="00FE2ADC"/>
    <w:rsid w:val="00FE5997"/>
    <w:rsid w:val="00FE6136"/>
    <w:rsid w:val="00FE67BC"/>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uiPriority w:val="99"/>
    <w:semiHidden/>
    <w:rsid w:val="009E4985"/>
    <w:rPr>
      <w:sz w:val="16"/>
      <w:szCs w:val="16"/>
    </w:rPr>
  </w:style>
  <w:style w:type="paragraph" w:styleId="CommentText">
    <w:name w:val="annotation text"/>
    <w:basedOn w:val="Normal"/>
    <w:link w:val="CommentTextChar"/>
    <w:uiPriority w:val="99"/>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customStyle="1" w:styleId="CommentTextChar">
    <w:name w:val="Comment Text Char"/>
    <w:basedOn w:val="DefaultParagraphFont"/>
    <w:link w:val="CommentText"/>
    <w:uiPriority w:val="99"/>
    <w:rsid w:val="00867ABC"/>
    <w:rPr>
      <w:lang w:val="de-DE" w:eastAsia="de-DE"/>
    </w:rPr>
  </w:style>
  <w:style w:type="paragraph" w:customStyle="1" w:styleId="enovaReferences">
    <w:name w:val="enova_References"/>
    <w:basedOn w:val="Normal"/>
    <w:rsid w:val="0099527A"/>
    <w:pPr>
      <w:widowControl w:val="0"/>
      <w:spacing w:after="120" w:line="200" w:lineRule="exact"/>
      <w:ind w:left="284" w:hanging="284"/>
      <w:jc w:val="both"/>
    </w:pPr>
    <w:rPr>
      <w:sz w:val="18"/>
      <w:szCs w:val="20"/>
      <w:lang w:val="en-GB"/>
    </w:rPr>
  </w:style>
  <w:style w:type="character" w:styleId="UnresolvedMention">
    <w:name w:val="Unresolved Mention"/>
    <w:basedOn w:val="DefaultParagraphFont"/>
    <w:uiPriority w:val="99"/>
    <w:semiHidden/>
    <w:unhideWhenUsed/>
    <w:rsid w:val="00995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5818</Words>
  <Characters>33165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Luca Vittorio Valentini</cp:lastModifiedBy>
  <cp:revision>412</cp:revision>
  <cp:lastPrinted>2023-02-22T18:40:00Z</cp:lastPrinted>
  <dcterms:created xsi:type="dcterms:W3CDTF">2026-05-19T21:06:00Z</dcterms:created>
  <dcterms:modified xsi:type="dcterms:W3CDTF">2026-09-09T06:50:00Z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