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9A077" w14:textId="31814134" w:rsidR="00A616A3" w:rsidRDefault="00184AC6" w:rsidP="00184AC6">
      <w:pPr>
        <w:jc w:val="center"/>
        <w:rPr>
          <w:rFonts w:ascii="Times New Roman" w:hAnsi="Times New Roman" w:cs="Times New Roman"/>
        </w:rPr>
      </w:pPr>
      <w:r w:rsidRPr="00184AC6">
        <w:rPr>
          <w:rFonts w:ascii="Times New Roman" w:hAnsi="Times New Roman" w:cs="Times New Roman"/>
        </w:rPr>
        <w:t xml:space="preserve">17TH INTERNATIONAL CONFERENCE ON ARTS AND CULTURAL MANAGEMENT (AIMAC) </w:t>
      </w:r>
    </w:p>
    <w:p w14:paraId="47F8C877" w14:textId="77777777" w:rsidR="00866B25" w:rsidRDefault="00866B25" w:rsidP="00184AC6">
      <w:pPr>
        <w:jc w:val="center"/>
        <w:rPr>
          <w:rFonts w:ascii="Times New Roman" w:hAnsi="Times New Roman" w:cs="Times New Roman"/>
        </w:rPr>
      </w:pPr>
    </w:p>
    <w:p w14:paraId="3D7D2264" w14:textId="00551B5A" w:rsidR="004A1F4F" w:rsidRPr="004A1F4F" w:rsidRDefault="0030287B" w:rsidP="00177DC4">
      <w:pPr>
        <w:rPr>
          <w:rFonts w:ascii="Times New Roman" w:hAnsi="Times New Roman" w:cs="Times New Roman"/>
          <w:b/>
          <w:bCs/>
        </w:rPr>
      </w:pPr>
      <w:r w:rsidRPr="004A1F4F">
        <w:rPr>
          <w:rFonts w:ascii="Times New Roman" w:hAnsi="Times New Roman" w:cs="Times New Roman"/>
          <w:b/>
          <w:bCs/>
        </w:rPr>
        <w:t>N</w:t>
      </w:r>
      <w:r w:rsidR="004A1F4F" w:rsidRPr="004A1F4F">
        <w:rPr>
          <w:rFonts w:ascii="Times New Roman" w:hAnsi="Times New Roman" w:cs="Times New Roman"/>
          <w:b/>
          <w:bCs/>
        </w:rPr>
        <w:t>ATIONAL MONUMENTS AND PUBLIC ACCESS: TOWARDS STATISTICAL DATA ON CULTURAL HERITAGE</w:t>
      </w:r>
    </w:p>
    <w:p w14:paraId="74B281D1" w14:textId="015C513B" w:rsidR="00E40F17" w:rsidRPr="004A1F4F" w:rsidRDefault="00E40F17" w:rsidP="004A1F4F">
      <w:pPr>
        <w:spacing w:after="120" w:line="240" w:lineRule="auto"/>
        <w:rPr>
          <w:rFonts w:ascii="Times New Roman" w:hAnsi="Times New Roman" w:cs="Times New Roman"/>
        </w:rPr>
      </w:pPr>
      <w:r w:rsidRPr="004A1F4F">
        <w:rPr>
          <w:rFonts w:ascii="Times New Roman" w:hAnsi="Times New Roman" w:cs="Times New Roman"/>
        </w:rPr>
        <w:t>Sofia Costa Macedo</w:t>
      </w:r>
    </w:p>
    <w:p w14:paraId="35D02157" w14:textId="77777777" w:rsidR="00E40F17" w:rsidRPr="00E40F17" w:rsidRDefault="00E40F17" w:rsidP="004A1F4F">
      <w:pPr>
        <w:spacing w:after="120" w:line="240" w:lineRule="auto"/>
        <w:rPr>
          <w:rFonts w:ascii="Times New Roman" w:hAnsi="Times New Roman" w:cs="Times New Roman"/>
        </w:rPr>
      </w:pPr>
      <w:r w:rsidRPr="00E40F17">
        <w:rPr>
          <w:rFonts w:ascii="Times New Roman" w:hAnsi="Times New Roman" w:cs="Times New Roman"/>
        </w:rPr>
        <w:t>Integrated researcher, CIES-Iscte</w:t>
      </w:r>
    </w:p>
    <w:p w14:paraId="038C8142" w14:textId="689D4B9D" w:rsidR="00E40F17" w:rsidRDefault="00E40F17" w:rsidP="004A1F4F">
      <w:pPr>
        <w:spacing w:after="120" w:line="240" w:lineRule="auto"/>
        <w:rPr>
          <w:rFonts w:ascii="Times New Roman" w:hAnsi="Times New Roman" w:cs="Times New Roman"/>
        </w:rPr>
      </w:pPr>
      <w:r w:rsidRPr="00E40F17">
        <w:rPr>
          <w:rFonts w:ascii="Times New Roman" w:hAnsi="Times New Roman" w:cs="Times New Roman"/>
        </w:rPr>
        <w:t>PhD in Modern and Contemporary History by Iscte (2017). Integrated Researcher at CIES-Iscte (OPAC - Portuguese Observatory on Cultural Activities). Invited Assistant Professor at ISCTE of Heritage Inventory and Interpretation and Cultural Heritage Projects (Department of History, School of Sociology and Public Policies). Heritage activist.</w:t>
      </w:r>
    </w:p>
    <w:p w14:paraId="419CFE36" w14:textId="77777777" w:rsidR="004A1F4F" w:rsidRDefault="004A1F4F" w:rsidP="004A1F4F">
      <w:pPr>
        <w:spacing w:after="120" w:line="240" w:lineRule="auto"/>
        <w:rPr>
          <w:rFonts w:ascii="Times New Roman" w:hAnsi="Times New Roman" w:cs="Times New Roman"/>
        </w:rPr>
      </w:pPr>
    </w:p>
    <w:p w14:paraId="2A6819E1" w14:textId="380C0EB5" w:rsidR="00125CC0" w:rsidRPr="004A1F4F" w:rsidRDefault="004A1F4F" w:rsidP="004A1F4F">
      <w:pPr>
        <w:spacing w:after="120" w:line="240" w:lineRule="auto"/>
        <w:rPr>
          <w:rFonts w:ascii="Times New Roman" w:hAnsi="Times New Roman" w:cs="Times New Roman"/>
        </w:rPr>
      </w:pPr>
      <w:r>
        <w:rPr>
          <w:rFonts w:ascii="Times New Roman" w:hAnsi="Times New Roman" w:cs="Times New Roman"/>
        </w:rPr>
        <w:t>J</w:t>
      </w:r>
      <w:r w:rsidR="00125CC0" w:rsidRPr="004A1F4F">
        <w:rPr>
          <w:rFonts w:ascii="Times New Roman" w:hAnsi="Times New Roman" w:cs="Times New Roman"/>
        </w:rPr>
        <w:t>osé Soares Neves</w:t>
      </w:r>
    </w:p>
    <w:p w14:paraId="2C916951" w14:textId="77777777" w:rsidR="00125CC0" w:rsidRPr="00125CC0" w:rsidRDefault="00125CC0" w:rsidP="004A1F4F">
      <w:pPr>
        <w:spacing w:after="120" w:line="240" w:lineRule="auto"/>
        <w:rPr>
          <w:rFonts w:ascii="Times New Roman" w:hAnsi="Times New Roman" w:cs="Times New Roman"/>
        </w:rPr>
      </w:pPr>
      <w:r w:rsidRPr="00125CC0">
        <w:rPr>
          <w:rFonts w:ascii="Times New Roman" w:hAnsi="Times New Roman" w:cs="Times New Roman"/>
        </w:rPr>
        <w:t>Integrated researcher, CIES-Iscte</w:t>
      </w:r>
    </w:p>
    <w:p w14:paraId="63D2952F" w14:textId="1146EA75" w:rsidR="00125CC0" w:rsidRDefault="00125CC0" w:rsidP="004A1F4F">
      <w:pPr>
        <w:spacing w:after="120" w:line="240" w:lineRule="auto"/>
        <w:rPr>
          <w:rFonts w:ascii="Times New Roman" w:hAnsi="Times New Roman" w:cs="Times New Roman"/>
        </w:rPr>
      </w:pPr>
      <w:r w:rsidRPr="00125CC0">
        <w:rPr>
          <w:rFonts w:ascii="Times New Roman" w:hAnsi="Times New Roman" w:cs="Times New Roman"/>
        </w:rPr>
        <w:t>PhD in Sociology of Communication, Culture and Education by Iscte-University Institute of Lisbon. He is director of the Portuguese Observatory on Cultural Activities (OPAC), subdirector of the Centre for Research and Studies in Sociology (CIES-Iscte) and invited assistant professor at the Department of Sociology (Iscte).</w:t>
      </w:r>
    </w:p>
    <w:p w14:paraId="79410C95" w14:textId="77777777" w:rsidR="004A1F4F" w:rsidRPr="007A4EC2" w:rsidRDefault="004A1F4F" w:rsidP="004A1F4F">
      <w:pPr>
        <w:spacing w:after="120" w:line="240" w:lineRule="auto"/>
        <w:rPr>
          <w:rFonts w:ascii="Times New Roman" w:hAnsi="Times New Roman" w:cs="Times New Roman"/>
        </w:rPr>
      </w:pPr>
    </w:p>
    <w:p w14:paraId="632216B9" w14:textId="3ED129E5" w:rsidR="00444784" w:rsidRPr="004A1F4F" w:rsidRDefault="00444784" w:rsidP="004A1F4F">
      <w:pPr>
        <w:spacing w:after="120" w:line="240" w:lineRule="auto"/>
        <w:rPr>
          <w:rFonts w:ascii="Times New Roman" w:hAnsi="Times New Roman" w:cs="Times New Roman"/>
        </w:rPr>
      </w:pPr>
      <w:r w:rsidRPr="004A1F4F">
        <w:rPr>
          <w:rFonts w:ascii="Times New Roman" w:hAnsi="Times New Roman" w:cs="Times New Roman"/>
        </w:rPr>
        <w:t>Jorge Santos</w:t>
      </w:r>
    </w:p>
    <w:p w14:paraId="6AE11109" w14:textId="77777777" w:rsidR="00444784" w:rsidRPr="00444784" w:rsidRDefault="00444784" w:rsidP="004A1F4F">
      <w:pPr>
        <w:spacing w:after="120" w:line="240" w:lineRule="auto"/>
        <w:rPr>
          <w:rFonts w:ascii="Times New Roman" w:hAnsi="Times New Roman" w:cs="Times New Roman"/>
        </w:rPr>
      </w:pPr>
      <w:r w:rsidRPr="00444784">
        <w:rPr>
          <w:rFonts w:ascii="Times New Roman" w:hAnsi="Times New Roman" w:cs="Times New Roman"/>
        </w:rPr>
        <w:t>Research Assistant, CIES-Iscte</w:t>
      </w:r>
    </w:p>
    <w:p w14:paraId="63A97B0A" w14:textId="3F934EE8" w:rsidR="00125CC0" w:rsidRDefault="00444784" w:rsidP="004A1F4F">
      <w:pPr>
        <w:spacing w:after="120" w:line="240" w:lineRule="auto"/>
        <w:rPr>
          <w:rFonts w:ascii="Times New Roman" w:hAnsi="Times New Roman" w:cs="Times New Roman"/>
        </w:rPr>
      </w:pPr>
      <w:r w:rsidRPr="00444784">
        <w:rPr>
          <w:rFonts w:ascii="Times New Roman" w:hAnsi="Times New Roman" w:cs="Times New Roman"/>
        </w:rPr>
        <w:t>PhD student in Sociology (ISCTE). Develops activity in the implementation of Cultural Heritage Information Systems at Directorate General for Cultural Heritage. Researcher at Portuguese Observatory of Cultural Activities and research assistant at CIES-Iscte. Current lines of research: cultural policies, cultural management, monitoring and performance of museums and cultural audiences.</w:t>
      </w:r>
    </w:p>
    <w:p w14:paraId="6011042F" w14:textId="77777777" w:rsidR="004A1F4F" w:rsidRPr="007A4EC2" w:rsidRDefault="004A1F4F" w:rsidP="004A1F4F">
      <w:pPr>
        <w:spacing w:after="120" w:line="240" w:lineRule="auto"/>
        <w:rPr>
          <w:rFonts w:ascii="Times New Roman" w:hAnsi="Times New Roman" w:cs="Times New Roman"/>
        </w:rPr>
      </w:pPr>
    </w:p>
    <w:p w14:paraId="2FF9C573" w14:textId="4F8C9A87" w:rsidR="00D728FA" w:rsidRPr="004A1F4F" w:rsidRDefault="00D728FA" w:rsidP="004A1F4F">
      <w:pPr>
        <w:spacing w:after="120" w:line="240" w:lineRule="auto"/>
        <w:rPr>
          <w:rFonts w:ascii="Times New Roman" w:hAnsi="Times New Roman" w:cs="Times New Roman"/>
        </w:rPr>
      </w:pPr>
      <w:r w:rsidRPr="004A1F4F">
        <w:rPr>
          <w:rFonts w:ascii="Times New Roman" w:hAnsi="Times New Roman" w:cs="Times New Roman"/>
        </w:rPr>
        <w:t>Maria João Lima</w:t>
      </w:r>
    </w:p>
    <w:p w14:paraId="7860D135" w14:textId="77777777" w:rsidR="00D728FA" w:rsidRPr="00D728FA" w:rsidRDefault="00D728FA" w:rsidP="004A1F4F">
      <w:pPr>
        <w:spacing w:after="120" w:line="240" w:lineRule="auto"/>
        <w:rPr>
          <w:rFonts w:ascii="Times New Roman" w:hAnsi="Times New Roman" w:cs="Times New Roman"/>
        </w:rPr>
      </w:pPr>
      <w:r w:rsidRPr="00D728FA">
        <w:rPr>
          <w:rFonts w:ascii="Times New Roman" w:hAnsi="Times New Roman" w:cs="Times New Roman"/>
        </w:rPr>
        <w:t>Integrated researcher, CIES-Iscte.</w:t>
      </w:r>
    </w:p>
    <w:p w14:paraId="69194D9A" w14:textId="2F67E39A" w:rsidR="00444784" w:rsidRDefault="00D728FA" w:rsidP="004A1F4F">
      <w:pPr>
        <w:spacing w:after="120" w:line="240" w:lineRule="auto"/>
        <w:rPr>
          <w:rFonts w:ascii="Times New Roman" w:hAnsi="Times New Roman" w:cs="Times New Roman"/>
        </w:rPr>
      </w:pPr>
      <w:r w:rsidRPr="00D728FA">
        <w:rPr>
          <w:rFonts w:ascii="Times New Roman" w:hAnsi="Times New Roman" w:cs="Times New Roman"/>
        </w:rPr>
        <w:t xml:space="preserve">PhD in Sociology (2023, Iscte). Research assistant at CIES-Iscte, OPAC-Portuguese Observatory on Cultural Activities. </w:t>
      </w:r>
      <w:proofErr w:type="gramStart"/>
      <w:r w:rsidRPr="00D728FA">
        <w:rPr>
          <w:rFonts w:ascii="Times New Roman" w:hAnsi="Times New Roman" w:cs="Times New Roman"/>
        </w:rPr>
        <w:t>Master</w:t>
      </w:r>
      <w:proofErr w:type="gramEnd"/>
      <w:r w:rsidRPr="00D728FA">
        <w:rPr>
          <w:rFonts w:ascii="Times New Roman" w:hAnsi="Times New Roman" w:cs="Times New Roman"/>
        </w:rPr>
        <w:t xml:space="preserve"> degree in Ethnomusicology and Bachelor in Musicology (FCSH-UNL). Research assistant at INET-MD-Instituto de </w:t>
      </w:r>
      <w:proofErr w:type="spellStart"/>
      <w:r w:rsidRPr="00D728FA">
        <w:rPr>
          <w:rFonts w:ascii="Times New Roman" w:hAnsi="Times New Roman" w:cs="Times New Roman"/>
        </w:rPr>
        <w:t>Etnomusicologia</w:t>
      </w:r>
      <w:proofErr w:type="spellEnd"/>
      <w:r w:rsidRPr="00D728FA">
        <w:rPr>
          <w:rFonts w:ascii="Times New Roman" w:hAnsi="Times New Roman" w:cs="Times New Roman"/>
        </w:rPr>
        <w:t xml:space="preserve"> Música e </w:t>
      </w:r>
      <w:proofErr w:type="spellStart"/>
      <w:r w:rsidRPr="00D728FA">
        <w:rPr>
          <w:rFonts w:ascii="Times New Roman" w:hAnsi="Times New Roman" w:cs="Times New Roman"/>
        </w:rPr>
        <w:t>Dança</w:t>
      </w:r>
      <w:proofErr w:type="spellEnd"/>
      <w:r w:rsidRPr="00D728FA">
        <w:rPr>
          <w:rFonts w:ascii="Times New Roman" w:hAnsi="Times New Roman" w:cs="Times New Roman"/>
        </w:rPr>
        <w:t xml:space="preserve"> (1995-2000) and OAC - Cultural Activities Observatory (2001-2013). Research on cultural policies, cultural </w:t>
      </w:r>
      <w:proofErr w:type="gramStart"/>
      <w:r w:rsidRPr="00D728FA">
        <w:rPr>
          <w:rFonts w:ascii="Times New Roman" w:hAnsi="Times New Roman" w:cs="Times New Roman"/>
        </w:rPr>
        <w:t>audiences</w:t>
      </w:r>
      <w:proofErr w:type="gramEnd"/>
      <w:r w:rsidRPr="00D728FA">
        <w:rPr>
          <w:rFonts w:ascii="Times New Roman" w:hAnsi="Times New Roman" w:cs="Times New Roman"/>
        </w:rPr>
        <w:t xml:space="preserve"> and cultural expressive practices.</w:t>
      </w:r>
    </w:p>
    <w:p w14:paraId="1B60CE0D" w14:textId="77777777" w:rsidR="004A1F4F" w:rsidRDefault="004A1F4F" w:rsidP="004A1F4F">
      <w:pPr>
        <w:spacing w:after="120" w:line="240" w:lineRule="auto"/>
        <w:rPr>
          <w:rFonts w:ascii="Times New Roman" w:hAnsi="Times New Roman" w:cs="Times New Roman"/>
        </w:rPr>
      </w:pPr>
    </w:p>
    <w:p w14:paraId="47DFE2A5" w14:textId="4B82D974" w:rsidR="004A1F4F" w:rsidRPr="008C0BE2" w:rsidRDefault="008C0BE2" w:rsidP="004A1F4F">
      <w:pPr>
        <w:spacing w:after="120" w:line="240" w:lineRule="auto"/>
        <w:rPr>
          <w:rFonts w:ascii="Times New Roman" w:hAnsi="Times New Roman" w:cs="Times New Roman"/>
          <w:b/>
          <w:bCs/>
        </w:rPr>
      </w:pPr>
      <w:r w:rsidRPr="008C0BE2">
        <w:rPr>
          <w:rFonts w:ascii="Times New Roman" w:hAnsi="Times New Roman" w:cs="Times New Roman"/>
          <w:b/>
          <w:bCs/>
        </w:rPr>
        <w:t>ABSTRACT</w:t>
      </w:r>
    </w:p>
    <w:p w14:paraId="3C8A242D" w14:textId="2DC1DA9A" w:rsidR="00755846" w:rsidRDefault="00755846" w:rsidP="00866B25">
      <w:pPr>
        <w:spacing w:after="120" w:line="240" w:lineRule="auto"/>
        <w:jc w:val="both"/>
        <w:rPr>
          <w:rFonts w:ascii="Times New Roman" w:hAnsi="Times New Roman" w:cs="Times New Roman"/>
        </w:rPr>
      </w:pPr>
      <w:r w:rsidRPr="00755846">
        <w:rPr>
          <w:rFonts w:ascii="Times New Roman" w:hAnsi="Times New Roman" w:cs="Times New Roman"/>
        </w:rPr>
        <w:t xml:space="preserve">Despite expectations </w:t>
      </w:r>
      <w:r>
        <w:rPr>
          <w:rFonts w:ascii="Times New Roman" w:hAnsi="Times New Roman" w:cs="Times New Roman"/>
        </w:rPr>
        <w:t xml:space="preserve">for built cultural heritage, Portugal still </w:t>
      </w:r>
      <w:r w:rsidRPr="00755846">
        <w:rPr>
          <w:rFonts w:ascii="Times New Roman" w:hAnsi="Times New Roman" w:cs="Times New Roman"/>
        </w:rPr>
        <w:t>lack</w:t>
      </w:r>
      <w:r>
        <w:rPr>
          <w:rFonts w:ascii="Times New Roman" w:hAnsi="Times New Roman" w:cs="Times New Roman"/>
        </w:rPr>
        <w:t>s a</w:t>
      </w:r>
      <w:r w:rsidRPr="00755846">
        <w:rPr>
          <w:rFonts w:ascii="Times New Roman" w:hAnsi="Times New Roman" w:cs="Times New Roman"/>
        </w:rPr>
        <w:t xml:space="preserve"> system for measuring the uses of heritage and inform development strategies. Efforts in heritage qualification drift towards conservation and restoration but do not include information on national and foreign visitors. One of the main causes lies on recurring argument of CH vastness, </w:t>
      </w:r>
      <w:proofErr w:type="gramStart"/>
      <w:r w:rsidRPr="00755846">
        <w:rPr>
          <w:rFonts w:ascii="Times New Roman" w:hAnsi="Times New Roman" w:cs="Times New Roman"/>
        </w:rPr>
        <w:t>heterogeneity</w:t>
      </w:r>
      <w:proofErr w:type="gramEnd"/>
      <w:r w:rsidRPr="00755846">
        <w:rPr>
          <w:rFonts w:ascii="Times New Roman" w:hAnsi="Times New Roman" w:cs="Times New Roman"/>
        </w:rPr>
        <w:t xml:space="preserve"> and access regime, but also on the legal framework that does not refer the production of statistical data, in spite the existing parallels on museums</w:t>
      </w:r>
      <w:r w:rsidR="00196FB3">
        <w:rPr>
          <w:rFonts w:ascii="Times New Roman" w:hAnsi="Times New Roman" w:cs="Times New Roman"/>
        </w:rPr>
        <w:t xml:space="preserve">. </w:t>
      </w:r>
    </w:p>
    <w:p w14:paraId="7A8136BC" w14:textId="7EDA46F7" w:rsidR="00196FB3" w:rsidRPr="00755846" w:rsidRDefault="00196FB3" w:rsidP="00866B25">
      <w:pPr>
        <w:spacing w:after="120" w:line="240" w:lineRule="auto"/>
        <w:jc w:val="both"/>
        <w:rPr>
          <w:rFonts w:ascii="Times New Roman" w:hAnsi="Times New Roman" w:cs="Times New Roman"/>
        </w:rPr>
      </w:pPr>
      <w:r>
        <w:rPr>
          <w:rFonts w:ascii="Times New Roman" w:hAnsi="Times New Roman" w:cs="Times New Roman"/>
        </w:rPr>
        <w:lastRenderedPageBreak/>
        <w:t xml:space="preserve">Heritage fruition is a low studied subject </w:t>
      </w:r>
      <w:r w:rsidR="001322F4">
        <w:rPr>
          <w:rFonts w:ascii="Times New Roman" w:hAnsi="Times New Roman" w:cs="Times New Roman"/>
        </w:rPr>
        <w:t xml:space="preserve">and together with the absence of systematically collected data, the heritage frame lacks information </w:t>
      </w:r>
      <w:r w:rsidR="0049348D">
        <w:rPr>
          <w:rFonts w:ascii="Times New Roman" w:hAnsi="Times New Roman" w:cs="Times New Roman"/>
        </w:rPr>
        <w:t>for its assess</w:t>
      </w:r>
      <w:r w:rsidR="00906191">
        <w:rPr>
          <w:rFonts w:ascii="Times New Roman" w:hAnsi="Times New Roman" w:cs="Times New Roman"/>
        </w:rPr>
        <w:t xml:space="preserve">ment and impacts. The national Survey of National Monuments (IMNP) occurs within the </w:t>
      </w:r>
      <w:r w:rsidR="00E36C28">
        <w:rPr>
          <w:rFonts w:ascii="Times New Roman" w:hAnsi="Times New Roman" w:cs="Times New Roman"/>
        </w:rPr>
        <w:t xml:space="preserve">study </w:t>
      </w:r>
      <w:r w:rsidR="00E36C28" w:rsidRPr="00E36C28">
        <w:rPr>
          <w:rFonts w:ascii="Times New Roman" w:hAnsi="Times New Roman" w:cs="Times New Roman"/>
          <w:i/>
          <w:iCs/>
        </w:rPr>
        <w:t xml:space="preserve">From Safeguard to Valorization: </w:t>
      </w:r>
      <w:proofErr w:type="gramStart"/>
      <w:r w:rsidR="00E36C28" w:rsidRPr="00E36C28">
        <w:rPr>
          <w:rFonts w:ascii="Times New Roman" w:hAnsi="Times New Roman" w:cs="Times New Roman"/>
          <w:i/>
          <w:iCs/>
        </w:rPr>
        <w:t>the</w:t>
      </w:r>
      <w:proofErr w:type="gramEnd"/>
      <w:r w:rsidR="00E36C28" w:rsidRPr="00E36C28">
        <w:rPr>
          <w:rFonts w:ascii="Times New Roman" w:hAnsi="Times New Roman" w:cs="Times New Roman"/>
          <w:i/>
          <w:iCs/>
        </w:rPr>
        <w:t xml:space="preserve"> National Monuments of Portugal and public access</w:t>
      </w:r>
      <w:r w:rsidR="00E36C28">
        <w:rPr>
          <w:rFonts w:ascii="Times New Roman" w:hAnsi="Times New Roman" w:cs="Times New Roman"/>
        </w:rPr>
        <w:t xml:space="preserve"> and aims at the production of systematic data on built cultural heritage, classified under the category National Monuments, that contributes to a </w:t>
      </w:r>
      <w:r w:rsidR="00285144">
        <w:rPr>
          <w:rFonts w:ascii="Times New Roman" w:hAnsi="Times New Roman" w:cs="Times New Roman"/>
        </w:rPr>
        <w:t>statistical heritage project of a national scope.</w:t>
      </w:r>
    </w:p>
    <w:p w14:paraId="341F7CB8" w14:textId="5E88646B" w:rsidR="00AF4D83" w:rsidRDefault="00285144" w:rsidP="00866B25">
      <w:pPr>
        <w:spacing w:after="120" w:line="240" w:lineRule="auto"/>
        <w:jc w:val="both"/>
        <w:rPr>
          <w:rFonts w:ascii="Times New Roman" w:hAnsi="Times New Roman" w:cs="Times New Roman"/>
        </w:rPr>
      </w:pPr>
      <w:r>
        <w:rPr>
          <w:rFonts w:ascii="Times New Roman" w:hAnsi="Times New Roman" w:cs="Times New Roman"/>
        </w:rPr>
        <w:t>Key-words: Heritage statistics; National Monuments; Survey; He</w:t>
      </w:r>
      <w:r w:rsidR="00866B25">
        <w:rPr>
          <w:rFonts w:ascii="Times New Roman" w:hAnsi="Times New Roman" w:cs="Times New Roman"/>
        </w:rPr>
        <w:t>ritage Visitor; Public Access</w:t>
      </w:r>
    </w:p>
    <w:p w14:paraId="5FFEEA41" w14:textId="77777777" w:rsidR="004A1F4F" w:rsidRDefault="004A1F4F" w:rsidP="004A1F4F">
      <w:pPr>
        <w:spacing w:after="120" w:line="240" w:lineRule="auto"/>
        <w:rPr>
          <w:rFonts w:ascii="Times New Roman" w:hAnsi="Times New Roman" w:cs="Times New Roman"/>
        </w:rPr>
      </w:pPr>
    </w:p>
    <w:p w14:paraId="76A191EB" w14:textId="289D0119" w:rsidR="004A1F4F" w:rsidRDefault="000240C4" w:rsidP="004A1F4F">
      <w:pPr>
        <w:spacing w:after="120" w:line="240" w:lineRule="auto"/>
        <w:rPr>
          <w:rFonts w:ascii="Times New Roman" w:hAnsi="Times New Roman" w:cs="Times New Roman"/>
          <w:b/>
          <w:bCs/>
        </w:rPr>
      </w:pPr>
      <w:r w:rsidRPr="000240C4">
        <w:rPr>
          <w:rFonts w:ascii="Times New Roman" w:hAnsi="Times New Roman" w:cs="Times New Roman"/>
          <w:b/>
          <w:bCs/>
        </w:rPr>
        <w:t>Introduction</w:t>
      </w:r>
    </w:p>
    <w:p w14:paraId="1C589EAE" w14:textId="2E22E404" w:rsidR="006C5789" w:rsidRDefault="00E47D75" w:rsidP="001855E5">
      <w:pPr>
        <w:spacing w:after="0" w:line="240" w:lineRule="auto"/>
        <w:jc w:val="both"/>
        <w:rPr>
          <w:rFonts w:ascii="Times New Roman" w:hAnsi="Times New Roman" w:cs="Times New Roman"/>
        </w:rPr>
      </w:pPr>
      <w:r>
        <w:rPr>
          <w:rFonts w:ascii="Times New Roman" w:hAnsi="Times New Roman" w:cs="Times New Roman"/>
        </w:rPr>
        <w:t xml:space="preserve">This paper presents the main results of the study conducted by the </w:t>
      </w:r>
      <w:r w:rsidR="001855E5" w:rsidRPr="00FA060C">
        <w:rPr>
          <w:rFonts w:ascii="Times New Roman" w:hAnsi="Times New Roman" w:cs="Times New Roman"/>
        </w:rPr>
        <w:t>OPAC- Portuguese Observatory on Cultural Activities</w:t>
      </w:r>
      <w:r>
        <w:rPr>
          <w:rFonts w:ascii="Times New Roman" w:hAnsi="Times New Roman" w:cs="Times New Roman"/>
        </w:rPr>
        <w:t xml:space="preserve">, having built cultural heritage as the research subject. The study is called </w:t>
      </w:r>
      <w:r w:rsidRPr="003F24F9">
        <w:rPr>
          <w:rFonts w:ascii="Times New Roman" w:hAnsi="Times New Roman" w:cs="Times New Roman"/>
        </w:rPr>
        <w:t>From Safeguard to Valorization: National Monuments in Portugal and Public Access</w:t>
      </w:r>
      <w:r>
        <w:rPr>
          <w:rFonts w:ascii="Times New Roman" w:hAnsi="Times New Roman" w:cs="Times New Roman"/>
        </w:rPr>
        <w:t xml:space="preserve"> and has, as its main methodological tool, a national base survey directed towards all the </w:t>
      </w:r>
      <w:r w:rsidR="00902867">
        <w:rPr>
          <w:rFonts w:ascii="Times New Roman" w:hAnsi="Times New Roman" w:cs="Times New Roman"/>
        </w:rPr>
        <w:t>National Monuments in the Portuguese territory (continent and islands) that are open for public visitation.</w:t>
      </w:r>
      <w:r w:rsidR="0014280F">
        <w:rPr>
          <w:rFonts w:ascii="Times New Roman" w:hAnsi="Times New Roman" w:cs="Times New Roman"/>
        </w:rPr>
        <w:t xml:space="preserve"> This study </w:t>
      </w:r>
      <w:r w:rsidR="001855E5" w:rsidRPr="00FA060C">
        <w:rPr>
          <w:rFonts w:ascii="Times New Roman" w:hAnsi="Times New Roman" w:cs="Times New Roman"/>
        </w:rPr>
        <w:t xml:space="preserve">articulates sociological and historical perspectives on cultural heritage valorization and the public access to NM, contributing </w:t>
      </w:r>
      <w:proofErr w:type="gramStart"/>
      <w:r w:rsidR="001855E5" w:rsidRPr="00FA060C">
        <w:rPr>
          <w:rFonts w:ascii="Times New Roman" w:hAnsi="Times New Roman" w:cs="Times New Roman"/>
        </w:rPr>
        <w:t xml:space="preserve">for the </w:t>
      </w:r>
      <w:r w:rsidR="001B3B89" w:rsidRPr="001B3B89">
        <w:rPr>
          <w:rFonts w:ascii="Times New Roman" w:hAnsi="Times New Roman" w:cs="Times New Roman"/>
        </w:rPr>
        <w:t>production of</w:t>
      </w:r>
      <w:proofErr w:type="gramEnd"/>
      <w:r w:rsidR="001B3B89" w:rsidRPr="001B3B89">
        <w:rPr>
          <w:rFonts w:ascii="Times New Roman" w:hAnsi="Times New Roman" w:cs="Times New Roman"/>
        </w:rPr>
        <w:t xml:space="preserve"> validated statistics for CH in Portugal.</w:t>
      </w:r>
    </w:p>
    <w:p w14:paraId="60E091FF" w14:textId="224DC08D" w:rsidR="003F24F9" w:rsidRPr="003F24F9" w:rsidRDefault="004C48AE" w:rsidP="003F24F9">
      <w:pPr>
        <w:spacing w:after="0" w:line="240" w:lineRule="auto"/>
        <w:jc w:val="both"/>
        <w:rPr>
          <w:rFonts w:ascii="Times New Roman" w:hAnsi="Times New Roman" w:cs="Times New Roman"/>
        </w:rPr>
      </w:pPr>
      <w:r>
        <w:rPr>
          <w:rFonts w:ascii="Times New Roman" w:hAnsi="Times New Roman" w:cs="Times New Roman"/>
        </w:rPr>
        <w:t xml:space="preserve">The study deals with the issue of heritage statistic, or better </w:t>
      </w:r>
      <w:r w:rsidR="00D7584E">
        <w:rPr>
          <w:rFonts w:ascii="Times New Roman" w:hAnsi="Times New Roman" w:cs="Times New Roman"/>
        </w:rPr>
        <w:t xml:space="preserve">saying, the lack of systematically collected data on built cultural heritage and procures to understand the framework of such </w:t>
      </w:r>
      <w:r w:rsidR="001B3B89">
        <w:rPr>
          <w:rFonts w:ascii="Times New Roman" w:hAnsi="Times New Roman" w:cs="Times New Roman"/>
        </w:rPr>
        <w:t xml:space="preserve">absence. </w:t>
      </w:r>
      <w:r w:rsidR="004B6354" w:rsidRPr="004B6354">
        <w:rPr>
          <w:rFonts w:ascii="Times New Roman" w:hAnsi="Times New Roman" w:cs="Times New Roman"/>
        </w:rPr>
        <w:t>In addition to the fact that there is not, nor has there ever been, a specific project of official statistics for cultural heritage with data on visitors, the statistical information available on visitors from other sources is discontinuous, segmented and does not refer to the categories used in the legal framework</w:t>
      </w:r>
      <w:r w:rsidR="004B6354" w:rsidRPr="004B6354">
        <w:rPr>
          <w:rFonts w:ascii="Times New Roman" w:hAnsi="Times New Roman" w:cs="Times New Roman"/>
        </w:rPr>
        <w:t>.</w:t>
      </w:r>
      <w:r w:rsidR="004F2818" w:rsidRPr="003F24F9">
        <w:rPr>
          <w:rFonts w:ascii="Times New Roman" w:hAnsi="Times New Roman" w:cs="Times New Roman"/>
        </w:rPr>
        <w:t xml:space="preserve"> Which is in </w:t>
      </w:r>
      <w:r w:rsidR="003F24F9" w:rsidRPr="003F24F9">
        <w:rPr>
          <w:rFonts w:ascii="Times New Roman" w:hAnsi="Times New Roman" w:cs="Times New Roman"/>
        </w:rPr>
        <w:t xml:space="preserve">contradiction with the scarcely studied subject of heritage fruition in Portugal. </w:t>
      </w:r>
    </w:p>
    <w:p w14:paraId="4BA1970E" w14:textId="48F3A4F2" w:rsidR="00512F63" w:rsidRPr="00B4789E" w:rsidRDefault="00512F63" w:rsidP="00FD0ACD">
      <w:pPr>
        <w:spacing w:after="0" w:line="240" w:lineRule="auto"/>
        <w:jc w:val="both"/>
        <w:rPr>
          <w:rFonts w:ascii="Times New Roman" w:hAnsi="Times New Roman" w:cs="Times New Roman"/>
        </w:rPr>
      </w:pPr>
      <w:r w:rsidRPr="00B4789E">
        <w:rPr>
          <w:rFonts w:ascii="Times New Roman" w:hAnsi="Times New Roman" w:cs="Times New Roman"/>
        </w:rPr>
        <w:t xml:space="preserve">Since the mid 2000 experts have been </w:t>
      </w:r>
      <w:r w:rsidR="00EC7C92" w:rsidRPr="00B4789E">
        <w:rPr>
          <w:rFonts w:ascii="Times New Roman" w:hAnsi="Times New Roman" w:cs="Times New Roman"/>
        </w:rPr>
        <w:t>calling for the need for such a project in the Portuguese context</w:t>
      </w:r>
      <w:r w:rsidR="00784C85" w:rsidRPr="00B4789E">
        <w:rPr>
          <w:rFonts w:ascii="Times New Roman" w:hAnsi="Times New Roman" w:cs="Times New Roman"/>
        </w:rPr>
        <w:t xml:space="preserve">, </w:t>
      </w:r>
      <w:r w:rsidR="00B4789E" w:rsidRPr="00B4789E">
        <w:rPr>
          <w:rFonts w:ascii="Times New Roman" w:hAnsi="Times New Roman" w:cs="Times New Roman"/>
        </w:rPr>
        <w:t>reflecting the concern of such a non-</w:t>
      </w:r>
      <w:r w:rsidR="00B4789E" w:rsidRPr="000E70D0">
        <w:rPr>
          <w:rFonts w:ascii="Times New Roman" w:hAnsi="Times New Roman" w:cs="Times New Roman"/>
        </w:rPr>
        <w:t xml:space="preserve">existence </w:t>
      </w:r>
      <w:r w:rsidR="00784C85" w:rsidRPr="000E70D0">
        <w:rPr>
          <w:rFonts w:ascii="Times New Roman" w:hAnsi="Times New Roman" w:cs="Times New Roman"/>
        </w:rPr>
        <w:t>(Neves, 2010)</w:t>
      </w:r>
      <w:r w:rsidR="00B4789E" w:rsidRPr="000E70D0">
        <w:rPr>
          <w:rFonts w:ascii="Times New Roman" w:hAnsi="Times New Roman" w:cs="Times New Roman"/>
        </w:rPr>
        <w:t>. Several</w:t>
      </w:r>
      <w:r w:rsidR="00B4789E">
        <w:rPr>
          <w:rFonts w:ascii="Times New Roman" w:hAnsi="Times New Roman" w:cs="Times New Roman"/>
        </w:rPr>
        <w:t xml:space="preserve"> </w:t>
      </w:r>
      <w:r w:rsidR="004715D8">
        <w:rPr>
          <w:rFonts w:ascii="Times New Roman" w:hAnsi="Times New Roman" w:cs="Times New Roman"/>
        </w:rPr>
        <w:t>examples</w:t>
      </w:r>
      <w:r w:rsidR="00B4789E">
        <w:rPr>
          <w:rFonts w:ascii="Times New Roman" w:hAnsi="Times New Roman" w:cs="Times New Roman"/>
        </w:rPr>
        <w:t xml:space="preserve"> ha</w:t>
      </w:r>
      <w:r w:rsidR="00F56CA1">
        <w:rPr>
          <w:rFonts w:ascii="Times New Roman" w:hAnsi="Times New Roman" w:cs="Times New Roman"/>
        </w:rPr>
        <w:t>ve</w:t>
      </w:r>
      <w:r w:rsidR="00B4789E">
        <w:rPr>
          <w:rFonts w:ascii="Times New Roman" w:hAnsi="Times New Roman" w:cs="Times New Roman"/>
        </w:rPr>
        <w:t xml:space="preserve"> been </w:t>
      </w:r>
      <w:r w:rsidR="004715D8">
        <w:rPr>
          <w:rFonts w:ascii="Times New Roman" w:hAnsi="Times New Roman" w:cs="Times New Roman"/>
        </w:rPr>
        <w:t xml:space="preserve">put into practice amongst several European countries and the European Union has also </w:t>
      </w:r>
      <w:r w:rsidR="006B65F9">
        <w:rPr>
          <w:rFonts w:ascii="Times New Roman" w:hAnsi="Times New Roman" w:cs="Times New Roman"/>
        </w:rPr>
        <w:t xml:space="preserve">introduced the issue </w:t>
      </w:r>
      <w:r w:rsidR="001763D4">
        <w:rPr>
          <w:rFonts w:ascii="Times New Roman" w:hAnsi="Times New Roman" w:cs="Times New Roman"/>
        </w:rPr>
        <w:t xml:space="preserve">in the </w:t>
      </w:r>
      <w:r w:rsidR="00DD5F1A" w:rsidRPr="00DD5F1A">
        <w:rPr>
          <w:rFonts w:ascii="Times New Roman" w:hAnsi="Times New Roman" w:cs="Times New Roman"/>
        </w:rPr>
        <w:t>Council conclusions on the Work Plan for Culture 2019-2022</w:t>
      </w:r>
      <w:r w:rsidR="00F56CA1">
        <w:rPr>
          <w:rFonts w:ascii="Times New Roman" w:hAnsi="Times New Roman" w:cs="Times New Roman"/>
        </w:rPr>
        <w:t>, stating that “c</w:t>
      </w:r>
      <w:r w:rsidR="00F56CA1" w:rsidRPr="00F56CA1">
        <w:rPr>
          <w:rFonts w:ascii="Times New Roman" w:hAnsi="Times New Roman" w:cs="Times New Roman"/>
        </w:rPr>
        <w:t>ultural statistics support evidence-based policy making at European and national level. The regular production of comparable and reliable cultural statistics over time allows for the identification of trends and the design of sound policies</w:t>
      </w:r>
      <w:r w:rsidR="00F56CA1">
        <w:rPr>
          <w:rFonts w:ascii="Times New Roman" w:hAnsi="Times New Roman" w:cs="Times New Roman"/>
        </w:rPr>
        <w:t xml:space="preserve">” </w:t>
      </w:r>
      <w:r w:rsidR="00F56CA1" w:rsidRPr="002E664C">
        <w:rPr>
          <w:rFonts w:ascii="Times New Roman" w:hAnsi="Times New Roman" w:cs="Times New Roman"/>
        </w:rPr>
        <w:t>(</w:t>
      </w:r>
      <w:r w:rsidR="007A19D4" w:rsidRPr="002E664C">
        <w:rPr>
          <w:rFonts w:ascii="Times New Roman" w:hAnsi="Times New Roman" w:cs="Times New Roman"/>
        </w:rPr>
        <w:t>OJ</w:t>
      </w:r>
      <w:r w:rsidR="007A19D4" w:rsidRPr="002E664C">
        <w:rPr>
          <w:rFonts w:ascii="Times New Roman" w:hAnsi="Times New Roman" w:cs="Times New Roman"/>
        </w:rPr>
        <w:t xml:space="preserve">, </w:t>
      </w:r>
      <w:r w:rsidR="001763D4" w:rsidRPr="002E664C">
        <w:rPr>
          <w:rFonts w:ascii="Times New Roman" w:hAnsi="Times New Roman" w:cs="Times New Roman"/>
        </w:rPr>
        <w:t>2018/C 460/10).</w:t>
      </w:r>
    </w:p>
    <w:p w14:paraId="17D3EF0E" w14:textId="49D0CE98" w:rsidR="00157DA2" w:rsidRDefault="008273B8" w:rsidP="00FD0ACD">
      <w:pPr>
        <w:spacing w:after="0" w:line="240" w:lineRule="auto"/>
        <w:jc w:val="both"/>
        <w:rPr>
          <w:rFonts w:ascii="Times New Roman" w:hAnsi="Times New Roman" w:cs="Times New Roman"/>
        </w:rPr>
      </w:pPr>
      <w:r>
        <w:rPr>
          <w:rFonts w:ascii="Times New Roman" w:hAnsi="Times New Roman" w:cs="Times New Roman"/>
        </w:rPr>
        <w:t xml:space="preserve">It is not as statistical data is absent altogether from the cultural sector in Portugal, or even the cultural heritage domain. </w:t>
      </w:r>
      <w:r w:rsidR="001B3B89" w:rsidRPr="00157DA2">
        <w:rPr>
          <w:rFonts w:ascii="Times New Roman" w:hAnsi="Times New Roman" w:cs="Times New Roman"/>
        </w:rPr>
        <w:t>Considering museums</w:t>
      </w:r>
      <w:r w:rsidR="00157DA2" w:rsidRPr="00157DA2">
        <w:rPr>
          <w:rFonts w:ascii="Times New Roman" w:hAnsi="Times New Roman" w:cs="Times New Roman"/>
        </w:rPr>
        <w:t>, t</w:t>
      </w:r>
      <w:r w:rsidR="00157DA2">
        <w:rPr>
          <w:rFonts w:ascii="Times New Roman" w:hAnsi="Times New Roman" w:cs="Times New Roman"/>
        </w:rPr>
        <w:t>h</w:t>
      </w:r>
      <w:r w:rsidR="00157DA2" w:rsidRPr="00A06569">
        <w:rPr>
          <w:rFonts w:ascii="Times New Roman" w:hAnsi="Times New Roman" w:cs="Times New Roman"/>
        </w:rPr>
        <w:t xml:space="preserve">e difference is evident: Statistics Portugal has its own project, publishing visitor statistics since 1996 and the Law of Portuguese Museums of 2004 is explicit in this regard: "the statistics of museum visitors are sent to the Portuguese Institute of Museums and the National </w:t>
      </w:r>
      <w:r w:rsidR="00157DA2" w:rsidRPr="00CC588A">
        <w:rPr>
          <w:rFonts w:ascii="Times New Roman" w:hAnsi="Times New Roman" w:cs="Times New Roman"/>
        </w:rPr>
        <w:t>Institute of Statistics in accordance with the procedures and on the media established by these entities" (Law 47/2004, of 19 August).</w:t>
      </w:r>
    </w:p>
    <w:p w14:paraId="0CDB6B1A" w14:textId="2F1618BA" w:rsidR="00ED1FD6" w:rsidRDefault="00AF69FD" w:rsidP="00FD0ACD">
      <w:pPr>
        <w:spacing w:after="0" w:line="240" w:lineRule="auto"/>
        <w:jc w:val="both"/>
        <w:rPr>
          <w:rFonts w:ascii="Times New Roman" w:hAnsi="Times New Roman" w:cs="Times New Roman"/>
        </w:rPr>
      </w:pPr>
      <w:r>
        <w:rPr>
          <w:rFonts w:ascii="Times New Roman" w:hAnsi="Times New Roman" w:cs="Times New Roman"/>
        </w:rPr>
        <w:t xml:space="preserve">The latest call for action towards a nationwide systematized, organized data collection project is in 2021 by the </w:t>
      </w:r>
      <w:r w:rsidRPr="00AF69FD">
        <w:rPr>
          <w:rFonts w:ascii="Times New Roman" w:hAnsi="Times New Roman" w:cs="Times New Roman"/>
        </w:rPr>
        <w:t xml:space="preserve">Project Group Museums in the </w:t>
      </w:r>
      <w:r w:rsidRPr="00F25299">
        <w:rPr>
          <w:rFonts w:ascii="Times New Roman" w:hAnsi="Times New Roman" w:cs="Times New Roman"/>
        </w:rPr>
        <w:t>Future (Camacho, 2021),</w:t>
      </w:r>
      <w:r w:rsidRPr="00AF69FD">
        <w:rPr>
          <w:rFonts w:ascii="Times New Roman" w:hAnsi="Times New Roman" w:cs="Times New Roman"/>
        </w:rPr>
        <w:t xml:space="preserve"> </w:t>
      </w:r>
      <w:r w:rsidR="0071012A">
        <w:rPr>
          <w:rFonts w:ascii="Times New Roman" w:hAnsi="Times New Roman" w:cs="Times New Roman"/>
        </w:rPr>
        <w:t xml:space="preserve">proposing the definition of a universe set on </w:t>
      </w:r>
      <w:r w:rsidRPr="00AF69FD">
        <w:rPr>
          <w:rFonts w:ascii="Times New Roman" w:hAnsi="Times New Roman" w:cs="Times New Roman"/>
        </w:rPr>
        <w:t>classified buildings</w:t>
      </w:r>
      <w:r w:rsidR="0071012A">
        <w:rPr>
          <w:rFonts w:ascii="Times New Roman" w:hAnsi="Times New Roman" w:cs="Times New Roman"/>
        </w:rPr>
        <w:t xml:space="preserve"> with </w:t>
      </w:r>
      <w:r w:rsidRPr="00AF69FD">
        <w:rPr>
          <w:rFonts w:ascii="Times New Roman" w:hAnsi="Times New Roman" w:cs="Times New Roman"/>
        </w:rPr>
        <w:t>visitors’ control, and consider</w:t>
      </w:r>
      <w:r w:rsidR="0071012A">
        <w:rPr>
          <w:rFonts w:ascii="Times New Roman" w:hAnsi="Times New Roman" w:cs="Times New Roman"/>
        </w:rPr>
        <w:t>ing</w:t>
      </w:r>
      <w:r w:rsidRPr="00AF69FD">
        <w:rPr>
          <w:rFonts w:ascii="Times New Roman" w:hAnsi="Times New Roman" w:cs="Times New Roman"/>
        </w:rPr>
        <w:t xml:space="preserve"> visitors (national and foreign); expenditure (total and staff); revenues (total, entries, and visitors); staff (in service, paid).</w:t>
      </w:r>
    </w:p>
    <w:p w14:paraId="2391F90F" w14:textId="42C5171D" w:rsidR="001855E5" w:rsidRDefault="001855E5" w:rsidP="001855E5">
      <w:pPr>
        <w:spacing w:after="0" w:line="240" w:lineRule="auto"/>
        <w:jc w:val="both"/>
        <w:rPr>
          <w:rFonts w:ascii="Times New Roman" w:hAnsi="Times New Roman" w:cs="Times New Roman"/>
        </w:rPr>
      </w:pPr>
      <w:r w:rsidRPr="00FA060C">
        <w:rPr>
          <w:rFonts w:ascii="Times New Roman" w:hAnsi="Times New Roman" w:cs="Times New Roman"/>
        </w:rPr>
        <w:t>This study’s methodology is of a quantitative nature, a web survey on a sample National Monument</w:t>
      </w:r>
      <w:r w:rsidR="003039E5">
        <w:rPr>
          <w:rFonts w:ascii="Times New Roman" w:hAnsi="Times New Roman" w:cs="Times New Roman"/>
        </w:rPr>
        <w:t xml:space="preserve">. </w:t>
      </w:r>
      <w:r w:rsidRPr="00FA060C">
        <w:rPr>
          <w:rFonts w:ascii="Times New Roman" w:hAnsi="Times New Roman" w:cs="Times New Roman"/>
        </w:rPr>
        <w:t xml:space="preserve">Several dimensions of public access were exploited such as visitors, staff, </w:t>
      </w:r>
      <w:r w:rsidR="001E34B1" w:rsidRPr="00FA060C">
        <w:rPr>
          <w:rFonts w:ascii="Times New Roman" w:hAnsi="Times New Roman" w:cs="Times New Roman"/>
        </w:rPr>
        <w:t>activities,</w:t>
      </w:r>
      <w:r w:rsidRPr="00FA060C">
        <w:rPr>
          <w:rFonts w:ascii="Times New Roman" w:hAnsi="Times New Roman" w:cs="Times New Roman"/>
        </w:rPr>
        <w:t xml:space="preserve"> and facets. </w:t>
      </w:r>
      <w:r w:rsidR="00B33809">
        <w:rPr>
          <w:rFonts w:ascii="Times New Roman" w:hAnsi="Times New Roman" w:cs="Times New Roman"/>
        </w:rPr>
        <w:t xml:space="preserve">The findings are presented </w:t>
      </w:r>
      <w:r w:rsidRPr="00FA060C">
        <w:rPr>
          <w:rFonts w:ascii="Times New Roman" w:hAnsi="Times New Roman" w:cs="Times New Roman"/>
        </w:rPr>
        <w:t xml:space="preserve">in the several aspects where cultural heritage institutions are averse to statistical information. The aim is to provide a contribution towards the knowledge of the current reality of built cultural heritage, of the impact of public policies, of the cultural practices of Portuguese citizens and foreign tourist, </w:t>
      </w:r>
      <w:proofErr w:type="gramStart"/>
      <w:r w:rsidRPr="00FA060C">
        <w:rPr>
          <w:rFonts w:ascii="Times New Roman" w:hAnsi="Times New Roman" w:cs="Times New Roman"/>
        </w:rPr>
        <w:t>and also</w:t>
      </w:r>
      <w:proofErr w:type="gramEnd"/>
      <w:r w:rsidRPr="00FA060C">
        <w:rPr>
          <w:rFonts w:ascii="Times New Roman" w:hAnsi="Times New Roman" w:cs="Times New Roman"/>
        </w:rPr>
        <w:t xml:space="preserve"> of the concerns that undermine the development of statistical data and how to overcome them.</w:t>
      </w:r>
    </w:p>
    <w:p w14:paraId="617CF386" w14:textId="6E1805D2" w:rsidR="001855E5" w:rsidRDefault="00BD1AF4" w:rsidP="001855E5">
      <w:pPr>
        <w:spacing w:after="0" w:line="240" w:lineRule="auto"/>
        <w:jc w:val="both"/>
        <w:rPr>
          <w:rFonts w:ascii="Times New Roman" w:hAnsi="Times New Roman" w:cs="Times New Roman"/>
        </w:rPr>
      </w:pPr>
      <w:r w:rsidRPr="00BD1AF4">
        <w:rPr>
          <w:rFonts w:ascii="Times New Roman" w:hAnsi="Times New Roman" w:cs="Times New Roman"/>
        </w:rPr>
        <w:t>To conclude this introduction, it is also important to highlight the strong adhesion that the study has generated among the tutelages and those responsible for the NM surveyed, which has enabled a remarkable coverage of the universe, coverage that, in fact, as mentioned above, has been expanding, and whose invaluable collaboration is very grateful.</w:t>
      </w:r>
    </w:p>
    <w:p w14:paraId="70B558FA" w14:textId="77777777" w:rsidR="003F1951" w:rsidRDefault="003F1951" w:rsidP="00AF4D83">
      <w:pPr>
        <w:spacing w:after="120" w:line="240" w:lineRule="auto"/>
        <w:rPr>
          <w:rFonts w:ascii="Times New Roman" w:hAnsi="Times New Roman" w:cs="Times New Roman"/>
        </w:rPr>
      </w:pPr>
    </w:p>
    <w:p w14:paraId="014797DD" w14:textId="1897764E" w:rsidR="003F1951" w:rsidRPr="00593D25" w:rsidRDefault="00564DBF" w:rsidP="00593D25">
      <w:pPr>
        <w:spacing w:after="0" w:line="240" w:lineRule="auto"/>
        <w:rPr>
          <w:rFonts w:ascii="Times New Roman" w:hAnsi="Times New Roman" w:cs="Times New Roman"/>
          <w:b/>
          <w:bCs/>
        </w:rPr>
      </w:pPr>
      <w:r w:rsidRPr="00593D25">
        <w:rPr>
          <w:rFonts w:ascii="Times New Roman" w:hAnsi="Times New Roman" w:cs="Times New Roman"/>
          <w:b/>
          <w:bCs/>
        </w:rPr>
        <w:t>Objectives</w:t>
      </w:r>
    </w:p>
    <w:p w14:paraId="3BEEE3CE" w14:textId="71608980" w:rsidR="00564DBF" w:rsidRDefault="00B76B34" w:rsidP="00593D25">
      <w:pPr>
        <w:spacing w:after="0" w:line="240" w:lineRule="auto"/>
        <w:jc w:val="both"/>
        <w:rPr>
          <w:rFonts w:ascii="Times New Roman" w:hAnsi="Times New Roman" w:cs="Times New Roman"/>
        </w:rPr>
      </w:pPr>
      <w:r>
        <w:rPr>
          <w:rFonts w:ascii="Times New Roman" w:hAnsi="Times New Roman" w:cs="Times New Roman"/>
        </w:rPr>
        <w:t>The</w:t>
      </w:r>
      <w:r w:rsidRPr="00B76B34">
        <w:rPr>
          <w:rFonts w:ascii="Times New Roman" w:hAnsi="Times New Roman" w:cs="Times New Roman"/>
        </w:rPr>
        <w:t xml:space="preserve"> unsuccess of a heritage national statistical project is not the result of a thorough conceptual review on the subject or even the effect of a critical reflection, but the result of </w:t>
      </w:r>
      <w:r w:rsidRPr="00B1365D">
        <w:rPr>
          <w:rFonts w:ascii="Times New Roman" w:hAnsi="Times New Roman" w:cs="Times New Roman"/>
          <w:i/>
          <w:iCs/>
        </w:rPr>
        <w:t>not doing</w:t>
      </w:r>
      <w:r w:rsidRPr="00B76B34">
        <w:rPr>
          <w:rFonts w:ascii="Times New Roman" w:hAnsi="Times New Roman" w:cs="Times New Roman"/>
        </w:rPr>
        <w:t xml:space="preserve"> practices rather than </w:t>
      </w:r>
      <w:r w:rsidRPr="00B1365D">
        <w:rPr>
          <w:rFonts w:ascii="Times New Roman" w:hAnsi="Times New Roman" w:cs="Times New Roman"/>
          <w:i/>
          <w:iCs/>
        </w:rPr>
        <w:t>choosing not to do</w:t>
      </w:r>
      <w:r w:rsidRPr="00B76B34">
        <w:rPr>
          <w:rFonts w:ascii="Times New Roman" w:hAnsi="Times New Roman" w:cs="Times New Roman"/>
        </w:rPr>
        <w:t xml:space="preserve"> ones. Can this aversity be changed? The study </w:t>
      </w:r>
      <w:r w:rsidRPr="003B1835">
        <w:rPr>
          <w:rFonts w:ascii="Times New Roman" w:hAnsi="Times New Roman" w:cs="Times New Roman"/>
          <w:i/>
          <w:iCs/>
        </w:rPr>
        <w:t xml:space="preserve">From Safeguard to </w:t>
      </w:r>
      <w:r w:rsidR="003B1835" w:rsidRPr="003B1835">
        <w:rPr>
          <w:rFonts w:ascii="Times New Roman" w:hAnsi="Times New Roman" w:cs="Times New Roman"/>
          <w:i/>
          <w:iCs/>
        </w:rPr>
        <w:t>V</w:t>
      </w:r>
      <w:r w:rsidRPr="003B1835">
        <w:rPr>
          <w:rFonts w:ascii="Times New Roman" w:hAnsi="Times New Roman" w:cs="Times New Roman"/>
          <w:i/>
          <w:iCs/>
        </w:rPr>
        <w:t xml:space="preserve">alorization: National Monuments in Portugal and Public Access </w:t>
      </w:r>
      <w:r w:rsidRPr="00B76B34">
        <w:rPr>
          <w:rFonts w:ascii="Times New Roman" w:hAnsi="Times New Roman" w:cs="Times New Roman"/>
        </w:rPr>
        <w:t xml:space="preserve">has as one of its main objectives to contribute to the </w:t>
      </w:r>
      <w:r w:rsidR="00B01AD8" w:rsidRPr="00937EFD">
        <w:rPr>
          <w:rFonts w:ascii="Times New Roman" w:hAnsi="Times New Roman" w:cs="Times New Roman"/>
        </w:rPr>
        <w:t xml:space="preserve">expansion of national statistics in </w:t>
      </w:r>
      <w:r w:rsidR="00B01AD8" w:rsidRPr="00E07DE3">
        <w:rPr>
          <w:rFonts w:ascii="Times New Roman" w:hAnsi="Times New Roman" w:cs="Times New Roman"/>
        </w:rPr>
        <w:t>this field, complementing the information that Statistics Portugal has been publishing on classified built heritage</w:t>
      </w:r>
      <w:r w:rsidR="00937EFD" w:rsidRPr="00E07DE3">
        <w:rPr>
          <w:rFonts w:ascii="Times New Roman" w:hAnsi="Times New Roman" w:cs="Times New Roman"/>
        </w:rPr>
        <w:t xml:space="preserve"> (INE, 2022, pp. 114-146)</w:t>
      </w:r>
      <w:r w:rsidR="00B01AD8" w:rsidRPr="00E07DE3">
        <w:rPr>
          <w:rFonts w:ascii="Times New Roman" w:hAnsi="Times New Roman" w:cs="Times New Roman"/>
        </w:rPr>
        <w:t xml:space="preserve"> as</w:t>
      </w:r>
      <w:r w:rsidR="00B01AD8">
        <w:rPr>
          <w:rFonts w:ascii="Times New Roman" w:hAnsi="Times New Roman" w:cs="Times New Roman"/>
        </w:rPr>
        <w:t xml:space="preserve"> well as </w:t>
      </w:r>
      <w:r w:rsidR="00D038DC">
        <w:rPr>
          <w:rFonts w:ascii="Times New Roman" w:hAnsi="Times New Roman" w:cs="Times New Roman"/>
        </w:rPr>
        <w:t>promote the</w:t>
      </w:r>
      <w:r w:rsidR="00937EFD" w:rsidRPr="00937EFD">
        <w:rPr>
          <w:rFonts w:ascii="Times New Roman" w:hAnsi="Times New Roman" w:cs="Times New Roman"/>
        </w:rPr>
        <w:t xml:space="preserve"> </w:t>
      </w:r>
      <w:r w:rsidRPr="00B76B34">
        <w:rPr>
          <w:rFonts w:ascii="Times New Roman" w:hAnsi="Times New Roman" w:cs="Times New Roman"/>
        </w:rPr>
        <w:t xml:space="preserve">implementation of the </w:t>
      </w:r>
      <w:r w:rsidR="00D87E12">
        <w:rPr>
          <w:rFonts w:ascii="Times New Roman" w:hAnsi="Times New Roman" w:cs="Times New Roman"/>
        </w:rPr>
        <w:t>Work Group for Cultural Statistic (</w:t>
      </w:r>
      <w:r w:rsidRPr="00B76B34">
        <w:rPr>
          <w:rFonts w:ascii="Times New Roman" w:hAnsi="Times New Roman" w:cs="Times New Roman"/>
        </w:rPr>
        <w:t>GTEC</w:t>
      </w:r>
      <w:r w:rsidR="00D87E12">
        <w:rPr>
          <w:rFonts w:ascii="Times New Roman" w:hAnsi="Times New Roman" w:cs="Times New Roman"/>
        </w:rPr>
        <w:t>)</w:t>
      </w:r>
      <w:r w:rsidRPr="00B76B34">
        <w:rPr>
          <w:rFonts w:ascii="Times New Roman" w:hAnsi="Times New Roman" w:cs="Times New Roman"/>
        </w:rPr>
        <w:t xml:space="preserve"> recommendation towards the definition of an official statistical project. Compliance with European guidelines for cultural statistics was sought for. This study, based on official heritage information provided by </w:t>
      </w:r>
      <w:r w:rsidR="00DD77EA">
        <w:rPr>
          <w:rFonts w:ascii="Times New Roman" w:hAnsi="Times New Roman" w:cs="Times New Roman"/>
        </w:rPr>
        <w:t>governmental heritage institutions</w:t>
      </w:r>
      <w:r w:rsidRPr="00B76B34">
        <w:rPr>
          <w:rFonts w:ascii="Times New Roman" w:hAnsi="Times New Roman" w:cs="Times New Roman"/>
        </w:rPr>
        <w:t>, aimed at the definition of a regular and homogeneous universe to be surveyed, a set of valid email contacts for each monument and at the construction and application of a survey. This study is a first approach to the production of validated statistics for Cultural Heritage in Portugal and explores a wider implementation.</w:t>
      </w:r>
    </w:p>
    <w:p w14:paraId="0FF5D1AD" w14:textId="77777777" w:rsidR="00DD77EA" w:rsidRDefault="00DD77EA" w:rsidP="00593D25">
      <w:pPr>
        <w:spacing w:after="0" w:line="240" w:lineRule="auto"/>
        <w:jc w:val="both"/>
        <w:rPr>
          <w:rFonts w:ascii="Times New Roman" w:hAnsi="Times New Roman" w:cs="Times New Roman"/>
        </w:rPr>
      </w:pPr>
    </w:p>
    <w:p w14:paraId="5B7A66AC" w14:textId="7412D3C0" w:rsidR="003F1951" w:rsidRPr="00593D25" w:rsidRDefault="00B76B34" w:rsidP="00593D25">
      <w:pPr>
        <w:spacing w:after="0" w:line="240" w:lineRule="auto"/>
        <w:jc w:val="both"/>
        <w:rPr>
          <w:rFonts w:ascii="Times New Roman" w:hAnsi="Times New Roman" w:cs="Times New Roman"/>
          <w:b/>
          <w:bCs/>
        </w:rPr>
      </w:pPr>
      <w:r w:rsidRPr="00593D25">
        <w:rPr>
          <w:rFonts w:ascii="Times New Roman" w:hAnsi="Times New Roman" w:cs="Times New Roman"/>
          <w:b/>
          <w:bCs/>
        </w:rPr>
        <w:t>Methods</w:t>
      </w:r>
    </w:p>
    <w:p w14:paraId="474A73FD" w14:textId="771B46AB" w:rsidR="008E1B05" w:rsidRPr="00B76B34" w:rsidRDefault="00B76B34" w:rsidP="008E1B05">
      <w:pPr>
        <w:spacing w:after="0" w:line="240" w:lineRule="auto"/>
        <w:jc w:val="both"/>
        <w:rPr>
          <w:rFonts w:ascii="Times New Roman" w:hAnsi="Times New Roman" w:cs="Times New Roman"/>
        </w:rPr>
      </w:pPr>
      <w:r w:rsidRPr="00B76B34">
        <w:rPr>
          <w:rFonts w:ascii="Times New Roman" w:hAnsi="Times New Roman" w:cs="Times New Roman"/>
        </w:rPr>
        <w:t xml:space="preserve">Since 2019 the OPAC has been developing the Survey of National Monuments in Portugal (IMNP) as part of the above </w:t>
      </w:r>
      <w:r w:rsidRPr="002B7B7E">
        <w:rPr>
          <w:rFonts w:ascii="Times New Roman" w:hAnsi="Times New Roman" w:cs="Times New Roman"/>
        </w:rPr>
        <w:t>study (Neves, Macedo</w:t>
      </w:r>
      <w:r w:rsidR="00E07DE3" w:rsidRPr="002B7B7E">
        <w:rPr>
          <w:rFonts w:ascii="Times New Roman" w:hAnsi="Times New Roman" w:cs="Times New Roman"/>
        </w:rPr>
        <w:t xml:space="preserve"> </w:t>
      </w:r>
      <w:r w:rsidRPr="002B7B7E">
        <w:rPr>
          <w:rFonts w:ascii="Times New Roman" w:hAnsi="Times New Roman" w:cs="Times New Roman"/>
        </w:rPr>
        <w:t>&amp; Santos, 2020). This</w:t>
      </w:r>
      <w:r w:rsidRPr="00B76B34">
        <w:rPr>
          <w:rFonts w:ascii="Times New Roman" w:hAnsi="Times New Roman" w:cs="Times New Roman"/>
        </w:rPr>
        <w:t xml:space="preserve"> </w:t>
      </w:r>
      <w:r w:rsidR="00C64A3F">
        <w:rPr>
          <w:rFonts w:ascii="Times New Roman" w:hAnsi="Times New Roman" w:cs="Times New Roman"/>
        </w:rPr>
        <w:t>departs from an</w:t>
      </w:r>
      <w:r w:rsidRPr="00B76B34">
        <w:rPr>
          <w:rFonts w:ascii="Times New Roman" w:hAnsi="Times New Roman" w:cs="Times New Roman"/>
        </w:rPr>
        <w:t xml:space="preserve"> administrative source, in line with the recommendations of the Portuguese Statistical Council and the European Commission, as its aim is to produce indicators that complement the information collected, especially from the point of view of visitors and human resources, in national statistics on built heritage.</w:t>
      </w:r>
      <w:r w:rsidR="00BD1241">
        <w:rPr>
          <w:rFonts w:ascii="Times New Roman" w:hAnsi="Times New Roman" w:cs="Times New Roman"/>
        </w:rPr>
        <w:t xml:space="preserve"> </w:t>
      </w:r>
      <w:r w:rsidR="008E1B05" w:rsidRPr="00B76B34">
        <w:rPr>
          <w:rFonts w:ascii="Times New Roman" w:hAnsi="Times New Roman" w:cs="Times New Roman"/>
        </w:rPr>
        <w:t>Official information– homogenous and constant – is provided by the governmental heritage administration institution. The survey is based on built heritage assets classified as monuments, specifically National Monument, open to the public, visitable and with visitor control. This universe is diverse and heterogeneous, and includes monuments from all regions of Portugal, all types of buildings and from all management entities, both public and private. It should be noted that because the procedure of classification is permanent, the universe under study is updated annually.</w:t>
      </w:r>
    </w:p>
    <w:p w14:paraId="0E5081C3" w14:textId="77777777" w:rsidR="008E1B05" w:rsidRPr="00B76B34" w:rsidRDefault="008E1B05" w:rsidP="008E1B05">
      <w:pPr>
        <w:spacing w:after="0" w:line="240" w:lineRule="auto"/>
        <w:jc w:val="both"/>
        <w:rPr>
          <w:rFonts w:ascii="Times New Roman" w:hAnsi="Times New Roman" w:cs="Times New Roman"/>
        </w:rPr>
      </w:pPr>
      <w:r w:rsidRPr="00B76B34">
        <w:rPr>
          <w:rFonts w:ascii="Times New Roman" w:hAnsi="Times New Roman" w:cs="Times New Roman"/>
        </w:rPr>
        <w:t>The methodology adopted is quantitative, self-administered questionnaire survey, filled in via an online platform, with an invitation to participate addressed to those responsible for the monuments or the management organization. It is carried out annually, and the results can be updated by including retrospective data and new data according to the revision of already submitted data.</w:t>
      </w:r>
    </w:p>
    <w:p w14:paraId="418EC8F1" w14:textId="77777777" w:rsidR="008E1B05" w:rsidRPr="00DD1198" w:rsidRDefault="008E1B05" w:rsidP="008E1B05">
      <w:pPr>
        <w:spacing w:after="0" w:line="240" w:lineRule="auto"/>
        <w:jc w:val="both"/>
        <w:rPr>
          <w:rFonts w:ascii="Times New Roman" w:hAnsi="Times New Roman" w:cs="Times New Roman"/>
        </w:rPr>
      </w:pPr>
      <w:r w:rsidRPr="00B76B34">
        <w:rPr>
          <w:rFonts w:ascii="Times New Roman" w:hAnsi="Times New Roman" w:cs="Times New Roman"/>
        </w:rPr>
        <w:t>The questionnaire seeks to ascertain the NM situation regarding opening to the public, opening regime, visitor control, number of total visitors, by mode of entry, by nationality, by school groups and on guided tours, and about human resources.</w:t>
      </w:r>
    </w:p>
    <w:p w14:paraId="12CC7526" w14:textId="1A657082" w:rsidR="00FE0011" w:rsidRPr="004E54DD" w:rsidRDefault="00BD1241" w:rsidP="00FE0011">
      <w:pPr>
        <w:spacing w:after="0" w:line="240" w:lineRule="auto"/>
        <w:jc w:val="both"/>
        <w:rPr>
          <w:rFonts w:ascii="Times New Roman" w:hAnsi="Times New Roman" w:cs="Times New Roman"/>
        </w:rPr>
      </w:pPr>
      <w:r w:rsidRPr="00886578">
        <w:rPr>
          <w:rFonts w:ascii="Times New Roman" w:hAnsi="Times New Roman" w:cs="Times New Roman"/>
        </w:rPr>
        <w:t xml:space="preserve">This study </w:t>
      </w:r>
      <w:r w:rsidR="0005524F" w:rsidRPr="00886578">
        <w:rPr>
          <w:rFonts w:ascii="Times New Roman" w:hAnsi="Times New Roman" w:cs="Times New Roman"/>
        </w:rPr>
        <w:t xml:space="preserve">started in 2019 with the first survey that </w:t>
      </w:r>
      <w:r w:rsidR="00886578">
        <w:rPr>
          <w:rFonts w:ascii="Times New Roman" w:hAnsi="Times New Roman" w:cs="Times New Roman"/>
        </w:rPr>
        <w:t xml:space="preserve">complied with a </w:t>
      </w:r>
      <w:r w:rsidR="00886578" w:rsidRPr="0001022A">
        <w:rPr>
          <w:rFonts w:ascii="Times New Roman" w:hAnsi="Times New Roman" w:cs="Times New Roman"/>
        </w:rPr>
        <w:t>wide range of dimensions (ownership, allocation, and management; improvement; use; visitors; human resources and MN valences). After a first characterization, which allowed a more precise delimitation of the universe of work, in the following survey</w:t>
      </w:r>
      <w:r w:rsidR="00886578">
        <w:rPr>
          <w:rFonts w:ascii="Times New Roman" w:hAnsi="Times New Roman" w:cs="Times New Roman"/>
        </w:rPr>
        <w:t>s</w:t>
      </w:r>
      <w:r w:rsidR="00886578" w:rsidRPr="0001022A">
        <w:rPr>
          <w:rFonts w:ascii="Times New Roman" w:hAnsi="Times New Roman" w:cs="Times New Roman"/>
        </w:rPr>
        <w:t xml:space="preserve"> w</w:t>
      </w:r>
      <w:r w:rsidR="00886578">
        <w:rPr>
          <w:rFonts w:ascii="Times New Roman" w:hAnsi="Times New Roman" w:cs="Times New Roman"/>
        </w:rPr>
        <w:t>ere</w:t>
      </w:r>
      <w:r w:rsidR="00886578" w:rsidRPr="0001022A">
        <w:rPr>
          <w:rFonts w:ascii="Times New Roman" w:hAnsi="Times New Roman" w:cs="Times New Roman"/>
        </w:rPr>
        <w:t xml:space="preserve"> restricted to the dimensions in which there were relevant annual variations, the use and public access, visitors </w:t>
      </w:r>
      <w:r w:rsidR="00886578" w:rsidRPr="007B5D91">
        <w:rPr>
          <w:rFonts w:ascii="Times New Roman" w:hAnsi="Times New Roman" w:cs="Times New Roman"/>
        </w:rPr>
        <w:t xml:space="preserve">and human resources. The 2020 and 2021 editions also included a module on the impacts of the COVID-19 pandemic on the NM activities </w:t>
      </w:r>
      <w:r w:rsidR="00A44F13" w:rsidRPr="007B5D91">
        <w:rPr>
          <w:rFonts w:ascii="Times New Roman" w:hAnsi="Times New Roman" w:cs="Times New Roman"/>
        </w:rPr>
        <w:t xml:space="preserve">(Neves, Macedo, Lima, Santos &amp; Miranda, 2020; Neves, Macedo, Santos &amp; Miranda, 2021) </w:t>
      </w:r>
      <w:r w:rsidR="00886578" w:rsidRPr="007B5D91">
        <w:rPr>
          <w:rFonts w:ascii="Times New Roman" w:hAnsi="Times New Roman" w:cs="Times New Roman"/>
        </w:rPr>
        <w:t xml:space="preserve">and, in 2021, a question on UNESCO World Heritage sites </w:t>
      </w:r>
      <w:r w:rsidR="00A44F13" w:rsidRPr="007B5D91">
        <w:rPr>
          <w:rFonts w:ascii="Times New Roman" w:hAnsi="Times New Roman" w:cs="Times New Roman"/>
        </w:rPr>
        <w:t>(Neves, Macedo &amp; Santos, 2023).</w:t>
      </w:r>
      <w:r w:rsidR="00FE0011" w:rsidRPr="007B5D91">
        <w:rPr>
          <w:rFonts w:ascii="Times New Roman" w:hAnsi="Times New Roman" w:cs="Times New Roman"/>
        </w:rPr>
        <w:t xml:space="preserve"> </w:t>
      </w:r>
      <w:r w:rsidR="00FE0011" w:rsidRPr="007B5D91">
        <w:rPr>
          <w:rFonts w:ascii="Times New Roman" w:hAnsi="Times New Roman" w:cs="Times New Roman"/>
        </w:rPr>
        <w:t>In the 2023 edition (fifth survey), the dimensions of public use and access, visitors and human resources are resumed</w:t>
      </w:r>
      <w:r w:rsidR="00FB6129" w:rsidRPr="007B5D91">
        <w:rPr>
          <w:rFonts w:ascii="Times New Roman" w:hAnsi="Times New Roman" w:cs="Times New Roman"/>
        </w:rPr>
        <w:t xml:space="preserve"> (Neves, Macedo, Santos &amp; Lima, 2024) and</w:t>
      </w:r>
      <w:r w:rsidR="00FE0011" w:rsidRPr="007B5D91">
        <w:rPr>
          <w:rFonts w:ascii="Times New Roman" w:hAnsi="Times New Roman" w:cs="Times New Roman"/>
        </w:rPr>
        <w:t xml:space="preserve"> an attempt was made to enlarge the observed universe. This resulted in the inclusion of several monuments</w:t>
      </w:r>
      <w:r w:rsidR="00FE0011" w:rsidRPr="0001022A">
        <w:rPr>
          <w:rFonts w:ascii="Times New Roman" w:hAnsi="Times New Roman" w:cs="Times New Roman"/>
        </w:rPr>
        <w:t xml:space="preserve"> who responded for the first time. The increase in the number of respondents is due to the new</w:t>
      </w:r>
      <w:r w:rsidR="00FE0011">
        <w:rPr>
          <w:rFonts w:ascii="Times New Roman" w:hAnsi="Times New Roman" w:cs="Times New Roman"/>
        </w:rPr>
        <w:t xml:space="preserve"> site</w:t>
      </w:r>
      <w:r w:rsidR="00FE0011" w:rsidRPr="0001022A">
        <w:rPr>
          <w:rFonts w:ascii="Times New Roman" w:hAnsi="Times New Roman" w:cs="Times New Roman"/>
        </w:rPr>
        <w:t xml:space="preserve"> classifications </w:t>
      </w:r>
      <w:r w:rsidR="00FE0011">
        <w:rPr>
          <w:rFonts w:ascii="Times New Roman" w:hAnsi="Times New Roman" w:cs="Times New Roman"/>
        </w:rPr>
        <w:t>and</w:t>
      </w:r>
      <w:r w:rsidR="00FE0011" w:rsidRPr="0001022A">
        <w:rPr>
          <w:rFonts w:ascii="Times New Roman" w:hAnsi="Times New Roman" w:cs="Times New Roman"/>
        </w:rPr>
        <w:t xml:space="preserve"> the increase </w:t>
      </w:r>
      <w:r w:rsidR="00FE0011">
        <w:rPr>
          <w:rFonts w:ascii="Times New Roman" w:hAnsi="Times New Roman" w:cs="Times New Roman"/>
        </w:rPr>
        <w:t>of monuments o</w:t>
      </w:r>
      <w:r w:rsidR="00FE0011" w:rsidRPr="0001022A">
        <w:rPr>
          <w:rFonts w:ascii="Times New Roman" w:hAnsi="Times New Roman" w:cs="Times New Roman"/>
        </w:rPr>
        <w:t>pen for visit</w:t>
      </w:r>
      <w:r w:rsidR="00FE0011">
        <w:rPr>
          <w:rFonts w:ascii="Times New Roman" w:hAnsi="Times New Roman" w:cs="Times New Roman"/>
        </w:rPr>
        <w:t xml:space="preserve"> and shows the </w:t>
      </w:r>
      <w:r w:rsidR="00FE0011" w:rsidRPr="0001022A">
        <w:rPr>
          <w:rFonts w:ascii="Times New Roman" w:hAnsi="Times New Roman" w:cs="Times New Roman"/>
        </w:rPr>
        <w:t xml:space="preserve">dynamism of the set of visitable heritage sites. </w:t>
      </w:r>
    </w:p>
    <w:p w14:paraId="5555A6CC" w14:textId="4AB6783E" w:rsidR="00B76B34" w:rsidRPr="00886578" w:rsidRDefault="00C56060" w:rsidP="00593D25">
      <w:pPr>
        <w:spacing w:after="0" w:line="240" w:lineRule="auto"/>
        <w:jc w:val="both"/>
        <w:rPr>
          <w:rFonts w:ascii="Times New Roman" w:hAnsi="Times New Roman" w:cs="Times New Roman"/>
        </w:rPr>
      </w:pPr>
      <w:r w:rsidRPr="00A61CAB">
        <w:rPr>
          <w:rFonts w:ascii="Times New Roman" w:hAnsi="Times New Roman" w:cs="Times New Roman"/>
        </w:rPr>
        <w:t>The</w:t>
      </w:r>
      <w:r w:rsidR="005F0E40" w:rsidRPr="00A61CAB">
        <w:rPr>
          <w:rFonts w:ascii="Times New Roman" w:hAnsi="Times New Roman" w:cs="Times New Roman"/>
        </w:rPr>
        <w:t xml:space="preserve"> study, as well as the surve</w:t>
      </w:r>
      <w:r w:rsidR="00A61CAB">
        <w:rPr>
          <w:rFonts w:ascii="Times New Roman" w:hAnsi="Times New Roman" w:cs="Times New Roman"/>
        </w:rPr>
        <w:t>y</w:t>
      </w:r>
      <w:r w:rsidR="005F0E40" w:rsidRPr="00A61CAB">
        <w:rPr>
          <w:rFonts w:ascii="Times New Roman" w:hAnsi="Times New Roman" w:cs="Times New Roman"/>
        </w:rPr>
        <w:t xml:space="preserve"> faces a new moment of alteration in the </w:t>
      </w:r>
      <w:r w:rsidR="00A61CAB">
        <w:rPr>
          <w:rFonts w:ascii="Times New Roman" w:hAnsi="Times New Roman" w:cs="Times New Roman"/>
        </w:rPr>
        <w:t>country’s’ h</w:t>
      </w:r>
      <w:r w:rsidR="005F0E40" w:rsidRPr="00A61CAB">
        <w:rPr>
          <w:rFonts w:ascii="Times New Roman" w:hAnsi="Times New Roman" w:cs="Times New Roman"/>
        </w:rPr>
        <w:t xml:space="preserve">eritage </w:t>
      </w:r>
      <w:r w:rsidR="00A61CAB" w:rsidRPr="00A61CAB">
        <w:rPr>
          <w:rFonts w:ascii="Times New Roman" w:hAnsi="Times New Roman" w:cs="Times New Roman"/>
        </w:rPr>
        <w:t xml:space="preserve">institutions. </w:t>
      </w:r>
    </w:p>
    <w:p w14:paraId="7AF248B0" w14:textId="77777777" w:rsidR="00BD1241" w:rsidRPr="00886578" w:rsidRDefault="00BD1241" w:rsidP="00593D25">
      <w:pPr>
        <w:spacing w:after="0" w:line="240" w:lineRule="auto"/>
        <w:jc w:val="both"/>
        <w:rPr>
          <w:rFonts w:ascii="Times New Roman" w:hAnsi="Times New Roman" w:cs="Times New Roman"/>
        </w:rPr>
      </w:pPr>
    </w:p>
    <w:p w14:paraId="4E8949D5" w14:textId="77777777" w:rsidR="009C18D6" w:rsidRDefault="009C18D6" w:rsidP="00A96051">
      <w:pPr>
        <w:spacing w:after="0" w:line="240" w:lineRule="auto"/>
        <w:jc w:val="both"/>
        <w:rPr>
          <w:rFonts w:ascii="Times New Roman" w:hAnsi="Times New Roman" w:cs="Times New Roman"/>
          <w:b/>
          <w:bCs/>
        </w:rPr>
      </w:pPr>
    </w:p>
    <w:p w14:paraId="5C3FBBB5" w14:textId="7568BF8C" w:rsidR="00B76B34" w:rsidRPr="00A96051" w:rsidRDefault="00B76B34" w:rsidP="00A96051">
      <w:pPr>
        <w:spacing w:after="0" w:line="240" w:lineRule="auto"/>
        <w:jc w:val="both"/>
        <w:rPr>
          <w:rFonts w:ascii="Times New Roman" w:hAnsi="Times New Roman" w:cs="Times New Roman"/>
          <w:b/>
          <w:bCs/>
        </w:rPr>
      </w:pPr>
      <w:r w:rsidRPr="00A96051">
        <w:rPr>
          <w:rFonts w:ascii="Times New Roman" w:hAnsi="Times New Roman" w:cs="Times New Roman"/>
          <w:b/>
          <w:bCs/>
        </w:rPr>
        <w:t xml:space="preserve">Conceptual </w:t>
      </w:r>
      <w:r w:rsidR="00A96051" w:rsidRPr="00A96051">
        <w:rPr>
          <w:rFonts w:ascii="Times New Roman" w:hAnsi="Times New Roman" w:cs="Times New Roman"/>
          <w:b/>
          <w:bCs/>
        </w:rPr>
        <w:t>Framework</w:t>
      </w:r>
    </w:p>
    <w:p w14:paraId="1410F5C9" w14:textId="66C27F32" w:rsidR="00B76B34" w:rsidRDefault="00B76B34" w:rsidP="00A96051">
      <w:pPr>
        <w:spacing w:after="0" w:line="240" w:lineRule="auto"/>
        <w:jc w:val="both"/>
        <w:rPr>
          <w:rFonts w:ascii="Times New Roman" w:hAnsi="Times New Roman" w:cs="Times New Roman"/>
        </w:rPr>
      </w:pPr>
      <w:r w:rsidRPr="00B76B34">
        <w:rPr>
          <w:rFonts w:ascii="Times New Roman" w:hAnsi="Times New Roman" w:cs="Times New Roman"/>
        </w:rPr>
        <w:lastRenderedPageBreak/>
        <w:t>In the mid-19th century in Portugal, as well as in the majority of Europe, cultural heritage (CH) meant mainly monumental buildings and ruins that were representative of the country’s history and that carried in them a nationwide significance. Measures had to be taken to prevent their loss, such as protection, defense, and restoration. Classification was the adopted procedure, recognizing the role of monuments on national identity and allowing them special protection. By the end of the 19th century the word Monumento Nacional (National Monument) was used in official and legal documents and materialized collective identity, embodying them with a nationwide cultural and social value that justified state driven policies and practices. CH protection was established around the classification procedure and the National Monument (NM) set in its center.</w:t>
      </w:r>
      <w:r w:rsidR="00130C84">
        <w:rPr>
          <w:rFonts w:ascii="Times New Roman" w:hAnsi="Times New Roman" w:cs="Times New Roman"/>
        </w:rPr>
        <w:t xml:space="preserve"> </w:t>
      </w:r>
    </w:p>
    <w:p w14:paraId="7D44B8EF" w14:textId="54F96B47" w:rsidR="00872EC8" w:rsidRPr="00872EC8" w:rsidRDefault="00FC282B" w:rsidP="005A7C68">
      <w:pPr>
        <w:spacing w:after="0" w:line="240" w:lineRule="auto"/>
        <w:jc w:val="both"/>
        <w:rPr>
          <w:rFonts w:ascii="Times New Roman" w:hAnsi="Times New Roman" w:cs="Times New Roman"/>
        </w:rPr>
      </w:pPr>
      <w:r w:rsidRPr="00FC282B">
        <w:rPr>
          <w:rFonts w:ascii="Times New Roman" w:hAnsi="Times New Roman" w:cs="Times New Roman"/>
        </w:rPr>
        <w:t>Visiting historical sites, a practice that began in Europe through the Grand Tour in the eighteenth century, was a civilizing action</w:t>
      </w:r>
      <w:r w:rsidR="00ED07BD">
        <w:rPr>
          <w:rFonts w:ascii="Times New Roman" w:hAnsi="Times New Roman" w:cs="Times New Roman"/>
        </w:rPr>
        <w:t xml:space="preserve">. </w:t>
      </w:r>
      <w:r w:rsidR="003D1FC4" w:rsidRPr="00E922A2">
        <w:rPr>
          <w:rFonts w:ascii="Times New Roman" w:hAnsi="Times New Roman" w:cs="Times New Roman"/>
        </w:rPr>
        <w:t>He</w:t>
      </w:r>
      <w:r w:rsidR="00E4190A" w:rsidRPr="00E922A2">
        <w:rPr>
          <w:rFonts w:ascii="Times New Roman" w:hAnsi="Times New Roman" w:cs="Times New Roman"/>
        </w:rPr>
        <w:t xml:space="preserve">ritage fruition was a common activity in the XIXth century Europe </w:t>
      </w:r>
      <w:r w:rsidR="00BD29D2" w:rsidRPr="00E922A2">
        <w:rPr>
          <w:rFonts w:ascii="Times New Roman" w:hAnsi="Times New Roman" w:cs="Times New Roman"/>
        </w:rPr>
        <w:t>for some groups and citizens were invited to visit their historical buildings</w:t>
      </w:r>
      <w:r w:rsidR="00825DB7" w:rsidRPr="00E922A2">
        <w:rPr>
          <w:rFonts w:ascii="Times New Roman" w:hAnsi="Times New Roman" w:cs="Times New Roman"/>
        </w:rPr>
        <w:t xml:space="preserve">, </w:t>
      </w:r>
      <w:r w:rsidR="002300B9" w:rsidRPr="00E922A2">
        <w:rPr>
          <w:rFonts w:ascii="Times New Roman" w:hAnsi="Times New Roman" w:cs="Times New Roman"/>
        </w:rPr>
        <w:t xml:space="preserve">proclaiming a wider access within the frame of na educational </w:t>
      </w:r>
      <w:r w:rsidR="00E922A2" w:rsidRPr="00E922A2">
        <w:rPr>
          <w:rFonts w:ascii="Times New Roman" w:hAnsi="Times New Roman" w:cs="Times New Roman"/>
        </w:rPr>
        <w:t xml:space="preserve">strategy. </w:t>
      </w:r>
      <w:r w:rsidR="00AF5917">
        <w:rPr>
          <w:rFonts w:ascii="Times New Roman" w:hAnsi="Times New Roman" w:cs="Times New Roman"/>
        </w:rPr>
        <w:t>In the XIXth century Portugal, v</w:t>
      </w:r>
      <w:r w:rsidR="00AF5917" w:rsidRPr="00FC282B">
        <w:rPr>
          <w:rFonts w:ascii="Times New Roman" w:hAnsi="Times New Roman" w:cs="Times New Roman"/>
        </w:rPr>
        <w:t xml:space="preserve">isitors who accessed the historical monuments were national and </w:t>
      </w:r>
      <w:r w:rsidR="00E922A2" w:rsidRPr="00425DD0">
        <w:rPr>
          <w:rFonts w:ascii="Times New Roman" w:hAnsi="Times New Roman" w:cs="Times New Roman"/>
        </w:rPr>
        <w:t>foreign and</w:t>
      </w:r>
      <w:r w:rsidR="00AF5917" w:rsidRPr="00425DD0">
        <w:rPr>
          <w:rFonts w:ascii="Times New Roman" w:hAnsi="Times New Roman" w:cs="Times New Roman"/>
        </w:rPr>
        <w:t xml:space="preserve"> were essentially looking for "the Gothic and Manueline monasteries and the medieval castles" (Rosas, 1995</w:t>
      </w:r>
      <w:r w:rsidR="00872EC8" w:rsidRPr="00425DD0">
        <w:rPr>
          <w:rFonts w:ascii="Times New Roman" w:hAnsi="Times New Roman" w:cs="Times New Roman"/>
        </w:rPr>
        <w:t xml:space="preserve">, p. </w:t>
      </w:r>
      <w:r w:rsidR="00AF5917" w:rsidRPr="00425DD0">
        <w:rPr>
          <w:rFonts w:ascii="Times New Roman" w:hAnsi="Times New Roman" w:cs="Times New Roman"/>
        </w:rPr>
        <w:t>58)</w:t>
      </w:r>
      <w:r w:rsidR="00E922A2" w:rsidRPr="00425DD0">
        <w:rPr>
          <w:rFonts w:ascii="Times New Roman" w:hAnsi="Times New Roman" w:cs="Times New Roman"/>
        </w:rPr>
        <w:t xml:space="preserve">. During the First </w:t>
      </w:r>
      <w:r w:rsidR="00E517A6" w:rsidRPr="00425DD0">
        <w:rPr>
          <w:rFonts w:ascii="Times New Roman" w:hAnsi="Times New Roman" w:cs="Times New Roman"/>
        </w:rPr>
        <w:t>R</w:t>
      </w:r>
      <w:r w:rsidR="00E922A2" w:rsidRPr="00425DD0">
        <w:rPr>
          <w:rFonts w:ascii="Times New Roman" w:hAnsi="Times New Roman" w:cs="Times New Roman"/>
        </w:rPr>
        <w:t>epublic</w:t>
      </w:r>
      <w:r w:rsidR="00E517A6" w:rsidRPr="00425DD0">
        <w:rPr>
          <w:rFonts w:ascii="Times New Roman" w:hAnsi="Times New Roman" w:cs="Times New Roman"/>
        </w:rPr>
        <w:t xml:space="preserve"> period</w:t>
      </w:r>
      <w:r w:rsidR="00E922A2" w:rsidRPr="00425DD0">
        <w:rPr>
          <w:rFonts w:ascii="Times New Roman" w:hAnsi="Times New Roman" w:cs="Times New Roman"/>
        </w:rPr>
        <w:t xml:space="preserve"> (1910-</w:t>
      </w:r>
      <w:r w:rsidR="00E517A6" w:rsidRPr="00425DD0">
        <w:rPr>
          <w:rFonts w:ascii="Times New Roman" w:hAnsi="Times New Roman" w:cs="Times New Roman"/>
        </w:rPr>
        <w:t xml:space="preserve">1926) heritage fruition </w:t>
      </w:r>
      <w:r w:rsidR="00061014" w:rsidRPr="00425DD0">
        <w:rPr>
          <w:rFonts w:ascii="Times New Roman" w:hAnsi="Times New Roman" w:cs="Times New Roman"/>
        </w:rPr>
        <w:t xml:space="preserve">had specific rules </w:t>
      </w:r>
      <w:r w:rsidR="00061014" w:rsidRPr="00425DD0">
        <w:rPr>
          <w:rFonts w:ascii="Times New Roman" w:hAnsi="Times New Roman" w:cs="Times New Roman"/>
        </w:rPr>
        <w:t>(Custódio, 2010</w:t>
      </w:r>
      <w:r w:rsidR="00872EC8" w:rsidRPr="00425DD0">
        <w:rPr>
          <w:rFonts w:ascii="Times New Roman" w:hAnsi="Times New Roman" w:cs="Times New Roman"/>
        </w:rPr>
        <w:t xml:space="preserve">, p. </w:t>
      </w:r>
      <w:r w:rsidR="00061014" w:rsidRPr="00425DD0">
        <w:rPr>
          <w:rFonts w:ascii="Times New Roman" w:hAnsi="Times New Roman" w:cs="Times New Roman"/>
        </w:rPr>
        <w:t>99),</w:t>
      </w:r>
      <w:r w:rsidR="00061014" w:rsidRPr="00425DD0">
        <w:rPr>
          <w:rFonts w:ascii="Times New Roman" w:hAnsi="Times New Roman" w:cs="Times New Roman"/>
        </w:rPr>
        <w:t xml:space="preserve"> and the former royal palaces were </w:t>
      </w:r>
      <w:r w:rsidR="00AA2C99" w:rsidRPr="00425DD0">
        <w:rPr>
          <w:rFonts w:ascii="Times New Roman" w:hAnsi="Times New Roman" w:cs="Times New Roman"/>
        </w:rPr>
        <w:t>affected towards public opening and visitation</w:t>
      </w:r>
      <w:r w:rsidR="00503BE6" w:rsidRPr="00425DD0">
        <w:rPr>
          <w:rFonts w:ascii="Times New Roman" w:hAnsi="Times New Roman" w:cs="Times New Roman"/>
        </w:rPr>
        <w:t>, in the hope of extending and gathering more visitors.</w:t>
      </w:r>
      <w:r w:rsidR="0044452C" w:rsidRPr="00425DD0">
        <w:rPr>
          <w:rFonts w:ascii="Times New Roman" w:hAnsi="Times New Roman" w:cs="Times New Roman"/>
        </w:rPr>
        <w:t xml:space="preserve"> The democratic period after 1974</w:t>
      </w:r>
      <w:r w:rsidR="00AA2C99" w:rsidRPr="00425DD0">
        <w:rPr>
          <w:rFonts w:ascii="Times New Roman" w:hAnsi="Times New Roman" w:cs="Times New Roman"/>
        </w:rPr>
        <w:t xml:space="preserve"> </w:t>
      </w:r>
      <w:r w:rsidR="0044452C" w:rsidRPr="00425DD0">
        <w:rPr>
          <w:rFonts w:ascii="Times New Roman" w:hAnsi="Times New Roman" w:cs="Times New Roman"/>
        </w:rPr>
        <w:t xml:space="preserve">brought the full understanding of </w:t>
      </w:r>
      <w:r w:rsidR="00FD6B86" w:rsidRPr="00425DD0">
        <w:rPr>
          <w:rFonts w:ascii="Times New Roman" w:hAnsi="Times New Roman" w:cs="Times New Roman"/>
        </w:rPr>
        <w:t>heritage</w:t>
      </w:r>
      <w:r w:rsidR="00FD6B86">
        <w:rPr>
          <w:rFonts w:ascii="Times New Roman" w:hAnsi="Times New Roman" w:cs="Times New Roman"/>
        </w:rPr>
        <w:t xml:space="preserve"> democratization</w:t>
      </w:r>
      <w:r w:rsidR="00CA6218">
        <w:rPr>
          <w:rFonts w:ascii="Times New Roman" w:hAnsi="Times New Roman" w:cs="Times New Roman"/>
        </w:rPr>
        <w:t xml:space="preserve"> </w:t>
      </w:r>
      <w:r w:rsidR="00CA6218" w:rsidRPr="00CA66E5">
        <w:rPr>
          <w:rFonts w:ascii="Times New Roman" w:hAnsi="Times New Roman" w:cs="Times New Roman"/>
        </w:rPr>
        <w:t>(Silva, 2014)</w:t>
      </w:r>
      <w:r w:rsidR="00FD6B86" w:rsidRPr="00CA66E5">
        <w:rPr>
          <w:rFonts w:ascii="Times New Roman" w:hAnsi="Times New Roman" w:cs="Times New Roman"/>
        </w:rPr>
        <w:t>, not</w:t>
      </w:r>
      <w:r w:rsidR="00FD6B86">
        <w:rPr>
          <w:rFonts w:ascii="Times New Roman" w:hAnsi="Times New Roman" w:cs="Times New Roman"/>
        </w:rPr>
        <w:t xml:space="preserve"> always </w:t>
      </w:r>
      <w:r w:rsidR="00872EC8">
        <w:rPr>
          <w:rFonts w:ascii="Times New Roman" w:hAnsi="Times New Roman" w:cs="Times New Roman"/>
        </w:rPr>
        <w:t xml:space="preserve">successful. </w:t>
      </w:r>
      <w:r w:rsidR="00872EC8" w:rsidRPr="00FC282B">
        <w:rPr>
          <w:rFonts w:ascii="Times New Roman" w:hAnsi="Times New Roman" w:cs="Times New Roman"/>
        </w:rPr>
        <w:t xml:space="preserve">The considerable effort that the country has been making in the requalification of its cultural heritage, and inherently in its National Monuments, has not been accompanied by a device to produce information that allows its monitoring and </w:t>
      </w:r>
      <w:proofErr w:type="gramStart"/>
      <w:r w:rsidR="00872EC8" w:rsidRPr="00FC282B">
        <w:rPr>
          <w:rFonts w:ascii="Times New Roman" w:hAnsi="Times New Roman" w:cs="Times New Roman"/>
        </w:rPr>
        <w:t>takes into account</w:t>
      </w:r>
      <w:proofErr w:type="gramEnd"/>
      <w:r w:rsidR="00872EC8" w:rsidRPr="00FC282B">
        <w:rPr>
          <w:rFonts w:ascii="Times New Roman" w:hAnsi="Times New Roman" w:cs="Times New Roman"/>
        </w:rPr>
        <w:t xml:space="preserve">, for example, the volume of entries, the number of national and foreign visitors who </w:t>
      </w:r>
      <w:r w:rsidR="00872EC8" w:rsidRPr="000E70D0">
        <w:rPr>
          <w:rFonts w:ascii="Times New Roman" w:hAnsi="Times New Roman" w:cs="Times New Roman"/>
        </w:rPr>
        <w:t>seek them (Neves, 2010, p. 6).</w:t>
      </w:r>
    </w:p>
    <w:p w14:paraId="69B1CA21" w14:textId="77777777" w:rsidR="00B76B34" w:rsidRPr="00E5263A" w:rsidRDefault="00B76B34" w:rsidP="00A96051">
      <w:pPr>
        <w:spacing w:after="0" w:line="240" w:lineRule="auto"/>
        <w:jc w:val="both"/>
        <w:rPr>
          <w:rFonts w:ascii="Times New Roman" w:hAnsi="Times New Roman" w:cs="Times New Roman"/>
        </w:rPr>
      </w:pPr>
      <w:r w:rsidRPr="00B76B34">
        <w:rPr>
          <w:rFonts w:ascii="Times New Roman" w:hAnsi="Times New Roman" w:cs="Times New Roman"/>
        </w:rPr>
        <w:t xml:space="preserve">The expansion of its scope and definition led to the redefinition of the CH framework in the late 20th century with a set of high expectations put upon heritage: a fundamental resource, key element of differentiation, notoriety, and attraction with high levels of public investment, engaging in economical promotion, wealth generation, and sustainable community development. In </w:t>
      </w:r>
      <w:r w:rsidRPr="00E5263A">
        <w:rPr>
          <w:rFonts w:ascii="Times New Roman" w:hAnsi="Times New Roman" w:cs="Times New Roman"/>
        </w:rPr>
        <w:t xml:space="preserve">cultural policies, heritage represents a relevant domain, particularly where budgets and expenditure are considered (Neves, Santos &amp; Lima, 2012). </w:t>
      </w:r>
    </w:p>
    <w:p w14:paraId="64A430F9" w14:textId="13986F8F" w:rsidR="00B76B34" w:rsidRPr="00B76B34" w:rsidRDefault="00B76B34" w:rsidP="00A96051">
      <w:pPr>
        <w:spacing w:after="0" w:line="240" w:lineRule="auto"/>
        <w:jc w:val="both"/>
        <w:rPr>
          <w:rFonts w:ascii="Times New Roman" w:hAnsi="Times New Roman" w:cs="Times New Roman"/>
        </w:rPr>
      </w:pPr>
      <w:r w:rsidRPr="00E5263A">
        <w:rPr>
          <w:rFonts w:ascii="Times New Roman" w:hAnsi="Times New Roman" w:cs="Times New Roman"/>
        </w:rPr>
        <w:t>Despite these expectations we lack systems for measuring the uses of heritage and inform development strategies. Efforts in heritage qualification drift towards conservation and restoration but do</w:t>
      </w:r>
      <w:r w:rsidRPr="00B76B34">
        <w:rPr>
          <w:rFonts w:ascii="Times New Roman" w:hAnsi="Times New Roman" w:cs="Times New Roman"/>
        </w:rPr>
        <w:t xml:space="preserve"> not include information on national and foreign </w:t>
      </w:r>
      <w:r w:rsidRPr="000E70D0">
        <w:rPr>
          <w:rFonts w:ascii="Times New Roman" w:hAnsi="Times New Roman" w:cs="Times New Roman"/>
        </w:rPr>
        <w:t>visitors (Neves, 2010). One</w:t>
      </w:r>
      <w:r w:rsidRPr="00B76B34">
        <w:rPr>
          <w:rFonts w:ascii="Times New Roman" w:hAnsi="Times New Roman" w:cs="Times New Roman"/>
        </w:rPr>
        <w:t xml:space="preserve"> of the main causes lies on the recurring argument of CH vastness, heterogeneity, and access regime, but also on the legal framework - Law 107/2001-, that does not refer the production of statistical data, in spite the existing parallels on museums (</w:t>
      </w:r>
      <w:r w:rsidRPr="00F25299">
        <w:rPr>
          <w:rFonts w:ascii="Times New Roman" w:hAnsi="Times New Roman" w:cs="Times New Roman"/>
        </w:rPr>
        <w:t>Law 47/2004</w:t>
      </w:r>
      <w:r w:rsidR="00F25299">
        <w:rPr>
          <w:rFonts w:ascii="Times New Roman" w:hAnsi="Times New Roman" w:cs="Times New Roman"/>
        </w:rPr>
        <w:t>, 19</w:t>
      </w:r>
      <w:r w:rsidR="00F25299" w:rsidRPr="00F25299">
        <w:rPr>
          <w:rFonts w:ascii="Times New Roman" w:hAnsi="Times New Roman" w:cs="Times New Roman"/>
        </w:rPr>
        <w:t>th</w:t>
      </w:r>
      <w:r w:rsidR="00F25299">
        <w:rPr>
          <w:rFonts w:ascii="Times New Roman" w:hAnsi="Times New Roman" w:cs="Times New Roman"/>
        </w:rPr>
        <w:t xml:space="preserve"> august</w:t>
      </w:r>
      <w:r w:rsidRPr="00B76B34">
        <w:rPr>
          <w:rFonts w:ascii="Times New Roman" w:hAnsi="Times New Roman" w:cs="Times New Roman"/>
        </w:rPr>
        <w:t>).</w:t>
      </w:r>
    </w:p>
    <w:p w14:paraId="09F7AA42" w14:textId="77777777" w:rsidR="00B76B34" w:rsidRPr="00B76B34" w:rsidRDefault="00B76B34" w:rsidP="00A96051">
      <w:pPr>
        <w:spacing w:after="0" w:line="240" w:lineRule="auto"/>
        <w:jc w:val="both"/>
        <w:rPr>
          <w:rFonts w:ascii="Times New Roman" w:hAnsi="Times New Roman" w:cs="Times New Roman"/>
        </w:rPr>
      </w:pPr>
      <w:r w:rsidRPr="00B76B34">
        <w:rPr>
          <w:rFonts w:ascii="Times New Roman" w:hAnsi="Times New Roman" w:cs="Times New Roman"/>
        </w:rPr>
        <w:t xml:space="preserve">This necessity has been pointed out since the mid 2000’s, supporting a statistic approach based on official information – homogenous and constant – provided by the governmental heritage administration institutions. Between 2006 and 2010, a Working Group on Culture Statistics (GTEC) consulted with the Portuguese Statistical Council. This group on its exploratory work, noticed the limits of the available information at the time and considered it useful to develop a new survey project focusing on classified buildings (monuments and archaeological sites) that had visitors’ control, and consider variables such as visitors (national and foreign); expenditure (total and staff); revenues (total, </w:t>
      </w:r>
      <w:proofErr w:type="gramStart"/>
      <w:r w:rsidRPr="00B76B34">
        <w:rPr>
          <w:rFonts w:ascii="Times New Roman" w:hAnsi="Times New Roman" w:cs="Times New Roman"/>
        </w:rPr>
        <w:t>entries</w:t>
      </w:r>
      <w:proofErr w:type="gramEnd"/>
      <w:r w:rsidRPr="00B76B34">
        <w:rPr>
          <w:rFonts w:ascii="Times New Roman" w:hAnsi="Times New Roman" w:cs="Times New Roman"/>
        </w:rPr>
        <w:t xml:space="preserve"> and visitors); staff (in service, paid). The final recommendation was a new survey focusing on built heritage that included visitors </w:t>
      </w:r>
      <w:r w:rsidRPr="000E70D0">
        <w:rPr>
          <w:rFonts w:ascii="Times New Roman" w:hAnsi="Times New Roman" w:cs="Times New Roman"/>
        </w:rPr>
        <w:t>(Neves, 2010, p. 11)</w:t>
      </w:r>
      <w:r w:rsidRPr="00B76B34">
        <w:rPr>
          <w:rFonts w:ascii="Times New Roman" w:hAnsi="Times New Roman" w:cs="Times New Roman"/>
        </w:rPr>
        <w:t xml:space="preserve"> and though it was well received by the Permanent Section of Social Statistics of the Statistical </w:t>
      </w:r>
      <w:r w:rsidRPr="00CA66E5">
        <w:rPr>
          <w:rFonts w:ascii="Times New Roman" w:hAnsi="Times New Roman" w:cs="Times New Roman"/>
        </w:rPr>
        <w:t>Council (SPES, 2010) it was</w:t>
      </w:r>
      <w:r w:rsidRPr="00B76B34">
        <w:rPr>
          <w:rFonts w:ascii="Times New Roman" w:hAnsi="Times New Roman" w:cs="Times New Roman"/>
        </w:rPr>
        <w:t xml:space="preserve"> never implemented. The proposed methodology, nevertheless, provides a valid framework, for assessing visitors in built cultural heritage.</w:t>
      </w:r>
    </w:p>
    <w:p w14:paraId="7D4B6BBB" w14:textId="77777777" w:rsidR="00B76B34" w:rsidRPr="00B76B34" w:rsidRDefault="00B76B34" w:rsidP="00A96051">
      <w:pPr>
        <w:spacing w:after="0" w:line="240" w:lineRule="auto"/>
        <w:jc w:val="both"/>
        <w:rPr>
          <w:rFonts w:ascii="Times New Roman" w:hAnsi="Times New Roman" w:cs="Times New Roman"/>
        </w:rPr>
      </w:pPr>
    </w:p>
    <w:p w14:paraId="5170E942" w14:textId="77777777" w:rsidR="00B76B34" w:rsidRPr="00BD3076" w:rsidRDefault="00B76B34" w:rsidP="00A96051">
      <w:pPr>
        <w:spacing w:after="0" w:line="240" w:lineRule="auto"/>
        <w:jc w:val="both"/>
        <w:rPr>
          <w:rFonts w:ascii="Times New Roman" w:hAnsi="Times New Roman" w:cs="Times New Roman"/>
          <w:i/>
          <w:iCs/>
        </w:rPr>
      </w:pPr>
      <w:r w:rsidRPr="00BD3076">
        <w:rPr>
          <w:rFonts w:ascii="Times New Roman" w:hAnsi="Times New Roman" w:cs="Times New Roman"/>
          <w:i/>
          <w:iCs/>
        </w:rPr>
        <w:t>Statistical data on cultural heritage</w:t>
      </w:r>
    </w:p>
    <w:p w14:paraId="73B15A6C" w14:textId="5292E353" w:rsidR="00B76B34" w:rsidRPr="00B76B34" w:rsidRDefault="00B76B34" w:rsidP="00A96051">
      <w:pPr>
        <w:spacing w:after="0" w:line="240" w:lineRule="auto"/>
        <w:jc w:val="both"/>
        <w:rPr>
          <w:rFonts w:ascii="Times New Roman" w:hAnsi="Times New Roman" w:cs="Times New Roman"/>
        </w:rPr>
      </w:pPr>
      <w:r w:rsidRPr="00B76B34">
        <w:rPr>
          <w:rFonts w:ascii="Times New Roman" w:hAnsi="Times New Roman" w:cs="Times New Roman"/>
        </w:rPr>
        <w:t xml:space="preserve">The relevance of statistical data on cultural heritage is pointed out by the European Council through the </w:t>
      </w:r>
      <w:r w:rsidRPr="002E664C">
        <w:rPr>
          <w:rFonts w:ascii="Times New Roman" w:hAnsi="Times New Roman" w:cs="Times New Roman"/>
        </w:rPr>
        <w:t>Work Plan for Culture, insisting on the production of comparable cultural statistics that concur to policy making (OJ, 2018/C460/10), sustaining</w:t>
      </w:r>
      <w:r w:rsidRPr="00B76B34">
        <w:rPr>
          <w:rFonts w:ascii="Times New Roman" w:hAnsi="Times New Roman" w:cs="Times New Roman"/>
        </w:rPr>
        <w:t xml:space="preserve"> that the regular production of comparable and reliable statistics on culture over time makes it possible to identify trends and develop sound policies. So far, without success in </w:t>
      </w:r>
      <w:r w:rsidRPr="00B76B34">
        <w:rPr>
          <w:rFonts w:ascii="Times New Roman" w:hAnsi="Times New Roman" w:cs="Times New Roman"/>
        </w:rPr>
        <w:lastRenderedPageBreak/>
        <w:t xml:space="preserve">publishing uniform data at a European level for specifically </w:t>
      </w:r>
      <w:r w:rsidRPr="00866B25">
        <w:rPr>
          <w:rFonts w:ascii="Times New Roman" w:hAnsi="Times New Roman" w:cs="Times New Roman"/>
        </w:rPr>
        <w:t xml:space="preserve">CH (Bina </w:t>
      </w:r>
      <w:r w:rsidR="00CE6208" w:rsidRPr="00866B25">
        <w:rPr>
          <w:rFonts w:ascii="Times New Roman" w:hAnsi="Times New Roman" w:cs="Times New Roman"/>
        </w:rPr>
        <w:t>&amp;</w:t>
      </w:r>
      <w:r w:rsidRPr="00866B25">
        <w:rPr>
          <w:rFonts w:ascii="Times New Roman" w:hAnsi="Times New Roman" w:cs="Times New Roman"/>
        </w:rPr>
        <w:t xml:space="preserve"> al., 2012, p. 288), some</w:t>
      </w:r>
      <w:r w:rsidRPr="00B76B34">
        <w:rPr>
          <w:rFonts w:ascii="Times New Roman" w:hAnsi="Times New Roman" w:cs="Times New Roman"/>
        </w:rPr>
        <w:t xml:space="preserve"> indicators remain, such as employment, which aggregates some activities in the field of cultural heritage. Of note is the field of museums, in which EGMUS since 2002 </w:t>
      </w:r>
      <w:r w:rsidRPr="00D80C13">
        <w:rPr>
          <w:rFonts w:ascii="Times New Roman" w:hAnsi="Times New Roman" w:cs="Times New Roman"/>
        </w:rPr>
        <w:t>(</w:t>
      </w:r>
      <w:proofErr w:type="spellStart"/>
      <w:r w:rsidRPr="00D80C13">
        <w:rPr>
          <w:rFonts w:ascii="Times New Roman" w:hAnsi="Times New Roman" w:cs="Times New Roman"/>
        </w:rPr>
        <w:t>Hagedom</w:t>
      </w:r>
      <w:proofErr w:type="spellEnd"/>
      <w:r w:rsidRPr="00D80C13">
        <w:rPr>
          <w:rFonts w:ascii="Times New Roman" w:hAnsi="Times New Roman" w:cs="Times New Roman"/>
        </w:rPr>
        <w:t>-Saupe &amp; Ermert, 2004; Haan, 2010) has</w:t>
      </w:r>
      <w:r w:rsidRPr="00B76B34">
        <w:rPr>
          <w:rFonts w:ascii="Times New Roman" w:hAnsi="Times New Roman" w:cs="Times New Roman"/>
        </w:rPr>
        <w:t xml:space="preserve"> been working to provide comparable statistical data at European level, using available statistics and the application of country questionnaires, with common definitions and key indicators that allow for uniform comparison and information. It is a very important contribution, although it is still a work in progress with many comparative limitations.</w:t>
      </w:r>
    </w:p>
    <w:p w14:paraId="75E6CC14" w14:textId="42111494" w:rsidR="00B76B34" w:rsidRPr="00B76B34" w:rsidRDefault="00B76B34" w:rsidP="00A96051">
      <w:pPr>
        <w:spacing w:after="0" w:line="240" w:lineRule="auto"/>
        <w:jc w:val="both"/>
        <w:rPr>
          <w:rFonts w:ascii="Times New Roman" w:hAnsi="Times New Roman" w:cs="Times New Roman"/>
        </w:rPr>
      </w:pPr>
      <w:r w:rsidRPr="00B76B34">
        <w:rPr>
          <w:rFonts w:ascii="Times New Roman" w:hAnsi="Times New Roman" w:cs="Times New Roman"/>
        </w:rPr>
        <w:t xml:space="preserve">The absence of comparable statistical data at European level has been referred to by both the Council of Europe and the European Parliament, supporting the need to develop common cultural statistics in Europe. In 2009, a new Working Group was established, the European Statistical System Network on Culture (ESSnet-Culture), which reinforced the work carried out by the European Commission and Eurostat with the structuring, from 1997 onwards, of the information and methodology for the development of cultural statistics based on the Leadership Group Culture (LEG-Culture), that published its report in 2000 </w:t>
      </w:r>
      <w:r w:rsidRPr="00456024">
        <w:rPr>
          <w:rFonts w:ascii="Times New Roman" w:hAnsi="Times New Roman" w:cs="Times New Roman"/>
        </w:rPr>
        <w:t>(A</w:t>
      </w:r>
      <w:r w:rsidR="00456024" w:rsidRPr="00456024">
        <w:rPr>
          <w:rFonts w:ascii="Times New Roman" w:hAnsi="Times New Roman" w:cs="Times New Roman"/>
        </w:rPr>
        <w:t>AVV</w:t>
      </w:r>
      <w:r w:rsidRPr="00456024">
        <w:rPr>
          <w:rFonts w:ascii="Times New Roman" w:hAnsi="Times New Roman" w:cs="Times New Roman"/>
        </w:rPr>
        <w:t xml:space="preserve">, </w:t>
      </w:r>
      <w:r w:rsidRPr="00866B25">
        <w:rPr>
          <w:rFonts w:ascii="Times New Roman" w:hAnsi="Times New Roman" w:cs="Times New Roman"/>
        </w:rPr>
        <w:t>2000), which, in turn, would underpin the publication in 2007 of the first cultural statistics in Europe (Eurostat, 2007).</w:t>
      </w:r>
      <w:r w:rsidRPr="00B76B34">
        <w:rPr>
          <w:rFonts w:ascii="Times New Roman" w:hAnsi="Times New Roman" w:cs="Times New Roman"/>
        </w:rPr>
        <w:t xml:space="preserve"> </w:t>
      </w:r>
    </w:p>
    <w:p w14:paraId="32301C5E" w14:textId="77777777" w:rsidR="00B76B34" w:rsidRPr="00B76B34" w:rsidRDefault="00B76B34" w:rsidP="00A96051">
      <w:pPr>
        <w:spacing w:after="0" w:line="240" w:lineRule="auto"/>
        <w:jc w:val="both"/>
        <w:rPr>
          <w:rFonts w:ascii="Times New Roman" w:hAnsi="Times New Roman" w:cs="Times New Roman"/>
        </w:rPr>
      </w:pPr>
      <w:r w:rsidRPr="00B76B34">
        <w:rPr>
          <w:rFonts w:ascii="Times New Roman" w:hAnsi="Times New Roman" w:cs="Times New Roman"/>
        </w:rPr>
        <w:t xml:space="preserve">Most EU countries gather data on CH, which sometimes result in statistical yearbooks. The main issue is a need for greater fine-tuning and comparability in the European level. At different national levels there are different examples of indicator systems. France, Spain, </w:t>
      </w:r>
      <w:proofErr w:type="gramStart"/>
      <w:r w:rsidRPr="00B76B34">
        <w:rPr>
          <w:rFonts w:ascii="Times New Roman" w:hAnsi="Times New Roman" w:cs="Times New Roman"/>
        </w:rPr>
        <w:t>England</w:t>
      </w:r>
      <w:proofErr w:type="gramEnd"/>
      <w:r w:rsidRPr="00B76B34">
        <w:rPr>
          <w:rFonts w:ascii="Times New Roman" w:hAnsi="Times New Roman" w:cs="Times New Roman"/>
        </w:rPr>
        <w:t xml:space="preserve"> and Italy are some of the references.</w:t>
      </w:r>
    </w:p>
    <w:p w14:paraId="7ABD1AC9" w14:textId="0CE8A214" w:rsidR="00B76B34" w:rsidRPr="00B76B34" w:rsidRDefault="00B76B34" w:rsidP="00A96051">
      <w:pPr>
        <w:spacing w:after="0" w:line="240" w:lineRule="auto"/>
        <w:jc w:val="both"/>
        <w:rPr>
          <w:rFonts w:ascii="Times New Roman" w:hAnsi="Times New Roman" w:cs="Times New Roman"/>
        </w:rPr>
      </w:pPr>
      <w:r w:rsidRPr="00B76B34">
        <w:rPr>
          <w:rFonts w:ascii="Times New Roman" w:hAnsi="Times New Roman" w:cs="Times New Roman"/>
        </w:rPr>
        <w:t xml:space="preserve">In the United Kingdom, the official statistics (National Statistics) for CH have a very acute focus on the cultural practices of the British population. The main source is the Taking Part Survey, published twice a year, first launched in 2005 by the Department for Digital, Culture, Media and Sport, establishing Historic England as a cultural heritage </w:t>
      </w:r>
      <w:r w:rsidRPr="00716BED">
        <w:rPr>
          <w:rFonts w:ascii="Times New Roman" w:hAnsi="Times New Roman" w:cs="Times New Roman"/>
        </w:rPr>
        <w:t>partner (</w:t>
      </w:r>
      <w:r w:rsidR="00716BED" w:rsidRPr="00716BED">
        <w:rPr>
          <w:rFonts w:ascii="Times New Roman" w:hAnsi="Times New Roman" w:cs="Times New Roman"/>
        </w:rPr>
        <w:t>DDCMS</w:t>
      </w:r>
      <w:r w:rsidRPr="00716BED">
        <w:rPr>
          <w:rFonts w:ascii="Times New Roman" w:hAnsi="Times New Roman" w:cs="Times New Roman"/>
        </w:rPr>
        <w:t>, 2018/19).</w:t>
      </w:r>
      <w:r w:rsidRPr="00B76B34">
        <w:rPr>
          <w:rFonts w:ascii="Times New Roman" w:hAnsi="Times New Roman" w:cs="Times New Roman"/>
        </w:rPr>
        <w:t xml:space="preserve"> This survey, aimed at the inhabitants of the United Kingdom, measures the internal performance of cultural heritage by analyzing not only British visitors to all the listed and open historical sites in the United Kingdom, but also the importance for citizens of heritage conservation or the degree of satisfaction and happiness promoted by visiting heritage sites. Another official statistical collection is developed by Historic England, mandated by the DDCMS, on sites at risk (Heritage at Risk). In the case of visitors to heritage sites in the UK, official statistics are provided by Visit England through annual surveys of visitable attractions. The difficulty lies in the broad scope of the definition of visitable attractions: </w:t>
      </w:r>
    </w:p>
    <w:p w14:paraId="43B98CA7" w14:textId="77777777" w:rsidR="00B76B34" w:rsidRPr="006D1C43" w:rsidRDefault="00B76B34" w:rsidP="006D1C43">
      <w:pPr>
        <w:spacing w:after="0" w:line="240" w:lineRule="auto"/>
        <w:ind w:left="567"/>
        <w:jc w:val="both"/>
        <w:rPr>
          <w:rFonts w:ascii="Times New Roman" w:hAnsi="Times New Roman" w:cs="Times New Roman"/>
          <w:sz w:val="20"/>
          <w:szCs w:val="20"/>
        </w:rPr>
      </w:pPr>
      <w:r w:rsidRPr="006D1C43">
        <w:rPr>
          <w:rFonts w:ascii="Times New Roman" w:hAnsi="Times New Roman" w:cs="Times New Roman"/>
          <w:sz w:val="20"/>
          <w:szCs w:val="20"/>
        </w:rPr>
        <w:t xml:space="preserve">“…an attraction where it is feasible to charge admission for the sole purpose of sightseeing. The attraction must be a permanently established excursion destination, a primary purpose of which is to allow access for entertainment, interest, or education and can include places of worship (but excludes small parish churches); rather than being primarily a retail outlet or a venue for sporting, theatrical, or film performances.  It must be open to the public, without prior booking, for published periods each year, and should be capable of attracting day visitors or tourists as well as </w:t>
      </w:r>
      <w:proofErr w:type="gramStart"/>
      <w:r w:rsidRPr="006D1C43">
        <w:rPr>
          <w:rFonts w:ascii="Times New Roman" w:hAnsi="Times New Roman" w:cs="Times New Roman"/>
          <w:sz w:val="20"/>
          <w:szCs w:val="20"/>
        </w:rPr>
        <w:t>local residents</w:t>
      </w:r>
      <w:proofErr w:type="gramEnd"/>
      <w:r w:rsidRPr="006D1C43">
        <w:rPr>
          <w:rFonts w:ascii="Times New Roman" w:hAnsi="Times New Roman" w:cs="Times New Roman"/>
          <w:sz w:val="20"/>
          <w:szCs w:val="20"/>
        </w:rPr>
        <w:t xml:space="preserve">. In addition, the attraction must be a single business, under a single management, so that it </w:t>
      </w:r>
      <w:proofErr w:type="gramStart"/>
      <w:r w:rsidRPr="006D1C43">
        <w:rPr>
          <w:rFonts w:ascii="Times New Roman" w:hAnsi="Times New Roman" w:cs="Times New Roman"/>
          <w:sz w:val="20"/>
          <w:szCs w:val="20"/>
        </w:rPr>
        <w:t>is capable of answering</w:t>
      </w:r>
      <w:proofErr w:type="gramEnd"/>
      <w:r w:rsidRPr="006D1C43">
        <w:rPr>
          <w:rFonts w:ascii="Times New Roman" w:hAnsi="Times New Roman" w:cs="Times New Roman"/>
          <w:sz w:val="20"/>
          <w:szCs w:val="20"/>
        </w:rPr>
        <w:t xml:space="preserve"> the economic questions </w:t>
      </w:r>
      <w:r w:rsidRPr="00FE7788">
        <w:rPr>
          <w:rFonts w:ascii="Times New Roman" w:hAnsi="Times New Roman" w:cs="Times New Roman"/>
          <w:sz w:val="20"/>
          <w:szCs w:val="20"/>
        </w:rPr>
        <w:t>on revenue, employment etc.”</w:t>
      </w:r>
    </w:p>
    <w:p w14:paraId="4055B16B" w14:textId="77777777" w:rsidR="00B76B34" w:rsidRPr="00B76B34" w:rsidRDefault="00B76B34" w:rsidP="00A96051">
      <w:pPr>
        <w:spacing w:after="0" w:line="240" w:lineRule="auto"/>
        <w:jc w:val="both"/>
        <w:rPr>
          <w:rFonts w:ascii="Times New Roman" w:hAnsi="Times New Roman" w:cs="Times New Roman"/>
        </w:rPr>
      </w:pPr>
    </w:p>
    <w:p w14:paraId="32842C0A" w14:textId="2A411A47" w:rsidR="00B76B34" w:rsidRPr="00B76B34" w:rsidRDefault="00B76B34" w:rsidP="00A96051">
      <w:pPr>
        <w:spacing w:after="0" w:line="240" w:lineRule="auto"/>
        <w:jc w:val="both"/>
        <w:rPr>
          <w:rFonts w:ascii="Times New Roman" w:hAnsi="Times New Roman" w:cs="Times New Roman"/>
        </w:rPr>
      </w:pPr>
      <w:r w:rsidRPr="00B76B34">
        <w:rPr>
          <w:rFonts w:ascii="Times New Roman" w:hAnsi="Times New Roman" w:cs="Times New Roman"/>
        </w:rPr>
        <w:t>In France, the Ministry of Culture and Communication has a statistical office (</w:t>
      </w:r>
      <w:proofErr w:type="spellStart"/>
      <w:r w:rsidRPr="00B76B34">
        <w:rPr>
          <w:rFonts w:ascii="Times New Roman" w:hAnsi="Times New Roman" w:cs="Times New Roman"/>
        </w:rPr>
        <w:t>Département</w:t>
      </w:r>
      <w:proofErr w:type="spellEnd"/>
      <w:r w:rsidRPr="00B76B34">
        <w:rPr>
          <w:rFonts w:ascii="Times New Roman" w:hAnsi="Times New Roman" w:cs="Times New Roman"/>
        </w:rPr>
        <w:t xml:space="preserve"> des études de la prospective et des </w:t>
      </w:r>
      <w:proofErr w:type="spellStart"/>
      <w:r w:rsidRPr="00B76B34">
        <w:rPr>
          <w:rFonts w:ascii="Times New Roman" w:hAnsi="Times New Roman" w:cs="Times New Roman"/>
        </w:rPr>
        <w:t>statistiques</w:t>
      </w:r>
      <w:proofErr w:type="spellEnd"/>
      <w:r w:rsidRPr="00B76B34">
        <w:rPr>
          <w:rFonts w:ascii="Times New Roman" w:hAnsi="Times New Roman" w:cs="Times New Roman"/>
        </w:rPr>
        <w:t xml:space="preserve"> - DEPS), which presents data for the cultural field and publishes a yearbook with statistics for culture, that include CH. The data collected by DEPS and the Ministry of Culture relate to monuments that are under the supervision of the CMN (Centre des Monuments Nationaux), a body created under the Ministry of Culture in France. The CMN oversees about 100 national monuments that are owned by the French state and it is about these that it produces statistical information that responds to the following dimensions: protection measures, classification and inventory, frequency of monuments. The </w:t>
      </w:r>
      <w:proofErr w:type="spellStart"/>
      <w:r w:rsidRPr="00B76B34">
        <w:rPr>
          <w:rFonts w:ascii="Times New Roman" w:hAnsi="Times New Roman" w:cs="Times New Roman"/>
        </w:rPr>
        <w:t>Institut</w:t>
      </w:r>
      <w:proofErr w:type="spellEnd"/>
      <w:r w:rsidRPr="00B76B34">
        <w:rPr>
          <w:rFonts w:ascii="Times New Roman" w:hAnsi="Times New Roman" w:cs="Times New Roman"/>
        </w:rPr>
        <w:t xml:space="preserve"> Nationale de la </w:t>
      </w:r>
      <w:proofErr w:type="spellStart"/>
      <w:r w:rsidRPr="00B76B34">
        <w:rPr>
          <w:rFonts w:ascii="Times New Roman" w:hAnsi="Times New Roman" w:cs="Times New Roman"/>
        </w:rPr>
        <w:t>Statistique</w:t>
      </w:r>
      <w:proofErr w:type="spellEnd"/>
      <w:r w:rsidRPr="00B76B34">
        <w:rPr>
          <w:rFonts w:ascii="Times New Roman" w:hAnsi="Times New Roman" w:cs="Times New Roman"/>
        </w:rPr>
        <w:t xml:space="preserve"> et des Études </w:t>
      </w:r>
      <w:proofErr w:type="spellStart"/>
      <w:r w:rsidRPr="00B76B34">
        <w:rPr>
          <w:rFonts w:ascii="Times New Roman" w:hAnsi="Times New Roman" w:cs="Times New Roman"/>
        </w:rPr>
        <w:t>Economiques</w:t>
      </w:r>
      <w:proofErr w:type="spellEnd"/>
      <w:r w:rsidRPr="00B76B34">
        <w:rPr>
          <w:rFonts w:ascii="Times New Roman" w:hAnsi="Times New Roman" w:cs="Times New Roman"/>
        </w:rPr>
        <w:t xml:space="preserve"> (INSEE), on information provided by DEPS, provide</w:t>
      </w:r>
      <w:r w:rsidR="00FA4060">
        <w:rPr>
          <w:rFonts w:ascii="Times New Roman" w:hAnsi="Times New Roman" w:cs="Times New Roman"/>
        </w:rPr>
        <w:t>s</w:t>
      </w:r>
      <w:r w:rsidRPr="00B76B34">
        <w:rPr>
          <w:rFonts w:ascii="Times New Roman" w:hAnsi="Times New Roman" w:cs="Times New Roman"/>
        </w:rPr>
        <w:t xml:space="preserve"> data on Historical Monuments and Museums in France open to the public: local comparisons and regional comparisons, with two indicators: classified or inventoried historical monuments and museums open to the public. It presents distinctions in the categories of historical monuments and museums.</w:t>
      </w:r>
    </w:p>
    <w:p w14:paraId="139A5121" w14:textId="77777777" w:rsidR="00B76B34" w:rsidRPr="00B76B34" w:rsidRDefault="00B76B34" w:rsidP="00A96051">
      <w:pPr>
        <w:spacing w:after="0" w:line="240" w:lineRule="auto"/>
        <w:jc w:val="both"/>
        <w:rPr>
          <w:rFonts w:ascii="Times New Roman" w:hAnsi="Times New Roman" w:cs="Times New Roman"/>
        </w:rPr>
      </w:pPr>
      <w:r w:rsidRPr="00B76B34">
        <w:rPr>
          <w:rFonts w:ascii="Times New Roman" w:hAnsi="Times New Roman" w:cs="Times New Roman"/>
        </w:rPr>
        <w:t xml:space="preserve">In Spain, the entity responsible for statistics for cultural heritage is the Ministerio de Cultura y </w:t>
      </w:r>
      <w:proofErr w:type="spellStart"/>
      <w:r w:rsidRPr="00B76B34">
        <w:rPr>
          <w:rFonts w:ascii="Times New Roman" w:hAnsi="Times New Roman" w:cs="Times New Roman"/>
        </w:rPr>
        <w:t>Deporte</w:t>
      </w:r>
      <w:proofErr w:type="spellEnd"/>
      <w:r w:rsidRPr="00B76B34">
        <w:rPr>
          <w:rFonts w:ascii="Times New Roman" w:hAnsi="Times New Roman" w:cs="Times New Roman"/>
        </w:rPr>
        <w:t xml:space="preserve">. Since 2005, the División de </w:t>
      </w:r>
      <w:proofErr w:type="spellStart"/>
      <w:r w:rsidRPr="00B76B34">
        <w:rPr>
          <w:rFonts w:ascii="Times New Roman" w:hAnsi="Times New Roman" w:cs="Times New Roman"/>
        </w:rPr>
        <w:t>Estadística</w:t>
      </w:r>
      <w:proofErr w:type="spellEnd"/>
      <w:r w:rsidRPr="00B76B34">
        <w:rPr>
          <w:rFonts w:ascii="Times New Roman" w:hAnsi="Times New Roman" w:cs="Times New Roman"/>
        </w:rPr>
        <w:t xml:space="preserve"> y </w:t>
      </w:r>
      <w:proofErr w:type="spellStart"/>
      <w:r w:rsidRPr="00B76B34">
        <w:rPr>
          <w:rFonts w:ascii="Times New Roman" w:hAnsi="Times New Roman" w:cs="Times New Roman"/>
        </w:rPr>
        <w:t>Estudios</w:t>
      </w:r>
      <w:proofErr w:type="spellEnd"/>
      <w:r w:rsidRPr="00B76B34">
        <w:rPr>
          <w:rFonts w:ascii="Times New Roman" w:hAnsi="Times New Roman" w:cs="Times New Roman"/>
        </w:rPr>
        <w:t xml:space="preserve"> de la </w:t>
      </w:r>
      <w:proofErr w:type="spellStart"/>
      <w:r w:rsidRPr="00B76B34">
        <w:rPr>
          <w:rFonts w:ascii="Times New Roman" w:hAnsi="Times New Roman" w:cs="Times New Roman"/>
        </w:rPr>
        <w:t>Secretaría</w:t>
      </w:r>
      <w:proofErr w:type="spellEnd"/>
      <w:r w:rsidRPr="00B76B34">
        <w:rPr>
          <w:rFonts w:ascii="Times New Roman" w:hAnsi="Times New Roman" w:cs="Times New Roman"/>
        </w:rPr>
        <w:t xml:space="preserve"> General Técnica del Ministerio has published a report on cultural statistics from multiple statistical sources.</w:t>
      </w:r>
    </w:p>
    <w:p w14:paraId="22271C22" w14:textId="77777777" w:rsidR="00B76B34" w:rsidRPr="00B76B34" w:rsidRDefault="00B76B34" w:rsidP="00A96051">
      <w:pPr>
        <w:spacing w:after="0" w:line="240" w:lineRule="auto"/>
        <w:jc w:val="both"/>
        <w:rPr>
          <w:rFonts w:ascii="Times New Roman" w:hAnsi="Times New Roman" w:cs="Times New Roman"/>
        </w:rPr>
      </w:pPr>
      <w:r w:rsidRPr="00B76B34">
        <w:rPr>
          <w:rFonts w:ascii="Times New Roman" w:hAnsi="Times New Roman" w:cs="Times New Roman"/>
          <w:lang w:val="it-IT"/>
        </w:rPr>
        <w:lastRenderedPageBreak/>
        <w:t xml:space="preserve">In </w:t>
      </w:r>
      <w:proofErr w:type="spellStart"/>
      <w:r w:rsidRPr="00B76B34">
        <w:rPr>
          <w:rFonts w:ascii="Times New Roman" w:hAnsi="Times New Roman" w:cs="Times New Roman"/>
          <w:lang w:val="it-IT"/>
        </w:rPr>
        <w:t>Italy</w:t>
      </w:r>
      <w:proofErr w:type="spellEnd"/>
      <w:r w:rsidRPr="00B76B34">
        <w:rPr>
          <w:rFonts w:ascii="Times New Roman" w:hAnsi="Times New Roman" w:cs="Times New Roman"/>
          <w:lang w:val="it-IT"/>
        </w:rPr>
        <w:t xml:space="preserve">, under the National Statistical </w:t>
      </w:r>
      <w:proofErr w:type="spellStart"/>
      <w:r w:rsidRPr="00B76B34">
        <w:rPr>
          <w:rFonts w:ascii="Times New Roman" w:hAnsi="Times New Roman" w:cs="Times New Roman"/>
          <w:lang w:val="it-IT"/>
        </w:rPr>
        <w:t>Programme</w:t>
      </w:r>
      <w:proofErr w:type="spellEnd"/>
      <w:r w:rsidRPr="00B76B34">
        <w:rPr>
          <w:rFonts w:ascii="Times New Roman" w:hAnsi="Times New Roman" w:cs="Times New Roman"/>
          <w:lang w:val="it-IT"/>
        </w:rPr>
        <w:t xml:space="preserve"> (Programma Statistico Nazionale), </w:t>
      </w:r>
      <w:proofErr w:type="spellStart"/>
      <w:r w:rsidRPr="00B76B34">
        <w:rPr>
          <w:rFonts w:ascii="Times New Roman" w:hAnsi="Times New Roman" w:cs="Times New Roman"/>
          <w:lang w:val="it-IT"/>
        </w:rPr>
        <w:t>since</w:t>
      </w:r>
      <w:proofErr w:type="spellEnd"/>
      <w:r w:rsidRPr="00B76B34">
        <w:rPr>
          <w:rFonts w:ascii="Times New Roman" w:hAnsi="Times New Roman" w:cs="Times New Roman"/>
          <w:lang w:val="it-IT"/>
        </w:rPr>
        <w:t xml:space="preserve"> 1989 </w:t>
      </w:r>
      <w:proofErr w:type="spellStart"/>
      <w:r w:rsidRPr="00B76B34">
        <w:rPr>
          <w:rFonts w:ascii="Times New Roman" w:hAnsi="Times New Roman" w:cs="Times New Roman"/>
          <w:lang w:val="it-IT"/>
        </w:rPr>
        <w:t>there</w:t>
      </w:r>
      <w:proofErr w:type="spellEnd"/>
      <w:r w:rsidRPr="00B76B34">
        <w:rPr>
          <w:rFonts w:ascii="Times New Roman" w:hAnsi="Times New Roman" w:cs="Times New Roman"/>
          <w:lang w:val="it-IT"/>
        </w:rPr>
        <w:t xml:space="preserve"> </w:t>
      </w:r>
      <w:proofErr w:type="spellStart"/>
      <w:r w:rsidRPr="00B76B34">
        <w:rPr>
          <w:rFonts w:ascii="Times New Roman" w:hAnsi="Times New Roman" w:cs="Times New Roman"/>
          <w:lang w:val="it-IT"/>
        </w:rPr>
        <w:t>has</w:t>
      </w:r>
      <w:proofErr w:type="spellEnd"/>
      <w:r w:rsidRPr="00B76B34">
        <w:rPr>
          <w:rFonts w:ascii="Times New Roman" w:hAnsi="Times New Roman" w:cs="Times New Roman"/>
          <w:lang w:val="it-IT"/>
        </w:rPr>
        <w:t xml:space="preserve"> </w:t>
      </w:r>
      <w:proofErr w:type="spellStart"/>
      <w:r w:rsidRPr="00B76B34">
        <w:rPr>
          <w:rFonts w:ascii="Times New Roman" w:hAnsi="Times New Roman" w:cs="Times New Roman"/>
          <w:lang w:val="it-IT"/>
        </w:rPr>
        <w:t>been</w:t>
      </w:r>
      <w:proofErr w:type="spellEnd"/>
      <w:r w:rsidRPr="00B76B34">
        <w:rPr>
          <w:rFonts w:ascii="Times New Roman" w:hAnsi="Times New Roman" w:cs="Times New Roman"/>
          <w:lang w:val="it-IT"/>
        </w:rPr>
        <w:t xml:space="preserve"> an Ufficio di Statistica </w:t>
      </w:r>
      <w:proofErr w:type="spellStart"/>
      <w:r w:rsidRPr="00B76B34">
        <w:rPr>
          <w:rFonts w:ascii="Times New Roman" w:hAnsi="Times New Roman" w:cs="Times New Roman"/>
          <w:lang w:val="it-IT"/>
        </w:rPr>
        <w:t>within</w:t>
      </w:r>
      <w:proofErr w:type="spellEnd"/>
      <w:r w:rsidRPr="00B76B34">
        <w:rPr>
          <w:rFonts w:ascii="Times New Roman" w:hAnsi="Times New Roman" w:cs="Times New Roman"/>
          <w:lang w:val="it-IT"/>
        </w:rPr>
        <w:t xml:space="preserve"> the Ministero dei Beni e delle Attività Culturali e del Turismo (MiBACT). </w:t>
      </w:r>
      <w:r w:rsidRPr="00B76B34">
        <w:rPr>
          <w:rFonts w:ascii="Times New Roman" w:hAnsi="Times New Roman" w:cs="Times New Roman"/>
        </w:rPr>
        <w:t xml:space="preserve">Since 2009, this </w:t>
      </w:r>
      <w:proofErr w:type="spellStart"/>
      <w:r w:rsidRPr="00B76B34">
        <w:rPr>
          <w:rFonts w:ascii="Times New Roman" w:hAnsi="Times New Roman" w:cs="Times New Roman"/>
        </w:rPr>
        <w:t>Ufficio</w:t>
      </w:r>
      <w:proofErr w:type="spellEnd"/>
      <w:r w:rsidRPr="00B76B34">
        <w:rPr>
          <w:rFonts w:ascii="Times New Roman" w:hAnsi="Times New Roman" w:cs="Times New Roman"/>
        </w:rPr>
        <w:t xml:space="preserve"> has been allocated to the </w:t>
      </w:r>
      <w:proofErr w:type="spellStart"/>
      <w:r w:rsidRPr="00B76B34">
        <w:rPr>
          <w:rFonts w:ascii="Times New Roman" w:hAnsi="Times New Roman" w:cs="Times New Roman"/>
        </w:rPr>
        <w:t>Servizio</w:t>
      </w:r>
      <w:proofErr w:type="spellEnd"/>
      <w:r w:rsidRPr="00B76B34">
        <w:rPr>
          <w:rFonts w:ascii="Times New Roman" w:hAnsi="Times New Roman" w:cs="Times New Roman"/>
        </w:rPr>
        <w:t xml:space="preserve"> I - </w:t>
      </w:r>
      <w:proofErr w:type="spellStart"/>
      <w:r w:rsidRPr="00B76B34">
        <w:rPr>
          <w:rFonts w:ascii="Times New Roman" w:hAnsi="Times New Roman" w:cs="Times New Roman"/>
        </w:rPr>
        <w:t>Affari</w:t>
      </w:r>
      <w:proofErr w:type="spellEnd"/>
      <w:r w:rsidRPr="00B76B34">
        <w:rPr>
          <w:rFonts w:ascii="Times New Roman" w:hAnsi="Times New Roman" w:cs="Times New Roman"/>
        </w:rPr>
        <w:t xml:space="preserve"> </w:t>
      </w:r>
      <w:proofErr w:type="spellStart"/>
      <w:r w:rsidRPr="00B76B34">
        <w:rPr>
          <w:rFonts w:ascii="Times New Roman" w:hAnsi="Times New Roman" w:cs="Times New Roman"/>
        </w:rPr>
        <w:t>generali</w:t>
      </w:r>
      <w:proofErr w:type="spellEnd"/>
      <w:r w:rsidRPr="00B76B34">
        <w:rPr>
          <w:rFonts w:ascii="Times New Roman" w:hAnsi="Times New Roman" w:cs="Times New Roman"/>
        </w:rPr>
        <w:t xml:space="preserve">, </w:t>
      </w:r>
      <w:proofErr w:type="spellStart"/>
      <w:r w:rsidRPr="00B76B34">
        <w:rPr>
          <w:rFonts w:ascii="Times New Roman" w:hAnsi="Times New Roman" w:cs="Times New Roman"/>
        </w:rPr>
        <w:t>Sistemi</w:t>
      </w:r>
      <w:proofErr w:type="spellEnd"/>
      <w:r w:rsidRPr="00B76B34">
        <w:rPr>
          <w:rFonts w:ascii="Times New Roman" w:hAnsi="Times New Roman" w:cs="Times New Roman"/>
        </w:rPr>
        <w:t xml:space="preserve"> </w:t>
      </w:r>
      <w:proofErr w:type="spellStart"/>
      <w:r w:rsidRPr="00B76B34">
        <w:rPr>
          <w:rFonts w:ascii="Times New Roman" w:hAnsi="Times New Roman" w:cs="Times New Roman"/>
        </w:rPr>
        <w:t>Informativi</w:t>
      </w:r>
      <w:proofErr w:type="spellEnd"/>
      <w:r w:rsidRPr="00B76B34">
        <w:rPr>
          <w:rFonts w:ascii="Times New Roman" w:hAnsi="Times New Roman" w:cs="Times New Roman"/>
        </w:rPr>
        <w:t xml:space="preserve"> e </w:t>
      </w:r>
      <w:proofErr w:type="spellStart"/>
      <w:r w:rsidRPr="00B76B34">
        <w:rPr>
          <w:rFonts w:ascii="Times New Roman" w:hAnsi="Times New Roman" w:cs="Times New Roman"/>
        </w:rPr>
        <w:t>Tecnologie</w:t>
      </w:r>
      <w:proofErr w:type="spellEnd"/>
      <w:r w:rsidRPr="00B76B34">
        <w:rPr>
          <w:rFonts w:ascii="Times New Roman" w:hAnsi="Times New Roman" w:cs="Times New Roman"/>
        </w:rPr>
        <w:t xml:space="preserve"> Innovative of the Ministry, being a body of the National Statistical System (SISTAN), responsible for the production and internal coordination of statistical data, dissemination, and dissemination. This organization works on four areas of analysis, with Museums, Monuments and state archaeological areas being one of these areas, with an impact on regional distribution. In this field, information on visitors and revenues is collected (by type of monuments, by province and region, by months and the crossing of these variables); and, on additional services existing in these places (by types of services, by region and the intersection of these variables). With other official entities, especially ISTAT (National Institute of Statistics of Italy) and the various regions and autonomous provinces, the field of analysis is opened to state and non-state museums, monuments, and archaeological sites accessible to the public in Italy, having as dimensions of analysis their number, location, internal organization, management, activities developed and the relationship they establish with the visiting public and with the territory.</w:t>
      </w:r>
    </w:p>
    <w:p w14:paraId="516F0038" w14:textId="77777777" w:rsidR="00B76B34" w:rsidRPr="00B76B34" w:rsidRDefault="00B76B34" w:rsidP="00A96051">
      <w:pPr>
        <w:spacing w:after="0" w:line="240" w:lineRule="auto"/>
        <w:jc w:val="both"/>
        <w:rPr>
          <w:rFonts w:ascii="Times New Roman" w:hAnsi="Times New Roman" w:cs="Times New Roman"/>
        </w:rPr>
      </w:pPr>
      <w:r w:rsidRPr="00B76B34">
        <w:rPr>
          <w:rFonts w:ascii="Times New Roman" w:hAnsi="Times New Roman" w:cs="Times New Roman"/>
        </w:rPr>
        <w:t xml:space="preserve">Although Portugal lacks a CH oriented official statistic project there are some working lines that can be summoned for the overall view. In 2012 the Directorate General for Cultural Heritage (DGPC) - the heritage governmental administration at that time - adopted the practice used for museums and extended it to monuments, publishing information concerning visitors. Since then, DGPC presents statistic information but only referred to directly dependent and managed monuments and not to all the monuments in the country. The information has different levels of disaggregation (per month, per year; by nationality...) and can be traced back to 2010. Before that, statistical data can be recovered in activity reports from former governmental heritage institutions with information that </w:t>
      </w:r>
      <w:r w:rsidRPr="0068778C">
        <w:rPr>
          <w:rFonts w:ascii="Times New Roman" w:hAnsi="Times New Roman" w:cs="Times New Roman"/>
        </w:rPr>
        <w:t>dates to 2007 (Neves &amp; Santos, 2011) and again only of monuments under the direct management of governmental institutions. Other statistical projects</w:t>
      </w:r>
      <w:r w:rsidRPr="00B76B34">
        <w:rPr>
          <w:rFonts w:ascii="Times New Roman" w:hAnsi="Times New Roman" w:cs="Times New Roman"/>
        </w:rPr>
        <w:t xml:space="preserve"> have been essayed, but they present some issues concerning the collected data. From 2000 to 2010, the Observatory of Cultural Activities (</w:t>
      </w:r>
      <w:r w:rsidRPr="00FE7788">
        <w:rPr>
          <w:rFonts w:ascii="Times New Roman" w:hAnsi="Times New Roman" w:cs="Times New Roman"/>
        </w:rPr>
        <w:t>OAC) compiled and published data regarding visitors (total number, nationality, region, and type of entry) (Neves, Santos &amp; Lima, 2012).</w:t>
      </w:r>
      <w:r w:rsidRPr="00B76B34">
        <w:rPr>
          <w:rFonts w:ascii="Times New Roman" w:hAnsi="Times New Roman" w:cs="Times New Roman"/>
        </w:rPr>
        <w:t xml:space="preserve"> From a statistical point of view, these data present several problems. They do not distinguish the types of classified CH and they consider monuments under specific guardianship in a defined moment. Another statistic project is presented by Statistics Portugal (INE). It includes the CH domain and since 1986 publishes information on built heritage. Again, this is not a specific project for built cultural heritage and relies on data provided by the governmental heritage </w:t>
      </w:r>
      <w:r w:rsidRPr="0068778C">
        <w:rPr>
          <w:rFonts w:ascii="Times New Roman" w:hAnsi="Times New Roman" w:cs="Times New Roman"/>
        </w:rPr>
        <w:t>institutions (INE, 2023). In</w:t>
      </w:r>
      <w:r w:rsidRPr="00B76B34">
        <w:rPr>
          <w:rFonts w:ascii="Times New Roman" w:hAnsi="Times New Roman" w:cs="Times New Roman"/>
        </w:rPr>
        <w:t xml:space="preserve"> 2021 the Project Group Museums in the Future </w:t>
      </w:r>
      <w:r w:rsidRPr="006D1F79">
        <w:rPr>
          <w:rFonts w:ascii="Times New Roman" w:hAnsi="Times New Roman" w:cs="Times New Roman"/>
        </w:rPr>
        <w:t>(Camacho, 2021),</w:t>
      </w:r>
      <w:r w:rsidRPr="00B76B34">
        <w:rPr>
          <w:rFonts w:ascii="Times New Roman" w:hAnsi="Times New Roman" w:cs="Times New Roman"/>
        </w:rPr>
        <w:t xml:space="preserve"> resumes the 2010 Statistical Council proposals that consider data collection of "classified buildings (monuments and archaeological sites) that had visitors’ control", and consider visitors (national and foreign); expenditure (total and staff); revenues (total, entries, and visitors); staff (in service, paid) (Neves, 2010, p. 11).</w:t>
      </w:r>
    </w:p>
    <w:p w14:paraId="6BAB6511" w14:textId="77777777" w:rsidR="00B76B34" w:rsidRDefault="00B76B34" w:rsidP="00C63C30">
      <w:pPr>
        <w:spacing w:after="0" w:line="240" w:lineRule="auto"/>
        <w:jc w:val="both"/>
        <w:rPr>
          <w:rFonts w:ascii="Times New Roman" w:hAnsi="Times New Roman" w:cs="Times New Roman"/>
        </w:rPr>
      </w:pPr>
    </w:p>
    <w:p w14:paraId="00528C88" w14:textId="77777777" w:rsidR="00FB1D41" w:rsidRPr="00C63C30" w:rsidRDefault="00FB1D41" w:rsidP="00C63C30">
      <w:pPr>
        <w:spacing w:after="0" w:line="240" w:lineRule="auto"/>
        <w:jc w:val="both"/>
        <w:rPr>
          <w:rFonts w:ascii="Times New Roman" w:hAnsi="Times New Roman" w:cs="Times New Roman"/>
          <w:b/>
          <w:bCs/>
        </w:rPr>
      </w:pPr>
      <w:r w:rsidRPr="00C63C30">
        <w:rPr>
          <w:rFonts w:ascii="Times New Roman" w:hAnsi="Times New Roman" w:cs="Times New Roman"/>
          <w:b/>
          <w:bCs/>
        </w:rPr>
        <w:t>Results</w:t>
      </w:r>
    </w:p>
    <w:p w14:paraId="47AD0124" w14:textId="77777777" w:rsidR="00497848" w:rsidRPr="00FB1D41" w:rsidRDefault="00FB1D41" w:rsidP="00497848">
      <w:pPr>
        <w:spacing w:after="0" w:line="240" w:lineRule="auto"/>
        <w:jc w:val="both"/>
        <w:rPr>
          <w:rFonts w:ascii="Times New Roman" w:hAnsi="Times New Roman" w:cs="Times New Roman"/>
        </w:rPr>
      </w:pPr>
      <w:r w:rsidRPr="00FB1D41">
        <w:rPr>
          <w:rFonts w:ascii="Times New Roman" w:hAnsi="Times New Roman" w:cs="Times New Roman"/>
        </w:rPr>
        <w:t xml:space="preserve">In 2023 the survey conducted its 5th edition, with data collection from 2022. 345 NM were surveyed, and 252 answered. Of these, 225 were open for public visit thus defining the base for this edition analysis (table 1). </w:t>
      </w:r>
      <w:r w:rsidR="00497848" w:rsidRPr="00FB1D41">
        <w:rPr>
          <w:rFonts w:ascii="Times New Roman" w:hAnsi="Times New Roman" w:cs="Times New Roman"/>
        </w:rPr>
        <w:t>The increase in the base under analysis has different implications in the dimensions addressed: the impact on visitors is very low (2% more), whilst relevant on human resources (11% on total staff and 7.5% on employees), as well as on private management entities (29.6% increase) and, in these, on the Catholic Church (28% are NM that have participated for the first time in the survey).</w:t>
      </w:r>
    </w:p>
    <w:p w14:paraId="509E9B6B" w14:textId="77777777" w:rsidR="00217615" w:rsidRDefault="00217615" w:rsidP="00C63C30">
      <w:pPr>
        <w:spacing w:after="0" w:line="240" w:lineRule="auto"/>
        <w:jc w:val="both"/>
        <w:rPr>
          <w:rFonts w:ascii="Times New Roman" w:hAnsi="Times New Roman" w:cs="Times New Roman"/>
        </w:rPr>
      </w:pPr>
    </w:p>
    <w:p w14:paraId="49C6D22A" w14:textId="60C43A47" w:rsidR="00217615" w:rsidRDefault="00B83802" w:rsidP="00C63C30">
      <w:pPr>
        <w:spacing w:after="0" w:line="240" w:lineRule="auto"/>
        <w:jc w:val="both"/>
        <w:rPr>
          <w:rFonts w:ascii="Times New Roman" w:hAnsi="Times New Roman" w:cs="Times New Roman"/>
        </w:rPr>
      </w:pPr>
      <w:r w:rsidRPr="00B83802">
        <w:rPr>
          <w:rFonts w:ascii="Times New Roman" w:hAnsi="Times New Roman" w:cs="Times New Roman"/>
        </w:rPr>
        <w:t>Table 1. National Monuments observed per year (2018-2022)</w:t>
      </w:r>
    </w:p>
    <w:p w14:paraId="21F5BE5B" w14:textId="77777777" w:rsidR="00AC2D0D" w:rsidRDefault="00AC2D0D" w:rsidP="00C63C30">
      <w:pPr>
        <w:spacing w:after="0" w:line="240" w:lineRule="auto"/>
        <w:jc w:val="both"/>
        <w:rPr>
          <w:rFonts w:ascii="Times New Roman" w:hAnsi="Times New Roman" w:cs="Times New Roman"/>
        </w:rPr>
      </w:pPr>
    </w:p>
    <w:tbl>
      <w:tblPr>
        <w:tblStyle w:val="TableGrid"/>
        <w:tblW w:w="9365" w:type="dxa"/>
        <w:tblInd w:w="-5" w:type="dxa"/>
        <w:tblLook w:val="04A0" w:firstRow="1" w:lastRow="0" w:firstColumn="1" w:lastColumn="0" w:noHBand="0" w:noVBand="1"/>
      </w:tblPr>
      <w:tblGrid>
        <w:gridCol w:w="1985"/>
        <w:gridCol w:w="722"/>
        <w:gridCol w:w="733"/>
        <w:gridCol w:w="722"/>
        <w:gridCol w:w="754"/>
        <w:gridCol w:w="722"/>
        <w:gridCol w:w="733"/>
        <w:gridCol w:w="723"/>
        <w:gridCol w:w="734"/>
        <w:gridCol w:w="760"/>
        <w:gridCol w:w="777"/>
      </w:tblGrid>
      <w:tr w:rsidR="00390E71" w:rsidRPr="00217615" w14:paraId="565503F4" w14:textId="77777777" w:rsidTr="00217615">
        <w:tc>
          <w:tcPr>
            <w:tcW w:w="1985" w:type="dxa"/>
            <w:vMerge w:val="restart"/>
            <w:shd w:val="clear" w:color="auto" w:fill="595959" w:themeFill="text1" w:themeFillTint="A6"/>
          </w:tcPr>
          <w:p w14:paraId="2437022A" w14:textId="77777777" w:rsidR="00390E71" w:rsidRPr="00217615" w:rsidRDefault="00390E71" w:rsidP="00813E19">
            <w:pPr>
              <w:pStyle w:val="CommentText"/>
              <w:jc w:val="center"/>
              <w:rPr>
                <w:rFonts w:ascii="Times New Roman" w:eastAsiaTheme="majorEastAsia" w:hAnsi="Times New Roman" w:cs="Times New Roman"/>
                <w:b/>
                <w:bCs/>
                <w:color w:val="FFFFFF" w:themeColor="background1"/>
                <w:sz w:val="22"/>
                <w:szCs w:val="22"/>
                <w:lang w:val="en-US"/>
              </w:rPr>
            </w:pPr>
            <w:r w:rsidRPr="00217615">
              <w:rPr>
                <w:rFonts w:ascii="Times New Roman" w:eastAsiaTheme="majorEastAsia" w:hAnsi="Times New Roman" w:cs="Times New Roman"/>
                <w:b/>
                <w:bCs/>
                <w:color w:val="FFFFFF" w:themeColor="background1"/>
                <w:sz w:val="22"/>
                <w:szCs w:val="22"/>
                <w:lang w:val="en-US"/>
              </w:rPr>
              <w:t>National Monuments observed</w:t>
            </w:r>
          </w:p>
        </w:tc>
        <w:tc>
          <w:tcPr>
            <w:tcW w:w="1455" w:type="dxa"/>
            <w:gridSpan w:val="2"/>
            <w:shd w:val="clear" w:color="auto" w:fill="595959" w:themeFill="text1" w:themeFillTint="A6"/>
          </w:tcPr>
          <w:p w14:paraId="6D5ADCD9" w14:textId="77777777" w:rsidR="00390E71" w:rsidRPr="00217615" w:rsidRDefault="00390E71" w:rsidP="00813E19">
            <w:pPr>
              <w:pStyle w:val="CommentText"/>
              <w:jc w:val="center"/>
              <w:rPr>
                <w:rFonts w:ascii="Times New Roman" w:eastAsiaTheme="majorEastAsia" w:hAnsi="Times New Roman" w:cs="Times New Roman"/>
                <w:b/>
                <w:bCs/>
                <w:color w:val="FFFFFF" w:themeColor="background1"/>
                <w:sz w:val="22"/>
                <w:szCs w:val="22"/>
                <w:lang w:val="en-US"/>
              </w:rPr>
            </w:pPr>
            <w:r w:rsidRPr="00217615">
              <w:rPr>
                <w:rFonts w:ascii="Times New Roman" w:eastAsiaTheme="majorEastAsia" w:hAnsi="Times New Roman" w:cs="Times New Roman"/>
                <w:b/>
                <w:bCs/>
                <w:color w:val="FFFFFF" w:themeColor="background1"/>
                <w:sz w:val="22"/>
                <w:szCs w:val="22"/>
                <w:lang w:val="en-US"/>
              </w:rPr>
              <w:t>2018</w:t>
            </w:r>
          </w:p>
        </w:tc>
        <w:tc>
          <w:tcPr>
            <w:tcW w:w="1476" w:type="dxa"/>
            <w:gridSpan w:val="2"/>
            <w:shd w:val="clear" w:color="auto" w:fill="595959" w:themeFill="text1" w:themeFillTint="A6"/>
          </w:tcPr>
          <w:p w14:paraId="51D757A2" w14:textId="77777777" w:rsidR="00390E71" w:rsidRPr="00217615" w:rsidRDefault="00390E71" w:rsidP="00813E19">
            <w:pPr>
              <w:pStyle w:val="CommentText"/>
              <w:jc w:val="center"/>
              <w:rPr>
                <w:rFonts w:ascii="Times New Roman" w:eastAsiaTheme="majorEastAsia" w:hAnsi="Times New Roman" w:cs="Times New Roman"/>
                <w:b/>
                <w:bCs/>
                <w:color w:val="FFFFFF" w:themeColor="background1"/>
                <w:sz w:val="22"/>
                <w:szCs w:val="22"/>
                <w:lang w:val="en-US"/>
              </w:rPr>
            </w:pPr>
            <w:r w:rsidRPr="00217615">
              <w:rPr>
                <w:rFonts w:ascii="Times New Roman" w:eastAsiaTheme="majorEastAsia" w:hAnsi="Times New Roman" w:cs="Times New Roman"/>
                <w:b/>
                <w:bCs/>
                <w:color w:val="FFFFFF" w:themeColor="background1"/>
                <w:sz w:val="22"/>
                <w:szCs w:val="22"/>
                <w:lang w:val="en-US"/>
              </w:rPr>
              <w:t>2019</w:t>
            </w:r>
          </w:p>
        </w:tc>
        <w:tc>
          <w:tcPr>
            <w:tcW w:w="1455" w:type="dxa"/>
            <w:gridSpan w:val="2"/>
            <w:shd w:val="clear" w:color="auto" w:fill="595959" w:themeFill="text1" w:themeFillTint="A6"/>
          </w:tcPr>
          <w:p w14:paraId="4D49C3C8" w14:textId="77777777" w:rsidR="00390E71" w:rsidRPr="00217615" w:rsidRDefault="00390E71" w:rsidP="00813E19">
            <w:pPr>
              <w:pStyle w:val="CommentText"/>
              <w:jc w:val="center"/>
              <w:rPr>
                <w:rFonts w:ascii="Times New Roman" w:eastAsiaTheme="majorEastAsia" w:hAnsi="Times New Roman" w:cs="Times New Roman"/>
                <w:b/>
                <w:bCs/>
                <w:color w:val="FFFFFF" w:themeColor="background1"/>
                <w:sz w:val="22"/>
                <w:szCs w:val="22"/>
                <w:lang w:val="en-US"/>
              </w:rPr>
            </w:pPr>
            <w:r w:rsidRPr="00217615">
              <w:rPr>
                <w:rFonts w:ascii="Times New Roman" w:eastAsiaTheme="majorEastAsia" w:hAnsi="Times New Roman" w:cs="Times New Roman"/>
                <w:b/>
                <w:bCs/>
                <w:color w:val="FFFFFF" w:themeColor="background1"/>
                <w:sz w:val="22"/>
                <w:szCs w:val="22"/>
                <w:lang w:val="en-US"/>
              </w:rPr>
              <w:t>2020</w:t>
            </w:r>
          </w:p>
        </w:tc>
        <w:tc>
          <w:tcPr>
            <w:tcW w:w="1457" w:type="dxa"/>
            <w:gridSpan w:val="2"/>
            <w:shd w:val="clear" w:color="auto" w:fill="595959" w:themeFill="text1" w:themeFillTint="A6"/>
          </w:tcPr>
          <w:p w14:paraId="21E8B902" w14:textId="77777777" w:rsidR="00390E71" w:rsidRPr="00217615" w:rsidRDefault="00390E71" w:rsidP="00813E19">
            <w:pPr>
              <w:pStyle w:val="CommentText"/>
              <w:jc w:val="center"/>
              <w:rPr>
                <w:rFonts w:ascii="Times New Roman" w:eastAsiaTheme="majorEastAsia" w:hAnsi="Times New Roman" w:cs="Times New Roman"/>
                <w:b/>
                <w:bCs/>
                <w:color w:val="FFFFFF" w:themeColor="background1"/>
                <w:sz w:val="22"/>
                <w:szCs w:val="22"/>
                <w:lang w:val="en-US"/>
              </w:rPr>
            </w:pPr>
            <w:r w:rsidRPr="00217615">
              <w:rPr>
                <w:rFonts w:ascii="Times New Roman" w:eastAsiaTheme="majorEastAsia" w:hAnsi="Times New Roman" w:cs="Times New Roman"/>
                <w:b/>
                <w:bCs/>
                <w:color w:val="FFFFFF" w:themeColor="background1"/>
                <w:sz w:val="22"/>
                <w:szCs w:val="22"/>
                <w:lang w:val="en-US"/>
              </w:rPr>
              <w:t>2021</w:t>
            </w:r>
          </w:p>
        </w:tc>
        <w:tc>
          <w:tcPr>
            <w:tcW w:w="1537" w:type="dxa"/>
            <w:gridSpan w:val="2"/>
            <w:shd w:val="clear" w:color="auto" w:fill="595959" w:themeFill="text1" w:themeFillTint="A6"/>
          </w:tcPr>
          <w:p w14:paraId="780E4409" w14:textId="77777777" w:rsidR="00390E71" w:rsidRPr="00217615" w:rsidRDefault="00390E71" w:rsidP="00813E19">
            <w:pPr>
              <w:pStyle w:val="CommentText"/>
              <w:jc w:val="center"/>
              <w:rPr>
                <w:rFonts w:ascii="Times New Roman" w:eastAsiaTheme="majorEastAsia" w:hAnsi="Times New Roman" w:cs="Times New Roman"/>
                <w:b/>
                <w:bCs/>
                <w:color w:val="FFFFFF" w:themeColor="background1"/>
                <w:sz w:val="22"/>
                <w:szCs w:val="22"/>
                <w:lang w:val="en-US"/>
              </w:rPr>
            </w:pPr>
            <w:r w:rsidRPr="00217615">
              <w:rPr>
                <w:rFonts w:ascii="Times New Roman" w:eastAsiaTheme="majorEastAsia" w:hAnsi="Times New Roman" w:cs="Times New Roman"/>
                <w:b/>
                <w:bCs/>
                <w:color w:val="FFFFFF" w:themeColor="background1"/>
                <w:sz w:val="22"/>
                <w:szCs w:val="22"/>
                <w:lang w:val="en-US"/>
              </w:rPr>
              <w:t>2022</w:t>
            </w:r>
          </w:p>
        </w:tc>
      </w:tr>
      <w:tr w:rsidR="00217615" w:rsidRPr="00217615" w14:paraId="5951DFE2" w14:textId="77777777" w:rsidTr="00217615">
        <w:tc>
          <w:tcPr>
            <w:tcW w:w="1985" w:type="dxa"/>
            <w:vMerge/>
            <w:shd w:val="clear" w:color="auto" w:fill="595959" w:themeFill="text1" w:themeFillTint="A6"/>
          </w:tcPr>
          <w:p w14:paraId="16859D0E" w14:textId="77777777" w:rsidR="00390E71" w:rsidRPr="00217615" w:rsidRDefault="00390E71" w:rsidP="00813E19">
            <w:pPr>
              <w:pStyle w:val="CommentText"/>
              <w:jc w:val="both"/>
              <w:rPr>
                <w:rFonts w:ascii="Times New Roman" w:eastAsiaTheme="majorEastAsia" w:hAnsi="Times New Roman" w:cs="Times New Roman"/>
                <w:b/>
                <w:bCs/>
                <w:color w:val="FFFFFF" w:themeColor="background1"/>
                <w:sz w:val="22"/>
                <w:szCs w:val="22"/>
                <w:lang w:val="en-US"/>
              </w:rPr>
            </w:pPr>
          </w:p>
        </w:tc>
        <w:tc>
          <w:tcPr>
            <w:tcW w:w="722" w:type="dxa"/>
            <w:shd w:val="clear" w:color="auto" w:fill="595959" w:themeFill="text1" w:themeFillTint="A6"/>
            <w:vAlign w:val="center"/>
          </w:tcPr>
          <w:p w14:paraId="1EE6EDC4" w14:textId="77777777" w:rsidR="00390E71" w:rsidRPr="00217615" w:rsidRDefault="00390E71" w:rsidP="00813E19">
            <w:pPr>
              <w:pStyle w:val="CommentText"/>
              <w:jc w:val="center"/>
              <w:rPr>
                <w:rFonts w:ascii="Times New Roman" w:eastAsiaTheme="majorEastAsia" w:hAnsi="Times New Roman" w:cs="Times New Roman"/>
                <w:b/>
                <w:bCs/>
                <w:color w:val="FFFFFF" w:themeColor="background1"/>
                <w:sz w:val="22"/>
                <w:szCs w:val="22"/>
                <w:lang w:val="en-US"/>
              </w:rPr>
            </w:pPr>
            <w:r w:rsidRPr="00217615">
              <w:rPr>
                <w:rFonts w:ascii="Times New Roman" w:eastAsiaTheme="majorEastAsia" w:hAnsi="Times New Roman" w:cs="Times New Roman"/>
                <w:b/>
                <w:bCs/>
                <w:color w:val="FFFFFF" w:themeColor="background1"/>
                <w:sz w:val="22"/>
                <w:szCs w:val="22"/>
                <w:lang w:val="en-US"/>
              </w:rPr>
              <w:t>N</w:t>
            </w:r>
          </w:p>
        </w:tc>
        <w:tc>
          <w:tcPr>
            <w:tcW w:w="733" w:type="dxa"/>
            <w:shd w:val="clear" w:color="auto" w:fill="595959" w:themeFill="text1" w:themeFillTint="A6"/>
            <w:vAlign w:val="center"/>
          </w:tcPr>
          <w:p w14:paraId="1C3C3D37" w14:textId="77777777" w:rsidR="00390E71" w:rsidRPr="00217615" w:rsidRDefault="00390E71" w:rsidP="00813E19">
            <w:pPr>
              <w:pStyle w:val="CommentText"/>
              <w:jc w:val="center"/>
              <w:rPr>
                <w:rFonts w:ascii="Times New Roman" w:eastAsiaTheme="majorEastAsia" w:hAnsi="Times New Roman" w:cs="Times New Roman"/>
                <w:b/>
                <w:bCs/>
                <w:color w:val="FFFFFF" w:themeColor="background1"/>
                <w:sz w:val="22"/>
                <w:szCs w:val="22"/>
                <w:lang w:val="en-US"/>
              </w:rPr>
            </w:pPr>
            <w:r w:rsidRPr="00217615">
              <w:rPr>
                <w:rFonts w:ascii="Times New Roman" w:eastAsiaTheme="majorEastAsia" w:hAnsi="Times New Roman" w:cs="Times New Roman"/>
                <w:b/>
                <w:bCs/>
                <w:color w:val="FFFFFF" w:themeColor="background1"/>
                <w:sz w:val="22"/>
                <w:szCs w:val="22"/>
                <w:lang w:val="en-US"/>
              </w:rPr>
              <w:t>%</w:t>
            </w:r>
          </w:p>
        </w:tc>
        <w:tc>
          <w:tcPr>
            <w:tcW w:w="722" w:type="dxa"/>
            <w:shd w:val="clear" w:color="auto" w:fill="595959" w:themeFill="text1" w:themeFillTint="A6"/>
            <w:vAlign w:val="center"/>
          </w:tcPr>
          <w:p w14:paraId="4E05259F" w14:textId="77777777" w:rsidR="00390E71" w:rsidRPr="00217615" w:rsidRDefault="00390E71" w:rsidP="00813E19">
            <w:pPr>
              <w:pStyle w:val="CommentText"/>
              <w:jc w:val="center"/>
              <w:rPr>
                <w:rFonts w:ascii="Times New Roman" w:eastAsiaTheme="majorEastAsia" w:hAnsi="Times New Roman" w:cs="Times New Roman"/>
                <w:b/>
                <w:bCs/>
                <w:color w:val="FFFFFF" w:themeColor="background1"/>
                <w:sz w:val="22"/>
                <w:szCs w:val="22"/>
                <w:lang w:val="en-US"/>
              </w:rPr>
            </w:pPr>
            <w:r w:rsidRPr="00217615">
              <w:rPr>
                <w:rFonts w:ascii="Times New Roman" w:eastAsiaTheme="majorEastAsia" w:hAnsi="Times New Roman" w:cs="Times New Roman"/>
                <w:b/>
                <w:bCs/>
                <w:color w:val="FFFFFF" w:themeColor="background1"/>
                <w:sz w:val="22"/>
                <w:szCs w:val="22"/>
                <w:lang w:val="en-US"/>
              </w:rPr>
              <w:t>N</w:t>
            </w:r>
          </w:p>
        </w:tc>
        <w:tc>
          <w:tcPr>
            <w:tcW w:w="754" w:type="dxa"/>
            <w:shd w:val="clear" w:color="auto" w:fill="595959" w:themeFill="text1" w:themeFillTint="A6"/>
            <w:vAlign w:val="center"/>
          </w:tcPr>
          <w:p w14:paraId="368118E8" w14:textId="77777777" w:rsidR="00390E71" w:rsidRPr="00217615" w:rsidRDefault="00390E71" w:rsidP="00813E19">
            <w:pPr>
              <w:pStyle w:val="CommentText"/>
              <w:jc w:val="center"/>
              <w:rPr>
                <w:rFonts w:ascii="Times New Roman" w:eastAsiaTheme="majorEastAsia" w:hAnsi="Times New Roman" w:cs="Times New Roman"/>
                <w:b/>
                <w:bCs/>
                <w:color w:val="FFFFFF" w:themeColor="background1"/>
                <w:sz w:val="22"/>
                <w:szCs w:val="22"/>
                <w:lang w:val="en-US"/>
              </w:rPr>
            </w:pPr>
            <w:r w:rsidRPr="00217615">
              <w:rPr>
                <w:rFonts w:ascii="Times New Roman" w:eastAsiaTheme="majorEastAsia" w:hAnsi="Times New Roman" w:cs="Times New Roman"/>
                <w:b/>
                <w:bCs/>
                <w:color w:val="FFFFFF" w:themeColor="background1"/>
                <w:sz w:val="22"/>
                <w:szCs w:val="22"/>
                <w:lang w:val="en-US"/>
              </w:rPr>
              <w:t>%</w:t>
            </w:r>
          </w:p>
        </w:tc>
        <w:tc>
          <w:tcPr>
            <w:tcW w:w="722" w:type="dxa"/>
            <w:shd w:val="clear" w:color="auto" w:fill="595959" w:themeFill="text1" w:themeFillTint="A6"/>
            <w:vAlign w:val="center"/>
          </w:tcPr>
          <w:p w14:paraId="11A55573" w14:textId="77777777" w:rsidR="00390E71" w:rsidRPr="00217615" w:rsidRDefault="00390E71" w:rsidP="00813E19">
            <w:pPr>
              <w:pStyle w:val="CommentText"/>
              <w:jc w:val="center"/>
              <w:rPr>
                <w:rFonts w:ascii="Times New Roman" w:eastAsiaTheme="majorEastAsia" w:hAnsi="Times New Roman" w:cs="Times New Roman"/>
                <w:b/>
                <w:bCs/>
                <w:color w:val="FFFFFF" w:themeColor="background1"/>
                <w:sz w:val="22"/>
                <w:szCs w:val="22"/>
                <w:lang w:val="en-US"/>
              </w:rPr>
            </w:pPr>
            <w:r w:rsidRPr="00217615">
              <w:rPr>
                <w:rFonts w:ascii="Times New Roman" w:eastAsiaTheme="majorEastAsia" w:hAnsi="Times New Roman" w:cs="Times New Roman"/>
                <w:b/>
                <w:bCs/>
                <w:color w:val="FFFFFF" w:themeColor="background1"/>
                <w:sz w:val="22"/>
                <w:szCs w:val="22"/>
                <w:lang w:val="en-US"/>
              </w:rPr>
              <w:t>N</w:t>
            </w:r>
          </w:p>
        </w:tc>
        <w:tc>
          <w:tcPr>
            <w:tcW w:w="733" w:type="dxa"/>
            <w:shd w:val="clear" w:color="auto" w:fill="595959" w:themeFill="text1" w:themeFillTint="A6"/>
            <w:vAlign w:val="center"/>
          </w:tcPr>
          <w:p w14:paraId="0ECBD61A" w14:textId="77777777" w:rsidR="00390E71" w:rsidRPr="00217615" w:rsidRDefault="00390E71" w:rsidP="00813E19">
            <w:pPr>
              <w:pStyle w:val="CommentText"/>
              <w:jc w:val="center"/>
              <w:rPr>
                <w:rFonts w:ascii="Times New Roman" w:eastAsiaTheme="majorEastAsia" w:hAnsi="Times New Roman" w:cs="Times New Roman"/>
                <w:b/>
                <w:bCs/>
                <w:color w:val="FFFFFF" w:themeColor="background1"/>
                <w:sz w:val="22"/>
                <w:szCs w:val="22"/>
                <w:lang w:val="en-US"/>
              </w:rPr>
            </w:pPr>
            <w:r w:rsidRPr="00217615">
              <w:rPr>
                <w:rFonts w:ascii="Times New Roman" w:eastAsiaTheme="majorEastAsia" w:hAnsi="Times New Roman" w:cs="Times New Roman"/>
                <w:b/>
                <w:bCs/>
                <w:color w:val="FFFFFF" w:themeColor="background1"/>
                <w:sz w:val="22"/>
                <w:szCs w:val="22"/>
                <w:lang w:val="en-US"/>
              </w:rPr>
              <w:t>%</w:t>
            </w:r>
          </w:p>
        </w:tc>
        <w:tc>
          <w:tcPr>
            <w:tcW w:w="723" w:type="dxa"/>
            <w:shd w:val="clear" w:color="auto" w:fill="595959" w:themeFill="text1" w:themeFillTint="A6"/>
            <w:vAlign w:val="center"/>
          </w:tcPr>
          <w:p w14:paraId="3CE15533" w14:textId="77777777" w:rsidR="00390E71" w:rsidRPr="00217615" w:rsidRDefault="00390E71" w:rsidP="00813E19">
            <w:pPr>
              <w:pStyle w:val="CommentText"/>
              <w:jc w:val="center"/>
              <w:rPr>
                <w:rFonts w:ascii="Times New Roman" w:eastAsiaTheme="majorEastAsia" w:hAnsi="Times New Roman" w:cs="Times New Roman"/>
                <w:b/>
                <w:bCs/>
                <w:color w:val="FFFFFF" w:themeColor="background1"/>
                <w:sz w:val="22"/>
                <w:szCs w:val="22"/>
                <w:lang w:val="en-US"/>
              </w:rPr>
            </w:pPr>
            <w:r w:rsidRPr="00217615">
              <w:rPr>
                <w:rFonts w:ascii="Times New Roman" w:eastAsiaTheme="majorEastAsia" w:hAnsi="Times New Roman" w:cs="Times New Roman"/>
                <w:b/>
                <w:bCs/>
                <w:color w:val="FFFFFF" w:themeColor="background1"/>
                <w:sz w:val="22"/>
                <w:szCs w:val="22"/>
                <w:lang w:val="en-US"/>
              </w:rPr>
              <w:t>N</w:t>
            </w:r>
          </w:p>
        </w:tc>
        <w:tc>
          <w:tcPr>
            <w:tcW w:w="734" w:type="dxa"/>
            <w:shd w:val="clear" w:color="auto" w:fill="595959" w:themeFill="text1" w:themeFillTint="A6"/>
            <w:vAlign w:val="center"/>
          </w:tcPr>
          <w:p w14:paraId="2B8E5062" w14:textId="77777777" w:rsidR="00390E71" w:rsidRPr="00217615" w:rsidRDefault="00390E71" w:rsidP="00813E19">
            <w:pPr>
              <w:pStyle w:val="CommentText"/>
              <w:jc w:val="center"/>
              <w:rPr>
                <w:rFonts w:ascii="Times New Roman" w:eastAsiaTheme="majorEastAsia" w:hAnsi="Times New Roman" w:cs="Times New Roman"/>
                <w:b/>
                <w:bCs/>
                <w:color w:val="FFFFFF" w:themeColor="background1"/>
                <w:sz w:val="22"/>
                <w:szCs w:val="22"/>
                <w:lang w:val="en-US"/>
              </w:rPr>
            </w:pPr>
            <w:r w:rsidRPr="00217615">
              <w:rPr>
                <w:rFonts w:ascii="Times New Roman" w:eastAsiaTheme="majorEastAsia" w:hAnsi="Times New Roman" w:cs="Times New Roman"/>
                <w:b/>
                <w:bCs/>
                <w:color w:val="FFFFFF" w:themeColor="background1"/>
                <w:sz w:val="22"/>
                <w:szCs w:val="22"/>
                <w:lang w:val="en-US"/>
              </w:rPr>
              <w:t>%</w:t>
            </w:r>
          </w:p>
        </w:tc>
        <w:tc>
          <w:tcPr>
            <w:tcW w:w="760" w:type="dxa"/>
            <w:shd w:val="clear" w:color="auto" w:fill="595959" w:themeFill="text1" w:themeFillTint="A6"/>
            <w:vAlign w:val="center"/>
          </w:tcPr>
          <w:p w14:paraId="0DAE84B0" w14:textId="77777777" w:rsidR="00390E71" w:rsidRPr="00217615" w:rsidRDefault="00390E71" w:rsidP="00813E19">
            <w:pPr>
              <w:pStyle w:val="CommentText"/>
              <w:jc w:val="center"/>
              <w:rPr>
                <w:rFonts w:ascii="Times New Roman" w:eastAsiaTheme="majorEastAsia" w:hAnsi="Times New Roman" w:cs="Times New Roman"/>
                <w:b/>
                <w:bCs/>
                <w:color w:val="FFFFFF" w:themeColor="background1"/>
                <w:sz w:val="22"/>
                <w:szCs w:val="22"/>
                <w:lang w:val="en-US"/>
              </w:rPr>
            </w:pPr>
            <w:r w:rsidRPr="00217615">
              <w:rPr>
                <w:rFonts w:ascii="Times New Roman" w:eastAsiaTheme="majorEastAsia" w:hAnsi="Times New Roman" w:cs="Times New Roman"/>
                <w:b/>
                <w:bCs/>
                <w:color w:val="FFFFFF" w:themeColor="background1"/>
                <w:sz w:val="22"/>
                <w:szCs w:val="22"/>
                <w:lang w:val="en-US"/>
              </w:rPr>
              <w:t>N</w:t>
            </w:r>
          </w:p>
        </w:tc>
        <w:tc>
          <w:tcPr>
            <w:tcW w:w="777" w:type="dxa"/>
            <w:shd w:val="clear" w:color="auto" w:fill="595959" w:themeFill="text1" w:themeFillTint="A6"/>
            <w:vAlign w:val="center"/>
          </w:tcPr>
          <w:p w14:paraId="7B25198B" w14:textId="77777777" w:rsidR="00390E71" w:rsidRPr="00217615" w:rsidRDefault="00390E71" w:rsidP="00813E19">
            <w:pPr>
              <w:pStyle w:val="CommentText"/>
              <w:jc w:val="center"/>
              <w:rPr>
                <w:rFonts w:ascii="Times New Roman" w:eastAsiaTheme="majorEastAsia" w:hAnsi="Times New Roman" w:cs="Times New Roman"/>
                <w:b/>
                <w:bCs/>
                <w:color w:val="FFFFFF" w:themeColor="background1"/>
                <w:sz w:val="22"/>
                <w:szCs w:val="22"/>
                <w:lang w:val="en-US"/>
              </w:rPr>
            </w:pPr>
            <w:r w:rsidRPr="00217615">
              <w:rPr>
                <w:rFonts w:ascii="Times New Roman" w:eastAsiaTheme="majorEastAsia" w:hAnsi="Times New Roman" w:cs="Times New Roman"/>
                <w:b/>
                <w:bCs/>
                <w:color w:val="FFFFFF" w:themeColor="background1"/>
                <w:sz w:val="22"/>
                <w:szCs w:val="22"/>
                <w:lang w:val="en-US"/>
              </w:rPr>
              <w:t>%</w:t>
            </w:r>
          </w:p>
        </w:tc>
      </w:tr>
      <w:tr w:rsidR="00390E71" w:rsidRPr="00217615" w14:paraId="0F3B690E" w14:textId="77777777" w:rsidTr="00217615">
        <w:tc>
          <w:tcPr>
            <w:tcW w:w="1985" w:type="dxa"/>
          </w:tcPr>
          <w:p w14:paraId="3506BAA4" w14:textId="77777777" w:rsidR="00390E71" w:rsidRPr="00217615" w:rsidRDefault="00390E71" w:rsidP="00813E19">
            <w:pPr>
              <w:pStyle w:val="CommentText"/>
              <w:rPr>
                <w:rFonts w:ascii="Times New Roman" w:eastAsiaTheme="majorEastAsia" w:hAnsi="Times New Roman" w:cs="Times New Roman"/>
                <w:b/>
                <w:bCs/>
                <w:sz w:val="22"/>
                <w:szCs w:val="22"/>
                <w:lang w:val="en-US"/>
              </w:rPr>
            </w:pPr>
            <w:r w:rsidRPr="00217615">
              <w:rPr>
                <w:rFonts w:ascii="Times New Roman" w:eastAsiaTheme="majorEastAsia" w:hAnsi="Times New Roman" w:cs="Times New Roman"/>
                <w:b/>
                <w:bCs/>
                <w:sz w:val="22"/>
                <w:szCs w:val="22"/>
                <w:lang w:val="en-US"/>
              </w:rPr>
              <w:t>Surveyed</w:t>
            </w:r>
          </w:p>
        </w:tc>
        <w:tc>
          <w:tcPr>
            <w:tcW w:w="722" w:type="dxa"/>
          </w:tcPr>
          <w:p w14:paraId="5E3301BD" w14:textId="77777777" w:rsidR="00390E71" w:rsidRPr="00217615" w:rsidRDefault="00390E71" w:rsidP="00813E19">
            <w:pPr>
              <w:pStyle w:val="CommentText"/>
              <w:jc w:val="right"/>
              <w:rPr>
                <w:rFonts w:ascii="Times New Roman" w:eastAsiaTheme="majorEastAsia" w:hAnsi="Times New Roman" w:cs="Times New Roman"/>
                <w:b/>
                <w:bCs/>
                <w:sz w:val="22"/>
                <w:szCs w:val="22"/>
                <w:lang w:val="en-US"/>
              </w:rPr>
            </w:pPr>
            <w:r w:rsidRPr="00217615">
              <w:rPr>
                <w:rFonts w:ascii="Times New Roman" w:eastAsiaTheme="majorEastAsia" w:hAnsi="Times New Roman" w:cs="Times New Roman"/>
                <w:b/>
                <w:bCs/>
                <w:sz w:val="22"/>
                <w:szCs w:val="22"/>
                <w:lang w:val="en-US"/>
              </w:rPr>
              <w:t>236</w:t>
            </w:r>
          </w:p>
        </w:tc>
        <w:tc>
          <w:tcPr>
            <w:tcW w:w="733" w:type="dxa"/>
          </w:tcPr>
          <w:p w14:paraId="65D69988" w14:textId="77777777" w:rsidR="00390E71" w:rsidRPr="00217615" w:rsidRDefault="00390E71" w:rsidP="00813E19">
            <w:pPr>
              <w:pStyle w:val="CommentText"/>
              <w:jc w:val="right"/>
              <w:rPr>
                <w:rFonts w:ascii="Times New Roman" w:eastAsiaTheme="majorEastAsia" w:hAnsi="Times New Roman" w:cs="Times New Roman"/>
                <w:bCs/>
                <w:i/>
                <w:sz w:val="22"/>
                <w:szCs w:val="22"/>
                <w:lang w:val="en-US"/>
              </w:rPr>
            </w:pPr>
          </w:p>
        </w:tc>
        <w:tc>
          <w:tcPr>
            <w:tcW w:w="722" w:type="dxa"/>
          </w:tcPr>
          <w:p w14:paraId="74CCE97E" w14:textId="77777777" w:rsidR="00390E71" w:rsidRPr="00217615" w:rsidRDefault="00390E71" w:rsidP="00813E19">
            <w:pPr>
              <w:pStyle w:val="CommentText"/>
              <w:jc w:val="right"/>
              <w:rPr>
                <w:rFonts w:ascii="Times New Roman" w:eastAsiaTheme="majorEastAsia" w:hAnsi="Times New Roman" w:cs="Times New Roman"/>
                <w:b/>
                <w:bCs/>
                <w:sz w:val="22"/>
                <w:szCs w:val="22"/>
                <w:lang w:val="en-US"/>
              </w:rPr>
            </w:pPr>
            <w:r w:rsidRPr="00217615">
              <w:rPr>
                <w:rFonts w:ascii="Times New Roman" w:eastAsiaTheme="majorEastAsia" w:hAnsi="Times New Roman" w:cs="Times New Roman"/>
                <w:b/>
                <w:bCs/>
                <w:sz w:val="22"/>
                <w:szCs w:val="22"/>
                <w:lang w:val="en-US"/>
              </w:rPr>
              <w:t>179</w:t>
            </w:r>
          </w:p>
        </w:tc>
        <w:tc>
          <w:tcPr>
            <w:tcW w:w="754" w:type="dxa"/>
          </w:tcPr>
          <w:p w14:paraId="742686F9" w14:textId="77777777" w:rsidR="00390E71" w:rsidRPr="00217615" w:rsidRDefault="00390E71" w:rsidP="00813E19">
            <w:pPr>
              <w:pStyle w:val="CommentText"/>
              <w:jc w:val="right"/>
              <w:rPr>
                <w:rFonts w:ascii="Times New Roman" w:eastAsiaTheme="majorEastAsia" w:hAnsi="Times New Roman" w:cs="Times New Roman"/>
                <w:bCs/>
                <w:i/>
                <w:sz w:val="22"/>
                <w:szCs w:val="22"/>
                <w:lang w:val="en-US"/>
              </w:rPr>
            </w:pPr>
          </w:p>
        </w:tc>
        <w:tc>
          <w:tcPr>
            <w:tcW w:w="722" w:type="dxa"/>
          </w:tcPr>
          <w:p w14:paraId="0514F692" w14:textId="77777777" w:rsidR="00390E71" w:rsidRPr="00217615" w:rsidRDefault="00390E71" w:rsidP="00813E19">
            <w:pPr>
              <w:pStyle w:val="CommentText"/>
              <w:jc w:val="right"/>
              <w:rPr>
                <w:rFonts w:ascii="Times New Roman" w:eastAsiaTheme="majorEastAsia" w:hAnsi="Times New Roman" w:cs="Times New Roman"/>
                <w:b/>
                <w:bCs/>
                <w:sz w:val="22"/>
                <w:szCs w:val="22"/>
                <w:lang w:val="en-US"/>
              </w:rPr>
            </w:pPr>
            <w:r w:rsidRPr="00217615">
              <w:rPr>
                <w:rFonts w:ascii="Times New Roman" w:eastAsiaTheme="majorEastAsia" w:hAnsi="Times New Roman" w:cs="Times New Roman"/>
                <w:b/>
                <w:bCs/>
                <w:sz w:val="22"/>
                <w:szCs w:val="22"/>
                <w:lang w:val="en-US"/>
              </w:rPr>
              <w:t>236</w:t>
            </w:r>
          </w:p>
        </w:tc>
        <w:tc>
          <w:tcPr>
            <w:tcW w:w="733" w:type="dxa"/>
          </w:tcPr>
          <w:p w14:paraId="1043F91D" w14:textId="77777777" w:rsidR="00390E71" w:rsidRPr="00217615" w:rsidRDefault="00390E71" w:rsidP="00813E19">
            <w:pPr>
              <w:pStyle w:val="CommentText"/>
              <w:jc w:val="right"/>
              <w:rPr>
                <w:rFonts w:ascii="Times New Roman" w:eastAsiaTheme="majorEastAsia" w:hAnsi="Times New Roman" w:cs="Times New Roman"/>
                <w:bCs/>
                <w:i/>
                <w:sz w:val="22"/>
                <w:szCs w:val="22"/>
                <w:lang w:val="en-US"/>
              </w:rPr>
            </w:pPr>
          </w:p>
        </w:tc>
        <w:tc>
          <w:tcPr>
            <w:tcW w:w="723" w:type="dxa"/>
          </w:tcPr>
          <w:p w14:paraId="1AB8783F" w14:textId="77777777" w:rsidR="00390E71" w:rsidRPr="00217615" w:rsidRDefault="00390E71" w:rsidP="00813E19">
            <w:pPr>
              <w:pStyle w:val="CommentText"/>
              <w:jc w:val="right"/>
              <w:rPr>
                <w:rFonts w:ascii="Times New Roman" w:eastAsiaTheme="majorEastAsia" w:hAnsi="Times New Roman" w:cs="Times New Roman"/>
                <w:b/>
                <w:bCs/>
                <w:sz w:val="22"/>
                <w:szCs w:val="22"/>
                <w:lang w:val="en-US"/>
              </w:rPr>
            </w:pPr>
            <w:r w:rsidRPr="00217615">
              <w:rPr>
                <w:rFonts w:ascii="Times New Roman" w:eastAsiaTheme="majorEastAsia" w:hAnsi="Times New Roman" w:cs="Times New Roman"/>
                <w:b/>
                <w:bCs/>
                <w:sz w:val="22"/>
                <w:szCs w:val="22"/>
                <w:lang w:val="en-US"/>
              </w:rPr>
              <w:t>233</w:t>
            </w:r>
          </w:p>
        </w:tc>
        <w:tc>
          <w:tcPr>
            <w:tcW w:w="734" w:type="dxa"/>
          </w:tcPr>
          <w:p w14:paraId="31E9D0E5" w14:textId="77777777" w:rsidR="00390E71" w:rsidRPr="00217615" w:rsidRDefault="00390E71" w:rsidP="00813E19">
            <w:pPr>
              <w:pStyle w:val="CommentText"/>
              <w:jc w:val="right"/>
              <w:rPr>
                <w:rFonts w:ascii="Times New Roman" w:eastAsiaTheme="majorEastAsia" w:hAnsi="Times New Roman" w:cs="Times New Roman"/>
                <w:bCs/>
                <w:i/>
                <w:sz w:val="22"/>
                <w:szCs w:val="22"/>
                <w:lang w:val="en-US"/>
              </w:rPr>
            </w:pPr>
          </w:p>
        </w:tc>
        <w:tc>
          <w:tcPr>
            <w:tcW w:w="760" w:type="dxa"/>
          </w:tcPr>
          <w:p w14:paraId="71FFAA05" w14:textId="77777777" w:rsidR="00390E71" w:rsidRPr="00217615" w:rsidRDefault="00390E71" w:rsidP="00813E19">
            <w:pPr>
              <w:pStyle w:val="CommentText"/>
              <w:jc w:val="right"/>
              <w:rPr>
                <w:rFonts w:ascii="Times New Roman" w:eastAsiaTheme="majorEastAsia" w:hAnsi="Times New Roman" w:cs="Times New Roman"/>
                <w:b/>
                <w:bCs/>
                <w:sz w:val="22"/>
                <w:szCs w:val="22"/>
                <w:lang w:val="en-US"/>
              </w:rPr>
            </w:pPr>
            <w:r w:rsidRPr="00217615">
              <w:rPr>
                <w:rFonts w:ascii="Times New Roman" w:eastAsiaTheme="majorEastAsia" w:hAnsi="Times New Roman" w:cs="Times New Roman"/>
                <w:b/>
                <w:bCs/>
                <w:sz w:val="22"/>
                <w:szCs w:val="22"/>
                <w:lang w:val="en-US"/>
              </w:rPr>
              <w:t>345</w:t>
            </w:r>
          </w:p>
        </w:tc>
        <w:tc>
          <w:tcPr>
            <w:tcW w:w="777" w:type="dxa"/>
          </w:tcPr>
          <w:p w14:paraId="782A70EF" w14:textId="77777777" w:rsidR="00390E71" w:rsidRPr="00217615" w:rsidRDefault="00390E71" w:rsidP="00813E19">
            <w:pPr>
              <w:pStyle w:val="CommentText"/>
              <w:jc w:val="right"/>
              <w:rPr>
                <w:rFonts w:ascii="Times New Roman" w:eastAsiaTheme="majorEastAsia" w:hAnsi="Times New Roman" w:cs="Times New Roman"/>
                <w:bCs/>
                <w:sz w:val="22"/>
                <w:szCs w:val="22"/>
                <w:lang w:val="en-US"/>
              </w:rPr>
            </w:pPr>
          </w:p>
        </w:tc>
      </w:tr>
      <w:tr w:rsidR="00390E71" w:rsidRPr="00217615" w14:paraId="57A9639E" w14:textId="77777777" w:rsidTr="00217615">
        <w:tc>
          <w:tcPr>
            <w:tcW w:w="1985" w:type="dxa"/>
            <w:tcBorders>
              <w:bottom w:val="single" w:sz="4" w:space="0" w:color="auto"/>
            </w:tcBorders>
          </w:tcPr>
          <w:p w14:paraId="7539E4AC" w14:textId="77777777" w:rsidR="00390E71" w:rsidRPr="00217615" w:rsidRDefault="00390E71" w:rsidP="00813E19">
            <w:pPr>
              <w:pStyle w:val="CommentText"/>
              <w:rPr>
                <w:rFonts w:ascii="Times New Roman" w:eastAsiaTheme="majorEastAsia" w:hAnsi="Times New Roman" w:cs="Times New Roman"/>
                <w:b/>
                <w:bCs/>
                <w:sz w:val="22"/>
                <w:szCs w:val="22"/>
                <w:lang w:val="en-US"/>
              </w:rPr>
            </w:pPr>
            <w:r w:rsidRPr="00217615">
              <w:rPr>
                <w:rFonts w:ascii="Times New Roman" w:eastAsiaTheme="majorEastAsia" w:hAnsi="Times New Roman" w:cs="Times New Roman"/>
                <w:b/>
                <w:bCs/>
                <w:sz w:val="22"/>
                <w:szCs w:val="22"/>
                <w:lang w:val="en-US"/>
              </w:rPr>
              <w:t>Answered</w:t>
            </w:r>
          </w:p>
        </w:tc>
        <w:tc>
          <w:tcPr>
            <w:tcW w:w="722" w:type="dxa"/>
            <w:tcBorders>
              <w:bottom w:val="single" w:sz="4" w:space="0" w:color="auto"/>
            </w:tcBorders>
          </w:tcPr>
          <w:p w14:paraId="4906893A" w14:textId="77777777" w:rsidR="00390E71" w:rsidRPr="00217615" w:rsidRDefault="00390E71" w:rsidP="00813E19">
            <w:pPr>
              <w:pStyle w:val="CommentText"/>
              <w:jc w:val="right"/>
              <w:rPr>
                <w:rFonts w:ascii="Times New Roman" w:eastAsiaTheme="majorEastAsia" w:hAnsi="Times New Roman" w:cs="Times New Roman"/>
                <w:b/>
                <w:bCs/>
                <w:sz w:val="22"/>
                <w:szCs w:val="22"/>
                <w:lang w:val="en-US"/>
              </w:rPr>
            </w:pPr>
            <w:r w:rsidRPr="00217615">
              <w:rPr>
                <w:rFonts w:ascii="Times New Roman" w:eastAsiaTheme="majorEastAsia" w:hAnsi="Times New Roman" w:cs="Times New Roman"/>
                <w:b/>
                <w:bCs/>
                <w:sz w:val="22"/>
                <w:szCs w:val="22"/>
                <w:lang w:val="en-US"/>
              </w:rPr>
              <w:t>183</w:t>
            </w:r>
          </w:p>
        </w:tc>
        <w:tc>
          <w:tcPr>
            <w:tcW w:w="733" w:type="dxa"/>
            <w:tcBorders>
              <w:bottom w:val="single" w:sz="4" w:space="0" w:color="auto"/>
            </w:tcBorders>
          </w:tcPr>
          <w:p w14:paraId="1ACB61E5" w14:textId="77777777" w:rsidR="00390E71" w:rsidRPr="00217615" w:rsidRDefault="00390E71" w:rsidP="00813E19">
            <w:pPr>
              <w:pStyle w:val="CommentText"/>
              <w:jc w:val="right"/>
              <w:rPr>
                <w:rFonts w:ascii="Times New Roman" w:eastAsiaTheme="majorEastAsia" w:hAnsi="Times New Roman" w:cs="Times New Roman"/>
                <w:bCs/>
                <w:i/>
                <w:sz w:val="22"/>
                <w:szCs w:val="22"/>
                <w:lang w:val="en-US"/>
              </w:rPr>
            </w:pPr>
            <w:r w:rsidRPr="00217615">
              <w:rPr>
                <w:rFonts w:ascii="Times New Roman" w:eastAsiaTheme="majorEastAsia" w:hAnsi="Times New Roman" w:cs="Times New Roman"/>
                <w:bCs/>
                <w:i/>
                <w:sz w:val="22"/>
                <w:szCs w:val="22"/>
                <w:lang w:val="en-US"/>
              </w:rPr>
              <w:t>77,5</w:t>
            </w:r>
          </w:p>
        </w:tc>
        <w:tc>
          <w:tcPr>
            <w:tcW w:w="722" w:type="dxa"/>
            <w:tcBorders>
              <w:bottom w:val="single" w:sz="4" w:space="0" w:color="auto"/>
            </w:tcBorders>
          </w:tcPr>
          <w:p w14:paraId="07775048" w14:textId="77777777" w:rsidR="00390E71" w:rsidRPr="00217615" w:rsidRDefault="00390E71" w:rsidP="00813E19">
            <w:pPr>
              <w:pStyle w:val="CommentText"/>
              <w:jc w:val="right"/>
              <w:rPr>
                <w:rFonts w:ascii="Times New Roman" w:eastAsiaTheme="majorEastAsia" w:hAnsi="Times New Roman" w:cs="Times New Roman"/>
                <w:b/>
                <w:bCs/>
                <w:sz w:val="22"/>
                <w:szCs w:val="22"/>
                <w:lang w:val="en-US"/>
              </w:rPr>
            </w:pPr>
            <w:r w:rsidRPr="00217615">
              <w:rPr>
                <w:rFonts w:ascii="Times New Roman" w:eastAsiaTheme="majorEastAsia" w:hAnsi="Times New Roman" w:cs="Times New Roman"/>
                <w:b/>
                <w:bCs/>
                <w:sz w:val="22"/>
                <w:szCs w:val="22"/>
                <w:lang w:val="en-US"/>
              </w:rPr>
              <w:t>179</w:t>
            </w:r>
          </w:p>
        </w:tc>
        <w:tc>
          <w:tcPr>
            <w:tcW w:w="754" w:type="dxa"/>
            <w:tcBorders>
              <w:bottom w:val="single" w:sz="4" w:space="0" w:color="auto"/>
            </w:tcBorders>
          </w:tcPr>
          <w:p w14:paraId="074F9594" w14:textId="77777777" w:rsidR="00390E71" w:rsidRPr="00217615" w:rsidRDefault="00390E71" w:rsidP="00813E19">
            <w:pPr>
              <w:pStyle w:val="CommentText"/>
              <w:jc w:val="right"/>
              <w:rPr>
                <w:rFonts w:ascii="Times New Roman" w:eastAsiaTheme="majorEastAsia" w:hAnsi="Times New Roman" w:cs="Times New Roman"/>
                <w:bCs/>
                <w:i/>
                <w:sz w:val="22"/>
                <w:szCs w:val="22"/>
                <w:lang w:val="en-US"/>
              </w:rPr>
            </w:pPr>
            <w:r w:rsidRPr="00217615">
              <w:rPr>
                <w:rFonts w:ascii="Times New Roman" w:eastAsiaTheme="majorEastAsia" w:hAnsi="Times New Roman" w:cs="Times New Roman"/>
                <w:bCs/>
                <w:i/>
                <w:sz w:val="22"/>
                <w:szCs w:val="22"/>
                <w:lang w:val="en-US"/>
              </w:rPr>
              <w:t>100,0</w:t>
            </w:r>
          </w:p>
        </w:tc>
        <w:tc>
          <w:tcPr>
            <w:tcW w:w="722" w:type="dxa"/>
            <w:tcBorders>
              <w:bottom w:val="single" w:sz="4" w:space="0" w:color="auto"/>
            </w:tcBorders>
          </w:tcPr>
          <w:p w14:paraId="132A03D1" w14:textId="77777777" w:rsidR="00390E71" w:rsidRPr="00217615" w:rsidRDefault="00390E71" w:rsidP="00813E19">
            <w:pPr>
              <w:pStyle w:val="CommentText"/>
              <w:jc w:val="right"/>
              <w:rPr>
                <w:rFonts w:ascii="Times New Roman" w:eastAsiaTheme="majorEastAsia" w:hAnsi="Times New Roman" w:cs="Times New Roman"/>
                <w:b/>
                <w:bCs/>
                <w:sz w:val="22"/>
                <w:szCs w:val="22"/>
                <w:lang w:val="en-US"/>
              </w:rPr>
            </w:pPr>
            <w:r w:rsidRPr="00217615">
              <w:rPr>
                <w:rFonts w:ascii="Times New Roman" w:eastAsiaTheme="majorEastAsia" w:hAnsi="Times New Roman" w:cs="Times New Roman"/>
                <w:b/>
                <w:bCs/>
                <w:sz w:val="22"/>
                <w:szCs w:val="22"/>
                <w:lang w:val="en-US"/>
              </w:rPr>
              <w:t>203</w:t>
            </w:r>
          </w:p>
        </w:tc>
        <w:tc>
          <w:tcPr>
            <w:tcW w:w="733" w:type="dxa"/>
            <w:tcBorders>
              <w:bottom w:val="single" w:sz="4" w:space="0" w:color="auto"/>
            </w:tcBorders>
          </w:tcPr>
          <w:p w14:paraId="4DE1337B" w14:textId="77777777" w:rsidR="00390E71" w:rsidRPr="00217615" w:rsidRDefault="00390E71" w:rsidP="00813E19">
            <w:pPr>
              <w:pStyle w:val="CommentText"/>
              <w:jc w:val="right"/>
              <w:rPr>
                <w:rFonts w:ascii="Times New Roman" w:eastAsiaTheme="majorEastAsia" w:hAnsi="Times New Roman" w:cs="Times New Roman"/>
                <w:bCs/>
                <w:i/>
                <w:sz w:val="22"/>
                <w:szCs w:val="22"/>
                <w:lang w:val="en-US"/>
              </w:rPr>
            </w:pPr>
            <w:r w:rsidRPr="00217615">
              <w:rPr>
                <w:rFonts w:ascii="Times New Roman" w:eastAsiaTheme="majorEastAsia" w:hAnsi="Times New Roman" w:cs="Times New Roman"/>
                <w:bCs/>
                <w:i/>
                <w:sz w:val="22"/>
                <w:szCs w:val="22"/>
                <w:lang w:val="en-US"/>
              </w:rPr>
              <w:t>86,0</w:t>
            </w:r>
          </w:p>
        </w:tc>
        <w:tc>
          <w:tcPr>
            <w:tcW w:w="723" w:type="dxa"/>
            <w:tcBorders>
              <w:bottom w:val="single" w:sz="4" w:space="0" w:color="auto"/>
            </w:tcBorders>
          </w:tcPr>
          <w:p w14:paraId="5380C542" w14:textId="77777777" w:rsidR="00390E71" w:rsidRPr="00217615" w:rsidRDefault="00390E71" w:rsidP="00813E19">
            <w:pPr>
              <w:pStyle w:val="CommentText"/>
              <w:jc w:val="right"/>
              <w:rPr>
                <w:rFonts w:ascii="Times New Roman" w:eastAsiaTheme="majorEastAsia" w:hAnsi="Times New Roman" w:cs="Times New Roman"/>
                <w:b/>
                <w:bCs/>
                <w:sz w:val="22"/>
                <w:szCs w:val="22"/>
                <w:lang w:val="en-US"/>
              </w:rPr>
            </w:pPr>
            <w:r w:rsidRPr="00217615">
              <w:rPr>
                <w:rFonts w:ascii="Times New Roman" w:eastAsiaTheme="majorEastAsia" w:hAnsi="Times New Roman" w:cs="Times New Roman"/>
                <w:b/>
                <w:bCs/>
                <w:sz w:val="22"/>
                <w:szCs w:val="22"/>
                <w:lang w:val="en-US"/>
              </w:rPr>
              <w:t>209</w:t>
            </w:r>
          </w:p>
        </w:tc>
        <w:tc>
          <w:tcPr>
            <w:tcW w:w="734" w:type="dxa"/>
            <w:tcBorders>
              <w:bottom w:val="single" w:sz="4" w:space="0" w:color="auto"/>
            </w:tcBorders>
          </w:tcPr>
          <w:p w14:paraId="0E1C4B13" w14:textId="77777777" w:rsidR="00390E71" w:rsidRPr="00217615" w:rsidRDefault="00390E71" w:rsidP="00813E19">
            <w:pPr>
              <w:pStyle w:val="CommentText"/>
              <w:jc w:val="right"/>
              <w:rPr>
                <w:rFonts w:ascii="Times New Roman" w:eastAsiaTheme="majorEastAsia" w:hAnsi="Times New Roman" w:cs="Times New Roman"/>
                <w:bCs/>
                <w:i/>
                <w:sz w:val="22"/>
                <w:szCs w:val="22"/>
                <w:lang w:val="en-US"/>
              </w:rPr>
            </w:pPr>
            <w:r w:rsidRPr="00217615">
              <w:rPr>
                <w:rFonts w:ascii="Times New Roman" w:eastAsiaTheme="majorEastAsia" w:hAnsi="Times New Roman" w:cs="Times New Roman"/>
                <w:bCs/>
                <w:i/>
                <w:sz w:val="22"/>
                <w:szCs w:val="22"/>
                <w:lang w:val="en-US"/>
              </w:rPr>
              <w:t>89,7</w:t>
            </w:r>
          </w:p>
        </w:tc>
        <w:tc>
          <w:tcPr>
            <w:tcW w:w="760" w:type="dxa"/>
            <w:tcBorders>
              <w:bottom w:val="single" w:sz="4" w:space="0" w:color="auto"/>
            </w:tcBorders>
          </w:tcPr>
          <w:p w14:paraId="6E78C010" w14:textId="77777777" w:rsidR="00390E71" w:rsidRPr="00217615" w:rsidRDefault="00390E71" w:rsidP="00813E19">
            <w:pPr>
              <w:pStyle w:val="CommentText"/>
              <w:jc w:val="right"/>
              <w:rPr>
                <w:rFonts w:ascii="Times New Roman" w:eastAsiaTheme="majorEastAsia" w:hAnsi="Times New Roman" w:cs="Times New Roman"/>
                <w:b/>
                <w:bCs/>
                <w:sz w:val="22"/>
                <w:szCs w:val="22"/>
                <w:lang w:val="en-US"/>
              </w:rPr>
            </w:pPr>
            <w:r w:rsidRPr="00217615">
              <w:rPr>
                <w:rFonts w:ascii="Times New Roman" w:eastAsiaTheme="majorEastAsia" w:hAnsi="Times New Roman" w:cs="Times New Roman"/>
                <w:b/>
                <w:bCs/>
                <w:sz w:val="22"/>
                <w:szCs w:val="22"/>
                <w:lang w:val="en-US"/>
              </w:rPr>
              <w:t>252</w:t>
            </w:r>
          </w:p>
        </w:tc>
        <w:tc>
          <w:tcPr>
            <w:tcW w:w="777" w:type="dxa"/>
            <w:tcBorders>
              <w:bottom w:val="single" w:sz="4" w:space="0" w:color="auto"/>
            </w:tcBorders>
          </w:tcPr>
          <w:p w14:paraId="296D0D71" w14:textId="77777777" w:rsidR="00390E71" w:rsidRPr="00217615" w:rsidRDefault="00390E71" w:rsidP="00813E19">
            <w:pPr>
              <w:pStyle w:val="CommentText"/>
              <w:jc w:val="right"/>
              <w:rPr>
                <w:rFonts w:ascii="Times New Roman" w:eastAsiaTheme="majorEastAsia" w:hAnsi="Times New Roman" w:cs="Times New Roman"/>
                <w:bCs/>
                <w:i/>
                <w:sz w:val="22"/>
                <w:szCs w:val="22"/>
                <w:lang w:val="en-US"/>
              </w:rPr>
            </w:pPr>
            <w:r w:rsidRPr="00217615">
              <w:rPr>
                <w:rFonts w:ascii="Times New Roman" w:eastAsiaTheme="majorEastAsia" w:hAnsi="Times New Roman" w:cs="Times New Roman"/>
                <w:bCs/>
                <w:i/>
                <w:sz w:val="22"/>
                <w:szCs w:val="22"/>
                <w:lang w:val="en-US"/>
              </w:rPr>
              <w:t>73.0</w:t>
            </w:r>
          </w:p>
        </w:tc>
      </w:tr>
      <w:tr w:rsidR="00390E71" w:rsidRPr="00217615" w14:paraId="2732C28E" w14:textId="77777777" w:rsidTr="00217615">
        <w:tc>
          <w:tcPr>
            <w:tcW w:w="1985" w:type="dxa"/>
            <w:tcBorders>
              <w:bottom w:val="nil"/>
            </w:tcBorders>
          </w:tcPr>
          <w:p w14:paraId="185F8DC0" w14:textId="77777777" w:rsidR="00390E71" w:rsidRPr="00217615" w:rsidRDefault="00390E71" w:rsidP="00813E19">
            <w:pPr>
              <w:pStyle w:val="CommentText"/>
              <w:rPr>
                <w:rFonts w:ascii="Times New Roman" w:eastAsiaTheme="majorEastAsia" w:hAnsi="Times New Roman" w:cs="Times New Roman"/>
                <w:b/>
                <w:bCs/>
                <w:sz w:val="22"/>
                <w:szCs w:val="22"/>
                <w:lang w:val="en-US"/>
              </w:rPr>
            </w:pPr>
            <w:r w:rsidRPr="00217615">
              <w:rPr>
                <w:rFonts w:ascii="Times New Roman" w:eastAsiaTheme="majorEastAsia" w:hAnsi="Times New Roman" w:cs="Times New Roman"/>
                <w:b/>
                <w:bCs/>
                <w:sz w:val="22"/>
                <w:szCs w:val="22"/>
                <w:lang w:val="en-US"/>
              </w:rPr>
              <w:lastRenderedPageBreak/>
              <w:t>Of which:</w:t>
            </w:r>
          </w:p>
          <w:p w14:paraId="24CDC110" w14:textId="77777777" w:rsidR="00390E71" w:rsidRPr="00217615" w:rsidRDefault="00390E71" w:rsidP="00813E19">
            <w:pPr>
              <w:pStyle w:val="CommentText"/>
              <w:rPr>
                <w:rFonts w:ascii="Times New Roman" w:eastAsiaTheme="majorEastAsia" w:hAnsi="Times New Roman" w:cs="Times New Roman"/>
                <w:bCs/>
                <w:sz w:val="22"/>
                <w:szCs w:val="22"/>
                <w:lang w:val="en-US"/>
              </w:rPr>
            </w:pPr>
            <w:r w:rsidRPr="00217615">
              <w:rPr>
                <w:rFonts w:ascii="Times New Roman" w:eastAsiaTheme="majorEastAsia" w:hAnsi="Times New Roman" w:cs="Times New Roman"/>
                <w:bCs/>
                <w:sz w:val="22"/>
                <w:szCs w:val="22"/>
                <w:lang w:val="en-US"/>
              </w:rPr>
              <w:t>Closed to public</w:t>
            </w:r>
          </w:p>
        </w:tc>
        <w:tc>
          <w:tcPr>
            <w:tcW w:w="722" w:type="dxa"/>
            <w:tcBorders>
              <w:bottom w:val="nil"/>
            </w:tcBorders>
            <w:vAlign w:val="bottom"/>
          </w:tcPr>
          <w:p w14:paraId="04745324" w14:textId="77777777" w:rsidR="00390E71" w:rsidRPr="00217615" w:rsidRDefault="00390E71" w:rsidP="00813E19">
            <w:pPr>
              <w:pStyle w:val="CommentText"/>
              <w:jc w:val="right"/>
              <w:rPr>
                <w:rFonts w:ascii="Times New Roman" w:eastAsiaTheme="majorEastAsia" w:hAnsi="Times New Roman" w:cs="Times New Roman"/>
                <w:bCs/>
                <w:sz w:val="22"/>
                <w:szCs w:val="22"/>
                <w:lang w:val="en-US"/>
              </w:rPr>
            </w:pPr>
            <w:r w:rsidRPr="00217615">
              <w:rPr>
                <w:rFonts w:ascii="Times New Roman" w:eastAsiaTheme="majorEastAsia" w:hAnsi="Times New Roman" w:cs="Times New Roman"/>
                <w:bCs/>
                <w:sz w:val="22"/>
                <w:szCs w:val="22"/>
                <w:lang w:val="en-US"/>
              </w:rPr>
              <w:t>7</w:t>
            </w:r>
          </w:p>
        </w:tc>
        <w:tc>
          <w:tcPr>
            <w:tcW w:w="733" w:type="dxa"/>
            <w:tcBorders>
              <w:bottom w:val="nil"/>
            </w:tcBorders>
            <w:vAlign w:val="bottom"/>
          </w:tcPr>
          <w:p w14:paraId="7DA634C3" w14:textId="77777777" w:rsidR="00390E71" w:rsidRPr="00217615" w:rsidRDefault="00390E71" w:rsidP="00813E19">
            <w:pPr>
              <w:pStyle w:val="CommentText"/>
              <w:jc w:val="right"/>
              <w:rPr>
                <w:rFonts w:ascii="Times New Roman" w:eastAsiaTheme="majorEastAsia" w:hAnsi="Times New Roman" w:cs="Times New Roman"/>
                <w:bCs/>
                <w:i/>
                <w:sz w:val="22"/>
                <w:szCs w:val="22"/>
                <w:lang w:val="en-US"/>
              </w:rPr>
            </w:pPr>
            <w:r w:rsidRPr="00217615">
              <w:rPr>
                <w:rFonts w:ascii="Times New Roman" w:eastAsiaTheme="majorEastAsia" w:hAnsi="Times New Roman" w:cs="Times New Roman"/>
                <w:bCs/>
                <w:i/>
                <w:sz w:val="22"/>
                <w:szCs w:val="22"/>
                <w:lang w:val="en-US"/>
              </w:rPr>
              <w:t>3,8</w:t>
            </w:r>
          </w:p>
        </w:tc>
        <w:tc>
          <w:tcPr>
            <w:tcW w:w="722" w:type="dxa"/>
            <w:tcBorders>
              <w:bottom w:val="nil"/>
            </w:tcBorders>
            <w:vAlign w:val="bottom"/>
          </w:tcPr>
          <w:p w14:paraId="6C430EE1" w14:textId="77777777" w:rsidR="00390E71" w:rsidRPr="00217615" w:rsidRDefault="00390E71" w:rsidP="00813E19">
            <w:pPr>
              <w:pStyle w:val="CommentText"/>
              <w:jc w:val="right"/>
              <w:rPr>
                <w:rFonts w:ascii="Times New Roman" w:eastAsiaTheme="majorEastAsia" w:hAnsi="Times New Roman" w:cs="Times New Roman"/>
                <w:bCs/>
                <w:sz w:val="22"/>
                <w:szCs w:val="22"/>
                <w:lang w:val="en-US"/>
              </w:rPr>
            </w:pPr>
            <w:r w:rsidRPr="00217615">
              <w:rPr>
                <w:rFonts w:ascii="Times New Roman" w:eastAsiaTheme="majorEastAsia" w:hAnsi="Times New Roman" w:cs="Times New Roman"/>
                <w:bCs/>
                <w:sz w:val="22"/>
                <w:szCs w:val="22"/>
                <w:lang w:val="en-US"/>
              </w:rPr>
              <w:t>12</w:t>
            </w:r>
          </w:p>
        </w:tc>
        <w:tc>
          <w:tcPr>
            <w:tcW w:w="754" w:type="dxa"/>
            <w:tcBorders>
              <w:bottom w:val="nil"/>
            </w:tcBorders>
            <w:vAlign w:val="bottom"/>
          </w:tcPr>
          <w:p w14:paraId="639EB942" w14:textId="77777777" w:rsidR="00390E71" w:rsidRPr="00217615" w:rsidRDefault="00390E71" w:rsidP="00813E19">
            <w:pPr>
              <w:pStyle w:val="CommentText"/>
              <w:jc w:val="right"/>
              <w:rPr>
                <w:rFonts w:ascii="Times New Roman" w:eastAsiaTheme="majorEastAsia" w:hAnsi="Times New Roman" w:cs="Times New Roman"/>
                <w:bCs/>
                <w:i/>
                <w:sz w:val="22"/>
                <w:szCs w:val="22"/>
                <w:lang w:val="en-US"/>
              </w:rPr>
            </w:pPr>
            <w:r w:rsidRPr="00217615">
              <w:rPr>
                <w:rFonts w:ascii="Times New Roman" w:eastAsiaTheme="majorEastAsia" w:hAnsi="Times New Roman" w:cs="Times New Roman"/>
                <w:bCs/>
                <w:i/>
                <w:sz w:val="22"/>
                <w:szCs w:val="22"/>
                <w:lang w:val="en-US"/>
              </w:rPr>
              <w:t>6,7</w:t>
            </w:r>
          </w:p>
        </w:tc>
        <w:tc>
          <w:tcPr>
            <w:tcW w:w="722" w:type="dxa"/>
            <w:tcBorders>
              <w:bottom w:val="nil"/>
            </w:tcBorders>
            <w:vAlign w:val="bottom"/>
          </w:tcPr>
          <w:p w14:paraId="5B360BFD" w14:textId="77777777" w:rsidR="00390E71" w:rsidRPr="00217615" w:rsidRDefault="00390E71" w:rsidP="00813E19">
            <w:pPr>
              <w:pStyle w:val="CommentText"/>
              <w:jc w:val="right"/>
              <w:rPr>
                <w:rFonts w:ascii="Times New Roman" w:eastAsiaTheme="majorEastAsia" w:hAnsi="Times New Roman" w:cs="Times New Roman"/>
                <w:bCs/>
                <w:sz w:val="22"/>
                <w:szCs w:val="22"/>
                <w:lang w:val="en-US"/>
              </w:rPr>
            </w:pPr>
            <w:r w:rsidRPr="00217615">
              <w:rPr>
                <w:rFonts w:ascii="Times New Roman" w:eastAsiaTheme="majorEastAsia" w:hAnsi="Times New Roman" w:cs="Times New Roman"/>
                <w:bCs/>
                <w:sz w:val="22"/>
                <w:szCs w:val="22"/>
                <w:lang w:val="en-US"/>
              </w:rPr>
              <w:t>22</w:t>
            </w:r>
          </w:p>
        </w:tc>
        <w:tc>
          <w:tcPr>
            <w:tcW w:w="733" w:type="dxa"/>
            <w:tcBorders>
              <w:bottom w:val="nil"/>
            </w:tcBorders>
            <w:vAlign w:val="bottom"/>
          </w:tcPr>
          <w:p w14:paraId="4376E225" w14:textId="77777777" w:rsidR="00390E71" w:rsidRPr="00217615" w:rsidRDefault="00390E71" w:rsidP="00813E19">
            <w:pPr>
              <w:pStyle w:val="CommentText"/>
              <w:jc w:val="right"/>
              <w:rPr>
                <w:rFonts w:ascii="Times New Roman" w:eastAsiaTheme="majorEastAsia" w:hAnsi="Times New Roman" w:cs="Times New Roman"/>
                <w:bCs/>
                <w:i/>
                <w:sz w:val="22"/>
                <w:szCs w:val="22"/>
                <w:lang w:val="en-US"/>
              </w:rPr>
            </w:pPr>
            <w:r w:rsidRPr="00217615">
              <w:rPr>
                <w:rFonts w:ascii="Times New Roman" w:eastAsiaTheme="majorEastAsia" w:hAnsi="Times New Roman" w:cs="Times New Roman"/>
                <w:bCs/>
                <w:i/>
                <w:sz w:val="22"/>
                <w:szCs w:val="22"/>
                <w:lang w:val="en-US"/>
              </w:rPr>
              <w:t>10,8</w:t>
            </w:r>
          </w:p>
        </w:tc>
        <w:tc>
          <w:tcPr>
            <w:tcW w:w="723" w:type="dxa"/>
            <w:tcBorders>
              <w:bottom w:val="nil"/>
            </w:tcBorders>
            <w:vAlign w:val="bottom"/>
          </w:tcPr>
          <w:p w14:paraId="42CE7B3C" w14:textId="77777777" w:rsidR="00390E71" w:rsidRPr="00217615" w:rsidRDefault="00390E71" w:rsidP="00813E19">
            <w:pPr>
              <w:pStyle w:val="CommentText"/>
              <w:jc w:val="right"/>
              <w:rPr>
                <w:rFonts w:ascii="Times New Roman" w:eastAsiaTheme="majorEastAsia" w:hAnsi="Times New Roman" w:cs="Times New Roman"/>
                <w:bCs/>
                <w:sz w:val="22"/>
                <w:szCs w:val="22"/>
                <w:lang w:val="en-US"/>
              </w:rPr>
            </w:pPr>
            <w:r w:rsidRPr="00217615">
              <w:rPr>
                <w:rFonts w:ascii="Times New Roman" w:eastAsiaTheme="majorEastAsia" w:hAnsi="Times New Roman" w:cs="Times New Roman"/>
                <w:bCs/>
                <w:sz w:val="22"/>
                <w:szCs w:val="22"/>
                <w:lang w:val="en-US"/>
              </w:rPr>
              <w:t>11</w:t>
            </w:r>
          </w:p>
        </w:tc>
        <w:tc>
          <w:tcPr>
            <w:tcW w:w="734" w:type="dxa"/>
            <w:tcBorders>
              <w:bottom w:val="nil"/>
            </w:tcBorders>
            <w:vAlign w:val="bottom"/>
          </w:tcPr>
          <w:p w14:paraId="065A85D1" w14:textId="77777777" w:rsidR="00390E71" w:rsidRPr="00217615" w:rsidRDefault="00390E71" w:rsidP="00813E19">
            <w:pPr>
              <w:pStyle w:val="CommentText"/>
              <w:jc w:val="right"/>
              <w:rPr>
                <w:rFonts w:ascii="Times New Roman" w:eastAsiaTheme="majorEastAsia" w:hAnsi="Times New Roman" w:cs="Times New Roman"/>
                <w:bCs/>
                <w:i/>
                <w:sz w:val="22"/>
                <w:szCs w:val="22"/>
                <w:lang w:val="en-US"/>
              </w:rPr>
            </w:pPr>
            <w:r w:rsidRPr="00217615">
              <w:rPr>
                <w:rFonts w:ascii="Times New Roman" w:eastAsiaTheme="majorEastAsia" w:hAnsi="Times New Roman" w:cs="Times New Roman"/>
                <w:bCs/>
                <w:i/>
                <w:sz w:val="22"/>
                <w:szCs w:val="22"/>
                <w:lang w:val="en-US"/>
              </w:rPr>
              <w:t>5,3</w:t>
            </w:r>
          </w:p>
        </w:tc>
        <w:tc>
          <w:tcPr>
            <w:tcW w:w="760" w:type="dxa"/>
            <w:tcBorders>
              <w:bottom w:val="nil"/>
            </w:tcBorders>
            <w:vAlign w:val="bottom"/>
          </w:tcPr>
          <w:p w14:paraId="59CC4E4F" w14:textId="77777777" w:rsidR="00390E71" w:rsidRPr="00217615" w:rsidRDefault="00390E71" w:rsidP="00813E19">
            <w:pPr>
              <w:pStyle w:val="CommentText"/>
              <w:jc w:val="right"/>
              <w:rPr>
                <w:rFonts w:ascii="Times New Roman" w:eastAsiaTheme="majorEastAsia" w:hAnsi="Times New Roman" w:cs="Times New Roman"/>
                <w:bCs/>
                <w:sz w:val="22"/>
                <w:szCs w:val="22"/>
                <w:lang w:val="en-US"/>
              </w:rPr>
            </w:pPr>
            <w:r w:rsidRPr="00217615">
              <w:rPr>
                <w:rFonts w:ascii="Times New Roman" w:eastAsiaTheme="majorEastAsia" w:hAnsi="Times New Roman" w:cs="Times New Roman"/>
                <w:bCs/>
                <w:sz w:val="22"/>
                <w:szCs w:val="22"/>
                <w:lang w:val="en-US"/>
              </w:rPr>
              <w:t>19</w:t>
            </w:r>
          </w:p>
        </w:tc>
        <w:tc>
          <w:tcPr>
            <w:tcW w:w="777" w:type="dxa"/>
            <w:tcBorders>
              <w:bottom w:val="nil"/>
            </w:tcBorders>
            <w:vAlign w:val="bottom"/>
          </w:tcPr>
          <w:p w14:paraId="0DE50D0F" w14:textId="77777777" w:rsidR="00390E71" w:rsidRPr="00217615" w:rsidRDefault="00390E71" w:rsidP="00813E19">
            <w:pPr>
              <w:pStyle w:val="CommentText"/>
              <w:jc w:val="right"/>
              <w:rPr>
                <w:rFonts w:ascii="Times New Roman" w:eastAsiaTheme="majorEastAsia" w:hAnsi="Times New Roman" w:cs="Times New Roman"/>
                <w:bCs/>
                <w:i/>
                <w:sz w:val="22"/>
                <w:szCs w:val="22"/>
                <w:lang w:val="en-US"/>
              </w:rPr>
            </w:pPr>
            <w:r w:rsidRPr="00217615">
              <w:rPr>
                <w:rFonts w:ascii="Times New Roman" w:eastAsiaTheme="majorEastAsia" w:hAnsi="Times New Roman" w:cs="Times New Roman"/>
                <w:bCs/>
                <w:i/>
                <w:sz w:val="22"/>
                <w:szCs w:val="22"/>
                <w:lang w:val="en-US"/>
              </w:rPr>
              <w:t>7,5</w:t>
            </w:r>
          </w:p>
        </w:tc>
      </w:tr>
      <w:tr w:rsidR="00390E71" w:rsidRPr="00217615" w14:paraId="1E02EC53" w14:textId="77777777" w:rsidTr="00217615">
        <w:tc>
          <w:tcPr>
            <w:tcW w:w="1985" w:type="dxa"/>
            <w:tcBorders>
              <w:top w:val="nil"/>
            </w:tcBorders>
          </w:tcPr>
          <w:p w14:paraId="615E8DB6" w14:textId="77777777" w:rsidR="00390E71" w:rsidRPr="00217615" w:rsidRDefault="00390E71" w:rsidP="00813E19">
            <w:pPr>
              <w:pStyle w:val="CommentText"/>
              <w:rPr>
                <w:rFonts w:ascii="Times New Roman" w:eastAsiaTheme="majorEastAsia" w:hAnsi="Times New Roman" w:cs="Times New Roman"/>
                <w:bCs/>
                <w:sz w:val="22"/>
                <w:szCs w:val="22"/>
                <w:lang w:val="en-US"/>
              </w:rPr>
            </w:pPr>
            <w:r w:rsidRPr="00217615">
              <w:rPr>
                <w:rFonts w:ascii="Times New Roman" w:eastAsiaTheme="majorEastAsia" w:hAnsi="Times New Roman" w:cs="Times New Roman"/>
                <w:bCs/>
                <w:sz w:val="22"/>
                <w:szCs w:val="22"/>
                <w:lang w:val="en-US"/>
              </w:rPr>
              <w:t>Non visitable</w:t>
            </w:r>
          </w:p>
        </w:tc>
        <w:tc>
          <w:tcPr>
            <w:tcW w:w="722" w:type="dxa"/>
            <w:tcBorders>
              <w:top w:val="nil"/>
            </w:tcBorders>
          </w:tcPr>
          <w:p w14:paraId="036F6DF1" w14:textId="77777777" w:rsidR="00390E71" w:rsidRPr="00217615" w:rsidRDefault="00390E71" w:rsidP="00813E19">
            <w:pPr>
              <w:pStyle w:val="CommentText"/>
              <w:jc w:val="right"/>
              <w:rPr>
                <w:rFonts w:ascii="Times New Roman" w:eastAsiaTheme="majorEastAsia" w:hAnsi="Times New Roman" w:cs="Times New Roman"/>
                <w:bCs/>
                <w:sz w:val="22"/>
                <w:szCs w:val="22"/>
                <w:lang w:val="en-US"/>
              </w:rPr>
            </w:pPr>
            <w:r w:rsidRPr="00217615">
              <w:rPr>
                <w:rFonts w:ascii="Times New Roman" w:eastAsiaTheme="majorEastAsia" w:hAnsi="Times New Roman" w:cs="Times New Roman"/>
                <w:bCs/>
                <w:sz w:val="22"/>
                <w:szCs w:val="22"/>
                <w:lang w:val="en-US"/>
              </w:rPr>
              <w:t>4</w:t>
            </w:r>
          </w:p>
        </w:tc>
        <w:tc>
          <w:tcPr>
            <w:tcW w:w="733" w:type="dxa"/>
            <w:tcBorders>
              <w:top w:val="nil"/>
            </w:tcBorders>
          </w:tcPr>
          <w:p w14:paraId="64D95C76" w14:textId="77777777" w:rsidR="00390E71" w:rsidRPr="00217615" w:rsidRDefault="00390E71" w:rsidP="00813E19">
            <w:pPr>
              <w:pStyle w:val="CommentText"/>
              <w:jc w:val="right"/>
              <w:rPr>
                <w:rFonts w:ascii="Times New Roman" w:eastAsiaTheme="majorEastAsia" w:hAnsi="Times New Roman" w:cs="Times New Roman"/>
                <w:bCs/>
                <w:i/>
                <w:sz w:val="22"/>
                <w:szCs w:val="22"/>
                <w:lang w:val="en-US"/>
              </w:rPr>
            </w:pPr>
            <w:r w:rsidRPr="00217615">
              <w:rPr>
                <w:rFonts w:ascii="Times New Roman" w:eastAsiaTheme="majorEastAsia" w:hAnsi="Times New Roman" w:cs="Times New Roman"/>
                <w:bCs/>
                <w:i/>
                <w:sz w:val="22"/>
                <w:szCs w:val="22"/>
                <w:lang w:val="en-US"/>
              </w:rPr>
              <w:t>2,2</w:t>
            </w:r>
          </w:p>
        </w:tc>
        <w:tc>
          <w:tcPr>
            <w:tcW w:w="722" w:type="dxa"/>
            <w:tcBorders>
              <w:top w:val="nil"/>
            </w:tcBorders>
          </w:tcPr>
          <w:p w14:paraId="01BD17A0" w14:textId="77777777" w:rsidR="00390E71" w:rsidRPr="00217615" w:rsidRDefault="00390E71" w:rsidP="00813E19">
            <w:pPr>
              <w:pStyle w:val="CommentText"/>
              <w:jc w:val="right"/>
              <w:rPr>
                <w:rFonts w:ascii="Times New Roman" w:eastAsiaTheme="majorEastAsia" w:hAnsi="Times New Roman" w:cs="Times New Roman"/>
                <w:bCs/>
                <w:sz w:val="22"/>
                <w:szCs w:val="22"/>
                <w:lang w:val="en-US"/>
              </w:rPr>
            </w:pPr>
            <w:r w:rsidRPr="00217615">
              <w:rPr>
                <w:rFonts w:ascii="Times New Roman" w:eastAsiaTheme="majorEastAsia" w:hAnsi="Times New Roman" w:cs="Times New Roman"/>
                <w:bCs/>
                <w:sz w:val="22"/>
                <w:szCs w:val="22"/>
                <w:lang w:val="en-US"/>
              </w:rPr>
              <w:t>1</w:t>
            </w:r>
          </w:p>
        </w:tc>
        <w:tc>
          <w:tcPr>
            <w:tcW w:w="754" w:type="dxa"/>
            <w:tcBorders>
              <w:top w:val="nil"/>
            </w:tcBorders>
          </w:tcPr>
          <w:p w14:paraId="4E401929" w14:textId="77777777" w:rsidR="00390E71" w:rsidRPr="00217615" w:rsidRDefault="00390E71" w:rsidP="00813E19">
            <w:pPr>
              <w:pStyle w:val="CommentText"/>
              <w:jc w:val="right"/>
              <w:rPr>
                <w:rFonts w:ascii="Times New Roman" w:eastAsiaTheme="majorEastAsia" w:hAnsi="Times New Roman" w:cs="Times New Roman"/>
                <w:bCs/>
                <w:i/>
                <w:sz w:val="22"/>
                <w:szCs w:val="22"/>
                <w:lang w:val="en-US"/>
              </w:rPr>
            </w:pPr>
            <w:r w:rsidRPr="00217615">
              <w:rPr>
                <w:rFonts w:ascii="Times New Roman" w:eastAsiaTheme="majorEastAsia" w:hAnsi="Times New Roman" w:cs="Times New Roman"/>
                <w:bCs/>
                <w:i/>
                <w:sz w:val="22"/>
                <w:szCs w:val="22"/>
                <w:lang w:val="en-US"/>
              </w:rPr>
              <w:t>0,6</w:t>
            </w:r>
          </w:p>
        </w:tc>
        <w:tc>
          <w:tcPr>
            <w:tcW w:w="722" w:type="dxa"/>
            <w:tcBorders>
              <w:top w:val="nil"/>
            </w:tcBorders>
          </w:tcPr>
          <w:p w14:paraId="0C12110B" w14:textId="77777777" w:rsidR="00390E71" w:rsidRPr="00217615" w:rsidRDefault="00390E71" w:rsidP="00813E19">
            <w:pPr>
              <w:pStyle w:val="CommentText"/>
              <w:jc w:val="right"/>
              <w:rPr>
                <w:rFonts w:ascii="Times New Roman" w:eastAsiaTheme="majorEastAsia" w:hAnsi="Times New Roman" w:cs="Times New Roman"/>
                <w:bCs/>
                <w:sz w:val="22"/>
                <w:szCs w:val="22"/>
                <w:lang w:val="en-US"/>
              </w:rPr>
            </w:pPr>
            <w:r w:rsidRPr="00217615">
              <w:rPr>
                <w:rFonts w:ascii="Times New Roman" w:eastAsiaTheme="majorEastAsia" w:hAnsi="Times New Roman" w:cs="Times New Roman"/>
                <w:bCs/>
                <w:sz w:val="22"/>
                <w:szCs w:val="22"/>
                <w:lang w:val="en-US"/>
              </w:rPr>
              <w:t>5</w:t>
            </w:r>
          </w:p>
        </w:tc>
        <w:tc>
          <w:tcPr>
            <w:tcW w:w="733" w:type="dxa"/>
            <w:tcBorders>
              <w:top w:val="nil"/>
            </w:tcBorders>
          </w:tcPr>
          <w:p w14:paraId="2C2480A1" w14:textId="77777777" w:rsidR="00390E71" w:rsidRPr="00217615" w:rsidRDefault="00390E71" w:rsidP="00813E19">
            <w:pPr>
              <w:pStyle w:val="CommentText"/>
              <w:jc w:val="right"/>
              <w:rPr>
                <w:rFonts w:ascii="Times New Roman" w:eastAsiaTheme="majorEastAsia" w:hAnsi="Times New Roman" w:cs="Times New Roman"/>
                <w:bCs/>
                <w:i/>
                <w:sz w:val="22"/>
                <w:szCs w:val="22"/>
                <w:lang w:val="en-US"/>
              </w:rPr>
            </w:pPr>
            <w:r w:rsidRPr="00217615">
              <w:rPr>
                <w:rFonts w:ascii="Times New Roman" w:eastAsiaTheme="majorEastAsia" w:hAnsi="Times New Roman" w:cs="Times New Roman"/>
                <w:bCs/>
                <w:i/>
                <w:sz w:val="22"/>
                <w:szCs w:val="22"/>
                <w:lang w:val="en-US"/>
              </w:rPr>
              <w:t>2,5</w:t>
            </w:r>
          </w:p>
        </w:tc>
        <w:tc>
          <w:tcPr>
            <w:tcW w:w="723" w:type="dxa"/>
            <w:tcBorders>
              <w:top w:val="nil"/>
            </w:tcBorders>
          </w:tcPr>
          <w:p w14:paraId="0F676BB8" w14:textId="77777777" w:rsidR="00390E71" w:rsidRPr="00217615" w:rsidRDefault="00390E71" w:rsidP="00813E19">
            <w:pPr>
              <w:pStyle w:val="CommentText"/>
              <w:jc w:val="right"/>
              <w:rPr>
                <w:rFonts w:ascii="Times New Roman" w:eastAsiaTheme="majorEastAsia" w:hAnsi="Times New Roman" w:cs="Times New Roman"/>
                <w:bCs/>
                <w:sz w:val="22"/>
                <w:szCs w:val="22"/>
                <w:lang w:val="en-US"/>
              </w:rPr>
            </w:pPr>
            <w:r w:rsidRPr="00217615">
              <w:rPr>
                <w:rFonts w:ascii="Times New Roman" w:eastAsiaTheme="majorEastAsia" w:hAnsi="Times New Roman" w:cs="Times New Roman"/>
                <w:bCs/>
                <w:sz w:val="22"/>
                <w:szCs w:val="22"/>
                <w:lang w:val="en-US"/>
              </w:rPr>
              <w:t>4</w:t>
            </w:r>
          </w:p>
        </w:tc>
        <w:tc>
          <w:tcPr>
            <w:tcW w:w="734" w:type="dxa"/>
            <w:tcBorders>
              <w:top w:val="nil"/>
            </w:tcBorders>
          </w:tcPr>
          <w:p w14:paraId="0D9C3369" w14:textId="77777777" w:rsidR="00390E71" w:rsidRPr="00217615" w:rsidRDefault="00390E71" w:rsidP="00813E19">
            <w:pPr>
              <w:pStyle w:val="CommentText"/>
              <w:jc w:val="right"/>
              <w:rPr>
                <w:rFonts w:ascii="Times New Roman" w:eastAsiaTheme="majorEastAsia" w:hAnsi="Times New Roman" w:cs="Times New Roman"/>
                <w:bCs/>
                <w:i/>
                <w:sz w:val="22"/>
                <w:szCs w:val="22"/>
                <w:lang w:val="en-US"/>
              </w:rPr>
            </w:pPr>
            <w:r w:rsidRPr="00217615">
              <w:rPr>
                <w:rFonts w:ascii="Times New Roman" w:eastAsiaTheme="majorEastAsia" w:hAnsi="Times New Roman" w:cs="Times New Roman"/>
                <w:bCs/>
                <w:i/>
                <w:sz w:val="22"/>
                <w:szCs w:val="22"/>
                <w:lang w:val="en-US"/>
              </w:rPr>
              <w:t>1,9</w:t>
            </w:r>
          </w:p>
        </w:tc>
        <w:tc>
          <w:tcPr>
            <w:tcW w:w="760" w:type="dxa"/>
            <w:tcBorders>
              <w:top w:val="nil"/>
            </w:tcBorders>
          </w:tcPr>
          <w:p w14:paraId="3C6CF426" w14:textId="77777777" w:rsidR="00390E71" w:rsidRPr="00217615" w:rsidRDefault="00390E71" w:rsidP="00813E19">
            <w:pPr>
              <w:pStyle w:val="CommentText"/>
              <w:jc w:val="right"/>
              <w:rPr>
                <w:rFonts w:ascii="Times New Roman" w:eastAsiaTheme="majorEastAsia" w:hAnsi="Times New Roman" w:cs="Times New Roman"/>
                <w:bCs/>
                <w:sz w:val="22"/>
                <w:szCs w:val="22"/>
                <w:lang w:val="en-US"/>
              </w:rPr>
            </w:pPr>
            <w:r w:rsidRPr="00217615">
              <w:rPr>
                <w:rFonts w:ascii="Times New Roman" w:eastAsiaTheme="majorEastAsia" w:hAnsi="Times New Roman" w:cs="Times New Roman"/>
                <w:bCs/>
                <w:sz w:val="22"/>
                <w:szCs w:val="22"/>
                <w:lang w:val="en-US"/>
              </w:rPr>
              <w:t>8</w:t>
            </w:r>
          </w:p>
        </w:tc>
        <w:tc>
          <w:tcPr>
            <w:tcW w:w="777" w:type="dxa"/>
            <w:tcBorders>
              <w:top w:val="nil"/>
            </w:tcBorders>
          </w:tcPr>
          <w:p w14:paraId="3ADF27B4" w14:textId="77777777" w:rsidR="00390E71" w:rsidRPr="00217615" w:rsidRDefault="00390E71" w:rsidP="00813E19">
            <w:pPr>
              <w:pStyle w:val="CommentText"/>
              <w:jc w:val="right"/>
              <w:rPr>
                <w:rFonts w:ascii="Times New Roman" w:eastAsiaTheme="majorEastAsia" w:hAnsi="Times New Roman" w:cs="Times New Roman"/>
                <w:bCs/>
                <w:i/>
                <w:sz w:val="22"/>
                <w:szCs w:val="22"/>
                <w:lang w:val="en-US"/>
              </w:rPr>
            </w:pPr>
            <w:r w:rsidRPr="00217615">
              <w:rPr>
                <w:rFonts w:ascii="Times New Roman" w:eastAsiaTheme="majorEastAsia" w:hAnsi="Times New Roman" w:cs="Times New Roman"/>
                <w:bCs/>
                <w:i/>
                <w:sz w:val="22"/>
                <w:szCs w:val="22"/>
                <w:lang w:val="en-US"/>
              </w:rPr>
              <w:t>3,2</w:t>
            </w:r>
          </w:p>
        </w:tc>
      </w:tr>
      <w:tr w:rsidR="00390E71" w:rsidRPr="00217615" w14:paraId="636D3135" w14:textId="77777777" w:rsidTr="00217615">
        <w:tc>
          <w:tcPr>
            <w:tcW w:w="1985" w:type="dxa"/>
          </w:tcPr>
          <w:p w14:paraId="7130EE03" w14:textId="77777777" w:rsidR="00390E71" w:rsidRPr="00217615" w:rsidRDefault="00390E71" w:rsidP="00813E19">
            <w:pPr>
              <w:pStyle w:val="CommentText"/>
              <w:rPr>
                <w:rFonts w:ascii="Times New Roman" w:eastAsiaTheme="majorEastAsia" w:hAnsi="Times New Roman" w:cs="Times New Roman"/>
                <w:b/>
                <w:bCs/>
                <w:i/>
                <w:sz w:val="22"/>
                <w:szCs w:val="22"/>
                <w:lang w:val="en-US"/>
              </w:rPr>
            </w:pPr>
            <w:r w:rsidRPr="00217615">
              <w:rPr>
                <w:rFonts w:ascii="Times New Roman" w:eastAsiaTheme="majorEastAsia" w:hAnsi="Times New Roman" w:cs="Times New Roman"/>
                <w:b/>
                <w:bCs/>
                <w:i/>
                <w:sz w:val="22"/>
                <w:szCs w:val="22"/>
                <w:lang w:val="en-US"/>
              </w:rPr>
              <w:t>Open to visit (base under analysis)</w:t>
            </w:r>
          </w:p>
        </w:tc>
        <w:tc>
          <w:tcPr>
            <w:tcW w:w="722" w:type="dxa"/>
          </w:tcPr>
          <w:p w14:paraId="7D27DC53" w14:textId="77777777" w:rsidR="00390E71" w:rsidRPr="00217615" w:rsidRDefault="00390E71" w:rsidP="00813E19">
            <w:pPr>
              <w:pStyle w:val="CommentText"/>
              <w:jc w:val="right"/>
              <w:rPr>
                <w:rFonts w:ascii="Times New Roman" w:eastAsiaTheme="majorEastAsia" w:hAnsi="Times New Roman" w:cs="Times New Roman"/>
                <w:b/>
                <w:bCs/>
                <w:sz w:val="22"/>
                <w:szCs w:val="22"/>
                <w:lang w:val="en-US"/>
              </w:rPr>
            </w:pPr>
            <w:r w:rsidRPr="00217615">
              <w:rPr>
                <w:rFonts w:ascii="Times New Roman" w:eastAsiaTheme="majorEastAsia" w:hAnsi="Times New Roman" w:cs="Times New Roman"/>
                <w:b/>
                <w:bCs/>
                <w:sz w:val="22"/>
                <w:szCs w:val="22"/>
                <w:lang w:val="en-US"/>
              </w:rPr>
              <w:t>173</w:t>
            </w:r>
          </w:p>
        </w:tc>
        <w:tc>
          <w:tcPr>
            <w:tcW w:w="733" w:type="dxa"/>
          </w:tcPr>
          <w:p w14:paraId="7D3C6A70" w14:textId="77777777" w:rsidR="00390E71" w:rsidRPr="00217615" w:rsidRDefault="00390E71" w:rsidP="00813E19">
            <w:pPr>
              <w:pStyle w:val="CommentText"/>
              <w:jc w:val="right"/>
              <w:rPr>
                <w:rFonts w:ascii="Times New Roman" w:eastAsiaTheme="majorEastAsia" w:hAnsi="Times New Roman" w:cs="Times New Roman"/>
                <w:bCs/>
                <w:i/>
                <w:sz w:val="22"/>
                <w:szCs w:val="22"/>
                <w:lang w:val="en-US"/>
              </w:rPr>
            </w:pPr>
            <w:r w:rsidRPr="00217615">
              <w:rPr>
                <w:rFonts w:ascii="Times New Roman" w:eastAsiaTheme="majorEastAsia" w:hAnsi="Times New Roman" w:cs="Times New Roman"/>
                <w:bCs/>
                <w:i/>
                <w:sz w:val="22"/>
                <w:szCs w:val="22"/>
                <w:lang w:val="en-US"/>
              </w:rPr>
              <w:t>94,0</w:t>
            </w:r>
          </w:p>
        </w:tc>
        <w:tc>
          <w:tcPr>
            <w:tcW w:w="722" w:type="dxa"/>
          </w:tcPr>
          <w:p w14:paraId="11CC487F" w14:textId="77777777" w:rsidR="00390E71" w:rsidRPr="00217615" w:rsidRDefault="00390E71" w:rsidP="00813E19">
            <w:pPr>
              <w:pStyle w:val="CommentText"/>
              <w:jc w:val="right"/>
              <w:rPr>
                <w:rFonts w:ascii="Times New Roman" w:eastAsiaTheme="majorEastAsia" w:hAnsi="Times New Roman" w:cs="Times New Roman"/>
                <w:b/>
                <w:bCs/>
                <w:sz w:val="22"/>
                <w:szCs w:val="22"/>
                <w:lang w:val="en-US"/>
              </w:rPr>
            </w:pPr>
            <w:r w:rsidRPr="00217615">
              <w:rPr>
                <w:rFonts w:ascii="Times New Roman" w:eastAsiaTheme="majorEastAsia" w:hAnsi="Times New Roman" w:cs="Times New Roman"/>
                <w:b/>
                <w:bCs/>
                <w:sz w:val="22"/>
                <w:szCs w:val="22"/>
                <w:lang w:val="en-US"/>
              </w:rPr>
              <w:t>166</w:t>
            </w:r>
          </w:p>
        </w:tc>
        <w:tc>
          <w:tcPr>
            <w:tcW w:w="754" w:type="dxa"/>
          </w:tcPr>
          <w:p w14:paraId="6505E2B6" w14:textId="77777777" w:rsidR="00390E71" w:rsidRPr="00217615" w:rsidRDefault="00390E71" w:rsidP="00813E19">
            <w:pPr>
              <w:pStyle w:val="CommentText"/>
              <w:jc w:val="right"/>
              <w:rPr>
                <w:rFonts w:ascii="Times New Roman" w:eastAsiaTheme="majorEastAsia" w:hAnsi="Times New Roman" w:cs="Times New Roman"/>
                <w:bCs/>
                <w:i/>
                <w:sz w:val="22"/>
                <w:szCs w:val="22"/>
                <w:lang w:val="en-US"/>
              </w:rPr>
            </w:pPr>
            <w:r w:rsidRPr="00217615">
              <w:rPr>
                <w:rFonts w:ascii="Times New Roman" w:eastAsiaTheme="majorEastAsia" w:hAnsi="Times New Roman" w:cs="Times New Roman"/>
                <w:bCs/>
                <w:i/>
                <w:sz w:val="22"/>
                <w:szCs w:val="22"/>
                <w:lang w:val="en-US"/>
              </w:rPr>
              <w:t>92,7</w:t>
            </w:r>
          </w:p>
        </w:tc>
        <w:tc>
          <w:tcPr>
            <w:tcW w:w="722" w:type="dxa"/>
          </w:tcPr>
          <w:p w14:paraId="2DD75143" w14:textId="77777777" w:rsidR="00390E71" w:rsidRPr="00217615" w:rsidRDefault="00390E71" w:rsidP="00813E19">
            <w:pPr>
              <w:pStyle w:val="CommentText"/>
              <w:jc w:val="right"/>
              <w:rPr>
                <w:rFonts w:ascii="Times New Roman" w:eastAsiaTheme="majorEastAsia" w:hAnsi="Times New Roman" w:cs="Times New Roman"/>
                <w:b/>
                <w:bCs/>
                <w:sz w:val="22"/>
                <w:szCs w:val="22"/>
                <w:lang w:val="en-US"/>
              </w:rPr>
            </w:pPr>
            <w:r w:rsidRPr="00217615">
              <w:rPr>
                <w:rFonts w:ascii="Times New Roman" w:eastAsiaTheme="majorEastAsia" w:hAnsi="Times New Roman" w:cs="Times New Roman"/>
                <w:b/>
                <w:bCs/>
                <w:sz w:val="22"/>
                <w:szCs w:val="22"/>
                <w:lang w:val="en-US"/>
              </w:rPr>
              <w:t>176</w:t>
            </w:r>
          </w:p>
        </w:tc>
        <w:tc>
          <w:tcPr>
            <w:tcW w:w="733" w:type="dxa"/>
          </w:tcPr>
          <w:p w14:paraId="38553575" w14:textId="77777777" w:rsidR="00390E71" w:rsidRPr="00217615" w:rsidRDefault="00390E71" w:rsidP="00813E19">
            <w:pPr>
              <w:pStyle w:val="CommentText"/>
              <w:jc w:val="right"/>
              <w:rPr>
                <w:rFonts w:ascii="Times New Roman" w:eastAsiaTheme="majorEastAsia" w:hAnsi="Times New Roman" w:cs="Times New Roman"/>
                <w:bCs/>
                <w:i/>
                <w:sz w:val="22"/>
                <w:szCs w:val="22"/>
                <w:lang w:val="en-US"/>
              </w:rPr>
            </w:pPr>
            <w:r w:rsidRPr="00217615">
              <w:rPr>
                <w:rFonts w:ascii="Times New Roman" w:eastAsiaTheme="majorEastAsia" w:hAnsi="Times New Roman" w:cs="Times New Roman"/>
                <w:bCs/>
                <w:i/>
                <w:sz w:val="22"/>
                <w:szCs w:val="22"/>
                <w:lang w:val="en-US"/>
              </w:rPr>
              <w:t>86,7</w:t>
            </w:r>
          </w:p>
        </w:tc>
        <w:tc>
          <w:tcPr>
            <w:tcW w:w="723" w:type="dxa"/>
          </w:tcPr>
          <w:p w14:paraId="37F0933C" w14:textId="77777777" w:rsidR="00390E71" w:rsidRPr="00217615" w:rsidRDefault="00390E71" w:rsidP="00813E19">
            <w:pPr>
              <w:pStyle w:val="CommentText"/>
              <w:jc w:val="right"/>
              <w:rPr>
                <w:rFonts w:ascii="Times New Roman" w:eastAsiaTheme="majorEastAsia" w:hAnsi="Times New Roman" w:cs="Times New Roman"/>
                <w:b/>
                <w:bCs/>
                <w:sz w:val="22"/>
                <w:szCs w:val="22"/>
                <w:lang w:val="en-US"/>
              </w:rPr>
            </w:pPr>
            <w:r w:rsidRPr="00217615">
              <w:rPr>
                <w:rFonts w:ascii="Times New Roman" w:eastAsiaTheme="majorEastAsia" w:hAnsi="Times New Roman" w:cs="Times New Roman"/>
                <w:b/>
                <w:bCs/>
                <w:sz w:val="22"/>
                <w:szCs w:val="22"/>
                <w:lang w:val="en-US"/>
              </w:rPr>
              <w:t>194</w:t>
            </w:r>
          </w:p>
        </w:tc>
        <w:tc>
          <w:tcPr>
            <w:tcW w:w="734" w:type="dxa"/>
          </w:tcPr>
          <w:p w14:paraId="234D3473" w14:textId="77777777" w:rsidR="00390E71" w:rsidRPr="00217615" w:rsidRDefault="00390E71" w:rsidP="00813E19">
            <w:pPr>
              <w:pStyle w:val="CommentText"/>
              <w:jc w:val="right"/>
              <w:rPr>
                <w:rFonts w:ascii="Times New Roman" w:eastAsiaTheme="majorEastAsia" w:hAnsi="Times New Roman" w:cs="Times New Roman"/>
                <w:bCs/>
                <w:i/>
                <w:sz w:val="22"/>
                <w:szCs w:val="22"/>
                <w:lang w:val="en-US"/>
              </w:rPr>
            </w:pPr>
            <w:r w:rsidRPr="00217615">
              <w:rPr>
                <w:rFonts w:ascii="Times New Roman" w:eastAsiaTheme="majorEastAsia" w:hAnsi="Times New Roman" w:cs="Times New Roman"/>
                <w:bCs/>
                <w:i/>
                <w:sz w:val="22"/>
                <w:szCs w:val="22"/>
                <w:lang w:val="en-US"/>
              </w:rPr>
              <w:t>92,8</w:t>
            </w:r>
          </w:p>
        </w:tc>
        <w:tc>
          <w:tcPr>
            <w:tcW w:w="760" w:type="dxa"/>
          </w:tcPr>
          <w:p w14:paraId="63E1D679" w14:textId="77777777" w:rsidR="00390E71" w:rsidRPr="00217615" w:rsidRDefault="00390E71" w:rsidP="00813E19">
            <w:pPr>
              <w:pStyle w:val="CommentText"/>
              <w:jc w:val="right"/>
              <w:rPr>
                <w:rFonts w:ascii="Times New Roman" w:eastAsiaTheme="majorEastAsia" w:hAnsi="Times New Roman" w:cs="Times New Roman"/>
                <w:b/>
                <w:bCs/>
                <w:sz w:val="22"/>
                <w:szCs w:val="22"/>
                <w:lang w:val="en-US"/>
              </w:rPr>
            </w:pPr>
            <w:r w:rsidRPr="00217615">
              <w:rPr>
                <w:rFonts w:ascii="Times New Roman" w:eastAsiaTheme="majorEastAsia" w:hAnsi="Times New Roman" w:cs="Times New Roman"/>
                <w:b/>
                <w:bCs/>
                <w:sz w:val="22"/>
                <w:szCs w:val="22"/>
                <w:lang w:val="en-US"/>
              </w:rPr>
              <w:t>225</w:t>
            </w:r>
          </w:p>
        </w:tc>
        <w:tc>
          <w:tcPr>
            <w:tcW w:w="777" w:type="dxa"/>
          </w:tcPr>
          <w:p w14:paraId="69EDD0B9" w14:textId="77777777" w:rsidR="00390E71" w:rsidRPr="00217615" w:rsidRDefault="00390E71" w:rsidP="00813E19">
            <w:pPr>
              <w:pStyle w:val="CommentText"/>
              <w:jc w:val="right"/>
              <w:rPr>
                <w:rFonts w:ascii="Times New Roman" w:eastAsiaTheme="majorEastAsia" w:hAnsi="Times New Roman" w:cs="Times New Roman"/>
                <w:bCs/>
                <w:i/>
                <w:sz w:val="22"/>
                <w:szCs w:val="22"/>
                <w:lang w:val="en-US"/>
              </w:rPr>
            </w:pPr>
            <w:r w:rsidRPr="00217615">
              <w:rPr>
                <w:rFonts w:ascii="Times New Roman" w:eastAsiaTheme="majorEastAsia" w:hAnsi="Times New Roman" w:cs="Times New Roman"/>
                <w:bCs/>
                <w:i/>
                <w:sz w:val="22"/>
                <w:szCs w:val="22"/>
                <w:lang w:val="en-US"/>
              </w:rPr>
              <w:t>89,3</w:t>
            </w:r>
          </w:p>
        </w:tc>
      </w:tr>
    </w:tbl>
    <w:p w14:paraId="36F95692" w14:textId="3A8AF448" w:rsidR="00AC2D0D" w:rsidRPr="006157A9" w:rsidRDefault="006157A9" w:rsidP="00C63C30">
      <w:pPr>
        <w:spacing w:after="0" w:line="240" w:lineRule="auto"/>
        <w:jc w:val="both"/>
        <w:rPr>
          <w:rFonts w:ascii="Times New Roman" w:hAnsi="Times New Roman" w:cs="Times New Roman"/>
          <w:sz w:val="20"/>
          <w:szCs w:val="20"/>
        </w:rPr>
      </w:pPr>
      <w:r w:rsidRPr="006157A9">
        <w:rPr>
          <w:rFonts w:ascii="Times New Roman" w:hAnsi="Times New Roman" w:cs="Times New Roman"/>
          <w:sz w:val="20"/>
          <w:szCs w:val="20"/>
        </w:rPr>
        <w:t>Source: OPAC, IMNP</w:t>
      </w:r>
      <w:r>
        <w:rPr>
          <w:rFonts w:ascii="Times New Roman" w:hAnsi="Times New Roman" w:cs="Times New Roman"/>
          <w:sz w:val="20"/>
          <w:szCs w:val="20"/>
        </w:rPr>
        <w:t>.</w:t>
      </w:r>
    </w:p>
    <w:p w14:paraId="0493F978" w14:textId="77777777" w:rsidR="00AC2D0D" w:rsidRDefault="00AC2D0D" w:rsidP="00C63C30">
      <w:pPr>
        <w:spacing w:after="0" w:line="240" w:lineRule="auto"/>
        <w:jc w:val="both"/>
        <w:rPr>
          <w:rFonts w:ascii="Times New Roman" w:hAnsi="Times New Roman" w:cs="Times New Roman"/>
        </w:rPr>
      </w:pPr>
    </w:p>
    <w:p w14:paraId="071FAB33" w14:textId="7653144D" w:rsidR="00BE1848" w:rsidRDefault="00CD0FB6" w:rsidP="008956BF">
      <w:pPr>
        <w:spacing w:after="0" w:line="240" w:lineRule="auto"/>
        <w:jc w:val="both"/>
        <w:rPr>
          <w:rFonts w:ascii="Times New Roman" w:hAnsi="Times New Roman" w:cs="Times New Roman"/>
        </w:rPr>
      </w:pPr>
      <w:r w:rsidRPr="004D559E">
        <w:rPr>
          <w:rFonts w:ascii="Times New Roman" w:hAnsi="Times New Roman" w:cs="Times New Roman"/>
        </w:rPr>
        <w:t xml:space="preserve">The results show that a high percentage of NM promote the collection of information, specifically on the free admission modality (72.5%) and on their visitors (number and nationality – foreigners, 63.8%). The same is true for the collection of information on school groups (with 61.1% of NM collecting this information) and for guided visits (72.5%). Considering the relative values (percentage in relation to the total number of NMs with visitor control), </w:t>
      </w:r>
      <w:r w:rsidR="00072AB4" w:rsidRPr="004D559E">
        <w:rPr>
          <w:rFonts w:ascii="Times New Roman" w:hAnsi="Times New Roman" w:cs="Times New Roman"/>
        </w:rPr>
        <w:t>the</w:t>
      </w:r>
      <w:r w:rsidRPr="004D559E">
        <w:rPr>
          <w:rFonts w:ascii="Times New Roman" w:hAnsi="Times New Roman" w:cs="Times New Roman"/>
        </w:rPr>
        <w:t xml:space="preserve"> values obtained in 2022 correspond to a decrease in the NM that collect these data. However, this trend is not the same across all indicators (Table </w:t>
      </w:r>
      <w:r w:rsidR="002F3F10">
        <w:rPr>
          <w:rFonts w:ascii="Times New Roman" w:hAnsi="Times New Roman" w:cs="Times New Roman"/>
        </w:rPr>
        <w:t>2</w:t>
      </w:r>
      <w:r w:rsidRPr="004D559E">
        <w:rPr>
          <w:rFonts w:ascii="Times New Roman" w:hAnsi="Times New Roman" w:cs="Times New Roman"/>
        </w:rPr>
        <w:t>).</w:t>
      </w:r>
      <w:r w:rsidR="00BE1848" w:rsidRPr="00BE1848">
        <w:t xml:space="preserve"> </w:t>
      </w:r>
      <w:r w:rsidR="00BE1848" w:rsidRPr="00BE1848">
        <w:rPr>
          <w:rFonts w:ascii="Times New Roman" w:hAnsi="Times New Roman" w:cs="Times New Roman"/>
        </w:rPr>
        <w:t xml:space="preserve">The reduction in the collection of data on the mode of entry and on the nationality of visitors is contrary to what was seen until the year 2020. The increase in the number of NMs surveyed in the edition that took place during 2023 did not correspond to more registrations in relation to the free entry modality or foreign visitors. Rather, there are more Monuments open for enjoyment, but with more simplified visitor control regimes – less free and without giving relevance to nationality. The contexts resulting from the pandemic crisis – such as the adaptation of visiting systems, or even the structure of staff working in NM – may have had a more significant impact on information collection practices. </w:t>
      </w:r>
    </w:p>
    <w:p w14:paraId="57AC364A" w14:textId="77777777" w:rsidR="00EA4190" w:rsidRPr="00BE1848" w:rsidRDefault="00EA4190" w:rsidP="008956BF">
      <w:pPr>
        <w:spacing w:after="0" w:line="240" w:lineRule="auto"/>
        <w:jc w:val="both"/>
        <w:rPr>
          <w:rFonts w:ascii="Times New Roman" w:hAnsi="Times New Roman" w:cs="Times New Roman"/>
        </w:rPr>
      </w:pPr>
    </w:p>
    <w:p w14:paraId="5CD572B9" w14:textId="354D9E4C" w:rsidR="006E72A0" w:rsidRDefault="009300F4" w:rsidP="00FC049A">
      <w:pPr>
        <w:spacing w:after="0" w:line="240" w:lineRule="auto"/>
        <w:jc w:val="both"/>
        <w:rPr>
          <w:rFonts w:ascii="Times New Roman" w:hAnsi="Times New Roman" w:cs="Times New Roman"/>
        </w:rPr>
      </w:pPr>
      <w:r w:rsidRPr="00066303">
        <w:rPr>
          <w:rFonts w:ascii="Times New Roman" w:hAnsi="Times New Roman" w:cs="Times New Roman"/>
        </w:rPr>
        <w:t>Table 2</w:t>
      </w:r>
      <w:r w:rsidRPr="00066303">
        <w:rPr>
          <w:rFonts w:ascii="Times New Roman" w:hAnsi="Times New Roman" w:cs="Times New Roman"/>
        </w:rPr>
        <w:t xml:space="preserve"> – </w:t>
      </w:r>
      <w:r w:rsidRPr="00066303">
        <w:rPr>
          <w:rFonts w:ascii="Times New Roman" w:hAnsi="Times New Roman" w:cs="Times New Roman"/>
        </w:rPr>
        <w:t xml:space="preserve">Observed NM with answers on </w:t>
      </w:r>
      <w:r w:rsidR="00066303" w:rsidRPr="00066303">
        <w:rPr>
          <w:rFonts w:ascii="Times New Roman" w:hAnsi="Times New Roman" w:cs="Times New Roman"/>
        </w:rPr>
        <w:t xml:space="preserve">visitors </w:t>
      </w:r>
      <w:r w:rsidRPr="00066303">
        <w:rPr>
          <w:rFonts w:ascii="Times New Roman" w:hAnsi="Times New Roman" w:cs="Times New Roman"/>
        </w:rPr>
        <w:t>(2018-2022) (n</w:t>
      </w:r>
      <w:r w:rsidR="00066303">
        <w:rPr>
          <w:rFonts w:ascii="Times New Roman" w:hAnsi="Times New Roman" w:cs="Times New Roman"/>
        </w:rPr>
        <w:t xml:space="preserve">, </w:t>
      </w:r>
      <w:r w:rsidRPr="00066303">
        <w:rPr>
          <w:rFonts w:ascii="Times New Roman" w:hAnsi="Times New Roman" w:cs="Times New Roman"/>
        </w:rPr>
        <w:t>%)</w:t>
      </w:r>
    </w:p>
    <w:p w14:paraId="58EDC93A" w14:textId="77777777" w:rsidR="00066303" w:rsidRPr="00066303" w:rsidRDefault="00066303" w:rsidP="00FC049A">
      <w:pPr>
        <w:spacing w:after="0" w:line="240" w:lineRule="auto"/>
        <w:jc w:val="both"/>
        <w:rPr>
          <w:rFonts w:ascii="Times New Roman" w:hAnsi="Times New Roman" w:cs="Times New Roman"/>
        </w:rPr>
      </w:pPr>
    </w:p>
    <w:tbl>
      <w:tblPr>
        <w:tblW w:w="35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0"/>
        <w:gridCol w:w="820"/>
        <w:gridCol w:w="819"/>
        <w:gridCol w:w="819"/>
        <w:gridCol w:w="819"/>
        <w:gridCol w:w="819"/>
      </w:tblGrid>
      <w:tr w:rsidR="00EA4190" w:rsidRPr="00EA4190" w14:paraId="2BFE9C61" w14:textId="77777777" w:rsidTr="00072AB4">
        <w:trPr>
          <w:trHeight w:val="340"/>
        </w:trPr>
        <w:tc>
          <w:tcPr>
            <w:tcW w:w="1914" w:type="pct"/>
            <w:tcBorders>
              <w:left w:val="nil"/>
            </w:tcBorders>
            <w:shd w:val="clear" w:color="auto" w:fill="595959" w:themeFill="text1" w:themeFillTint="A6"/>
            <w:vAlign w:val="center"/>
            <w:hideMark/>
          </w:tcPr>
          <w:p w14:paraId="04EC3765" w14:textId="0025958A" w:rsidR="00EA4190" w:rsidRPr="00EA4190" w:rsidRDefault="00EA4190" w:rsidP="00813E19">
            <w:pPr>
              <w:spacing w:after="0" w:line="240" w:lineRule="auto"/>
              <w:jc w:val="center"/>
              <w:rPr>
                <w:rFonts w:ascii="Times New Roman" w:hAnsi="Times New Roman" w:cs="Times New Roman"/>
                <w:b/>
                <w:color w:val="FFFFFF" w:themeColor="background1"/>
                <w:sz w:val="20"/>
                <w:szCs w:val="20"/>
              </w:rPr>
            </w:pPr>
            <w:r w:rsidRPr="00EA4190">
              <w:rPr>
                <w:rFonts w:ascii="Times New Roman" w:hAnsi="Times New Roman" w:cs="Times New Roman"/>
                <w:b/>
                <w:color w:val="FFFFFF" w:themeColor="background1"/>
                <w:sz w:val="20"/>
                <w:szCs w:val="20"/>
              </w:rPr>
              <w:t>Indicators</w:t>
            </w:r>
          </w:p>
        </w:tc>
        <w:tc>
          <w:tcPr>
            <w:tcW w:w="618" w:type="pct"/>
            <w:shd w:val="clear" w:color="auto" w:fill="595959" w:themeFill="text1" w:themeFillTint="A6"/>
            <w:vAlign w:val="center"/>
          </w:tcPr>
          <w:p w14:paraId="7515D0B7" w14:textId="77777777" w:rsidR="00EA4190" w:rsidRPr="00EA4190" w:rsidRDefault="00EA4190" w:rsidP="00813E19">
            <w:pPr>
              <w:spacing w:after="0" w:line="240" w:lineRule="auto"/>
              <w:jc w:val="center"/>
              <w:rPr>
                <w:rFonts w:ascii="Times New Roman" w:hAnsi="Times New Roman" w:cs="Times New Roman"/>
                <w:b/>
                <w:color w:val="FFFFFF" w:themeColor="background1"/>
                <w:sz w:val="20"/>
                <w:szCs w:val="20"/>
              </w:rPr>
            </w:pPr>
            <w:r w:rsidRPr="00EA4190">
              <w:rPr>
                <w:rFonts w:ascii="Times New Roman" w:hAnsi="Times New Roman" w:cs="Times New Roman"/>
                <w:b/>
                <w:color w:val="FFFFFF" w:themeColor="background1"/>
                <w:sz w:val="20"/>
                <w:szCs w:val="20"/>
              </w:rPr>
              <w:t>2018</w:t>
            </w:r>
          </w:p>
        </w:tc>
        <w:tc>
          <w:tcPr>
            <w:tcW w:w="617" w:type="pct"/>
            <w:shd w:val="clear" w:color="auto" w:fill="595959" w:themeFill="text1" w:themeFillTint="A6"/>
            <w:vAlign w:val="center"/>
          </w:tcPr>
          <w:p w14:paraId="60F4F111" w14:textId="77777777" w:rsidR="00EA4190" w:rsidRPr="00EA4190" w:rsidRDefault="00EA4190" w:rsidP="00813E19">
            <w:pPr>
              <w:spacing w:after="0" w:line="240" w:lineRule="auto"/>
              <w:jc w:val="center"/>
              <w:rPr>
                <w:rFonts w:ascii="Times New Roman" w:hAnsi="Times New Roman" w:cs="Times New Roman"/>
                <w:b/>
                <w:color w:val="FFFFFF" w:themeColor="background1"/>
                <w:sz w:val="20"/>
                <w:szCs w:val="20"/>
              </w:rPr>
            </w:pPr>
            <w:r w:rsidRPr="00EA4190">
              <w:rPr>
                <w:rFonts w:ascii="Times New Roman" w:hAnsi="Times New Roman" w:cs="Times New Roman"/>
                <w:b/>
                <w:color w:val="FFFFFF" w:themeColor="background1"/>
                <w:sz w:val="20"/>
                <w:szCs w:val="20"/>
              </w:rPr>
              <w:t>2019</w:t>
            </w:r>
          </w:p>
        </w:tc>
        <w:tc>
          <w:tcPr>
            <w:tcW w:w="617" w:type="pct"/>
            <w:shd w:val="clear" w:color="auto" w:fill="595959" w:themeFill="text1" w:themeFillTint="A6"/>
            <w:vAlign w:val="center"/>
          </w:tcPr>
          <w:p w14:paraId="2FD10B4B" w14:textId="77777777" w:rsidR="00EA4190" w:rsidRPr="00EA4190" w:rsidRDefault="00EA4190" w:rsidP="00813E19">
            <w:pPr>
              <w:spacing w:after="0" w:line="240" w:lineRule="auto"/>
              <w:jc w:val="center"/>
              <w:rPr>
                <w:rFonts w:ascii="Times New Roman" w:hAnsi="Times New Roman" w:cs="Times New Roman"/>
                <w:b/>
                <w:color w:val="FFFFFF" w:themeColor="background1"/>
                <w:sz w:val="20"/>
                <w:szCs w:val="20"/>
              </w:rPr>
            </w:pPr>
            <w:r w:rsidRPr="00EA4190">
              <w:rPr>
                <w:rFonts w:ascii="Times New Roman" w:hAnsi="Times New Roman" w:cs="Times New Roman"/>
                <w:b/>
                <w:color w:val="FFFFFF" w:themeColor="background1"/>
                <w:sz w:val="20"/>
                <w:szCs w:val="20"/>
              </w:rPr>
              <w:t>2020</w:t>
            </w:r>
          </w:p>
        </w:tc>
        <w:tc>
          <w:tcPr>
            <w:tcW w:w="617" w:type="pct"/>
            <w:tcBorders>
              <w:right w:val="nil"/>
            </w:tcBorders>
            <w:shd w:val="clear" w:color="auto" w:fill="595959" w:themeFill="text1" w:themeFillTint="A6"/>
            <w:vAlign w:val="center"/>
          </w:tcPr>
          <w:p w14:paraId="01AB083A" w14:textId="77777777" w:rsidR="00EA4190" w:rsidRPr="00EA4190" w:rsidRDefault="00EA4190" w:rsidP="00813E19">
            <w:pPr>
              <w:spacing w:after="0" w:line="240" w:lineRule="auto"/>
              <w:jc w:val="center"/>
              <w:rPr>
                <w:rFonts w:ascii="Times New Roman" w:hAnsi="Times New Roman" w:cs="Times New Roman"/>
                <w:b/>
                <w:color w:val="FFFFFF" w:themeColor="background1"/>
                <w:sz w:val="20"/>
                <w:szCs w:val="20"/>
              </w:rPr>
            </w:pPr>
            <w:r w:rsidRPr="00EA4190">
              <w:rPr>
                <w:rFonts w:ascii="Times New Roman" w:hAnsi="Times New Roman" w:cs="Times New Roman"/>
                <w:b/>
                <w:color w:val="FFFFFF" w:themeColor="background1"/>
                <w:sz w:val="20"/>
                <w:szCs w:val="20"/>
              </w:rPr>
              <w:t>2021</w:t>
            </w:r>
          </w:p>
        </w:tc>
        <w:tc>
          <w:tcPr>
            <w:tcW w:w="617" w:type="pct"/>
            <w:tcBorders>
              <w:right w:val="nil"/>
            </w:tcBorders>
            <w:shd w:val="clear" w:color="auto" w:fill="595959" w:themeFill="text1" w:themeFillTint="A6"/>
            <w:vAlign w:val="center"/>
          </w:tcPr>
          <w:p w14:paraId="19675398" w14:textId="77777777" w:rsidR="00EA4190" w:rsidRPr="00EA4190" w:rsidRDefault="00EA4190" w:rsidP="00813E19">
            <w:pPr>
              <w:spacing w:after="0" w:line="240" w:lineRule="auto"/>
              <w:jc w:val="center"/>
              <w:rPr>
                <w:rFonts w:ascii="Times New Roman" w:hAnsi="Times New Roman" w:cs="Times New Roman"/>
                <w:b/>
                <w:color w:val="FFFFFF" w:themeColor="background1"/>
                <w:sz w:val="20"/>
                <w:szCs w:val="20"/>
              </w:rPr>
            </w:pPr>
            <w:r w:rsidRPr="00EA4190">
              <w:rPr>
                <w:rFonts w:ascii="Times New Roman" w:hAnsi="Times New Roman" w:cs="Times New Roman"/>
                <w:b/>
                <w:color w:val="FFFFFF" w:themeColor="background1"/>
                <w:sz w:val="20"/>
                <w:szCs w:val="20"/>
              </w:rPr>
              <w:t>2022</w:t>
            </w:r>
          </w:p>
        </w:tc>
      </w:tr>
      <w:tr w:rsidR="00EA4190" w:rsidRPr="00EA4190" w14:paraId="2D42D8E3" w14:textId="77777777" w:rsidTr="00D1602F">
        <w:trPr>
          <w:trHeight w:val="340"/>
        </w:trPr>
        <w:tc>
          <w:tcPr>
            <w:tcW w:w="1914" w:type="pct"/>
            <w:tcBorders>
              <w:left w:val="nil"/>
            </w:tcBorders>
            <w:shd w:val="clear" w:color="auto" w:fill="auto"/>
            <w:vAlign w:val="center"/>
          </w:tcPr>
          <w:p w14:paraId="61C1FB85" w14:textId="77777777" w:rsidR="00EA4190" w:rsidRPr="00EA4190" w:rsidRDefault="00EA4190" w:rsidP="00813E19">
            <w:pPr>
              <w:spacing w:after="0" w:line="240" w:lineRule="auto"/>
              <w:jc w:val="right"/>
              <w:rPr>
                <w:rFonts w:ascii="Times New Roman" w:hAnsi="Times New Roman" w:cs="Times New Roman"/>
                <w:b/>
                <w:sz w:val="20"/>
                <w:szCs w:val="20"/>
              </w:rPr>
            </w:pPr>
            <w:r w:rsidRPr="00EA4190">
              <w:rPr>
                <w:rFonts w:ascii="Times New Roman" w:hAnsi="Times New Roman" w:cs="Times New Roman"/>
                <w:b/>
                <w:sz w:val="20"/>
                <w:szCs w:val="20"/>
              </w:rPr>
              <w:t>Base</w:t>
            </w:r>
          </w:p>
        </w:tc>
        <w:tc>
          <w:tcPr>
            <w:tcW w:w="618" w:type="pct"/>
            <w:vAlign w:val="center"/>
          </w:tcPr>
          <w:p w14:paraId="69DB05B0" w14:textId="77777777" w:rsidR="00EA4190" w:rsidRPr="00EA4190" w:rsidRDefault="00EA4190" w:rsidP="00813E19">
            <w:pPr>
              <w:spacing w:after="0" w:line="240" w:lineRule="auto"/>
              <w:jc w:val="right"/>
              <w:rPr>
                <w:rFonts w:ascii="Times New Roman" w:hAnsi="Times New Roman" w:cs="Times New Roman"/>
                <w:b/>
                <w:bCs/>
                <w:sz w:val="20"/>
                <w:szCs w:val="20"/>
              </w:rPr>
            </w:pPr>
            <w:r w:rsidRPr="00EA4190">
              <w:rPr>
                <w:rFonts w:ascii="Times New Roman" w:hAnsi="Times New Roman" w:cs="Times New Roman"/>
                <w:b/>
                <w:bCs/>
                <w:sz w:val="20"/>
                <w:szCs w:val="20"/>
              </w:rPr>
              <w:t>123</w:t>
            </w:r>
          </w:p>
        </w:tc>
        <w:tc>
          <w:tcPr>
            <w:tcW w:w="617" w:type="pct"/>
            <w:vAlign w:val="center"/>
          </w:tcPr>
          <w:p w14:paraId="1276321E" w14:textId="77777777" w:rsidR="00EA4190" w:rsidRPr="00EA4190" w:rsidRDefault="00EA4190" w:rsidP="00813E19">
            <w:pPr>
              <w:spacing w:after="0" w:line="240" w:lineRule="auto"/>
              <w:jc w:val="right"/>
              <w:rPr>
                <w:rFonts w:ascii="Times New Roman" w:hAnsi="Times New Roman" w:cs="Times New Roman"/>
                <w:b/>
                <w:bCs/>
                <w:sz w:val="20"/>
                <w:szCs w:val="20"/>
              </w:rPr>
            </w:pPr>
            <w:r w:rsidRPr="00EA4190">
              <w:rPr>
                <w:rFonts w:ascii="Times New Roman" w:hAnsi="Times New Roman" w:cs="Times New Roman"/>
                <w:b/>
                <w:bCs/>
                <w:sz w:val="20"/>
                <w:szCs w:val="20"/>
              </w:rPr>
              <w:t>119</w:t>
            </w:r>
          </w:p>
        </w:tc>
        <w:tc>
          <w:tcPr>
            <w:tcW w:w="617" w:type="pct"/>
            <w:vAlign w:val="center"/>
          </w:tcPr>
          <w:p w14:paraId="5B6D6211" w14:textId="77777777" w:rsidR="00EA4190" w:rsidRPr="00EA4190" w:rsidRDefault="00EA4190" w:rsidP="00813E19">
            <w:pPr>
              <w:spacing w:after="0" w:line="240" w:lineRule="auto"/>
              <w:jc w:val="right"/>
              <w:rPr>
                <w:rFonts w:ascii="Times New Roman" w:hAnsi="Times New Roman" w:cs="Times New Roman"/>
                <w:b/>
                <w:bCs/>
                <w:sz w:val="20"/>
                <w:szCs w:val="20"/>
              </w:rPr>
            </w:pPr>
            <w:r w:rsidRPr="00EA4190">
              <w:rPr>
                <w:rFonts w:ascii="Times New Roman" w:hAnsi="Times New Roman" w:cs="Times New Roman"/>
                <w:b/>
                <w:bCs/>
                <w:sz w:val="20"/>
                <w:szCs w:val="20"/>
              </w:rPr>
              <w:t>121</w:t>
            </w:r>
          </w:p>
        </w:tc>
        <w:tc>
          <w:tcPr>
            <w:tcW w:w="617" w:type="pct"/>
            <w:tcBorders>
              <w:right w:val="nil"/>
            </w:tcBorders>
            <w:shd w:val="clear" w:color="auto" w:fill="auto"/>
            <w:vAlign w:val="center"/>
          </w:tcPr>
          <w:p w14:paraId="0E5816B9" w14:textId="77777777" w:rsidR="00EA4190" w:rsidRPr="00EA4190" w:rsidRDefault="00EA4190" w:rsidP="00813E19">
            <w:pPr>
              <w:spacing w:after="0" w:line="240" w:lineRule="auto"/>
              <w:jc w:val="right"/>
              <w:rPr>
                <w:rFonts w:ascii="Times New Roman" w:hAnsi="Times New Roman" w:cs="Times New Roman"/>
                <w:b/>
                <w:bCs/>
                <w:sz w:val="20"/>
                <w:szCs w:val="20"/>
              </w:rPr>
            </w:pPr>
            <w:r w:rsidRPr="00EA4190">
              <w:rPr>
                <w:rFonts w:ascii="Times New Roman" w:hAnsi="Times New Roman" w:cs="Times New Roman"/>
                <w:b/>
                <w:bCs/>
                <w:sz w:val="20"/>
                <w:szCs w:val="20"/>
              </w:rPr>
              <w:t>130</w:t>
            </w:r>
          </w:p>
        </w:tc>
        <w:tc>
          <w:tcPr>
            <w:tcW w:w="617" w:type="pct"/>
            <w:tcBorders>
              <w:right w:val="nil"/>
            </w:tcBorders>
            <w:vAlign w:val="center"/>
          </w:tcPr>
          <w:p w14:paraId="646C63F0" w14:textId="77777777" w:rsidR="00EA4190" w:rsidRPr="00EA4190" w:rsidRDefault="00EA4190" w:rsidP="00813E19">
            <w:pPr>
              <w:spacing w:after="0" w:line="240" w:lineRule="auto"/>
              <w:jc w:val="right"/>
              <w:rPr>
                <w:rFonts w:ascii="Times New Roman" w:hAnsi="Times New Roman" w:cs="Times New Roman"/>
                <w:b/>
                <w:bCs/>
                <w:sz w:val="20"/>
                <w:szCs w:val="20"/>
              </w:rPr>
            </w:pPr>
            <w:r w:rsidRPr="00EA4190">
              <w:rPr>
                <w:rFonts w:ascii="Times New Roman" w:hAnsi="Times New Roman" w:cs="Times New Roman"/>
                <w:b/>
                <w:bCs/>
                <w:sz w:val="20"/>
                <w:szCs w:val="20"/>
              </w:rPr>
              <w:t>149</w:t>
            </w:r>
          </w:p>
        </w:tc>
      </w:tr>
      <w:tr w:rsidR="00EA4190" w:rsidRPr="00EA4190" w14:paraId="46430361" w14:textId="77777777" w:rsidTr="00D1602F">
        <w:trPr>
          <w:trHeight w:val="340"/>
        </w:trPr>
        <w:tc>
          <w:tcPr>
            <w:tcW w:w="1914" w:type="pct"/>
            <w:tcBorders>
              <w:left w:val="nil"/>
            </w:tcBorders>
            <w:shd w:val="clear" w:color="auto" w:fill="auto"/>
            <w:vAlign w:val="center"/>
          </w:tcPr>
          <w:p w14:paraId="7887491D" w14:textId="561CC974" w:rsidR="00EA4190" w:rsidRPr="00EA4190" w:rsidRDefault="00EA4190" w:rsidP="00813E19">
            <w:pPr>
              <w:spacing w:after="0" w:line="240" w:lineRule="auto"/>
              <w:rPr>
                <w:rFonts w:ascii="Times New Roman" w:hAnsi="Times New Roman" w:cs="Times New Roman"/>
                <w:sz w:val="20"/>
                <w:szCs w:val="20"/>
              </w:rPr>
            </w:pPr>
            <w:r w:rsidRPr="00EA4190">
              <w:rPr>
                <w:rFonts w:ascii="Times New Roman" w:hAnsi="Times New Roman" w:cs="Times New Roman"/>
                <w:sz w:val="20"/>
                <w:szCs w:val="20"/>
              </w:rPr>
              <w:t>Entrance mode</w:t>
            </w:r>
          </w:p>
        </w:tc>
        <w:tc>
          <w:tcPr>
            <w:tcW w:w="618" w:type="pct"/>
            <w:vAlign w:val="center"/>
          </w:tcPr>
          <w:p w14:paraId="790CD6C4" w14:textId="77777777" w:rsidR="00EA4190" w:rsidRPr="00EA4190" w:rsidRDefault="00EA4190" w:rsidP="00813E19">
            <w:pPr>
              <w:spacing w:after="0" w:line="240" w:lineRule="auto"/>
              <w:jc w:val="right"/>
              <w:rPr>
                <w:rFonts w:ascii="Times New Roman" w:hAnsi="Times New Roman" w:cs="Times New Roman"/>
                <w:i/>
                <w:iCs/>
                <w:sz w:val="20"/>
                <w:szCs w:val="20"/>
              </w:rPr>
            </w:pPr>
            <w:r w:rsidRPr="00EA4190">
              <w:rPr>
                <w:rFonts w:ascii="Times New Roman" w:hAnsi="Times New Roman" w:cs="Times New Roman"/>
                <w:i/>
                <w:iCs/>
                <w:sz w:val="20"/>
                <w:szCs w:val="20"/>
              </w:rPr>
              <w:t>74,0</w:t>
            </w:r>
          </w:p>
        </w:tc>
        <w:tc>
          <w:tcPr>
            <w:tcW w:w="617" w:type="pct"/>
            <w:vAlign w:val="center"/>
          </w:tcPr>
          <w:p w14:paraId="7C981981" w14:textId="77777777" w:rsidR="00EA4190" w:rsidRPr="00EA4190" w:rsidRDefault="00EA4190" w:rsidP="00813E19">
            <w:pPr>
              <w:spacing w:after="0" w:line="240" w:lineRule="auto"/>
              <w:jc w:val="right"/>
              <w:rPr>
                <w:rFonts w:ascii="Times New Roman" w:hAnsi="Times New Roman" w:cs="Times New Roman"/>
                <w:i/>
                <w:iCs/>
                <w:sz w:val="20"/>
                <w:szCs w:val="20"/>
              </w:rPr>
            </w:pPr>
            <w:r w:rsidRPr="00EA4190">
              <w:rPr>
                <w:rFonts w:ascii="Times New Roman" w:hAnsi="Times New Roman" w:cs="Times New Roman"/>
                <w:i/>
                <w:iCs/>
                <w:sz w:val="20"/>
                <w:szCs w:val="20"/>
              </w:rPr>
              <w:t>92,4</w:t>
            </w:r>
          </w:p>
        </w:tc>
        <w:tc>
          <w:tcPr>
            <w:tcW w:w="617" w:type="pct"/>
            <w:vAlign w:val="center"/>
          </w:tcPr>
          <w:p w14:paraId="72177740" w14:textId="77777777" w:rsidR="00EA4190" w:rsidRPr="00EA4190" w:rsidRDefault="00EA4190" w:rsidP="00813E19">
            <w:pPr>
              <w:spacing w:after="0" w:line="240" w:lineRule="auto"/>
              <w:jc w:val="right"/>
              <w:rPr>
                <w:rFonts w:ascii="Times New Roman" w:hAnsi="Times New Roman" w:cs="Times New Roman"/>
                <w:i/>
                <w:sz w:val="20"/>
                <w:szCs w:val="20"/>
              </w:rPr>
            </w:pPr>
            <w:r w:rsidRPr="00EA4190">
              <w:rPr>
                <w:rFonts w:ascii="Times New Roman" w:hAnsi="Times New Roman" w:cs="Times New Roman"/>
                <w:i/>
                <w:sz w:val="20"/>
                <w:szCs w:val="20"/>
              </w:rPr>
              <w:t>94,2</w:t>
            </w:r>
          </w:p>
        </w:tc>
        <w:tc>
          <w:tcPr>
            <w:tcW w:w="617" w:type="pct"/>
            <w:tcBorders>
              <w:right w:val="nil"/>
            </w:tcBorders>
            <w:shd w:val="clear" w:color="auto" w:fill="auto"/>
            <w:vAlign w:val="center"/>
          </w:tcPr>
          <w:p w14:paraId="0946C92A" w14:textId="77777777" w:rsidR="00EA4190" w:rsidRPr="00EA4190" w:rsidRDefault="00EA4190" w:rsidP="00813E19">
            <w:pPr>
              <w:spacing w:after="0" w:line="240" w:lineRule="auto"/>
              <w:jc w:val="right"/>
              <w:rPr>
                <w:rFonts w:ascii="Times New Roman" w:hAnsi="Times New Roman" w:cs="Times New Roman"/>
                <w:i/>
                <w:iCs/>
                <w:sz w:val="20"/>
                <w:szCs w:val="20"/>
              </w:rPr>
            </w:pPr>
            <w:r w:rsidRPr="00EA4190">
              <w:rPr>
                <w:rFonts w:ascii="Times New Roman" w:hAnsi="Times New Roman" w:cs="Times New Roman"/>
                <w:i/>
                <w:iCs/>
                <w:sz w:val="20"/>
                <w:szCs w:val="20"/>
              </w:rPr>
              <w:t>73,1</w:t>
            </w:r>
          </w:p>
        </w:tc>
        <w:tc>
          <w:tcPr>
            <w:tcW w:w="617" w:type="pct"/>
            <w:tcBorders>
              <w:right w:val="nil"/>
            </w:tcBorders>
            <w:vAlign w:val="center"/>
          </w:tcPr>
          <w:p w14:paraId="7BA00DEC" w14:textId="77777777" w:rsidR="00EA4190" w:rsidRPr="00EA4190" w:rsidRDefault="00EA4190" w:rsidP="00813E19">
            <w:pPr>
              <w:spacing w:after="0" w:line="240" w:lineRule="auto"/>
              <w:jc w:val="right"/>
              <w:rPr>
                <w:rFonts w:ascii="Times New Roman" w:hAnsi="Times New Roman" w:cs="Times New Roman"/>
                <w:i/>
                <w:iCs/>
                <w:sz w:val="20"/>
                <w:szCs w:val="20"/>
              </w:rPr>
            </w:pPr>
            <w:r w:rsidRPr="00EA4190">
              <w:rPr>
                <w:rFonts w:ascii="Times New Roman" w:hAnsi="Times New Roman" w:cs="Times New Roman"/>
                <w:i/>
                <w:iCs/>
                <w:sz w:val="20"/>
                <w:szCs w:val="20"/>
              </w:rPr>
              <w:t>72,5</w:t>
            </w:r>
          </w:p>
        </w:tc>
      </w:tr>
      <w:tr w:rsidR="00EA4190" w:rsidRPr="00EA4190" w14:paraId="28B352A0" w14:textId="77777777" w:rsidTr="00D1602F">
        <w:trPr>
          <w:trHeight w:val="340"/>
        </w:trPr>
        <w:tc>
          <w:tcPr>
            <w:tcW w:w="1914" w:type="pct"/>
            <w:tcBorders>
              <w:left w:val="nil"/>
            </w:tcBorders>
            <w:shd w:val="clear" w:color="auto" w:fill="auto"/>
            <w:vAlign w:val="center"/>
            <w:hideMark/>
          </w:tcPr>
          <w:p w14:paraId="13E588C4" w14:textId="751DF341" w:rsidR="00EA4190" w:rsidRPr="00EA4190" w:rsidRDefault="00EA4190" w:rsidP="00813E19">
            <w:pPr>
              <w:spacing w:after="0" w:line="240" w:lineRule="auto"/>
              <w:rPr>
                <w:rFonts w:ascii="Times New Roman" w:hAnsi="Times New Roman" w:cs="Times New Roman"/>
                <w:bCs/>
                <w:sz w:val="20"/>
                <w:szCs w:val="20"/>
              </w:rPr>
            </w:pPr>
            <w:r w:rsidRPr="00EA4190">
              <w:rPr>
                <w:rFonts w:ascii="Times New Roman" w:hAnsi="Times New Roman" w:cs="Times New Roman"/>
                <w:sz w:val="20"/>
                <w:szCs w:val="20"/>
              </w:rPr>
              <w:t>Nationality</w:t>
            </w:r>
          </w:p>
        </w:tc>
        <w:tc>
          <w:tcPr>
            <w:tcW w:w="618" w:type="pct"/>
            <w:vAlign w:val="center"/>
          </w:tcPr>
          <w:p w14:paraId="67BC8996" w14:textId="77777777" w:rsidR="00EA4190" w:rsidRPr="00EA4190" w:rsidRDefault="00EA4190" w:rsidP="00813E19">
            <w:pPr>
              <w:spacing w:after="0" w:line="240" w:lineRule="auto"/>
              <w:jc w:val="right"/>
              <w:rPr>
                <w:rFonts w:ascii="Times New Roman" w:eastAsiaTheme="minorEastAsia" w:hAnsi="Times New Roman" w:cs="Times New Roman"/>
                <w:i/>
                <w:iCs/>
                <w:sz w:val="20"/>
                <w:szCs w:val="20"/>
              </w:rPr>
            </w:pPr>
            <w:r w:rsidRPr="00EA4190">
              <w:rPr>
                <w:rFonts w:ascii="Times New Roman" w:eastAsiaTheme="minorEastAsia" w:hAnsi="Times New Roman" w:cs="Times New Roman"/>
                <w:i/>
                <w:iCs/>
                <w:sz w:val="20"/>
                <w:szCs w:val="20"/>
              </w:rPr>
              <w:t>61,0</w:t>
            </w:r>
          </w:p>
        </w:tc>
        <w:tc>
          <w:tcPr>
            <w:tcW w:w="617" w:type="pct"/>
            <w:vAlign w:val="center"/>
          </w:tcPr>
          <w:p w14:paraId="46F73D26" w14:textId="77777777" w:rsidR="00EA4190" w:rsidRPr="00EA4190" w:rsidRDefault="00EA4190" w:rsidP="00813E19">
            <w:pPr>
              <w:spacing w:after="0" w:line="240" w:lineRule="auto"/>
              <w:jc w:val="right"/>
              <w:rPr>
                <w:rFonts w:ascii="Times New Roman" w:hAnsi="Times New Roman" w:cs="Times New Roman"/>
                <w:i/>
                <w:iCs/>
                <w:sz w:val="20"/>
                <w:szCs w:val="20"/>
              </w:rPr>
            </w:pPr>
            <w:r w:rsidRPr="00EA4190">
              <w:rPr>
                <w:rFonts w:ascii="Times New Roman" w:hAnsi="Times New Roman" w:cs="Times New Roman"/>
                <w:i/>
                <w:iCs/>
                <w:sz w:val="20"/>
                <w:szCs w:val="20"/>
              </w:rPr>
              <w:t>78,2</w:t>
            </w:r>
          </w:p>
        </w:tc>
        <w:tc>
          <w:tcPr>
            <w:tcW w:w="617" w:type="pct"/>
            <w:vAlign w:val="center"/>
          </w:tcPr>
          <w:p w14:paraId="15F1A5BC" w14:textId="77777777" w:rsidR="00EA4190" w:rsidRPr="00EA4190" w:rsidRDefault="00EA4190" w:rsidP="00813E19">
            <w:pPr>
              <w:spacing w:after="0" w:line="240" w:lineRule="auto"/>
              <w:jc w:val="right"/>
              <w:rPr>
                <w:rFonts w:ascii="Times New Roman" w:eastAsia="Times New Roman" w:hAnsi="Times New Roman" w:cs="Times New Roman"/>
                <w:i/>
                <w:color w:val="000000"/>
                <w:sz w:val="20"/>
                <w:szCs w:val="20"/>
                <w:lang w:eastAsia="pt-PT"/>
              </w:rPr>
            </w:pPr>
            <w:r w:rsidRPr="00EA4190">
              <w:rPr>
                <w:rFonts w:ascii="Times New Roman" w:eastAsia="Times New Roman" w:hAnsi="Times New Roman" w:cs="Times New Roman"/>
                <w:i/>
                <w:color w:val="000000"/>
                <w:sz w:val="20"/>
                <w:szCs w:val="20"/>
                <w:lang w:eastAsia="pt-PT"/>
              </w:rPr>
              <w:t>81,8</w:t>
            </w:r>
          </w:p>
        </w:tc>
        <w:tc>
          <w:tcPr>
            <w:tcW w:w="617" w:type="pct"/>
            <w:tcBorders>
              <w:right w:val="nil"/>
            </w:tcBorders>
            <w:shd w:val="clear" w:color="auto" w:fill="auto"/>
            <w:vAlign w:val="center"/>
          </w:tcPr>
          <w:p w14:paraId="726FE959" w14:textId="77777777" w:rsidR="00EA4190" w:rsidRPr="00EA4190" w:rsidRDefault="00EA4190" w:rsidP="00813E19">
            <w:pPr>
              <w:spacing w:after="0" w:line="240" w:lineRule="auto"/>
              <w:jc w:val="right"/>
              <w:rPr>
                <w:rFonts w:ascii="Times New Roman" w:eastAsia="Times New Roman" w:hAnsi="Times New Roman" w:cs="Times New Roman"/>
                <w:i/>
                <w:iCs/>
                <w:color w:val="000000"/>
                <w:sz w:val="20"/>
                <w:szCs w:val="20"/>
                <w:lang w:eastAsia="pt-PT"/>
              </w:rPr>
            </w:pPr>
            <w:r w:rsidRPr="00EA4190">
              <w:rPr>
                <w:rFonts w:ascii="Times New Roman" w:eastAsia="Times New Roman" w:hAnsi="Times New Roman" w:cs="Times New Roman"/>
                <w:i/>
                <w:iCs/>
                <w:color w:val="000000"/>
                <w:sz w:val="20"/>
                <w:szCs w:val="20"/>
                <w:lang w:eastAsia="pt-PT"/>
              </w:rPr>
              <w:t>76,2</w:t>
            </w:r>
          </w:p>
        </w:tc>
        <w:tc>
          <w:tcPr>
            <w:tcW w:w="617" w:type="pct"/>
            <w:tcBorders>
              <w:right w:val="nil"/>
            </w:tcBorders>
            <w:vAlign w:val="center"/>
          </w:tcPr>
          <w:p w14:paraId="4A57E32F" w14:textId="77777777" w:rsidR="00EA4190" w:rsidRPr="00EA4190" w:rsidRDefault="00EA4190" w:rsidP="00813E19">
            <w:pPr>
              <w:spacing w:after="0" w:line="240" w:lineRule="auto"/>
              <w:jc w:val="right"/>
              <w:rPr>
                <w:rFonts w:ascii="Times New Roman" w:eastAsia="Times New Roman" w:hAnsi="Times New Roman" w:cs="Times New Roman"/>
                <w:i/>
                <w:iCs/>
                <w:color w:val="000000"/>
                <w:sz w:val="20"/>
                <w:szCs w:val="20"/>
                <w:lang w:eastAsia="pt-PT"/>
              </w:rPr>
            </w:pPr>
            <w:r w:rsidRPr="00EA4190">
              <w:rPr>
                <w:rFonts w:ascii="Times New Roman" w:eastAsia="Times New Roman" w:hAnsi="Times New Roman" w:cs="Times New Roman"/>
                <w:i/>
                <w:iCs/>
                <w:color w:val="000000"/>
                <w:sz w:val="20"/>
                <w:szCs w:val="20"/>
                <w:lang w:eastAsia="pt-PT"/>
              </w:rPr>
              <w:t>63,8</w:t>
            </w:r>
          </w:p>
        </w:tc>
      </w:tr>
      <w:tr w:rsidR="00EA4190" w:rsidRPr="00EA4190" w14:paraId="153CA997" w14:textId="77777777" w:rsidTr="00D1602F">
        <w:trPr>
          <w:trHeight w:val="340"/>
        </w:trPr>
        <w:tc>
          <w:tcPr>
            <w:tcW w:w="1914" w:type="pct"/>
            <w:tcBorders>
              <w:left w:val="nil"/>
            </w:tcBorders>
            <w:shd w:val="clear" w:color="auto" w:fill="auto"/>
            <w:vAlign w:val="center"/>
          </w:tcPr>
          <w:p w14:paraId="027581B8" w14:textId="69310014" w:rsidR="00EA4190" w:rsidRPr="00EA4190" w:rsidRDefault="00EA4190" w:rsidP="00813E19">
            <w:pPr>
              <w:spacing w:after="0" w:line="240" w:lineRule="auto"/>
              <w:rPr>
                <w:rFonts w:ascii="Times New Roman" w:hAnsi="Times New Roman" w:cs="Times New Roman"/>
                <w:bCs/>
                <w:sz w:val="20"/>
                <w:szCs w:val="20"/>
              </w:rPr>
            </w:pPr>
            <w:r w:rsidRPr="00EA4190">
              <w:rPr>
                <w:rFonts w:ascii="Times New Roman" w:hAnsi="Times New Roman" w:cs="Times New Roman"/>
                <w:sz w:val="20"/>
                <w:szCs w:val="20"/>
              </w:rPr>
              <w:t>School groups</w:t>
            </w:r>
            <w:r w:rsidRPr="00EA4190">
              <w:rPr>
                <w:rFonts w:ascii="Times New Roman" w:hAnsi="Times New Roman" w:cs="Times New Roman"/>
                <w:bCs/>
                <w:sz w:val="20"/>
                <w:szCs w:val="20"/>
              </w:rPr>
              <w:t xml:space="preserve"> </w:t>
            </w:r>
          </w:p>
        </w:tc>
        <w:tc>
          <w:tcPr>
            <w:tcW w:w="618" w:type="pct"/>
            <w:vAlign w:val="center"/>
          </w:tcPr>
          <w:p w14:paraId="70FE2F28" w14:textId="77777777" w:rsidR="00EA4190" w:rsidRPr="00EA4190" w:rsidRDefault="00EA4190" w:rsidP="00813E19">
            <w:pPr>
              <w:spacing w:after="0" w:line="240" w:lineRule="auto"/>
              <w:jc w:val="right"/>
              <w:rPr>
                <w:rFonts w:ascii="Times New Roman" w:eastAsiaTheme="minorEastAsia" w:hAnsi="Times New Roman" w:cs="Times New Roman"/>
                <w:i/>
                <w:iCs/>
                <w:sz w:val="20"/>
                <w:szCs w:val="20"/>
              </w:rPr>
            </w:pPr>
            <w:r w:rsidRPr="00EA4190">
              <w:rPr>
                <w:rFonts w:ascii="Times New Roman" w:eastAsiaTheme="minorEastAsia" w:hAnsi="Times New Roman" w:cs="Times New Roman"/>
                <w:i/>
                <w:iCs/>
                <w:sz w:val="20"/>
                <w:szCs w:val="20"/>
              </w:rPr>
              <w:t>43,9</w:t>
            </w:r>
          </w:p>
        </w:tc>
        <w:tc>
          <w:tcPr>
            <w:tcW w:w="617" w:type="pct"/>
            <w:vAlign w:val="center"/>
          </w:tcPr>
          <w:p w14:paraId="6263FE07" w14:textId="77777777" w:rsidR="00EA4190" w:rsidRPr="00EA4190" w:rsidRDefault="00EA4190" w:rsidP="00813E19">
            <w:pPr>
              <w:spacing w:after="0" w:line="240" w:lineRule="auto"/>
              <w:jc w:val="right"/>
              <w:rPr>
                <w:rFonts w:ascii="Times New Roman" w:hAnsi="Times New Roman" w:cs="Times New Roman"/>
                <w:i/>
                <w:iCs/>
                <w:sz w:val="20"/>
                <w:szCs w:val="20"/>
              </w:rPr>
            </w:pPr>
            <w:r w:rsidRPr="00EA4190">
              <w:rPr>
                <w:rFonts w:ascii="Times New Roman" w:hAnsi="Times New Roman" w:cs="Times New Roman"/>
                <w:i/>
                <w:iCs/>
                <w:sz w:val="20"/>
                <w:szCs w:val="20"/>
              </w:rPr>
              <w:t>56,3</w:t>
            </w:r>
          </w:p>
        </w:tc>
        <w:tc>
          <w:tcPr>
            <w:tcW w:w="617" w:type="pct"/>
            <w:vAlign w:val="center"/>
          </w:tcPr>
          <w:p w14:paraId="31154410" w14:textId="77777777" w:rsidR="00EA4190" w:rsidRPr="00EA4190" w:rsidRDefault="00EA4190" w:rsidP="00813E19">
            <w:pPr>
              <w:spacing w:after="0" w:line="240" w:lineRule="auto"/>
              <w:jc w:val="right"/>
              <w:rPr>
                <w:rFonts w:ascii="Times New Roman" w:eastAsiaTheme="minorEastAsia" w:hAnsi="Times New Roman" w:cs="Times New Roman"/>
                <w:i/>
                <w:sz w:val="20"/>
                <w:szCs w:val="20"/>
              </w:rPr>
            </w:pPr>
            <w:r w:rsidRPr="00EA4190">
              <w:rPr>
                <w:rFonts w:ascii="Times New Roman" w:eastAsiaTheme="minorEastAsia" w:hAnsi="Times New Roman" w:cs="Times New Roman"/>
                <w:i/>
                <w:sz w:val="20"/>
                <w:szCs w:val="20"/>
              </w:rPr>
              <w:t>47,9</w:t>
            </w:r>
          </w:p>
        </w:tc>
        <w:tc>
          <w:tcPr>
            <w:tcW w:w="617" w:type="pct"/>
            <w:tcBorders>
              <w:right w:val="nil"/>
            </w:tcBorders>
            <w:shd w:val="clear" w:color="auto" w:fill="auto"/>
            <w:vAlign w:val="center"/>
          </w:tcPr>
          <w:p w14:paraId="17E0D469" w14:textId="77777777" w:rsidR="00EA4190" w:rsidRPr="00EA4190" w:rsidRDefault="00EA4190" w:rsidP="00813E19">
            <w:pPr>
              <w:spacing w:after="0" w:line="240" w:lineRule="auto"/>
              <w:jc w:val="right"/>
              <w:rPr>
                <w:rFonts w:ascii="Times New Roman" w:eastAsiaTheme="minorEastAsia" w:hAnsi="Times New Roman" w:cs="Times New Roman"/>
                <w:i/>
                <w:iCs/>
                <w:sz w:val="20"/>
                <w:szCs w:val="20"/>
              </w:rPr>
            </w:pPr>
            <w:r w:rsidRPr="00EA4190">
              <w:rPr>
                <w:rFonts w:ascii="Times New Roman" w:eastAsiaTheme="minorEastAsia" w:hAnsi="Times New Roman" w:cs="Times New Roman"/>
                <w:i/>
                <w:iCs/>
                <w:sz w:val="20"/>
                <w:szCs w:val="20"/>
              </w:rPr>
              <w:t>51,5</w:t>
            </w:r>
          </w:p>
        </w:tc>
        <w:tc>
          <w:tcPr>
            <w:tcW w:w="617" w:type="pct"/>
            <w:tcBorders>
              <w:right w:val="nil"/>
            </w:tcBorders>
            <w:vAlign w:val="center"/>
          </w:tcPr>
          <w:p w14:paraId="27417545" w14:textId="77777777" w:rsidR="00EA4190" w:rsidRPr="00EA4190" w:rsidRDefault="00EA4190" w:rsidP="00813E19">
            <w:pPr>
              <w:spacing w:after="0" w:line="240" w:lineRule="auto"/>
              <w:jc w:val="right"/>
              <w:rPr>
                <w:rFonts w:ascii="Times New Roman" w:eastAsiaTheme="minorEastAsia" w:hAnsi="Times New Roman" w:cs="Times New Roman"/>
                <w:i/>
                <w:iCs/>
                <w:sz w:val="20"/>
                <w:szCs w:val="20"/>
              </w:rPr>
            </w:pPr>
            <w:r w:rsidRPr="00EA4190">
              <w:rPr>
                <w:rFonts w:ascii="Times New Roman" w:eastAsiaTheme="minorEastAsia" w:hAnsi="Times New Roman" w:cs="Times New Roman"/>
                <w:i/>
                <w:iCs/>
                <w:sz w:val="20"/>
                <w:szCs w:val="20"/>
              </w:rPr>
              <w:t>61,1</w:t>
            </w:r>
          </w:p>
        </w:tc>
      </w:tr>
      <w:tr w:rsidR="00EA4190" w:rsidRPr="00EA4190" w14:paraId="630842D7" w14:textId="77777777" w:rsidTr="00D1602F">
        <w:trPr>
          <w:trHeight w:val="340"/>
        </w:trPr>
        <w:tc>
          <w:tcPr>
            <w:tcW w:w="1914" w:type="pct"/>
            <w:tcBorders>
              <w:left w:val="nil"/>
            </w:tcBorders>
            <w:shd w:val="clear" w:color="auto" w:fill="auto"/>
            <w:vAlign w:val="center"/>
          </w:tcPr>
          <w:p w14:paraId="5342D14F" w14:textId="0099111C" w:rsidR="00EA4190" w:rsidRPr="00EA4190" w:rsidRDefault="00EA4190" w:rsidP="00813E19">
            <w:pPr>
              <w:spacing w:after="0" w:line="240" w:lineRule="auto"/>
              <w:rPr>
                <w:rFonts w:ascii="Times New Roman" w:hAnsi="Times New Roman" w:cs="Times New Roman"/>
                <w:sz w:val="20"/>
                <w:szCs w:val="20"/>
              </w:rPr>
            </w:pPr>
            <w:r w:rsidRPr="00EA4190">
              <w:rPr>
                <w:rFonts w:ascii="Times New Roman" w:hAnsi="Times New Roman" w:cs="Times New Roman"/>
                <w:sz w:val="20"/>
                <w:szCs w:val="20"/>
              </w:rPr>
              <w:t>Guided visits</w:t>
            </w:r>
          </w:p>
        </w:tc>
        <w:tc>
          <w:tcPr>
            <w:tcW w:w="618" w:type="pct"/>
            <w:vAlign w:val="center"/>
          </w:tcPr>
          <w:p w14:paraId="45649A2B" w14:textId="77777777" w:rsidR="00EA4190" w:rsidRPr="00EA4190" w:rsidRDefault="00EA4190" w:rsidP="00813E19">
            <w:pPr>
              <w:spacing w:after="0" w:line="240" w:lineRule="auto"/>
              <w:jc w:val="right"/>
              <w:rPr>
                <w:rFonts w:ascii="Times New Roman" w:eastAsiaTheme="minorEastAsia" w:hAnsi="Times New Roman" w:cs="Times New Roman"/>
                <w:i/>
                <w:iCs/>
                <w:sz w:val="20"/>
                <w:szCs w:val="20"/>
              </w:rPr>
            </w:pPr>
            <w:r w:rsidRPr="00EA4190">
              <w:rPr>
                <w:rFonts w:ascii="Times New Roman" w:eastAsiaTheme="minorEastAsia" w:hAnsi="Times New Roman" w:cs="Times New Roman"/>
                <w:i/>
                <w:iCs/>
                <w:sz w:val="20"/>
                <w:szCs w:val="20"/>
              </w:rPr>
              <w:t>-</w:t>
            </w:r>
          </w:p>
        </w:tc>
        <w:tc>
          <w:tcPr>
            <w:tcW w:w="617" w:type="pct"/>
          </w:tcPr>
          <w:p w14:paraId="3F7B2EA0" w14:textId="77777777" w:rsidR="00EA4190" w:rsidRPr="00EA4190" w:rsidRDefault="00EA4190" w:rsidP="00813E19">
            <w:pPr>
              <w:spacing w:after="0" w:line="240" w:lineRule="auto"/>
              <w:jc w:val="right"/>
              <w:rPr>
                <w:rFonts w:ascii="Times New Roman" w:eastAsiaTheme="minorEastAsia" w:hAnsi="Times New Roman" w:cs="Times New Roman"/>
                <w:i/>
                <w:iCs/>
                <w:sz w:val="20"/>
                <w:szCs w:val="20"/>
              </w:rPr>
            </w:pPr>
            <w:r w:rsidRPr="00EA4190">
              <w:rPr>
                <w:rFonts w:ascii="Times New Roman" w:eastAsiaTheme="minorEastAsia" w:hAnsi="Times New Roman" w:cs="Times New Roman"/>
                <w:i/>
                <w:iCs/>
                <w:sz w:val="20"/>
                <w:szCs w:val="20"/>
              </w:rPr>
              <w:t>_</w:t>
            </w:r>
          </w:p>
        </w:tc>
        <w:tc>
          <w:tcPr>
            <w:tcW w:w="617" w:type="pct"/>
          </w:tcPr>
          <w:p w14:paraId="73B88325" w14:textId="77777777" w:rsidR="00EA4190" w:rsidRPr="00EA4190" w:rsidRDefault="00EA4190" w:rsidP="00813E19">
            <w:pPr>
              <w:spacing w:after="0" w:line="240" w:lineRule="auto"/>
              <w:jc w:val="right"/>
              <w:rPr>
                <w:rFonts w:ascii="Times New Roman" w:eastAsiaTheme="minorEastAsia" w:hAnsi="Times New Roman" w:cs="Times New Roman"/>
                <w:i/>
                <w:iCs/>
                <w:sz w:val="20"/>
                <w:szCs w:val="20"/>
              </w:rPr>
            </w:pPr>
            <w:r w:rsidRPr="00EA4190">
              <w:rPr>
                <w:rFonts w:ascii="Times New Roman" w:eastAsiaTheme="minorEastAsia" w:hAnsi="Times New Roman" w:cs="Times New Roman"/>
                <w:i/>
                <w:iCs/>
                <w:sz w:val="20"/>
                <w:szCs w:val="20"/>
              </w:rPr>
              <w:t>_</w:t>
            </w:r>
          </w:p>
        </w:tc>
        <w:tc>
          <w:tcPr>
            <w:tcW w:w="617" w:type="pct"/>
            <w:tcBorders>
              <w:right w:val="nil"/>
            </w:tcBorders>
            <w:shd w:val="clear" w:color="auto" w:fill="auto"/>
            <w:vAlign w:val="center"/>
          </w:tcPr>
          <w:p w14:paraId="088C062D" w14:textId="77777777" w:rsidR="00EA4190" w:rsidRPr="00EA4190" w:rsidRDefault="00EA4190" w:rsidP="00813E19">
            <w:pPr>
              <w:spacing w:after="0" w:line="240" w:lineRule="auto"/>
              <w:jc w:val="right"/>
              <w:rPr>
                <w:rFonts w:ascii="Times New Roman" w:eastAsiaTheme="minorEastAsia" w:hAnsi="Times New Roman" w:cs="Times New Roman"/>
                <w:i/>
                <w:iCs/>
                <w:sz w:val="20"/>
                <w:szCs w:val="20"/>
              </w:rPr>
            </w:pPr>
            <w:r w:rsidRPr="00EA4190">
              <w:rPr>
                <w:rFonts w:ascii="Times New Roman" w:eastAsiaTheme="minorEastAsia" w:hAnsi="Times New Roman" w:cs="Times New Roman"/>
                <w:i/>
                <w:iCs/>
                <w:sz w:val="20"/>
                <w:szCs w:val="20"/>
              </w:rPr>
              <w:t>68,5</w:t>
            </w:r>
          </w:p>
        </w:tc>
        <w:tc>
          <w:tcPr>
            <w:tcW w:w="617" w:type="pct"/>
            <w:tcBorders>
              <w:right w:val="nil"/>
            </w:tcBorders>
            <w:vAlign w:val="center"/>
          </w:tcPr>
          <w:p w14:paraId="7ED596D4" w14:textId="77777777" w:rsidR="00EA4190" w:rsidRPr="00EA4190" w:rsidRDefault="00EA4190" w:rsidP="00813E19">
            <w:pPr>
              <w:spacing w:after="0" w:line="240" w:lineRule="auto"/>
              <w:jc w:val="right"/>
              <w:rPr>
                <w:rFonts w:ascii="Times New Roman" w:eastAsiaTheme="minorEastAsia" w:hAnsi="Times New Roman" w:cs="Times New Roman"/>
                <w:i/>
                <w:iCs/>
                <w:sz w:val="20"/>
                <w:szCs w:val="20"/>
              </w:rPr>
            </w:pPr>
            <w:r w:rsidRPr="00EA4190">
              <w:rPr>
                <w:rFonts w:ascii="Times New Roman" w:eastAsiaTheme="minorEastAsia" w:hAnsi="Times New Roman" w:cs="Times New Roman"/>
                <w:i/>
                <w:iCs/>
                <w:sz w:val="20"/>
                <w:szCs w:val="20"/>
              </w:rPr>
              <w:t>72,5</w:t>
            </w:r>
          </w:p>
        </w:tc>
      </w:tr>
    </w:tbl>
    <w:p w14:paraId="37E12B09" w14:textId="548C7811" w:rsidR="00D1602F" w:rsidRPr="00072AB4" w:rsidRDefault="00D1602F" w:rsidP="00D1602F">
      <w:pPr>
        <w:spacing w:after="0" w:line="240" w:lineRule="auto"/>
        <w:jc w:val="both"/>
        <w:rPr>
          <w:rFonts w:ascii="Times New Roman" w:hAnsi="Times New Roman" w:cs="Times New Roman"/>
          <w:sz w:val="20"/>
          <w:szCs w:val="20"/>
        </w:rPr>
      </w:pPr>
      <w:r w:rsidRPr="00072AB4">
        <w:rPr>
          <w:rFonts w:ascii="Times New Roman" w:hAnsi="Times New Roman" w:cs="Times New Roman"/>
          <w:sz w:val="20"/>
          <w:szCs w:val="20"/>
        </w:rPr>
        <w:t>Source</w:t>
      </w:r>
      <w:r w:rsidRPr="00072AB4">
        <w:rPr>
          <w:rFonts w:ascii="Times New Roman" w:hAnsi="Times New Roman" w:cs="Times New Roman"/>
          <w:sz w:val="20"/>
          <w:szCs w:val="20"/>
        </w:rPr>
        <w:t>: OPAC, IMNP.</w:t>
      </w:r>
    </w:p>
    <w:p w14:paraId="090A7CBF" w14:textId="12D36BA4" w:rsidR="006E72A0" w:rsidRPr="00072AB4" w:rsidRDefault="00D1602F" w:rsidP="00D1602F">
      <w:pPr>
        <w:spacing w:after="0" w:line="240" w:lineRule="auto"/>
        <w:jc w:val="both"/>
        <w:rPr>
          <w:rFonts w:ascii="Times New Roman" w:hAnsi="Times New Roman" w:cs="Times New Roman"/>
          <w:sz w:val="20"/>
          <w:szCs w:val="20"/>
        </w:rPr>
      </w:pPr>
      <w:r w:rsidRPr="00072AB4">
        <w:rPr>
          <w:rFonts w:ascii="Times New Roman" w:hAnsi="Times New Roman" w:cs="Times New Roman"/>
          <w:sz w:val="20"/>
          <w:szCs w:val="20"/>
        </w:rPr>
        <w:t xml:space="preserve">Base: </w:t>
      </w:r>
      <w:r w:rsidRPr="00072AB4">
        <w:rPr>
          <w:rFonts w:ascii="Times New Roman" w:hAnsi="Times New Roman" w:cs="Times New Roman"/>
          <w:sz w:val="20"/>
          <w:szCs w:val="20"/>
        </w:rPr>
        <w:t>NM with visitor control in each year.</w:t>
      </w:r>
    </w:p>
    <w:p w14:paraId="1C3A1EF3" w14:textId="77777777" w:rsidR="004D559E" w:rsidRPr="00D1602F" w:rsidRDefault="004D559E" w:rsidP="00C63C30">
      <w:pPr>
        <w:spacing w:after="0" w:line="240" w:lineRule="auto"/>
        <w:jc w:val="both"/>
        <w:rPr>
          <w:rFonts w:ascii="Times New Roman" w:hAnsi="Times New Roman" w:cs="Times New Roman"/>
        </w:rPr>
      </w:pPr>
    </w:p>
    <w:p w14:paraId="3DE26913" w14:textId="77777777" w:rsidR="004D559E" w:rsidRPr="00D1602F" w:rsidRDefault="004D559E" w:rsidP="00C63C30">
      <w:pPr>
        <w:spacing w:after="0" w:line="240" w:lineRule="auto"/>
        <w:jc w:val="both"/>
        <w:rPr>
          <w:rFonts w:ascii="Times New Roman" w:hAnsi="Times New Roman" w:cs="Times New Roman"/>
        </w:rPr>
      </w:pPr>
    </w:p>
    <w:p w14:paraId="067652D9" w14:textId="7CC21D13" w:rsidR="00FB1D41" w:rsidRDefault="00FB1D41" w:rsidP="00C63C30">
      <w:pPr>
        <w:spacing w:after="0" w:line="240" w:lineRule="auto"/>
        <w:jc w:val="both"/>
        <w:rPr>
          <w:rFonts w:ascii="Times New Roman" w:hAnsi="Times New Roman" w:cs="Times New Roman"/>
        </w:rPr>
      </w:pPr>
      <w:r w:rsidRPr="004D559E">
        <w:rPr>
          <w:rFonts w:ascii="Times New Roman" w:hAnsi="Times New Roman" w:cs="Times New Roman"/>
          <w:lang w:val="pt-PT"/>
        </w:rPr>
        <w:t xml:space="preserve">Regional </w:t>
      </w:r>
      <w:proofErr w:type="spellStart"/>
      <w:r w:rsidRPr="004D559E">
        <w:rPr>
          <w:rFonts w:ascii="Times New Roman" w:hAnsi="Times New Roman" w:cs="Times New Roman"/>
          <w:lang w:val="pt-PT"/>
        </w:rPr>
        <w:t>distribution</w:t>
      </w:r>
      <w:proofErr w:type="spellEnd"/>
      <w:r w:rsidRPr="004D559E">
        <w:rPr>
          <w:rFonts w:ascii="Times New Roman" w:hAnsi="Times New Roman" w:cs="Times New Roman"/>
          <w:lang w:val="pt-PT"/>
        </w:rPr>
        <w:t xml:space="preserve"> </w:t>
      </w:r>
      <w:proofErr w:type="spellStart"/>
      <w:r w:rsidRPr="004D559E">
        <w:rPr>
          <w:rFonts w:ascii="Times New Roman" w:hAnsi="Times New Roman" w:cs="Times New Roman"/>
          <w:lang w:val="pt-PT"/>
        </w:rPr>
        <w:t>of</w:t>
      </w:r>
      <w:proofErr w:type="spellEnd"/>
      <w:r w:rsidRPr="004D559E">
        <w:rPr>
          <w:rFonts w:ascii="Times New Roman" w:hAnsi="Times New Roman" w:cs="Times New Roman"/>
          <w:lang w:val="pt-PT"/>
        </w:rPr>
        <w:t xml:space="preserve"> visitable National </w:t>
      </w:r>
      <w:proofErr w:type="spellStart"/>
      <w:r w:rsidRPr="004D559E">
        <w:rPr>
          <w:rFonts w:ascii="Times New Roman" w:hAnsi="Times New Roman" w:cs="Times New Roman"/>
          <w:lang w:val="pt-PT"/>
        </w:rPr>
        <w:t>Monuments</w:t>
      </w:r>
      <w:proofErr w:type="spellEnd"/>
      <w:r w:rsidRPr="004D559E">
        <w:rPr>
          <w:rFonts w:ascii="Times New Roman" w:hAnsi="Times New Roman" w:cs="Times New Roman"/>
          <w:lang w:val="pt-PT"/>
        </w:rPr>
        <w:t xml:space="preserve">. </w:t>
      </w:r>
      <w:r w:rsidRPr="00FB1D41">
        <w:rPr>
          <w:rFonts w:ascii="Times New Roman" w:hAnsi="Times New Roman" w:cs="Times New Roman"/>
        </w:rPr>
        <w:t>Visitable NM are distributed throughout the country, with a higher incidence in the North and a lower incidence in the Autonomous Regions, verifiable in the various editions of the IMNP. In 2022 no monument from the Azores responded and the most significant increase in visitable NM (8.8% in 2021 to 12.0%) was in the Lisbon Metropolitan Area (Map 1).</w:t>
      </w:r>
    </w:p>
    <w:p w14:paraId="2C5F0E0C" w14:textId="77777777" w:rsidR="00C63C30" w:rsidRDefault="00C63C30" w:rsidP="00C63C30">
      <w:pPr>
        <w:spacing w:after="0" w:line="240" w:lineRule="auto"/>
        <w:jc w:val="both"/>
        <w:rPr>
          <w:rFonts w:ascii="Times New Roman" w:hAnsi="Times New Roman" w:cs="Times New Roman"/>
        </w:rPr>
      </w:pPr>
    </w:p>
    <w:p w14:paraId="39FB363A" w14:textId="77777777" w:rsidR="00AF2DBE" w:rsidRDefault="00AF2DBE">
      <w:pPr>
        <w:rPr>
          <w:rFonts w:ascii="Times New Roman" w:hAnsi="Times New Roman" w:cs="Times New Roman"/>
        </w:rPr>
      </w:pPr>
      <w:r>
        <w:rPr>
          <w:rFonts w:ascii="Times New Roman" w:hAnsi="Times New Roman" w:cs="Times New Roman"/>
        </w:rPr>
        <w:br w:type="page"/>
      </w:r>
    </w:p>
    <w:p w14:paraId="11A6C657" w14:textId="5FDCF04A" w:rsidR="00C63C30" w:rsidRDefault="00D81977" w:rsidP="00C63C30">
      <w:pPr>
        <w:spacing w:after="0" w:line="240" w:lineRule="auto"/>
        <w:jc w:val="both"/>
        <w:rPr>
          <w:rFonts w:ascii="Times New Roman" w:hAnsi="Times New Roman" w:cs="Times New Roman"/>
        </w:rPr>
      </w:pPr>
      <w:r w:rsidRPr="00D81977">
        <w:rPr>
          <w:rFonts w:ascii="Times New Roman" w:hAnsi="Times New Roman" w:cs="Times New Roman"/>
        </w:rPr>
        <w:lastRenderedPageBreak/>
        <w:t>Map 1. Distribution of visitable National Monuments by municipality (2022)</w:t>
      </w:r>
    </w:p>
    <w:p w14:paraId="7E09BA1B" w14:textId="463AAEDC" w:rsidR="00C63C30" w:rsidRDefault="00D22591" w:rsidP="00C63C30">
      <w:pPr>
        <w:spacing w:after="0" w:line="240" w:lineRule="auto"/>
        <w:jc w:val="both"/>
        <w:rPr>
          <w:rFonts w:ascii="Times New Roman" w:hAnsi="Times New Roman" w:cs="Times New Roman"/>
        </w:rPr>
      </w:pPr>
      <w:r>
        <w:rPr>
          <w:rFonts w:ascii="Raleway" w:eastAsiaTheme="majorEastAsia" w:hAnsi="Raleway" w:cstheme="majorBidi"/>
          <w:noProof/>
        </w:rPr>
        <w:drawing>
          <wp:inline distT="0" distB="0" distL="0" distR="0" wp14:anchorId="54530A75" wp14:editId="10C510DC">
            <wp:extent cx="5351318" cy="4868141"/>
            <wp:effectExtent l="0" t="0" r="1905" b="8890"/>
            <wp:docPr id="1037620142" name="Imagem 1037620142" descr="Uma imagem com esboço, desenho, texto, 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620142" name="Imagem 1" descr="Uma imagem com esboço, desenho, texto, mapa&#10;&#10;Descrição gerada automaticamente"/>
                    <pic:cNvPicPr/>
                  </pic:nvPicPr>
                  <pic:blipFill rotWithShape="1">
                    <a:blip r:embed="rId6">
                      <a:extLst>
                        <a:ext uri="{28A0092B-C50C-407E-A947-70E740481C1C}">
                          <a14:useLocalDpi xmlns:a14="http://schemas.microsoft.com/office/drawing/2010/main" val="0"/>
                        </a:ext>
                      </a:extLst>
                    </a:blip>
                    <a:srcRect r="902" b="5749"/>
                    <a:stretch/>
                  </pic:blipFill>
                  <pic:spPr bwMode="auto">
                    <a:xfrm>
                      <a:off x="0" y="0"/>
                      <a:ext cx="5351318" cy="4868141"/>
                    </a:xfrm>
                    <a:prstGeom prst="rect">
                      <a:avLst/>
                    </a:prstGeom>
                    <a:ln>
                      <a:noFill/>
                    </a:ln>
                    <a:extLst>
                      <a:ext uri="{53640926-AAD7-44D8-BBD7-CCE9431645EC}">
                        <a14:shadowObscured xmlns:a14="http://schemas.microsoft.com/office/drawing/2010/main"/>
                      </a:ext>
                    </a:extLst>
                  </pic:spPr>
                </pic:pic>
              </a:graphicData>
            </a:graphic>
          </wp:inline>
        </w:drawing>
      </w:r>
    </w:p>
    <w:p w14:paraId="5F834749" w14:textId="349560CF" w:rsidR="00C63C30" w:rsidRPr="00AC2D0D" w:rsidRDefault="00AC2D0D" w:rsidP="00C63C30">
      <w:pPr>
        <w:spacing w:after="0" w:line="240" w:lineRule="auto"/>
        <w:jc w:val="both"/>
        <w:rPr>
          <w:rFonts w:ascii="Times New Roman" w:hAnsi="Times New Roman" w:cs="Times New Roman"/>
          <w:sz w:val="20"/>
          <w:szCs w:val="20"/>
        </w:rPr>
      </w:pPr>
      <w:r w:rsidRPr="00AC2D0D">
        <w:rPr>
          <w:rFonts w:ascii="Times New Roman" w:hAnsi="Times New Roman" w:cs="Times New Roman"/>
          <w:sz w:val="20"/>
          <w:szCs w:val="20"/>
        </w:rPr>
        <w:t>Source: OPAC, IMNP, 2023</w:t>
      </w:r>
      <w:r>
        <w:rPr>
          <w:rFonts w:ascii="Times New Roman" w:hAnsi="Times New Roman" w:cs="Times New Roman"/>
          <w:sz w:val="20"/>
          <w:szCs w:val="20"/>
        </w:rPr>
        <w:t>.</w:t>
      </w:r>
    </w:p>
    <w:p w14:paraId="071D62F2" w14:textId="77777777" w:rsidR="006157A9" w:rsidRDefault="006157A9" w:rsidP="00C63C30">
      <w:pPr>
        <w:spacing w:after="0" w:line="240" w:lineRule="auto"/>
        <w:jc w:val="both"/>
        <w:rPr>
          <w:rFonts w:ascii="Times New Roman" w:hAnsi="Times New Roman" w:cs="Times New Roman"/>
        </w:rPr>
      </w:pPr>
    </w:p>
    <w:p w14:paraId="44128868" w14:textId="6624D4C3" w:rsidR="001F5379" w:rsidRDefault="00754BB3" w:rsidP="001522F5">
      <w:pPr>
        <w:spacing w:after="0" w:line="240" w:lineRule="auto"/>
        <w:jc w:val="both"/>
        <w:rPr>
          <w:rFonts w:ascii="Times New Roman" w:hAnsi="Times New Roman" w:cs="Times New Roman"/>
        </w:rPr>
      </w:pPr>
      <w:r>
        <w:rPr>
          <w:rFonts w:ascii="Times New Roman" w:hAnsi="Times New Roman" w:cs="Times New Roman"/>
        </w:rPr>
        <w:t>O</w:t>
      </w:r>
      <w:r w:rsidRPr="00754BB3">
        <w:rPr>
          <w:rFonts w:ascii="Times New Roman" w:hAnsi="Times New Roman" w:cs="Times New Roman"/>
        </w:rPr>
        <w:t>pening to the public and visitor control</w:t>
      </w:r>
      <w:r>
        <w:rPr>
          <w:rFonts w:ascii="Times New Roman" w:hAnsi="Times New Roman" w:cs="Times New Roman"/>
        </w:rPr>
        <w:t xml:space="preserve">. </w:t>
      </w:r>
      <w:r w:rsidR="00AF2725">
        <w:rPr>
          <w:rFonts w:ascii="Times New Roman" w:hAnsi="Times New Roman" w:cs="Times New Roman"/>
        </w:rPr>
        <w:t xml:space="preserve">These two </w:t>
      </w:r>
      <w:r w:rsidR="008863CB">
        <w:rPr>
          <w:rFonts w:ascii="Times New Roman" w:hAnsi="Times New Roman" w:cs="Times New Roman"/>
        </w:rPr>
        <w:t>dimensions</w:t>
      </w:r>
      <w:r w:rsidRPr="00754BB3">
        <w:rPr>
          <w:rFonts w:ascii="Times New Roman" w:hAnsi="Times New Roman" w:cs="Times New Roman"/>
        </w:rPr>
        <w:t xml:space="preserve"> are basic aspects for framing visitor data. The possibility of access </w:t>
      </w:r>
      <w:r w:rsidR="00AF2725">
        <w:rPr>
          <w:rFonts w:ascii="Times New Roman" w:hAnsi="Times New Roman" w:cs="Times New Roman"/>
        </w:rPr>
        <w:t xml:space="preserve">to monuments </w:t>
      </w:r>
      <w:r w:rsidRPr="00754BB3">
        <w:rPr>
          <w:rFonts w:ascii="Times New Roman" w:hAnsi="Times New Roman" w:cs="Times New Roman"/>
        </w:rPr>
        <w:t xml:space="preserve">is a </w:t>
      </w:r>
      <w:r w:rsidR="00AF2725">
        <w:rPr>
          <w:rFonts w:ascii="Times New Roman" w:hAnsi="Times New Roman" w:cs="Times New Roman"/>
        </w:rPr>
        <w:t xml:space="preserve">base </w:t>
      </w:r>
      <w:r w:rsidRPr="00754BB3">
        <w:rPr>
          <w:rFonts w:ascii="Times New Roman" w:hAnsi="Times New Roman" w:cs="Times New Roman"/>
        </w:rPr>
        <w:t xml:space="preserve">condition </w:t>
      </w:r>
      <w:r w:rsidR="00AF2725">
        <w:rPr>
          <w:rFonts w:ascii="Times New Roman" w:hAnsi="Times New Roman" w:cs="Times New Roman"/>
        </w:rPr>
        <w:t>for the development of the IMNP</w:t>
      </w:r>
      <w:r w:rsidR="00393201">
        <w:rPr>
          <w:rFonts w:ascii="Times New Roman" w:hAnsi="Times New Roman" w:cs="Times New Roman"/>
        </w:rPr>
        <w:t>.</w:t>
      </w:r>
      <w:r w:rsidRPr="00754BB3">
        <w:rPr>
          <w:rFonts w:ascii="Times New Roman" w:hAnsi="Times New Roman" w:cs="Times New Roman"/>
        </w:rPr>
        <w:t xml:space="preserve"> However, such access is conditioned by the options considered feasible and most appropriate by the respective management </w:t>
      </w:r>
      <w:r w:rsidR="001F5379" w:rsidRPr="00754BB3">
        <w:rPr>
          <w:rFonts w:ascii="Times New Roman" w:hAnsi="Times New Roman" w:cs="Times New Roman"/>
        </w:rPr>
        <w:t>organizations</w:t>
      </w:r>
      <w:r w:rsidRPr="00754BB3">
        <w:rPr>
          <w:rFonts w:ascii="Times New Roman" w:hAnsi="Times New Roman" w:cs="Times New Roman"/>
        </w:rPr>
        <w:t xml:space="preserve">, according to a certain regime of </w:t>
      </w:r>
      <w:r w:rsidR="001F5379">
        <w:rPr>
          <w:rFonts w:ascii="Times New Roman" w:hAnsi="Times New Roman" w:cs="Times New Roman"/>
        </w:rPr>
        <w:t xml:space="preserve">public opening. Visitable </w:t>
      </w:r>
      <w:r w:rsidR="001F5379" w:rsidRPr="00754BB3">
        <w:rPr>
          <w:rFonts w:ascii="Times New Roman" w:hAnsi="Times New Roman" w:cs="Times New Roman"/>
        </w:rPr>
        <w:t xml:space="preserve">NM essentially adopt a permanent regime of openness (70.2%) </w:t>
      </w:r>
      <w:r w:rsidR="001522F5" w:rsidRPr="007F7CAE">
        <w:rPr>
          <w:rFonts w:ascii="Times New Roman" w:hAnsi="Times New Roman" w:cs="Times New Roman"/>
        </w:rPr>
        <w:t>Sporadic opening (</w:t>
      </w:r>
      <w:r w:rsidR="002D6E64" w:rsidRPr="007F7CAE">
        <w:rPr>
          <w:rFonts w:ascii="Times New Roman" w:hAnsi="Times New Roman" w:cs="Times New Roman"/>
        </w:rPr>
        <w:t xml:space="preserve">time constrained, on </w:t>
      </w:r>
      <w:r w:rsidR="007F7CAE" w:rsidRPr="007F7CAE">
        <w:rPr>
          <w:rFonts w:ascii="Times New Roman" w:hAnsi="Times New Roman" w:cs="Times New Roman"/>
        </w:rPr>
        <w:t>occasions</w:t>
      </w:r>
      <w:r w:rsidR="002D6E64" w:rsidRPr="007F7CAE">
        <w:rPr>
          <w:rFonts w:ascii="Times New Roman" w:hAnsi="Times New Roman" w:cs="Times New Roman"/>
        </w:rPr>
        <w:t xml:space="preserve"> and less </w:t>
      </w:r>
      <w:r w:rsidR="008863CB" w:rsidRPr="007F7CAE">
        <w:rPr>
          <w:rFonts w:ascii="Times New Roman" w:hAnsi="Times New Roman" w:cs="Times New Roman"/>
        </w:rPr>
        <w:t>predictable</w:t>
      </w:r>
      <w:r w:rsidR="002D6E64" w:rsidRPr="007F7CAE">
        <w:rPr>
          <w:rFonts w:ascii="Times New Roman" w:hAnsi="Times New Roman" w:cs="Times New Roman"/>
        </w:rPr>
        <w:t xml:space="preserve">) accounts for </w:t>
      </w:r>
      <w:r w:rsidR="001522F5" w:rsidRPr="007F7CAE">
        <w:rPr>
          <w:rFonts w:ascii="Times New Roman" w:hAnsi="Times New Roman" w:cs="Times New Roman"/>
        </w:rPr>
        <w:t xml:space="preserve">19,1% </w:t>
      </w:r>
      <w:r w:rsidR="002D6E64" w:rsidRPr="007F7CAE">
        <w:rPr>
          <w:rFonts w:ascii="Times New Roman" w:hAnsi="Times New Roman" w:cs="Times New Roman"/>
        </w:rPr>
        <w:t>of NM</w:t>
      </w:r>
      <w:r w:rsidR="007F7CAE" w:rsidRPr="007F7CAE">
        <w:rPr>
          <w:rFonts w:ascii="Times New Roman" w:hAnsi="Times New Roman" w:cs="Times New Roman"/>
        </w:rPr>
        <w:t xml:space="preserve"> and, although is</w:t>
      </w:r>
      <w:r w:rsidR="007F7CAE">
        <w:rPr>
          <w:rFonts w:ascii="Times New Roman" w:hAnsi="Times New Roman" w:cs="Times New Roman"/>
        </w:rPr>
        <w:t xml:space="preserve"> the second most observed category concerning public opening, is still very far away from the permanent opening regime. </w:t>
      </w:r>
      <w:r w:rsidR="007F7CAE" w:rsidRPr="00AB6D2B">
        <w:rPr>
          <w:rFonts w:ascii="Times New Roman" w:hAnsi="Times New Roman" w:cs="Times New Roman"/>
        </w:rPr>
        <w:t xml:space="preserve">The other two categories </w:t>
      </w:r>
      <w:r w:rsidR="00AB6D2B" w:rsidRPr="00AB6D2B">
        <w:rPr>
          <w:rFonts w:ascii="Times New Roman" w:hAnsi="Times New Roman" w:cs="Times New Roman"/>
        </w:rPr>
        <w:t xml:space="preserve">have very low values </w:t>
      </w:r>
      <w:r w:rsidR="00AB6D2B" w:rsidRPr="001522F5">
        <w:rPr>
          <w:rFonts w:ascii="Times New Roman" w:hAnsi="Times New Roman" w:cs="Times New Roman"/>
        </w:rPr>
        <w:t>the open access regime (without any constraint determined by the managing entity) with 7.1% and the seasonal (in certain limited periods of the year) 3.6%</w:t>
      </w:r>
      <w:r w:rsidR="00DE4D68">
        <w:rPr>
          <w:rFonts w:ascii="Times New Roman" w:hAnsi="Times New Roman" w:cs="Times New Roman"/>
        </w:rPr>
        <w:t xml:space="preserve">. </w:t>
      </w:r>
      <w:r w:rsidR="00AF1970" w:rsidRPr="001522F5">
        <w:rPr>
          <w:rFonts w:ascii="Times New Roman" w:hAnsi="Times New Roman" w:cs="Times New Roman"/>
        </w:rPr>
        <w:t>T</w:t>
      </w:r>
      <w:r w:rsidR="00AF1970">
        <w:rPr>
          <w:rFonts w:ascii="Times New Roman" w:hAnsi="Times New Roman" w:cs="Times New Roman"/>
        </w:rPr>
        <w:t xml:space="preserve">he </w:t>
      </w:r>
      <w:r w:rsidR="00AF1970" w:rsidRPr="001522F5">
        <w:rPr>
          <w:rFonts w:ascii="Times New Roman" w:hAnsi="Times New Roman" w:cs="Times New Roman"/>
        </w:rPr>
        <w:t xml:space="preserve">preferential option for permanent opening regimes has been observed over the several years of application of the IMNP, maintaining some constancy (there is a slight decrease in 2022 of the permanent opening regimes compared to 2021, while sporadic access has also increased slightly compared to the same previous year). On the other hand, the open access regime has experienced greater fluctuations over the observed period (Graph </w:t>
      </w:r>
      <w:r w:rsidR="00AF1970">
        <w:rPr>
          <w:rFonts w:ascii="Times New Roman" w:hAnsi="Times New Roman" w:cs="Times New Roman"/>
        </w:rPr>
        <w:t>1</w:t>
      </w:r>
      <w:r w:rsidR="00AF1970" w:rsidRPr="001522F5">
        <w:rPr>
          <w:rFonts w:ascii="Times New Roman" w:hAnsi="Times New Roman" w:cs="Times New Roman"/>
        </w:rPr>
        <w:t>), not only explained by the pandemic of 2020 and 2021.</w:t>
      </w:r>
    </w:p>
    <w:p w14:paraId="272F3BF5" w14:textId="77777777" w:rsidR="00AF1970" w:rsidRDefault="00AF1970" w:rsidP="001522F5">
      <w:pPr>
        <w:spacing w:after="0" w:line="240" w:lineRule="auto"/>
        <w:jc w:val="both"/>
        <w:rPr>
          <w:rFonts w:ascii="Times New Roman" w:hAnsi="Times New Roman" w:cs="Times New Roman"/>
        </w:rPr>
      </w:pPr>
    </w:p>
    <w:p w14:paraId="7CDCEE09" w14:textId="77777777" w:rsidR="00AF1970" w:rsidRDefault="00AF1970" w:rsidP="001522F5">
      <w:pPr>
        <w:spacing w:after="0" w:line="240" w:lineRule="auto"/>
        <w:jc w:val="both"/>
        <w:rPr>
          <w:rFonts w:ascii="Times New Roman" w:hAnsi="Times New Roman" w:cs="Times New Roman"/>
        </w:rPr>
      </w:pPr>
    </w:p>
    <w:p w14:paraId="49A0D0B8" w14:textId="77777777" w:rsidR="00AF1970" w:rsidRDefault="00AF1970" w:rsidP="001522F5">
      <w:pPr>
        <w:spacing w:after="0" w:line="240" w:lineRule="auto"/>
        <w:jc w:val="both"/>
        <w:rPr>
          <w:rFonts w:ascii="Times New Roman" w:hAnsi="Times New Roman" w:cs="Times New Roman"/>
        </w:rPr>
      </w:pPr>
    </w:p>
    <w:p w14:paraId="636975E6" w14:textId="77777777" w:rsidR="00AF2DBE" w:rsidRDefault="00AF2DBE">
      <w:pPr>
        <w:rPr>
          <w:rFonts w:ascii="Times New Roman" w:hAnsi="Times New Roman" w:cs="Times New Roman"/>
        </w:rPr>
      </w:pPr>
      <w:r>
        <w:rPr>
          <w:rFonts w:ascii="Times New Roman" w:hAnsi="Times New Roman" w:cs="Times New Roman"/>
        </w:rPr>
        <w:lastRenderedPageBreak/>
        <w:br w:type="page"/>
      </w:r>
    </w:p>
    <w:p w14:paraId="312A7D53" w14:textId="00C36795" w:rsidR="00AF1970" w:rsidRPr="00BD3076" w:rsidRDefault="00BD3076" w:rsidP="001522F5">
      <w:pPr>
        <w:spacing w:after="0" w:line="240" w:lineRule="auto"/>
        <w:jc w:val="both"/>
        <w:rPr>
          <w:rFonts w:ascii="Times New Roman" w:hAnsi="Times New Roman" w:cs="Times New Roman"/>
        </w:rPr>
      </w:pPr>
      <w:r w:rsidRPr="00BD3076">
        <w:rPr>
          <w:rFonts w:ascii="Times New Roman" w:hAnsi="Times New Roman" w:cs="Times New Roman"/>
        </w:rPr>
        <w:lastRenderedPageBreak/>
        <w:t>Graph 1</w:t>
      </w:r>
      <w:r w:rsidRPr="00BD3076">
        <w:rPr>
          <w:rFonts w:ascii="Times New Roman" w:hAnsi="Times New Roman" w:cs="Times New Roman"/>
        </w:rPr>
        <w:t xml:space="preserve"> – </w:t>
      </w:r>
      <w:r w:rsidRPr="00BD3076">
        <w:rPr>
          <w:rFonts w:ascii="Times New Roman" w:hAnsi="Times New Roman" w:cs="Times New Roman"/>
        </w:rPr>
        <w:t xml:space="preserve">NM and public opening regime </w:t>
      </w:r>
      <w:r w:rsidRPr="00BD3076">
        <w:rPr>
          <w:rFonts w:ascii="Times New Roman" w:hAnsi="Times New Roman" w:cs="Times New Roman"/>
        </w:rPr>
        <w:t>(2018-2022) (%)</w:t>
      </w:r>
    </w:p>
    <w:p w14:paraId="7BC65377" w14:textId="77777777" w:rsidR="00BD3076" w:rsidRPr="00BD3076" w:rsidRDefault="00BD3076" w:rsidP="001522F5">
      <w:pPr>
        <w:spacing w:after="0" w:line="240" w:lineRule="auto"/>
        <w:jc w:val="both"/>
        <w:rPr>
          <w:rFonts w:ascii="Times New Roman" w:hAnsi="Times New Roman" w:cs="Times New Roman"/>
        </w:rPr>
      </w:pPr>
    </w:p>
    <w:p w14:paraId="29100494" w14:textId="47667726" w:rsidR="00782790" w:rsidRDefault="00782790" w:rsidP="001522F5">
      <w:pPr>
        <w:spacing w:after="0" w:line="240" w:lineRule="auto"/>
        <w:jc w:val="both"/>
        <w:rPr>
          <w:rFonts w:ascii="Times New Roman" w:hAnsi="Times New Roman" w:cs="Times New Roman"/>
        </w:rPr>
      </w:pPr>
      <w:r>
        <w:rPr>
          <w:noProof/>
        </w:rPr>
        <w:drawing>
          <wp:inline distT="0" distB="0" distL="0" distR="0" wp14:anchorId="40F5B64F" wp14:editId="7341238A">
            <wp:extent cx="5692140" cy="2743200"/>
            <wp:effectExtent l="0" t="0" r="3810" b="0"/>
            <wp:docPr id="1311641620" name="Chart 1">
              <a:extLst xmlns:a="http://schemas.openxmlformats.org/drawingml/2006/main">
                <a:ext uri="{FF2B5EF4-FFF2-40B4-BE49-F238E27FC236}">
                  <a16:creationId xmlns:a16="http://schemas.microsoft.com/office/drawing/2014/main" id="{80E74455-AB0D-7FAB-8397-D0D3B3E1C9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52429DB" w14:textId="77777777" w:rsidR="00782790" w:rsidRPr="00AF1970" w:rsidRDefault="00782790" w:rsidP="001522F5">
      <w:pPr>
        <w:spacing w:after="0" w:line="240" w:lineRule="auto"/>
        <w:jc w:val="both"/>
        <w:rPr>
          <w:rFonts w:ascii="Times New Roman" w:hAnsi="Times New Roman" w:cs="Times New Roman"/>
        </w:rPr>
      </w:pPr>
    </w:p>
    <w:p w14:paraId="245D062B" w14:textId="770E8C37" w:rsidR="003263E4" w:rsidRPr="00FB1D41" w:rsidRDefault="00FB1D41" w:rsidP="00754BB3">
      <w:pPr>
        <w:spacing w:after="0" w:line="240" w:lineRule="auto"/>
        <w:jc w:val="both"/>
        <w:rPr>
          <w:rFonts w:ascii="Times New Roman" w:hAnsi="Times New Roman" w:cs="Times New Roman"/>
        </w:rPr>
      </w:pPr>
      <w:r w:rsidRPr="00BD3076">
        <w:rPr>
          <w:rFonts w:ascii="Times New Roman" w:hAnsi="Times New Roman" w:cs="Times New Roman"/>
        </w:rPr>
        <w:t xml:space="preserve">Visitors. </w:t>
      </w:r>
      <w:r w:rsidRPr="00FB1D41">
        <w:rPr>
          <w:rFonts w:ascii="Times New Roman" w:hAnsi="Times New Roman" w:cs="Times New Roman"/>
        </w:rPr>
        <w:t>The total number of visitors in 2022 was about 13 million, more than the double of 2021 (around 6 million) and already surpassing those registered in 2019 (12.7 million), the year with the highest number of entries observed (</w:t>
      </w:r>
      <w:r w:rsidR="00BD3076">
        <w:rPr>
          <w:rFonts w:ascii="Times New Roman" w:hAnsi="Times New Roman" w:cs="Times New Roman"/>
        </w:rPr>
        <w:t>G</w:t>
      </w:r>
      <w:r w:rsidRPr="00FB1D41">
        <w:rPr>
          <w:rFonts w:ascii="Times New Roman" w:hAnsi="Times New Roman" w:cs="Times New Roman"/>
        </w:rPr>
        <w:t xml:space="preserve">raph </w:t>
      </w:r>
      <w:r w:rsidR="00BD3076">
        <w:rPr>
          <w:rFonts w:ascii="Times New Roman" w:hAnsi="Times New Roman" w:cs="Times New Roman"/>
        </w:rPr>
        <w:t>2</w:t>
      </w:r>
      <w:r w:rsidRPr="00FB1D41">
        <w:rPr>
          <w:rFonts w:ascii="Times New Roman" w:hAnsi="Times New Roman" w:cs="Times New Roman"/>
        </w:rPr>
        <w:t xml:space="preserve">). </w:t>
      </w:r>
      <w:r w:rsidR="003263E4" w:rsidRPr="00FB1D41">
        <w:rPr>
          <w:rFonts w:ascii="Times New Roman" w:hAnsi="Times New Roman" w:cs="Times New Roman"/>
        </w:rPr>
        <w:t>It seems that the depression seen during the Covid-19 pandemic has been overcome and the growth trend observed between 2017-2019 has resumed. The resumption of tourism gave a strong contribution, and although there is an increase compared to 2021 (45%). the percentage of foreigners is still far from that seen in 2019 (70.9% against 52.6% in 2022). In other words, the dominant pattern – which in the pandemic was mostly national visitors – has been approaching the typical structure of the pre-pandemic period, but the Portuguese visitors still maintain a very significant weight.</w:t>
      </w:r>
    </w:p>
    <w:p w14:paraId="079EC4A8" w14:textId="1FC27857" w:rsidR="006036A7" w:rsidRDefault="006036A7" w:rsidP="00C63C30">
      <w:pPr>
        <w:spacing w:after="0" w:line="240" w:lineRule="auto"/>
        <w:jc w:val="both"/>
        <w:rPr>
          <w:rFonts w:ascii="Times New Roman" w:hAnsi="Times New Roman" w:cs="Times New Roman"/>
        </w:rPr>
      </w:pPr>
    </w:p>
    <w:p w14:paraId="0381C7CB" w14:textId="421B2D9A" w:rsidR="006036A7" w:rsidRDefault="000A5130" w:rsidP="000A5130">
      <w:pPr>
        <w:spacing w:after="0" w:line="240" w:lineRule="auto"/>
        <w:jc w:val="both"/>
        <w:rPr>
          <w:rFonts w:ascii="Times New Roman" w:hAnsi="Times New Roman" w:cs="Times New Roman"/>
        </w:rPr>
      </w:pPr>
      <w:r w:rsidRPr="000A5130">
        <w:rPr>
          <w:rFonts w:ascii="Times New Roman" w:hAnsi="Times New Roman" w:cs="Times New Roman"/>
        </w:rPr>
        <w:t xml:space="preserve">Graph </w:t>
      </w:r>
      <w:r w:rsidR="00BD3076">
        <w:rPr>
          <w:rFonts w:ascii="Times New Roman" w:hAnsi="Times New Roman" w:cs="Times New Roman"/>
        </w:rPr>
        <w:t>2</w:t>
      </w:r>
      <w:r w:rsidRPr="000A5130">
        <w:rPr>
          <w:rFonts w:ascii="Times New Roman" w:hAnsi="Times New Roman" w:cs="Times New Roman"/>
        </w:rPr>
        <w:t>. Visitors of the National Monuments per year (2017-2022)</w:t>
      </w:r>
      <w:r>
        <w:rPr>
          <w:rFonts w:ascii="Times New Roman" w:hAnsi="Times New Roman" w:cs="Times New Roman"/>
        </w:rPr>
        <w:t xml:space="preserve"> </w:t>
      </w:r>
      <w:r w:rsidRPr="000A5130">
        <w:rPr>
          <w:rFonts w:ascii="Times New Roman" w:hAnsi="Times New Roman" w:cs="Times New Roman"/>
        </w:rPr>
        <w:t>(thousands)</w:t>
      </w:r>
    </w:p>
    <w:p w14:paraId="2FB24445" w14:textId="77777777" w:rsidR="000A5130" w:rsidRDefault="000A5130" w:rsidP="000A5130">
      <w:pPr>
        <w:spacing w:after="0" w:line="240" w:lineRule="auto"/>
        <w:jc w:val="both"/>
        <w:rPr>
          <w:rFonts w:ascii="Times New Roman" w:hAnsi="Times New Roman" w:cs="Times New Roman"/>
        </w:rPr>
      </w:pPr>
    </w:p>
    <w:p w14:paraId="6A2F9E1E" w14:textId="497EF138" w:rsidR="006036A7" w:rsidRDefault="00D6336D" w:rsidP="00C63C30">
      <w:pPr>
        <w:spacing w:after="0" w:line="240" w:lineRule="auto"/>
        <w:jc w:val="both"/>
        <w:rPr>
          <w:rFonts w:ascii="Times New Roman" w:hAnsi="Times New Roman" w:cs="Times New Roman"/>
        </w:rPr>
      </w:pPr>
      <w:r>
        <w:rPr>
          <w:noProof/>
        </w:rPr>
        <w:drawing>
          <wp:inline distT="0" distB="0" distL="0" distR="0" wp14:anchorId="25F8BD8C" wp14:editId="317EE8A7">
            <wp:extent cx="5400040" cy="2629535"/>
            <wp:effectExtent l="0" t="0" r="0" b="0"/>
            <wp:docPr id="1" name="Chart 1">
              <a:extLst xmlns:a="http://schemas.openxmlformats.org/drawingml/2006/main">
                <a:ext uri="{FF2B5EF4-FFF2-40B4-BE49-F238E27FC236}">
                  <a16:creationId xmlns:a16="http://schemas.microsoft.com/office/drawing/2014/main" id="{1BBFC396-0C00-435D-86DC-85ACFC483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01771E" w14:textId="49963424" w:rsidR="006036A7" w:rsidRPr="00BD55AD" w:rsidRDefault="00BD55AD" w:rsidP="00C63C30">
      <w:pPr>
        <w:spacing w:after="0" w:line="240" w:lineRule="auto"/>
        <w:jc w:val="both"/>
        <w:rPr>
          <w:rFonts w:ascii="Times New Roman" w:hAnsi="Times New Roman" w:cs="Times New Roman"/>
          <w:sz w:val="20"/>
          <w:szCs w:val="20"/>
        </w:rPr>
      </w:pPr>
      <w:r w:rsidRPr="00BD55AD">
        <w:rPr>
          <w:rFonts w:ascii="Times New Roman" w:hAnsi="Times New Roman" w:cs="Times New Roman"/>
          <w:sz w:val="20"/>
          <w:szCs w:val="20"/>
        </w:rPr>
        <w:t>Source: OPAC, IMNP</w:t>
      </w:r>
    </w:p>
    <w:p w14:paraId="1E1CADAA" w14:textId="77777777" w:rsidR="006036A7" w:rsidRDefault="006036A7" w:rsidP="00C63C30">
      <w:pPr>
        <w:spacing w:after="0" w:line="240" w:lineRule="auto"/>
        <w:jc w:val="both"/>
        <w:rPr>
          <w:rFonts w:ascii="Times New Roman" w:hAnsi="Times New Roman" w:cs="Times New Roman"/>
        </w:rPr>
      </w:pPr>
    </w:p>
    <w:p w14:paraId="4A18BB76" w14:textId="77777777" w:rsidR="00FB1D41" w:rsidRPr="00FB1D41" w:rsidRDefault="00FB1D41" w:rsidP="00C63C30">
      <w:pPr>
        <w:spacing w:after="0" w:line="240" w:lineRule="auto"/>
        <w:jc w:val="both"/>
        <w:rPr>
          <w:rFonts w:ascii="Times New Roman" w:hAnsi="Times New Roman" w:cs="Times New Roman"/>
        </w:rPr>
      </w:pPr>
      <w:r w:rsidRPr="00FB1D41">
        <w:rPr>
          <w:rFonts w:ascii="Times New Roman" w:hAnsi="Times New Roman" w:cs="Times New Roman"/>
        </w:rPr>
        <w:lastRenderedPageBreak/>
        <w:t>Type of Buildings. Religious architecture monuments are the majority of visitable NM (60.0%), followed by military ones (28.0%). With slight percentage variations, these two types of buildings remain the most common visitable NM and together they account for nine out of ten of these.</w:t>
      </w:r>
    </w:p>
    <w:p w14:paraId="31DC711D" w14:textId="39DA2342" w:rsidR="00FB1D41" w:rsidRDefault="00FB1D41" w:rsidP="00C63C30">
      <w:pPr>
        <w:spacing w:after="0" w:line="240" w:lineRule="auto"/>
        <w:jc w:val="both"/>
        <w:rPr>
          <w:rFonts w:ascii="Times New Roman" w:hAnsi="Times New Roman" w:cs="Times New Roman"/>
        </w:rPr>
      </w:pPr>
      <w:r w:rsidRPr="00FB1D41">
        <w:rPr>
          <w:rFonts w:ascii="Times New Roman" w:hAnsi="Times New Roman" w:cs="Times New Roman"/>
        </w:rPr>
        <w:t xml:space="preserve">Management entities. The Catholic Church is responsible for managing most of the visitable NM, which is reinforced with the new surveyed NM in 2023 (36.4%). Together with other entities, the private sector manages almost half of the visitable NM in Portugal (48.0% in 2022), a growth trend that has been observed since 2019 (Table </w:t>
      </w:r>
      <w:r w:rsidR="00743B38">
        <w:rPr>
          <w:rFonts w:ascii="Times New Roman" w:hAnsi="Times New Roman" w:cs="Times New Roman"/>
        </w:rPr>
        <w:t>3</w:t>
      </w:r>
      <w:r w:rsidRPr="00FB1D41">
        <w:rPr>
          <w:rFonts w:ascii="Times New Roman" w:hAnsi="Times New Roman" w:cs="Times New Roman"/>
        </w:rPr>
        <w:t>). The public sector is responsible for the management of 48.0% (in 2022) and municipalities are the most frequent entities (29.8% in 2022); on the other hand, the Ministry of Culture manages a smaller percentage of visitable NM (14.7% in 2022 against 19.1% in 2021), which has been observed since 2019 (24.7%).</w:t>
      </w:r>
    </w:p>
    <w:p w14:paraId="5F419BF2" w14:textId="77777777" w:rsidR="003263E4" w:rsidRDefault="003263E4" w:rsidP="00C63C30">
      <w:pPr>
        <w:spacing w:after="0" w:line="240" w:lineRule="auto"/>
        <w:jc w:val="both"/>
        <w:rPr>
          <w:rFonts w:ascii="Times New Roman" w:hAnsi="Times New Roman" w:cs="Times New Roman"/>
        </w:rPr>
      </w:pPr>
    </w:p>
    <w:p w14:paraId="27F89A7D" w14:textId="1A8ED46C" w:rsidR="003263E4" w:rsidRDefault="001B4B61" w:rsidP="00C63C30">
      <w:pPr>
        <w:spacing w:after="0" w:line="240" w:lineRule="auto"/>
        <w:jc w:val="both"/>
        <w:rPr>
          <w:rFonts w:ascii="Times New Roman" w:hAnsi="Times New Roman" w:cs="Times New Roman"/>
        </w:rPr>
      </w:pPr>
      <w:r w:rsidRPr="001B4B61">
        <w:rPr>
          <w:rFonts w:ascii="Times New Roman" w:hAnsi="Times New Roman" w:cs="Times New Roman"/>
        </w:rPr>
        <w:t xml:space="preserve">Table </w:t>
      </w:r>
      <w:r w:rsidR="00743B38">
        <w:rPr>
          <w:rFonts w:ascii="Times New Roman" w:hAnsi="Times New Roman" w:cs="Times New Roman"/>
        </w:rPr>
        <w:t>3</w:t>
      </w:r>
      <w:r w:rsidRPr="001B4B61">
        <w:rPr>
          <w:rFonts w:ascii="Times New Roman" w:hAnsi="Times New Roman" w:cs="Times New Roman"/>
        </w:rPr>
        <w:t>. National Monuments per management entity (2018-2022)</w:t>
      </w:r>
    </w:p>
    <w:p w14:paraId="77FBEA2A" w14:textId="77777777" w:rsidR="001B4B61" w:rsidRDefault="001B4B61" w:rsidP="00C63C30">
      <w:pPr>
        <w:spacing w:after="0" w:line="240" w:lineRule="auto"/>
        <w:jc w:val="both"/>
        <w:rPr>
          <w:rFonts w:ascii="Times New Roman" w:hAnsi="Times New Roman" w:cs="Times New Roman"/>
        </w:rPr>
      </w:pPr>
    </w:p>
    <w:tbl>
      <w:tblPr>
        <w:tblW w:w="8376" w:type="dxa"/>
        <w:tblLayout w:type="fixed"/>
        <w:tblCellMar>
          <w:left w:w="70" w:type="dxa"/>
          <w:right w:w="70" w:type="dxa"/>
        </w:tblCellMar>
        <w:tblLook w:val="04A0" w:firstRow="1" w:lastRow="0" w:firstColumn="1" w:lastColumn="0" w:noHBand="0" w:noVBand="1"/>
      </w:tblPr>
      <w:tblGrid>
        <w:gridCol w:w="2400"/>
        <w:gridCol w:w="589"/>
        <w:gridCol w:w="567"/>
        <w:gridCol w:w="567"/>
        <w:gridCol w:w="709"/>
        <w:gridCol w:w="709"/>
        <w:gridCol w:w="567"/>
        <w:gridCol w:w="567"/>
        <w:gridCol w:w="567"/>
        <w:gridCol w:w="567"/>
        <w:gridCol w:w="567"/>
      </w:tblGrid>
      <w:tr w:rsidR="00406ADA" w:rsidRPr="001B4B61" w14:paraId="78EFE6EA" w14:textId="77777777" w:rsidTr="00406ADA">
        <w:trPr>
          <w:trHeight w:val="315"/>
        </w:trPr>
        <w:tc>
          <w:tcPr>
            <w:tcW w:w="2400" w:type="dxa"/>
            <w:vMerge w:val="restart"/>
            <w:tcBorders>
              <w:top w:val="single" w:sz="8" w:space="0" w:color="auto"/>
              <w:left w:val="single" w:sz="8" w:space="0" w:color="auto"/>
              <w:right w:val="single" w:sz="8" w:space="0" w:color="auto"/>
            </w:tcBorders>
            <w:shd w:val="clear" w:color="auto" w:fill="595959" w:themeFill="text1" w:themeFillTint="A6"/>
            <w:vAlign w:val="bottom"/>
            <w:hideMark/>
          </w:tcPr>
          <w:p w14:paraId="088757FA" w14:textId="77777777" w:rsidR="00406ADA" w:rsidRPr="001B4B61" w:rsidRDefault="00406ADA" w:rsidP="00813E19">
            <w:pPr>
              <w:spacing w:line="240" w:lineRule="auto"/>
              <w:jc w:val="center"/>
              <w:rPr>
                <w:rFonts w:ascii="Times New Roman" w:hAnsi="Times New Roman" w:cs="Times New Roman"/>
                <w:b/>
                <w:bCs/>
                <w:color w:val="FFFFFF"/>
                <w:sz w:val="20"/>
                <w:szCs w:val="20"/>
                <w:lang w:eastAsia="pt-PT"/>
              </w:rPr>
            </w:pPr>
            <w:r w:rsidRPr="001B4B61">
              <w:rPr>
                <w:rFonts w:ascii="Times New Roman" w:hAnsi="Times New Roman" w:cs="Times New Roman"/>
                <w:b/>
                <w:bCs/>
                <w:color w:val="FFFFFF"/>
                <w:sz w:val="20"/>
                <w:szCs w:val="20"/>
                <w:lang w:eastAsia="pt-PT"/>
              </w:rPr>
              <w:t> </w:t>
            </w:r>
          </w:p>
        </w:tc>
        <w:tc>
          <w:tcPr>
            <w:tcW w:w="1156" w:type="dxa"/>
            <w:gridSpan w:val="2"/>
            <w:tcBorders>
              <w:top w:val="single" w:sz="8" w:space="0" w:color="auto"/>
              <w:left w:val="nil"/>
              <w:bottom w:val="single" w:sz="8" w:space="0" w:color="000000" w:themeColor="text1"/>
              <w:right w:val="single" w:sz="8" w:space="0" w:color="000000" w:themeColor="text1"/>
            </w:tcBorders>
            <w:shd w:val="clear" w:color="auto" w:fill="595959" w:themeFill="text1" w:themeFillTint="A6"/>
            <w:vAlign w:val="center"/>
          </w:tcPr>
          <w:p w14:paraId="4B46B722" w14:textId="77777777" w:rsidR="00406ADA" w:rsidRPr="001B4B61" w:rsidRDefault="00406ADA" w:rsidP="00813E19">
            <w:pPr>
              <w:spacing w:line="240" w:lineRule="auto"/>
              <w:jc w:val="center"/>
              <w:rPr>
                <w:rFonts w:ascii="Times New Roman" w:hAnsi="Times New Roman" w:cs="Times New Roman"/>
                <w:b/>
                <w:bCs/>
                <w:color w:val="FFFFFF"/>
                <w:sz w:val="20"/>
                <w:szCs w:val="20"/>
                <w:lang w:eastAsia="pt-PT"/>
              </w:rPr>
            </w:pPr>
            <w:r w:rsidRPr="001B4B61">
              <w:rPr>
                <w:rFonts w:ascii="Times New Roman" w:hAnsi="Times New Roman" w:cs="Times New Roman"/>
                <w:b/>
                <w:bCs/>
                <w:color w:val="FFFFFF"/>
                <w:sz w:val="20"/>
                <w:szCs w:val="20"/>
                <w:lang w:eastAsia="pt-PT"/>
              </w:rPr>
              <w:t>2018</w:t>
            </w:r>
          </w:p>
        </w:tc>
        <w:tc>
          <w:tcPr>
            <w:tcW w:w="1276" w:type="dxa"/>
            <w:gridSpan w:val="2"/>
            <w:tcBorders>
              <w:top w:val="single" w:sz="8" w:space="0" w:color="auto"/>
              <w:left w:val="single" w:sz="8" w:space="0" w:color="000000" w:themeColor="text1"/>
              <w:bottom w:val="single" w:sz="8" w:space="0" w:color="000000" w:themeColor="text1"/>
              <w:right w:val="single" w:sz="8" w:space="0" w:color="000000" w:themeColor="text1"/>
            </w:tcBorders>
            <w:shd w:val="clear" w:color="auto" w:fill="595959" w:themeFill="text1" w:themeFillTint="A6"/>
            <w:vAlign w:val="center"/>
            <w:hideMark/>
          </w:tcPr>
          <w:p w14:paraId="72EC7EB9" w14:textId="77777777" w:rsidR="00406ADA" w:rsidRPr="001B4B61" w:rsidRDefault="00406ADA" w:rsidP="00813E19">
            <w:pPr>
              <w:spacing w:line="240" w:lineRule="auto"/>
              <w:jc w:val="center"/>
              <w:rPr>
                <w:rFonts w:ascii="Times New Roman" w:hAnsi="Times New Roman" w:cs="Times New Roman"/>
                <w:b/>
                <w:bCs/>
                <w:color w:val="FFFFFF"/>
                <w:sz w:val="20"/>
                <w:szCs w:val="20"/>
                <w:lang w:eastAsia="pt-PT"/>
              </w:rPr>
            </w:pPr>
            <w:r w:rsidRPr="001B4B61">
              <w:rPr>
                <w:rFonts w:ascii="Times New Roman" w:hAnsi="Times New Roman" w:cs="Times New Roman"/>
                <w:b/>
                <w:bCs/>
                <w:color w:val="FFFFFF"/>
                <w:sz w:val="20"/>
                <w:szCs w:val="20"/>
                <w:lang w:eastAsia="pt-PT"/>
              </w:rPr>
              <w:t>2019</w:t>
            </w:r>
          </w:p>
        </w:tc>
        <w:tc>
          <w:tcPr>
            <w:tcW w:w="1276" w:type="dxa"/>
            <w:gridSpan w:val="2"/>
            <w:tcBorders>
              <w:top w:val="single" w:sz="8" w:space="0" w:color="auto"/>
              <w:left w:val="single" w:sz="8" w:space="0" w:color="000000" w:themeColor="text1"/>
              <w:bottom w:val="single" w:sz="8" w:space="0" w:color="000000" w:themeColor="text1"/>
              <w:right w:val="single" w:sz="8" w:space="0" w:color="000000" w:themeColor="text1"/>
            </w:tcBorders>
            <w:shd w:val="clear" w:color="auto" w:fill="595959" w:themeFill="text1" w:themeFillTint="A6"/>
            <w:vAlign w:val="center"/>
            <w:hideMark/>
          </w:tcPr>
          <w:p w14:paraId="75C66435" w14:textId="77777777" w:rsidR="00406ADA" w:rsidRPr="001B4B61" w:rsidRDefault="00406ADA" w:rsidP="00813E19">
            <w:pPr>
              <w:spacing w:line="240" w:lineRule="auto"/>
              <w:jc w:val="center"/>
              <w:rPr>
                <w:rFonts w:ascii="Times New Roman" w:hAnsi="Times New Roman" w:cs="Times New Roman"/>
                <w:b/>
                <w:bCs/>
                <w:color w:val="FFFFFF"/>
                <w:sz w:val="20"/>
                <w:szCs w:val="20"/>
                <w:lang w:eastAsia="pt-PT"/>
              </w:rPr>
            </w:pPr>
            <w:r w:rsidRPr="001B4B61">
              <w:rPr>
                <w:rFonts w:ascii="Times New Roman" w:hAnsi="Times New Roman" w:cs="Times New Roman"/>
                <w:b/>
                <w:bCs/>
                <w:color w:val="FFFFFF"/>
                <w:sz w:val="20"/>
                <w:szCs w:val="20"/>
                <w:lang w:eastAsia="pt-PT"/>
              </w:rPr>
              <w:t>2020</w:t>
            </w:r>
          </w:p>
        </w:tc>
        <w:tc>
          <w:tcPr>
            <w:tcW w:w="1134" w:type="dxa"/>
            <w:gridSpan w:val="2"/>
            <w:tcBorders>
              <w:top w:val="single" w:sz="8" w:space="0" w:color="auto"/>
              <w:left w:val="single" w:sz="8" w:space="0" w:color="000000" w:themeColor="text1"/>
              <w:bottom w:val="single" w:sz="8" w:space="0" w:color="000000" w:themeColor="text1"/>
              <w:right w:val="single" w:sz="8" w:space="0" w:color="000000" w:themeColor="text1"/>
            </w:tcBorders>
            <w:shd w:val="clear" w:color="auto" w:fill="595959" w:themeFill="text1" w:themeFillTint="A6"/>
            <w:vAlign w:val="center"/>
            <w:hideMark/>
          </w:tcPr>
          <w:p w14:paraId="56FF3FC3" w14:textId="77777777" w:rsidR="00406ADA" w:rsidRPr="001B4B61" w:rsidRDefault="00406ADA" w:rsidP="00813E19">
            <w:pPr>
              <w:spacing w:line="240" w:lineRule="auto"/>
              <w:jc w:val="center"/>
              <w:rPr>
                <w:rFonts w:ascii="Times New Roman" w:hAnsi="Times New Roman" w:cs="Times New Roman"/>
                <w:b/>
                <w:bCs/>
                <w:color w:val="FFFFFF"/>
                <w:sz w:val="20"/>
                <w:szCs w:val="20"/>
                <w:lang w:eastAsia="pt-PT"/>
              </w:rPr>
            </w:pPr>
            <w:r w:rsidRPr="001B4B61">
              <w:rPr>
                <w:rFonts w:ascii="Times New Roman" w:hAnsi="Times New Roman" w:cs="Times New Roman"/>
                <w:b/>
                <w:bCs/>
                <w:color w:val="FFFFFF"/>
                <w:sz w:val="20"/>
                <w:szCs w:val="20"/>
                <w:lang w:eastAsia="pt-PT"/>
              </w:rPr>
              <w:t>2021</w:t>
            </w:r>
          </w:p>
        </w:tc>
        <w:tc>
          <w:tcPr>
            <w:tcW w:w="1134" w:type="dxa"/>
            <w:gridSpan w:val="2"/>
            <w:tcBorders>
              <w:top w:val="single" w:sz="8" w:space="0" w:color="auto"/>
              <w:left w:val="single" w:sz="8" w:space="0" w:color="000000" w:themeColor="text1"/>
              <w:bottom w:val="single" w:sz="8" w:space="0" w:color="000000" w:themeColor="text1"/>
              <w:right w:val="single" w:sz="8" w:space="0" w:color="auto"/>
            </w:tcBorders>
            <w:shd w:val="clear" w:color="auto" w:fill="595959" w:themeFill="text1" w:themeFillTint="A6"/>
            <w:vAlign w:val="center"/>
            <w:hideMark/>
          </w:tcPr>
          <w:p w14:paraId="193DF515" w14:textId="77777777" w:rsidR="00406ADA" w:rsidRPr="001B4B61" w:rsidRDefault="00406ADA" w:rsidP="00813E19">
            <w:pPr>
              <w:spacing w:line="240" w:lineRule="auto"/>
              <w:jc w:val="center"/>
              <w:rPr>
                <w:rFonts w:ascii="Times New Roman" w:hAnsi="Times New Roman" w:cs="Times New Roman"/>
                <w:b/>
                <w:bCs/>
                <w:color w:val="FFFFFF"/>
                <w:sz w:val="20"/>
                <w:szCs w:val="20"/>
                <w:lang w:eastAsia="pt-PT"/>
              </w:rPr>
            </w:pPr>
            <w:r w:rsidRPr="001B4B61">
              <w:rPr>
                <w:rFonts w:ascii="Times New Roman" w:hAnsi="Times New Roman" w:cs="Times New Roman"/>
                <w:b/>
                <w:bCs/>
                <w:color w:val="FFFFFF"/>
                <w:sz w:val="20"/>
                <w:szCs w:val="20"/>
                <w:lang w:eastAsia="pt-PT"/>
              </w:rPr>
              <w:t>2022</w:t>
            </w:r>
          </w:p>
        </w:tc>
      </w:tr>
      <w:tr w:rsidR="00406ADA" w:rsidRPr="001B4B61" w14:paraId="6155A4B0" w14:textId="77777777" w:rsidTr="001B4B61">
        <w:trPr>
          <w:trHeight w:val="64"/>
        </w:trPr>
        <w:tc>
          <w:tcPr>
            <w:tcW w:w="2400" w:type="dxa"/>
            <w:vMerge/>
            <w:tcBorders>
              <w:left w:val="single" w:sz="8" w:space="0" w:color="auto"/>
              <w:bottom w:val="single" w:sz="8" w:space="0" w:color="auto"/>
              <w:right w:val="single" w:sz="8" w:space="0" w:color="auto"/>
            </w:tcBorders>
            <w:shd w:val="clear" w:color="auto" w:fill="595959" w:themeFill="text1" w:themeFillTint="A6"/>
            <w:vAlign w:val="bottom"/>
            <w:hideMark/>
          </w:tcPr>
          <w:p w14:paraId="267A995E" w14:textId="77777777" w:rsidR="00406ADA" w:rsidRPr="001B4B61" w:rsidRDefault="00406ADA" w:rsidP="00813E19">
            <w:pPr>
              <w:spacing w:line="240" w:lineRule="auto"/>
              <w:rPr>
                <w:rFonts w:ascii="Times New Roman" w:hAnsi="Times New Roman" w:cs="Times New Roman"/>
                <w:b/>
                <w:bCs/>
                <w:color w:val="FFFFFF"/>
                <w:sz w:val="20"/>
                <w:szCs w:val="20"/>
                <w:lang w:eastAsia="pt-PT"/>
              </w:rPr>
            </w:pPr>
          </w:p>
        </w:tc>
        <w:tc>
          <w:tcPr>
            <w:tcW w:w="589" w:type="dxa"/>
            <w:tcBorders>
              <w:top w:val="single" w:sz="8" w:space="0" w:color="000000" w:themeColor="text1"/>
              <w:left w:val="nil"/>
              <w:bottom w:val="single" w:sz="8" w:space="0" w:color="auto"/>
              <w:right w:val="single" w:sz="8" w:space="0" w:color="000000" w:themeColor="text1"/>
            </w:tcBorders>
            <w:shd w:val="clear" w:color="auto" w:fill="595959" w:themeFill="text1" w:themeFillTint="A6"/>
            <w:vAlign w:val="center"/>
          </w:tcPr>
          <w:p w14:paraId="485A7674" w14:textId="77777777" w:rsidR="00406ADA" w:rsidRPr="001B4B61" w:rsidRDefault="00406ADA" w:rsidP="00813E19">
            <w:pPr>
              <w:spacing w:line="240" w:lineRule="auto"/>
              <w:jc w:val="center"/>
              <w:rPr>
                <w:rFonts w:ascii="Times New Roman" w:hAnsi="Times New Roman" w:cs="Times New Roman"/>
                <w:b/>
                <w:bCs/>
                <w:color w:val="FFFFFF"/>
                <w:sz w:val="20"/>
                <w:szCs w:val="20"/>
                <w:lang w:eastAsia="pt-PT"/>
              </w:rPr>
            </w:pPr>
            <w:r w:rsidRPr="001B4B61">
              <w:rPr>
                <w:rFonts w:ascii="Times New Roman" w:hAnsi="Times New Roman" w:cs="Times New Roman"/>
                <w:b/>
                <w:bCs/>
                <w:color w:val="FFFFFF"/>
                <w:sz w:val="20"/>
                <w:szCs w:val="20"/>
                <w:lang w:eastAsia="pt-PT"/>
              </w:rPr>
              <w:t>N</w:t>
            </w:r>
          </w:p>
        </w:tc>
        <w:tc>
          <w:tcPr>
            <w:tcW w:w="567"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595959" w:themeFill="text1" w:themeFillTint="A6"/>
            <w:vAlign w:val="center"/>
          </w:tcPr>
          <w:p w14:paraId="517F08AC" w14:textId="77777777" w:rsidR="00406ADA" w:rsidRPr="001B4B61" w:rsidRDefault="00406ADA" w:rsidP="00813E19">
            <w:pPr>
              <w:spacing w:line="240" w:lineRule="auto"/>
              <w:jc w:val="center"/>
              <w:rPr>
                <w:rFonts w:ascii="Times New Roman" w:hAnsi="Times New Roman" w:cs="Times New Roman"/>
                <w:b/>
                <w:bCs/>
                <w:color w:val="FFFFFF"/>
                <w:sz w:val="20"/>
                <w:szCs w:val="20"/>
                <w:lang w:eastAsia="pt-PT"/>
              </w:rPr>
            </w:pPr>
            <w:r w:rsidRPr="001B4B61">
              <w:rPr>
                <w:rFonts w:ascii="Times New Roman" w:hAnsi="Times New Roman" w:cs="Times New Roman"/>
                <w:b/>
                <w:bCs/>
                <w:color w:val="FFFFFF"/>
                <w:sz w:val="20"/>
                <w:szCs w:val="20"/>
                <w:lang w:eastAsia="pt-PT"/>
              </w:rPr>
              <w:t>%</w:t>
            </w:r>
          </w:p>
        </w:tc>
        <w:tc>
          <w:tcPr>
            <w:tcW w:w="567"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595959" w:themeFill="text1" w:themeFillTint="A6"/>
            <w:vAlign w:val="center"/>
            <w:hideMark/>
          </w:tcPr>
          <w:p w14:paraId="117C81BC" w14:textId="77777777" w:rsidR="00406ADA" w:rsidRPr="001B4B61" w:rsidRDefault="00406ADA" w:rsidP="00813E19">
            <w:pPr>
              <w:spacing w:line="240" w:lineRule="auto"/>
              <w:jc w:val="center"/>
              <w:rPr>
                <w:rFonts w:ascii="Times New Roman" w:hAnsi="Times New Roman" w:cs="Times New Roman"/>
                <w:b/>
                <w:bCs/>
                <w:color w:val="FFFFFF"/>
                <w:sz w:val="20"/>
                <w:szCs w:val="20"/>
                <w:lang w:eastAsia="pt-PT"/>
              </w:rPr>
            </w:pPr>
            <w:r w:rsidRPr="001B4B61">
              <w:rPr>
                <w:rFonts w:ascii="Times New Roman" w:hAnsi="Times New Roman" w:cs="Times New Roman"/>
                <w:b/>
                <w:bCs/>
                <w:color w:val="FFFFFF"/>
                <w:sz w:val="20"/>
                <w:szCs w:val="20"/>
                <w:lang w:eastAsia="pt-PT"/>
              </w:rPr>
              <w:t>N</w:t>
            </w:r>
          </w:p>
        </w:tc>
        <w:tc>
          <w:tcPr>
            <w:tcW w:w="709"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595959" w:themeFill="text1" w:themeFillTint="A6"/>
            <w:vAlign w:val="center"/>
            <w:hideMark/>
          </w:tcPr>
          <w:p w14:paraId="7089B534" w14:textId="77777777" w:rsidR="00406ADA" w:rsidRPr="001B4B61" w:rsidRDefault="00406ADA" w:rsidP="00813E19">
            <w:pPr>
              <w:spacing w:line="240" w:lineRule="auto"/>
              <w:jc w:val="center"/>
              <w:rPr>
                <w:rFonts w:ascii="Times New Roman" w:hAnsi="Times New Roman" w:cs="Times New Roman"/>
                <w:b/>
                <w:bCs/>
                <w:color w:val="FFFFFF"/>
                <w:sz w:val="20"/>
                <w:szCs w:val="20"/>
                <w:lang w:eastAsia="pt-PT"/>
              </w:rPr>
            </w:pPr>
            <w:r w:rsidRPr="001B4B61">
              <w:rPr>
                <w:rFonts w:ascii="Times New Roman" w:hAnsi="Times New Roman" w:cs="Times New Roman"/>
                <w:b/>
                <w:bCs/>
                <w:color w:val="FFFFFF"/>
                <w:sz w:val="20"/>
                <w:szCs w:val="20"/>
                <w:lang w:eastAsia="pt-PT"/>
              </w:rPr>
              <w:t>%</w:t>
            </w:r>
          </w:p>
        </w:tc>
        <w:tc>
          <w:tcPr>
            <w:tcW w:w="709"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595959" w:themeFill="text1" w:themeFillTint="A6"/>
            <w:vAlign w:val="center"/>
            <w:hideMark/>
          </w:tcPr>
          <w:p w14:paraId="6DF976A9" w14:textId="77777777" w:rsidR="00406ADA" w:rsidRPr="001B4B61" w:rsidRDefault="00406ADA" w:rsidP="00813E19">
            <w:pPr>
              <w:spacing w:line="240" w:lineRule="auto"/>
              <w:jc w:val="center"/>
              <w:rPr>
                <w:rFonts w:ascii="Times New Roman" w:hAnsi="Times New Roman" w:cs="Times New Roman"/>
                <w:b/>
                <w:bCs/>
                <w:color w:val="FFFFFF"/>
                <w:sz w:val="20"/>
                <w:szCs w:val="20"/>
                <w:lang w:eastAsia="pt-PT"/>
              </w:rPr>
            </w:pPr>
            <w:r w:rsidRPr="001B4B61">
              <w:rPr>
                <w:rFonts w:ascii="Times New Roman" w:hAnsi="Times New Roman" w:cs="Times New Roman"/>
                <w:b/>
                <w:bCs/>
                <w:color w:val="FFFFFF"/>
                <w:sz w:val="20"/>
                <w:szCs w:val="20"/>
                <w:lang w:eastAsia="pt-PT"/>
              </w:rPr>
              <w:t>N</w:t>
            </w:r>
          </w:p>
        </w:tc>
        <w:tc>
          <w:tcPr>
            <w:tcW w:w="567"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595959" w:themeFill="text1" w:themeFillTint="A6"/>
            <w:vAlign w:val="center"/>
            <w:hideMark/>
          </w:tcPr>
          <w:p w14:paraId="164A2B75" w14:textId="77777777" w:rsidR="00406ADA" w:rsidRPr="001B4B61" w:rsidRDefault="00406ADA" w:rsidP="00813E19">
            <w:pPr>
              <w:spacing w:line="240" w:lineRule="auto"/>
              <w:jc w:val="center"/>
              <w:rPr>
                <w:rFonts w:ascii="Times New Roman" w:hAnsi="Times New Roman" w:cs="Times New Roman"/>
                <w:b/>
                <w:bCs/>
                <w:color w:val="FFFFFF"/>
                <w:sz w:val="20"/>
                <w:szCs w:val="20"/>
                <w:lang w:eastAsia="pt-PT"/>
              </w:rPr>
            </w:pPr>
            <w:r w:rsidRPr="001B4B61">
              <w:rPr>
                <w:rFonts w:ascii="Times New Roman" w:hAnsi="Times New Roman" w:cs="Times New Roman"/>
                <w:b/>
                <w:bCs/>
                <w:color w:val="FFFFFF"/>
                <w:sz w:val="20"/>
                <w:szCs w:val="20"/>
                <w:lang w:eastAsia="pt-PT"/>
              </w:rPr>
              <w:t>%</w:t>
            </w:r>
          </w:p>
        </w:tc>
        <w:tc>
          <w:tcPr>
            <w:tcW w:w="567"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595959" w:themeFill="text1" w:themeFillTint="A6"/>
            <w:vAlign w:val="center"/>
            <w:hideMark/>
          </w:tcPr>
          <w:p w14:paraId="3671D6EF" w14:textId="77777777" w:rsidR="00406ADA" w:rsidRPr="001B4B61" w:rsidRDefault="00406ADA" w:rsidP="00813E19">
            <w:pPr>
              <w:spacing w:line="240" w:lineRule="auto"/>
              <w:jc w:val="center"/>
              <w:rPr>
                <w:rFonts w:ascii="Times New Roman" w:hAnsi="Times New Roman" w:cs="Times New Roman"/>
                <w:b/>
                <w:bCs/>
                <w:color w:val="FFFFFF"/>
                <w:sz w:val="20"/>
                <w:szCs w:val="20"/>
                <w:lang w:eastAsia="pt-PT"/>
              </w:rPr>
            </w:pPr>
            <w:r w:rsidRPr="001B4B61">
              <w:rPr>
                <w:rFonts w:ascii="Times New Roman" w:hAnsi="Times New Roman" w:cs="Times New Roman"/>
                <w:b/>
                <w:bCs/>
                <w:color w:val="FFFFFF"/>
                <w:sz w:val="20"/>
                <w:szCs w:val="20"/>
                <w:lang w:eastAsia="pt-PT"/>
              </w:rPr>
              <w:t>N</w:t>
            </w:r>
          </w:p>
        </w:tc>
        <w:tc>
          <w:tcPr>
            <w:tcW w:w="567"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595959" w:themeFill="text1" w:themeFillTint="A6"/>
            <w:vAlign w:val="center"/>
            <w:hideMark/>
          </w:tcPr>
          <w:p w14:paraId="484F67D7" w14:textId="77777777" w:rsidR="00406ADA" w:rsidRPr="001B4B61" w:rsidRDefault="00406ADA" w:rsidP="00813E19">
            <w:pPr>
              <w:spacing w:line="240" w:lineRule="auto"/>
              <w:jc w:val="center"/>
              <w:rPr>
                <w:rFonts w:ascii="Times New Roman" w:hAnsi="Times New Roman" w:cs="Times New Roman"/>
                <w:b/>
                <w:bCs/>
                <w:color w:val="FFFFFF"/>
                <w:sz w:val="20"/>
                <w:szCs w:val="20"/>
                <w:lang w:eastAsia="pt-PT"/>
              </w:rPr>
            </w:pPr>
            <w:r w:rsidRPr="001B4B61">
              <w:rPr>
                <w:rFonts w:ascii="Times New Roman" w:hAnsi="Times New Roman" w:cs="Times New Roman"/>
                <w:b/>
                <w:bCs/>
                <w:color w:val="FFFFFF"/>
                <w:sz w:val="20"/>
                <w:szCs w:val="20"/>
                <w:lang w:eastAsia="pt-PT"/>
              </w:rPr>
              <w:t>%</w:t>
            </w:r>
          </w:p>
        </w:tc>
        <w:tc>
          <w:tcPr>
            <w:tcW w:w="567"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595959" w:themeFill="text1" w:themeFillTint="A6"/>
            <w:vAlign w:val="center"/>
            <w:hideMark/>
          </w:tcPr>
          <w:p w14:paraId="294F74DB" w14:textId="77777777" w:rsidR="00406ADA" w:rsidRPr="001B4B61" w:rsidRDefault="00406ADA" w:rsidP="00813E19">
            <w:pPr>
              <w:spacing w:line="240" w:lineRule="auto"/>
              <w:jc w:val="center"/>
              <w:rPr>
                <w:rFonts w:ascii="Times New Roman" w:hAnsi="Times New Roman" w:cs="Times New Roman"/>
                <w:b/>
                <w:bCs/>
                <w:color w:val="FFFFFF"/>
                <w:sz w:val="20"/>
                <w:szCs w:val="20"/>
                <w:lang w:eastAsia="pt-PT"/>
              </w:rPr>
            </w:pPr>
            <w:r w:rsidRPr="001B4B61">
              <w:rPr>
                <w:rFonts w:ascii="Times New Roman" w:hAnsi="Times New Roman" w:cs="Times New Roman"/>
                <w:b/>
                <w:bCs/>
                <w:color w:val="FFFFFF"/>
                <w:sz w:val="20"/>
                <w:szCs w:val="20"/>
                <w:lang w:eastAsia="pt-PT"/>
              </w:rPr>
              <w:t>N</w:t>
            </w:r>
          </w:p>
        </w:tc>
        <w:tc>
          <w:tcPr>
            <w:tcW w:w="567" w:type="dxa"/>
            <w:tcBorders>
              <w:top w:val="single" w:sz="8" w:space="0" w:color="000000" w:themeColor="text1"/>
              <w:left w:val="single" w:sz="8" w:space="0" w:color="000000" w:themeColor="text1"/>
              <w:bottom w:val="single" w:sz="8" w:space="0" w:color="auto"/>
              <w:right w:val="single" w:sz="8" w:space="0" w:color="auto"/>
            </w:tcBorders>
            <w:shd w:val="clear" w:color="auto" w:fill="595959" w:themeFill="text1" w:themeFillTint="A6"/>
            <w:vAlign w:val="center"/>
            <w:hideMark/>
          </w:tcPr>
          <w:p w14:paraId="6842AF8D" w14:textId="77777777" w:rsidR="00406ADA" w:rsidRPr="001B4B61" w:rsidRDefault="00406ADA" w:rsidP="00813E19">
            <w:pPr>
              <w:spacing w:line="240" w:lineRule="auto"/>
              <w:jc w:val="center"/>
              <w:rPr>
                <w:rFonts w:ascii="Times New Roman" w:hAnsi="Times New Roman" w:cs="Times New Roman"/>
                <w:b/>
                <w:bCs/>
                <w:color w:val="FFFFFF"/>
                <w:sz w:val="20"/>
                <w:szCs w:val="20"/>
                <w:lang w:eastAsia="pt-PT"/>
              </w:rPr>
            </w:pPr>
            <w:r w:rsidRPr="001B4B61">
              <w:rPr>
                <w:rFonts w:ascii="Times New Roman" w:hAnsi="Times New Roman" w:cs="Times New Roman"/>
                <w:b/>
                <w:bCs/>
                <w:color w:val="FFFFFF"/>
                <w:sz w:val="20"/>
                <w:szCs w:val="20"/>
                <w:lang w:eastAsia="pt-PT"/>
              </w:rPr>
              <w:t>%</w:t>
            </w:r>
          </w:p>
        </w:tc>
      </w:tr>
      <w:tr w:rsidR="00406ADA" w:rsidRPr="001B4B61" w14:paraId="2EC8563C" w14:textId="77777777" w:rsidTr="00813E19">
        <w:trPr>
          <w:trHeight w:val="315"/>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2D9BE66E" w14:textId="77777777" w:rsidR="00406ADA" w:rsidRPr="001B4B61" w:rsidRDefault="00406ADA" w:rsidP="00813E19">
            <w:pPr>
              <w:spacing w:line="240" w:lineRule="auto"/>
              <w:jc w:val="right"/>
              <w:rPr>
                <w:rFonts w:ascii="Times New Roman" w:hAnsi="Times New Roman" w:cs="Times New Roman"/>
                <w:b/>
                <w:bCs/>
                <w:color w:val="000000"/>
                <w:sz w:val="20"/>
                <w:szCs w:val="20"/>
                <w:lang w:eastAsia="pt-PT"/>
              </w:rPr>
            </w:pPr>
            <w:r w:rsidRPr="001B4B61">
              <w:rPr>
                <w:rFonts w:ascii="Times New Roman" w:hAnsi="Times New Roman" w:cs="Times New Roman"/>
                <w:b/>
                <w:bCs/>
                <w:color w:val="000000"/>
                <w:sz w:val="20"/>
                <w:szCs w:val="20"/>
                <w:lang w:eastAsia="pt-PT"/>
              </w:rPr>
              <w:t>Visitable NM</w:t>
            </w:r>
          </w:p>
        </w:tc>
        <w:tc>
          <w:tcPr>
            <w:tcW w:w="589" w:type="dxa"/>
            <w:tcBorders>
              <w:top w:val="single" w:sz="8" w:space="0" w:color="auto"/>
              <w:left w:val="nil"/>
              <w:bottom w:val="single" w:sz="8" w:space="0" w:color="auto"/>
              <w:right w:val="single" w:sz="4" w:space="0" w:color="auto"/>
            </w:tcBorders>
            <w:vAlign w:val="center"/>
          </w:tcPr>
          <w:p w14:paraId="50E3D26A" w14:textId="77777777" w:rsidR="00406ADA" w:rsidRPr="001B4B61" w:rsidRDefault="00406ADA" w:rsidP="00813E19">
            <w:pPr>
              <w:spacing w:line="240" w:lineRule="auto"/>
              <w:jc w:val="right"/>
              <w:rPr>
                <w:rFonts w:ascii="Times New Roman" w:hAnsi="Times New Roman" w:cs="Times New Roman"/>
                <w:b/>
                <w:bCs/>
                <w:color w:val="000000"/>
                <w:sz w:val="20"/>
                <w:szCs w:val="20"/>
                <w:lang w:eastAsia="pt-PT"/>
              </w:rPr>
            </w:pPr>
            <w:r w:rsidRPr="001B4B61">
              <w:rPr>
                <w:rFonts w:ascii="Times New Roman" w:hAnsi="Times New Roman" w:cs="Times New Roman"/>
                <w:b/>
                <w:bCs/>
                <w:color w:val="000000"/>
                <w:sz w:val="20"/>
                <w:szCs w:val="20"/>
                <w:lang w:eastAsia="pt-PT"/>
              </w:rPr>
              <w:t>172</w:t>
            </w:r>
          </w:p>
        </w:tc>
        <w:tc>
          <w:tcPr>
            <w:tcW w:w="567" w:type="dxa"/>
            <w:tcBorders>
              <w:top w:val="single" w:sz="8" w:space="0" w:color="auto"/>
              <w:left w:val="single" w:sz="4" w:space="0" w:color="auto"/>
              <w:bottom w:val="single" w:sz="8" w:space="0" w:color="auto"/>
              <w:right w:val="single" w:sz="4" w:space="0" w:color="auto"/>
            </w:tcBorders>
            <w:vAlign w:val="center"/>
          </w:tcPr>
          <w:p w14:paraId="4F0C1F26" w14:textId="77777777" w:rsidR="00406ADA" w:rsidRPr="001B4B61" w:rsidRDefault="00406ADA" w:rsidP="00813E19">
            <w:pPr>
              <w:spacing w:line="240" w:lineRule="auto"/>
              <w:jc w:val="right"/>
              <w:rPr>
                <w:rFonts w:ascii="Times New Roman" w:hAnsi="Times New Roman" w:cs="Times New Roman"/>
                <w:b/>
                <w:bCs/>
                <w:color w:val="000000"/>
                <w:sz w:val="20"/>
                <w:szCs w:val="20"/>
                <w:lang w:eastAsia="pt-PT"/>
              </w:rPr>
            </w:pPr>
          </w:p>
        </w:tc>
        <w:tc>
          <w:tcPr>
            <w:tcW w:w="567"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1F13CB33" w14:textId="77777777" w:rsidR="00406ADA" w:rsidRPr="001B4B61" w:rsidRDefault="00406ADA" w:rsidP="00813E19">
            <w:pPr>
              <w:spacing w:line="240" w:lineRule="auto"/>
              <w:jc w:val="right"/>
              <w:rPr>
                <w:rFonts w:ascii="Times New Roman" w:hAnsi="Times New Roman" w:cs="Times New Roman"/>
                <w:b/>
                <w:bCs/>
                <w:color w:val="000000"/>
                <w:sz w:val="20"/>
                <w:szCs w:val="20"/>
                <w:lang w:eastAsia="pt-PT"/>
              </w:rPr>
            </w:pPr>
            <w:r w:rsidRPr="001B4B61">
              <w:rPr>
                <w:rFonts w:ascii="Times New Roman" w:hAnsi="Times New Roman" w:cs="Times New Roman"/>
                <w:b/>
                <w:bCs/>
                <w:color w:val="000000"/>
                <w:sz w:val="20"/>
                <w:szCs w:val="20"/>
                <w:lang w:eastAsia="pt-PT"/>
              </w:rPr>
              <w:t>166</w:t>
            </w:r>
          </w:p>
        </w:tc>
        <w:tc>
          <w:tcPr>
            <w:tcW w:w="709" w:type="dxa"/>
            <w:tcBorders>
              <w:top w:val="nil"/>
              <w:left w:val="nil"/>
              <w:bottom w:val="single" w:sz="8" w:space="0" w:color="auto"/>
              <w:right w:val="single" w:sz="8" w:space="0" w:color="auto"/>
            </w:tcBorders>
            <w:shd w:val="clear" w:color="auto" w:fill="auto"/>
            <w:vAlign w:val="center"/>
            <w:hideMark/>
          </w:tcPr>
          <w:p w14:paraId="55672790" w14:textId="77777777" w:rsidR="00406ADA" w:rsidRPr="001B4B61" w:rsidRDefault="00406ADA" w:rsidP="00813E19">
            <w:pPr>
              <w:spacing w:line="240" w:lineRule="auto"/>
              <w:jc w:val="right"/>
              <w:rPr>
                <w:rFonts w:ascii="Times New Roman" w:hAnsi="Times New Roman" w:cs="Times New Roman"/>
                <w:b/>
                <w:bCs/>
                <w:i/>
                <w:iCs/>
                <w:color w:val="000000"/>
                <w:sz w:val="20"/>
                <w:szCs w:val="20"/>
                <w:lang w:eastAsia="pt-PT"/>
              </w:rPr>
            </w:pPr>
            <w:r w:rsidRPr="001B4B61">
              <w:rPr>
                <w:rFonts w:ascii="Times New Roman" w:hAnsi="Times New Roman" w:cs="Times New Roman"/>
                <w:b/>
                <w:bCs/>
                <w:i/>
                <w:iCs/>
                <w:color w:val="000000"/>
                <w:sz w:val="20"/>
                <w:szCs w:val="20"/>
                <w:lang w:eastAsia="pt-PT"/>
              </w:rPr>
              <w:t> </w:t>
            </w:r>
          </w:p>
        </w:tc>
        <w:tc>
          <w:tcPr>
            <w:tcW w:w="709" w:type="dxa"/>
            <w:tcBorders>
              <w:top w:val="nil"/>
              <w:left w:val="nil"/>
              <w:bottom w:val="single" w:sz="8" w:space="0" w:color="auto"/>
              <w:right w:val="single" w:sz="8" w:space="0" w:color="auto"/>
            </w:tcBorders>
            <w:shd w:val="clear" w:color="auto" w:fill="auto"/>
            <w:vAlign w:val="center"/>
            <w:hideMark/>
          </w:tcPr>
          <w:p w14:paraId="71659674" w14:textId="77777777" w:rsidR="00406ADA" w:rsidRPr="001B4B61" w:rsidRDefault="00406ADA" w:rsidP="00813E19">
            <w:pPr>
              <w:spacing w:line="240" w:lineRule="auto"/>
              <w:jc w:val="right"/>
              <w:rPr>
                <w:rFonts w:ascii="Times New Roman" w:hAnsi="Times New Roman" w:cs="Times New Roman"/>
                <w:b/>
                <w:bCs/>
                <w:color w:val="000000"/>
                <w:sz w:val="20"/>
                <w:szCs w:val="20"/>
                <w:lang w:eastAsia="pt-PT"/>
              </w:rPr>
            </w:pPr>
            <w:r w:rsidRPr="001B4B61">
              <w:rPr>
                <w:rFonts w:ascii="Times New Roman" w:hAnsi="Times New Roman" w:cs="Times New Roman"/>
                <w:b/>
                <w:bCs/>
                <w:color w:val="000000"/>
                <w:sz w:val="20"/>
                <w:szCs w:val="20"/>
                <w:lang w:eastAsia="pt-PT"/>
              </w:rPr>
              <w:t>176</w:t>
            </w:r>
          </w:p>
        </w:tc>
        <w:tc>
          <w:tcPr>
            <w:tcW w:w="567" w:type="dxa"/>
            <w:tcBorders>
              <w:top w:val="nil"/>
              <w:left w:val="nil"/>
              <w:bottom w:val="single" w:sz="8" w:space="0" w:color="auto"/>
              <w:right w:val="single" w:sz="8" w:space="0" w:color="auto"/>
            </w:tcBorders>
            <w:shd w:val="clear" w:color="auto" w:fill="auto"/>
            <w:vAlign w:val="center"/>
            <w:hideMark/>
          </w:tcPr>
          <w:p w14:paraId="6149C37E" w14:textId="77777777" w:rsidR="00406ADA" w:rsidRPr="001B4B61" w:rsidRDefault="00406ADA" w:rsidP="00813E19">
            <w:pPr>
              <w:spacing w:line="240" w:lineRule="auto"/>
              <w:jc w:val="right"/>
              <w:rPr>
                <w:rFonts w:ascii="Times New Roman" w:hAnsi="Times New Roman" w:cs="Times New Roman"/>
                <w:b/>
                <w:bCs/>
                <w:i/>
                <w:iCs/>
                <w:color w:val="000000"/>
                <w:sz w:val="20"/>
                <w:szCs w:val="20"/>
                <w:lang w:eastAsia="pt-PT"/>
              </w:rPr>
            </w:pPr>
            <w:r w:rsidRPr="001B4B61">
              <w:rPr>
                <w:rFonts w:ascii="Times New Roman" w:hAnsi="Times New Roman" w:cs="Times New Roman"/>
                <w:b/>
                <w:bCs/>
                <w:i/>
                <w:iCs/>
                <w:color w:val="000000"/>
                <w:sz w:val="20"/>
                <w:szCs w:val="20"/>
                <w:lang w:eastAsia="pt-PT"/>
              </w:rPr>
              <w:t> </w:t>
            </w:r>
          </w:p>
        </w:tc>
        <w:tc>
          <w:tcPr>
            <w:tcW w:w="567" w:type="dxa"/>
            <w:tcBorders>
              <w:top w:val="nil"/>
              <w:left w:val="nil"/>
              <w:bottom w:val="single" w:sz="8" w:space="0" w:color="auto"/>
              <w:right w:val="single" w:sz="8" w:space="0" w:color="auto"/>
            </w:tcBorders>
            <w:shd w:val="clear" w:color="auto" w:fill="auto"/>
            <w:vAlign w:val="center"/>
            <w:hideMark/>
          </w:tcPr>
          <w:p w14:paraId="65DDB394" w14:textId="77777777" w:rsidR="00406ADA" w:rsidRPr="001B4B61" w:rsidRDefault="00406ADA" w:rsidP="00813E19">
            <w:pPr>
              <w:spacing w:line="240" w:lineRule="auto"/>
              <w:jc w:val="right"/>
              <w:rPr>
                <w:rFonts w:ascii="Times New Roman" w:hAnsi="Times New Roman" w:cs="Times New Roman"/>
                <w:b/>
                <w:bCs/>
                <w:i/>
                <w:iCs/>
                <w:color w:val="000000"/>
                <w:sz w:val="20"/>
                <w:szCs w:val="20"/>
                <w:lang w:eastAsia="pt-PT"/>
              </w:rPr>
            </w:pPr>
            <w:r w:rsidRPr="001B4B61">
              <w:rPr>
                <w:rFonts w:ascii="Times New Roman" w:hAnsi="Times New Roman" w:cs="Times New Roman"/>
                <w:b/>
                <w:bCs/>
                <w:i/>
                <w:iCs/>
                <w:color w:val="000000"/>
                <w:sz w:val="20"/>
                <w:szCs w:val="20"/>
                <w:lang w:eastAsia="pt-PT"/>
              </w:rPr>
              <w:t>194</w:t>
            </w:r>
          </w:p>
        </w:tc>
        <w:tc>
          <w:tcPr>
            <w:tcW w:w="567" w:type="dxa"/>
            <w:tcBorders>
              <w:top w:val="nil"/>
              <w:left w:val="nil"/>
              <w:bottom w:val="single" w:sz="8" w:space="0" w:color="auto"/>
              <w:right w:val="single" w:sz="8" w:space="0" w:color="auto"/>
            </w:tcBorders>
            <w:shd w:val="clear" w:color="auto" w:fill="auto"/>
            <w:vAlign w:val="center"/>
            <w:hideMark/>
          </w:tcPr>
          <w:p w14:paraId="053F29CF" w14:textId="77777777" w:rsidR="00406ADA" w:rsidRPr="001B4B61" w:rsidRDefault="00406ADA" w:rsidP="00813E19">
            <w:pPr>
              <w:spacing w:line="240" w:lineRule="auto"/>
              <w:jc w:val="right"/>
              <w:rPr>
                <w:rFonts w:ascii="Times New Roman" w:hAnsi="Times New Roman" w:cs="Times New Roman"/>
                <w:b/>
                <w:bCs/>
                <w:i/>
                <w:iCs/>
                <w:color w:val="000000"/>
                <w:sz w:val="20"/>
                <w:szCs w:val="20"/>
                <w:lang w:eastAsia="pt-PT"/>
              </w:rPr>
            </w:pPr>
            <w:r w:rsidRPr="001B4B61">
              <w:rPr>
                <w:rFonts w:ascii="Times New Roman" w:hAnsi="Times New Roman" w:cs="Times New Roman"/>
                <w:b/>
                <w:bCs/>
                <w:i/>
                <w:iCs/>
                <w:color w:val="000000"/>
                <w:sz w:val="20"/>
                <w:szCs w:val="20"/>
                <w:lang w:eastAsia="pt-PT"/>
              </w:rPr>
              <w:t> </w:t>
            </w:r>
          </w:p>
        </w:tc>
        <w:tc>
          <w:tcPr>
            <w:tcW w:w="567" w:type="dxa"/>
            <w:tcBorders>
              <w:top w:val="nil"/>
              <w:left w:val="nil"/>
              <w:bottom w:val="single" w:sz="8" w:space="0" w:color="auto"/>
              <w:right w:val="single" w:sz="8" w:space="0" w:color="auto"/>
            </w:tcBorders>
            <w:shd w:val="clear" w:color="auto" w:fill="auto"/>
            <w:vAlign w:val="center"/>
            <w:hideMark/>
          </w:tcPr>
          <w:p w14:paraId="63339309" w14:textId="77777777" w:rsidR="00406ADA" w:rsidRPr="001B4B61" w:rsidRDefault="00406ADA" w:rsidP="00813E19">
            <w:pPr>
              <w:spacing w:line="240" w:lineRule="auto"/>
              <w:jc w:val="right"/>
              <w:rPr>
                <w:rFonts w:ascii="Times New Roman" w:hAnsi="Times New Roman" w:cs="Times New Roman"/>
                <w:b/>
                <w:bCs/>
                <w:i/>
                <w:iCs/>
                <w:color w:val="000000"/>
                <w:sz w:val="20"/>
                <w:szCs w:val="20"/>
                <w:lang w:eastAsia="pt-PT"/>
              </w:rPr>
            </w:pPr>
            <w:r w:rsidRPr="001B4B61">
              <w:rPr>
                <w:rFonts w:ascii="Times New Roman" w:hAnsi="Times New Roman" w:cs="Times New Roman"/>
                <w:b/>
                <w:bCs/>
                <w:i/>
                <w:iCs/>
                <w:color w:val="000000"/>
                <w:sz w:val="20"/>
                <w:szCs w:val="20"/>
                <w:lang w:eastAsia="pt-PT"/>
              </w:rPr>
              <w:t>225</w:t>
            </w:r>
          </w:p>
        </w:tc>
        <w:tc>
          <w:tcPr>
            <w:tcW w:w="567" w:type="dxa"/>
            <w:tcBorders>
              <w:top w:val="nil"/>
              <w:left w:val="nil"/>
              <w:bottom w:val="single" w:sz="8" w:space="0" w:color="auto"/>
              <w:right w:val="single" w:sz="8" w:space="0" w:color="auto"/>
            </w:tcBorders>
            <w:shd w:val="clear" w:color="auto" w:fill="auto"/>
            <w:vAlign w:val="center"/>
            <w:hideMark/>
          </w:tcPr>
          <w:p w14:paraId="4C9C99E2" w14:textId="77777777" w:rsidR="00406ADA" w:rsidRPr="001B4B61" w:rsidRDefault="00406ADA" w:rsidP="00813E19">
            <w:pPr>
              <w:spacing w:line="240" w:lineRule="auto"/>
              <w:jc w:val="right"/>
              <w:rPr>
                <w:rFonts w:ascii="Times New Roman" w:hAnsi="Times New Roman" w:cs="Times New Roman"/>
                <w:b/>
                <w:bCs/>
                <w:i/>
                <w:iCs/>
                <w:color w:val="000000"/>
                <w:sz w:val="20"/>
                <w:szCs w:val="20"/>
                <w:lang w:eastAsia="pt-PT"/>
              </w:rPr>
            </w:pPr>
            <w:r w:rsidRPr="001B4B61">
              <w:rPr>
                <w:rFonts w:ascii="Times New Roman" w:hAnsi="Times New Roman" w:cs="Times New Roman"/>
                <w:b/>
                <w:bCs/>
                <w:i/>
                <w:iCs/>
                <w:color w:val="000000"/>
                <w:sz w:val="20"/>
                <w:szCs w:val="20"/>
                <w:lang w:eastAsia="pt-PT"/>
              </w:rPr>
              <w:t> </w:t>
            </w:r>
          </w:p>
        </w:tc>
      </w:tr>
      <w:tr w:rsidR="00406ADA" w:rsidRPr="001B4B61" w14:paraId="5B268BDB" w14:textId="77777777" w:rsidTr="00813E19">
        <w:trPr>
          <w:trHeight w:val="315"/>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56A0FB2F" w14:textId="77777777" w:rsidR="00406ADA" w:rsidRPr="001B4B61" w:rsidRDefault="00406ADA" w:rsidP="00813E19">
            <w:pPr>
              <w:spacing w:line="240" w:lineRule="auto"/>
              <w:rPr>
                <w:rFonts w:ascii="Times New Roman" w:hAnsi="Times New Roman" w:cs="Times New Roman"/>
                <w:b/>
                <w:bCs/>
                <w:color w:val="000000"/>
                <w:sz w:val="20"/>
                <w:szCs w:val="20"/>
                <w:lang w:eastAsia="pt-PT"/>
              </w:rPr>
            </w:pPr>
            <w:r w:rsidRPr="001B4B61">
              <w:rPr>
                <w:rFonts w:ascii="Times New Roman" w:hAnsi="Times New Roman" w:cs="Times New Roman"/>
                <w:b/>
                <w:bCs/>
                <w:color w:val="000000"/>
                <w:sz w:val="20"/>
                <w:szCs w:val="20"/>
                <w:lang w:eastAsia="pt-PT"/>
              </w:rPr>
              <w:t>Management entity </w:t>
            </w:r>
          </w:p>
        </w:tc>
        <w:tc>
          <w:tcPr>
            <w:tcW w:w="589" w:type="dxa"/>
            <w:tcBorders>
              <w:top w:val="single" w:sz="8" w:space="0" w:color="auto"/>
              <w:left w:val="nil"/>
              <w:bottom w:val="single" w:sz="8" w:space="0" w:color="auto"/>
              <w:right w:val="single" w:sz="4" w:space="0" w:color="auto"/>
            </w:tcBorders>
            <w:vAlign w:val="center"/>
          </w:tcPr>
          <w:p w14:paraId="78D12D89" w14:textId="77777777" w:rsidR="00406ADA" w:rsidRPr="001B4B61" w:rsidRDefault="00406ADA" w:rsidP="00813E19">
            <w:pPr>
              <w:spacing w:line="240" w:lineRule="auto"/>
              <w:jc w:val="right"/>
              <w:rPr>
                <w:rFonts w:ascii="Times New Roman" w:hAnsi="Times New Roman" w:cs="Times New Roman"/>
                <w:b/>
                <w:bCs/>
                <w:color w:val="000000"/>
                <w:sz w:val="20"/>
                <w:szCs w:val="20"/>
                <w:lang w:eastAsia="pt-PT"/>
              </w:rPr>
            </w:pPr>
          </w:p>
        </w:tc>
        <w:tc>
          <w:tcPr>
            <w:tcW w:w="567" w:type="dxa"/>
            <w:tcBorders>
              <w:top w:val="single" w:sz="8" w:space="0" w:color="auto"/>
              <w:left w:val="single" w:sz="4" w:space="0" w:color="auto"/>
              <w:bottom w:val="single" w:sz="8" w:space="0" w:color="auto"/>
              <w:right w:val="single" w:sz="4" w:space="0" w:color="auto"/>
            </w:tcBorders>
            <w:vAlign w:val="center"/>
          </w:tcPr>
          <w:p w14:paraId="0BCCDD74" w14:textId="77777777" w:rsidR="00406ADA" w:rsidRPr="001B4B61" w:rsidRDefault="00406ADA" w:rsidP="00813E19">
            <w:pPr>
              <w:spacing w:line="240" w:lineRule="auto"/>
              <w:jc w:val="right"/>
              <w:rPr>
                <w:rFonts w:ascii="Times New Roman" w:hAnsi="Times New Roman" w:cs="Times New Roman"/>
                <w:b/>
                <w:bCs/>
                <w:color w:val="000000"/>
                <w:sz w:val="20"/>
                <w:szCs w:val="20"/>
                <w:lang w:eastAsia="pt-PT"/>
              </w:rPr>
            </w:pPr>
          </w:p>
        </w:tc>
        <w:tc>
          <w:tcPr>
            <w:tcW w:w="567"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D586835" w14:textId="77777777" w:rsidR="00406ADA" w:rsidRPr="001B4B61" w:rsidRDefault="00406ADA" w:rsidP="00813E19">
            <w:pPr>
              <w:spacing w:line="240" w:lineRule="auto"/>
              <w:jc w:val="right"/>
              <w:rPr>
                <w:rFonts w:ascii="Times New Roman" w:hAnsi="Times New Roman" w:cs="Times New Roman"/>
                <w:b/>
                <w:bCs/>
                <w:color w:val="000000"/>
                <w:sz w:val="20"/>
                <w:szCs w:val="20"/>
                <w:lang w:eastAsia="pt-PT"/>
              </w:rPr>
            </w:pPr>
            <w:r w:rsidRPr="001B4B61">
              <w:rPr>
                <w:rFonts w:ascii="Times New Roman" w:hAnsi="Times New Roman" w:cs="Times New Roman"/>
                <w:b/>
                <w:bCs/>
                <w:color w:val="000000"/>
                <w:sz w:val="20"/>
                <w:szCs w:val="20"/>
                <w:lang w:eastAsia="pt-PT"/>
              </w:rPr>
              <w:t> </w:t>
            </w:r>
          </w:p>
        </w:tc>
        <w:tc>
          <w:tcPr>
            <w:tcW w:w="709" w:type="dxa"/>
            <w:tcBorders>
              <w:top w:val="nil"/>
              <w:left w:val="nil"/>
              <w:bottom w:val="single" w:sz="8" w:space="0" w:color="auto"/>
              <w:right w:val="single" w:sz="8" w:space="0" w:color="auto"/>
            </w:tcBorders>
            <w:shd w:val="clear" w:color="auto" w:fill="auto"/>
            <w:vAlign w:val="center"/>
            <w:hideMark/>
          </w:tcPr>
          <w:p w14:paraId="53A29484" w14:textId="77777777" w:rsidR="00406ADA" w:rsidRPr="001B4B61" w:rsidRDefault="00406ADA" w:rsidP="00813E19">
            <w:pPr>
              <w:spacing w:line="240" w:lineRule="auto"/>
              <w:jc w:val="right"/>
              <w:rPr>
                <w:rFonts w:ascii="Times New Roman" w:hAnsi="Times New Roman" w:cs="Times New Roman"/>
                <w:b/>
                <w:bCs/>
                <w:i/>
                <w:iCs/>
                <w:color w:val="000000"/>
                <w:sz w:val="20"/>
                <w:szCs w:val="20"/>
                <w:lang w:eastAsia="pt-PT"/>
              </w:rPr>
            </w:pPr>
            <w:r w:rsidRPr="001B4B61">
              <w:rPr>
                <w:rFonts w:ascii="Times New Roman" w:hAnsi="Times New Roman" w:cs="Times New Roman"/>
                <w:b/>
                <w:bCs/>
                <w:i/>
                <w:iCs/>
                <w:color w:val="000000"/>
                <w:sz w:val="20"/>
                <w:szCs w:val="20"/>
                <w:lang w:eastAsia="pt-PT"/>
              </w:rPr>
              <w:t> </w:t>
            </w:r>
          </w:p>
        </w:tc>
        <w:tc>
          <w:tcPr>
            <w:tcW w:w="709" w:type="dxa"/>
            <w:tcBorders>
              <w:top w:val="nil"/>
              <w:left w:val="nil"/>
              <w:bottom w:val="single" w:sz="8" w:space="0" w:color="auto"/>
              <w:right w:val="single" w:sz="8" w:space="0" w:color="auto"/>
            </w:tcBorders>
            <w:shd w:val="clear" w:color="auto" w:fill="auto"/>
            <w:vAlign w:val="center"/>
            <w:hideMark/>
          </w:tcPr>
          <w:p w14:paraId="1F286EF0" w14:textId="77777777" w:rsidR="00406ADA" w:rsidRPr="001B4B61" w:rsidRDefault="00406ADA" w:rsidP="00813E19">
            <w:pPr>
              <w:spacing w:line="240" w:lineRule="auto"/>
              <w:jc w:val="right"/>
              <w:rPr>
                <w:rFonts w:ascii="Times New Roman" w:hAnsi="Times New Roman" w:cs="Times New Roman"/>
                <w:b/>
                <w:bCs/>
                <w:color w:val="000000"/>
                <w:sz w:val="20"/>
                <w:szCs w:val="20"/>
                <w:lang w:eastAsia="pt-PT"/>
              </w:rPr>
            </w:pPr>
            <w:r w:rsidRPr="001B4B61">
              <w:rPr>
                <w:rFonts w:ascii="Times New Roman" w:hAnsi="Times New Roman" w:cs="Times New Roman"/>
                <w:b/>
                <w:bCs/>
                <w:color w:val="000000"/>
                <w:sz w:val="20"/>
                <w:szCs w:val="20"/>
                <w:lang w:eastAsia="pt-PT"/>
              </w:rPr>
              <w:t> </w:t>
            </w:r>
          </w:p>
        </w:tc>
        <w:tc>
          <w:tcPr>
            <w:tcW w:w="567" w:type="dxa"/>
            <w:tcBorders>
              <w:top w:val="nil"/>
              <w:left w:val="nil"/>
              <w:bottom w:val="single" w:sz="8" w:space="0" w:color="auto"/>
              <w:right w:val="single" w:sz="8" w:space="0" w:color="auto"/>
            </w:tcBorders>
            <w:shd w:val="clear" w:color="auto" w:fill="auto"/>
            <w:vAlign w:val="center"/>
            <w:hideMark/>
          </w:tcPr>
          <w:p w14:paraId="6D349EA3" w14:textId="77777777" w:rsidR="00406ADA" w:rsidRPr="001B4B61" w:rsidRDefault="00406ADA" w:rsidP="00813E19">
            <w:pPr>
              <w:spacing w:line="240" w:lineRule="auto"/>
              <w:jc w:val="right"/>
              <w:rPr>
                <w:rFonts w:ascii="Times New Roman" w:hAnsi="Times New Roman" w:cs="Times New Roman"/>
                <w:b/>
                <w:bCs/>
                <w:i/>
                <w:iCs/>
                <w:color w:val="000000"/>
                <w:sz w:val="20"/>
                <w:szCs w:val="20"/>
                <w:lang w:eastAsia="pt-PT"/>
              </w:rPr>
            </w:pPr>
            <w:r w:rsidRPr="001B4B61">
              <w:rPr>
                <w:rFonts w:ascii="Times New Roman" w:hAnsi="Times New Roman" w:cs="Times New Roman"/>
                <w:b/>
                <w:bCs/>
                <w:i/>
                <w:iCs/>
                <w:color w:val="000000"/>
                <w:sz w:val="20"/>
                <w:szCs w:val="20"/>
                <w:lang w:eastAsia="pt-PT"/>
              </w:rPr>
              <w:t> </w:t>
            </w:r>
          </w:p>
        </w:tc>
        <w:tc>
          <w:tcPr>
            <w:tcW w:w="567" w:type="dxa"/>
            <w:tcBorders>
              <w:top w:val="nil"/>
              <w:left w:val="nil"/>
              <w:bottom w:val="single" w:sz="8" w:space="0" w:color="auto"/>
              <w:right w:val="single" w:sz="8" w:space="0" w:color="auto"/>
            </w:tcBorders>
            <w:shd w:val="clear" w:color="auto" w:fill="auto"/>
            <w:vAlign w:val="center"/>
            <w:hideMark/>
          </w:tcPr>
          <w:p w14:paraId="16B6CEED" w14:textId="77777777" w:rsidR="00406ADA" w:rsidRPr="001B4B61" w:rsidRDefault="00406ADA" w:rsidP="00813E19">
            <w:pPr>
              <w:spacing w:line="240" w:lineRule="auto"/>
              <w:jc w:val="right"/>
              <w:rPr>
                <w:rFonts w:ascii="Times New Roman" w:hAnsi="Times New Roman" w:cs="Times New Roman"/>
                <w:b/>
                <w:bCs/>
                <w:i/>
                <w:iCs/>
                <w:color w:val="000000"/>
                <w:sz w:val="20"/>
                <w:szCs w:val="20"/>
                <w:lang w:eastAsia="pt-PT"/>
              </w:rPr>
            </w:pPr>
            <w:r w:rsidRPr="001B4B61">
              <w:rPr>
                <w:rFonts w:ascii="Times New Roman" w:hAnsi="Times New Roman" w:cs="Times New Roman"/>
                <w:b/>
                <w:bCs/>
                <w:i/>
                <w:iCs/>
                <w:color w:val="000000"/>
                <w:sz w:val="20"/>
                <w:szCs w:val="20"/>
                <w:lang w:eastAsia="pt-PT"/>
              </w:rPr>
              <w:t> </w:t>
            </w:r>
          </w:p>
        </w:tc>
        <w:tc>
          <w:tcPr>
            <w:tcW w:w="567" w:type="dxa"/>
            <w:tcBorders>
              <w:top w:val="nil"/>
              <w:left w:val="nil"/>
              <w:bottom w:val="single" w:sz="8" w:space="0" w:color="auto"/>
              <w:right w:val="single" w:sz="8" w:space="0" w:color="auto"/>
            </w:tcBorders>
            <w:shd w:val="clear" w:color="auto" w:fill="auto"/>
            <w:vAlign w:val="center"/>
            <w:hideMark/>
          </w:tcPr>
          <w:p w14:paraId="7E2D0960" w14:textId="77777777" w:rsidR="00406ADA" w:rsidRPr="001B4B61" w:rsidRDefault="00406ADA" w:rsidP="00813E19">
            <w:pPr>
              <w:spacing w:line="240" w:lineRule="auto"/>
              <w:jc w:val="right"/>
              <w:rPr>
                <w:rFonts w:ascii="Times New Roman" w:hAnsi="Times New Roman" w:cs="Times New Roman"/>
                <w:b/>
                <w:bCs/>
                <w:i/>
                <w:iCs/>
                <w:color w:val="000000"/>
                <w:sz w:val="20"/>
                <w:szCs w:val="20"/>
                <w:lang w:eastAsia="pt-PT"/>
              </w:rPr>
            </w:pPr>
            <w:r w:rsidRPr="001B4B61">
              <w:rPr>
                <w:rFonts w:ascii="Times New Roman" w:hAnsi="Times New Roman" w:cs="Times New Roman"/>
                <w:b/>
                <w:bCs/>
                <w:i/>
                <w:iCs/>
                <w:color w:val="000000"/>
                <w:sz w:val="20"/>
                <w:szCs w:val="20"/>
                <w:lang w:eastAsia="pt-PT"/>
              </w:rPr>
              <w:t> </w:t>
            </w:r>
          </w:p>
        </w:tc>
        <w:tc>
          <w:tcPr>
            <w:tcW w:w="567" w:type="dxa"/>
            <w:tcBorders>
              <w:top w:val="nil"/>
              <w:left w:val="nil"/>
              <w:bottom w:val="single" w:sz="8" w:space="0" w:color="auto"/>
              <w:right w:val="single" w:sz="8" w:space="0" w:color="auto"/>
            </w:tcBorders>
            <w:shd w:val="clear" w:color="auto" w:fill="auto"/>
            <w:vAlign w:val="center"/>
            <w:hideMark/>
          </w:tcPr>
          <w:p w14:paraId="20CD9952" w14:textId="77777777" w:rsidR="00406ADA" w:rsidRPr="001B4B61" w:rsidRDefault="00406ADA" w:rsidP="00813E19">
            <w:pPr>
              <w:spacing w:line="240" w:lineRule="auto"/>
              <w:jc w:val="right"/>
              <w:rPr>
                <w:rFonts w:ascii="Times New Roman" w:hAnsi="Times New Roman" w:cs="Times New Roman"/>
                <w:b/>
                <w:bCs/>
                <w:i/>
                <w:iCs/>
                <w:color w:val="000000"/>
                <w:sz w:val="20"/>
                <w:szCs w:val="20"/>
                <w:lang w:eastAsia="pt-PT"/>
              </w:rPr>
            </w:pPr>
            <w:r w:rsidRPr="001B4B61">
              <w:rPr>
                <w:rFonts w:ascii="Times New Roman" w:hAnsi="Times New Roman" w:cs="Times New Roman"/>
                <w:b/>
                <w:bCs/>
                <w:i/>
                <w:iCs/>
                <w:color w:val="000000"/>
                <w:sz w:val="20"/>
                <w:szCs w:val="20"/>
                <w:lang w:eastAsia="pt-PT"/>
              </w:rPr>
              <w:t> </w:t>
            </w:r>
          </w:p>
        </w:tc>
        <w:tc>
          <w:tcPr>
            <w:tcW w:w="567" w:type="dxa"/>
            <w:tcBorders>
              <w:top w:val="nil"/>
              <w:left w:val="nil"/>
              <w:bottom w:val="single" w:sz="8" w:space="0" w:color="auto"/>
              <w:right w:val="single" w:sz="8" w:space="0" w:color="auto"/>
            </w:tcBorders>
            <w:shd w:val="clear" w:color="auto" w:fill="auto"/>
            <w:vAlign w:val="center"/>
            <w:hideMark/>
          </w:tcPr>
          <w:p w14:paraId="0A7F9291" w14:textId="77777777" w:rsidR="00406ADA" w:rsidRPr="001B4B61" w:rsidRDefault="00406ADA" w:rsidP="00813E19">
            <w:pPr>
              <w:spacing w:line="240" w:lineRule="auto"/>
              <w:jc w:val="right"/>
              <w:rPr>
                <w:rFonts w:ascii="Times New Roman" w:hAnsi="Times New Roman" w:cs="Times New Roman"/>
                <w:b/>
                <w:bCs/>
                <w:i/>
                <w:iCs/>
                <w:color w:val="000000"/>
                <w:sz w:val="20"/>
                <w:szCs w:val="20"/>
                <w:lang w:eastAsia="pt-PT"/>
              </w:rPr>
            </w:pPr>
            <w:r w:rsidRPr="001B4B61">
              <w:rPr>
                <w:rFonts w:ascii="Times New Roman" w:hAnsi="Times New Roman" w:cs="Times New Roman"/>
                <w:b/>
                <w:bCs/>
                <w:i/>
                <w:iCs/>
                <w:color w:val="000000"/>
                <w:sz w:val="20"/>
                <w:szCs w:val="20"/>
                <w:lang w:eastAsia="pt-PT"/>
              </w:rPr>
              <w:t> </w:t>
            </w:r>
          </w:p>
        </w:tc>
      </w:tr>
      <w:tr w:rsidR="00406ADA" w:rsidRPr="001B4B61" w14:paraId="68463011" w14:textId="77777777" w:rsidTr="00813E19">
        <w:trPr>
          <w:trHeight w:val="315"/>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70D03FD3" w14:textId="77777777" w:rsidR="00406ADA" w:rsidRPr="001B4B61" w:rsidRDefault="00406ADA" w:rsidP="00813E19">
            <w:pPr>
              <w:spacing w:line="240" w:lineRule="auto"/>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Ministry of Culture</w:t>
            </w:r>
          </w:p>
        </w:tc>
        <w:tc>
          <w:tcPr>
            <w:tcW w:w="589" w:type="dxa"/>
            <w:tcBorders>
              <w:top w:val="single" w:sz="8" w:space="0" w:color="auto"/>
              <w:left w:val="nil"/>
              <w:bottom w:val="single" w:sz="8" w:space="0" w:color="auto"/>
              <w:right w:val="single" w:sz="4" w:space="0" w:color="auto"/>
            </w:tcBorders>
            <w:vAlign w:val="center"/>
          </w:tcPr>
          <w:p w14:paraId="002D77BE"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42</w:t>
            </w:r>
          </w:p>
        </w:tc>
        <w:tc>
          <w:tcPr>
            <w:tcW w:w="567" w:type="dxa"/>
            <w:tcBorders>
              <w:top w:val="single" w:sz="8" w:space="0" w:color="auto"/>
              <w:left w:val="single" w:sz="4" w:space="0" w:color="auto"/>
              <w:bottom w:val="single" w:sz="8" w:space="0" w:color="auto"/>
              <w:right w:val="single" w:sz="4" w:space="0" w:color="auto"/>
            </w:tcBorders>
            <w:vAlign w:val="center"/>
          </w:tcPr>
          <w:p w14:paraId="6B5771B0"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24,4</w:t>
            </w:r>
          </w:p>
        </w:tc>
        <w:tc>
          <w:tcPr>
            <w:tcW w:w="567"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4B15997"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41</w:t>
            </w:r>
          </w:p>
        </w:tc>
        <w:tc>
          <w:tcPr>
            <w:tcW w:w="709" w:type="dxa"/>
            <w:tcBorders>
              <w:top w:val="nil"/>
              <w:left w:val="nil"/>
              <w:bottom w:val="single" w:sz="8" w:space="0" w:color="auto"/>
              <w:right w:val="single" w:sz="8" w:space="0" w:color="auto"/>
            </w:tcBorders>
            <w:shd w:val="clear" w:color="auto" w:fill="auto"/>
            <w:noWrap/>
            <w:vAlign w:val="center"/>
            <w:hideMark/>
          </w:tcPr>
          <w:p w14:paraId="72C69FE3"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24,7</w:t>
            </w:r>
          </w:p>
        </w:tc>
        <w:tc>
          <w:tcPr>
            <w:tcW w:w="709" w:type="dxa"/>
            <w:tcBorders>
              <w:top w:val="nil"/>
              <w:left w:val="nil"/>
              <w:bottom w:val="single" w:sz="8" w:space="0" w:color="auto"/>
              <w:right w:val="single" w:sz="8" w:space="0" w:color="auto"/>
            </w:tcBorders>
            <w:shd w:val="clear" w:color="auto" w:fill="auto"/>
            <w:noWrap/>
            <w:vAlign w:val="center"/>
            <w:hideMark/>
          </w:tcPr>
          <w:p w14:paraId="48F0C3D8"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39</w:t>
            </w:r>
          </w:p>
        </w:tc>
        <w:tc>
          <w:tcPr>
            <w:tcW w:w="567" w:type="dxa"/>
            <w:tcBorders>
              <w:top w:val="nil"/>
              <w:left w:val="nil"/>
              <w:bottom w:val="single" w:sz="8" w:space="0" w:color="auto"/>
              <w:right w:val="single" w:sz="8" w:space="0" w:color="auto"/>
            </w:tcBorders>
            <w:shd w:val="clear" w:color="auto" w:fill="auto"/>
            <w:noWrap/>
            <w:vAlign w:val="center"/>
            <w:hideMark/>
          </w:tcPr>
          <w:p w14:paraId="57962363"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22,2</w:t>
            </w:r>
          </w:p>
        </w:tc>
        <w:tc>
          <w:tcPr>
            <w:tcW w:w="567" w:type="dxa"/>
            <w:tcBorders>
              <w:top w:val="nil"/>
              <w:left w:val="nil"/>
              <w:bottom w:val="single" w:sz="8" w:space="0" w:color="auto"/>
              <w:right w:val="single" w:sz="8" w:space="0" w:color="auto"/>
            </w:tcBorders>
            <w:shd w:val="clear" w:color="auto" w:fill="auto"/>
            <w:noWrap/>
            <w:vAlign w:val="center"/>
            <w:hideMark/>
          </w:tcPr>
          <w:p w14:paraId="35D878B6"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37</w:t>
            </w:r>
          </w:p>
        </w:tc>
        <w:tc>
          <w:tcPr>
            <w:tcW w:w="567" w:type="dxa"/>
            <w:tcBorders>
              <w:top w:val="nil"/>
              <w:left w:val="nil"/>
              <w:bottom w:val="single" w:sz="8" w:space="0" w:color="auto"/>
              <w:right w:val="single" w:sz="8" w:space="0" w:color="auto"/>
            </w:tcBorders>
            <w:shd w:val="clear" w:color="auto" w:fill="auto"/>
            <w:noWrap/>
            <w:vAlign w:val="center"/>
            <w:hideMark/>
          </w:tcPr>
          <w:p w14:paraId="4C9BBF99"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19,1</w:t>
            </w:r>
          </w:p>
        </w:tc>
        <w:tc>
          <w:tcPr>
            <w:tcW w:w="567" w:type="dxa"/>
            <w:tcBorders>
              <w:top w:val="nil"/>
              <w:left w:val="nil"/>
              <w:bottom w:val="single" w:sz="8" w:space="0" w:color="auto"/>
              <w:right w:val="single" w:sz="8" w:space="0" w:color="auto"/>
            </w:tcBorders>
            <w:shd w:val="clear" w:color="auto" w:fill="auto"/>
            <w:noWrap/>
            <w:vAlign w:val="center"/>
            <w:hideMark/>
          </w:tcPr>
          <w:p w14:paraId="0E12367D"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33</w:t>
            </w:r>
          </w:p>
        </w:tc>
        <w:tc>
          <w:tcPr>
            <w:tcW w:w="567" w:type="dxa"/>
            <w:tcBorders>
              <w:top w:val="nil"/>
              <w:left w:val="nil"/>
              <w:bottom w:val="single" w:sz="8" w:space="0" w:color="auto"/>
              <w:right w:val="single" w:sz="8" w:space="0" w:color="auto"/>
            </w:tcBorders>
            <w:shd w:val="clear" w:color="auto" w:fill="auto"/>
            <w:noWrap/>
            <w:vAlign w:val="center"/>
            <w:hideMark/>
          </w:tcPr>
          <w:p w14:paraId="6BC10E15"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14,7</w:t>
            </w:r>
          </w:p>
        </w:tc>
      </w:tr>
      <w:tr w:rsidR="00406ADA" w:rsidRPr="001B4B61" w14:paraId="3BA7BEA5" w14:textId="77777777" w:rsidTr="00813E19">
        <w:trPr>
          <w:trHeight w:val="315"/>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67AEE081" w14:textId="77777777" w:rsidR="00406ADA" w:rsidRPr="001B4B61" w:rsidRDefault="00406ADA" w:rsidP="00813E19">
            <w:pPr>
              <w:spacing w:line="240" w:lineRule="auto"/>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Municipalities</w:t>
            </w:r>
          </w:p>
        </w:tc>
        <w:tc>
          <w:tcPr>
            <w:tcW w:w="589" w:type="dxa"/>
            <w:tcBorders>
              <w:top w:val="single" w:sz="8" w:space="0" w:color="auto"/>
              <w:left w:val="nil"/>
              <w:bottom w:val="single" w:sz="8" w:space="0" w:color="auto"/>
              <w:right w:val="single" w:sz="4" w:space="0" w:color="auto"/>
            </w:tcBorders>
            <w:vAlign w:val="center"/>
          </w:tcPr>
          <w:p w14:paraId="3AE79705"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41</w:t>
            </w:r>
          </w:p>
        </w:tc>
        <w:tc>
          <w:tcPr>
            <w:tcW w:w="567" w:type="dxa"/>
            <w:tcBorders>
              <w:top w:val="single" w:sz="8" w:space="0" w:color="auto"/>
              <w:left w:val="single" w:sz="4" w:space="0" w:color="auto"/>
              <w:bottom w:val="single" w:sz="8" w:space="0" w:color="auto"/>
              <w:right w:val="single" w:sz="4" w:space="0" w:color="auto"/>
            </w:tcBorders>
            <w:vAlign w:val="center"/>
          </w:tcPr>
          <w:p w14:paraId="619972B5"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31,4</w:t>
            </w:r>
          </w:p>
        </w:tc>
        <w:tc>
          <w:tcPr>
            <w:tcW w:w="567"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6D26611"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40</w:t>
            </w:r>
          </w:p>
        </w:tc>
        <w:tc>
          <w:tcPr>
            <w:tcW w:w="709" w:type="dxa"/>
            <w:tcBorders>
              <w:top w:val="nil"/>
              <w:left w:val="nil"/>
              <w:bottom w:val="single" w:sz="8" w:space="0" w:color="auto"/>
              <w:right w:val="single" w:sz="8" w:space="0" w:color="auto"/>
            </w:tcBorders>
            <w:shd w:val="clear" w:color="auto" w:fill="auto"/>
            <w:noWrap/>
            <w:vAlign w:val="center"/>
            <w:hideMark/>
          </w:tcPr>
          <w:p w14:paraId="60A26B9F"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24,1</w:t>
            </w:r>
          </w:p>
        </w:tc>
        <w:tc>
          <w:tcPr>
            <w:tcW w:w="709" w:type="dxa"/>
            <w:tcBorders>
              <w:top w:val="nil"/>
              <w:left w:val="nil"/>
              <w:bottom w:val="single" w:sz="8" w:space="0" w:color="auto"/>
              <w:right w:val="single" w:sz="8" w:space="0" w:color="auto"/>
            </w:tcBorders>
            <w:shd w:val="clear" w:color="auto" w:fill="auto"/>
            <w:noWrap/>
            <w:vAlign w:val="center"/>
            <w:hideMark/>
          </w:tcPr>
          <w:p w14:paraId="52079D9C"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50</w:t>
            </w:r>
          </w:p>
        </w:tc>
        <w:tc>
          <w:tcPr>
            <w:tcW w:w="567" w:type="dxa"/>
            <w:tcBorders>
              <w:top w:val="nil"/>
              <w:left w:val="nil"/>
              <w:bottom w:val="single" w:sz="8" w:space="0" w:color="auto"/>
              <w:right w:val="single" w:sz="8" w:space="0" w:color="auto"/>
            </w:tcBorders>
            <w:shd w:val="clear" w:color="auto" w:fill="auto"/>
            <w:noWrap/>
            <w:vAlign w:val="center"/>
            <w:hideMark/>
          </w:tcPr>
          <w:p w14:paraId="09364444"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28,4</w:t>
            </w:r>
          </w:p>
        </w:tc>
        <w:tc>
          <w:tcPr>
            <w:tcW w:w="567" w:type="dxa"/>
            <w:tcBorders>
              <w:top w:val="nil"/>
              <w:left w:val="nil"/>
              <w:bottom w:val="single" w:sz="8" w:space="0" w:color="auto"/>
              <w:right w:val="single" w:sz="8" w:space="0" w:color="auto"/>
            </w:tcBorders>
            <w:shd w:val="clear" w:color="auto" w:fill="auto"/>
            <w:noWrap/>
            <w:vAlign w:val="center"/>
            <w:hideMark/>
          </w:tcPr>
          <w:p w14:paraId="01E588F9"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57</w:t>
            </w:r>
          </w:p>
        </w:tc>
        <w:tc>
          <w:tcPr>
            <w:tcW w:w="567" w:type="dxa"/>
            <w:tcBorders>
              <w:top w:val="nil"/>
              <w:left w:val="nil"/>
              <w:bottom w:val="single" w:sz="8" w:space="0" w:color="auto"/>
              <w:right w:val="single" w:sz="8" w:space="0" w:color="auto"/>
            </w:tcBorders>
            <w:shd w:val="clear" w:color="auto" w:fill="auto"/>
            <w:noWrap/>
            <w:vAlign w:val="center"/>
            <w:hideMark/>
          </w:tcPr>
          <w:p w14:paraId="5DC468A2"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29,4</w:t>
            </w:r>
          </w:p>
        </w:tc>
        <w:tc>
          <w:tcPr>
            <w:tcW w:w="567" w:type="dxa"/>
            <w:tcBorders>
              <w:top w:val="nil"/>
              <w:left w:val="nil"/>
              <w:bottom w:val="single" w:sz="8" w:space="0" w:color="auto"/>
              <w:right w:val="single" w:sz="8" w:space="0" w:color="auto"/>
            </w:tcBorders>
            <w:shd w:val="clear" w:color="auto" w:fill="auto"/>
            <w:noWrap/>
            <w:vAlign w:val="center"/>
            <w:hideMark/>
          </w:tcPr>
          <w:p w14:paraId="52EF0730"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67</w:t>
            </w:r>
          </w:p>
        </w:tc>
        <w:tc>
          <w:tcPr>
            <w:tcW w:w="567" w:type="dxa"/>
            <w:tcBorders>
              <w:top w:val="nil"/>
              <w:left w:val="nil"/>
              <w:bottom w:val="single" w:sz="8" w:space="0" w:color="auto"/>
              <w:right w:val="single" w:sz="8" w:space="0" w:color="auto"/>
            </w:tcBorders>
            <w:shd w:val="clear" w:color="auto" w:fill="auto"/>
            <w:noWrap/>
            <w:vAlign w:val="center"/>
            <w:hideMark/>
          </w:tcPr>
          <w:p w14:paraId="36F3A257"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29,8</w:t>
            </w:r>
          </w:p>
        </w:tc>
      </w:tr>
      <w:tr w:rsidR="00406ADA" w:rsidRPr="001B4B61" w14:paraId="03FB8CBB" w14:textId="77777777" w:rsidTr="00813E19">
        <w:trPr>
          <w:trHeight w:val="315"/>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2D498E05" w14:textId="77777777" w:rsidR="00406ADA" w:rsidRPr="001B4B61" w:rsidRDefault="00406ADA" w:rsidP="00813E19">
            <w:pPr>
              <w:spacing w:line="240" w:lineRule="auto"/>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Other public entities</w:t>
            </w:r>
          </w:p>
        </w:tc>
        <w:tc>
          <w:tcPr>
            <w:tcW w:w="589" w:type="dxa"/>
            <w:tcBorders>
              <w:top w:val="single" w:sz="8" w:space="0" w:color="auto"/>
              <w:left w:val="nil"/>
              <w:bottom w:val="single" w:sz="8" w:space="0" w:color="auto"/>
              <w:right w:val="single" w:sz="4" w:space="0" w:color="auto"/>
            </w:tcBorders>
            <w:vAlign w:val="center"/>
          </w:tcPr>
          <w:p w14:paraId="79DA13A1"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14</w:t>
            </w:r>
          </w:p>
        </w:tc>
        <w:tc>
          <w:tcPr>
            <w:tcW w:w="567" w:type="dxa"/>
            <w:tcBorders>
              <w:top w:val="single" w:sz="8" w:space="0" w:color="auto"/>
              <w:left w:val="single" w:sz="4" w:space="0" w:color="auto"/>
              <w:bottom w:val="single" w:sz="8" w:space="0" w:color="auto"/>
              <w:right w:val="single" w:sz="4" w:space="0" w:color="auto"/>
            </w:tcBorders>
            <w:vAlign w:val="center"/>
          </w:tcPr>
          <w:p w14:paraId="3E300212"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8,1</w:t>
            </w:r>
          </w:p>
        </w:tc>
        <w:tc>
          <w:tcPr>
            <w:tcW w:w="567"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2CC4CAC"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13</w:t>
            </w:r>
          </w:p>
        </w:tc>
        <w:tc>
          <w:tcPr>
            <w:tcW w:w="709" w:type="dxa"/>
            <w:tcBorders>
              <w:top w:val="nil"/>
              <w:left w:val="nil"/>
              <w:bottom w:val="single" w:sz="8" w:space="0" w:color="auto"/>
              <w:right w:val="single" w:sz="8" w:space="0" w:color="auto"/>
            </w:tcBorders>
            <w:shd w:val="clear" w:color="auto" w:fill="auto"/>
            <w:noWrap/>
            <w:vAlign w:val="center"/>
            <w:hideMark/>
          </w:tcPr>
          <w:p w14:paraId="02A63E0D"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7,8</w:t>
            </w:r>
          </w:p>
        </w:tc>
        <w:tc>
          <w:tcPr>
            <w:tcW w:w="709" w:type="dxa"/>
            <w:tcBorders>
              <w:top w:val="nil"/>
              <w:left w:val="nil"/>
              <w:bottom w:val="single" w:sz="8" w:space="0" w:color="auto"/>
              <w:right w:val="single" w:sz="8" w:space="0" w:color="auto"/>
            </w:tcBorders>
            <w:shd w:val="clear" w:color="auto" w:fill="auto"/>
            <w:noWrap/>
            <w:vAlign w:val="center"/>
            <w:hideMark/>
          </w:tcPr>
          <w:p w14:paraId="3EA72ADA"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3</w:t>
            </w:r>
          </w:p>
        </w:tc>
        <w:tc>
          <w:tcPr>
            <w:tcW w:w="567" w:type="dxa"/>
            <w:tcBorders>
              <w:top w:val="nil"/>
              <w:left w:val="nil"/>
              <w:bottom w:val="single" w:sz="8" w:space="0" w:color="auto"/>
              <w:right w:val="single" w:sz="8" w:space="0" w:color="auto"/>
            </w:tcBorders>
            <w:shd w:val="clear" w:color="auto" w:fill="auto"/>
            <w:noWrap/>
            <w:vAlign w:val="center"/>
            <w:hideMark/>
          </w:tcPr>
          <w:p w14:paraId="2E23B488"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1,7</w:t>
            </w:r>
          </w:p>
        </w:tc>
        <w:tc>
          <w:tcPr>
            <w:tcW w:w="567" w:type="dxa"/>
            <w:tcBorders>
              <w:top w:val="nil"/>
              <w:left w:val="nil"/>
              <w:bottom w:val="single" w:sz="8" w:space="0" w:color="auto"/>
              <w:right w:val="single" w:sz="8" w:space="0" w:color="auto"/>
            </w:tcBorders>
            <w:shd w:val="clear" w:color="auto" w:fill="auto"/>
            <w:noWrap/>
            <w:vAlign w:val="center"/>
            <w:hideMark/>
          </w:tcPr>
          <w:p w14:paraId="2AD18CE4"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2</w:t>
            </w:r>
          </w:p>
        </w:tc>
        <w:tc>
          <w:tcPr>
            <w:tcW w:w="567" w:type="dxa"/>
            <w:tcBorders>
              <w:top w:val="nil"/>
              <w:left w:val="nil"/>
              <w:bottom w:val="single" w:sz="8" w:space="0" w:color="auto"/>
              <w:right w:val="single" w:sz="8" w:space="0" w:color="auto"/>
            </w:tcBorders>
            <w:shd w:val="clear" w:color="auto" w:fill="auto"/>
            <w:noWrap/>
            <w:vAlign w:val="center"/>
            <w:hideMark/>
          </w:tcPr>
          <w:p w14:paraId="4416C53E"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1,0</w:t>
            </w:r>
          </w:p>
        </w:tc>
        <w:tc>
          <w:tcPr>
            <w:tcW w:w="567" w:type="dxa"/>
            <w:tcBorders>
              <w:top w:val="nil"/>
              <w:left w:val="nil"/>
              <w:bottom w:val="single" w:sz="8" w:space="0" w:color="auto"/>
              <w:right w:val="single" w:sz="8" w:space="0" w:color="auto"/>
            </w:tcBorders>
            <w:shd w:val="clear" w:color="auto" w:fill="auto"/>
            <w:noWrap/>
            <w:vAlign w:val="center"/>
            <w:hideMark/>
          </w:tcPr>
          <w:p w14:paraId="3899C121"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8</w:t>
            </w:r>
          </w:p>
        </w:tc>
        <w:tc>
          <w:tcPr>
            <w:tcW w:w="567" w:type="dxa"/>
            <w:tcBorders>
              <w:top w:val="nil"/>
              <w:left w:val="nil"/>
              <w:bottom w:val="single" w:sz="8" w:space="0" w:color="auto"/>
              <w:right w:val="single" w:sz="8" w:space="0" w:color="auto"/>
            </w:tcBorders>
            <w:shd w:val="clear" w:color="auto" w:fill="auto"/>
            <w:noWrap/>
            <w:vAlign w:val="center"/>
            <w:hideMark/>
          </w:tcPr>
          <w:p w14:paraId="7D92CE26"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3,6</w:t>
            </w:r>
          </w:p>
        </w:tc>
      </w:tr>
      <w:tr w:rsidR="00406ADA" w:rsidRPr="001B4B61" w14:paraId="331D84C1" w14:textId="77777777" w:rsidTr="00813E19">
        <w:trPr>
          <w:trHeight w:val="315"/>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64529E66" w14:textId="77777777" w:rsidR="00406ADA" w:rsidRPr="001B4B61" w:rsidRDefault="00406ADA" w:rsidP="00813E19">
            <w:pPr>
              <w:spacing w:line="240" w:lineRule="auto"/>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Catholic Church</w:t>
            </w:r>
          </w:p>
        </w:tc>
        <w:tc>
          <w:tcPr>
            <w:tcW w:w="589" w:type="dxa"/>
            <w:tcBorders>
              <w:top w:val="single" w:sz="8" w:space="0" w:color="auto"/>
              <w:left w:val="nil"/>
              <w:bottom w:val="single" w:sz="8" w:space="0" w:color="auto"/>
              <w:right w:val="single" w:sz="4" w:space="0" w:color="auto"/>
            </w:tcBorders>
            <w:vAlign w:val="center"/>
          </w:tcPr>
          <w:p w14:paraId="50939F4C"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56</w:t>
            </w:r>
          </w:p>
        </w:tc>
        <w:tc>
          <w:tcPr>
            <w:tcW w:w="567" w:type="dxa"/>
            <w:tcBorders>
              <w:top w:val="single" w:sz="8" w:space="0" w:color="auto"/>
              <w:left w:val="single" w:sz="4" w:space="0" w:color="auto"/>
              <w:bottom w:val="single" w:sz="8" w:space="0" w:color="auto"/>
              <w:right w:val="single" w:sz="4" w:space="0" w:color="auto"/>
            </w:tcBorders>
            <w:vAlign w:val="center"/>
          </w:tcPr>
          <w:p w14:paraId="4A530432"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32,6</w:t>
            </w:r>
          </w:p>
        </w:tc>
        <w:tc>
          <w:tcPr>
            <w:tcW w:w="567"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DD4C6FB"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54</w:t>
            </w:r>
          </w:p>
        </w:tc>
        <w:tc>
          <w:tcPr>
            <w:tcW w:w="709" w:type="dxa"/>
            <w:tcBorders>
              <w:top w:val="nil"/>
              <w:left w:val="nil"/>
              <w:bottom w:val="single" w:sz="8" w:space="0" w:color="auto"/>
              <w:right w:val="single" w:sz="8" w:space="0" w:color="auto"/>
            </w:tcBorders>
            <w:shd w:val="clear" w:color="auto" w:fill="auto"/>
            <w:noWrap/>
            <w:vAlign w:val="center"/>
            <w:hideMark/>
          </w:tcPr>
          <w:p w14:paraId="16E27CB4"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32,5</w:t>
            </w:r>
          </w:p>
        </w:tc>
        <w:tc>
          <w:tcPr>
            <w:tcW w:w="709" w:type="dxa"/>
            <w:tcBorders>
              <w:top w:val="nil"/>
              <w:left w:val="nil"/>
              <w:bottom w:val="single" w:sz="8" w:space="0" w:color="auto"/>
              <w:right w:val="single" w:sz="8" w:space="0" w:color="auto"/>
            </w:tcBorders>
            <w:shd w:val="clear" w:color="auto" w:fill="auto"/>
            <w:noWrap/>
            <w:vAlign w:val="center"/>
            <w:hideMark/>
          </w:tcPr>
          <w:p w14:paraId="09D6C010"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61</w:t>
            </w:r>
          </w:p>
        </w:tc>
        <w:tc>
          <w:tcPr>
            <w:tcW w:w="567" w:type="dxa"/>
            <w:tcBorders>
              <w:top w:val="nil"/>
              <w:left w:val="nil"/>
              <w:bottom w:val="single" w:sz="8" w:space="0" w:color="auto"/>
              <w:right w:val="single" w:sz="8" w:space="0" w:color="auto"/>
            </w:tcBorders>
            <w:shd w:val="clear" w:color="auto" w:fill="auto"/>
            <w:noWrap/>
            <w:vAlign w:val="center"/>
            <w:hideMark/>
          </w:tcPr>
          <w:p w14:paraId="0E92E1E9"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34,7</w:t>
            </w:r>
          </w:p>
        </w:tc>
        <w:tc>
          <w:tcPr>
            <w:tcW w:w="567" w:type="dxa"/>
            <w:tcBorders>
              <w:top w:val="nil"/>
              <w:left w:val="nil"/>
              <w:bottom w:val="single" w:sz="8" w:space="0" w:color="auto"/>
              <w:right w:val="single" w:sz="8" w:space="0" w:color="auto"/>
            </w:tcBorders>
            <w:shd w:val="clear" w:color="auto" w:fill="auto"/>
            <w:noWrap/>
            <w:vAlign w:val="center"/>
            <w:hideMark/>
          </w:tcPr>
          <w:p w14:paraId="33F14EAF"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70</w:t>
            </w:r>
          </w:p>
        </w:tc>
        <w:tc>
          <w:tcPr>
            <w:tcW w:w="567" w:type="dxa"/>
            <w:tcBorders>
              <w:top w:val="nil"/>
              <w:left w:val="nil"/>
              <w:bottom w:val="single" w:sz="8" w:space="0" w:color="auto"/>
              <w:right w:val="single" w:sz="8" w:space="0" w:color="auto"/>
            </w:tcBorders>
            <w:shd w:val="clear" w:color="auto" w:fill="auto"/>
            <w:noWrap/>
            <w:vAlign w:val="center"/>
            <w:hideMark/>
          </w:tcPr>
          <w:p w14:paraId="4B645B67"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36,1</w:t>
            </w:r>
          </w:p>
        </w:tc>
        <w:tc>
          <w:tcPr>
            <w:tcW w:w="567" w:type="dxa"/>
            <w:tcBorders>
              <w:top w:val="nil"/>
              <w:left w:val="nil"/>
              <w:bottom w:val="single" w:sz="8" w:space="0" w:color="auto"/>
              <w:right w:val="single" w:sz="8" w:space="0" w:color="auto"/>
            </w:tcBorders>
            <w:shd w:val="clear" w:color="auto" w:fill="auto"/>
            <w:noWrap/>
            <w:vAlign w:val="center"/>
            <w:hideMark/>
          </w:tcPr>
          <w:p w14:paraId="6413515D"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82</w:t>
            </w:r>
          </w:p>
        </w:tc>
        <w:tc>
          <w:tcPr>
            <w:tcW w:w="567" w:type="dxa"/>
            <w:tcBorders>
              <w:top w:val="nil"/>
              <w:left w:val="nil"/>
              <w:bottom w:val="single" w:sz="8" w:space="0" w:color="auto"/>
              <w:right w:val="single" w:sz="8" w:space="0" w:color="auto"/>
            </w:tcBorders>
            <w:shd w:val="clear" w:color="auto" w:fill="auto"/>
            <w:noWrap/>
            <w:vAlign w:val="center"/>
            <w:hideMark/>
          </w:tcPr>
          <w:p w14:paraId="5425398C"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36,4</w:t>
            </w:r>
          </w:p>
        </w:tc>
      </w:tr>
      <w:tr w:rsidR="00406ADA" w:rsidRPr="001B4B61" w14:paraId="78F7D052" w14:textId="77777777" w:rsidTr="00813E19">
        <w:trPr>
          <w:trHeight w:val="315"/>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0E7AB23D" w14:textId="77777777" w:rsidR="00406ADA" w:rsidRPr="001B4B61" w:rsidRDefault="00406ADA" w:rsidP="00813E19">
            <w:pPr>
              <w:spacing w:line="240" w:lineRule="auto"/>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Other private entities</w:t>
            </w:r>
          </w:p>
        </w:tc>
        <w:tc>
          <w:tcPr>
            <w:tcW w:w="589" w:type="dxa"/>
            <w:tcBorders>
              <w:top w:val="single" w:sz="8" w:space="0" w:color="auto"/>
              <w:left w:val="nil"/>
              <w:bottom w:val="single" w:sz="8" w:space="0" w:color="auto"/>
              <w:right w:val="single" w:sz="4" w:space="0" w:color="auto"/>
            </w:tcBorders>
            <w:vAlign w:val="center"/>
          </w:tcPr>
          <w:p w14:paraId="141484A3"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16</w:t>
            </w:r>
          </w:p>
        </w:tc>
        <w:tc>
          <w:tcPr>
            <w:tcW w:w="567" w:type="dxa"/>
            <w:tcBorders>
              <w:top w:val="single" w:sz="8" w:space="0" w:color="auto"/>
              <w:left w:val="single" w:sz="4" w:space="0" w:color="auto"/>
              <w:bottom w:val="single" w:sz="8" w:space="0" w:color="auto"/>
              <w:right w:val="single" w:sz="4" w:space="0" w:color="auto"/>
            </w:tcBorders>
            <w:vAlign w:val="center"/>
          </w:tcPr>
          <w:p w14:paraId="723116B6"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9,3</w:t>
            </w:r>
          </w:p>
        </w:tc>
        <w:tc>
          <w:tcPr>
            <w:tcW w:w="567"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041387B"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15</w:t>
            </w:r>
          </w:p>
        </w:tc>
        <w:tc>
          <w:tcPr>
            <w:tcW w:w="709" w:type="dxa"/>
            <w:tcBorders>
              <w:top w:val="nil"/>
              <w:left w:val="nil"/>
              <w:bottom w:val="single" w:sz="8" w:space="0" w:color="auto"/>
              <w:right w:val="single" w:sz="8" w:space="0" w:color="auto"/>
            </w:tcBorders>
            <w:shd w:val="clear" w:color="auto" w:fill="auto"/>
            <w:noWrap/>
            <w:vAlign w:val="center"/>
            <w:hideMark/>
          </w:tcPr>
          <w:p w14:paraId="4120A3F8"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9,0</w:t>
            </w:r>
          </w:p>
        </w:tc>
        <w:tc>
          <w:tcPr>
            <w:tcW w:w="709" w:type="dxa"/>
            <w:tcBorders>
              <w:top w:val="nil"/>
              <w:left w:val="nil"/>
              <w:bottom w:val="single" w:sz="8" w:space="0" w:color="auto"/>
              <w:right w:val="single" w:sz="8" w:space="0" w:color="auto"/>
            </w:tcBorders>
            <w:shd w:val="clear" w:color="auto" w:fill="auto"/>
            <w:noWrap/>
            <w:vAlign w:val="center"/>
            <w:hideMark/>
          </w:tcPr>
          <w:p w14:paraId="1C3F4068"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18</w:t>
            </w:r>
          </w:p>
        </w:tc>
        <w:tc>
          <w:tcPr>
            <w:tcW w:w="567" w:type="dxa"/>
            <w:tcBorders>
              <w:top w:val="nil"/>
              <w:left w:val="nil"/>
              <w:bottom w:val="single" w:sz="8" w:space="0" w:color="auto"/>
              <w:right w:val="single" w:sz="8" w:space="0" w:color="auto"/>
            </w:tcBorders>
            <w:shd w:val="clear" w:color="auto" w:fill="auto"/>
            <w:noWrap/>
            <w:vAlign w:val="center"/>
            <w:hideMark/>
          </w:tcPr>
          <w:p w14:paraId="41968B0E"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10,2</w:t>
            </w:r>
          </w:p>
        </w:tc>
        <w:tc>
          <w:tcPr>
            <w:tcW w:w="567" w:type="dxa"/>
            <w:tcBorders>
              <w:top w:val="nil"/>
              <w:left w:val="nil"/>
              <w:bottom w:val="single" w:sz="8" w:space="0" w:color="auto"/>
              <w:right w:val="single" w:sz="8" w:space="0" w:color="auto"/>
            </w:tcBorders>
            <w:shd w:val="clear" w:color="auto" w:fill="auto"/>
            <w:noWrap/>
            <w:vAlign w:val="center"/>
            <w:hideMark/>
          </w:tcPr>
          <w:p w14:paraId="4761778B"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22</w:t>
            </w:r>
          </w:p>
        </w:tc>
        <w:tc>
          <w:tcPr>
            <w:tcW w:w="567" w:type="dxa"/>
            <w:tcBorders>
              <w:top w:val="nil"/>
              <w:left w:val="nil"/>
              <w:bottom w:val="single" w:sz="8" w:space="0" w:color="auto"/>
              <w:right w:val="single" w:sz="8" w:space="0" w:color="auto"/>
            </w:tcBorders>
            <w:shd w:val="clear" w:color="auto" w:fill="auto"/>
            <w:noWrap/>
            <w:vAlign w:val="center"/>
            <w:hideMark/>
          </w:tcPr>
          <w:p w14:paraId="0133F913"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11,3</w:t>
            </w:r>
          </w:p>
        </w:tc>
        <w:tc>
          <w:tcPr>
            <w:tcW w:w="567" w:type="dxa"/>
            <w:tcBorders>
              <w:top w:val="nil"/>
              <w:left w:val="nil"/>
              <w:bottom w:val="single" w:sz="8" w:space="0" w:color="auto"/>
              <w:right w:val="single" w:sz="8" w:space="0" w:color="auto"/>
            </w:tcBorders>
            <w:shd w:val="clear" w:color="auto" w:fill="auto"/>
            <w:noWrap/>
            <w:vAlign w:val="center"/>
            <w:hideMark/>
          </w:tcPr>
          <w:p w14:paraId="41E6FEC1"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26</w:t>
            </w:r>
          </w:p>
        </w:tc>
        <w:tc>
          <w:tcPr>
            <w:tcW w:w="567" w:type="dxa"/>
            <w:tcBorders>
              <w:top w:val="nil"/>
              <w:left w:val="nil"/>
              <w:bottom w:val="single" w:sz="8" w:space="0" w:color="auto"/>
              <w:right w:val="single" w:sz="8" w:space="0" w:color="auto"/>
            </w:tcBorders>
            <w:shd w:val="clear" w:color="auto" w:fill="auto"/>
            <w:noWrap/>
            <w:vAlign w:val="center"/>
            <w:hideMark/>
          </w:tcPr>
          <w:p w14:paraId="55C81C70"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11,6</w:t>
            </w:r>
          </w:p>
        </w:tc>
      </w:tr>
      <w:tr w:rsidR="00406ADA" w:rsidRPr="001B4B61" w14:paraId="36EF93DF" w14:textId="77777777" w:rsidTr="00813E19">
        <w:trPr>
          <w:trHeight w:val="315"/>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55FFDF9C" w14:textId="77777777" w:rsidR="00406ADA" w:rsidRPr="001B4B61" w:rsidRDefault="00406ADA" w:rsidP="00813E19">
            <w:pPr>
              <w:spacing w:line="240" w:lineRule="auto"/>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Joint management</w:t>
            </w:r>
          </w:p>
        </w:tc>
        <w:tc>
          <w:tcPr>
            <w:tcW w:w="589" w:type="dxa"/>
            <w:tcBorders>
              <w:top w:val="single" w:sz="8" w:space="0" w:color="auto"/>
              <w:left w:val="nil"/>
              <w:bottom w:val="single" w:sz="8" w:space="0" w:color="auto"/>
              <w:right w:val="single" w:sz="4" w:space="0" w:color="auto"/>
            </w:tcBorders>
            <w:vAlign w:val="center"/>
          </w:tcPr>
          <w:p w14:paraId="54324D65"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3</w:t>
            </w:r>
          </w:p>
        </w:tc>
        <w:tc>
          <w:tcPr>
            <w:tcW w:w="567" w:type="dxa"/>
            <w:tcBorders>
              <w:top w:val="single" w:sz="8" w:space="0" w:color="auto"/>
              <w:left w:val="single" w:sz="4" w:space="0" w:color="auto"/>
              <w:bottom w:val="single" w:sz="8" w:space="0" w:color="auto"/>
              <w:right w:val="single" w:sz="4" w:space="0" w:color="auto"/>
            </w:tcBorders>
            <w:vAlign w:val="center"/>
          </w:tcPr>
          <w:p w14:paraId="28D000D9"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1,7</w:t>
            </w:r>
          </w:p>
        </w:tc>
        <w:tc>
          <w:tcPr>
            <w:tcW w:w="567"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EBD408D"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3</w:t>
            </w:r>
          </w:p>
        </w:tc>
        <w:tc>
          <w:tcPr>
            <w:tcW w:w="709" w:type="dxa"/>
            <w:tcBorders>
              <w:top w:val="nil"/>
              <w:left w:val="nil"/>
              <w:bottom w:val="single" w:sz="8" w:space="0" w:color="auto"/>
              <w:right w:val="single" w:sz="8" w:space="0" w:color="auto"/>
            </w:tcBorders>
            <w:shd w:val="clear" w:color="auto" w:fill="auto"/>
            <w:noWrap/>
            <w:vAlign w:val="center"/>
            <w:hideMark/>
          </w:tcPr>
          <w:p w14:paraId="4D623225"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1,8</w:t>
            </w:r>
          </w:p>
        </w:tc>
        <w:tc>
          <w:tcPr>
            <w:tcW w:w="709" w:type="dxa"/>
            <w:tcBorders>
              <w:top w:val="nil"/>
              <w:left w:val="nil"/>
              <w:bottom w:val="single" w:sz="8" w:space="0" w:color="auto"/>
              <w:right w:val="single" w:sz="8" w:space="0" w:color="auto"/>
            </w:tcBorders>
            <w:shd w:val="clear" w:color="auto" w:fill="auto"/>
            <w:noWrap/>
            <w:vAlign w:val="center"/>
            <w:hideMark/>
          </w:tcPr>
          <w:p w14:paraId="4B2A95E0"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5</w:t>
            </w:r>
          </w:p>
        </w:tc>
        <w:tc>
          <w:tcPr>
            <w:tcW w:w="567" w:type="dxa"/>
            <w:tcBorders>
              <w:top w:val="nil"/>
              <w:left w:val="nil"/>
              <w:bottom w:val="single" w:sz="8" w:space="0" w:color="auto"/>
              <w:right w:val="single" w:sz="8" w:space="0" w:color="auto"/>
            </w:tcBorders>
            <w:shd w:val="clear" w:color="auto" w:fill="auto"/>
            <w:noWrap/>
            <w:vAlign w:val="center"/>
            <w:hideMark/>
          </w:tcPr>
          <w:p w14:paraId="3BC48373"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2,8</w:t>
            </w:r>
          </w:p>
        </w:tc>
        <w:tc>
          <w:tcPr>
            <w:tcW w:w="567" w:type="dxa"/>
            <w:tcBorders>
              <w:top w:val="nil"/>
              <w:left w:val="nil"/>
              <w:bottom w:val="single" w:sz="8" w:space="0" w:color="auto"/>
              <w:right w:val="single" w:sz="8" w:space="0" w:color="auto"/>
            </w:tcBorders>
            <w:shd w:val="clear" w:color="auto" w:fill="auto"/>
            <w:noWrap/>
            <w:vAlign w:val="center"/>
            <w:hideMark/>
          </w:tcPr>
          <w:p w14:paraId="7CF39AC8"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6</w:t>
            </w:r>
          </w:p>
        </w:tc>
        <w:tc>
          <w:tcPr>
            <w:tcW w:w="567" w:type="dxa"/>
            <w:tcBorders>
              <w:top w:val="nil"/>
              <w:left w:val="nil"/>
              <w:bottom w:val="single" w:sz="8" w:space="0" w:color="auto"/>
              <w:right w:val="single" w:sz="8" w:space="0" w:color="auto"/>
            </w:tcBorders>
            <w:shd w:val="clear" w:color="auto" w:fill="auto"/>
            <w:noWrap/>
            <w:vAlign w:val="center"/>
            <w:hideMark/>
          </w:tcPr>
          <w:p w14:paraId="2885D9DA"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3,1</w:t>
            </w:r>
          </w:p>
        </w:tc>
        <w:tc>
          <w:tcPr>
            <w:tcW w:w="567" w:type="dxa"/>
            <w:tcBorders>
              <w:top w:val="nil"/>
              <w:left w:val="nil"/>
              <w:bottom w:val="single" w:sz="8" w:space="0" w:color="auto"/>
              <w:right w:val="single" w:sz="8" w:space="0" w:color="auto"/>
            </w:tcBorders>
            <w:shd w:val="clear" w:color="auto" w:fill="auto"/>
            <w:noWrap/>
            <w:vAlign w:val="center"/>
            <w:hideMark/>
          </w:tcPr>
          <w:p w14:paraId="320348F4" w14:textId="77777777" w:rsidR="00406ADA" w:rsidRPr="001B4B61" w:rsidRDefault="00406ADA" w:rsidP="00813E19">
            <w:pPr>
              <w:spacing w:line="240" w:lineRule="auto"/>
              <w:jc w:val="right"/>
              <w:rPr>
                <w:rFonts w:ascii="Times New Roman" w:hAnsi="Times New Roman" w:cs="Times New Roman"/>
                <w:color w:val="000000"/>
                <w:sz w:val="20"/>
                <w:szCs w:val="20"/>
                <w:lang w:eastAsia="pt-PT"/>
              </w:rPr>
            </w:pPr>
            <w:r w:rsidRPr="001B4B61">
              <w:rPr>
                <w:rFonts w:ascii="Times New Roman" w:hAnsi="Times New Roman" w:cs="Times New Roman"/>
                <w:color w:val="000000"/>
                <w:sz w:val="20"/>
                <w:szCs w:val="20"/>
                <w:lang w:eastAsia="pt-PT"/>
              </w:rPr>
              <w:t>9</w:t>
            </w:r>
          </w:p>
        </w:tc>
        <w:tc>
          <w:tcPr>
            <w:tcW w:w="567" w:type="dxa"/>
            <w:tcBorders>
              <w:top w:val="nil"/>
              <w:left w:val="nil"/>
              <w:bottom w:val="single" w:sz="8" w:space="0" w:color="auto"/>
              <w:right w:val="single" w:sz="8" w:space="0" w:color="auto"/>
            </w:tcBorders>
            <w:shd w:val="clear" w:color="auto" w:fill="auto"/>
            <w:noWrap/>
            <w:vAlign w:val="center"/>
            <w:hideMark/>
          </w:tcPr>
          <w:p w14:paraId="43127A6E" w14:textId="77777777" w:rsidR="00406ADA" w:rsidRPr="001B4B61" w:rsidRDefault="00406ADA" w:rsidP="00813E19">
            <w:pPr>
              <w:spacing w:line="240" w:lineRule="auto"/>
              <w:jc w:val="right"/>
              <w:rPr>
                <w:rFonts w:ascii="Times New Roman" w:hAnsi="Times New Roman" w:cs="Times New Roman"/>
                <w:i/>
                <w:iCs/>
                <w:color w:val="000000"/>
                <w:sz w:val="20"/>
                <w:szCs w:val="20"/>
                <w:lang w:eastAsia="pt-PT"/>
              </w:rPr>
            </w:pPr>
            <w:r w:rsidRPr="001B4B61">
              <w:rPr>
                <w:rFonts w:ascii="Times New Roman" w:hAnsi="Times New Roman" w:cs="Times New Roman"/>
                <w:i/>
                <w:iCs/>
                <w:color w:val="000000"/>
                <w:sz w:val="20"/>
                <w:szCs w:val="20"/>
                <w:lang w:eastAsia="pt-PT"/>
              </w:rPr>
              <w:t>4,0</w:t>
            </w:r>
          </w:p>
        </w:tc>
      </w:tr>
    </w:tbl>
    <w:p w14:paraId="7784F470" w14:textId="44DD5772" w:rsidR="003263E4" w:rsidRPr="002D3D89" w:rsidRDefault="002D3D89" w:rsidP="00C63C30">
      <w:pPr>
        <w:spacing w:after="0" w:line="240" w:lineRule="auto"/>
        <w:jc w:val="both"/>
        <w:rPr>
          <w:rFonts w:ascii="Times New Roman" w:hAnsi="Times New Roman" w:cs="Times New Roman"/>
          <w:sz w:val="20"/>
          <w:szCs w:val="20"/>
        </w:rPr>
      </w:pPr>
      <w:r w:rsidRPr="002D3D89">
        <w:rPr>
          <w:rFonts w:ascii="Times New Roman" w:hAnsi="Times New Roman" w:cs="Times New Roman"/>
          <w:sz w:val="20"/>
          <w:szCs w:val="20"/>
        </w:rPr>
        <w:t>Source: OPAC, IMNP</w:t>
      </w:r>
      <w:r>
        <w:rPr>
          <w:rFonts w:ascii="Times New Roman" w:hAnsi="Times New Roman" w:cs="Times New Roman"/>
          <w:sz w:val="20"/>
          <w:szCs w:val="20"/>
        </w:rPr>
        <w:t>.</w:t>
      </w:r>
    </w:p>
    <w:p w14:paraId="55715026" w14:textId="77777777" w:rsidR="00BD3076" w:rsidRDefault="00BD3076" w:rsidP="00C63C30">
      <w:pPr>
        <w:spacing w:after="0" w:line="240" w:lineRule="auto"/>
        <w:jc w:val="both"/>
        <w:rPr>
          <w:rFonts w:ascii="Times New Roman" w:hAnsi="Times New Roman" w:cs="Times New Roman"/>
        </w:rPr>
      </w:pPr>
    </w:p>
    <w:p w14:paraId="2AD23966" w14:textId="225D5A28" w:rsidR="00B76B34" w:rsidRDefault="00FB1D41" w:rsidP="00C63C30">
      <w:pPr>
        <w:spacing w:after="0" w:line="240" w:lineRule="auto"/>
        <w:jc w:val="both"/>
        <w:rPr>
          <w:rFonts w:ascii="Times New Roman" w:hAnsi="Times New Roman" w:cs="Times New Roman"/>
        </w:rPr>
      </w:pPr>
      <w:r w:rsidRPr="00FB1D41">
        <w:rPr>
          <w:rFonts w:ascii="Times New Roman" w:hAnsi="Times New Roman" w:cs="Times New Roman"/>
        </w:rPr>
        <w:t xml:space="preserve">Human Resources. The total staff of visitable NM in 2022 is 1.539 persons, an increase of 267 persons (20.9%) compared to 2021 (Graph </w:t>
      </w:r>
      <w:r w:rsidR="00BD3076">
        <w:rPr>
          <w:rFonts w:ascii="Times New Roman" w:hAnsi="Times New Roman" w:cs="Times New Roman"/>
        </w:rPr>
        <w:t>3</w:t>
      </w:r>
      <w:r w:rsidRPr="00FB1D41">
        <w:rPr>
          <w:rFonts w:ascii="Times New Roman" w:hAnsi="Times New Roman" w:cs="Times New Roman"/>
        </w:rPr>
        <w:t>). The series show the decrease of the HR structure in the pandemic, especially in 2021; currently it seems to be recovering and growing, although it is important to consider the impact of the new NM observed. In the case of employees, 935 in 2022 (about 6 out of 10), there is also a recovery, although less pronounced (15.3%) (again it is important to bear in mind the increase that comes from the new NM surveyed). This increase in HR is also mainly due to workers with precarious contracts.</w:t>
      </w:r>
    </w:p>
    <w:p w14:paraId="0B81B32E" w14:textId="77777777" w:rsidR="00F94969" w:rsidRDefault="00F94969" w:rsidP="00AF4D83">
      <w:pPr>
        <w:spacing w:after="120" w:line="240" w:lineRule="auto"/>
        <w:rPr>
          <w:rFonts w:ascii="Times New Roman" w:hAnsi="Times New Roman" w:cs="Times New Roman"/>
        </w:rPr>
      </w:pPr>
    </w:p>
    <w:p w14:paraId="194AB82F" w14:textId="77777777" w:rsidR="00AF2DBE" w:rsidRDefault="00AF2DBE" w:rsidP="00AF4D83">
      <w:pPr>
        <w:spacing w:after="120" w:line="240" w:lineRule="auto"/>
        <w:rPr>
          <w:rFonts w:ascii="Times New Roman" w:hAnsi="Times New Roman" w:cs="Times New Roman"/>
        </w:rPr>
      </w:pPr>
    </w:p>
    <w:p w14:paraId="30AD86BC" w14:textId="77777777" w:rsidR="00AF2DBE" w:rsidRDefault="00AF2DBE" w:rsidP="00AF4D83">
      <w:pPr>
        <w:spacing w:after="120" w:line="240" w:lineRule="auto"/>
        <w:rPr>
          <w:rFonts w:ascii="Times New Roman" w:hAnsi="Times New Roman" w:cs="Times New Roman"/>
        </w:rPr>
      </w:pPr>
    </w:p>
    <w:p w14:paraId="5DDB7674" w14:textId="77777777" w:rsidR="00AF2DBE" w:rsidRDefault="00AF2DBE" w:rsidP="00AF4D83">
      <w:pPr>
        <w:spacing w:after="120" w:line="240" w:lineRule="auto"/>
        <w:rPr>
          <w:rFonts w:ascii="Times New Roman" w:hAnsi="Times New Roman" w:cs="Times New Roman"/>
        </w:rPr>
      </w:pPr>
    </w:p>
    <w:p w14:paraId="376E150A" w14:textId="77777777" w:rsidR="00AF2DBE" w:rsidRDefault="00AF2DBE" w:rsidP="00AF4D83">
      <w:pPr>
        <w:spacing w:after="120" w:line="240" w:lineRule="auto"/>
        <w:rPr>
          <w:rFonts w:ascii="Times New Roman" w:hAnsi="Times New Roman" w:cs="Times New Roman"/>
        </w:rPr>
      </w:pPr>
    </w:p>
    <w:p w14:paraId="07103EE8" w14:textId="77777777" w:rsidR="00AF2DBE" w:rsidRDefault="00AF2DBE" w:rsidP="00AF4D83">
      <w:pPr>
        <w:spacing w:after="120" w:line="240" w:lineRule="auto"/>
        <w:rPr>
          <w:rFonts w:ascii="Times New Roman" w:hAnsi="Times New Roman" w:cs="Times New Roman"/>
        </w:rPr>
      </w:pPr>
    </w:p>
    <w:p w14:paraId="54E8F282" w14:textId="77777777" w:rsidR="00AF2DBE" w:rsidRDefault="00AF2DBE" w:rsidP="00AF4D83">
      <w:pPr>
        <w:spacing w:after="120" w:line="240" w:lineRule="auto"/>
        <w:rPr>
          <w:rFonts w:ascii="Times New Roman" w:hAnsi="Times New Roman" w:cs="Times New Roman"/>
        </w:rPr>
      </w:pPr>
    </w:p>
    <w:p w14:paraId="752D4A28" w14:textId="77777777" w:rsidR="00AF2DBE" w:rsidRDefault="00AF2DBE" w:rsidP="00AF4D83">
      <w:pPr>
        <w:spacing w:after="120" w:line="240" w:lineRule="auto"/>
        <w:rPr>
          <w:rFonts w:ascii="Times New Roman" w:hAnsi="Times New Roman" w:cs="Times New Roman"/>
        </w:rPr>
      </w:pPr>
    </w:p>
    <w:p w14:paraId="675C3068" w14:textId="77777777" w:rsidR="00AF2DBE" w:rsidRDefault="00AF2DBE" w:rsidP="00AF4D83">
      <w:pPr>
        <w:spacing w:after="120" w:line="240" w:lineRule="auto"/>
        <w:rPr>
          <w:rFonts w:ascii="Times New Roman" w:hAnsi="Times New Roman" w:cs="Times New Roman"/>
        </w:rPr>
      </w:pPr>
    </w:p>
    <w:p w14:paraId="7C0758D1" w14:textId="34494820" w:rsidR="00B76B34" w:rsidRDefault="00F94969" w:rsidP="00AF4D83">
      <w:pPr>
        <w:spacing w:after="120" w:line="240" w:lineRule="auto"/>
        <w:rPr>
          <w:rFonts w:ascii="Times New Roman" w:hAnsi="Times New Roman" w:cs="Times New Roman"/>
        </w:rPr>
      </w:pPr>
      <w:r w:rsidRPr="00F94969">
        <w:rPr>
          <w:rFonts w:ascii="Times New Roman" w:hAnsi="Times New Roman" w:cs="Times New Roman"/>
        </w:rPr>
        <w:lastRenderedPageBreak/>
        <w:t xml:space="preserve">Graph </w:t>
      </w:r>
      <w:r w:rsidR="00BD3076">
        <w:rPr>
          <w:rFonts w:ascii="Times New Roman" w:hAnsi="Times New Roman" w:cs="Times New Roman"/>
        </w:rPr>
        <w:t>3</w:t>
      </w:r>
      <w:r w:rsidRPr="00F94969">
        <w:rPr>
          <w:rFonts w:ascii="Times New Roman" w:hAnsi="Times New Roman" w:cs="Times New Roman"/>
        </w:rPr>
        <w:t xml:space="preserve"> – Staff of the National Monuments (2018-2022) (number)</w:t>
      </w:r>
      <w:r w:rsidR="002B004E">
        <w:rPr>
          <w:noProof/>
        </w:rPr>
        <w:drawing>
          <wp:anchor distT="0" distB="0" distL="114300" distR="114300" simplePos="0" relativeHeight="251659264" behindDoc="0" locked="0" layoutInCell="1" allowOverlap="1" wp14:anchorId="044B6219" wp14:editId="106BCEAB">
            <wp:simplePos x="0" y="0"/>
            <wp:positionH relativeFrom="column">
              <wp:posOffset>-95250</wp:posOffset>
            </wp:positionH>
            <wp:positionV relativeFrom="paragraph">
              <wp:posOffset>274320</wp:posOffset>
            </wp:positionV>
            <wp:extent cx="5114925" cy="3248025"/>
            <wp:effectExtent l="0" t="0" r="0" b="0"/>
            <wp:wrapNone/>
            <wp:docPr id="2" name="Chart 2">
              <a:extLst xmlns:a="http://schemas.openxmlformats.org/drawingml/2006/main">
                <a:ext uri="{FF2B5EF4-FFF2-40B4-BE49-F238E27FC236}">
                  <a16:creationId xmlns:a16="http://schemas.microsoft.com/office/drawing/2014/main" id="{C55FD075-547E-D031-4095-C86CEEDC38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7376F8B1" w14:textId="437B24C1" w:rsidR="002B004E" w:rsidRDefault="002B004E" w:rsidP="00AF4D83">
      <w:pPr>
        <w:spacing w:after="120" w:line="240" w:lineRule="auto"/>
        <w:rPr>
          <w:rFonts w:ascii="Times New Roman" w:hAnsi="Times New Roman" w:cs="Times New Roman"/>
        </w:rPr>
      </w:pPr>
    </w:p>
    <w:p w14:paraId="586B3471" w14:textId="29C8E608" w:rsidR="002B004E" w:rsidRDefault="002B004E" w:rsidP="00AF4D83">
      <w:pPr>
        <w:spacing w:after="120" w:line="240" w:lineRule="auto"/>
        <w:rPr>
          <w:rFonts w:ascii="Times New Roman" w:hAnsi="Times New Roman" w:cs="Times New Roman"/>
        </w:rPr>
      </w:pPr>
    </w:p>
    <w:p w14:paraId="3FB9078F" w14:textId="255F5A5F" w:rsidR="002B004E" w:rsidRDefault="002B004E" w:rsidP="00AF4D83">
      <w:pPr>
        <w:spacing w:after="120" w:line="240" w:lineRule="auto"/>
        <w:rPr>
          <w:rFonts w:ascii="Times New Roman" w:hAnsi="Times New Roman" w:cs="Times New Roman"/>
        </w:rPr>
      </w:pPr>
    </w:p>
    <w:p w14:paraId="681EC69D" w14:textId="43604798" w:rsidR="002B004E" w:rsidRDefault="002B004E" w:rsidP="00AF4D83">
      <w:pPr>
        <w:spacing w:after="120" w:line="240" w:lineRule="auto"/>
        <w:rPr>
          <w:rFonts w:ascii="Times New Roman" w:hAnsi="Times New Roman" w:cs="Times New Roman"/>
        </w:rPr>
      </w:pPr>
    </w:p>
    <w:p w14:paraId="137AB0D4" w14:textId="072DF249" w:rsidR="002B004E" w:rsidRDefault="002B004E" w:rsidP="00AF4D83">
      <w:pPr>
        <w:spacing w:after="120" w:line="240" w:lineRule="auto"/>
        <w:rPr>
          <w:rFonts w:ascii="Times New Roman" w:hAnsi="Times New Roman" w:cs="Times New Roman"/>
        </w:rPr>
      </w:pPr>
    </w:p>
    <w:p w14:paraId="46B414E8" w14:textId="77777777" w:rsidR="002B004E" w:rsidRDefault="002B004E" w:rsidP="00AF4D83">
      <w:pPr>
        <w:spacing w:after="120" w:line="240" w:lineRule="auto"/>
        <w:rPr>
          <w:rFonts w:ascii="Times New Roman" w:hAnsi="Times New Roman" w:cs="Times New Roman"/>
        </w:rPr>
      </w:pPr>
    </w:p>
    <w:p w14:paraId="6ED7127C" w14:textId="77777777" w:rsidR="002B004E" w:rsidRDefault="002B004E" w:rsidP="00AF4D83">
      <w:pPr>
        <w:spacing w:after="120" w:line="240" w:lineRule="auto"/>
        <w:rPr>
          <w:rFonts w:ascii="Times New Roman" w:hAnsi="Times New Roman" w:cs="Times New Roman"/>
        </w:rPr>
      </w:pPr>
    </w:p>
    <w:p w14:paraId="5EAD1BD9" w14:textId="2683F76E" w:rsidR="002B004E" w:rsidRDefault="002B004E" w:rsidP="00AF4D83">
      <w:pPr>
        <w:spacing w:after="120" w:line="240" w:lineRule="auto"/>
        <w:rPr>
          <w:rFonts w:ascii="Times New Roman" w:hAnsi="Times New Roman" w:cs="Times New Roman"/>
        </w:rPr>
      </w:pPr>
    </w:p>
    <w:p w14:paraId="7DF356B7" w14:textId="77777777" w:rsidR="002B004E" w:rsidRDefault="002B004E" w:rsidP="00AF4D83">
      <w:pPr>
        <w:spacing w:after="120" w:line="240" w:lineRule="auto"/>
        <w:rPr>
          <w:rFonts w:ascii="Times New Roman" w:hAnsi="Times New Roman" w:cs="Times New Roman"/>
        </w:rPr>
      </w:pPr>
    </w:p>
    <w:p w14:paraId="2B290764" w14:textId="77777777" w:rsidR="002B004E" w:rsidRDefault="002B004E" w:rsidP="00AF4D83">
      <w:pPr>
        <w:spacing w:after="120" w:line="240" w:lineRule="auto"/>
        <w:rPr>
          <w:rFonts w:ascii="Times New Roman" w:hAnsi="Times New Roman" w:cs="Times New Roman"/>
        </w:rPr>
      </w:pPr>
    </w:p>
    <w:p w14:paraId="7C0503E9" w14:textId="77777777" w:rsidR="002B004E" w:rsidRDefault="002B004E" w:rsidP="00AF4D83">
      <w:pPr>
        <w:spacing w:after="120" w:line="240" w:lineRule="auto"/>
        <w:rPr>
          <w:rFonts w:ascii="Times New Roman" w:hAnsi="Times New Roman" w:cs="Times New Roman"/>
        </w:rPr>
      </w:pPr>
    </w:p>
    <w:p w14:paraId="6871F3D6" w14:textId="77777777" w:rsidR="002B004E" w:rsidRDefault="002B004E" w:rsidP="00AF4D83">
      <w:pPr>
        <w:spacing w:after="120" w:line="240" w:lineRule="auto"/>
        <w:rPr>
          <w:rFonts w:ascii="Times New Roman" w:hAnsi="Times New Roman" w:cs="Times New Roman"/>
        </w:rPr>
      </w:pPr>
    </w:p>
    <w:p w14:paraId="166B9654" w14:textId="77777777" w:rsidR="002B004E" w:rsidRDefault="002B004E" w:rsidP="00AF4D83">
      <w:pPr>
        <w:spacing w:after="120" w:line="240" w:lineRule="auto"/>
        <w:rPr>
          <w:rFonts w:ascii="Times New Roman" w:hAnsi="Times New Roman" w:cs="Times New Roman"/>
        </w:rPr>
      </w:pPr>
    </w:p>
    <w:p w14:paraId="25723854" w14:textId="77777777" w:rsidR="002B004E" w:rsidRDefault="002B004E" w:rsidP="00AF4D83">
      <w:pPr>
        <w:spacing w:after="120" w:line="240" w:lineRule="auto"/>
        <w:rPr>
          <w:rFonts w:ascii="Times New Roman" w:hAnsi="Times New Roman" w:cs="Times New Roman"/>
        </w:rPr>
      </w:pPr>
    </w:p>
    <w:p w14:paraId="38C801B8" w14:textId="5D0A3D73" w:rsidR="002B004E" w:rsidRPr="00005967" w:rsidRDefault="00AA679B" w:rsidP="00AF4D83">
      <w:pPr>
        <w:spacing w:after="120" w:line="240" w:lineRule="auto"/>
        <w:rPr>
          <w:rFonts w:ascii="Times New Roman" w:hAnsi="Times New Roman" w:cs="Times New Roman"/>
          <w:sz w:val="20"/>
          <w:szCs w:val="20"/>
          <w:lang w:val="pt-PT"/>
        </w:rPr>
      </w:pPr>
      <w:proofErr w:type="spellStart"/>
      <w:r w:rsidRPr="00005967">
        <w:rPr>
          <w:rFonts w:ascii="Times New Roman" w:hAnsi="Times New Roman" w:cs="Times New Roman"/>
          <w:sz w:val="20"/>
          <w:szCs w:val="20"/>
          <w:lang w:val="pt-PT"/>
        </w:rPr>
        <w:t>Source</w:t>
      </w:r>
      <w:proofErr w:type="spellEnd"/>
      <w:r w:rsidRPr="00005967">
        <w:rPr>
          <w:rFonts w:ascii="Times New Roman" w:hAnsi="Times New Roman" w:cs="Times New Roman"/>
          <w:sz w:val="20"/>
          <w:szCs w:val="20"/>
          <w:lang w:val="pt-PT"/>
        </w:rPr>
        <w:t>: OPAC, IMNP</w:t>
      </w:r>
      <w:r w:rsidRPr="00005967">
        <w:rPr>
          <w:rFonts w:ascii="Times New Roman" w:hAnsi="Times New Roman" w:cs="Times New Roman"/>
          <w:sz w:val="20"/>
          <w:szCs w:val="20"/>
          <w:lang w:val="pt-PT"/>
        </w:rPr>
        <w:t>.</w:t>
      </w:r>
    </w:p>
    <w:p w14:paraId="73FAA362" w14:textId="77777777" w:rsidR="002B004E" w:rsidRPr="00005967" w:rsidRDefault="002B004E" w:rsidP="00AF4D83">
      <w:pPr>
        <w:spacing w:after="120" w:line="240" w:lineRule="auto"/>
        <w:rPr>
          <w:rFonts w:ascii="Times New Roman" w:hAnsi="Times New Roman" w:cs="Times New Roman"/>
          <w:lang w:val="pt-PT"/>
        </w:rPr>
      </w:pPr>
    </w:p>
    <w:p w14:paraId="46B445D3" w14:textId="6CBE33C5" w:rsidR="002B004E" w:rsidRPr="0021570F" w:rsidRDefault="0021570F" w:rsidP="0021570F">
      <w:pPr>
        <w:spacing w:after="0" w:line="240" w:lineRule="auto"/>
        <w:jc w:val="both"/>
        <w:rPr>
          <w:rFonts w:ascii="Times New Roman" w:hAnsi="Times New Roman" w:cs="Times New Roman"/>
          <w:b/>
          <w:bCs/>
        </w:rPr>
      </w:pPr>
      <w:r w:rsidRPr="0021570F">
        <w:rPr>
          <w:rFonts w:ascii="Times New Roman" w:hAnsi="Times New Roman" w:cs="Times New Roman"/>
          <w:b/>
          <w:bCs/>
        </w:rPr>
        <w:t>Discussion</w:t>
      </w:r>
    </w:p>
    <w:p w14:paraId="2C797BEE" w14:textId="3D7448CE" w:rsidR="00C33FAD" w:rsidRPr="002D4349" w:rsidRDefault="008D22BA" w:rsidP="00BC5CF8">
      <w:pPr>
        <w:spacing w:after="0" w:line="240" w:lineRule="auto"/>
        <w:jc w:val="both"/>
        <w:rPr>
          <w:rFonts w:ascii="Times New Roman" w:hAnsi="Times New Roman" w:cs="Times New Roman"/>
        </w:rPr>
      </w:pPr>
      <w:r w:rsidRPr="002D4349">
        <w:rPr>
          <w:rFonts w:ascii="Times New Roman" w:hAnsi="Times New Roman" w:cs="Times New Roman"/>
        </w:rPr>
        <w:t xml:space="preserve">The five editions </w:t>
      </w:r>
      <w:r w:rsidR="00696B72" w:rsidRPr="002D4349">
        <w:rPr>
          <w:rFonts w:ascii="Times New Roman" w:hAnsi="Times New Roman" w:cs="Times New Roman"/>
        </w:rPr>
        <w:t xml:space="preserve">of </w:t>
      </w:r>
      <w:r w:rsidRPr="002D4349">
        <w:rPr>
          <w:rFonts w:ascii="Times New Roman" w:hAnsi="Times New Roman" w:cs="Times New Roman"/>
        </w:rPr>
        <w:t xml:space="preserve">the Survey of National Monuments of Portugal (IMNP), </w:t>
      </w:r>
      <w:r w:rsidR="00696B72" w:rsidRPr="002D4349">
        <w:rPr>
          <w:rFonts w:ascii="Times New Roman" w:hAnsi="Times New Roman" w:cs="Times New Roman"/>
        </w:rPr>
        <w:t xml:space="preserve">allow for a </w:t>
      </w:r>
      <w:r w:rsidR="00696B72" w:rsidRPr="002D4349">
        <w:rPr>
          <w:rFonts w:ascii="Times New Roman" w:hAnsi="Times New Roman" w:cs="Times New Roman"/>
        </w:rPr>
        <w:t xml:space="preserve">five-year series on use, public </w:t>
      </w:r>
      <w:r w:rsidR="00EA4412" w:rsidRPr="002D4349">
        <w:rPr>
          <w:rFonts w:ascii="Times New Roman" w:hAnsi="Times New Roman" w:cs="Times New Roman"/>
        </w:rPr>
        <w:t>access,</w:t>
      </w:r>
      <w:r w:rsidR="00696B72" w:rsidRPr="002D4349">
        <w:rPr>
          <w:rFonts w:ascii="Times New Roman" w:hAnsi="Times New Roman" w:cs="Times New Roman"/>
        </w:rPr>
        <w:t xml:space="preserve"> and human resources, as well as a six-year series on visitors.</w:t>
      </w:r>
      <w:r w:rsidR="00BE7F56" w:rsidRPr="002D4349">
        <w:rPr>
          <w:rFonts w:ascii="Times New Roman" w:hAnsi="Times New Roman" w:cs="Times New Roman"/>
        </w:rPr>
        <w:t xml:space="preserve"> </w:t>
      </w:r>
      <w:proofErr w:type="spellStart"/>
      <w:r w:rsidR="00BE7F56" w:rsidRPr="002D4349">
        <w:rPr>
          <w:rFonts w:ascii="Times New Roman" w:hAnsi="Times New Roman" w:cs="Times New Roman"/>
          <w:lang w:val="pt-PT"/>
        </w:rPr>
        <w:t>The</w:t>
      </w:r>
      <w:proofErr w:type="spellEnd"/>
      <w:r w:rsidR="00BE7F56" w:rsidRPr="002D4349">
        <w:rPr>
          <w:rFonts w:ascii="Times New Roman" w:hAnsi="Times New Roman" w:cs="Times New Roman"/>
          <w:lang w:val="pt-PT"/>
        </w:rPr>
        <w:t xml:space="preserve"> data </w:t>
      </w:r>
      <w:proofErr w:type="spellStart"/>
      <w:r w:rsidR="00BE7F56" w:rsidRPr="002D4349">
        <w:rPr>
          <w:rFonts w:ascii="Times New Roman" w:hAnsi="Times New Roman" w:cs="Times New Roman"/>
          <w:lang w:val="pt-PT"/>
        </w:rPr>
        <w:t>collected</w:t>
      </w:r>
      <w:proofErr w:type="spellEnd"/>
      <w:r w:rsidR="00BE7F56" w:rsidRPr="002D4349">
        <w:rPr>
          <w:rFonts w:ascii="Times New Roman" w:hAnsi="Times New Roman" w:cs="Times New Roman"/>
          <w:lang w:val="pt-PT"/>
        </w:rPr>
        <w:t xml:space="preserve"> </w:t>
      </w:r>
      <w:proofErr w:type="spellStart"/>
      <w:r w:rsidR="00BE7F56" w:rsidRPr="002D4349">
        <w:rPr>
          <w:rFonts w:ascii="Times New Roman" w:hAnsi="Times New Roman" w:cs="Times New Roman"/>
          <w:lang w:val="pt-PT"/>
        </w:rPr>
        <w:t>have</w:t>
      </w:r>
      <w:proofErr w:type="spellEnd"/>
      <w:r w:rsidR="00BE7F56" w:rsidRPr="002D4349">
        <w:rPr>
          <w:rFonts w:ascii="Times New Roman" w:hAnsi="Times New Roman" w:cs="Times New Roman"/>
          <w:lang w:val="pt-PT"/>
        </w:rPr>
        <w:t xml:space="preserve"> </w:t>
      </w:r>
      <w:proofErr w:type="spellStart"/>
      <w:r w:rsidR="00BE7F56" w:rsidRPr="002D4349">
        <w:rPr>
          <w:rFonts w:ascii="Times New Roman" w:hAnsi="Times New Roman" w:cs="Times New Roman"/>
          <w:lang w:val="pt-PT"/>
        </w:rPr>
        <w:t>allowed</w:t>
      </w:r>
      <w:proofErr w:type="spellEnd"/>
      <w:r w:rsidR="00BE7F56" w:rsidRPr="002D4349">
        <w:rPr>
          <w:rFonts w:ascii="Times New Roman" w:hAnsi="Times New Roman" w:cs="Times New Roman"/>
          <w:lang w:val="pt-PT"/>
        </w:rPr>
        <w:t xml:space="preserve"> for </w:t>
      </w:r>
      <w:proofErr w:type="spellStart"/>
      <w:r w:rsidR="004607DB" w:rsidRPr="002D4349">
        <w:rPr>
          <w:rFonts w:ascii="Times New Roman" w:hAnsi="Times New Roman" w:cs="Times New Roman"/>
          <w:lang w:val="pt-PT"/>
        </w:rPr>
        <w:t>the</w:t>
      </w:r>
      <w:proofErr w:type="spellEnd"/>
      <w:r w:rsidR="004607DB" w:rsidRPr="002D4349">
        <w:rPr>
          <w:rFonts w:ascii="Times New Roman" w:hAnsi="Times New Roman" w:cs="Times New Roman"/>
          <w:lang w:val="pt-PT"/>
        </w:rPr>
        <w:t xml:space="preserve"> design </w:t>
      </w:r>
      <w:proofErr w:type="spellStart"/>
      <w:r w:rsidR="004607DB" w:rsidRPr="002D4349">
        <w:rPr>
          <w:rFonts w:ascii="Times New Roman" w:hAnsi="Times New Roman" w:cs="Times New Roman"/>
          <w:lang w:val="pt-PT"/>
        </w:rPr>
        <w:t>of</w:t>
      </w:r>
      <w:proofErr w:type="spellEnd"/>
      <w:r w:rsidR="004607DB" w:rsidRPr="002D4349">
        <w:rPr>
          <w:rFonts w:ascii="Times New Roman" w:hAnsi="Times New Roman" w:cs="Times New Roman"/>
          <w:lang w:val="pt-PT"/>
        </w:rPr>
        <w:t xml:space="preserve"> </w:t>
      </w:r>
      <w:proofErr w:type="spellStart"/>
      <w:r w:rsidR="004607DB" w:rsidRPr="002D4349">
        <w:rPr>
          <w:rFonts w:ascii="Times New Roman" w:hAnsi="Times New Roman" w:cs="Times New Roman"/>
          <w:lang w:val="pt-PT"/>
        </w:rPr>
        <w:t>an</w:t>
      </w:r>
      <w:proofErr w:type="spellEnd"/>
      <w:r w:rsidR="004607DB" w:rsidRPr="002D4349">
        <w:rPr>
          <w:rFonts w:ascii="Times New Roman" w:hAnsi="Times New Roman" w:cs="Times New Roman"/>
          <w:lang w:val="pt-PT"/>
        </w:rPr>
        <w:t xml:space="preserve"> </w:t>
      </w:r>
      <w:proofErr w:type="spellStart"/>
      <w:r w:rsidR="004607DB" w:rsidRPr="002D4349">
        <w:rPr>
          <w:rFonts w:ascii="Times New Roman" w:hAnsi="Times New Roman" w:cs="Times New Roman"/>
          <w:lang w:val="pt-PT"/>
        </w:rPr>
        <w:t>interpretative</w:t>
      </w:r>
      <w:proofErr w:type="spellEnd"/>
      <w:r w:rsidR="004607DB" w:rsidRPr="002D4349">
        <w:rPr>
          <w:rFonts w:ascii="Times New Roman" w:hAnsi="Times New Roman" w:cs="Times New Roman"/>
          <w:lang w:val="pt-PT"/>
        </w:rPr>
        <w:t xml:space="preserve"> </w:t>
      </w:r>
      <w:proofErr w:type="spellStart"/>
      <w:r w:rsidR="004607DB" w:rsidRPr="002D4349">
        <w:rPr>
          <w:rFonts w:ascii="Times New Roman" w:hAnsi="Times New Roman" w:cs="Times New Roman"/>
          <w:lang w:val="pt-PT"/>
        </w:rPr>
        <w:t>narrative</w:t>
      </w:r>
      <w:proofErr w:type="spellEnd"/>
      <w:r w:rsidR="004607DB" w:rsidRPr="002D4349">
        <w:rPr>
          <w:rFonts w:ascii="Times New Roman" w:hAnsi="Times New Roman" w:cs="Times New Roman"/>
          <w:lang w:val="pt-PT"/>
        </w:rPr>
        <w:t xml:space="preserve"> on </w:t>
      </w:r>
      <w:proofErr w:type="spellStart"/>
      <w:r w:rsidR="004607DB" w:rsidRPr="002D4349">
        <w:rPr>
          <w:rFonts w:ascii="Times New Roman" w:hAnsi="Times New Roman" w:cs="Times New Roman"/>
          <w:lang w:val="pt-PT"/>
        </w:rPr>
        <w:t>heritage</w:t>
      </w:r>
      <w:proofErr w:type="spellEnd"/>
      <w:r w:rsidR="004607DB" w:rsidRPr="002D4349">
        <w:rPr>
          <w:rFonts w:ascii="Times New Roman" w:hAnsi="Times New Roman" w:cs="Times New Roman"/>
          <w:lang w:val="pt-PT"/>
        </w:rPr>
        <w:t xml:space="preserve">, </w:t>
      </w:r>
      <w:proofErr w:type="spellStart"/>
      <w:r w:rsidR="004841F3" w:rsidRPr="002D4349">
        <w:rPr>
          <w:rFonts w:ascii="Times New Roman" w:hAnsi="Times New Roman" w:cs="Times New Roman"/>
          <w:lang w:val="pt-PT"/>
        </w:rPr>
        <w:t>statistic</w:t>
      </w:r>
      <w:proofErr w:type="spellEnd"/>
      <w:r w:rsidR="004841F3" w:rsidRPr="002D4349">
        <w:rPr>
          <w:rFonts w:ascii="Times New Roman" w:hAnsi="Times New Roman" w:cs="Times New Roman"/>
          <w:lang w:val="pt-PT"/>
        </w:rPr>
        <w:t xml:space="preserve"> </w:t>
      </w:r>
      <w:proofErr w:type="spellStart"/>
      <w:r w:rsidR="004841F3" w:rsidRPr="002D4349">
        <w:rPr>
          <w:rFonts w:ascii="Times New Roman" w:hAnsi="Times New Roman" w:cs="Times New Roman"/>
          <w:lang w:val="pt-PT"/>
        </w:rPr>
        <w:t>and</w:t>
      </w:r>
      <w:proofErr w:type="spellEnd"/>
      <w:r w:rsidR="004841F3" w:rsidRPr="002D4349">
        <w:rPr>
          <w:rFonts w:ascii="Times New Roman" w:hAnsi="Times New Roman" w:cs="Times New Roman"/>
          <w:lang w:val="pt-PT"/>
        </w:rPr>
        <w:t xml:space="preserve"> data </w:t>
      </w:r>
      <w:proofErr w:type="spellStart"/>
      <w:r w:rsidR="004841F3" w:rsidRPr="002D4349">
        <w:rPr>
          <w:rFonts w:ascii="Times New Roman" w:hAnsi="Times New Roman" w:cs="Times New Roman"/>
          <w:lang w:val="pt-PT"/>
        </w:rPr>
        <w:t>collecting</w:t>
      </w:r>
      <w:proofErr w:type="spellEnd"/>
      <w:r w:rsidR="004841F3" w:rsidRPr="002D4349">
        <w:rPr>
          <w:rFonts w:ascii="Times New Roman" w:hAnsi="Times New Roman" w:cs="Times New Roman"/>
          <w:lang w:val="pt-PT"/>
        </w:rPr>
        <w:t xml:space="preserve"> </w:t>
      </w:r>
      <w:proofErr w:type="spellStart"/>
      <w:r w:rsidR="004841F3" w:rsidRPr="002D4349">
        <w:rPr>
          <w:rFonts w:ascii="Times New Roman" w:hAnsi="Times New Roman" w:cs="Times New Roman"/>
          <w:lang w:val="pt-PT"/>
        </w:rPr>
        <w:t>systems</w:t>
      </w:r>
      <w:proofErr w:type="spellEnd"/>
      <w:r w:rsidR="004841F3" w:rsidRPr="002D4349">
        <w:rPr>
          <w:rFonts w:ascii="Times New Roman" w:hAnsi="Times New Roman" w:cs="Times New Roman"/>
          <w:lang w:val="pt-PT"/>
        </w:rPr>
        <w:t>.</w:t>
      </w:r>
      <w:r w:rsidR="00C33FAD" w:rsidRPr="002D4349">
        <w:rPr>
          <w:rFonts w:ascii="Times New Roman" w:hAnsi="Times New Roman" w:cs="Times New Roman"/>
          <w:lang w:val="pt-PT"/>
        </w:rPr>
        <w:t xml:space="preserve"> </w:t>
      </w:r>
      <w:r w:rsidR="00C33FAD" w:rsidRPr="002D4349">
        <w:rPr>
          <w:rFonts w:ascii="Times New Roman" w:hAnsi="Times New Roman" w:cs="Times New Roman"/>
        </w:rPr>
        <w:t>It has also</w:t>
      </w:r>
      <w:r w:rsidR="002D4349" w:rsidRPr="002D4349">
        <w:rPr>
          <w:rFonts w:ascii="Times New Roman" w:hAnsi="Times New Roman" w:cs="Times New Roman"/>
        </w:rPr>
        <w:t xml:space="preserve"> provided a </w:t>
      </w:r>
      <w:r w:rsidR="00C33FAD" w:rsidRPr="002D4349">
        <w:rPr>
          <w:rFonts w:ascii="Times New Roman" w:hAnsi="Times New Roman" w:cs="Times New Roman"/>
        </w:rPr>
        <w:t>reflection of the review of the universe of inquiry, but also of the interest that the project has been arousing among the respective guardianships, directors and those responsible. The NM observed include six categories of management entities, public and private, which, together with the geographical coverage, allows to prove the scope of the survey.</w:t>
      </w:r>
    </w:p>
    <w:p w14:paraId="244A3086" w14:textId="4B94158E" w:rsidR="0021570F" w:rsidRPr="0021570F" w:rsidRDefault="0021570F" w:rsidP="00BE7F56">
      <w:pPr>
        <w:spacing w:after="0" w:line="240" w:lineRule="auto"/>
        <w:jc w:val="both"/>
        <w:rPr>
          <w:rFonts w:ascii="Times New Roman" w:hAnsi="Times New Roman" w:cs="Times New Roman"/>
        </w:rPr>
      </w:pPr>
      <w:r w:rsidRPr="002D4349">
        <w:rPr>
          <w:rFonts w:ascii="Times New Roman" w:hAnsi="Times New Roman" w:cs="Times New Roman"/>
        </w:rPr>
        <w:t xml:space="preserve">We can argue that </w:t>
      </w:r>
      <w:r w:rsidR="00A859F0" w:rsidRPr="002D4349">
        <w:rPr>
          <w:rFonts w:ascii="Times New Roman" w:hAnsi="Times New Roman" w:cs="Times New Roman"/>
        </w:rPr>
        <w:t>the absence of a</w:t>
      </w:r>
      <w:r w:rsidR="00F653F3" w:rsidRPr="002D4349">
        <w:rPr>
          <w:rFonts w:ascii="Times New Roman" w:hAnsi="Times New Roman" w:cs="Times New Roman"/>
        </w:rPr>
        <w:t xml:space="preserve"> heritage statistical project</w:t>
      </w:r>
      <w:r w:rsidRPr="002D4349">
        <w:rPr>
          <w:rFonts w:ascii="Times New Roman" w:hAnsi="Times New Roman" w:cs="Times New Roman"/>
        </w:rPr>
        <w:t xml:space="preserve"> reflects the need for an internal observation within the monuments themselves about their practices. The built cultural heritage universe is very heterogenous whether in types of buildings or in the conditions to its fruition. </w:t>
      </w:r>
      <w:r w:rsidR="0062689E" w:rsidRPr="002D4349">
        <w:rPr>
          <w:rFonts w:ascii="Times New Roman" w:hAnsi="Times New Roman" w:cs="Times New Roman"/>
        </w:rPr>
        <w:t xml:space="preserve">This study has contributed </w:t>
      </w:r>
      <w:r w:rsidR="00DE73CE" w:rsidRPr="002D4349">
        <w:rPr>
          <w:rFonts w:ascii="Times New Roman" w:hAnsi="Times New Roman" w:cs="Times New Roman"/>
        </w:rPr>
        <w:t xml:space="preserve">for a more regular data collection within the National Monuments management, </w:t>
      </w:r>
      <w:r w:rsidR="00E2741F" w:rsidRPr="002D4349">
        <w:rPr>
          <w:rFonts w:ascii="Times New Roman" w:hAnsi="Times New Roman" w:cs="Times New Roman"/>
        </w:rPr>
        <w:t>since it was observe</w:t>
      </w:r>
      <w:r w:rsidR="00473554" w:rsidRPr="002D4349">
        <w:rPr>
          <w:rFonts w:ascii="Times New Roman" w:hAnsi="Times New Roman" w:cs="Times New Roman"/>
        </w:rPr>
        <w:t>d</w:t>
      </w:r>
      <w:r w:rsidR="00E2741F" w:rsidRPr="002D4349">
        <w:rPr>
          <w:rFonts w:ascii="Times New Roman" w:hAnsi="Times New Roman" w:cs="Times New Roman"/>
        </w:rPr>
        <w:t xml:space="preserve"> that in the first editions m</w:t>
      </w:r>
      <w:r w:rsidRPr="002D4349">
        <w:rPr>
          <w:rFonts w:ascii="Times New Roman" w:hAnsi="Times New Roman" w:cs="Times New Roman"/>
        </w:rPr>
        <w:t xml:space="preserve">onuments </w:t>
      </w:r>
      <w:r w:rsidR="00E2741F" w:rsidRPr="002D4349">
        <w:rPr>
          <w:rFonts w:ascii="Times New Roman" w:hAnsi="Times New Roman" w:cs="Times New Roman"/>
        </w:rPr>
        <w:t xml:space="preserve">were </w:t>
      </w:r>
      <w:r w:rsidRPr="002D4349">
        <w:rPr>
          <w:rFonts w:ascii="Times New Roman" w:hAnsi="Times New Roman" w:cs="Times New Roman"/>
        </w:rPr>
        <w:t>not used to collect data nor prepared to do so</w:t>
      </w:r>
      <w:r w:rsidR="00E2741F" w:rsidRPr="002D4349">
        <w:rPr>
          <w:rFonts w:ascii="Times New Roman" w:hAnsi="Times New Roman" w:cs="Times New Roman"/>
        </w:rPr>
        <w:t xml:space="preserve">. In some </w:t>
      </w:r>
      <w:r w:rsidR="00E7396A" w:rsidRPr="002D4349">
        <w:rPr>
          <w:rFonts w:ascii="Times New Roman" w:hAnsi="Times New Roman" w:cs="Times New Roman"/>
        </w:rPr>
        <w:t>cases,</w:t>
      </w:r>
      <w:r w:rsidRPr="002D4349">
        <w:rPr>
          <w:rFonts w:ascii="Times New Roman" w:hAnsi="Times New Roman" w:cs="Times New Roman"/>
        </w:rPr>
        <w:t xml:space="preserve"> this study provided the first tools </w:t>
      </w:r>
      <w:r w:rsidR="00E2741F" w:rsidRPr="002D4349">
        <w:rPr>
          <w:rFonts w:ascii="Times New Roman" w:hAnsi="Times New Roman" w:cs="Times New Roman"/>
        </w:rPr>
        <w:t>towards</w:t>
      </w:r>
      <w:r w:rsidRPr="002D4349">
        <w:rPr>
          <w:rFonts w:ascii="Times New Roman" w:hAnsi="Times New Roman" w:cs="Times New Roman"/>
        </w:rPr>
        <w:t xml:space="preserve"> data collection. The lack of official guidelines towards data collection is confirmed by this study and does not help for a common definition</w:t>
      </w:r>
      <w:r w:rsidRPr="0021570F">
        <w:rPr>
          <w:rFonts w:ascii="Times New Roman" w:hAnsi="Times New Roman" w:cs="Times New Roman"/>
        </w:rPr>
        <w:t xml:space="preserve"> of an information framework that can be applied in a wide range and include classification categories other than the National Monuments.</w:t>
      </w:r>
    </w:p>
    <w:p w14:paraId="73694BC1" w14:textId="366A37BC" w:rsidR="000B002E" w:rsidRDefault="0021570F" w:rsidP="00BE7F56">
      <w:pPr>
        <w:spacing w:after="0" w:line="240" w:lineRule="auto"/>
        <w:jc w:val="both"/>
        <w:rPr>
          <w:rFonts w:ascii="Times New Roman" w:hAnsi="Times New Roman" w:cs="Times New Roman"/>
        </w:rPr>
      </w:pPr>
      <w:r w:rsidRPr="0021570F">
        <w:rPr>
          <w:rFonts w:ascii="Times New Roman" w:hAnsi="Times New Roman" w:cs="Times New Roman"/>
        </w:rPr>
        <w:t xml:space="preserve">There is a tendency for monuments to operate in a similar way, for instance by adopting a permanent opening system, </w:t>
      </w:r>
      <w:r w:rsidR="00F32108">
        <w:rPr>
          <w:rFonts w:ascii="Times New Roman" w:hAnsi="Times New Roman" w:cs="Times New Roman"/>
        </w:rPr>
        <w:t>that is noted in</w:t>
      </w:r>
      <w:r w:rsidR="00F32108" w:rsidRPr="0075696F">
        <w:rPr>
          <w:rFonts w:ascii="Times New Roman" w:hAnsi="Times New Roman" w:cs="Times New Roman"/>
        </w:rPr>
        <w:t xml:space="preserve"> the vast majority of NM</w:t>
      </w:r>
      <w:r w:rsidR="00F32108">
        <w:rPr>
          <w:rFonts w:ascii="Times New Roman" w:hAnsi="Times New Roman" w:cs="Times New Roman"/>
        </w:rPr>
        <w:t xml:space="preserve"> that</w:t>
      </w:r>
      <w:r w:rsidR="00F32108" w:rsidRPr="0075696F">
        <w:rPr>
          <w:rFonts w:ascii="Times New Roman" w:hAnsi="Times New Roman" w:cs="Times New Roman"/>
        </w:rPr>
        <w:t xml:space="preserve"> were open and visitable in 2022</w:t>
      </w:r>
      <w:r w:rsidR="00F32108">
        <w:rPr>
          <w:rFonts w:ascii="Times New Roman" w:hAnsi="Times New Roman" w:cs="Times New Roman"/>
        </w:rPr>
        <w:t>,</w:t>
      </w:r>
      <w:r w:rsidR="0075696F" w:rsidRPr="0075696F">
        <w:rPr>
          <w:rFonts w:ascii="Times New Roman" w:hAnsi="Times New Roman" w:cs="Times New Roman"/>
        </w:rPr>
        <w:t xml:space="preserve"> </w:t>
      </w:r>
      <w:r w:rsidRPr="0021570F">
        <w:rPr>
          <w:rFonts w:ascii="Times New Roman" w:hAnsi="Times New Roman" w:cs="Times New Roman"/>
        </w:rPr>
        <w:t xml:space="preserve">but that is still dependent on the decision-making process within the monuments themselves rather than a national overview of the type of action required. </w:t>
      </w:r>
      <w:r w:rsidR="00554244" w:rsidRPr="0021570F">
        <w:rPr>
          <w:rFonts w:ascii="Times New Roman" w:hAnsi="Times New Roman" w:cs="Times New Roman"/>
        </w:rPr>
        <w:t xml:space="preserve">This seems to be relevant when considering that all the country has National Monuments, of different types and categories that could be understood as a heritage unit and thus reinforcing the need for the existence of a national policy or strategy to this heritage </w:t>
      </w:r>
      <w:r w:rsidR="000B002E" w:rsidRPr="0021570F">
        <w:rPr>
          <w:rFonts w:ascii="Times New Roman" w:hAnsi="Times New Roman" w:cs="Times New Roman"/>
        </w:rPr>
        <w:t>valorization</w:t>
      </w:r>
      <w:r w:rsidR="000B002E">
        <w:rPr>
          <w:rFonts w:ascii="Times New Roman" w:hAnsi="Times New Roman" w:cs="Times New Roman"/>
        </w:rPr>
        <w:t xml:space="preserve">. </w:t>
      </w:r>
    </w:p>
    <w:p w14:paraId="5E48A14B" w14:textId="23433387" w:rsidR="006B7075" w:rsidRDefault="000B002E" w:rsidP="0021570F">
      <w:pPr>
        <w:spacing w:after="0" w:line="240" w:lineRule="auto"/>
        <w:jc w:val="both"/>
        <w:rPr>
          <w:rFonts w:ascii="Times New Roman" w:hAnsi="Times New Roman" w:cs="Times New Roman"/>
        </w:rPr>
      </w:pPr>
      <w:r>
        <w:rPr>
          <w:rFonts w:ascii="Times New Roman" w:hAnsi="Times New Roman" w:cs="Times New Roman"/>
        </w:rPr>
        <w:t xml:space="preserve">The opening regime </w:t>
      </w:r>
      <w:r w:rsidR="00B75725">
        <w:rPr>
          <w:rFonts w:ascii="Times New Roman" w:hAnsi="Times New Roman" w:cs="Times New Roman"/>
        </w:rPr>
        <w:t xml:space="preserve">does not directly relate to the type of management entity, meaning that whether NM are public or </w:t>
      </w:r>
      <w:r w:rsidR="006B7075">
        <w:rPr>
          <w:rFonts w:ascii="Times New Roman" w:hAnsi="Times New Roman" w:cs="Times New Roman"/>
        </w:rPr>
        <w:t>privately managed they adopt similar public opening patterns.</w:t>
      </w:r>
    </w:p>
    <w:p w14:paraId="25FC939C" w14:textId="24DAB49C" w:rsidR="00CE21C3" w:rsidRDefault="0021570F" w:rsidP="00FE45FC">
      <w:pPr>
        <w:spacing w:after="0" w:line="240" w:lineRule="auto"/>
        <w:jc w:val="both"/>
        <w:rPr>
          <w:rFonts w:ascii="Times New Roman" w:hAnsi="Times New Roman" w:cs="Times New Roman"/>
        </w:rPr>
      </w:pPr>
      <w:r w:rsidRPr="0021570F">
        <w:rPr>
          <w:rFonts w:ascii="Times New Roman" w:hAnsi="Times New Roman" w:cs="Times New Roman"/>
        </w:rPr>
        <w:t xml:space="preserve">National Monuments are not averse to visitors. </w:t>
      </w:r>
      <w:r w:rsidR="000B002E">
        <w:rPr>
          <w:rFonts w:ascii="Times New Roman" w:hAnsi="Times New Roman" w:cs="Times New Roman"/>
        </w:rPr>
        <w:t>Thirteen</w:t>
      </w:r>
      <w:r w:rsidRPr="0021570F">
        <w:rPr>
          <w:rFonts w:ascii="Times New Roman" w:hAnsi="Times New Roman" w:cs="Times New Roman"/>
        </w:rPr>
        <w:t xml:space="preserve"> million people visited this heritage in 20</w:t>
      </w:r>
      <w:r w:rsidR="000B002E">
        <w:rPr>
          <w:rFonts w:ascii="Times New Roman" w:hAnsi="Times New Roman" w:cs="Times New Roman"/>
        </w:rPr>
        <w:t>22</w:t>
      </w:r>
      <w:r w:rsidR="003F694C">
        <w:rPr>
          <w:rFonts w:ascii="Times New Roman" w:hAnsi="Times New Roman" w:cs="Times New Roman"/>
        </w:rPr>
        <w:t xml:space="preserve">, an </w:t>
      </w:r>
      <w:r w:rsidR="00B51460" w:rsidRPr="004841F3">
        <w:rPr>
          <w:rFonts w:ascii="Times New Roman" w:hAnsi="Times New Roman" w:cs="Times New Roman"/>
        </w:rPr>
        <w:t xml:space="preserve">increase of more than 110% compared to the previous year and the highest value ever recorded in the IMNP. </w:t>
      </w:r>
      <w:r w:rsidR="00B51460" w:rsidRPr="004841F3">
        <w:rPr>
          <w:rFonts w:ascii="Times New Roman" w:hAnsi="Times New Roman" w:cs="Times New Roman"/>
        </w:rPr>
        <w:lastRenderedPageBreak/>
        <w:t xml:space="preserve">This increase follows that observed, on an international scale, in the heritage domain, where there was a resumption of visitors to historical sites and archaeological </w:t>
      </w:r>
      <w:r w:rsidR="00CE21C3" w:rsidRPr="004841F3">
        <w:rPr>
          <w:rFonts w:ascii="Times New Roman" w:hAnsi="Times New Roman" w:cs="Times New Roman"/>
        </w:rPr>
        <w:t>sites and</w:t>
      </w:r>
      <w:r w:rsidR="00B51460" w:rsidRPr="004841F3">
        <w:rPr>
          <w:rFonts w:ascii="Times New Roman" w:hAnsi="Times New Roman" w:cs="Times New Roman"/>
        </w:rPr>
        <w:t xml:space="preserve"> is in line with what was observed in other domains, such as museums, although these are still far from the values of 2019, on a global scale</w:t>
      </w:r>
      <w:r w:rsidRPr="0021570F">
        <w:rPr>
          <w:rFonts w:ascii="Times New Roman" w:hAnsi="Times New Roman" w:cs="Times New Roman"/>
        </w:rPr>
        <w:t xml:space="preserve">. </w:t>
      </w:r>
      <w:proofErr w:type="spellStart"/>
      <w:r w:rsidRPr="00CE21C3">
        <w:rPr>
          <w:rFonts w:ascii="Times New Roman" w:hAnsi="Times New Roman" w:cs="Times New Roman"/>
          <w:lang w:val="pt-PT"/>
        </w:rPr>
        <w:t>Further</w:t>
      </w:r>
      <w:proofErr w:type="spellEnd"/>
      <w:r w:rsidRPr="00CE21C3">
        <w:rPr>
          <w:rFonts w:ascii="Times New Roman" w:hAnsi="Times New Roman" w:cs="Times New Roman"/>
          <w:lang w:val="pt-PT"/>
        </w:rPr>
        <w:t xml:space="preserve"> </w:t>
      </w:r>
      <w:proofErr w:type="spellStart"/>
      <w:r w:rsidRPr="00CE21C3">
        <w:rPr>
          <w:rFonts w:ascii="Times New Roman" w:hAnsi="Times New Roman" w:cs="Times New Roman"/>
          <w:lang w:val="pt-PT"/>
        </w:rPr>
        <w:t>and</w:t>
      </w:r>
      <w:proofErr w:type="spellEnd"/>
      <w:r w:rsidRPr="00CE21C3">
        <w:rPr>
          <w:rFonts w:ascii="Times New Roman" w:hAnsi="Times New Roman" w:cs="Times New Roman"/>
          <w:lang w:val="pt-PT"/>
        </w:rPr>
        <w:t xml:space="preserve"> more </w:t>
      </w:r>
      <w:proofErr w:type="spellStart"/>
      <w:r w:rsidRPr="00CE21C3">
        <w:rPr>
          <w:rFonts w:ascii="Times New Roman" w:hAnsi="Times New Roman" w:cs="Times New Roman"/>
          <w:lang w:val="pt-PT"/>
        </w:rPr>
        <w:t>detailed</w:t>
      </w:r>
      <w:proofErr w:type="spellEnd"/>
      <w:r w:rsidRPr="00CE21C3">
        <w:rPr>
          <w:rFonts w:ascii="Times New Roman" w:hAnsi="Times New Roman" w:cs="Times New Roman"/>
          <w:lang w:val="pt-PT"/>
        </w:rPr>
        <w:t xml:space="preserve"> </w:t>
      </w:r>
      <w:proofErr w:type="spellStart"/>
      <w:r w:rsidRPr="00CE21C3">
        <w:rPr>
          <w:rFonts w:ascii="Times New Roman" w:hAnsi="Times New Roman" w:cs="Times New Roman"/>
          <w:lang w:val="pt-PT"/>
        </w:rPr>
        <w:t>attention</w:t>
      </w:r>
      <w:proofErr w:type="spellEnd"/>
      <w:r w:rsidRPr="00CE21C3">
        <w:rPr>
          <w:rFonts w:ascii="Times New Roman" w:hAnsi="Times New Roman" w:cs="Times New Roman"/>
          <w:lang w:val="pt-PT"/>
        </w:rPr>
        <w:t xml:space="preserve"> must </w:t>
      </w:r>
      <w:proofErr w:type="spellStart"/>
      <w:r w:rsidRPr="00CE21C3">
        <w:rPr>
          <w:rFonts w:ascii="Times New Roman" w:hAnsi="Times New Roman" w:cs="Times New Roman"/>
          <w:lang w:val="pt-PT"/>
        </w:rPr>
        <w:t>be</w:t>
      </w:r>
      <w:proofErr w:type="spellEnd"/>
      <w:r w:rsidRPr="00CE21C3">
        <w:rPr>
          <w:rFonts w:ascii="Times New Roman" w:hAnsi="Times New Roman" w:cs="Times New Roman"/>
          <w:lang w:val="pt-PT"/>
        </w:rPr>
        <w:t xml:space="preserve"> </w:t>
      </w:r>
      <w:proofErr w:type="spellStart"/>
      <w:r w:rsidRPr="00CE21C3">
        <w:rPr>
          <w:rFonts w:ascii="Times New Roman" w:hAnsi="Times New Roman" w:cs="Times New Roman"/>
          <w:lang w:val="pt-PT"/>
        </w:rPr>
        <w:t>paid</w:t>
      </w:r>
      <w:proofErr w:type="spellEnd"/>
      <w:r w:rsidRPr="00CE21C3">
        <w:rPr>
          <w:rFonts w:ascii="Times New Roman" w:hAnsi="Times New Roman" w:cs="Times New Roman"/>
          <w:lang w:val="pt-PT"/>
        </w:rPr>
        <w:t xml:space="preserve"> to </w:t>
      </w:r>
      <w:proofErr w:type="spellStart"/>
      <w:r w:rsidRPr="00CE21C3">
        <w:rPr>
          <w:rFonts w:ascii="Times New Roman" w:hAnsi="Times New Roman" w:cs="Times New Roman"/>
          <w:lang w:val="pt-PT"/>
        </w:rPr>
        <w:t>this</w:t>
      </w:r>
      <w:proofErr w:type="spellEnd"/>
      <w:r w:rsidRPr="00CE21C3">
        <w:rPr>
          <w:rFonts w:ascii="Times New Roman" w:hAnsi="Times New Roman" w:cs="Times New Roman"/>
          <w:lang w:val="pt-PT"/>
        </w:rPr>
        <w:t xml:space="preserve"> particular </w:t>
      </w:r>
      <w:proofErr w:type="spellStart"/>
      <w:r w:rsidRPr="00CE21C3">
        <w:rPr>
          <w:rFonts w:ascii="Times New Roman" w:hAnsi="Times New Roman" w:cs="Times New Roman"/>
          <w:lang w:val="pt-PT"/>
        </w:rPr>
        <w:t>heritage</w:t>
      </w:r>
      <w:proofErr w:type="spellEnd"/>
      <w:r w:rsidRPr="00CE21C3">
        <w:rPr>
          <w:rFonts w:ascii="Times New Roman" w:hAnsi="Times New Roman" w:cs="Times New Roman"/>
          <w:lang w:val="pt-PT"/>
        </w:rPr>
        <w:t xml:space="preserve"> </w:t>
      </w:r>
      <w:proofErr w:type="spellStart"/>
      <w:r w:rsidRPr="00CE21C3">
        <w:rPr>
          <w:rFonts w:ascii="Times New Roman" w:hAnsi="Times New Roman" w:cs="Times New Roman"/>
          <w:lang w:val="pt-PT"/>
        </w:rPr>
        <w:t>unit</w:t>
      </w:r>
      <w:proofErr w:type="spellEnd"/>
      <w:r w:rsidRPr="00CE21C3">
        <w:rPr>
          <w:rFonts w:ascii="Times New Roman" w:hAnsi="Times New Roman" w:cs="Times New Roman"/>
          <w:lang w:val="pt-PT"/>
        </w:rPr>
        <w:t xml:space="preserve">. </w:t>
      </w:r>
      <w:r w:rsidR="00CE21C3" w:rsidRPr="00CE21C3">
        <w:rPr>
          <w:rFonts w:ascii="Times New Roman" w:hAnsi="Times New Roman" w:cs="Times New Roman"/>
        </w:rPr>
        <w:t>The increase in visitors in 2022 is very expressive and very significant of the impact of the pandemic, which forced containment in the years 2020 and 2021, and whose end was formally declared in May 2023. Contributing to this growth is the return of foreign visitors to the visitation circuits, although still in smaller percentages compared to years prior to 2020, with the expressiveness of national visitors, the focus of NM</w:t>
      </w:r>
      <w:r w:rsidR="002F25B1">
        <w:rPr>
          <w:rFonts w:ascii="Times New Roman" w:hAnsi="Times New Roman" w:cs="Times New Roman"/>
        </w:rPr>
        <w:t xml:space="preserve"> </w:t>
      </w:r>
      <w:r w:rsidR="00CE21C3" w:rsidRPr="00CE21C3">
        <w:rPr>
          <w:rFonts w:ascii="Times New Roman" w:hAnsi="Times New Roman" w:cs="Times New Roman"/>
        </w:rPr>
        <w:t>actions during the pandemic crisis and which kept visitation frequencies high after the pandemic. School visits also grew (131.8%), with a pattern of evolution of this category of visitors since before the pandemic, although they correspond to reduced contingents; The same is true of guided visits, in this category with a less pronounced growth (35.1%).</w:t>
      </w:r>
    </w:p>
    <w:p w14:paraId="57FE2D81" w14:textId="312C7285" w:rsidR="00C33FAD" w:rsidRPr="00C33FAD" w:rsidRDefault="00C33FAD" w:rsidP="00CA7650">
      <w:pPr>
        <w:spacing w:after="0" w:line="240" w:lineRule="auto"/>
        <w:jc w:val="both"/>
        <w:rPr>
          <w:rFonts w:ascii="Times New Roman" w:hAnsi="Times New Roman" w:cs="Times New Roman"/>
        </w:rPr>
      </w:pPr>
      <w:r w:rsidRPr="006D17E1">
        <w:rPr>
          <w:rFonts w:ascii="Times New Roman" w:hAnsi="Times New Roman" w:cs="Times New Roman"/>
        </w:rPr>
        <w:t>Another data that stands out here refers to human resources</w:t>
      </w:r>
      <w:r>
        <w:rPr>
          <w:rFonts w:ascii="Times New Roman" w:hAnsi="Times New Roman" w:cs="Times New Roman"/>
        </w:rPr>
        <w:t xml:space="preserve"> with an </w:t>
      </w:r>
      <w:r w:rsidRPr="006D17E1">
        <w:rPr>
          <w:rFonts w:ascii="Times New Roman" w:hAnsi="Times New Roman" w:cs="Times New Roman"/>
        </w:rPr>
        <w:t xml:space="preserve">increase in both the number of </w:t>
      </w:r>
      <w:r>
        <w:rPr>
          <w:rFonts w:ascii="Times New Roman" w:hAnsi="Times New Roman" w:cs="Times New Roman"/>
        </w:rPr>
        <w:t xml:space="preserve">total </w:t>
      </w:r>
      <w:r w:rsidRPr="006D17E1">
        <w:rPr>
          <w:rFonts w:ascii="Times New Roman" w:hAnsi="Times New Roman" w:cs="Times New Roman"/>
        </w:rPr>
        <w:t xml:space="preserve">staff </w:t>
      </w:r>
      <w:r>
        <w:rPr>
          <w:rFonts w:ascii="Times New Roman" w:hAnsi="Times New Roman" w:cs="Times New Roman"/>
        </w:rPr>
        <w:t xml:space="preserve">(including non-permanent workers) </w:t>
      </w:r>
      <w:r w:rsidRPr="006D17E1">
        <w:rPr>
          <w:rFonts w:ascii="Times New Roman" w:hAnsi="Times New Roman" w:cs="Times New Roman"/>
        </w:rPr>
        <w:t xml:space="preserve">in service and the number of </w:t>
      </w:r>
      <w:r>
        <w:rPr>
          <w:rFonts w:ascii="Times New Roman" w:hAnsi="Times New Roman" w:cs="Times New Roman"/>
        </w:rPr>
        <w:t xml:space="preserve">permanent </w:t>
      </w:r>
      <w:r w:rsidRPr="006D17E1">
        <w:rPr>
          <w:rFonts w:ascii="Times New Roman" w:hAnsi="Times New Roman" w:cs="Times New Roman"/>
        </w:rPr>
        <w:t xml:space="preserve">staff, with the NMs generally operating with relatively small human resources structures, with a still relevant percentage of NM operating without </w:t>
      </w:r>
      <w:r>
        <w:rPr>
          <w:rFonts w:ascii="Times New Roman" w:hAnsi="Times New Roman" w:cs="Times New Roman"/>
        </w:rPr>
        <w:t xml:space="preserve">permanent </w:t>
      </w:r>
      <w:r w:rsidRPr="006D17E1">
        <w:rPr>
          <w:rFonts w:ascii="Times New Roman" w:hAnsi="Times New Roman" w:cs="Times New Roman"/>
        </w:rPr>
        <w:t>staff.</w:t>
      </w:r>
    </w:p>
    <w:p w14:paraId="62B41D52" w14:textId="65B79479" w:rsidR="0021570F" w:rsidRPr="0021570F" w:rsidRDefault="0026518F" w:rsidP="00FE11B1">
      <w:pPr>
        <w:spacing w:after="0" w:line="240" w:lineRule="auto"/>
        <w:jc w:val="both"/>
        <w:rPr>
          <w:rFonts w:ascii="Times New Roman" w:hAnsi="Times New Roman" w:cs="Times New Roman"/>
        </w:rPr>
      </w:pPr>
      <w:r>
        <w:rPr>
          <w:rFonts w:ascii="Times New Roman" w:hAnsi="Times New Roman" w:cs="Times New Roman"/>
        </w:rPr>
        <w:t>Th regularity of this study (five editions concluded, sixth edition undergoing in 2024)</w:t>
      </w:r>
      <w:r w:rsidR="0021570F" w:rsidRPr="0021570F">
        <w:rPr>
          <w:rFonts w:ascii="Times New Roman" w:hAnsi="Times New Roman" w:cs="Times New Roman"/>
        </w:rPr>
        <w:t xml:space="preserve"> contributes to the dissemination of practices that can lead to a different performance from the NM</w:t>
      </w:r>
      <w:r w:rsidR="0076060F">
        <w:rPr>
          <w:rFonts w:ascii="Times New Roman" w:hAnsi="Times New Roman" w:cs="Times New Roman"/>
        </w:rPr>
        <w:t>, that count with yearly data update</w:t>
      </w:r>
      <w:r w:rsidR="0021570F" w:rsidRPr="0021570F">
        <w:rPr>
          <w:rFonts w:ascii="Times New Roman" w:hAnsi="Times New Roman" w:cs="Times New Roman"/>
        </w:rPr>
        <w:t xml:space="preserve"> </w:t>
      </w:r>
      <w:r w:rsidR="0076060F">
        <w:rPr>
          <w:rFonts w:ascii="Times New Roman" w:hAnsi="Times New Roman" w:cs="Times New Roman"/>
        </w:rPr>
        <w:t xml:space="preserve">in </w:t>
      </w:r>
      <w:r w:rsidR="00FE11B1">
        <w:rPr>
          <w:rFonts w:ascii="Times New Roman" w:hAnsi="Times New Roman" w:cs="Times New Roman"/>
        </w:rPr>
        <w:t xml:space="preserve">structured dimension, </w:t>
      </w:r>
      <w:r w:rsidR="0021570F" w:rsidRPr="0021570F">
        <w:rPr>
          <w:rFonts w:ascii="Times New Roman" w:hAnsi="Times New Roman" w:cs="Times New Roman"/>
        </w:rPr>
        <w:t xml:space="preserve">including not only other NM and thus enlarging the surveyed universe but also changes that occurred in the already surveyed ones. An official and national approach is the recommended course of action; adopting and improving already existing models like the extended model of pro-duction and dissemination of statistical information on the museological reality in Portugal in place in 2000-2012 that articulates research units, heritage administration institutions and national statistical office (Santos &amp; Neves, 2017). </w:t>
      </w:r>
    </w:p>
    <w:p w14:paraId="32D5B9BE" w14:textId="767680AE" w:rsidR="0021570F" w:rsidRPr="0021570F" w:rsidRDefault="0021570F" w:rsidP="0021570F">
      <w:pPr>
        <w:spacing w:after="0" w:line="240" w:lineRule="auto"/>
        <w:jc w:val="both"/>
        <w:rPr>
          <w:rFonts w:ascii="Times New Roman" w:hAnsi="Times New Roman" w:cs="Times New Roman"/>
        </w:rPr>
      </w:pPr>
      <w:r w:rsidRPr="0021570F">
        <w:rPr>
          <w:rFonts w:ascii="Times New Roman" w:hAnsi="Times New Roman" w:cs="Times New Roman"/>
        </w:rPr>
        <w:t xml:space="preserve">This study comes as a contribution to the knowledge on CH </w:t>
      </w:r>
      <w:r w:rsidR="002B1498" w:rsidRPr="0021570F">
        <w:rPr>
          <w:rFonts w:ascii="Times New Roman" w:hAnsi="Times New Roman" w:cs="Times New Roman"/>
        </w:rPr>
        <w:t>valorization</w:t>
      </w:r>
      <w:r w:rsidRPr="0021570F">
        <w:rPr>
          <w:rFonts w:ascii="Times New Roman" w:hAnsi="Times New Roman" w:cs="Times New Roman"/>
        </w:rPr>
        <w:t xml:space="preserve"> practices and NM public access and represent an advance in several essential conditions to a future official project to operate within the National Statistic: an expedition database; the review of concepts and the dimension to be surveyed. An answering routine was established, and protocols were defined </w:t>
      </w:r>
      <w:r w:rsidR="002B1498" w:rsidRPr="0021570F">
        <w:rPr>
          <w:rFonts w:ascii="Times New Roman" w:hAnsi="Times New Roman" w:cs="Times New Roman"/>
        </w:rPr>
        <w:t>to</w:t>
      </w:r>
      <w:r w:rsidRPr="0021570F">
        <w:rPr>
          <w:rFonts w:ascii="Times New Roman" w:hAnsi="Times New Roman" w:cs="Times New Roman"/>
        </w:rPr>
        <w:t xml:space="preserve"> a more effective information gathering, aiming for a regular annual updating and the dissemination of results giving back to the monuments a set of assembled information that allows them to position themselves amongst the overall sample and promote knowledge of this reality amongst technicians and stakeholders.</w:t>
      </w:r>
    </w:p>
    <w:p w14:paraId="4C437787" w14:textId="562370EB" w:rsidR="0021570F" w:rsidRPr="0021570F" w:rsidRDefault="0021570F" w:rsidP="0021570F">
      <w:pPr>
        <w:spacing w:after="0" w:line="240" w:lineRule="auto"/>
        <w:jc w:val="both"/>
        <w:rPr>
          <w:rFonts w:ascii="Times New Roman" w:hAnsi="Times New Roman" w:cs="Times New Roman"/>
        </w:rPr>
      </w:pPr>
      <w:r w:rsidRPr="0021570F">
        <w:rPr>
          <w:rFonts w:ascii="Times New Roman" w:hAnsi="Times New Roman" w:cs="Times New Roman"/>
        </w:rPr>
        <w:t>In 202</w:t>
      </w:r>
      <w:r w:rsidR="008D22BA">
        <w:rPr>
          <w:rFonts w:ascii="Times New Roman" w:hAnsi="Times New Roman" w:cs="Times New Roman"/>
        </w:rPr>
        <w:t>4</w:t>
      </w:r>
      <w:r w:rsidRPr="0021570F">
        <w:rPr>
          <w:rFonts w:ascii="Times New Roman" w:hAnsi="Times New Roman" w:cs="Times New Roman"/>
        </w:rPr>
        <w:t xml:space="preserve"> OPAC proceeded to </w:t>
      </w:r>
      <w:r w:rsidR="008D22BA">
        <w:rPr>
          <w:rFonts w:ascii="Times New Roman" w:hAnsi="Times New Roman" w:cs="Times New Roman"/>
        </w:rPr>
        <w:t>the sixth survey (with data referring to 2023)</w:t>
      </w:r>
      <w:r w:rsidRPr="0021570F">
        <w:rPr>
          <w:rFonts w:ascii="Times New Roman" w:hAnsi="Times New Roman" w:cs="Times New Roman"/>
        </w:rPr>
        <w:t xml:space="preserve"> with </w:t>
      </w:r>
      <w:r w:rsidR="008D22BA">
        <w:rPr>
          <w:rFonts w:ascii="Times New Roman" w:hAnsi="Times New Roman" w:cs="Times New Roman"/>
        </w:rPr>
        <w:t xml:space="preserve">several </w:t>
      </w:r>
      <w:r w:rsidRPr="0021570F">
        <w:rPr>
          <w:rFonts w:ascii="Times New Roman" w:hAnsi="Times New Roman" w:cs="Times New Roman"/>
        </w:rPr>
        <w:t xml:space="preserve">results already published (Neves, Macedo, Lima, Santos &amp; Miranda, 2020). </w:t>
      </w:r>
    </w:p>
    <w:p w14:paraId="382F9A05" w14:textId="28AFCCD3" w:rsidR="004920A1" w:rsidRPr="0021570F" w:rsidRDefault="0021570F" w:rsidP="0021570F">
      <w:pPr>
        <w:spacing w:after="0" w:line="240" w:lineRule="auto"/>
        <w:jc w:val="both"/>
        <w:rPr>
          <w:rFonts w:ascii="Times New Roman" w:hAnsi="Times New Roman" w:cs="Times New Roman"/>
        </w:rPr>
      </w:pPr>
      <w:r w:rsidRPr="0021570F">
        <w:rPr>
          <w:rFonts w:ascii="Times New Roman" w:hAnsi="Times New Roman" w:cs="Times New Roman"/>
        </w:rPr>
        <w:t>However, more knowledge is necessary on other uses of CH, mainly local inhabitants, services, and uses from the communities. OPAC will continue to research on Cultural Heritage and publish information on a regular basis, demonstrating that CH is not averse to statistical data.</w:t>
      </w:r>
    </w:p>
    <w:p w14:paraId="7893FE7E" w14:textId="77777777" w:rsidR="008D22BA" w:rsidRDefault="008D22BA" w:rsidP="00005967">
      <w:pPr>
        <w:spacing w:after="120" w:line="240" w:lineRule="auto"/>
        <w:rPr>
          <w:rFonts w:ascii="Times New Roman" w:hAnsi="Times New Roman" w:cs="Times New Roman"/>
          <w:lang w:val="pt-PT"/>
        </w:rPr>
      </w:pPr>
    </w:p>
    <w:p w14:paraId="5727AE55" w14:textId="77777777" w:rsidR="00553705" w:rsidRDefault="002D4349" w:rsidP="00EB3CD3">
      <w:pPr>
        <w:spacing w:after="120" w:line="240" w:lineRule="auto"/>
        <w:rPr>
          <w:rFonts w:ascii="Times New Roman" w:hAnsi="Times New Roman" w:cs="Times New Roman"/>
          <w:lang w:val="pt-PT"/>
        </w:rPr>
      </w:pPr>
      <w:proofErr w:type="spellStart"/>
      <w:r>
        <w:rPr>
          <w:rFonts w:ascii="Times New Roman" w:hAnsi="Times New Roman" w:cs="Times New Roman"/>
          <w:lang w:val="pt-PT"/>
        </w:rPr>
        <w:t>References</w:t>
      </w:r>
      <w:proofErr w:type="spellEnd"/>
      <w:r w:rsidR="00553705">
        <w:rPr>
          <w:rFonts w:ascii="Times New Roman" w:hAnsi="Times New Roman" w:cs="Times New Roman"/>
          <w:lang w:val="pt-PT"/>
        </w:rPr>
        <w:t>:</w:t>
      </w:r>
    </w:p>
    <w:p w14:paraId="5DBEEDBB" w14:textId="05137978" w:rsidR="00456024" w:rsidRDefault="00456024" w:rsidP="00EB3CD3">
      <w:pPr>
        <w:spacing w:after="120" w:line="240" w:lineRule="auto"/>
        <w:rPr>
          <w:rFonts w:ascii="Times New Roman" w:hAnsi="Times New Roman" w:cs="Times New Roman"/>
          <w:lang w:val="pt-PT"/>
        </w:rPr>
      </w:pPr>
      <w:r w:rsidRPr="00456024">
        <w:rPr>
          <w:rFonts w:ascii="Times New Roman" w:hAnsi="Times New Roman" w:cs="Times New Roman"/>
        </w:rPr>
        <w:t xml:space="preserve">A.A.V.V. 2000. Cultural Statistics in the UE. Final Report of the LEG. </w:t>
      </w:r>
      <w:r w:rsidRPr="00456024">
        <w:rPr>
          <w:rFonts w:ascii="Times New Roman" w:hAnsi="Times New Roman" w:cs="Times New Roman"/>
          <w:lang w:val="pt-PT"/>
        </w:rPr>
        <w:t>Luxemburgo: EUROSTAT.</w:t>
      </w:r>
    </w:p>
    <w:p w14:paraId="710F7C80" w14:textId="7F527C5E" w:rsidR="00C0249D" w:rsidRDefault="00C0249D" w:rsidP="00EB3CD3">
      <w:pPr>
        <w:spacing w:after="120" w:line="240" w:lineRule="auto"/>
        <w:rPr>
          <w:rFonts w:ascii="Times New Roman" w:hAnsi="Times New Roman" w:cs="Times New Roman"/>
          <w:lang w:val="pt-PT"/>
        </w:rPr>
      </w:pPr>
      <w:r w:rsidRPr="00C0249D">
        <w:rPr>
          <w:rFonts w:ascii="Times New Roman" w:hAnsi="Times New Roman" w:cs="Times New Roman"/>
        </w:rPr>
        <w:t xml:space="preserve">Bina, V., Chantepie, P., Deroin, V. Frank, G., Kommel, K. Kotynek, J &amp; Robin, P. 2012. </w:t>
      </w:r>
      <w:proofErr w:type="spellStart"/>
      <w:r w:rsidRPr="00C0249D">
        <w:rPr>
          <w:rFonts w:ascii="Times New Roman" w:hAnsi="Times New Roman" w:cs="Times New Roman"/>
        </w:rPr>
        <w:t>ESSnet-CULTURE</w:t>
      </w:r>
      <w:proofErr w:type="spellEnd"/>
      <w:r w:rsidRPr="00C0249D">
        <w:rPr>
          <w:rFonts w:ascii="Times New Roman" w:hAnsi="Times New Roman" w:cs="Times New Roman"/>
        </w:rPr>
        <w:t xml:space="preserve"> European Statistical System Network on Culture Final Report. </w:t>
      </w:r>
      <w:proofErr w:type="spellStart"/>
      <w:r w:rsidRPr="00C0249D">
        <w:rPr>
          <w:rFonts w:ascii="Times New Roman" w:hAnsi="Times New Roman" w:cs="Times New Roman"/>
          <w:lang w:val="pt-PT"/>
        </w:rPr>
        <w:t>Louxembourg</w:t>
      </w:r>
      <w:proofErr w:type="spellEnd"/>
      <w:r w:rsidRPr="00C0249D">
        <w:rPr>
          <w:rFonts w:ascii="Times New Roman" w:hAnsi="Times New Roman" w:cs="Times New Roman"/>
          <w:lang w:val="pt-PT"/>
        </w:rPr>
        <w:t xml:space="preserve">: ESSnet-Culture Project &amp; European </w:t>
      </w:r>
      <w:proofErr w:type="spellStart"/>
      <w:r w:rsidRPr="00C0249D">
        <w:rPr>
          <w:rFonts w:ascii="Times New Roman" w:hAnsi="Times New Roman" w:cs="Times New Roman"/>
          <w:lang w:val="pt-PT"/>
        </w:rPr>
        <w:t>Commission</w:t>
      </w:r>
      <w:proofErr w:type="spellEnd"/>
      <w:r w:rsidRPr="00C0249D">
        <w:rPr>
          <w:rFonts w:ascii="Times New Roman" w:hAnsi="Times New Roman" w:cs="Times New Roman"/>
          <w:lang w:val="pt-PT"/>
        </w:rPr>
        <w:t>, Eurostat.</w:t>
      </w:r>
    </w:p>
    <w:p w14:paraId="61BF981D" w14:textId="1B8C5116" w:rsidR="0041631D" w:rsidRPr="002B7B7E" w:rsidRDefault="00F25299" w:rsidP="00EB3CD3">
      <w:pPr>
        <w:spacing w:after="120" w:line="240" w:lineRule="auto"/>
        <w:rPr>
          <w:rFonts w:ascii="Times New Roman" w:hAnsi="Times New Roman" w:cs="Times New Roman"/>
          <w:lang w:val="pt-PT"/>
        </w:rPr>
      </w:pPr>
      <w:r w:rsidRPr="002B7B7E">
        <w:rPr>
          <w:rFonts w:ascii="Times New Roman" w:hAnsi="Times New Roman" w:cs="Times New Roman"/>
          <w:lang w:val="pt-PT"/>
        </w:rPr>
        <w:t>Camacho, C</w:t>
      </w:r>
      <w:r w:rsidRPr="002B7B7E">
        <w:rPr>
          <w:rFonts w:ascii="Times New Roman" w:hAnsi="Times New Roman" w:cs="Times New Roman"/>
          <w:lang w:val="pt-PT"/>
        </w:rPr>
        <w:t xml:space="preserve">. </w:t>
      </w:r>
      <w:r w:rsidRPr="002B7B7E">
        <w:rPr>
          <w:rFonts w:ascii="Times New Roman" w:hAnsi="Times New Roman" w:cs="Times New Roman"/>
          <w:lang w:val="pt-PT"/>
        </w:rPr>
        <w:t>F</w:t>
      </w:r>
      <w:r w:rsidRPr="002B7B7E">
        <w:rPr>
          <w:rFonts w:ascii="Times New Roman" w:hAnsi="Times New Roman" w:cs="Times New Roman"/>
          <w:lang w:val="pt-PT"/>
        </w:rPr>
        <w:t xml:space="preserve">. </w:t>
      </w:r>
      <w:r w:rsidRPr="002B7B7E">
        <w:rPr>
          <w:rFonts w:ascii="Times New Roman" w:hAnsi="Times New Roman" w:cs="Times New Roman"/>
          <w:lang w:val="pt-PT"/>
        </w:rPr>
        <w:t>(coord.) 2021</w:t>
      </w:r>
      <w:r w:rsidRPr="002B7B7E">
        <w:rPr>
          <w:rFonts w:ascii="Times New Roman" w:hAnsi="Times New Roman" w:cs="Times New Roman"/>
          <w:lang w:val="pt-PT"/>
        </w:rPr>
        <w:t xml:space="preserve">. </w:t>
      </w:r>
      <w:r w:rsidRPr="002B7B7E">
        <w:rPr>
          <w:rFonts w:ascii="Times New Roman" w:hAnsi="Times New Roman" w:cs="Times New Roman"/>
          <w:lang w:val="pt-PT"/>
        </w:rPr>
        <w:t>Grupo de Projeto Museus no Futuro. Relatório Final</w:t>
      </w:r>
      <w:r w:rsidRPr="002B7B7E">
        <w:rPr>
          <w:rFonts w:ascii="Times New Roman" w:hAnsi="Times New Roman" w:cs="Times New Roman"/>
          <w:lang w:val="pt-PT"/>
        </w:rPr>
        <w:t xml:space="preserve">. </w:t>
      </w:r>
      <w:r w:rsidRPr="002B7B7E">
        <w:rPr>
          <w:rFonts w:ascii="Times New Roman" w:hAnsi="Times New Roman" w:cs="Times New Roman"/>
          <w:lang w:val="pt-PT"/>
        </w:rPr>
        <w:t>Lisboa</w:t>
      </w:r>
      <w:r w:rsidRPr="002B7B7E">
        <w:rPr>
          <w:rFonts w:ascii="Times New Roman" w:hAnsi="Times New Roman" w:cs="Times New Roman"/>
          <w:lang w:val="pt-PT"/>
        </w:rPr>
        <w:t xml:space="preserve">: </w:t>
      </w:r>
      <w:r w:rsidRPr="002B7B7E">
        <w:rPr>
          <w:rFonts w:ascii="Times New Roman" w:hAnsi="Times New Roman" w:cs="Times New Roman"/>
          <w:lang w:val="pt-PT"/>
        </w:rPr>
        <w:t>DGPC.</w:t>
      </w:r>
    </w:p>
    <w:p w14:paraId="0D43A6F6" w14:textId="486CB07F" w:rsidR="00D25EAA" w:rsidRDefault="00D25EAA" w:rsidP="00EB3CD3">
      <w:pPr>
        <w:spacing w:after="120" w:line="240" w:lineRule="auto"/>
        <w:rPr>
          <w:rFonts w:ascii="Times New Roman" w:hAnsi="Times New Roman" w:cs="Times New Roman"/>
        </w:rPr>
      </w:pPr>
      <w:r w:rsidRPr="002B7B7E">
        <w:rPr>
          <w:rFonts w:ascii="Times New Roman" w:hAnsi="Times New Roman" w:cs="Times New Roman"/>
        </w:rPr>
        <w:t>Council conclusions on the Work Plan for Culture</w:t>
      </w:r>
      <w:r w:rsidRPr="002B7B7E">
        <w:rPr>
          <w:rFonts w:ascii="Times New Roman" w:hAnsi="Times New Roman" w:cs="Times New Roman"/>
        </w:rPr>
        <w:t xml:space="preserve">. </w:t>
      </w:r>
      <w:r w:rsidRPr="002B7B7E">
        <w:rPr>
          <w:rFonts w:ascii="Times New Roman" w:hAnsi="Times New Roman" w:cs="Times New Roman"/>
          <w:lang w:val="pt-PT"/>
        </w:rPr>
        <w:t>2019-2022</w:t>
      </w:r>
      <w:r w:rsidRPr="002B7B7E">
        <w:rPr>
          <w:rFonts w:ascii="Times New Roman" w:hAnsi="Times New Roman" w:cs="Times New Roman"/>
          <w:lang w:val="pt-PT"/>
        </w:rPr>
        <w:t xml:space="preserve">. </w:t>
      </w:r>
      <w:r w:rsidRPr="002B7B7E">
        <w:rPr>
          <w:rFonts w:ascii="Times New Roman" w:hAnsi="Times New Roman" w:cs="Times New Roman"/>
        </w:rPr>
        <w:t>Official Journal of the European Union</w:t>
      </w:r>
      <w:r w:rsidR="00F30B11" w:rsidRPr="002B7B7E">
        <w:rPr>
          <w:rFonts w:ascii="Times New Roman" w:hAnsi="Times New Roman" w:cs="Times New Roman"/>
        </w:rPr>
        <w:t xml:space="preserve">, C460 </w:t>
      </w:r>
      <w:r w:rsidRPr="002B7B7E">
        <w:rPr>
          <w:rFonts w:ascii="Times New Roman" w:hAnsi="Times New Roman" w:cs="Times New Roman"/>
        </w:rPr>
        <w:t>of</w:t>
      </w:r>
      <w:r w:rsidR="00F30B11" w:rsidRPr="002B7B7E">
        <w:rPr>
          <w:rFonts w:ascii="Times New Roman" w:hAnsi="Times New Roman" w:cs="Times New Roman"/>
        </w:rPr>
        <w:t xml:space="preserve"> 21-12-2018.</w:t>
      </w:r>
    </w:p>
    <w:p w14:paraId="194EE092" w14:textId="19A6EFE2" w:rsidR="00425DD0" w:rsidRDefault="00425DD0" w:rsidP="00EB3CD3">
      <w:pPr>
        <w:spacing w:after="120" w:line="240" w:lineRule="auto"/>
        <w:rPr>
          <w:rFonts w:ascii="Times New Roman" w:hAnsi="Times New Roman" w:cs="Times New Roman"/>
          <w:lang w:val="pt-PT"/>
        </w:rPr>
      </w:pPr>
      <w:r w:rsidRPr="00425DD0">
        <w:rPr>
          <w:rFonts w:ascii="Times New Roman" w:hAnsi="Times New Roman" w:cs="Times New Roman"/>
          <w:lang w:val="pt-PT"/>
        </w:rPr>
        <w:t>Custódio, J</w:t>
      </w:r>
      <w:r>
        <w:rPr>
          <w:rFonts w:ascii="Times New Roman" w:hAnsi="Times New Roman" w:cs="Times New Roman"/>
          <w:lang w:val="pt-PT"/>
        </w:rPr>
        <w:t xml:space="preserve">. </w:t>
      </w:r>
      <w:r w:rsidRPr="00425DD0">
        <w:rPr>
          <w:rFonts w:ascii="Times New Roman" w:hAnsi="Times New Roman" w:cs="Times New Roman"/>
          <w:lang w:val="pt-PT"/>
        </w:rPr>
        <w:t>2010</w:t>
      </w:r>
      <w:r>
        <w:rPr>
          <w:rFonts w:ascii="Times New Roman" w:hAnsi="Times New Roman" w:cs="Times New Roman"/>
          <w:lang w:val="pt-PT"/>
        </w:rPr>
        <w:t xml:space="preserve">. </w:t>
      </w:r>
      <w:r w:rsidRPr="00425DD0">
        <w:rPr>
          <w:rFonts w:ascii="Times New Roman" w:hAnsi="Times New Roman" w:cs="Times New Roman"/>
          <w:lang w:val="pt-PT"/>
        </w:rPr>
        <w:t>“A obra patrimonial da Primeira República”, In Custódio, J. (coord)</w:t>
      </w:r>
      <w:r>
        <w:rPr>
          <w:rFonts w:ascii="Times New Roman" w:hAnsi="Times New Roman" w:cs="Times New Roman"/>
          <w:lang w:val="pt-PT"/>
        </w:rPr>
        <w:t>,</w:t>
      </w:r>
      <w:r w:rsidRPr="00425DD0">
        <w:rPr>
          <w:rFonts w:ascii="Times New Roman" w:hAnsi="Times New Roman" w:cs="Times New Roman"/>
          <w:lang w:val="pt-PT"/>
        </w:rPr>
        <w:t xml:space="preserve"> 100 Anos de Património: Memória e Identidade. Portugal 1910-2010</w:t>
      </w:r>
      <w:r>
        <w:rPr>
          <w:rFonts w:ascii="Times New Roman" w:hAnsi="Times New Roman" w:cs="Times New Roman"/>
          <w:lang w:val="pt-PT"/>
        </w:rPr>
        <w:t xml:space="preserve">. </w:t>
      </w:r>
      <w:r w:rsidRPr="00425DD0">
        <w:rPr>
          <w:rFonts w:ascii="Times New Roman" w:hAnsi="Times New Roman" w:cs="Times New Roman"/>
          <w:lang w:val="pt-PT"/>
        </w:rPr>
        <w:t>Lisboa</w:t>
      </w:r>
      <w:r>
        <w:rPr>
          <w:rFonts w:ascii="Times New Roman" w:hAnsi="Times New Roman" w:cs="Times New Roman"/>
          <w:lang w:val="pt-PT"/>
        </w:rPr>
        <w:t xml:space="preserve">: </w:t>
      </w:r>
      <w:r w:rsidRPr="00425DD0">
        <w:rPr>
          <w:rFonts w:ascii="Times New Roman" w:hAnsi="Times New Roman" w:cs="Times New Roman"/>
          <w:lang w:val="pt-PT"/>
        </w:rPr>
        <w:t>IGESPAR, pp. 85-104.</w:t>
      </w:r>
    </w:p>
    <w:p w14:paraId="7811262B" w14:textId="1A823393" w:rsidR="00553705" w:rsidRPr="00553705" w:rsidRDefault="00553705" w:rsidP="00EB3CD3">
      <w:pPr>
        <w:spacing w:after="120" w:line="240" w:lineRule="auto"/>
        <w:rPr>
          <w:rFonts w:ascii="Times New Roman" w:hAnsi="Times New Roman" w:cs="Times New Roman"/>
        </w:rPr>
      </w:pPr>
      <w:r w:rsidRPr="00553705">
        <w:rPr>
          <w:rFonts w:ascii="Times New Roman" w:hAnsi="Times New Roman" w:cs="Times New Roman"/>
        </w:rPr>
        <w:lastRenderedPageBreak/>
        <w:t>European Commission; Eurostat</w:t>
      </w:r>
      <w:r>
        <w:rPr>
          <w:rFonts w:ascii="Times New Roman" w:hAnsi="Times New Roman" w:cs="Times New Roman"/>
        </w:rPr>
        <w:t xml:space="preserve">. </w:t>
      </w:r>
      <w:r w:rsidRPr="00553705">
        <w:rPr>
          <w:rFonts w:ascii="Times New Roman" w:hAnsi="Times New Roman" w:cs="Times New Roman"/>
        </w:rPr>
        <w:t>2007</w:t>
      </w:r>
      <w:r>
        <w:rPr>
          <w:rFonts w:ascii="Times New Roman" w:hAnsi="Times New Roman" w:cs="Times New Roman"/>
        </w:rPr>
        <w:t xml:space="preserve">. </w:t>
      </w:r>
      <w:r w:rsidRPr="00553705">
        <w:rPr>
          <w:rFonts w:ascii="Times New Roman" w:hAnsi="Times New Roman" w:cs="Times New Roman"/>
        </w:rPr>
        <w:t>Cultural Statistics</w:t>
      </w:r>
      <w:r>
        <w:rPr>
          <w:rFonts w:ascii="Times New Roman" w:hAnsi="Times New Roman" w:cs="Times New Roman"/>
        </w:rPr>
        <w:t xml:space="preserve">. </w:t>
      </w:r>
      <w:r w:rsidRPr="00553705">
        <w:rPr>
          <w:rFonts w:ascii="Times New Roman" w:hAnsi="Times New Roman" w:cs="Times New Roman"/>
        </w:rPr>
        <w:t>Luxembourg, Office for Official Publications of the European Communities.</w:t>
      </w:r>
    </w:p>
    <w:p w14:paraId="00ADA9E3" w14:textId="77777777" w:rsidR="00DE7D45" w:rsidRPr="00EB0641" w:rsidRDefault="00DE7D45" w:rsidP="00DE7D45">
      <w:pPr>
        <w:spacing w:after="120" w:line="240" w:lineRule="auto"/>
        <w:rPr>
          <w:rFonts w:ascii="Times New Roman" w:hAnsi="Times New Roman" w:cs="Times New Roman"/>
        </w:rPr>
      </w:pPr>
      <w:r w:rsidRPr="00EB0641">
        <w:rPr>
          <w:rFonts w:ascii="Times New Roman" w:hAnsi="Times New Roman" w:cs="Times New Roman"/>
        </w:rPr>
        <w:t>Haan, J</w:t>
      </w:r>
      <w:r>
        <w:rPr>
          <w:rFonts w:ascii="Times New Roman" w:hAnsi="Times New Roman" w:cs="Times New Roman"/>
        </w:rPr>
        <w:t xml:space="preserve">. </w:t>
      </w:r>
      <w:r w:rsidRPr="00EB0641">
        <w:rPr>
          <w:rFonts w:ascii="Times New Roman" w:hAnsi="Times New Roman" w:cs="Times New Roman"/>
        </w:rPr>
        <w:t>2010</w:t>
      </w:r>
      <w:r>
        <w:rPr>
          <w:rFonts w:ascii="Times New Roman" w:hAnsi="Times New Roman" w:cs="Times New Roman"/>
        </w:rPr>
        <w:t xml:space="preserve">. </w:t>
      </w:r>
      <w:r w:rsidRPr="00EB0641">
        <w:rPr>
          <w:rFonts w:ascii="Times New Roman" w:hAnsi="Times New Roman" w:cs="Times New Roman"/>
        </w:rPr>
        <w:t xml:space="preserve">"Museum statistics and cultural policy", 12th plenary meeting in the European Group on Museum Statistics (EGMUS): Museum Statistics and Museum Policies - New Developments, Oslo, 21-22 </w:t>
      </w:r>
      <w:proofErr w:type="spellStart"/>
      <w:r>
        <w:rPr>
          <w:rFonts w:ascii="Times New Roman" w:hAnsi="Times New Roman" w:cs="Times New Roman"/>
        </w:rPr>
        <w:t>october</w:t>
      </w:r>
      <w:proofErr w:type="spellEnd"/>
      <w:r w:rsidRPr="00EB0641">
        <w:rPr>
          <w:rFonts w:ascii="Times New Roman" w:hAnsi="Times New Roman" w:cs="Times New Roman"/>
        </w:rPr>
        <w:t>.</w:t>
      </w:r>
    </w:p>
    <w:p w14:paraId="215B0770" w14:textId="77777777" w:rsidR="00DE7D45" w:rsidRDefault="00DE7D45" w:rsidP="00DE7D45">
      <w:pPr>
        <w:spacing w:after="120" w:line="240" w:lineRule="auto"/>
        <w:rPr>
          <w:rFonts w:ascii="Times New Roman" w:hAnsi="Times New Roman" w:cs="Times New Roman"/>
        </w:rPr>
      </w:pPr>
      <w:proofErr w:type="spellStart"/>
      <w:r w:rsidRPr="00EB0641">
        <w:rPr>
          <w:rFonts w:ascii="Times New Roman" w:hAnsi="Times New Roman" w:cs="Times New Roman"/>
        </w:rPr>
        <w:t>Hagedom</w:t>
      </w:r>
      <w:proofErr w:type="spellEnd"/>
      <w:r w:rsidRPr="00EB0641">
        <w:rPr>
          <w:rFonts w:ascii="Times New Roman" w:hAnsi="Times New Roman" w:cs="Times New Roman"/>
        </w:rPr>
        <w:t>-Saupe, M</w:t>
      </w:r>
      <w:r>
        <w:rPr>
          <w:rFonts w:ascii="Times New Roman" w:hAnsi="Times New Roman" w:cs="Times New Roman"/>
        </w:rPr>
        <w:t>. &amp;</w:t>
      </w:r>
      <w:r w:rsidRPr="00EB0641">
        <w:rPr>
          <w:rFonts w:ascii="Times New Roman" w:hAnsi="Times New Roman" w:cs="Times New Roman"/>
        </w:rPr>
        <w:t xml:space="preserve"> Ermert</w:t>
      </w:r>
      <w:r>
        <w:rPr>
          <w:rFonts w:ascii="Times New Roman" w:hAnsi="Times New Roman" w:cs="Times New Roman"/>
        </w:rPr>
        <w:t>, A.</w:t>
      </w:r>
      <w:r w:rsidRPr="00EB0641">
        <w:rPr>
          <w:rFonts w:ascii="Times New Roman" w:hAnsi="Times New Roman" w:cs="Times New Roman"/>
        </w:rPr>
        <w:t xml:space="preserve"> (Eds.) 2004</w:t>
      </w:r>
      <w:r>
        <w:rPr>
          <w:rFonts w:ascii="Times New Roman" w:hAnsi="Times New Roman" w:cs="Times New Roman"/>
        </w:rPr>
        <w:t xml:space="preserve">. </w:t>
      </w:r>
      <w:r w:rsidRPr="00EB0641">
        <w:rPr>
          <w:rFonts w:ascii="Times New Roman" w:hAnsi="Times New Roman" w:cs="Times New Roman"/>
        </w:rPr>
        <w:t>A Guide to European Museum Statistics</w:t>
      </w:r>
      <w:r>
        <w:rPr>
          <w:rFonts w:ascii="Times New Roman" w:hAnsi="Times New Roman" w:cs="Times New Roman"/>
        </w:rPr>
        <w:t xml:space="preserve">. </w:t>
      </w:r>
      <w:r w:rsidRPr="00EB0641">
        <w:rPr>
          <w:rFonts w:ascii="Times New Roman" w:hAnsi="Times New Roman" w:cs="Times New Roman"/>
        </w:rPr>
        <w:t>Berlim</w:t>
      </w:r>
      <w:r>
        <w:rPr>
          <w:rFonts w:ascii="Times New Roman" w:hAnsi="Times New Roman" w:cs="Times New Roman"/>
        </w:rPr>
        <w:t>:</w:t>
      </w:r>
      <w:r w:rsidRPr="00EB0641">
        <w:rPr>
          <w:rFonts w:ascii="Times New Roman" w:hAnsi="Times New Roman" w:cs="Times New Roman"/>
        </w:rPr>
        <w:t xml:space="preserve"> EGMUS</w:t>
      </w:r>
    </w:p>
    <w:p w14:paraId="1EF79D82" w14:textId="5BDF9D9F" w:rsidR="006D1F79" w:rsidRDefault="006D1F79" w:rsidP="00EB3CD3">
      <w:pPr>
        <w:spacing w:after="120" w:line="240" w:lineRule="auto"/>
        <w:rPr>
          <w:rFonts w:ascii="Times New Roman" w:hAnsi="Times New Roman" w:cs="Times New Roman"/>
          <w:lang w:val="pt-PT"/>
        </w:rPr>
      </w:pPr>
      <w:r w:rsidRPr="002B7B7E">
        <w:rPr>
          <w:rFonts w:ascii="Times New Roman" w:hAnsi="Times New Roman" w:cs="Times New Roman"/>
          <w:lang w:val="pt-PT"/>
        </w:rPr>
        <w:t>INE. 2022. Estatísticas da Cultura 2021. Lisboa: INE.</w:t>
      </w:r>
    </w:p>
    <w:p w14:paraId="33364FB9" w14:textId="78C08D21" w:rsidR="0068778C" w:rsidRPr="002B7B7E" w:rsidRDefault="0068778C" w:rsidP="00EB3CD3">
      <w:pPr>
        <w:spacing w:after="120" w:line="240" w:lineRule="auto"/>
        <w:rPr>
          <w:rFonts w:ascii="Times New Roman" w:hAnsi="Times New Roman" w:cs="Times New Roman"/>
          <w:lang w:val="pt-PT"/>
        </w:rPr>
      </w:pPr>
      <w:r>
        <w:rPr>
          <w:rFonts w:ascii="Times New Roman" w:hAnsi="Times New Roman" w:cs="Times New Roman"/>
          <w:lang w:val="pt-PT"/>
        </w:rPr>
        <w:t xml:space="preserve">INE. 2023. </w:t>
      </w:r>
      <w:r w:rsidRPr="0068778C">
        <w:rPr>
          <w:rFonts w:ascii="Times New Roman" w:hAnsi="Times New Roman" w:cs="Times New Roman"/>
          <w:lang w:val="pt-PT"/>
        </w:rPr>
        <w:t>Estatísticas da Cultura 202</w:t>
      </w:r>
      <w:r>
        <w:rPr>
          <w:rFonts w:ascii="Times New Roman" w:hAnsi="Times New Roman" w:cs="Times New Roman"/>
          <w:lang w:val="pt-PT"/>
        </w:rPr>
        <w:t>2</w:t>
      </w:r>
      <w:r w:rsidRPr="0068778C">
        <w:rPr>
          <w:rFonts w:ascii="Times New Roman" w:hAnsi="Times New Roman" w:cs="Times New Roman"/>
          <w:lang w:val="pt-PT"/>
        </w:rPr>
        <w:t>. Lisboa: INE.</w:t>
      </w:r>
    </w:p>
    <w:p w14:paraId="6DC1EED5" w14:textId="3A29E276" w:rsidR="00CC588A" w:rsidRPr="002B7B7E" w:rsidRDefault="00CC588A" w:rsidP="00EB3CD3">
      <w:pPr>
        <w:spacing w:after="120" w:line="240" w:lineRule="auto"/>
        <w:rPr>
          <w:rFonts w:ascii="Times New Roman" w:hAnsi="Times New Roman" w:cs="Times New Roman"/>
          <w:lang w:val="pt-PT"/>
        </w:rPr>
      </w:pPr>
      <w:r w:rsidRPr="002B7B7E">
        <w:rPr>
          <w:rFonts w:ascii="Times New Roman" w:hAnsi="Times New Roman" w:cs="Times New Roman"/>
        </w:rPr>
        <w:t xml:space="preserve">Law n. º </w:t>
      </w:r>
      <w:r w:rsidRPr="002B7B7E">
        <w:rPr>
          <w:rFonts w:ascii="Times New Roman" w:hAnsi="Times New Roman" w:cs="Times New Roman"/>
        </w:rPr>
        <w:t>47/2004, 19</w:t>
      </w:r>
      <w:r w:rsidRPr="002B7B7E">
        <w:rPr>
          <w:rFonts w:ascii="Times New Roman" w:hAnsi="Times New Roman" w:cs="Times New Roman"/>
        </w:rPr>
        <w:t xml:space="preserve">th august. </w:t>
      </w:r>
      <w:r w:rsidRPr="002B7B7E">
        <w:rPr>
          <w:rFonts w:ascii="Times New Roman" w:hAnsi="Times New Roman" w:cs="Times New Roman"/>
          <w:lang w:val="pt-PT"/>
        </w:rPr>
        <w:t>Diário da República, Série I-A, n.º 195 de 2004-08-19</w:t>
      </w:r>
      <w:r w:rsidRPr="002B7B7E">
        <w:rPr>
          <w:rFonts w:ascii="Times New Roman" w:hAnsi="Times New Roman" w:cs="Times New Roman"/>
          <w:lang w:val="pt-PT"/>
        </w:rPr>
        <w:t>.</w:t>
      </w:r>
    </w:p>
    <w:p w14:paraId="68AA4EA9" w14:textId="420D24A5" w:rsidR="000E70D0" w:rsidRDefault="0041631D" w:rsidP="00EB3CD3">
      <w:pPr>
        <w:spacing w:after="120" w:line="240" w:lineRule="auto"/>
        <w:rPr>
          <w:rFonts w:ascii="Times New Roman" w:hAnsi="Times New Roman" w:cs="Times New Roman"/>
          <w:lang w:val="pt-PT"/>
        </w:rPr>
      </w:pPr>
      <w:r w:rsidRPr="002B7B7E">
        <w:rPr>
          <w:rFonts w:ascii="Times New Roman" w:hAnsi="Times New Roman" w:cs="Times New Roman"/>
        </w:rPr>
        <w:t>N</w:t>
      </w:r>
      <w:r w:rsidRPr="002B7B7E">
        <w:rPr>
          <w:rFonts w:ascii="Times New Roman" w:hAnsi="Times New Roman" w:cs="Times New Roman"/>
        </w:rPr>
        <w:t>eves, J</w:t>
      </w:r>
      <w:r w:rsidRPr="002B7B7E">
        <w:rPr>
          <w:rFonts w:ascii="Times New Roman" w:hAnsi="Times New Roman" w:cs="Times New Roman"/>
        </w:rPr>
        <w:t xml:space="preserve">. </w:t>
      </w:r>
      <w:r w:rsidRPr="002B7B7E">
        <w:rPr>
          <w:rFonts w:ascii="Times New Roman" w:hAnsi="Times New Roman" w:cs="Times New Roman"/>
        </w:rPr>
        <w:t>S</w:t>
      </w:r>
      <w:r w:rsidRPr="002B7B7E">
        <w:rPr>
          <w:rFonts w:ascii="Times New Roman" w:hAnsi="Times New Roman" w:cs="Times New Roman"/>
        </w:rPr>
        <w:t xml:space="preserve">. </w:t>
      </w:r>
      <w:r w:rsidRPr="002B7B7E">
        <w:rPr>
          <w:rFonts w:ascii="Times New Roman" w:hAnsi="Times New Roman" w:cs="Times New Roman"/>
        </w:rPr>
        <w:t>2010</w:t>
      </w:r>
      <w:r w:rsidRPr="002B7B7E">
        <w:rPr>
          <w:rFonts w:ascii="Times New Roman" w:hAnsi="Times New Roman" w:cs="Times New Roman"/>
        </w:rPr>
        <w:t xml:space="preserve">. </w:t>
      </w:r>
      <w:r w:rsidRPr="002B7B7E">
        <w:rPr>
          <w:rFonts w:ascii="Times New Roman" w:hAnsi="Times New Roman" w:cs="Times New Roman"/>
          <w:lang w:val="pt-PT"/>
        </w:rPr>
        <w:t>Grupo de Trabalho sobre Estatísticas da Cultura (GTEC): Relatório Final de Actividades 201</w:t>
      </w:r>
      <w:r w:rsidR="000E70D0" w:rsidRPr="002B7B7E">
        <w:rPr>
          <w:rFonts w:ascii="Times New Roman" w:hAnsi="Times New Roman" w:cs="Times New Roman"/>
          <w:lang w:val="pt-PT"/>
        </w:rPr>
        <w:t xml:space="preserve">0. </w:t>
      </w:r>
      <w:r w:rsidRPr="002B7B7E">
        <w:rPr>
          <w:rFonts w:ascii="Times New Roman" w:hAnsi="Times New Roman" w:cs="Times New Roman"/>
          <w:lang w:val="pt-PT"/>
        </w:rPr>
        <w:t>Lisboa</w:t>
      </w:r>
      <w:r w:rsidR="000E70D0" w:rsidRPr="002B7B7E">
        <w:rPr>
          <w:rFonts w:ascii="Times New Roman" w:hAnsi="Times New Roman" w:cs="Times New Roman"/>
          <w:lang w:val="pt-PT"/>
        </w:rPr>
        <w:t xml:space="preserve">: </w:t>
      </w:r>
      <w:r w:rsidRPr="002B7B7E">
        <w:rPr>
          <w:rFonts w:ascii="Times New Roman" w:hAnsi="Times New Roman" w:cs="Times New Roman"/>
          <w:lang w:val="pt-PT"/>
        </w:rPr>
        <w:t>GTEC/2916/CSE/S</w:t>
      </w:r>
      <w:r w:rsidR="000E70D0" w:rsidRPr="002B7B7E">
        <w:rPr>
          <w:rFonts w:ascii="Times New Roman" w:hAnsi="Times New Roman" w:cs="Times New Roman"/>
          <w:lang w:val="pt-PT"/>
        </w:rPr>
        <w:t>.</w:t>
      </w:r>
    </w:p>
    <w:p w14:paraId="773C1EDB" w14:textId="7CC3BA48" w:rsidR="0068778C" w:rsidRPr="002B7B7E" w:rsidRDefault="0068778C" w:rsidP="00EB3CD3">
      <w:pPr>
        <w:spacing w:after="120" w:line="240" w:lineRule="auto"/>
        <w:rPr>
          <w:rFonts w:ascii="Times New Roman" w:hAnsi="Times New Roman" w:cs="Times New Roman"/>
          <w:lang w:val="pt-PT"/>
        </w:rPr>
      </w:pPr>
      <w:r w:rsidRPr="0068778C">
        <w:rPr>
          <w:rFonts w:ascii="Times New Roman" w:hAnsi="Times New Roman" w:cs="Times New Roman"/>
          <w:lang w:val="pt-PT"/>
        </w:rPr>
        <w:t>Neves, J</w:t>
      </w:r>
      <w:r>
        <w:rPr>
          <w:rFonts w:ascii="Times New Roman" w:hAnsi="Times New Roman" w:cs="Times New Roman"/>
          <w:lang w:val="pt-PT"/>
        </w:rPr>
        <w:t xml:space="preserve">. </w:t>
      </w:r>
      <w:r w:rsidRPr="0068778C">
        <w:rPr>
          <w:rFonts w:ascii="Times New Roman" w:hAnsi="Times New Roman" w:cs="Times New Roman"/>
          <w:lang w:val="pt-PT"/>
        </w:rPr>
        <w:t>S</w:t>
      </w:r>
      <w:r>
        <w:rPr>
          <w:rFonts w:ascii="Times New Roman" w:hAnsi="Times New Roman" w:cs="Times New Roman"/>
          <w:lang w:val="pt-PT"/>
        </w:rPr>
        <w:t xml:space="preserve">. &amp; Santos, J. </w:t>
      </w:r>
      <w:r w:rsidRPr="0068778C">
        <w:rPr>
          <w:rFonts w:ascii="Times New Roman" w:hAnsi="Times New Roman" w:cs="Times New Roman"/>
          <w:lang w:val="pt-PT"/>
        </w:rPr>
        <w:t>2011</w:t>
      </w:r>
      <w:r>
        <w:rPr>
          <w:rFonts w:ascii="Times New Roman" w:hAnsi="Times New Roman" w:cs="Times New Roman"/>
          <w:lang w:val="pt-PT"/>
        </w:rPr>
        <w:t xml:space="preserve">. </w:t>
      </w:r>
      <w:r w:rsidRPr="0068778C">
        <w:rPr>
          <w:rFonts w:ascii="Times New Roman" w:hAnsi="Times New Roman" w:cs="Times New Roman"/>
          <w:lang w:val="pt-PT"/>
        </w:rPr>
        <w:t>Estatísticas Culturais do Ministério da Cultura 2009</w:t>
      </w:r>
      <w:r>
        <w:rPr>
          <w:rFonts w:ascii="Times New Roman" w:hAnsi="Times New Roman" w:cs="Times New Roman"/>
          <w:lang w:val="pt-PT"/>
        </w:rPr>
        <w:t xml:space="preserve">. </w:t>
      </w:r>
      <w:r w:rsidRPr="0068778C">
        <w:rPr>
          <w:rFonts w:ascii="Times New Roman" w:hAnsi="Times New Roman" w:cs="Times New Roman"/>
          <w:lang w:val="pt-PT"/>
        </w:rPr>
        <w:t>Lisboa</w:t>
      </w:r>
      <w:r>
        <w:rPr>
          <w:rFonts w:ascii="Times New Roman" w:hAnsi="Times New Roman" w:cs="Times New Roman"/>
          <w:lang w:val="pt-PT"/>
        </w:rPr>
        <w:t xml:space="preserve">: </w:t>
      </w:r>
      <w:r w:rsidRPr="0068778C">
        <w:rPr>
          <w:rFonts w:ascii="Times New Roman" w:hAnsi="Times New Roman" w:cs="Times New Roman"/>
          <w:lang w:val="pt-PT"/>
        </w:rPr>
        <w:t>OAC.</w:t>
      </w:r>
    </w:p>
    <w:p w14:paraId="2F4EBF5B" w14:textId="77777777" w:rsidR="007B5D91" w:rsidRDefault="002B7B7E" w:rsidP="007B5D91">
      <w:pPr>
        <w:spacing w:after="120" w:line="240" w:lineRule="auto"/>
        <w:rPr>
          <w:rFonts w:ascii="Times New Roman" w:hAnsi="Times New Roman" w:cs="Times New Roman"/>
        </w:rPr>
      </w:pPr>
      <w:r w:rsidRPr="002B7B7E">
        <w:rPr>
          <w:rFonts w:ascii="Times New Roman" w:hAnsi="Times New Roman" w:cs="Times New Roman"/>
          <w:lang w:val="pt-PT"/>
        </w:rPr>
        <w:t xml:space="preserve">Neves, J. S., Macedo, S. C. &amp; Santos, J. 2020. </w:t>
      </w:r>
      <w:r w:rsidRPr="002B7B7E">
        <w:rPr>
          <w:rFonts w:ascii="Times New Roman" w:hAnsi="Times New Roman" w:cs="Times New Roman"/>
        </w:rPr>
        <w:t>“</w:t>
      </w:r>
      <w:r w:rsidRPr="002B7B7E">
        <w:rPr>
          <w:rFonts w:ascii="Times New Roman" w:hAnsi="Times New Roman" w:cs="Times New Roman"/>
        </w:rPr>
        <w:t xml:space="preserve">Cultural Heritage </w:t>
      </w:r>
      <w:proofErr w:type="spellStart"/>
      <w:r w:rsidRPr="002B7B7E">
        <w:rPr>
          <w:rFonts w:ascii="Times New Roman" w:hAnsi="Times New Roman" w:cs="Times New Roman"/>
        </w:rPr>
        <w:t>Valorisation</w:t>
      </w:r>
      <w:proofErr w:type="spellEnd"/>
      <w:r w:rsidRPr="002B7B7E">
        <w:rPr>
          <w:rFonts w:ascii="Times New Roman" w:hAnsi="Times New Roman" w:cs="Times New Roman"/>
        </w:rPr>
        <w:t xml:space="preserve"> and the public access to National Monuments</w:t>
      </w:r>
      <w:r w:rsidRPr="002B7B7E">
        <w:rPr>
          <w:rFonts w:ascii="Times New Roman" w:hAnsi="Times New Roman" w:cs="Times New Roman"/>
        </w:rPr>
        <w:t>”</w:t>
      </w:r>
      <w:r w:rsidRPr="002B7B7E">
        <w:rPr>
          <w:rFonts w:ascii="Times New Roman" w:hAnsi="Times New Roman" w:cs="Times New Roman"/>
        </w:rPr>
        <w:t>. In R. Amoêda, S. Lira e C. Pinheiro (eds.), Heritage 2020 Proceeding of the 7th International Conference on Heritage and Sustainable Development. Green Lines Institute for Sustainable Development</w:t>
      </w:r>
      <w:r w:rsidRPr="002B7B7E">
        <w:rPr>
          <w:rFonts w:ascii="Times New Roman" w:hAnsi="Times New Roman" w:cs="Times New Roman"/>
        </w:rPr>
        <w:t>, pp. 27-37</w:t>
      </w:r>
      <w:r w:rsidR="00F213E8">
        <w:rPr>
          <w:rFonts w:ascii="Times New Roman" w:hAnsi="Times New Roman" w:cs="Times New Roman"/>
        </w:rPr>
        <w:t>.</w:t>
      </w:r>
      <w:r w:rsidR="007B5D91" w:rsidRPr="007B5D91">
        <w:rPr>
          <w:rFonts w:ascii="Times New Roman" w:hAnsi="Times New Roman" w:cs="Times New Roman"/>
        </w:rPr>
        <w:t xml:space="preserve"> </w:t>
      </w:r>
    </w:p>
    <w:p w14:paraId="58C20093" w14:textId="40023241" w:rsidR="007B5D91" w:rsidRPr="009C48B6" w:rsidRDefault="007B5D91" w:rsidP="007B5D91">
      <w:pPr>
        <w:spacing w:after="120" w:line="240" w:lineRule="auto"/>
        <w:rPr>
          <w:rFonts w:ascii="Times New Roman" w:hAnsi="Times New Roman" w:cs="Times New Roman"/>
          <w:lang w:val="pt-PT"/>
        </w:rPr>
      </w:pPr>
      <w:r w:rsidRPr="007B5D91">
        <w:rPr>
          <w:rFonts w:ascii="Times New Roman" w:hAnsi="Times New Roman" w:cs="Times New Roman"/>
          <w:lang w:val="pt-PT"/>
        </w:rPr>
        <w:t xml:space="preserve">Neves, J.S., Macedo, S.C. &amp; Santos, J. 2023. </w:t>
      </w:r>
      <w:r w:rsidRPr="009C48B6">
        <w:rPr>
          <w:rFonts w:ascii="Times New Roman" w:hAnsi="Times New Roman" w:cs="Times New Roman"/>
          <w:lang w:val="pt-PT"/>
        </w:rPr>
        <w:t xml:space="preserve">Da Salvaguarda à Valorização: Os Monumentos Nacionais de Portugal e a Abertura ao Público em 2021. </w:t>
      </w:r>
      <w:r>
        <w:rPr>
          <w:rFonts w:ascii="Times New Roman" w:hAnsi="Times New Roman" w:cs="Times New Roman"/>
          <w:lang w:val="pt-PT"/>
        </w:rPr>
        <w:t xml:space="preserve">Lisboa: </w:t>
      </w:r>
      <w:r w:rsidRPr="009C48B6">
        <w:rPr>
          <w:rFonts w:ascii="Times New Roman" w:hAnsi="Times New Roman" w:cs="Times New Roman"/>
          <w:lang w:val="pt-PT"/>
        </w:rPr>
        <w:t>Observatório Português das Atividades Culturais, CIES-Iscte.</w:t>
      </w:r>
    </w:p>
    <w:p w14:paraId="1367423F" w14:textId="77777777" w:rsidR="00E5263A" w:rsidRDefault="00E5263A" w:rsidP="00E5263A">
      <w:pPr>
        <w:spacing w:after="120" w:line="240" w:lineRule="auto"/>
        <w:rPr>
          <w:rFonts w:ascii="Times New Roman" w:hAnsi="Times New Roman" w:cs="Times New Roman"/>
          <w:lang w:val="pt-PT"/>
        </w:rPr>
      </w:pPr>
      <w:r w:rsidRPr="000173D6">
        <w:rPr>
          <w:rFonts w:ascii="Times New Roman" w:hAnsi="Times New Roman" w:cs="Times New Roman"/>
          <w:lang w:val="pt-PT"/>
        </w:rPr>
        <w:t>Neves, J</w:t>
      </w:r>
      <w:r>
        <w:rPr>
          <w:rFonts w:ascii="Times New Roman" w:hAnsi="Times New Roman" w:cs="Times New Roman"/>
          <w:lang w:val="pt-PT"/>
        </w:rPr>
        <w:t xml:space="preserve">. </w:t>
      </w:r>
      <w:r w:rsidRPr="000173D6">
        <w:rPr>
          <w:rFonts w:ascii="Times New Roman" w:hAnsi="Times New Roman" w:cs="Times New Roman"/>
          <w:lang w:val="pt-PT"/>
        </w:rPr>
        <w:t>S</w:t>
      </w:r>
      <w:r>
        <w:rPr>
          <w:rFonts w:ascii="Times New Roman" w:hAnsi="Times New Roman" w:cs="Times New Roman"/>
          <w:lang w:val="pt-PT"/>
        </w:rPr>
        <w:t xml:space="preserve">., Santos, J. &amp; Lima, M.J. </w:t>
      </w:r>
      <w:r w:rsidRPr="000173D6">
        <w:rPr>
          <w:rFonts w:ascii="Times New Roman" w:hAnsi="Times New Roman" w:cs="Times New Roman"/>
          <w:lang w:val="pt-PT"/>
        </w:rPr>
        <w:t>2012</w:t>
      </w:r>
      <w:r>
        <w:rPr>
          <w:rFonts w:ascii="Times New Roman" w:hAnsi="Times New Roman" w:cs="Times New Roman"/>
          <w:lang w:val="pt-PT"/>
        </w:rPr>
        <w:t xml:space="preserve">. </w:t>
      </w:r>
      <w:r w:rsidRPr="000173D6">
        <w:rPr>
          <w:rFonts w:ascii="Times New Roman" w:hAnsi="Times New Roman" w:cs="Times New Roman"/>
          <w:lang w:val="pt-PT"/>
        </w:rPr>
        <w:t>Estatísticas Culturais do Ministério da Cultura 2010</w:t>
      </w:r>
      <w:r>
        <w:rPr>
          <w:rFonts w:ascii="Times New Roman" w:hAnsi="Times New Roman" w:cs="Times New Roman"/>
          <w:lang w:val="pt-PT"/>
        </w:rPr>
        <w:t xml:space="preserve">. </w:t>
      </w:r>
      <w:r w:rsidRPr="000173D6">
        <w:rPr>
          <w:rFonts w:ascii="Times New Roman" w:hAnsi="Times New Roman" w:cs="Times New Roman"/>
          <w:lang w:val="pt-PT"/>
        </w:rPr>
        <w:t>Lisboa</w:t>
      </w:r>
      <w:r>
        <w:rPr>
          <w:rFonts w:ascii="Times New Roman" w:hAnsi="Times New Roman" w:cs="Times New Roman"/>
          <w:lang w:val="pt-PT"/>
        </w:rPr>
        <w:t xml:space="preserve">: </w:t>
      </w:r>
      <w:r w:rsidRPr="000173D6">
        <w:rPr>
          <w:rFonts w:ascii="Times New Roman" w:hAnsi="Times New Roman" w:cs="Times New Roman"/>
          <w:lang w:val="pt-PT"/>
        </w:rPr>
        <w:t>OAC e GEPAC/SEC.</w:t>
      </w:r>
    </w:p>
    <w:p w14:paraId="76425E60" w14:textId="77777777" w:rsidR="007B5D91" w:rsidRPr="009C48B6" w:rsidRDefault="007B5D91" w:rsidP="007B5D91">
      <w:pPr>
        <w:spacing w:after="120" w:line="240" w:lineRule="auto"/>
        <w:rPr>
          <w:rFonts w:ascii="Times New Roman" w:hAnsi="Times New Roman" w:cs="Times New Roman"/>
          <w:lang w:val="pt-PT"/>
        </w:rPr>
      </w:pPr>
      <w:r w:rsidRPr="009C48B6">
        <w:rPr>
          <w:rFonts w:ascii="Times New Roman" w:hAnsi="Times New Roman" w:cs="Times New Roman"/>
          <w:lang w:val="pt-PT"/>
        </w:rPr>
        <w:t>Neves, J.S., Macedo, S.C., Santos</w:t>
      </w:r>
      <w:r>
        <w:rPr>
          <w:rFonts w:ascii="Times New Roman" w:hAnsi="Times New Roman" w:cs="Times New Roman"/>
          <w:lang w:val="pt-PT"/>
        </w:rPr>
        <w:t xml:space="preserve">, J. </w:t>
      </w:r>
      <w:r w:rsidRPr="009C48B6">
        <w:rPr>
          <w:rFonts w:ascii="Times New Roman" w:hAnsi="Times New Roman" w:cs="Times New Roman"/>
          <w:lang w:val="pt-PT"/>
        </w:rPr>
        <w:t xml:space="preserve">&amp; Lima, </w:t>
      </w:r>
      <w:r>
        <w:rPr>
          <w:rFonts w:ascii="Times New Roman" w:hAnsi="Times New Roman" w:cs="Times New Roman"/>
          <w:lang w:val="pt-PT"/>
        </w:rPr>
        <w:t xml:space="preserve">M.J. </w:t>
      </w:r>
      <w:r w:rsidRPr="009C48B6">
        <w:rPr>
          <w:rFonts w:ascii="Times New Roman" w:hAnsi="Times New Roman" w:cs="Times New Roman"/>
          <w:lang w:val="pt-PT"/>
        </w:rPr>
        <w:t>2024</w:t>
      </w:r>
      <w:r>
        <w:rPr>
          <w:rFonts w:ascii="Times New Roman" w:hAnsi="Times New Roman" w:cs="Times New Roman"/>
          <w:lang w:val="pt-PT"/>
        </w:rPr>
        <w:t xml:space="preserve">. </w:t>
      </w:r>
      <w:r w:rsidRPr="007B5D91">
        <w:rPr>
          <w:rFonts w:ascii="Times New Roman" w:hAnsi="Times New Roman" w:cs="Times New Roman"/>
          <w:lang w:val="pt-PT"/>
        </w:rPr>
        <w:t>Da Salvaguarda à Valorização: Os Monumentos Nacionais de Portugal e a Abertura ao Público em 2022</w:t>
      </w:r>
      <w:r>
        <w:rPr>
          <w:rFonts w:ascii="Times New Roman" w:hAnsi="Times New Roman" w:cs="Times New Roman"/>
          <w:lang w:val="pt-PT"/>
        </w:rPr>
        <w:t xml:space="preserve">. </w:t>
      </w:r>
      <w:r w:rsidRPr="007B5D91">
        <w:rPr>
          <w:rFonts w:ascii="Times New Roman" w:hAnsi="Times New Roman" w:cs="Times New Roman"/>
          <w:lang w:val="pt-PT"/>
        </w:rPr>
        <w:t>Lisboa, Observatório Português das Atividades Culturais, CIES-Iscte.</w:t>
      </w:r>
    </w:p>
    <w:p w14:paraId="5942A1D7" w14:textId="77777777" w:rsidR="007B5D91" w:rsidRDefault="007B5D91" w:rsidP="007B5D91">
      <w:pPr>
        <w:spacing w:after="120" w:line="240" w:lineRule="auto"/>
        <w:rPr>
          <w:rFonts w:ascii="Times New Roman" w:hAnsi="Times New Roman" w:cs="Times New Roman"/>
          <w:lang w:val="pt-PT"/>
        </w:rPr>
      </w:pPr>
      <w:r w:rsidRPr="00B94B7C">
        <w:rPr>
          <w:rFonts w:ascii="Times New Roman" w:hAnsi="Times New Roman" w:cs="Times New Roman"/>
          <w:lang w:val="pt-PT"/>
        </w:rPr>
        <w:t>Neves, J.S., Macedo, S.C.,</w:t>
      </w:r>
      <w:r>
        <w:rPr>
          <w:rFonts w:ascii="Times New Roman" w:hAnsi="Times New Roman" w:cs="Times New Roman"/>
          <w:lang w:val="pt-PT"/>
        </w:rPr>
        <w:t xml:space="preserve"> </w:t>
      </w:r>
      <w:r w:rsidRPr="00B94B7C">
        <w:rPr>
          <w:rFonts w:ascii="Times New Roman" w:hAnsi="Times New Roman" w:cs="Times New Roman"/>
          <w:lang w:val="pt-PT"/>
        </w:rPr>
        <w:t>Santos, J. &amp; Miranda, A.P. 202</w:t>
      </w:r>
      <w:r>
        <w:rPr>
          <w:rFonts w:ascii="Times New Roman" w:hAnsi="Times New Roman" w:cs="Times New Roman"/>
          <w:lang w:val="pt-PT"/>
        </w:rPr>
        <w:t xml:space="preserve">1. </w:t>
      </w:r>
      <w:r w:rsidRPr="00E9196E">
        <w:rPr>
          <w:rFonts w:ascii="Times New Roman" w:hAnsi="Times New Roman" w:cs="Times New Roman"/>
          <w:lang w:val="pt-PT"/>
        </w:rPr>
        <w:t xml:space="preserve">Da Salvaguarda à Valorização: Os Monumentos Nacionais de Portugal e a Abertura ao Público em 2020. </w:t>
      </w:r>
      <w:r>
        <w:rPr>
          <w:rFonts w:ascii="Times New Roman" w:hAnsi="Times New Roman" w:cs="Times New Roman"/>
          <w:lang w:val="pt-PT"/>
        </w:rPr>
        <w:t xml:space="preserve">Lisboa: </w:t>
      </w:r>
      <w:r w:rsidRPr="00E9196E">
        <w:rPr>
          <w:rFonts w:ascii="Times New Roman" w:hAnsi="Times New Roman" w:cs="Times New Roman"/>
          <w:lang w:val="pt-PT"/>
        </w:rPr>
        <w:t>Observatório Português das Atividades Culturais, CIES-Iscte.</w:t>
      </w:r>
    </w:p>
    <w:p w14:paraId="1BFAB9E5" w14:textId="77777777" w:rsidR="00B94B7C" w:rsidRDefault="00F213E8" w:rsidP="00EB3CD3">
      <w:pPr>
        <w:spacing w:after="120" w:line="240" w:lineRule="auto"/>
        <w:rPr>
          <w:rFonts w:ascii="Times New Roman" w:hAnsi="Times New Roman" w:cs="Times New Roman"/>
          <w:lang w:val="pt-PT"/>
        </w:rPr>
      </w:pPr>
      <w:r w:rsidRPr="00F213E8">
        <w:rPr>
          <w:rFonts w:ascii="Times New Roman" w:hAnsi="Times New Roman" w:cs="Times New Roman"/>
          <w:lang w:val="pt-PT"/>
        </w:rPr>
        <w:t xml:space="preserve">Neves, </w:t>
      </w:r>
      <w:r w:rsidRPr="00F213E8">
        <w:rPr>
          <w:rFonts w:ascii="Times New Roman" w:hAnsi="Times New Roman" w:cs="Times New Roman"/>
          <w:lang w:val="pt-PT"/>
        </w:rPr>
        <w:t>J</w:t>
      </w:r>
      <w:r>
        <w:rPr>
          <w:rFonts w:ascii="Times New Roman" w:hAnsi="Times New Roman" w:cs="Times New Roman"/>
          <w:lang w:val="pt-PT"/>
        </w:rPr>
        <w:t xml:space="preserve">.S., </w:t>
      </w:r>
      <w:r w:rsidRPr="00F213E8">
        <w:rPr>
          <w:rFonts w:ascii="Times New Roman" w:hAnsi="Times New Roman" w:cs="Times New Roman"/>
          <w:lang w:val="pt-PT"/>
        </w:rPr>
        <w:t xml:space="preserve">Macedo, </w:t>
      </w:r>
      <w:r>
        <w:rPr>
          <w:rFonts w:ascii="Times New Roman" w:hAnsi="Times New Roman" w:cs="Times New Roman"/>
          <w:lang w:val="pt-PT"/>
        </w:rPr>
        <w:t xml:space="preserve">S.C., </w:t>
      </w:r>
      <w:r w:rsidRPr="00F213E8">
        <w:rPr>
          <w:rFonts w:ascii="Times New Roman" w:hAnsi="Times New Roman" w:cs="Times New Roman"/>
          <w:lang w:val="pt-PT"/>
        </w:rPr>
        <w:t xml:space="preserve">Lima, </w:t>
      </w:r>
      <w:r>
        <w:rPr>
          <w:rFonts w:ascii="Times New Roman" w:hAnsi="Times New Roman" w:cs="Times New Roman"/>
          <w:lang w:val="pt-PT"/>
        </w:rPr>
        <w:t>M.J.</w:t>
      </w:r>
      <w:r w:rsidR="001F3AC2">
        <w:rPr>
          <w:rFonts w:ascii="Times New Roman" w:hAnsi="Times New Roman" w:cs="Times New Roman"/>
          <w:lang w:val="pt-PT"/>
        </w:rPr>
        <w:t xml:space="preserve">, </w:t>
      </w:r>
      <w:r w:rsidRPr="00F213E8">
        <w:rPr>
          <w:rFonts w:ascii="Times New Roman" w:hAnsi="Times New Roman" w:cs="Times New Roman"/>
          <w:lang w:val="pt-PT"/>
        </w:rPr>
        <w:t>Santos</w:t>
      </w:r>
      <w:r w:rsidR="001F3AC2">
        <w:rPr>
          <w:rFonts w:ascii="Times New Roman" w:hAnsi="Times New Roman" w:cs="Times New Roman"/>
          <w:lang w:val="pt-PT"/>
        </w:rPr>
        <w:t xml:space="preserve">, J. </w:t>
      </w:r>
      <w:r w:rsidRPr="00F213E8">
        <w:rPr>
          <w:rFonts w:ascii="Times New Roman" w:hAnsi="Times New Roman" w:cs="Times New Roman"/>
          <w:lang w:val="pt-PT"/>
        </w:rPr>
        <w:t xml:space="preserve">&amp; Miranda, </w:t>
      </w:r>
      <w:r w:rsidR="001F3AC2">
        <w:rPr>
          <w:rFonts w:ascii="Times New Roman" w:hAnsi="Times New Roman" w:cs="Times New Roman"/>
          <w:lang w:val="pt-PT"/>
        </w:rPr>
        <w:t xml:space="preserve">A.P. </w:t>
      </w:r>
      <w:r w:rsidRPr="00F213E8">
        <w:rPr>
          <w:rFonts w:ascii="Times New Roman" w:hAnsi="Times New Roman" w:cs="Times New Roman"/>
          <w:lang w:val="pt-PT"/>
        </w:rPr>
        <w:t>2020</w:t>
      </w:r>
      <w:r w:rsidR="001F3AC2">
        <w:rPr>
          <w:rFonts w:ascii="Times New Roman" w:hAnsi="Times New Roman" w:cs="Times New Roman"/>
          <w:lang w:val="pt-PT"/>
        </w:rPr>
        <w:t xml:space="preserve">. </w:t>
      </w:r>
      <w:r w:rsidR="00B94B7C" w:rsidRPr="00B94B7C">
        <w:rPr>
          <w:rFonts w:ascii="Times New Roman" w:hAnsi="Times New Roman" w:cs="Times New Roman"/>
          <w:lang w:val="pt-PT"/>
        </w:rPr>
        <w:t xml:space="preserve">Os Monumentos Nacionais de Portugal e a Abertura ao Público: impactos decorrentes da COVID-19. Relatório. </w:t>
      </w:r>
      <w:r w:rsidR="00B94B7C">
        <w:rPr>
          <w:rFonts w:ascii="Times New Roman" w:hAnsi="Times New Roman" w:cs="Times New Roman"/>
          <w:lang w:val="pt-PT"/>
        </w:rPr>
        <w:t xml:space="preserve">Lisboa: </w:t>
      </w:r>
      <w:r w:rsidR="00B94B7C" w:rsidRPr="00B94B7C">
        <w:rPr>
          <w:rFonts w:ascii="Times New Roman" w:hAnsi="Times New Roman" w:cs="Times New Roman"/>
          <w:lang w:val="pt-PT"/>
        </w:rPr>
        <w:t>Observatório Português das Atividades Culturais, CIES-Iscte.</w:t>
      </w:r>
    </w:p>
    <w:p w14:paraId="529BE42D" w14:textId="03F8BB35" w:rsidR="00536DE8" w:rsidRDefault="00536DE8" w:rsidP="00EB3CD3">
      <w:pPr>
        <w:spacing w:after="120" w:line="240" w:lineRule="auto"/>
        <w:rPr>
          <w:rFonts w:ascii="Times New Roman" w:hAnsi="Times New Roman" w:cs="Times New Roman"/>
          <w:lang w:val="pt-PT"/>
        </w:rPr>
      </w:pPr>
      <w:r w:rsidRPr="00536DE8">
        <w:rPr>
          <w:rFonts w:ascii="Times New Roman" w:hAnsi="Times New Roman" w:cs="Times New Roman"/>
          <w:lang w:val="pt-PT"/>
        </w:rPr>
        <w:t>Rosas, L</w:t>
      </w:r>
      <w:r>
        <w:rPr>
          <w:rFonts w:ascii="Times New Roman" w:hAnsi="Times New Roman" w:cs="Times New Roman"/>
          <w:lang w:val="pt-PT"/>
        </w:rPr>
        <w:t xml:space="preserve">. </w:t>
      </w:r>
      <w:r w:rsidRPr="00536DE8">
        <w:rPr>
          <w:rFonts w:ascii="Times New Roman" w:hAnsi="Times New Roman" w:cs="Times New Roman"/>
          <w:lang w:val="pt-PT"/>
        </w:rPr>
        <w:t>1995</w:t>
      </w:r>
      <w:r>
        <w:rPr>
          <w:rFonts w:ascii="Times New Roman" w:hAnsi="Times New Roman" w:cs="Times New Roman"/>
          <w:lang w:val="pt-PT"/>
        </w:rPr>
        <w:t xml:space="preserve">. </w:t>
      </w:r>
      <w:r w:rsidRPr="00536DE8">
        <w:rPr>
          <w:rFonts w:ascii="Times New Roman" w:hAnsi="Times New Roman" w:cs="Times New Roman"/>
          <w:lang w:val="pt-PT"/>
        </w:rPr>
        <w:t xml:space="preserve">Monumentos </w:t>
      </w:r>
      <w:proofErr w:type="gramStart"/>
      <w:r w:rsidRPr="00536DE8">
        <w:rPr>
          <w:rFonts w:ascii="Times New Roman" w:hAnsi="Times New Roman" w:cs="Times New Roman"/>
          <w:lang w:val="pt-PT"/>
        </w:rPr>
        <w:t>Pátrios A</w:t>
      </w:r>
      <w:proofErr w:type="gramEnd"/>
      <w:r w:rsidRPr="00536DE8">
        <w:rPr>
          <w:rFonts w:ascii="Times New Roman" w:hAnsi="Times New Roman" w:cs="Times New Roman"/>
          <w:lang w:val="pt-PT"/>
        </w:rPr>
        <w:t xml:space="preserve"> </w:t>
      </w:r>
      <w:proofErr w:type="spellStart"/>
      <w:r w:rsidRPr="00536DE8">
        <w:rPr>
          <w:rFonts w:ascii="Times New Roman" w:hAnsi="Times New Roman" w:cs="Times New Roman"/>
          <w:lang w:val="pt-PT"/>
        </w:rPr>
        <w:t>arquitectura</w:t>
      </w:r>
      <w:proofErr w:type="spellEnd"/>
      <w:r w:rsidRPr="00536DE8">
        <w:rPr>
          <w:rFonts w:ascii="Times New Roman" w:hAnsi="Times New Roman" w:cs="Times New Roman"/>
          <w:lang w:val="pt-PT"/>
        </w:rPr>
        <w:t xml:space="preserve"> religiosa medieval - património e restauro (1835-1928)</w:t>
      </w:r>
      <w:r>
        <w:rPr>
          <w:rFonts w:ascii="Times New Roman" w:hAnsi="Times New Roman" w:cs="Times New Roman"/>
          <w:lang w:val="pt-PT"/>
        </w:rPr>
        <w:t>, T</w:t>
      </w:r>
      <w:r w:rsidRPr="00536DE8">
        <w:rPr>
          <w:rFonts w:ascii="Times New Roman" w:hAnsi="Times New Roman" w:cs="Times New Roman"/>
          <w:lang w:val="pt-PT"/>
        </w:rPr>
        <w:t>ese de Doutoramento em História de Arte</w:t>
      </w:r>
      <w:r>
        <w:rPr>
          <w:rFonts w:ascii="Times New Roman" w:hAnsi="Times New Roman" w:cs="Times New Roman"/>
          <w:lang w:val="pt-PT"/>
        </w:rPr>
        <w:t xml:space="preserve">. </w:t>
      </w:r>
      <w:r w:rsidRPr="00536DE8">
        <w:rPr>
          <w:rFonts w:ascii="Times New Roman" w:hAnsi="Times New Roman" w:cs="Times New Roman"/>
          <w:lang w:val="pt-PT"/>
        </w:rPr>
        <w:t>Porto</w:t>
      </w:r>
      <w:r>
        <w:rPr>
          <w:rFonts w:ascii="Times New Roman" w:hAnsi="Times New Roman" w:cs="Times New Roman"/>
          <w:lang w:val="pt-PT"/>
        </w:rPr>
        <w:t xml:space="preserve">: </w:t>
      </w:r>
      <w:r w:rsidRPr="00536DE8">
        <w:rPr>
          <w:rFonts w:ascii="Times New Roman" w:hAnsi="Times New Roman" w:cs="Times New Roman"/>
          <w:lang w:val="pt-PT"/>
        </w:rPr>
        <w:t>Faculdade de Letras da Universidade do Porto.</w:t>
      </w:r>
    </w:p>
    <w:p w14:paraId="75D67636" w14:textId="7E6302F4" w:rsidR="00077E80" w:rsidRDefault="00077E80" w:rsidP="00EB3CD3">
      <w:pPr>
        <w:spacing w:after="120" w:line="240" w:lineRule="auto"/>
        <w:rPr>
          <w:rFonts w:ascii="Times New Roman" w:hAnsi="Times New Roman" w:cs="Times New Roman"/>
          <w:lang w:val="pt-PT"/>
        </w:rPr>
      </w:pPr>
      <w:r>
        <w:rPr>
          <w:rFonts w:ascii="Times New Roman" w:hAnsi="Times New Roman" w:cs="Times New Roman"/>
          <w:lang w:val="pt-PT"/>
        </w:rPr>
        <w:t>S</w:t>
      </w:r>
      <w:r w:rsidRPr="00077E80">
        <w:rPr>
          <w:rFonts w:ascii="Times New Roman" w:hAnsi="Times New Roman" w:cs="Times New Roman"/>
          <w:lang w:val="pt-PT"/>
        </w:rPr>
        <w:t>antos, J</w:t>
      </w:r>
      <w:r>
        <w:rPr>
          <w:rFonts w:ascii="Times New Roman" w:hAnsi="Times New Roman" w:cs="Times New Roman"/>
          <w:lang w:val="pt-PT"/>
        </w:rPr>
        <w:t xml:space="preserve">. &amp; Neves, J. S. </w:t>
      </w:r>
      <w:r w:rsidRPr="00077E80">
        <w:rPr>
          <w:rFonts w:ascii="Times New Roman" w:hAnsi="Times New Roman" w:cs="Times New Roman"/>
          <w:lang w:val="pt-PT"/>
        </w:rPr>
        <w:t>2017</w:t>
      </w:r>
      <w:r>
        <w:rPr>
          <w:rFonts w:ascii="Times New Roman" w:hAnsi="Times New Roman" w:cs="Times New Roman"/>
          <w:lang w:val="pt-PT"/>
        </w:rPr>
        <w:t xml:space="preserve">. </w:t>
      </w:r>
      <w:r w:rsidRPr="00077E80">
        <w:rPr>
          <w:rFonts w:ascii="Times New Roman" w:hAnsi="Times New Roman" w:cs="Times New Roman"/>
          <w:lang w:val="pt-PT"/>
        </w:rPr>
        <w:t xml:space="preserve">"Estatísticas oficiais, políticas museológicas e investigação: reflexão a propósito do caso português", La Critica </w:t>
      </w:r>
      <w:proofErr w:type="spellStart"/>
      <w:r w:rsidRPr="00077E80">
        <w:rPr>
          <w:rFonts w:ascii="Times New Roman" w:hAnsi="Times New Roman" w:cs="Times New Roman"/>
          <w:lang w:val="pt-PT"/>
        </w:rPr>
        <w:t>Sociologica</w:t>
      </w:r>
      <w:proofErr w:type="spellEnd"/>
      <w:r>
        <w:rPr>
          <w:rFonts w:ascii="Times New Roman" w:hAnsi="Times New Roman" w:cs="Times New Roman"/>
          <w:lang w:val="pt-PT"/>
        </w:rPr>
        <w:t xml:space="preserve">. </w:t>
      </w:r>
      <w:r w:rsidRPr="00077E80">
        <w:rPr>
          <w:rFonts w:ascii="Times New Roman" w:hAnsi="Times New Roman" w:cs="Times New Roman"/>
          <w:lang w:val="pt-PT"/>
        </w:rPr>
        <w:t xml:space="preserve">203(3), pp. 75-86. </w:t>
      </w:r>
    </w:p>
    <w:p w14:paraId="21AA7E21" w14:textId="61034828" w:rsidR="00367241" w:rsidRPr="002B7B7E" w:rsidRDefault="00367241" w:rsidP="00367241">
      <w:pPr>
        <w:spacing w:after="120" w:line="240" w:lineRule="auto"/>
        <w:rPr>
          <w:rFonts w:ascii="Times New Roman" w:hAnsi="Times New Roman" w:cs="Times New Roman"/>
        </w:rPr>
      </w:pPr>
      <w:r w:rsidRPr="00425DD0">
        <w:rPr>
          <w:rFonts w:ascii="Times New Roman" w:hAnsi="Times New Roman" w:cs="Times New Roman"/>
          <w:lang w:val="pt-PT"/>
        </w:rPr>
        <w:t>Silva, A</w:t>
      </w:r>
      <w:r w:rsidRPr="00425DD0">
        <w:rPr>
          <w:rFonts w:ascii="Times New Roman" w:hAnsi="Times New Roman" w:cs="Times New Roman"/>
          <w:lang w:val="pt-PT"/>
        </w:rPr>
        <w:t xml:space="preserve">. </w:t>
      </w:r>
      <w:r w:rsidRPr="00425DD0">
        <w:rPr>
          <w:rFonts w:ascii="Times New Roman" w:hAnsi="Times New Roman" w:cs="Times New Roman"/>
          <w:lang w:val="pt-PT"/>
        </w:rPr>
        <w:t>S</w:t>
      </w:r>
      <w:r w:rsidRPr="00425DD0">
        <w:rPr>
          <w:rFonts w:ascii="Times New Roman" w:hAnsi="Times New Roman" w:cs="Times New Roman"/>
          <w:lang w:val="pt-PT"/>
        </w:rPr>
        <w:t xml:space="preserve">. </w:t>
      </w:r>
      <w:r w:rsidRPr="00425DD0">
        <w:rPr>
          <w:rFonts w:ascii="Times New Roman" w:hAnsi="Times New Roman" w:cs="Times New Roman"/>
          <w:lang w:val="pt-PT"/>
        </w:rPr>
        <w:t>2014</w:t>
      </w:r>
      <w:r w:rsidRPr="00425DD0">
        <w:rPr>
          <w:rFonts w:ascii="Times New Roman" w:hAnsi="Times New Roman" w:cs="Times New Roman"/>
          <w:lang w:val="pt-PT"/>
        </w:rPr>
        <w:t xml:space="preserve">. </w:t>
      </w:r>
      <w:r w:rsidRPr="002B7B7E">
        <w:rPr>
          <w:rFonts w:ascii="Times New Roman" w:hAnsi="Times New Roman" w:cs="Times New Roman"/>
          <w:lang w:val="pt-PT"/>
        </w:rPr>
        <w:t>"A democracia portuguesa face ao património cultural", Revista da Faculdade de Letras Ciências e Técnicas do Património</w:t>
      </w:r>
      <w:r w:rsidR="00730D33" w:rsidRPr="002B7B7E">
        <w:rPr>
          <w:rFonts w:ascii="Times New Roman" w:hAnsi="Times New Roman" w:cs="Times New Roman"/>
          <w:lang w:val="pt-PT"/>
        </w:rPr>
        <w:t xml:space="preserve">. </w:t>
      </w:r>
      <w:r w:rsidRPr="002B7B7E">
        <w:rPr>
          <w:rFonts w:ascii="Times New Roman" w:hAnsi="Times New Roman" w:cs="Times New Roman"/>
        </w:rPr>
        <w:t xml:space="preserve">XIII, pp. 11-32. </w:t>
      </w:r>
    </w:p>
    <w:p w14:paraId="514EF1BA" w14:textId="6A09822E" w:rsidR="00367241" w:rsidRPr="002B7B7E" w:rsidRDefault="00367241" w:rsidP="00367241">
      <w:pPr>
        <w:spacing w:after="120" w:line="240" w:lineRule="auto"/>
        <w:rPr>
          <w:rFonts w:ascii="Times New Roman" w:hAnsi="Times New Roman" w:cs="Times New Roman"/>
          <w:lang w:val="pt-PT"/>
        </w:rPr>
      </w:pPr>
      <w:r w:rsidRPr="002B7B7E">
        <w:rPr>
          <w:rFonts w:ascii="Times New Roman" w:hAnsi="Times New Roman" w:cs="Times New Roman"/>
          <w:lang w:val="pt-PT"/>
        </w:rPr>
        <w:t>S</w:t>
      </w:r>
      <w:r w:rsidR="00730D33" w:rsidRPr="002B7B7E">
        <w:rPr>
          <w:rFonts w:ascii="Times New Roman" w:hAnsi="Times New Roman" w:cs="Times New Roman"/>
          <w:lang w:val="pt-PT"/>
        </w:rPr>
        <w:t xml:space="preserve">PES. </w:t>
      </w:r>
      <w:r w:rsidRPr="002B7B7E">
        <w:rPr>
          <w:rFonts w:ascii="Times New Roman" w:hAnsi="Times New Roman" w:cs="Times New Roman"/>
          <w:lang w:val="pt-PT"/>
        </w:rPr>
        <w:t>2010</w:t>
      </w:r>
      <w:r w:rsidR="00730D33" w:rsidRPr="002B7B7E">
        <w:rPr>
          <w:rFonts w:ascii="Times New Roman" w:hAnsi="Times New Roman" w:cs="Times New Roman"/>
          <w:lang w:val="pt-PT"/>
        </w:rPr>
        <w:t xml:space="preserve">. </w:t>
      </w:r>
      <w:r w:rsidRPr="002B7B7E">
        <w:rPr>
          <w:rFonts w:ascii="Times New Roman" w:hAnsi="Times New Roman" w:cs="Times New Roman"/>
          <w:lang w:val="pt-PT"/>
        </w:rPr>
        <w:t>3ª Recomendação da Secção Permanente de Estatísticas Sociais Relativa ao Grupo de Trabalho Sobre Estatísticas da Cultura</w:t>
      </w:r>
      <w:r w:rsidR="00730D33" w:rsidRPr="002B7B7E">
        <w:rPr>
          <w:rFonts w:ascii="Times New Roman" w:hAnsi="Times New Roman" w:cs="Times New Roman"/>
          <w:lang w:val="pt-PT"/>
        </w:rPr>
        <w:t xml:space="preserve">. </w:t>
      </w:r>
      <w:r w:rsidRPr="002B7B7E">
        <w:rPr>
          <w:rFonts w:ascii="Times New Roman" w:hAnsi="Times New Roman" w:cs="Times New Roman"/>
          <w:lang w:val="pt-PT"/>
        </w:rPr>
        <w:t>Lisboa</w:t>
      </w:r>
      <w:r w:rsidR="00730D33" w:rsidRPr="002B7B7E">
        <w:rPr>
          <w:rFonts w:ascii="Times New Roman" w:hAnsi="Times New Roman" w:cs="Times New Roman"/>
          <w:lang w:val="pt-PT"/>
        </w:rPr>
        <w:t xml:space="preserve">: </w:t>
      </w:r>
      <w:r w:rsidRPr="002B7B7E">
        <w:rPr>
          <w:rFonts w:ascii="Times New Roman" w:hAnsi="Times New Roman" w:cs="Times New Roman"/>
          <w:lang w:val="pt-PT"/>
        </w:rPr>
        <w:t>CSE</w:t>
      </w:r>
      <w:r w:rsidR="00730D33" w:rsidRPr="002B7B7E">
        <w:rPr>
          <w:rFonts w:ascii="Times New Roman" w:hAnsi="Times New Roman" w:cs="Times New Roman"/>
          <w:lang w:val="pt-PT"/>
        </w:rPr>
        <w:t>.</w:t>
      </w:r>
    </w:p>
    <w:p w14:paraId="7D209E0D" w14:textId="6BC78BF7" w:rsidR="000E70D0" w:rsidRDefault="00E679B0" w:rsidP="00E679B0">
      <w:pPr>
        <w:spacing w:after="120" w:line="240" w:lineRule="auto"/>
        <w:rPr>
          <w:rFonts w:ascii="Times New Roman" w:hAnsi="Times New Roman" w:cs="Times New Roman"/>
          <w:lang w:val="pt-PT"/>
        </w:rPr>
      </w:pPr>
      <w:r w:rsidRPr="00E679B0">
        <w:rPr>
          <w:rFonts w:ascii="Times New Roman" w:hAnsi="Times New Roman" w:cs="Times New Roman"/>
          <w:lang w:val="pt-PT"/>
        </w:rPr>
        <w:t xml:space="preserve">DDCMS (2019), </w:t>
      </w:r>
      <w:proofErr w:type="spellStart"/>
      <w:r w:rsidRPr="00E679B0">
        <w:rPr>
          <w:rFonts w:ascii="Times New Roman" w:hAnsi="Times New Roman" w:cs="Times New Roman"/>
          <w:lang w:val="pt-PT"/>
        </w:rPr>
        <w:t>Taking</w:t>
      </w:r>
      <w:proofErr w:type="spellEnd"/>
      <w:r w:rsidRPr="00E679B0">
        <w:rPr>
          <w:rFonts w:ascii="Times New Roman" w:hAnsi="Times New Roman" w:cs="Times New Roman"/>
          <w:lang w:val="pt-PT"/>
        </w:rPr>
        <w:t xml:space="preserve"> </w:t>
      </w:r>
      <w:proofErr w:type="spellStart"/>
      <w:r w:rsidRPr="00E679B0">
        <w:rPr>
          <w:rFonts w:ascii="Times New Roman" w:hAnsi="Times New Roman" w:cs="Times New Roman"/>
          <w:lang w:val="pt-PT"/>
        </w:rPr>
        <w:t>Part</w:t>
      </w:r>
      <w:proofErr w:type="spellEnd"/>
      <w:r w:rsidRPr="00E679B0">
        <w:rPr>
          <w:rFonts w:ascii="Times New Roman" w:hAnsi="Times New Roman" w:cs="Times New Roman"/>
          <w:lang w:val="pt-PT"/>
        </w:rPr>
        <w:t xml:space="preserve"> Survey: </w:t>
      </w:r>
      <w:proofErr w:type="spellStart"/>
      <w:r w:rsidRPr="00E679B0">
        <w:rPr>
          <w:rFonts w:ascii="Times New Roman" w:hAnsi="Times New Roman" w:cs="Times New Roman"/>
          <w:lang w:val="pt-PT"/>
        </w:rPr>
        <w:t>England</w:t>
      </w:r>
      <w:proofErr w:type="spellEnd"/>
      <w:r w:rsidRPr="00E679B0">
        <w:rPr>
          <w:rFonts w:ascii="Times New Roman" w:hAnsi="Times New Roman" w:cs="Times New Roman"/>
          <w:lang w:val="pt-PT"/>
        </w:rPr>
        <w:t xml:space="preserve"> </w:t>
      </w:r>
      <w:proofErr w:type="spellStart"/>
      <w:r w:rsidRPr="00E679B0">
        <w:rPr>
          <w:rFonts w:ascii="Times New Roman" w:hAnsi="Times New Roman" w:cs="Times New Roman"/>
          <w:lang w:val="pt-PT"/>
        </w:rPr>
        <w:t>Adult</w:t>
      </w:r>
      <w:proofErr w:type="spellEnd"/>
      <w:r w:rsidRPr="00E679B0">
        <w:rPr>
          <w:rFonts w:ascii="Times New Roman" w:hAnsi="Times New Roman" w:cs="Times New Roman"/>
          <w:lang w:val="pt-PT"/>
        </w:rPr>
        <w:t xml:space="preserve"> Report, 2018/19.</w:t>
      </w:r>
    </w:p>
    <w:p w14:paraId="6362DDE1" w14:textId="77777777" w:rsidR="00DE7D45" w:rsidRPr="00456024" w:rsidRDefault="00DE7D45">
      <w:pPr>
        <w:spacing w:after="120" w:line="240" w:lineRule="auto"/>
        <w:rPr>
          <w:rFonts w:ascii="Times New Roman" w:hAnsi="Times New Roman" w:cs="Times New Roman"/>
        </w:rPr>
      </w:pPr>
    </w:p>
    <w:sectPr w:rsidR="00DE7D45" w:rsidRPr="00456024" w:rsidSect="0039364B">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ECE41" w14:textId="77777777" w:rsidR="00866B25" w:rsidRDefault="00866B25" w:rsidP="00866B25">
      <w:pPr>
        <w:spacing w:after="0" w:line="240" w:lineRule="auto"/>
      </w:pPr>
      <w:r>
        <w:separator/>
      </w:r>
    </w:p>
  </w:endnote>
  <w:endnote w:type="continuationSeparator" w:id="0">
    <w:p w14:paraId="1975681F" w14:textId="77777777" w:rsidR="00866B25" w:rsidRDefault="00866B25" w:rsidP="00866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75538"/>
      <w:docPartObj>
        <w:docPartGallery w:val="Page Numbers (Bottom of Page)"/>
        <w:docPartUnique/>
      </w:docPartObj>
    </w:sdtPr>
    <w:sdtEndPr>
      <w:rPr>
        <w:rFonts w:ascii="Times New Roman" w:hAnsi="Times New Roman" w:cs="Times New Roman"/>
        <w:noProof/>
        <w:sz w:val="20"/>
        <w:szCs w:val="20"/>
      </w:rPr>
    </w:sdtEndPr>
    <w:sdtContent>
      <w:p w14:paraId="3349749A" w14:textId="546343F9" w:rsidR="00866B25" w:rsidRPr="00866B25" w:rsidRDefault="00866B25">
        <w:pPr>
          <w:pStyle w:val="Footer"/>
          <w:jc w:val="right"/>
          <w:rPr>
            <w:rFonts w:ascii="Times New Roman" w:hAnsi="Times New Roman" w:cs="Times New Roman"/>
            <w:sz w:val="20"/>
            <w:szCs w:val="20"/>
          </w:rPr>
        </w:pPr>
        <w:r w:rsidRPr="00866B25">
          <w:rPr>
            <w:rFonts w:ascii="Times New Roman" w:hAnsi="Times New Roman" w:cs="Times New Roman"/>
            <w:sz w:val="20"/>
            <w:szCs w:val="20"/>
          </w:rPr>
          <w:fldChar w:fldCharType="begin"/>
        </w:r>
        <w:r w:rsidRPr="00866B25">
          <w:rPr>
            <w:rFonts w:ascii="Times New Roman" w:hAnsi="Times New Roman" w:cs="Times New Roman"/>
            <w:sz w:val="20"/>
            <w:szCs w:val="20"/>
          </w:rPr>
          <w:instrText xml:space="preserve"> PAGE   \* MERGEFORMAT </w:instrText>
        </w:r>
        <w:r w:rsidRPr="00866B25">
          <w:rPr>
            <w:rFonts w:ascii="Times New Roman" w:hAnsi="Times New Roman" w:cs="Times New Roman"/>
            <w:sz w:val="20"/>
            <w:szCs w:val="20"/>
          </w:rPr>
          <w:fldChar w:fldCharType="separate"/>
        </w:r>
        <w:r w:rsidRPr="00866B25">
          <w:rPr>
            <w:rFonts w:ascii="Times New Roman" w:hAnsi="Times New Roman" w:cs="Times New Roman"/>
            <w:noProof/>
            <w:sz w:val="20"/>
            <w:szCs w:val="20"/>
          </w:rPr>
          <w:t>2</w:t>
        </w:r>
        <w:r w:rsidRPr="00866B25">
          <w:rPr>
            <w:rFonts w:ascii="Times New Roman" w:hAnsi="Times New Roman" w:cs="Times New Roman"/>
            <w:noProof/>
            <w:sz w:val="20"/>
            <w:szCs w:val="20"/>
          </w:rPr>
          <w:fldChar w:fldCharType="end"/>
        </w:r>
      </w:p>
    </w:sdtContent>
  </w:sdt>
  <w:p w14:paraId="343939AE" w14:textId="77777777" w:rsidR="00866B25" w:rsidRDefault="00866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69AA9" w14:textId="77777777" w:rsidR="00866B25" w:rsidRDefault="00866B25" w:rsidP="00866B25">
      <w:pPr>
        <w:spacing w:after="0" w:line="240" w:lineRule="auto"/>
      </w:pPr>
      <w:r>
        <w:separator/>
      </w:r>
    </w:p>
  </w:footnote>
  <w:footnote w:type="continuationSeparator" w:id="0">
    <w:p w14:paraId="388CBD6F" w14:textId="77777777" w:rsidR="00866B25" w:rsidRDefault="00866B25" w:rsidP="00866B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75"/>
    <w:rsid w:val="00005967"/>
    <w:rsid w:val="0001022A"/>
    <w:rsid w:val="000173D6"/>
    <w:rsid w:val="00017534"/>
    <w:rsid w:val="000240C4"/>
    <w:rsid w:val="000469A1"/>
    <w:rsid w:val="0005524F"/>
    <w:rsid w:val="00061014"/>
    <w:rsid w:val="000612B7"/>
    <w:rsid w:val="00062CE6"/>
    <w:rsid w:val="00066303"/>
    <w:rsid w:val="00072AB4"/>
    <w:rsid w:val="00077E80"/>
    <w:rsid w:val="000A5130"/>
    <w:rsid w:val="000B002E"/>
    <w:rsid w:val="000E70D0"/>
    <w:rsid w:val="000F5183"/>
    <w:rsid w:val="00106B75"/>
    <w:rsid w:val="00111C1C"/>
    <w:rsid w:val="00112C67"/>
    <w:rsid w:val="00125CC0"/>
    <w:rsid w:val="00130C84"/>
    <w:rsid w:val="001322F4"/>
    <w:rsid w:val="0014280F"/>
    <w:rsid w:val="001522F5"/>
    <w:rsid w:val="00157DA2"/>
    <w:rsid w:val="001763D4"/>
    <w:rsid w:val="00177DC4"/>
    <w:rsid w:val="00183A86"/>
    <w:rsid w:val="00184AC6"/>
    <w:rsid w:val="001855E5"/>
    <w:rsid w:val="00185D06"/>
    <w:rsid w:val="001949B2"/>
    <w:rsid w:val="00196FB3"/>
    <w:rsid w:val="001B3B89"/>
    <w:rsid w:val="001B4B61"/>
    <w:rsid w:val="001C1F9B"/>
    <w:rsid w:val="001E0045"/>
    <w:rsid w:val="001E34B1"/>
    <w:rsid w:val="001E5E7D"/>
    <w:rsid w:val="001F3AC2"/>
    <w:rsid w:val="001F5379"/>
    <w:rsid w:val="0020046A"/>
    <w:rsid w:val="00212BBF"/>
    <w:rsid w:val="0021570F"/>
    <w:rsid w:val="00217615"/>
    <w:rsid w:val="00217A13"/>
    <w:rsid w:val="002300B9"/>
    <w:rsid w:val="002401D2"/>
    <w:rsid w:val="0026518F"/>
    <w:rsid w:val="00274FB6"/>
    <w:rsid w:val="00285144"/>
    <w:rsid w:val="002B004E"/>
    <w:rsid w:val="002B1498"/>
    <w:rsid w:val="002B7877"/>
    <w:rsid w:val="002B7B7E"/>
    <w:rsid w:val="002D3D89"/>
    <w:rsid w:val="002D4349"/>
    <w:rsid w:val="002D6E64"/>
    <w:rsid w:val="002E664C"/>
    <w:rsid w:val="002F25B1"/>
    <w:rsid w:val="002F2623"/>
    <w:rsid w:val="002F3F10"/>
    <w:rsid w:val="0030287B"/>
    <w:rsid w:val="003039E5"/>
    <w:rsid w:val="003263E4"/>
    <w:rsid w:val="00367241"/>
    <w:rsid w:val="00374C5C"/>
    <w:rsid w:val="0039052F"/>
    <w:rsid w:val="00390E71"/>
    <w:rsid w:val="00393201"/>
    <w:rsid w:val="0039364B"/>
    <w:rsid w:val="00396F38"/>
    <w:rsid w:val="003B1835"/>
    <w:rsid w:val="003B5AE4"/>
    <w:rsid w:val="003D1FC4"/>
    <w:rsid w:val="003F1951"/>
    <w:rsid w:val="003F24F9"/>
    <w:rsid w:val="003F694C"/>
    <w:rsid w:val="00403C31"/>
    <w:rsid w:val="00406ADA"/>
    <w:rsid w:val="0041631D"/>
    <w:rsid w:val="004237B5"/>
    <w:rsid w:val="00425DD0"/>
    <w:rsid w:val="00435F37"/>
    <w:rsid w:val="0044452C"/>
    <w:rsid w:val="00444784"/>
    <w:rsid w:val="00456024"/>
    <w:rsid w:val="004607DB"/>
    <w:rsid w:val="004709AD"/>
    <w:rsid w:val="004715D8"/>
    <w:rsid w:val="00473554"/>
    <w:rsid w:val="004841F3"/>
    <w:rsid w:val="004920A1"/>
    <w:rsid w:val="0049348D"/>
    <w:rsid w:val="0049518E"/>
    <w:rsid w:val="00497848"/>
    <w:rsid w:val="004A1F4F"/>
    <w:rsid w:val="004B6354"/>
    <w:rsid w:val="004C48AE"/>
    <w:rsid w:val="004D559E"/>
    <w:rsid w:val="004E54DD"/>
    <w:rsid w:val="004F2818"/>
    <w:rsid w:val="004F5BCF"/>
    <w:rsid w:val="00503BE6"/>
    <w:rsid w:val="00512F63"/>
    <w:rsid w:val="005224B4"/>
    <w:rsid w:val="00536DE8"/>
    <w:rsid w:val="00553705"/>
    <w:rsid w:val="00554244"/>
    <w:rsid w:val="005560FC"/>
    <w:rsid w:val="00564DBF"/>
    <w:rsid w:val="00593D25"/>
    <w:rsid w:val="005C0E08"/>
    <w:rsid w:val="005C4C71"/>
    <w:rsid w:val="005D6125"/>
    <w:rsid w:val="005E4DE7"/>
    <w:rsid w:val="005F0E40"/>
    <w:rsid w:val="005F5FEA"/>
    <w:rsid w:val="006036A7"/>
    <w:rsid w:val="00605EBC"/>
    <w:rsid w:val="006157A9"/>
    <w:rsid w:val="0062689E"/>
    <w:rsid w:val="00626DD4"/>
    <w:rsid w:val="00632DEE"/>
    <w:rsid w:val="00635C75"/>
    <w:rsid w:val="0064686B"/>
    <w:rsid w:val="00646B54"/>
    <w:rsid w:val="006775FB"/>
    <w:rsid w:val="0068778C"/>
    <w:rsid w:val="00696B72"/>
    <w:rsid w:val="006A5024"/>
    <w:rsid w:val="006A7077"/>
    <w:rsid w:val="006B65F9"/>
    <w:rsid w:val="006B7075"/>
    <w:rsid w:val="006C5789"/>
    <w:rsid w:val="006D17E1"/>
    <w:rsid w:val="006D1C43"/>
    <w:rsid w:val="006D1F79"/>
    <w:rsid w:val="006D6137"/>
    <w:rsid w:val="006E660F"/>
    <w:rsid w:val="006E72A0"/>
    <w:rsid w:val="006F02D5"/>
    <w:rsid w:val="006F354B"/>
    <w:rsid w:val="0071012A"/>
    <w:rsid w:val="00716BED"/>
    <w:rsid w:val="00730D33"/>
    <w:rsid w:val="00743B38"/>
    <w:rsid w:val="00754BB3"/>
    <w:rsid w:val="00755846"/>
    <w:rsid w:val="0075696F"/>
    <w:rsid w:val="0076060F"/>
    <w:rsid w:val="00782790"/>
    <w:rsid w:val="007836BB"/>
    <w:rsid w:val="00784C85"/>
    <w:rsid w:val="00794476"/>
    <w:rsid w:val="007A19D4"/>
    <w:rsid w:val="007A4EC2"/>
    <w:rsid w:val="007B5D91"/>
    <w:rsid w:val="007E5E72"/>
    <w:rsid w:val="007F2F0E"/>
    <w:rsid w:val="007F7CAE"/>
    <w:rsid w:val="00825DB7"/>
    <w:rsid w:val="008273B8"/>
    <w:rsid w:val="00852C76"/>
    <w:rsid w:val="00866B25"/>
    <w:rsid w:val="00872EC8"/>
    <w:rsid w:val="008863CB"/>
    <w:rsid w:val="00886578"/>
    <w:rsid w:val="0089525E"/>
    <w:rsid w:val="008A4FCF"/>
    <w:rsid w:val="008C0BE2"/>
    <w:rsid w:val="008D22BA"/>
    <w:rsid w:val="008E1B05"/>
    <w:rsid w:val="008F1E58"/>
    <w:rsid w:val="00902867"/>
    <w:rsid w:val="00903982"/>
    <w:rsid w:val="00906191"/>
    <w:rsid w:val="009300F4"/>
    <w:rsid w:val="00937EFD"/>
    <w:rsid w:val="00990049"/>
    <w:rsid w:val="009905B9"/>
    <w:rsid w:val="009A380B"/>
    <w:rsid w:val="009A5992"/>
    <w:rsid w:val="009C18D6"/>
    <w:rsid w:val="009C48B6"/>
    <w:rsid w:val="009D6017"/>
    <w:rsid w:val="00A06569"/>
    <w:rsid w:val="00A067D1"/>
    <w:rsid w:val="00A24CC7"/>
    <w:rsid w:val="00A37058"/>
    <w:rsid w:val="00A41404"/>
    <w:rsid w:val="00A44F13"/>
    <w:rsid w:val="00A4664A"/>
    <w:rsid w:val="00A616A3"/>
    <w:rsid w:val="00A61CAB"/>
    <w:rsid w:val="00A73461"/>
    <w:rsid w:val="00A842FC"/>
    <w:rsid w:val="00A859F0"/>
    <w:rsid w:val="00A96051"/>
    <w:rsid w:val="00AA2C99"/>
    <w:rsid w:val="00AA679B"/>
    <w:rsid w:val="00AB6D2B"/>
    <w:rsid w:val="00AC2C2E"/>
    <w:rsid w:val="00AC2D0D"/>
    <w:rsid w:val="00AF1970"/>
    <w:rsid w:val="00AF2725"/>
    <w:rsid w:val="00AF2DBE"/>
    <w:rsid w:val="00AF4D83"/>
    <w:rsid w:val="00AF5917"/>
    <w:rsid w:val="00AF69FD"/>
    <w:rsid w:val="00B01AD8"/>
    <w:rsid w:val="00B13098"/>
    <w:rsid w:val="00B1365D"/>
    <w:rsid w:val="00B14AE8"/>
    <w:rsid w:val="00B24ECC"/>
    <w:rsid w:val="00B33809"/>
    <w:rsid w:val="00B37E36"/>
    <w:rsid w:val="00B44EAD"/>
    <w:rsid w:val="00B45519"/>
    <w:rsid w:val="00B4789E"/>
    <w:rsid w:val="00B51460"/>
    <w:rsid w:val="00B75725"/>
    <w:rsid w:val="00B76B34"/>
    <w:rsid w:val="00B83802"/>
    <w:rsid w:val="00B937E1"/>
    <w:rsid w:val="00B94B7C"/>
    <w:rsid w:val="00BC0C2E"/>
    <w:rsid w:val="00BD1241"/>
    <w:rsid w:val="00BD1AF4"/>
    <w:rsid w:val="00BD29D2"/>
    <w:rsid w:val="00BD3076"/>
    <w:rsid w:val="00BD55AD"/>
    <w:rsid w:val="00BE1848"/>
    <w:rsid w:val="00BE7F56"/>
    <w:rsid w:val="00C0249D"/>
    <w:rsid w:val="00C26AA6"/>
    <w:rsid w:val="00C33FAD"/>
    <w:rsid w:val="00C42EA6"/>
    <w:rsid w:val="00C56060"/>
    <w:rsid w:val="00C572E3"/>
    <w:rsid w:val="00C63C30"/>
    <w:rsid w:val="00C64A3F"/>
    <w:rsid w:val="00CA1A6A"/>
    <w:rsid w:val="00CA6218"/>
    <w:rsid w:val="00CA66E5"/>
    <w:rsid w:val="00CC2728"/>
    <w:rsid w:val="00CC588A"/>
    <w:rsid w:val="00CC65BB"/>
    <w:rsid w:val="00CD0FB6"/>
    <w:rsid w:val="00CE21C3"/>
    <w:rsid w:val="00CE6208"/>
    <w:rsid w:val="00CF3BFD"/>
    <w:rsid w:val="00D038DC"/>
    <w:rsid w:val="00D1602F"/>
    <w:rsid w:val="00D22591"/>
    <w:rsid w:val="00D25EAA"/>
    <w:rsid w:val="00D41165"/>
    <w:rsid w:val="00D56D85"/>
    <w:rsid w:val="00D6336D"/>
    <w:rsid w:val="00D728FA"/>
    <w:rsid w:val="00D7584E"/>
    <w:rsid w:val="00D80C13"/>
    <w:rsid w:val="00D81977"/>
    <w:rsid w:val="00D87E12"/>
    <w:rsid w:val="00DA3F8A"/>
    <w:rsid w:val="00DB4A19"/>
    <w:rsid w:val="00DC3D67"/>
    <w:rsid w:val="00DC6AA1"/>
    <w:rsid w:val="00DC7C29"/>
    <w:rsid w:val="00DD1198"/>
    <w:rsid w:val="00DD5F1A"/>
    <w:rsid w:val="00DD77EA"/>
    <w:rsid w:val="00DE4D68"/>
    <w:rsid w:val="00DE73CE"/>
    <w:rsid w:val="00DE7D45"/>
    <w:rsid w:val="00E06A95"/>
    <w:rsid w:val="00E07DE3"/>
    <w:rsid w:val="00E14234"/>
    <w:rsid w:val="00E260F5"/>
    <w:rsid w:val="00E2696D"/>
    <w:rsid w:val="00E2741F"/>
    <w:rsid w:val="00E3045A"/>
    <w:rsid w:val="00E36C28"/>
    <w:rsid w:val="00E40F17"/>
    <w:rsid w:val="00E4190A"/>
    <w:rsid w:val="00E47D75"/>
    <w:rsid w:val="00E517A6"/>
    <w:rsid w:val="00E5263A"/>
    <w:rsid w:val="00E600C8"/>
    <w:rsid w:val="00E64473"/>
    <w:rsid w:val="00E679B0"/>
    <w:rsid w:val="00E7396A"/>
    <w:rsid w:val="00E75DC0"/>
    <w:rsid w:val="00E85235"/>
    <w:rsid w:val="00E9196E"/>
    <w:rsid w:val="00E922A2"/>
    <w:rsid w:val="00E97E13"/>
    <w:rsid w:val="00EA4190"/>
    <w:rsid w:val="00EA4412"/>
    <w:rsid w:val="00EB0641"/>
    <w:rsid w:val="00EB3CD3"/>
    <w:rsid w:val="00EC7C92"/>
    <w:rsid w:val="00ED07BD"/>
    <w:rsid w:val="00ED1FD6"/>
    <w:rsid w:val="00EE2951"/>
    <w:rsid w:val="00F213E8"/>
    <w:rsid w:val="00F2142F"/>
    <w:rsid w:val="00F2262C"/>
    <w:rsid w:val="00F25299"/>
    <w:rsid w:val="00F30B11"/>
    <w:rsid w:val="00F32108"/>
    <w:rsid w:val="00F339D8"/>
    <w:rsid w:val="00F372E9"/>
    <w:rsid w:val="00F47B94"/>
    <w:rsid w:val="00F56CA1"/>
    <w:rsid w:val="00F61D7F"/>
    <w:rsid w:val="00F653F3"/>
    <w:rsid w:val="00F70DAC"/>
    <w:rsid w:val="00F92429"/>
    <w:rsid w:val="00F94969"/>
    <w:rsid w:val="00FA060C"/>
    <w:rsid w:val="00FA4060"/>
    <w:rsid w:val="00FB16B7"/>
    <w:rsid w:val="00FB1D41"/>
    <w:rsid w:val="00FB6129"/>
    <w:rsid w:val="00FC0BA0"/>
    <w:rsid w:val="00FC282B"/>
    <w:rsid w:val="00FC2EFF"/>
    <w:rsid w:val="00FD6B86"/>
    <w:rsid w:val="00FE0011"/>
    <w:rsid w:val="00FE11B1"/>
    <w:rsid w:val="00FE7788"/>
    <w:rsid w:val="00FF6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B3FC"/>
  <w15:chartTrackingRefBased/>
  <w15:docId w15:val="{980EA8F9-F90B-411D-B632-61B0ACED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C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C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C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C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C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C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C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C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C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C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C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C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C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C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C75"/>
    <w:rPr>
      <w:rFonts w:eastAsiaTheme="majorEastAsia" w:cstheme="majorBidi"/>
      <w:color w:val="272727" w:themeColor="text1" w:themeTint="D8"/>
    </w:rPr>
  </w:style>
  <w:style w:type="paragraph" w:styleId="Title">
    <w:name w:val="Title"/>
    <w:basedOn w:val="Normal"/>
    <w:next w:val="Normal"/>
    <w:link w:val="TitleChar"/>
    <w:uiPriority w:val="10"/>
    <w:qFormat/>
    <w:rsid w:val="00635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C75"/>
    <w:pPr>
      <w:spacing w:before="160"/>
      <w:jc w:val="center"/>
    </w:pPr>
    <w:rPr>
      <w:i/>
      <w:iCs/>
      <w:color w:val="404040" w:themeColor="text1" w:themeTint="BF"/>
    </w:rPr>
  </w:style>
  <w:style w:type="character" w:customStyle="1" w:styleId="QuoteChar">
    <w:name w:val="Quote Char"/>
    <w:basedOn w:val="DefaultParagraphFont"/>
    <w:link w:val="Quote"/>
    <w:uiPriority w:val="29"/>
    <w:rsid w:val="00635C75"/>
    <w:rPr>
      <w:i/>
      <w:iCs/>
      <w:color w:val="404040" w:themeColor="text1" w:themeTint="BF"/>
    </w:rPr>
  </w:style>
  <w:style w:type="paragraph" w:styleId="ListParagraph">
    <w:name w:val="List Paragraph"/>
    <w:basedOn w:val="Normal"/>
    <w:uiPriority w:val="34"/>
    <w:qFormat/>
    <w:rsid w:val="00635C75"/>
    <w:pPr>
      <w:ind w:left="720"/>
      <w:contextualSpacing/>
    </w:pPr>
  </w:style>
  <w:style w:type="character" w:styleId="IntenseEmphasis">
    <w:name w:val="Intense Emphasis"/>
    <w:basedOn w:val="DefaultParagraphFont"/>
    <w:uiPriority w:val="21"/>
    <w:qFormat/>
    <w:rsid w:val="00635C75"/>
    <w:rPr>
      <w:i/>
      <w:iCs/>
      <w:color w:val="0F4761" w:themeColor="accent1" w:themeShade="BF"/>
    </w:rPr>
  </w:style>
  <w:style w:type="paragraph" w:styleId="IntenseQuote">
    <w:name w:val="Intense Quote"/>
    <w:basedOn w:val="Normal"/>
    <w:next w:val="Normal"/>
    <w:link w:val="IntenseQuoteChar"/>
    <w:uiPriority w:val="30"/>
    <w:qFormat/>
    <w:rsid w:val="00635C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C75"/>
    <w:rPr>
      <w:i/>
      <w:iCs/>
      <w:color w:val="0F4761" w:themeColor="accent1" w:themeShade="BF"/>
    </w:rPr>
  </w:style>
  <w:style w:type="character" w:styleId="IntenseReference">
    <w:name w:val="Intense Reference"/>
    <w:basedOn w:val="DefaultParagraphFont"/>
    <w:uiPriority w:val="32"/>
    <w:qFormat/>
    <w:rsid w:val="00635C75"/>
    <w:rPr>
      <w:b/>
      <w:bCs/>
      <w:smallCaps/>
      <w:color w:val="0F4761" w:themeColor="accent1" w:themeShade="BF"/>
      <w:spacing w:val="5"/>
    </w:rPr>
  </w:style>
  <w:style w:type="paragraph" w:styleId="CommentText">
    <w:name w:val="annotation text"/>
    <w:basedOn w:val="Normal"/>
    <w:link w:val="CommentTextChar"/>
    <w:uiPriority w:val="99"/>
    <w:unhideWhenUsed/>
    <w:rsid w:val="00390E71"/>
    <w:pPr>
      <w:spacing w:line="240" w:lineRule="auto"/>
    </w:pPr>
    <w:rPr>
      <w:kern w:val="0"/>
      <w:sz w:val="20"/>
      <w:szCs w:val="20"/>
      <w:lang w:val="pt-PT"/>
      <w14:ligatures w14:val="none"/>
    </w:rPr>
  </w:style>
  <w:style w:type="character" w:customStyle="1" w:styleId="CommentTextChar">
    <w:name w:val="Comment Text Char"/>
    <w:basedOn w:val="DefaultParagraphFont"/>
    <w:link w:val="CommentText"/>
    <w:uiPriority w:val="99"/>
    <w:rsid w:val="00390E71"/>
    <w:rPr>
      <w:kern w:val="0"/>
      <w:sz w:val="20"/>
      <w:szCs w:val="20"/>
      <w:lang w:val="pt-PT"/>
      <w14:ligatures w14:val="none"/>
    </w:rPr>
  </w:style>
  <w:style w:type="table" w:styleId="TableGrid">
    <w:name w:val="Table Grid"/>
    <w:basedOn w:val="TableNormal"/>
    <w:uiPriority w:val="39"/>
    <w:rsid w:val="00390E71"/>
    <w:pPr>
      <w:spacing w:after="0" w:line="240" w:lineRule="auto"/>
    </w:pPr>
    <w:rPr>
      <w:kern w:val="0"/>
      <w:lang w:val="pt-P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B25"/>
  </w:style>
  <w:style w:type="paragraph" w:styleId="Footer">
    <w:name w:val="footer"/>
    <w:basedOn w:val="Normal"/>
    <w:link w:val="FooterChar"/>
    <w:uiPriority w:val="99"/>
    <w:unhideWhenUsed/>
    <w:rsid w:val="00866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'[IMNP 2022 Resultados.xlsx]Regime de abertura'!$A$6</c:f>
              <c:strCache>
                <c:ptCount val="1"/>
                <c:pt idx="0">
                  <c:v>Permanente</c:v>
                </c:pt>
              </c:strCache>
            </c:strRef>
          </c:tx>
          <c:spPr>
            <a:ln w="28575" cap="rnd">
              <a:solidFill>
                <a:srgbClr val="0070C0"/>
              </a:solidFill>
              <a:round/>
            </a:ln>
            <a:effectLst/>
          </c:spPr>
          <c:marker>
            <c:symbol val="none"/>
          </c:marker>
          <c:cat>
            <c:numRef>
              <c:f>'[IMNP 2022 Resultados.xlsx]Regime de abertura'!$C$45:$G$45</c:f>
              <c:numCache>
                <c:formatCode>General</c:formatCode>
                <c:ptCount val="5"/>
                <c:pt idx="0">
                  <c:v>2018</c:v>
                </c:pt>
                <c:pt idx="1">
                  <c:v>2019</c:v>
                </c:pt>
                <c:pt idx="2">
                  <c:v>2020</c:v>
                </c:pt>
                <c:pt idx="3">
                  <c:v>2021</c:v>
                </c:pt>
                <c:pt idx="4">
                  <c:v>2022</c:v>
                </c:pt>
              </c:numCache>
            </c:numRef>
          </c:cat>
          <c:val>
            <c:numRef>
              <c:f>'[IMNP 2022 Resultados.xlsx]Regime de abertura'!$C$46:$G$46</c:f>
              <c:numCache>
                <c:formatCode>0.0</c:formatCode>
                <c:ptCount val="5"/>
                <c:pt idx="0">
                  <c:v>71.511627906976756</c:v>
                </c:pt>
                <c:pt idx="1">
                  <c:v>72.891566265060234</c:v>
                </c:pt>
                <c:pt idx="2">
                  <c:v>72.159090909090907</c:v>
                </c:pt>
                <c:pt idx="3">
                  <c:v>72.680412371134011</c:v>
                </c:pt>
                <c:pt idx="4">
                  <c:v>70.222222222222214</c:v>
                </c:pt>
              </c:numCache>
            </c:numRef>
          </c:val>
          <c:smooth val="0"/>
          <c:extLst>
            <c:ext xmlns:c16="http://schemas.microsoft.com/office/drawing/2014/chart" uri="{C3380CC4-5D6E-409C-BE32-E72D297353CC}">
              <c16:uniqueId val="{00000000-942D-4387-94CC-9FF7600560D1}"/>
            </c:ext>
          </c:extLst>
        </c:ser>
        <c:ser>
          <c:idx val="1"/>
          <c:order val="1"/>
          <c:tx>
            <c:strRef>
              <c:f>'[IMNP 2022 Resultados.xlsx]Regime de abertura'!$A$7</c:f>
              <c:strCache>
                <c:ptCount val="1"/>
                <c:pt idx="0">
                  <c:v>Sazonal</c:v>
                </c:pt>
              </c:strCache>
            </c:strRef>
          </c:tx>
          <c:spPr>
            <a:ln w="28575" cap="rnd">
              <a:solidFill>
                <a:schemeClr val="accent2"/>
              </a:solidFill>
              <a:round/>
            </a:ln>
            <a:effectLst/>
          </c:spPr>
          <c:marker>
            <c:symbol val="none"/>
          </c:marker>
          <c:cat>
            <c:numRef>
              <c:f>'[IMNP 2022 Resultados.xlsx]Regime de abertura'!$C$45:$G$45</c:f>
              <c:numCache>
                <c:formatCode>General</c:formatCode>
                <c:ptCount val="5"/>
                <c:pt idx="0">
                  <c:v>2018</c:v>
                </c:pt>
                <c:pt idx="1">
                  <c:v>2019</c:v>
                </c:pt>
                <c:pt idx="2">
                  <c:v>2020</c:v>
                </c:pt>
                <c:pt idx="3">
                  <c:v>2021</c:v>
                </c:pt>
                <c:pt idx="4">
                  <c:v>2022</c:v>
                </c:pt>
              </c:numCache>
            </c:numRef>
          </c:cat>
          <c:val>
            <c:numRef>
              <c:f>'[IMNP 2022 Resultados.xlsx]Regime de abertura'!$C$47:$G$47</c:f>
              <c:numCache>
                <c:formatCode>0.0</c:formatCode>
                <c:ptCount val="5"/>
                <c:pt idx="0">
                  <c:v>0.58139534883720934</c:v>
                </c:pt>
                <c:pt idx="1">
                  <c:v>1.2048192771084338</c:v>
                </c:pt>
                <c:pt idx="2">
                  <c:v>2.2727272727272729</c:v>
                </c:pt>
                <c:pt idx="3">
                  <c:v>3.0927835051546393</c:v>
                </c:pt>
                <c:pt idx="4">
                  <c:v>3.5555555555555554</c:v>
                </c:pt>
              </c:numCache>
            </c:numRef>
          </c:val>
          <c:smooth val="0"/>
          <c:extLst>
            <c:ext xmlns:c16="http://schemas.microsoft.com/office/drawing/2014/chart" uri="{C3380CC4-5D6E-409C-BE32-E72D297353CC}">
              <c16:uniqueId val="{00000001-942D-4387-94CC-9FF7600560D1}"/>
            </c:ext>
          </c:extLst>
        </c:ser>
        <c:ser>
          <c:idx val="2"/>
          <c:order val="2"/>
          <c:tx>
            <c:strRef>
              <c:f>'[IMNP 2022 Resultados.xlsx]Regime de abertura'!$A$8</c:f>
              <c:strCache>
                <c:ptCount val="1"/>
                <c:pt idx="0">
                  <c:v>Esporádico</c:v>
                </c:pt>
              </c:strCache>
            </c:strRef>
          </c:tx>
          <c:spPr>
            <a:ln w="28575" cap="rnd">
              <a:solidFill>
                <a:schemeClr val="accent3"/>
              </a:solidFill>
              <a:round/>
            </a:ln>
            <a:effectLst/>
          </c:spPr>
          <c:marker>
            <c:symbol val="none"/>
          </c:marker>
          <c:cat>
            <c:numRef>
              <c:f>'[IMNP 2022 Resultados.xlsx]Regime de abertura'!$C$45:$G$45</c:f>
              <c:numCache>
                <c:formatCode>General</c:formatCode>
                <c:ptCount val="5"/>
                <c:pt idx="0">
                  <c:v>2018</c:v>
                </c:pt>
                <c:pt idx="1">
                  <c:v>2019</c:v>
                </c:pt>
                <c:pt idx="2">
                  <c:v>2020</c:v>
                </c:pt>
                <c:pt idx="3">
                  <c:v>2021</c:v>
                </c:pt>
                <c:pt idx="4">
                  <c:v>2022</c:v>
                </c:pt>
              </c:numCache>
            </c:numRef>
          </c:cat>
          <c:val>
            <c:numRef>
              <c:f>'[IMNP 2022 Resultados.xlsx]Regime de abertura'!$C$48:$G$48</c:f>
              <c:numCache>
                <c:formatCode>0.0</c:formatCode>
                <c:ptCount val="5"/>
                <c:pt idx="0">
                  <c:v>18.023255813953487</c:v>
                </c:pt>
                <c:pt idx="1">
                  <c:v>18.674698795180721</c:v>
                </c:pt>
                <c:pt idx="2">
                  <c:v>17.045454545454543</c:v>
                </c:pt>
                <c:pt idx="3">
                  <c:v>18.556701030927837</c:v>
                </c:pt>
                <c:pt idx="4">
                  <c:v>19.111111111111111</c:v>
                </c:pt>
              </c:numCache>
            </c:numRef>
          </c:val>
          <c:smooth val="0"/>
          <c:extLst>
            <c:ext xmlns:c16="http://schemas.microsoft.com/office/drawing/2014/chart" uri="{C3380CC4-5D6E-409C-BE32-E72D297353CC}">
              <c16:uniqueId val="{00000002-942D-4387-94CC-9FF7600560D1}"/>
            </c:ext>
          </c:extLst>
        </c:ser>
        <c:ser>
          <c:idx val="3"/>
          <c:order val="3"/>
          <c:tx>
            <c:strRef>
              <c:f>'[IMNP 2022 Resultados.xlsx]Regime de abertura'!$A$9</c:f>
              <c:strCache>
                <c:ptCount val="1"/>
                <c:pt idx="0">
                  <c:v>Acesso livre</c:v>
                </c:pt>
              </c:strCache>
            </c:strRef>
          </c:tx>
          <c:spPr>
            <a:ln w="28575" cap="rnd">
              <a:solidFill>
                <a:schemeClr val="accent1">
                  <a:lumMod val="60000"/>
                  <a:lumOff val="40000"/>
                </a:schemeClr>
              </a:solidFill>
              <a:round/>
            </a:ln>
            <a:effectLst/>
          </c:spPr>
          <c:marker>
            <c:symbol val="none"/>
          </c:marker>
          <c:cat>
            <c:numRef>
              <c:f>'[IMNP 2022 Resultados.xlsx]Regime de abertura'!$C$45:$G$45</c:f>
              <c:numCache>
                <c:formatCode>General</c:formatCode>
                <c:ptCount val="5"/>
                <c:pt idx="0">
                  <c:v>2018</c:v>
                </c:pt>
                <c:pt idx="1">
                  <c:v>2019</c:v>
                </c:pt>
                <c:pt idx="2">
                  <c:v>2020</c:v>
                </c:pt>
                <c:pt idx="3">
                  <c:v>2021</c:v>
                </c:pt>
                <c:pt idx="4">
                  <c:v>2022</c:v>
                </c:pt>
              </c:numCache>
            </c:numRef>
          </c:cat>
          <c:val>
            <c:numRef>
              <c:f>'[IMNP 2022 Resultados.xlsx]Regime de abertura'!$C$49:$G$49</c:f>
              <c:numCache>
                <c:formatCode>0.0</c:formatCode>
                <c:ptCount val="5"/>
                <c:pt idx="0">
                  <c:v>9.8837209302325579</c:v>
                </c:pt>
                <c:pt idx="1">
                  <c:v>7.2289156626506017</c:v>
                </c:pt>
                <c:pt idx="2">
                  <c:v>8.5227272727272716</c:v>
                </c:pt>
                <c:pt idx="3">
                  <c:v>5.6701030927835054</c:v>
                </c:pt>
                <c:pt idx="4">
                  <c:v>7.1111111111111107</c:v>
                </c:pt>
              </c:numCache>
            </c:numRef>
          </c:val>
          <c:smooth val="0"/>
          <c:extLst>
            <c:ext xmlns:c16="http://schemas.microsoft.com/office/drawing/2014/chart" uri="{C3380CC4-5D6E-409C-BE32-E72D297353CC}">
              <c16:uniqueId val="{00000003-942D-4387-94CC-9FF7600560D1}"/>
            </c:ext>
          </c:extLst>
        </c:ser>
        <c:dLbls>
          <c:showLegendKey val="0"/>
          <c:showVal val="0"/>
          <c:showCatName val="0"/>
          <c:showSerName val="0"/>
          <c:showPercent val="0"/>
          <c:showBubbleSize val="0"/>
        </c:dLbls>
        <c:smooth val="0"/>
        <c:axId val="87048704"/>
        <c:axId val="492812656"/>
      </c:lineChart>
      <c:catAx>
        <c:axId val="87048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2812656"/>
        <c:crosses val="autoZero"/>
        <c:auto val="1"/>
        <c:lblAlgn val="ctr"/>
        <c:lblOffset val="100"/>
        <c:noMultiLvlLbl val="0"/>
      </c:catAx>
      <c:valAx>
        <c:axId val="492812656"/>
        <c:scaling>
          <c:orientation val="minMax"/>
        </c:scaling>
        <c:delete val="0"/>
        <c:axPos val="l"/>
        <c:numFmt formatCode="0" sourceLinked="0"/>
        <c:majorTickMark val="none"/>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048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Raleway" panose="020B0503030101060003"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92997998195186"/>
          <c:y val="7.5896226415094345E-2"/>
          <c:w val="0.83586082297253961"/>
          <c:h val="0.74431748142300158"/>
        </c:manualLayout>
      </c:layout>
      <c:lineChart>
        <c:grouping val="standard"/>
        <c:varyColors val="0"/>
        <c:ser>
          <c:idx val="0"/>
          <c:order val="0"/>
          <c:tx>
            <c:strRef>
              <c:f>Visitantes!$A$110</c:f>
              <c:strCache>
                <c:ptCount val="1"/>
              </c:strCache>
            </c:strRef>
          </c:tx>
          <c:spPr>
            <a:ln w="28575" cap="rnd">
              <a:solidFill>
                <a:schemeClr val="bg2">
                  <a:lumMod val="90000"/>
                </a:schemeClr>
              </a:solidFill>
              <a:round/>
            </a:ln>
            <a:effectLst/>
          </c:spPr>
          <c:marker>
            <c:symbol val="none"/>
          </c:marker>
          <c:dLbls>
            <c:delete val="1"/>
          </c:dLbls>
          <c:cat>
            <c:numRef>
              <c:f>Visitantes!$B$81:$G$81</c:f>
              <c:numCache>
                <c:formatCode>General</c:formatCode>
                <c:ptCount val="6"/>
                <c:pt idx="0">
                  <c:v>2017</c:v>
                </c:pt>
                <c:pt idx="1">
                  <c:v>2018</c:v>
                </c:pt>
                <c:pt idx="2">
                  <c:v>2019</c:v>
                </c:pt>
                <c:pt idx="3">
                  <c:v>2020</c:v>
                </c:pt>
                <c:pt idx="4">
                  <c:v>2021</c:v>
                </c:pt>
                <c:pt idx="5">
                  <c:v>2022</c:v>
                </c:pt>
              </c:numCache>
            </c:numRef>
          </c:cat>
          <c:val>
            <c:numRef>
              <c:f>Visitantes!$B$110:$G$110</c:f>
              <c:numCache>
                <c:formatCode>General</c:formatCode>
                <c:ptCount val="6"/>
                <c:pt idx="0">
                  <c:v>2017</c:v>
                </c:pt>
                <c:pt idx="1">
                  <c:v>2018</c:v>
                </c:pt>
                <c:pt idx="2">
                  <c:v>2019</c:v>
                </c:pt>
                <c:pt idx="3">
                  <c:v>2020</c:v>
                </c:pt>
                <c:pt idx="4">
                  <c:v>2021</c:v>
                </c:pt>
                <c:pt idx="5">
                  <c:v>2022</c:v>
                </c:pt>
              </c:numCache>
            </c:numRef>
          </c:val>
          <c:smooth val="0"/>
          <c:extLst>
            <c:ext xmlns:c16="http://schemas.microsoft.com/office/drawing/2014/chart" uri="{C3380CC4-5D6E-409C-BE32-E72D297353CC}">
              <c16:uniqueId val="{00000000-F3B3-4D77-8FD9-E9F113CB89C4}"/>
            </c:ext>
          </c:extLst>
        </c:ser>
        <c:ser>
          <c:idx val="1"/>
          <c:order val="1"/>
          <c:tx>
            <c:strRef>
              <c:f>Visitantes!$A$111</c:f>
              <c:strCache>
                <c:ptCount val="1"/>
                <c:pt idx="0">
                  <c:v>Total visitors</c:v>
                </c:pt>
              </c:strCache>
            </c:strRef>
          </c:tx>
          <c:spPr>
            <a:ln w="28575" cap="rnd">
              <a:solidFill>
                <a:schemeClr val="accent1">
                  <a:lumMod val="75000"/>
                </a:schemeClr>
              </a:solidFill>
              <a:round/>
            </a:ln>
            <a:effectLst/>
          </c:spPr>
          <c:marker>
            <c:symbol val="none"/>
          </c:marker>
          <c:dLbls>
            <c:dLbl>
              <c:idx val="3"/>
              <c:layout>
                <c:manualLayout>
                  <c:x val="-3.0246573569675132E-2"/>
                  <c:y val="-6.53373866241403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3B3-4D77-8FD9-E9F113CB89C4}"/>
                </c:ext>
              </c:extLst>
            </c:dLbl>
            <c:dLbl>
              <c:idx val="4"/>
              <c:layout>
                <c:manualLayout>
                  <c:x val="-7.2152028762198256E-2"/>
                  <c:y val="-5.68985680587394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3B3-4D77-8FD9-E9F113CB89C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Visitantes!$B$81:$G$81</c:f>
              <c:numCache>
                <c:formatCode>General</c:formatCode>
                <c:ptCount val="6"/>
                <c:pt idx="0">
                  <c:v>2017</c:v>
                </c:pt>
                <c:pt idx="1">
                  <c:v>2018</c:v>
                </c:pt>
                <c:pt idx="2">
                  <c:v>2019</c:v>
                </c:pt>
                <c:pt idx="3">
                  <c:v>2020</c:v>
                </c:pt>
                <c:pt idx="4">
                  <c:v>2021</c:v>
                </c:pt>
                <c:pt idx="5">
                  <c:v>2022</c:v>
                </c:pt>
              </c:numCache>
            </c:numRef>
          </c:cat>
          <c:val>
            <c:numRef>
              <c:f>Visitantes!$B$111:$G$111</c:f>
              <c:numCache>
                <c:formatCode>#,##0</c:formatCode>
                <c:ptCount val="6"/>
                <c:pt idx="0">
                  <c:v>11183801</c:v>
                </c:pt>
                <c:pt idx="1">
                  <c:v>11964728</c:v>
                </c:pt>
                <c:pt idx="2">
                  <c:v>12674362</c:v>
                </c:pt>
                <c:pt idx="3">
                  <c:v>4587114</c:v>
                </c:pt>
                <c:pt idx="4">
                  <c:v>6008526</c:v>
                </c:pt>
                <c:pt idx="5">
                  <c:v>13000125</c:v>
                </c:pt>
              </c:numCache>
            </c:numRef>
          </c:val>
          <c:smooth val="0"/>
          <c:extLst>
            <c:ext xmlns:c16="http://schemas.microsoft.com/office/drawing/2014/chart" uri="{C3380CC4-5D6E-409C-BE32-E72D297353CC}">
              <c16:uniqueId val="{00000003-F3B3-4D77-8FD9-E9F113CB89C4}"/>
            </c:ext>
          </c:extLst>
        </c:ser>
        <c:ser>
          <c:idx val="2"/>
          <c:order val="2"/>
          <c:tx>
            <c:strRef>
              <c:f>Visitantes!$A$112</c:f>
              <c:strCache>
                <c:ptCount val="1"/>
                <c:pt idx="0">
                  <c:v>Foreigners</c:v>
                </c:pt>
              </c:strCache>
            </c:strRef>
          </c:tx>
          <c:spPr>
            <a:ln w="28575" cap="rnd">
              <a:solidFill>
                <a:schemeClr val="accent3"/>
              </a:solidFill>
              <a:round/>
            </a:ln>
            <a:effectLst/>
          </c:spPr>
          <c:marker>
            <c:symbol val="none"/>
          </c:marker>
          <c:dLbls>
            <c:dLbl>
              <c:idx val="3"/>
              <c:layout>
                <c:manualLayout>
                  <c:x val="-2.7565444920309535E-2"/>
                  <c:y val="-6.44832054221070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3B3-4D77-8FD9-E9F113CB89C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Visitantes!$B$81:$G$81</c:f>
              <c:numCache>
                <c:formatCode>General</c:formatCode>
                <c:ptCount val="6"/>
                <c:pt idx="0">
                  <c:v>2017</c:v>
                </c:pt>
                <c:pt idx="1">
                  <c:v>2018</c:v>
                </c:pt>
                <c:pt idx="2">
                  <c:v>2019</c:v>
                </c:pt>
                <c:pt idx="3">
                  <c:v>2020</c:v>
                </c:pt>
                <c:pt idx="4">
                  <c:v>2021</c:v>
                </c:pt>
                <c:pt idx="5">
                  <c:v>2022</c:v>
                </c:pt>
              </c:numCache>
            </c:numRef>
          </c:cat>
          <c:val>
            <c:numRef>
              <c:f>Visitantes!$B$112:$G$112</c:f>
              <c:numCache>
                <c:formatCode>#,##0</c:formatCode>
                <c:ptCount val="6"/>
                <c:pt idx="0">
                  <c:v>7801728</c:v>
                </c:pt>
                <c:pt idx="1">
                  <c:v>8164538</c:v>
                </c:pt>
                <c:pt idx="2">
                  <c:v>8944382</c:v>
                </c:pt>
                <c:pt idx="3">
                  <c:v>1589521</c:v>
                </c:pt>
                <c:pt idx="4">
                  <c:v>2706442.0433</c:v>
                </c:pt>
                <c:pt idx="5">
                  <c:v>6836613</c:v>
                </c:pt>
              </c:numCache>
            </c:numRef>
          </c:val>
          <c:smooth val="0"/>
          <c:extLst>
            <c:ext xmlns:c16="http://schemas.microsoft.com/office/drawing/2014/chart" uri="{C3380CC4-5D6E-409C-BE32-E72D297353CC}">
              <c16:uniqueId val="{00000005-F3B3-4D77-8FD9-E9F113CB89C4}"/>
            </c:ext>
          </c:extLst>
        </c:ser>
        <c:dLbls>
          <c:dLblPos val="t"/>
          <c:showLegendKey val="0"/>
          <c:showVal val="1"/>
          <c:showCatName val="0"/>
          <c:showSerName val="0"/>
          <c:showPercent val="0"/>
          <c:showBubbleSize val="0"/>
        </c:dLbls>
        <c:smooth val="0"/>
        <c:axId val="625155400"/>
        <c:axId val="625151792"/>
      </c:lineChart>
      <c:catAx>
        <c:axId val="625155400"/>
        <c:scaling>
          <c:orientation val="minMax"/>
        </c:scaling>
        <c:delete val="0"/>
        <c:axPos val="b"/>
        <c:numFmt formatCode="General" sourceLinked="1"/>
        <c:majorTickMark val="none"/>
        <c:minorTickMark val="none"/>
        <c:tickLblPos val="nextTo"/>
        <c:spPr>
          <a:solidFill>
            <a:srgbClr val="FFFFFF"/>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5151792"/>
        <c:crosses val="autoZero"/>
        <c:auto val="1"/>
        <c:lblAlgn val="ctr"/>
        <c:lblOffset val="100"/>
        <c:noMultiLvlLbl val="0"/>
      </c:catAx>
      <c:valAx>
        <c:axId val="625151792"/>
        <c:scaling>
          <c:orientation val="minMax"/>
          <c:min val="0"/>
        </c:scaling>
        <c:delete val="0"/>
        <c:axPos val="l"/>
        <c:numFmt formatCode="#,##0" sourceLinked="0"/>
        <c:majorTickMark val="none"/>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5155400"/>
        <c:crosses val="autoZero"/>
        <c:crossBetween val="between"/>
        <c:dispUnits>
          <c:builtInUnit val="thousands"/>
          <c:dispUnitsLbl>
            <c:layout>
              <c:manualLayout>
                <c:xMode val="edge"/>
                <c:yMode val="edge"/>
                <c:x val="5.2681690650737628E-3"/>
                <c:y val="0.3447641509433963"/>
              </c:manualLayout>
            </c:layout>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PT">
                      <a:latin typeface="Times New Roman" panose="02020603050405020304" pitchFamily="18" charset="0"/>
                      <a:cs typeface="Times New Roman" panose="02020603050405020304" pitchFamily="18" charset="0"/>
                    </a:rPr>
                    <a:t>Thousands</a:t>
                  </a:r>
                </a:p>
              </c:rich>
            </c:tx>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ispUnitsLbl>
        </c:dispUnits>
      </c:valAx>
      <c:spPr>
        <a:noFill/>
        <a:ln>
          <a:noFill/>
        </a:ln>
        <a:effectLst/>
      </c:spPr>
    </c:plotArea>
    <c:legend>
      <c:legendPos val="b"/>
      <c:legendEntry>
        <c:idx val="0"/>
        <c:delete val="1"/>
      </c:legendEntry>
      <c:layout>
        <c:manualLayout>
          <c:xMode val="edge"/>
          <c:yMode val="edge"/>
          <c:x val="0.13971382025522672"/>
          <c:y val="0.92585648100056095"/>
          <c:w val="0.66786424110779252"/>
          <c:h val="7.414351899943905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Raleway" panose="020B0503030101060003"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87041354467564"/>
          <c:y val="6.757583454560849E-2"/>
          <c:w val="0.87871493716916671"/>
          <c:h val="0.78039362381755062"/>
        </c:manualLayout>
      </c:layout>
      <c:lineChart>
        <c:grouping val="standard"/>
        <c:varyColors val="0"/>
        <c:ser>
          <c:idx val="0"/>
          <c:order val="0"/>
          <c:tx>
            <c:strRef>
              <c:f>Recursos_humanos!$A$5</c:f>
              <c:strCache>
                <c:ptCount val="1"/>
                <c:pt idx="0">
                  <c:v>Staff</c:v>
                </c:pt>
              </c:strCache>
            </c:strRef>
          </c:tx>
          <c:spPr>
            <a:ln w="28575" cap="rnd">
              <a:solidFill>
                <a:schemeClr val="accent1">
                  <a:lumMod val="75000"/>
                </a:schemeClr>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Recursos_humanos!$B$4:$F$4</c:f>
              <c:numCache>
                <c:formatCode>General</c:formatCode>
                <c:ptCount val="5"/>
                <c:pt idx="0">
                  <c:v>2018</c:v>
                </c:pt>
                <c:pt idx="1">
                  <c:v>2019</c:v>
                </c:pt>
                <c:pt idx="2">
                  <c:v>2020</c:v>
                </c:pt>
                <c:pt idx="3">
                  <c:v>2021</c:v>
                </c:pt>
                <c:pt idx="4">
                  <c:v>2022</c:v>
                </c:pt>
              </c:numCache>
            </c:numRef>
          </c:cat>
          <c:val>
            <c:numRef>
              <c:f>Recursos_humanos!$B$5:$F$5</c:f>
              <c:numCache>
                <c:formatCode>#,##0</c:formatCode>
                <c:ptCount val="5"/>
                <c:pt idx="0">
                  <c:v>1377</c:v>
                </c:pt>
                <c:pt idx="1">
                  <c:v>1551</c:v>
                </c:pt>
                <c:pt idx="2">
                  <c:v>1513</c:v>
                </c:pt>
                <c:pt idx="3">
                  <c:v>1272</c:v>
                </c:pt>
                <c:pt idx="4">
                  <c:v>1539</c:v>
                </c:pt>
              </c:numCache>
            </c:numRef>
          </c:val>
          <c:smooth val="0"/>
          <c:extLst>
            <c:ext xmlns:c16="http://schemas.microsoft.com/office/drawing/2014/chart" uri="{C3380CC4-5D6E-409C-BE32-E72D297353CC}">
              <c16:uniqueId val="{00000000-F1E3-484D-8EE5-001764544ECD}"/>
            </c:ext>
          </c:extLst>
        </c:ser>
        <c:ser>
          <c:idx val="1"/>
          <c:order val="1"/>
          <c:tx>
            <c:strRef>
              <c:f>Recursos_humanos!$A$6</c:f>
              <c:strCache>
                <c:ptCount val="1"/>
                <c:pt idx="0">
                  <c:v>Employees</c:v>
                </c:pt>
              </c:strCache>
            </c:strRef>
          </c:tx>
          <c:spPr>
            <a:ln w="28575" cap="rnd">
              <a:solidFill>
                <a:schemeClr val="bg2">
                  <a:lumMod val="90000"/>
                </a:schemeClr>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Recursos_humanos!$B$4:$F$4</c:f>
              <c:numCache>
                <c:formatCode>General</c:formatCode>
                <c:ptCount val="5"/>
                <c:pt idx="0">
                  <c:v>2018</c:v>
                </c:pt>
                <c:pt idx="1">
                  <c:v>2019</c:v>
                </c:pt>
                <c:pt idx="2">
                  <c:v>2020</c:v>
                </c:pt>
                <c:pt idx="3">
                  <c:v>2021</c:v>
                </c:pt>
                <c:pt idx="4">
                  <c:v>2022</c:v>
                </c:pt>
              </c:numCache>
            </c:numRef>
          </c:cat>
          <c:val>
            <c:numRef>
              <c:f>Recursos_humanos!$B$6:$F$6</c:f>
              <c:numCache>
                <c:formatCode>General</c:formatCode>
                <c:ptCount val="5"/>
                <c:pt idx="0">
                  <c:v>849</c:v>
                </c:pt>
                <c:pt idx="1">
                  <c:v>807</c:v>
                </c:pt>
                <c:pt idx="2" formatCode="#,##0">
                  <c:v>1014</c:v>
                </c:pt>
                <c:pt idx="3" formatCode="#,##0">
                  <c:v>811</c:v>
                </c:pt>
                <c:pt idx="4" formatCode="#,##0">
                  <c:v>935</c:v>
                </c:pt>
              </c:numCache>
            </c:numRef>
          </c:val>
          <c:smooth val="0"/>
          <c:extLst>
            <c:ext xmlns:c16="http://schemas.microsoft.com/office/drawing/2014/chart" uri="{C3380CC4-5D6E-409C-BE32-E72D297353CC}">
              <c16:uniqueId val="{00000001-F1E3-484D-8EE5-001764544ECD}"/>
            </c:ext>
          </c:extLst>
        </c:ser>
        <c:dLbls>
          <c:dLblPos val="t"/>
          <c:showLegendKey val="0"/>
          <c:showVal val="1"/>
          <c:showCatName val="0"/>
          <c:showSerName val="0"/>
          <c:showPercent val="0"/>
          <c:showBubbleSize val="0"/>
        </c:dLbls>
        <c:smooth val="0"/>
        <c:axId val="827320432"/>
        <c:axId val="827321512"/>
      </c:lineChart>
      <c:catAx>
        <c:axId val="827320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27321512"/>
        <c:crosses val="autoZero"/>
        <c:auto val="1"/>
        <c:lblAlgn val="ctr"/>
        <c:lblOffset val="100"/>
        <c:noMultiLvlLbl val="0"/>
      </c:catAx>
      <c:valAx>
        <c:axId val="827321512"/>
        <c:scaling>
          <c:orientation val="minMax"/>
          <c:max val="2000"/>
        </c:scaling>
        <c:delete val="0"/>
        <c:axPos val="l"/>
        <c:numFmt formatCode="#,##0"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27320432"/>
        <c:crosses val="autoZero"/>
        <c:crossBetween val="between"/>
        <c:majorUnit val="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Raleway" panose="020B0503030101060003"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14</Pages>
  <Words>6306</Words>
  <Characters>35945</Characters>
  <Application>Microsoft Office Word</Application>
  <DocSecurity>0</DocSecurity>
  <Lines>299</Lines>
  <Paragraphs>84</Paragraphs>
  <ScaleCrop>false</ScaleCrop>
  <Company/>
  <LinksUpToDate>false</LinksUpToDate>
  <CharactersWithSpaces>42167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Costa Macedo</dc:creator>
  <cp:keywords/>
  <dc:description/>
  <cp:lastModifiedBy>Sofia Costa Macedo</cp:lastModifiedBy>
  <cp:revision>331</cp:revision>
  <dcterms:created xsi:type="dcterms:W3CDTF">2024-05-27T11:33:00Z</dcterms:created>
  <dcterms:modified xsi:type="dcterms:W3CDTF">2024-05-27T19:16:00Z</dcterms:modified>
</cp:coreProperties>
</file>