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0E4F4" w14:textId="157816E2" w:rsidR="00136467" w:rsidRDefault="00136467" w:rsidP="001364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Investigating SEI Formation Processes </w:t>
      </w:r>
      <w:r w:rsidR="00E66FEC">
        <w:rPr>
          <w:rFonts w:ascii="Times New Roman" w:hAnsi="Times New Roman" w:cs="Times New Roman"/>
          <w:b/>
          <w:sz w:val="28"/>
          <w:szCs w:val="28"/>
        </w:rPr>
        <w:t xml:space="preserve">in Anode−Free Batteries using </w:t>
      </w:r>
      <w:r>
        <w:rPr>
          <w:rFonts w:ascii="Times New Roman" w:hAnsi="Times New Roman" w:cs="Times New Roman"/>
          <w:b/>
          <w:sz w:val="28"/>
          <w:szCs w:val="28"/>
        </w:rPr>
        <w:t>EQCM-D</w:t>
      </w:r>
    </w:p>
    <w:p w14:paraId="7C5F8A4A" w14:textId="327F7C78" w:rsidR="00136467" w:rsidRPr="00662436" w:rsidRDefault="00136467" w:rsidP="00136467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62436">
        <w:rPr>
          <w:rFonts w:ascii="Times New Roman" w:hAnsi="Times New Roman" w:cs="Times New Roman"/>
          <w:sz w:val="20"/>
          <w:szCs w:val="20"/>
          <w:u w:val="single"/>
        </w:rPr>
        <w:t>Lauren Cork</w:t>
      </w:r>
      <w:r w:rsidR="00D56694" w:rsidRPr="00D56694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Jan Jamroz</w:t>
      </w:r>
      <w:r w:rsidR="00D56694" w:rsidRPr="00D5669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 Aleksandar Matic</w:t>
      </w:r>
      <w:r w:rsidR="00D56694" w:rsidRPr="00D5669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662436">
        <w:rPr>
          <w:rFonts w:ascii="Times New Roman" w:hAnsi="Times New Roman" w:cs="Times New Roman"/>
          <w:sz w:val="20"/>
          <w:szCs w:val="20"/>
        </w:rPr>
        <w:t>Björn Wickman</w:t>
      </w:r>
      <w:r w:rsidR="00D56694" w:rsidRPr="00D56694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5895F249" w14:textId="726F1B1F" w:rsidR="00136467" w:rsidRDefault="00835B23" w:rsidP="001E15E2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36646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136467" w:rsidRPr="00F23315">
        <w:rPr>
          <w:rFonts w:ascii="Times New Roman" w:hAnsi="Times New Roman" w:cs="Times New Roman"/>
          <w:i/>
          <w:sz w:val="20"/>
          <w:szCs w:val="20"/>
        </w:rPr>
        <w:t xml:space="preserve">Chalmers </w:t>
      </w:r>
      <w:r w:rsidR="00136467">
        <w:rPr>
          <w:rFonts w:ascii="Times New Roman" w:hAnsi="Times New Roman" w:cs="Times New Roman"/>
          <w:i/>
          <w:sz w:val="20"/>
          <w:szCs w:val="20"/>
        </w:rPr>
        <w:t>University of Technology</w:t>
      </w:r>
      <w:r w:rsidR="001E15E2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136467" w:rsidRPr="00F34CEB">
        <w:rPr>
          <w:rFonts w:ascii="Times New Roman" w:hAnsi="Times New Roman" w:cs="Times New Roman"/>
          <w:i/>
          <w:sz w:val="20"/>
          <w:szCs w:val="20"/>
        </w:rPr>
        <w:t>Göteborg, Sweden</w:t>
      </w:r>
    </w:p>
    <w:p w14:paraId="45939FE2" w14:textId="5A66404E" w:rsidR="001E15E2" w:rsidRPr="00F34CEB" w:rsidRDefault="00F95308" w:rsidP="001E15E2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86BC3">
        <w:rPr>
          <w:rFonts w:ascii="Times New Roman" w:hAnsi="Times New Roman" w:cs="Times New Roman"/>
          <w:i/>
          <w:sz w:val="20"/>
          <w:szCs w:val="20"/>
          <w:vertAlign w:val="superscript"/>
        </w:rPr>
        <w:t>2</w:t>
      </w:r>
      <w:r w:rsidR="00CE070A">
        <w:rPr>
          <w:rFonts w:ascii="Times New Roman" w:hAnsi="Times New Roman" w:cs="Times New Roman"/>
          <w:i/>
          <w:sz w:val="20"/>
          <w:szCs w:val="20"/>
        </w:rPr>
        <w:t>Warsaw</w:t>
      </w:r>
      <w:r w:rsidR="00086BC3">
        <w:rPr>
          <w:rFonts w:ascii="Times New Roman" w:hAnsi="Times New Roman" w:cs="Times New Roman"/>
          <w:i/>
          <w:sz w:val="20"/>
          <w:szCs w:val="20"/>
        </w:rPr>
        <w:t xml:space="preserve"> University of Technology, </w:t>
      </w:r>
      <w:r w:rsidR="00CE070A">
        <w:rPr>
          <w:rFonts w:ascii="Times New Roman" w:hAnsi="Times New Roman" w:cs="Times New Roman"/>
          <w:i/>
          <w:sz w:val="20"/>
          <w:szCs w:val="20"/>
        </w:rPr>
        <w:t>Warsaw</w:t>
      </w:r>
      <w:r w:rsidR="00AE51DD">
        <w:rPr>
          <w:rFonts w:ascii="Times New Roman" w:hAnsi="Times New Roman" w:cs="Times New Roman"/>
          <w:i/>
          <w:sz w:val="20"/>
          <w:szCs w:val="20"/>
        </w:rPr>
        <w:t>, Poland</w:t>
      </w:r>
    </w:p>
    <w:p w14:paraId="0B7CAD8B" w14:textId="77777777" w:rsidR="00136467" w:rsidRPr="00F774F5" w:rsidRDefault="00136467" w:rsidP="00136467">
      <w:pPr>
        <w:spacing w:line="240" w:lineRule="auto"/>
        <w:jc w:val="center"/>
      </w:pPr>
      <w:hyperlink r:id="rId4" w:history="1">
        <w:r w:rsidRPr="00F34CEB">
          <w:rPr>
            <w:rStyle w:val="Hyperlink"/>
            <w:rFonts w:ascii="Times New Roman" w:hAnsi="Times New Roman" w:cs="Times New Roman"/>
            <w:i/>
            <w:sz w:val="20"/>
            <w:szCs w:val="20"/>
          </w:rPr>
          <w:t>cork@chalmers.se</w:t>
        </w:r>
      </w:hyperlink>
    </w:p>
    <w:p w14:paraId="48C580FF" w14:textId="5AB74BF1" w:rsidR="00136467" w:rsidRDefault="00136467" w:rsidP="0013646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3AF423B4">
        <w:rPr>
          <w:rFonts w:ascii="Times New Roman" w:hAnsi="Times New Roman" w:cs="Times New Roman"/>
          <w:sz w:val="20"/>
          <w:szCs w:val="20"/>
        </w:rPr>
        <w:t xml:space="preserve">The high </w:t>
      </w:r>
      <w:r>
        <w:rPr>
          <w:rFonts w:ascii="Times New Roman" w:hAnsi="Times New Roman" w:cs="Times New Roman"/>
          <w:sz w:val="20"/>
          <w:szCs w:val="20"/>
        </w:rPr>
        <w:t xml:space="preserve">theoretical energy density </w:t>
      </w:r>
      <w:r w:rsidRPr="3AF423B4">
        <w:rPr>
          <w:rFonts w:ascii="Times New Roman" w:hAnsi="Times New Roman" w:cs="Times New Roman"/>
          <w:sz w:val="20"/>
          <w:szCs w:val="20"/>
        </w:rPr>
        <w:t xml:space="preserve">of </w:t>
      </w:r>
      <w:r>
        <w:rPr>
          <w:rFonts w:ascii="Times New Roman" w:hAnsi="Times New Roman" w:cs="Times New Roman"/>
          <w:sz w:val="20"/>
          <w:szCs w:val="20"/>
        </w:rPr>
        <w:t xml:space="preserve">anode-free Lithium batteries </w:t>
      </w:r>
      <w:r w:rsidRPr="3AF423B4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400</w:t>
      </w:r>
      <w:r w:rsidRPr="3AF423B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Wh</w:t>
      </w:r>
      <w:r w:rsidRPr="3AF423B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k</w:t>
      </w:r>
      <w:r w:rsidRPr="3AF423B4">
        <w:rPr>
          <w:rFonts w:ascii="Times New Roman" w:hAnsi="Times New Roman" w:cs="Times New Roman"/>
          <w:sz w:val="20"/>
          <w:szCs w:val="20"/>
        </w:rPr>
        <w:t>g</w:t>
      </w:r>
      <w:r w:rsidRPr="3AF423B4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Pr="3AF423B4">
        <w:rPr>
          <w:rFonts w:ascii="Times New Roman" w:hAnsi="Times New Roman" w:cs="Times New Roman"/>
          <w:sz w:val="20"/>
          <w:szCs w:val="20"/>
        </w:rPr>
        <w:t>) makes them highly desirable</w:t>
      </w:r>
      <w:r>
        <w:rPr>
          <w:rFonts w:ascii="Times New Roman" w:hAnsi="Times New Roman" w:cs="Times New Roman"/>
          <w:sz w:val="20"/>
          <w:szCs w:val="20"/>
        </w:rPr>
        <w:t xml:space="preserve"> alternatives to traditional Lithium-ion batteries</w:t>
      </w:r>
      <w:r w:rsidRPr="3AF423B4">
        <w:rPr>
          <w:rFonts w:ascii="Times New Roman" w:hAnsi="Times New Roman" w:cs="Times New Roman"/>
          <w:sz w:val="20"/>
          <w:szCs w:val="20"/>
        </w:rPr>
        <w:t xml:space="preserve">. However, </w:t>
      </w:r>
      <w:r>
        <w:rPr>
          <w:rFonts w:ascii="Times New Roman" w:hAnsi="Times New Roman" w:cs="Times New Roman"/>
          <w:sz w:val="20"/>
          <w:szCs w:val="20"/>
        </w:rPr>
        <w:t xml:space="preserve">the absence of a Lithium reservoir makes them prone to rapidly degrading capacity. This is the consequence of reactions involved in the formation of the solid-electrolyte interphase (SEI) as well as the formation of ‘dead’ Lithium. </w:t>
      </w:r>
      <w:r w:rsidR="00D06377">
        <w:rPr>
          <w:rFonts w:ascii="Times New Roman" w:hAnsi="Times New Roman" w:cs="Times New Roman"/>
          <w:sz w:val="20"/>
          <w:szCs w:val="20"/>
        </w:rPr>
        <w:t>Therefore,</w:t>
      </w:r>
      <w:r w:rsidR="00AB64AE">
        <w:rPr>
          <w:rFonts w:ascii="Times New Roman" w:hAnsi="Times New Roman" w:cs="Times New Roman"/>
          <w:sz w:val="20"/>
          <w:szCs w:val="20"/>
        </w:rPr>
        <w:t xml:space="preserve"> understanding the processes involved in the SEI formation and the </w:t>
      </w:r>
      <w:r w:rsidR="00AF26E0">
        <w:rPr>
          <w:rFonts w:ascii="Times New Roman" w:hAnsi="Times New Roman" w:cs="Times New Roman"/>
          <w:sz w:val="20"/>
          <w:szCs w:val="20"/>
        </w:rPr>
        <w:t xml:space="preserve">impact of </w:t>
      </w:r>
      <w:r w:rsidR="00AB64AE">
        <w:rPr>
          <w:rFonts w:ascii="Times New Roman" w:hAnsi="Times New Roman" w:cs="Times New Roman"/>
          <w:sz w:val="20"/>
          <w:szCs w:val="20"/>
        </w:rPr>
        <w:t>different electrolyte chemistries is key to being able to address these issues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15937">
        <w:rPr>
          <w:rFonts w:ascii="Times New Roman" w:hAnsi="Times New Roman" w:cs="Times New Roman"/>
          <w:sz w:val="20"/>
          <w:szCs w:val="20"/>
          <w:vertAlign w:val="superscript"/>
        </w:rPr>
        <w:t xml:space="preserve">[1]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BF2871C" w14:textId="77777777" w:rsidR="00136467" w:rsidRPr="00A17982" w:rsidRDefault="00136467" w:rsidP="0013646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3AF423B4">
        <w:rPr>
          <w:rFonts w:ascii="Times New Roman" w:hAnsi="Times New Roman" w:cs="Times New Roman"/>
          <w:sz w:val="20"/>
          <w:szCs w:val="20"/>
        </w:rPr>
        <w:t>Electrochemical quartz crystal microbalance</w:t>
      </w:r>
      <w:r>
        <w:rPr>
          <w:rFonts w:ascii="Times New Roman" w:hAnsi="Times New Roman" w:cs="Times New Roman"/>
          <w:sz w:val="20"/>
          <w:szCs w:val="20"/>
        </w:rPr>
        <w:t xml:space="preserve"> with dissipation monitoring</w:t>
      </w:r>
      <w:r w:rsidRPr="3AF423B4">
        <w:rPr>
          <w:rFonts w:ascii="Times New Roman" w:hAnsi="Times New Roman" w:cs="Times New Roman"/>
          <w:sz w:val="20"/>
          <w:szCs w:val="20"/>
        </w:rPr>
        <w:t xml:space="preserve"> (EQCM</w:t>
      </w:r>
      <w:r>
        <w:rPr>
          <w:rFonts w:ascii="Times New Roman" w:hAnsi="Times New Roman" w:cs="Times New Roman"/>
          <w:sz w:val="20"/>
          <w:szCs w:val="20"/>
        </w:rPr>
        <w:t>-D</w:t>
      </w:r>
      <w:r w:rsidRPr="3AF423B4">
        <w:rPr>
          <w:rFonts w:ascii="Times New Roman" w:hAnsi="Times New Roman" w:cs="Times New Roman"/>
          <w:sz w:val="20"/>
          <w:szCs w:val="20"/>
        </w:rPr>
        <w:t xml:space="preserve">) harness the intrinsic piezoelectric property of quartz to provide accurate mass changes on its surface with nano-gram resolution. By utilizing the top electrode as a battery anode, mass changes at the </w:t>
      </w:r>
      <w:r>
        <w:rPr>
          <w:rFonts w:ascii="Times New Roman" w:hAnsi="Times New Roman" w:cs="Times New Roman"/>
          <w:sz w:val="20"/>
          <w:szCs w:val="20"/>
        </w:rPr>
        <w:t xml:space="preserve">surface </w:t>
      </w:r>
      <w:r w:rsidRPr="3AF423B4">
        <w:rPr>
          <w:rFonts w:ascii="Times New Roman" w:hAnsi="Times New Roman" w:cs="Times New Roman"/>
          <w:sz w:val="20"/>
          <w:szCs w:val="20"/>
        </w:rPr>
        <w:t>can be correlated with electrochemical reactions.</w:t>
      </w:r>
      <w:r>
        <w:rPr>
          <w:rFonts w:ascii="Times New Roman" w:hAnsi="Times New Roman" w:cs="Times New Roman"/>
          <w:sz w:val="20"/>
          <w:szCs w:val="20"/>
        </w:rPr>
        <w:t xml:space="preserve"> Simultaneously</w:t>
      </w:r>
      <w:r w:rsidRPr="3AF423B4">
        <w:rPr>
          <w:rFonts w:ascii="Times New Roman" w:hAnsi="Times New Roman" w:cs="Times New Roman"/>
          <w:sz w:val="20"/>
          <w:szCs w:val="20"/>
        </w:rPr>
        <w:t>, the rate of decay of the harmonic oscillations indicates the viscoelastic properties at the electrode-electrolyte interface. EQCM-D is th</w:t>
      </w:r>
      <w:r>
        <w:rPr>
          <w:rFonts w:ascii="Times New Roman" w:hAnsi="Times New Roman" w:cs="Times New Roman"/>
          <w:sz w:val="20"/>
          <w:szCs w:val="20"/>
        </w:rPr>
        <w:t>us</w:t>
      </w:r>
      <w:r w:rsidRPr="3AF423B4">
        <w:rPr>
          <w:rFonts w:ascii="Times New Roman" w:hAnsi="Times New Roman" w:cs="Times New Roman"/>
          <w:sz w:val="20"/>
          <w:szCs w:val="20"/>
        </w:rPr>
        <w:t xml:space="preserve"> a powerful and non-invasive tool for observing the </w:t>
      </w:r>
      <w:r>
        <w:rPr>
          <w:rFonts w:ascii="Times New Roman" w:hAnsi="Times New Roman" w:cs="Times New Roman"/>
          <w:sz w:val="20"/>
          <w:szCs w:val="20"/>
        </w:rPr>
        <w:t xml:space="preserve">growth, thickness and </w:t>
      </w:r>
      <w:r w:rsidRPr="3AF423B4">
        <w:rPr>
          <w:rFonts w:ascii="Times New Roman" w:hAnsi="Times New Roman" w:cs="Times New Roman"/>
          <w:sz w:val="20"/>
          <w:szCs w:val="20"/>
        </w:rPr>
        <w:t>porosity the SEI as well as subsequent plated</w:t>
      </w:r>
      <w:r>
        <w:rPr>
          <w:rFonts w:ascii="Times New Roman" w:hAnsi="Times New Roman" w:cs="Times New Roman"/>
          <w:sz w:val="20"/>
          <w:szCs w:val="20"/>
        </w:rPr>
        <w:t xml:space="preserve"> L</w:t>
      </w:r>
      <w:r w:rsidRPr="3AF423B4">
        <w:rPr>
          <w:rFonts w:ascii="Times New Roman" w:hAnsi="Times New Roman" w:cs="Times New Roman"/>
          <w:sz w:val="20"/>
          <w:szCs w:val="20"/>
        </w:rPr>
        <w:t>ithium.</w:t>
      </w:r>
      <w:r w:rsidRPr="0011044A">
        <w:rPr>
          <w:rFonts w:ascii="Times New Roman" w:hAnsi="Times New Roman" w:cs="Times New Roman"/>
          <w:sz w:val="20"/>
          <w:szCs w:val="20"/>
          <w:vertAlign w:val="superscript"/>
        </w:rPr>
        <w:t>[2-3]</w:t>
      </w:r>
    </w:p>
    <w:p w14:paraId="20989968" w14:textId="7F429B17" w:rsidR="006E26D5" w:rsidRDefault="00136467" w:rsidP="0013646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27487F42">
        <w:rPr>
          <w:rFonts w:ascii="Times New Roman" w:hAnsi="Times New Roman" w:cs="Times New Roman"/>
          <w:sz w:val="20"/>
          <w:szCs w:val="20"/>
        </w:rPr>
        <w:t>In this study</w:t>
      </w:r>
      <w:r w:rsidR="00C8087D">
        <w:rPr>
          <w:rFonts w:ascii="Times New Roman" w:hAnsi="Times New Roman" w:cs="Times New Roman"/>
          <w:sz w:val="20"/>
          <w:szCs w:val="20"/>
        </w:rPr>
        <w:t>,</w:t>
      </w:r>
      <w:r w:rsidRPr="27487F42">
        <w:rPr>
          <w:rFonts w:ascii="Times New Roman" w:hAnsi="Times New Roman" w:cs="Times New Roman"/>
          <w:sz w:val="20"/>
          <w:szCs w:val="20"/>
        </w:rPr>
        <w:t xml:space="preserve"> an EQCM-D sensor </w:t>
      </w:r>
      <w:r>
        <w:rPr>
          <w:rFonts w:ascii="Times New Roman" w:hAnsi="Times New Roman" w:cs="Times New Roman"/>
          <w:sz w:val="20"/>
          <w:szCs w:val="20"/>
        </w:rPr>
        <w:t>was</w:t>
      </w:r>
      <w:r w:rsidRPr="27487F42">
        <w:rPr>
          <w:rFonts w:ascii="Times New Roman" w:hAnsi="Times New Roman" w:cs="Times New Roman"/>
          <w:sz w:val="20"/>
          <w:szCs w:val="20"/>
        </w:rPr>
        <w:t xml:space="preserve"> implemented within a battery half-cell</w:t>
      </w:r>
      <w:r w:rsidR="00E66FEC">
        <w:rPr>
          <w:rFonts w:ascii="Times New Roman" w:hAnsi="Times New Roman" w:cs="Times New Roman"/>
          <w:sz w:val="20"/>
          <w:szCs w:val="20"/>
        </w:rPr>
        <w:t>,</w:t>
      </w:r>
      <w:r w:rsidRPr="27487F42">
        <w:rPr>
          <w:rFonts w:ascii="Times New Roman" w:hAnsi="Times New Roman" w:cs="Times New Roman"/>
          <w:sz w:val="20"/>
          <w:szCs w:val="20"/>
        </w:rPr>
        <w:t xml:space="preserve"> </w:t>
      </w:r>
      <w:r w:rsidR="00E66FEC">
        <w:rPr>
          <w:rFonts w:ascii="Times New Roman" w:hAnsi="Times New Roman" w:cs="Times New Roman"/>
          <w:sz w:val="20"/>
          <w:szCs w:val="20"/>
        </w:rPr>
        <w:t>enabling operando monitoring of</w:t>
      </w:r>
      <w:r w:rsidRPr="27487F42">
        <w:rPr>
          <w:rFonts w:ascii="Times New Roman" w:hAnsi="Times New Roman" w:cs="Times New Roman"/>
          <w:sz w:val="20"/>
          <w:szCs w:val="20"/>
        </w:rPr>
        <w:t xml:space="preserve"> mass and viscoelastic properties </w:t>
      </w:r>
      <w:r w:rsidR="00E66FEC">
        <w:rPr>
          <w:rFonts w:ascii="Times New Roman" w:hAnsi="Times New Roman" w:cs="Times New Roman"/>
          <w:sz w:val="20"/>
          <w:szCs w:val="20"/>
        </w:rPr>
        <w:t>at</w:t>
      </w:r>
      <w:r w:rsidRPr="27487F42">
        <w:rPr>
          <w:rFonts w:ascii="Times New Roman" w:hAnsi="Times New Roman" w:cs="Times New Roman"/>
          <w:sz w:val="20"/>
          <w:szCs w:val="20"/>
        </w:rPr>
        <w:t xml:space="preserve"> the </w:t>
      </w:r>
      <w:r w:rsidR="00805767">
        <w:rPr>
          <w:rFonts w:ascii="Times New Roman" w:hAnsi="Times New Roman" w:cs="Times New Roman"/>
          <w:sz w:val="20"/>
          <w:szCs w:val="20"/>
        </w:rPr>
        <w:t>electrode</w:t>
      </w:r>
      <w:r w:rsidRPr="27487F42">
        <w:rPr>
          <w:rFonts w:ascii="Times New Roman" w:hAnsi="Times New Roman" w:cs="Times New Roman"/>
          <w:sz w:val="20"/>
          <w:szCs w:val="20"/>
        </w:rPr>
        <w:t xml:space="preserve"> surface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E66FEC">
        <w:rPr>
          <w:rFonts w:ascii="Times New Roman" w:hAnsi="Times New Roman" w:cs="Times New Roman"/>
          <w:sz w:val="20"/>
          <w:szCs w:val="20"/>
        </w:rPr>
        <w:t xml:space="preserve">as illustrated in </w:t>
      </w:r>
      <w:r>
        <w:rPr>
          <w:rFonts w:ascii="Times New Roman" w:hAnsi="Times New Roman" w:cs="Times New Roman"/>
          <w:sz w:val="20"/>
          <w:szCs w:val="20"/>
        </w:rPr>
        <w:t>Figure 1</w:t>
      </w:r>
      <w:r w:rsidRPr="27487F42">
        <w:rPr>
          <w:rFonts w:ascii="Times New Roman" w:hAnsi="Times New Roman" w:cs="Times New Roman"/>
          <w:sz w:val="20"/>
          <w:szCs w:val="20"/>
        </w:rPr>
        <w:t>. Th</w:t>
      </w:r>
      <w:r w:rsidR="00AF26E0">
        <w:rPr>
          <w:rFonts w:ascii="Times New Roman" w:hAnsi="Times New Roman" w:cs="Times New Roman"/>
          <w:sz w:val="20"/>
          <w:szCs w:val="20"/>
        </w:rPr>
        <w:t xml:space="preserve">is </w:t>
      </w:r>
      <w:r w:rsidR="007F20E1">
        <w:rPr>
          <w:rFonts w:ascii="Times New Roman" w:hAnsi="Times New Roman" w:cs="Times New Roman"/>
          <w:sz w:val="20"/>
          <w:szCs w:val="20"/>
        </w:rPr>
        <w:t xml:space="preserve">has </w:t>
      </w:r>
      <w:r w:rsidR="00AF26E0">
        <w:rPr>
          <w:rFonts w:ascii="Times New Roman" w:hAnsi="Times New Roman" w:cs="Times New Roman"/>
          <w:sz w:val="20"/>
          <w:szCs w:val="20"/>
        </w:rPr>
        <w:t>allow</w:t>
      </w:r>
      <w:r w:rsidR="007F20E1">
        <w:rPr>
          <w:rFonts w:ascii="Times New Roman" w:hAnsi="Times New Roman" w:cs="Times New Roman"/>
          <w:sz w:val="20"/>
          <w:szCs w:val="20"/>
        </w:rPr>
        <w:t>ed</w:t>
      </w:r>
      <w:r w:rsidR="00AF26E0">
        <w:rPr>
          <w:rFonts w:ascii="Times New Roman" w:hAnsi="Times New Roman" w:cs="Times New Roman"/>
          <w:sz w:val="20"/>
          <w:szCs w:val="20"/>
        </w:rPr>
        <w:t xml:space="preserve"> for </w:t>
      </w:r>
      <w:r>
        <w:rPr>
          <w:rFonts w:ascii="Times New Roman" w:hAnsi="Times New Roman" w:cs="Times New Roman"/>
          <w:sz w:val="20"/>
          <w:szCs w:val="20"/>
        </w:rPr>
        <w:t>t</w:t>
      </w:r>
      <w:r w:rsidR="00AF26E0">
        <w:rPr>
          <w:rFonts w:ascii="Times New Roman" w:hAnsi="Times New Roman" w:cs="Times New Roman"/>
          <w:sz w:val="20"/>
          <w:szCs w:val="20"/>
        </w:rPr>
        <w:t xml:space="preserve">wo key </w:t>
      </w:r>
      <w:r>
        <w:rPr>
          <w:rFonts w:ascii="Times New Roman" w:hAnsi="Times New Roman" w:cs="Times New Roman"/>
          <w:sz w:val="20"/>
          <w:szCs w:val="20"/>
        </w:rPr>
        <w:t xml:space="preserve">stages of </w:t>
      </w:r>
      <w:r w:rsidR="00AB64AE">
        <w:rPr>
          <w:rFonts w:ascii="Times New Roman" w:hAnsi="Times New Roman" w:cs="Times New Roman"/>
          <w:sz w:val="20"/>
          <w:szCs w:val="20"/>
        </w:rPr>
        <w:t xml:space="preserve">SEI formation </w:t>
      </w:r>
      <w:r w:rsidR="007F20E1">
        <w:rPr>
          <w:rFonts w:ascii="Times New Roman" w:hAnsi="Times New Roman" w:cs="Times New Roman"/>
          <w:sz w:val="20"/>
          <w:szCs w:val="20"/>
        </w:rPr>
        <w:t xml:space="preserve">to be </w:t>
      </w:r>
      <w:r w:rsidR="00AF26E0">
        <w:rPr>
          <w:rFonts w:ascii="Times New Roman" w:hAnsi="Times New Roman" w:cs="Times New Roman"/>
          <w:sz w:val="20"/>
          <w:szCs w:val="20"/>
        </w:rPr>
        <w:t>identified</w:t>
      </w:r>
      <w:r w:rsidR="006E26D5">
        <w:rPr>
          <w:rFonts w:ascii="Times New Roman" w:hAnsi="Times New Roman" w:cs="Times New Roman"/>
          <w:sz w:val="20"/>
          <w:szCs w:val="20"/>
        </w:rPr>
        <w:t xml:space="preserve"> as well as</w:t>
      </w:r>
      <w:r w:rsidR="007F20E1">
        <w:rPr>
          <w:rFonts w:ascii="Times New Roman" w:hAnsi="Times New Roman" w:cs="Times New Roman"/>
          <w:sz w:val="20"/>
          <w:szCs w:val="20"/>
        </w:rPr>
        <w:t xml:space="preserve"> providing</w:t>
      </w:r>
      <w:r w:rsidR="006E26D5">
        <w:rPr>
          <w:rFonts w:ascii="Times New Roman" w:hAnsi="Times New Roman" w:cs="Times New Roman"/>
          <w:sz w:val="20"/>
          <w:szCs w:val="20"/>
        </w:rPr>
        <w:t xml:space="preserve"> qualit</w:t>
      </w:r>
      <w:r w:rsidR="00E66FEC">
        <w:rPr>
          <w:rFonts w:ascii="Times New Roman" w:hAnsi="Times New Roman" w:cs="Times New Roman"/>
          <w:sz w:val="20"/>
          <w:szCs w:val="20"/>
        </w:rPr>
        <w:t>at</w:t>
      </w:r>
      <w:r w:rsidR="006E26D5">
        <w:rPr>
          <w:rFonts w:ascii="Times New Roman" w:hAnsi="Times New Roman" w:cs="Times New Roman"/>
          <w:sz w:val="20"/>
          <w:szCs w:val="20"/>
        </w:rPr>
        <w:t xml:space="preserve">ive details of the stability and passivation properties of the formed interphase. </w:t>
      </w:r>
      <w:r w:rsidR="00C8087D">
        <w:rPr>
          <w:rFonts w:ascii="Times New Roman" w:hAnsi="Times New Roman" w:cs="Times New Roman"/>
          <w:sz w:val="20"/>
          <w:szCs w:val="20"/>
        </w:rPr>
        <w:t>Additionally</w:t>
      </w:r>
      <w:r w:rsidR="007F20E1">
        <w:rPr>
          <w:rFonts w:ascii="Times New Roman" w:hAnsi="Times New Roman" w:cs="Times New Roman"/>
          <w:sz w:val="20"/>
          <w:szCs w:val="20"/>
        </w:rPr>
        <w:t xml:space="preserve">, </w:t>
      </w:r>
      <w:r w:rsidR="00C8087D">
        <w:rPr>
          <w:rFonts w:ascii="Times New Roman" w:hAnsi="Times New Roman" w:cs="Times New Roman"/>
          <w:sz w:val="20"/>
          <w:szCs w:val="20"/>
        </w:rPr>
        <w:t xml:space="preserve">the technique allows for </w:t>
      </w:r>
      <w:r w:rsidR="007F20E1">
        <w:rPr>
          <w:rFonts w:ascii="Times New Roman" w:hAnsi="Times New Roman" w:cs="Times New Roman"/>
          <w:sz w:val="20"/>
          <w:szCs w:val="20"/>
        </w:rPr>
        <w:t>mass</w:t>
      </w:r>
      <w:r w:rsidR="00E66FEC">
        <w:rPr>
          <w:rFonts w:ascii="Times New Roman" w:hAnsi="Times New Roman" w:cs="Times New Roman"/>
          <w:sz w:val="20"/>
          <w:szCs w:val="20"/>
        </w:rPr>
        <w:t>−</w:t>
      </w:r>
      <w:r w:rsidR="007F20E1">
        <w:rPr>
          <w:rFonts w:ascii="Times New Roman" w:hAnsi="Times New Roman" w:cs="Times New Roman"/>
          <w:sz w:val="20"/>
          <w:szCs w:val="20"/>
        </w:rPr>
        <w:t>per</w:t>
      </w:r>
      <w:r w:rsidR="00E66FEC">
        <w:rPr>
          <w:rFonts w:ascii="Times New Roman" w:hAnsi="Times New Roman" w:cs="Times New Roman"/>
          <w:sz w:val="20"/>
          <w:szCs w:val="20"/>
        </w:rPr>
        <w:t>−</w:t>
      </w:r>
      <w:r w:rsidR="007F20E1">
        <w:rPr>
          <w:rFonts w:ascii="Times New Roman" w:hAnsi="Times New Roman" w:cs="Times New Roman"/>
          <w:sz w:val="20"/>
          <w:szCs w:val="20"/>
        </w:rPr>
        <w:t>electron (MPE) values</w:t>
      </w:r>
      <w:r w:rsidR="00C8087D">
        <w:rPr>
          <w:rFonts w:ascii="Times New Roman" w:hAnsi="Times New Roman" w:cs="Times New Roman"/>
          <w:sz w:val="20"/>
          <w:szCs w:val="20"/>
        </w:rPr>
        <w:t xml:space="preserve"> to be calculated</w:t>
      </w:r>
      <w:r w:rsidR="007F20E1">
        <w:rPr>
          <w:rFonts w:ascii="Times New Roman" w:hAnsi="Times New Roman" w:cs="Times New Roman"/>
          <w:sz w:val="20"/>
          <w:szCs w:val="20"/>
        </w:rPr>
        <w:t xml:space="preserve"> </w:t>
      </w:r>
      <w:r w:rsidR="00C8087D">
        <w:rPr>
          <w:rFonts w:ascii="Times New Roman" w:hAnsi="Times New Roman" w:cs="Times New Roman"/>
          <w:sz w:val="20"/>
          <w:szCs w:val="20"/>
        </w:rPr>
        <w:t xml:space="preserve">providing insight into the species present within the interphase. </w:t>
      </w:r>
    </w:p>
    <w:p w14:paraId="540D0F94" w14:textId="2DB26162" w:rsidR="007F20E1" w:rsidRDefault="00C8087D" w:rsidP="0013646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Finally,</w:t>
      </w:r>
      <w:r w:rsidR="00136467">
        <w:rPr>
          <w:rFonts w:ascii="Times New Roman" w:hAnsi="Times New Roman" w:cs="Times New Roman"/>
          <w:sz w:val="20"/>
          <w:szCs w:val="20"/>
        </w:rPr>
        <w:t xml:space="preserve"> post-mortem X-ray Photoelectron </w:t>
      </w:r>
      <w:r w:rsidR="00136467" w:rsidRPr="27487F42">
        <w:rPr>
          <w:rFonts w:ascii="Times New Roman" w:hAnsi="Times New Roman" w:cs="Times New Roman"/>
          <w:sz w:val="20"/>
          <w:szCs w:val="20"/>
        </w:rPr>
        <w:t xml:space="preserve">Spectroscopy (XPS) </w:t>
      </w:r>
      <w:r w:rsidR="00136467">
        <w:rPr>
          <w:rFonts w:ascii="Times New Roman" w:hAnsi="Times New Roman" w:cs="Times New Roman"/>
          <w:sz w:val="20"/>
          <w:szCs w:val="20"/>
        </w:rPr>
        <w:t>was</w:t>
      </w:r>
      <w:r w:rsidR="00136467" w:rsidRPr="27487F42">
        <w:rPr>
          <w:rFonts w:ascii="Times New Roman" w:hAnsi="Times New Roman" w:cs="Times New Roman"/>
          <w:sz w:val="20"/>
          <w:szCs w:val="20"/>
        </w:rPr>
        <w:t xml:space="preserve"> used </w:t>
      </w:r>
      <w:r w:rsidR="007F20E1">
        <w:rPr>
          <w:rFonts w:ascii="Times New Roman" w:hAnsi="Times New Roman" w:cs="Times New Roman"/>
          <w:sz w:val="20"/>
          <w:szCs w:val="20"/>
        </w:rPr>
        <w:t xml:space="preserve">as a complementary technique </w:t>
      </w:r>
      <w:r w:rsidR="00136467" w:rsidRPr="27487F42">
        <w:rPr>
          <w:rFonts w:ascii="Times New Roman" w:hAnsi="Times New Roman" w:cs="Times New Roman"/>
          <w:sz w:val="20"/>
          <w:szCs w:val="20"/>
        </w:rPr>
        <w:t>to</w:t>
      </w:r>
      <w:r>
        <w:rPr>
          <w:rFonts w:ascii="Times New Roman" w:hAnsi="Times New Roman" w:cs="Times New Roman"/>
          <w:sz w:val="20"/>
          <w:szCs w:val="20"/>
        </w:rPr>
        <w:t xml:space="preserve"> characterise the elemental composition and thus help</w:t>
      </w:r>
      <w:r w:rsidR="00136467" w:rsidRPr="27487F42">
        <w:rPr>
          <w:rFonts w:ascii="Times New Roman" w:hAnsi="Times New Roman" w:cs="Times New Roman"/>
          <w:sz w:val="20"/>
          <w:szCs w:val="20"/>
        </w:rPr>
        <w:t xml:space="preserve"> identify the species present within the SEI. This </w:t>
      </w:r>
      <w:r w:rsidR="00136467">
        <w:rPr>
          <w:rFonts w:ascii="Times New Roman" w:hAnsi="Times New Roman" w:cs="Times New Roman"/>
          <w:sz w:val="20"/>
          <w:szCs w:val="20"/>
        </w:rPr>
        <w:t xml:space="preserve">presentation will explore </w:t>
      </w:r>
      <w:r w:rsidR="00136467" w:rsidRPr="27487F42">
        <w:rPr>
          <w:rFonts w:ascii="Times New Roman" w:hAnsi="Times New Roman" w:cs="Times New Roman"/>
          <w:sz w:val="20"/>
          <w:szCs w:val="20"/>
        </w:rPr>
        <w:t xml:space="preserve">how </w:t>
      </w:r>
      <w:r w:rsidR="00136467" w:rsidRPr="00E973FC">
        <w:rPr>
          <w:rFonts w:ascii="Times New Roman" w:hAnsi="Times New Roman" w:cs="Times New Roman"/>
          <w:iCs/>
          <w:sz w:val="20"/>
          <w:szCs w:val="20"/>
        </w:rPr>
        <w:t>operando</w:t>
      </w:r>
      <w:r w:rsidR="0013646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36467" w:rsidRPr="27487F42">
        <w:rPr>
          <w:rFonts w:ascii="Times New Roman" w:hAnsi="Times New Roman" w:cs="Times New Roman"/>
          <w:sz w:val="20"/>
          <w:szCs w:val="20"/>
        </w:rPr>
        <w:t>EQCM-D and post-mortem</w:t>
      </w:r>
      <w:r w:rsidR="00136467">
        <w:rPr>
          <w:rFonts w:ascii="Times New Roman" w:hAnsi="Times New Roman" w:cs="Times New Roman"/>
          <w:sz w:val="20"/>
          <w:szCs w:val="20"/>
        </w:rPr>
        <w:t xml:space="preserve"> </w:t>
      </w:r>
      <w:r w:rsidR="00136467" w:rsidRPr="27487F42">
        <w:rPr>
          <w:rFonts w:ascii="Times New Roman" w:hAnsi="Times New Roman" w:cs="Times New Roman"/>
          <w:sz w:val="20"/>
          <w:szCs w:val="20"/>
        </w:rPr>
        <w:t xml:space="preserve">XPS can be combined to rigorously investigate the complex processes involved in SEI formation within </w:t>
      </w:r>
      <w:r w:rsidR="007F20E1">
        <w:rPr>
          <w:rFonts w:ascii="Times New Roman" w:hAnsi="Times New Roman" w:cs="Times New Roman"/>
          <w:sz w:val="20"/>
          <w:szCs w:val="20"/>
        </w:rPr>
        <w:t xml:space="preserve">anode-free </w:t>
      </w:r>
      <w:r w:rsidR="00136467" w:rsidRPr="27487F42">
        <w:rPr>
          <w:rFonts w:ascii="Times New Roman" w:hAnsi="Times New Roman" w:cs="Times New Roman"/>
          <w:sz w:val="20"/>
          <w:szCs w:val="20"/>
        </w:rPr>
        <w:t>battery systems.</w:t>
      </w:r>
      <w:r w:rsidR="0013646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24D5539" w14:textId="77777777" w:rsidR="006E26D5" w:rsidRDefault="006E26D5" w:rsidP="00136467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0965A54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231D382F" wp14:editId="33012529">
            <wp:simplePos x="0" y="0"/>
            <wp:positionH relativeFrom="margin">
              <wp:align>center</wp:align>
            </wp:positionH>
            <wp:positionV relativeFrom="paragraph">
              <wp:posOffset>38100</wp:posOffset>
            </wp:positionV>
            <wp:extent cx="3978910" cy="1993900"/>
            <wp:effectExtent l="0" t="0" r="2540" b="6350"/>
            <wp:wrapTight wrapText="bothSides">
              <wp:wrapPolygon edited="0">
                <wp:start x="8273" y="0"/>
                <wp:lineTo x="4033" y="1032"/>
                <wp:lineTo x="1758" y="2064"/>
                <wp:lineTo x="1758" y="7842"/>
                <wp:lineTo x="207" y="12589"/>
                <wp:lineTo x="0" y="19192"/>
                <wp:lineTo x="620" y="20018"/>
                <wp:lineTo x="2792" y="20637"/>
                <wp:lineTo x="8377" y="21462"/>
                <wp:lineTo x="11583" y="21462"/>
                <wp:lineTo x="12617" y="21462"/>
                <wp:lineTo x="15719" y="21462"/>
                <wp:lineTo x="20993" y="20637"/>
                <wp:lineTo x="20890" y="20018"/>
                <wp:lineTo x="21510" y="16716"/>
                <wp:lineTo x="21510" y="14859"/>
                <wp:lineTo x="21304" y="14239"/>
                <wp:lineTo x="20580" y="13414"/>
                <wp:lineTo x="20993" y="13208"/>
                <wp:lineTo x="21200" y="11350"/>
                <wp:lineTo x="21510" y="2270"/>
                <wp:lineTo x="20063" y="1445"/>
                <wp:lineTo x="15202" y="0"/>
                <wp:lineTo x="8273" y="0"/>
              </wp:wrapPolygon>
            </wp:wrapTight>
            <wp:docPr id="110479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91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1434A3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34462D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751AF0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976D4A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4486C59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718292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AB1EFE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D0A4CE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4F44F5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01547D7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71DEF7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A839E18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54DBED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DFB77AD" wp14:editId="432B0343">
                <wp:simplePos x="0" y="0"/>
                <wp:positionH relativeFrom="page">
                  <wp:align>right</wp:align>
                </wp:positionH>
                <wp:positionV relativeFrom="paragraph">
                  <wp:posOffset>211455</wp:posOffset>
                </wp:positionV>
                <wp:extent cx="7552690" cy="262255"/>
                <wp:effectExtent l="0" t="0" r="0" b="4445"/>
                <wp:wrapSquare wrapText="bothSides"/>
                <wp:docPr id="17028634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2690" cy="2622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6CA8A3" w14:textId="77777777" w:rsidR="00136467" w:rsidRPr="005F2D46" w:rsidRDefault="00136467" w:rsidP="00136467">
                            <w:pPr>
                              <w:pStyle w:val="Caption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5F2D46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 xml:space="preserve">Figure </w:t>
                            </w:r>
                            <w:r w:rsidRPr="005F2D46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fldChar w:fldCharType="begin"/>
                            </w:r>
                            <w:r w:rsidRPr="005F2D46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instrText xml:space="preserve"> SEQ Figure \* ARABIC </w:instrText>
                            </w:r>
                            <w:r w:rsidRPr="005F2D46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fldChar w:fldCharType="separate"/>
                            </w:r>
                            <w:r w:rsidRPr="005F2D46">
                              <w:rPr>
                                <w:rFonts w:ascii="Times New Roman" w:hAnsi="Times New Roman" w:cs="Times New Roman"/>
                                <w:noProof/>
                                <w:color w:val="auto"/>
                              </w:rPr>
                              <w:t>1</w:t>
                            </w:r>
                            <w:r w:rsidRPr="005F2D46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fldChar w:fldCharType="end"/>
                            </w:r>
                            <w:r w:rsidRPr="005F2D46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: Changes in frequency and dissipation upon cycling potential within an EQCM-D half-cell.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FB77A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43.5pt;margin-top:16.65pt;width:594.7pt;height:20.65pt;z-index:-2516561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" stroked="f">
                <v:textbox inset="0,0,0,0">
                  <w:txbxContent>
                    <w:p w14:paraId="6E6CA8A3" w14:textId="77777777" w:rsidR="00136467" w:rsidRPr="005F2D46" w:rsidRDefault="00136467" w:rsidP="00136467">
                      <w:pPr>
                        <w:pStyle w:val="Caption"/>
                        <w:jc w:val="center"/>
                        <w:rPr>
                          <w:rFonts w:ascii="Times New Roman" w:hAnsi="Times New Roman" w:cs="Times New Roman"/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5F2D46">
                        <w:rPr>
                          <w:rFonts w:ascii="Times New Roman" w:hAnsi="Times New Roman" w:cs="Times New Roman"/>
                          <w:color w:val="auto"/>
                        </w:rPr>
                        <w:t xml:space="preserve">Figure </w:t>
                      </w:r>
                      <w:r w:rsidRPr="005F2D46">
                        <w:rPr>
                          <w:rFonts w:ascii="Times New Roman" w:hAnsi="Times New Roman" w:cs="Times New Roman"/>
                          <w:color w:val="auto"/>
                        </w:rPr>
                        <w:fldChar w:fldCharType="begin"/>
                      </w:r>
                      <w:r w:rsidRPr="005F2D46">
                        <w:rPr>
                          <w:rFonts w:ascii="Times New Roman" w:hAnsi="Times New Roman" w:cs="Times New Roman"/>
                          <w:color w:val="auto"/>
                        </w:rPr>
                        <w:instrText xml:space="preserve"> SEQ Figure \* ARABIC </w:instrText>
                      </w:r>
                      <w:r w:rsidRPr="005F2D46">
                        <w:rPr>
                          <w:rFonts w:ascii="Times New Roman" w:hAnsi="Times New Roman" w:cs="Times New Roman"/>
                          <w:color w:val="auto"/>
                        </w:rPr>
                        <w:fldChar w:fldCharType="separate"/>
                      </w:r>
                      <w:r w:rsidRPr="005F2D46">
                        <w:rPr>
                          <w:rFonts w:ascii="Times New Roman" w:hAnsi="Times New Roman" w:cs="Times New Roman"/>
                          <w:noProof/>
                          <w:color w:val="auto"/>
                        </w:rPr>
                        <w:t>1</w:t>
                      </w:r>
                      <w:r w:rsidRPr="005F2D46">
                        <w:rPr>
                          <w:rFonts w:ascii="Times New Roman" w:hAnsi="Times New Roman" w:cs="Times New Roman"/>
                          <w:color w:val="auto"/>
                        </w:rPr>
                        <w:fldChar w:fldCharType="end"/>
                      </w:r>
                      <w:r w:rsidRPr="005F2D46">
                        <w:rPr>
                          <w:rFonts w:ascii="Times New Roman" w:hAnsi="Times New Roman" w:cs="Times New Roman"/>
                          <w:color w:val="auto"/>
                        </w:rPr>
                        <w:t>: Changes in frequency and dissipation upon cycling potential within an EQCM-D half-cell.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08611CD" w14:textId="77777777" w:rsidR="00136467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65C53C" w14:textId="77777777" w:rsidR="00136467" w:rsidRPr="00D5626A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A">
        <w:rPr>
          <w:rFonts w:ascii="Times New Roman" w:hAnsi="Times New Roman" w:cs="Times New Roman"/>
          <w:sz w:val="20"/>
          <w:szCs w:val="20"/>
        </w:rPr>
        <w:t xml:space="preserve">1. K. Vishweswariah </w:t>
      </w:r>
      <w:r w:rsidRPr="00D5626A">
        <w:rPr>
          <w:rFonts w:ascii="Times New Roman" w:hAnsi="Times New Roman" w:cs="Times New Roman"/>
          <w:i/>
          <w:iCs/>
          <w:sz w:val="20"/>
          <w:szCs w:val="20"/>
        </w:rPr>
        <w:t>et al</w:t>
      </w:r>
      <w:r w:rsidRPr="00D5626A">
        <w:rPr>
          <w:rFonts w:ascii="Times New Roman" w:hAnsi="Times New Roman" w:cs="Times New Roman"/>
          <w:sz w:val="20"/>
          <w:szCs w:val="20"/>
        </w:rPr>
        <w:t xml:space="preserve">., </w:t>
      </w:r>
      <w:r w:rsidRPr="00D5626A">
        <w:rPr>
          <w:rFonts w:ascii="Times New Roman" w:hAnsi="Times New Roman" w:cs="Times New Roman"/>
          <w:i/>
          <w:iCs/>
          <w:sz w:val="20"/>
          <w:szCs w:val="20"/>
        </w:rPr>
        <w:t>Adv. Energy Mater</w:t>
      </w:r>
      <w:r w:rsidRPr="00D5626A">
        <w:rPr>
          <w:rFonts w:ascii="Times New Roman" w:hAnsi="Times New Roman" w:cs="Times New Roman"/>
          <w:sz w:val="20"/>
          <w:szCs w:val="20"/>
        </w:rPr>
        <w:t xml:space="preserve">., 2025, </w:t>
      </w:r>
      <w:r w:rsidRPr="00D5626A">
        <w:rPr>
          <w:rFonts w:ascii="Times New Roman" w:hAnsi="Times New Roman" w:cs="Times New Roman"/>
          <w:b/>
          <w:bCs/>
          <w:sz w:val="20"/>
          <w:szCs w:val="20"/>
        </w:rPr>
        <w:t>15</w:t>
      </w:r>
      <w:r w:rsidRPr="00D5626A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DOI: 20</w:t>
      </w:r>
      <w:r w:rsidRPr="00D5626A">
        <w:rPr>
          <w:rFonts w:ascii="Times New Roman" w:hAnsi="Times New Roman" w:cs="Times New Roman"/>
          <w:sz w:val="20"/>
          <w:szCs w:val="20"/>
        </w:rPr>
        <w:t>2501883.</w:t>
      </w:r>
    </w:p>
    <w:p w14:paraId="654C4784" w14:textId="77777777" w:rsidR="00136467" w:rsidRPr="00D5626A" w:rsidRDefault="00136467" w:rsidP="001364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A">
        <w:rPr>
          <w:rFonts w:ascii="Times New Roman" w:hAnsi="Times New Roman" w:cs="Times New Roman"/>
          <w:sz w:val="20"/>
          <w:szCs w:val="20"/>
        </w:rPr>
        <w:t xml:space="preserve">2. V. Vanoppen </w:t>
      </w:r>
      <w:r w:rsidRPr="00D5626A">
        <w:rPr>
          <w:rFonts w:ascii="Times New Roman" w:hAnsi="Times New Roman" w:cs="Times New Roman"/>
          <w:i/>
          <w:sz w:val="20"/>
          <w:szCs w:val="20"/>
        </w:rPr>
        <w:t>et al</w:t>
      </w:r>
      <w:r w:rsidRPr="00D5626A">
        <w:rPr>
          <w:rFonts w:ascii="Times New Roman" w:hAnsi="Times New Roman" w:cs="Times New Roman"/>
          <w:sz w:val="20"/>
          <w:szCs w:val="20"/>
        </w:rPr>
        <w:t xml:space="preserve">., </w:t>
      </w:r>
      <w:r w:rsidRPr="00D5626A">
        <w:rPr>
          <w:rFonts w:ascii="Times New Roman" w:hAnsi="Times New Roman" w:cs="Times New Roman"/>
          <w:i/>
          <w:sz w:val="20"/>
          <w:szCs w:val="20"/>
        </w:rPr>
        <w:t>Adv. Sensor Res.</w:t>
      </w:r>
      <w:r w:rsidRPr="00D5626A">
        <w:rPr>
          <w:rFonts w:ascii="Times New Roman" w:hAnsi="Times New Roman" w:cs="Times New Roman"/>
          <w:sz w:val="20"/>
          <w:szCs w:val="20"/>
        </w:rPr>
        <w:t xml:space="preserve">, 2024, </w:t>
      </w:r>
      <w:r w:rsidRPr="00D5626A">
        <w:rPr>
          <w:rFonts w:ascii="Times New Roman" w:hAnsi="Times New Roman" w:cs="Times New Roman"/>
          <w:b/>
          <w:sz w:val="20"/>
          <w:szCs w:val="20"/>
        </w:rPr>
        <w:t>3</w:t>
      </w:r>
      <w:r w:rsidRPr="00D5626A">
        <w:rPr>
          <w:rFonts w:ascii="Times New Roman" w:hAnsi="Times New Roman" w:cs="Times New Roman"/>
          <w:sz w:val="20"/>
          <w:szCs w:val="20"/>
        </w:rPr>
        <w:t>, DOI: 202400025.</w:t>
      </w:r>
    </w:p>
    <w:p w14:paraId="2213D477" w14:textId="3BCB2481" w:rsidR="00136467" w:rsidRPr="006E26D5" w:rsidRDefault="00136467" w:rsidP="006E26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5626A">
        <w:rPr>
          <w:rFonts w:ascii="Times New Roman" w:hAnsi="Times New Roman" w:cs="Times New Roman"/>
          <w:sz w:val="20"/>
          <w:szCs w:val="20"/>
        </w:rPr>
        <w:t xml:space="preserve">3. P. G. Kitz </w:t>
      </w:r>
      <w:r w:rsidRPr="00D5626A">
        <w:rPr>
          <w:rFonts w:ascii="Times New Roman" w:hAnsi="Times New Roman" w:cs="Times New Roman"/>
          <w:i/>
          <w:iCs/>
          <w:sz w:val="20"/>
          <w:szCs w:val="20"/>
        </w:rPr>
        <w:t>et al</w:t>
      </w:r>
      <w:r w:rsidRPr="00D5626A">
        <w:rPr>
          <w:rFonts w:ascii="Times New Roman" w:hAnsi="Times New Roman" w:cs="Times New Roman"/>
          <w:sz w:val="20"/>
          <w:szCs w:val="20"/>
        </w:rPr>
        <w:t xml:space="preserve">., </w:t>
      </w:r>
      <w:r w:rsidRPr="00D5626A">
        <w:rPr>
          <w:rFonts w:ascii="Times New Roman" w:hAnsi="Times New Roman" w:cs="Times New Roman"/>
          <w:i/>
          <w:iCs/>
          <w:sz w:val="20"/>
          <w:szCs w:val="20"/>
        </w:rPr>
        <w:t>Anal. Chem</w:t>
      </w:r>
      <w:r w:rsidRPr="00D5626A">
        <w:rPr>
          <w:rFonts w:ascii="Times New Roman" w:hAnsi="Times New Roman" w:cs="Times New Roman"/>
          <w:sz w:val="20"/>
          <w:szCs w:val="20"/>
        </w:rPr>
        <w:t xml:space="preserve">., 2019, </w:t>
      </w:r>
      <w:r w:rsidRPr="00D5626A">
        <w:rPr>
          <w:rFonts w:ascii="Times New Roman" w:hAnsi="Times New Roman" w:cs="Times New Roman"/>
          <w:b/>
          <w:bCs/>
          <w:sz w:val="20"/>
          <w:szCs w:val="20"/>
        </w:rPr>
        <w:t>91</w:t>
      </w:r>
      <w:r w:rsidRPr="00D5626A">
        <w:rPr>
          <w:rFonts w:ascii="Times New Roman" w:hAnsi="Times New Roman" w:cs="Times New Roman"/>
          <w:sz w:val="20"/>
          <w:szCs w:val="20"/>
        </w:rPr>
        <w:t>, 2296-2303.</w:t>
      </w:r>
    </w:p>
    <w:sectPr w:rsidR="00136467" w:rsidRPr="006E26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467"/>
    <w:rsid w:val="00086BC3"/>
    <w:rsid w:val="00136467"/>
    <w:rsid w:val="001E15E2"/>
    <w:rsid w:val="00273E67"/>
    <w:rsid w:val="00636646"/>
    <w:rsid w:val="006E26D5"/>
    <w:rsid w:val="007F20E1"/>
    <w:rsid w:val="00805767"/>
    <w:rsid w:val="00835B23"/>
    <w:rsid w:val="00A15350"/>
    <w:rsid w:val="00A17E3E"/>
    <w:rsid w:val="00AB64AE"/>
    <w:rsid w:val="00AE51DD"/>
    <w:rsid w:val="00AF26E0"/>
    <w:rsid w:val="00C75BB0"/>
    <w:rsid w:val="00C8087D"/>
    <w:rsid w:val="00CE070A"/>
    <w:rsid w:val="00CF4B07"/>
    <w:rsid w:val="00D06377"/>
    <w:rsid w:val="00D53834"/>
    <w:rsid w:val="00D56694"/>
    <w:rsid w:val="00DD4EDA"/>
    <w:rsid w:val="00E66FEC"/>
    <w:rsid w:val="00F9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D7BEF7"/>
  <w15:chartTrackingRefBased/>
  <w15:docId w15:val="{A58EE9CE-5978-4431-AE9D-0DC7E63B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467"/>
  </w:style>
  <w:style w:type="paragraph" w:styleId="Heading1">
    <w:name w:val="heading 1"/>
    <w:basedOn w:val="Normal"/>
    <w:next w:val="Normal"/>
    <w:link w:val="Heading1Char"/>
    <w:uiPriority w:val="9"/>
    <w:qFormat/>
    <w:rsid w:val="00136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4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4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4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4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4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4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4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4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4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4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4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46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6467"/>
    <w:rPr>
      <w:color w:val="467886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36467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cork@chalmers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Emily Cork</dc:creator>
  <cp:keywords/>
  <dc:description/>
  <cp:lastModifiedBy>Lauren Emily Cork</cp:lastModifiedBy>
  <cp:revision>14</cp:revision>
  <cp:lastPrinted>2026-06-05T14:31:00Z</cp:lastPrinted>
  <dcterms:created xsi:type="dcterms:W3CDTF">2026-06-04T21:44:00Z</dcterms:created>
  <dcterms:modified xsi:type="dcterms:W3CDTF">2026-06-05T15:38:00Z</dcterms:modified>
</cp:coreProperties>
</file>