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D2BD" w14:textId="0DE7F911" w:rsidR="00325004" w:rsidRPr="00A86EB9" w:rsidRDefault="009C56F5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Ionic liquid–electrode electrochemical interface at saturation: </w:t>
      </w:r>
      <w:r w:rsidR="00AC6ABD">
        <w:rPr>
          <w:b/>
          <w:sz w:val="28"/>
        </w:rPr>
        <w:br/>
      </w:r>
      <w:r>
        <w:rPr>
          <w:b/>
          <w:sz w:val="28"/>
        </w:rPr>
        <w:t>To crowd or not to crowd?</w:t>
      </w:r>
    </w:p>
    <w:p w14:paraId="241C4260" w14:textId="77777777" w:rsidR="00BB75B0" w:rsidRDefault="00BB75B0" w:rsidP="00AC6ABD">
      <w:pPr>
        <w:jc w:val="center"/>
      </w:pPr>
    </w:p>
    <w:p w14:paraId="05117530" w14:textId="2B457EBF" w:rsidR="00AC6ABD" w:rsidRDefault="00AC6ABD" w:rsidP="00AC6ABD">
      <w:pPr>
        <w:jc w:val="center"/>
      </w:pPr>
      <w:r>
        <w:t xml:space="preserve">Vladislav </w:t>
      </w:r>
      <w:proofErr w:type="spellStart"/>
      <w:proofErr w:type="gramStart"/>
      <w:r>
        <w:t>Ivani</w:t>
      </w:r>
      <w:r>
        <w:t>s</w:t>
      </w:r>
      <w:r>
        <w:t>t</w:t>
      </w:r>
      <w:r>
        <w:t>s</w:t>
      </w:r>
      <w:r>
        <w:t>ev,</w:t>
      </w:r>
      <w:r w:rsidR="00D53154">
        <w:rPr>
          <w:vertAlign w:val="superscript"/>
        </w:rPr>
        <w:t>a</w:t>
      </w:r>
      <w:proofErr w:type="spellEnd"/>
      <w:proofErr w:type="gramEnd"/>
      <w:r>
        <w:t xml:space="preserve"> Anna </w:t>
      </w:r>
      <w:proofErr w:type="spellStart"/>
      <w:proofErr w:type="gramStart"/>
      <w:r>
        <w:t>Stepanova,</w:t>
      </w:r>
      <w:r w:rsidR="00D53154">
        <w:rPr>
          <w:vertAlign w:val="superscript"/>
        </w:rPr>
        <w:t>a</w:t>
      </w:r>
      <w:proofErr w:type="spellEnd"/>
      <w:proofErr w:type="gramEnd"/>
      <w:r>
        <w:t xml:space="preserve"> Ba Long </w:t>
      </w:r>
      <w:proofErr w:type="spellStart"/>
      <w:proofErr w:type="gramStart"/>
      <w:r>
        <w:t>Nguyen,</w:t>
      </w:r>
      <w:r w:rsidR="00D53154">
        <w:rPr>
          <w:vertAlign w:val="superscript"/>
        </w:rPr>
        <w:t>b</w:t>
      </w:r>
      <w:proofErr w:type="spellEnd"/>
      <w:proofErr w:type="gramEnd"/>
      <w:r>
        <w:t xml:space="preserve"> </w:t>
      </w:r>
      <w:r w:rsidR="00D53154">
        <w:t xml:space="preserve">Nadezda </w:t>
      </w:r>
      <w:proofErr w:type="spellStart"/>
      <w:proofErr w:type="gramStart"/>
      <w:r w:rsidR="00D53154">
        <w:t>Kongi,</w:t>
      </w:r>
      <w:r w:rsidR="00D53154" w:rsidRPr="00D53154">
        <w:rPr>
          <w:vertAlign w:val="superscript"/>
        </w:rPr>
        <w:t>b</w:t>
      </w:r>
      <w:proofErr w:type="spellEnd"/>
      <w:proofErr w:type="gramEnd"/>
      <w:r w:rsidR="00D53154">
        <w:t xml:space="preserve"> </w:t>
      </w:r>
      <w:r>
        <w:t xml:space="preserve">and Iuliia V. </w:t>
      </w:r>
      <w:proofErr w:type="spellStart"/>
      <w:r>
        <w:t>Voroshylova</w:t>
      </w:r>
      <w:r w:rsidR="00D53154">
        <w:rPr>
          <w:vertAlign w:val="superscript"/>
        </w:rPr>
        <w:t>c</w:t>
      </w:r>
      <w:proofErr w:type="spellEnd"/>
    </w:p>
    <w:p w14:paraId="5E858807" w14:textId="1F48D99A" w:rsidR="00325004" w:rsidRPr="00387751" w:rsidRDefault="00D53154" w:rsidP="00E0716D">
      <w:pPr>
        <w:jc w:val="center"/>
        <w:rPr>
          <w:i/>
          <w:iCs/>
        </w:rPr>
      </w:pPr>
      <w:r w:rsidRPr="00D53154">
        <w:rPr>
          <w:i/>
          <w:vertAlign w:val="superscript"/>
        </w:rPr>
        <w:t>a</w:t>
      </w:r>
      <w:r w:rsidRPr="00D53154">
        <w:rPr>
          <w:i/>
        </w:rPr>
        <w:t xml:space="preserve"> Department of Chemistry, University of Latvia, Riga, La</w:t>
      </w:r>
      <w:r w:rsidRPr="00387751">
        <w:rPr>
          <w:i/>
        </w:rPr>
        <w:t>tvia</w:t>
      </w:r>
      <w:r w:rsidR="00387751" w:rsidRPr="00387751">
        <w:rPr>
          <w:i/>
        </w:rPr>
        <w:br/>
      </w:r>
      <w:r w:rsidR="00387751" w:rsidRPr="00387751">
        <w:rPr>
          <w:i/>
          <w:vertAlign w:val="superscript"/>
        </w:rPr>
        <w:t>b</w:t>
      </w:r>
      <w:r w:rsidR="00387751" w:rsidRPr="00387751">
        <w:rPr>
          <w:i/>
        </w:rPr>
        <w:t xml:space="preserve"> Institute of Chemistry, University of Tartu, Tartu, Estonia</w:t>
      </w:r>
      <w:r w:rsidR="00387751">
        <w:rPr>
          <w:i/>
        </w:rPr>
        <w:br/>
      </w:r>
      <w:r w:rsidR="00387751" w:rsidRPr="00387751">
        <w:rPr>
          <w:i/>
          <w:iCs/>
          <w:vertAlign w:val="superscript"/>
        </w:rPr>
        <w:t>c</w:t>
      </w:r>
      <w:r w:rsidR="00387751" w:rsidRPr="00387751">
        <w:rPr>
          <w:i/>
          <w:iCs/>
        </w:rPr>
        <w:t xml:space="preserve"> REQUIMTE-LAQV, Department of Chemistry and Biochemistry, University of Porto, Porto, Portugal</w:t>
      </w:r>
    </w:p>
    <w:p w14:paraId="43C05234" w14:textId="09C7E99A" w:rsidR="00685C1A" w:rsidRPr="00685C1A" w:rsidRDefault="00387751" w:rsidP="00E0716D">
      <w:pPr>
        <w:jc w:val="center"/>
        <w:rPr>
          <w:i/>
        </w:rPr>
      </w:pPr>
      <w:r>
        <w:rPr>
          <w:i/>
        </w:rPr>
        <w:t>vladislav.ivanistsev@lu.lv</w:t>
      </w:r>
    </w:p>
    <w:p w14:paraId="441E70AE" w14:textId="77777777" w:rsidR="00325004" w:rsidRDefault="00325004" w:rsidP="00E0716D">
      <w:pPr>
        <w:jc w:val="center"/>
      </w:pPr>
    </w:p>
    <w:p w14:paraId="116A9B90" w14:textId="0771E437" w:rsidR="009C56F5" w:rsidRDefault="009C56F5" w:rsidP="009C56F5">
      <w:pPr>
        <w:jc w:val="both"/>
      </w:pPr>
      <w:r>
        <w:t xml:space="preserve">Electrochemical interfaces govern the operation of </w:t>
      </w:r>
      <w:r w:rsidR="00BB75B0">
        <w:t xml:space="preserve">actuators, </w:t>
      </w:r>
      <w:r>
        <w:t>batteries, capacitors,</w:t>
      </w:r>
      <w:r w:rsidR="00BB75B0">
        <w:t xml:space="preserve"> </w:t>
      </w:r>
      <w:proofErr w:type="spellStart"/>
      <w:r w:rsidR="00BB75B0">
        <w:t>desalinators</w:t>
      </w:r>
      <w:proofErr w:type="spellEnd"/>
      <w:r w:rsidR="00BB75B0">
        <w:t>, electrolyzers, fuels cells, etc</w:t>
      </w:r>
      <w:r>
        <w:t xml:space="preserve">. </w:t>
      </w:r>
      <w:r w:rsidR="00BB75B0">
        <w:t>Still, t</w:t>
      </w:r>
      <w:r>
        <w:t>he interpretation of electrical double</w:t>
      </w:r>
      <w:r w:rsidR="00BB75B0">
        <w:t xml:space="preserve"> </w:t>
      </w:r>
      <w:r>
        <w:t>layer structure</w:t>
      </w:r>
      <w:r w:rsidR="00BB75B0">
        <w:t xml:space="preserve"> and dynamics</w:t>
      </w:r>
      <w:r>
        <w:t xml:space="preserve"> remains challenging</w:t>
      </w:r>
      <w:r w:rsidR="00BB75B0">
        <w:t>, especially in concentrated electrolyte,</w:t>
      </w:r>
      <w:r>
        <w:t xml:space="preserve"> because interfacial charge is distributed over multiple ionic layers whose arrangement evolves with electrode polarization. Consequently, connecting microscopic structure to experimentally measurable quantities </w:t>
      </w:r>
      <w:r w:rsidR="00E431E4">
        <w:t>remain</w:t>
      </w:r>
      <w:r>
        <w:t xml:space="preserve"> one of the central problems of interfacial electrochemistry.</w:t>
      </w:r>
    </w:p>
    <w:p w14:paraId="41DE997C" w14:textId="01754DBA" w:rsidR="009C56F5" w:rsidRDefault="009C56F5" w:rsidP="009C56F5">
      <w:pPr>
        <w:jc w:val="both"/>
      </w:pPr>
      <w:r>
        <w:t xml:space="preserve">Here we present the Potential of Monolayer Charge (PMC) as a structural reference potential for electrified interfaces. The PMC corresponds to the state where a single compact monolayer of counterions exactly screens the electrode surface charge. In this state, the interface reaches a structurally simple configuration that naturally separates the classical </w:t>
      </w:r>
      <w:proofErr w:type="spellStart"/>
      <w:r>
        <w:t>overscreening</w:t>
      </w:r>
      <w:proofErr w:type="spellEnd"/>
      <w:r>
        <w:t xml:space="preserve"> and crowding regimes of ionic organization.</w:t>
      </w:r>
      <w:r w:rsidR="00E431E4" w:rsidRPr="00E431E4">
        <w:rPr>
          <w:vertAlign w:val="superscript"/>
        </w:rPr>
        <w:t>1</w:t>
      </w:r>
      <w:r>
        <w:t xml:space="preserve"> </w:t>
      </w:r>
      <w:r w:rsidR="00E431E4">
        <w:t>Our</w:t>
      </w:r>
      <w:r>
        <w:t xml:space="preserve"> recent theoretical developments, molecular simulations, </w:t>
      </w:r>
      <w:r w:rsidR="00E431E4">
        <w:t>meta-data</w:t>
      </w:r>
      <w:r>
        <w:t xml:space="preserve"> analysis</w:t>
      </w:r>
      <w:r w:rsidR="00E431E4">
        <w:t>, and theoretical derivations</w:t>
      </w:r>
      <w:r>
        <w:t xml:space="preserve"> </w:t>
      </w:r>
      <w:r w:rsidR="00E431E4">
        <w:t>for</w:t>
      </w:r>
      <w:r>
        <w:t xml:space="preserve"> ionic-liquid interfaces</w:t>
      </w:r>
      <w:r w:rsidR="00E431E4">
        <w:t>,</w:t>
      </w:r>
      <w:r w:rsidR="00E431E4" w:rsidRPr="00E431E4">
        <w:rPr>
          <w:vertAlign w:val="superscript"/>
        </w:rPr>
        <w:t>2–</w:t>
      </w:r>
      <w:r w:rsidR="00EE6131">
        <w:rPr>
          <w:vertAlign w:val="superscript"/>
        </w:rPr>
        <w:t>5</w:t>
      </w:r>
      <w:r>
        <w:t xml:space="preserve"> </w:t>
      </w:r>
      <w:r w:rsidR="00E431E4">
        <w:t>suggest that</w:t>
      </w:r>
      <w:r>
        <w:t xml:space="preserve"> PMC provides a consistent framework for interpreting differential capacitance, surface charge screening, and saturation phenomena across a wide potential range. We further demonstrate that the experimentally observed power-law dependence of capacitance on potential emerge</w:t>
      </w:r>
      <w:r w:rsidR="00C85BA7">
        <w:t>s</w:t>
      </w:r>
      <w:r>
        <w:t xml:space="preserve"> from </w:t>
      </w:r>
      <w:proofErr w:type="spellStart"/>
      <w:r w:rsidR="00423294">
        <w:t>overscreening</w:t>
      </w:r>
      <w:proofErr w:type="spellEnd"/>
      <w:r w:rsidR="00423294">
        <w:t xml:space="preserve"> yet</w:t>
      </w:r>
      <w:r w:rsidR="00C85BA7">
        <w:t xml:space="preserve"> </w:t>
      </w:r>
      <w:r w:rsidR="00423294">
        <w:t xml:space="preserve">commonly </w:t>
      </w:r>
      <w:r w:rsidR="00C85BA7">
        <w:t xml:space="preserve">confused with crowding. Thus, </w:t>
      </w:r>
      <w:r w:rsidR="00256D12">
        <w:t xml:space="preserve">to address the question – to crowd or not to crowd? – </w:t>
      </w:r>
      <w:r w:rsidR="00C85BA7">
        <w:t>we</w:t>
      </w:r>
      <w:r>
        <w:t xml:space="preserve"> emphasiz</w:t>
      </w:r>
      <w:r w:rsidR="00C85BA7">
        <w:t>e</w:t>
      </w:r>
      <w:r>
        <w:t xml:space="preserve"> the importance of structural characterization beyond conventional capacitance measurements.</w:t>
      </w:r>
    </w:p>
    <w:p w14:paraId="1296F8E6" w14:textId="7305B3C5" w:rsidR="009C56F5" w:rsidRDefault="00C85BA7" w:rsidP="009C56F5">
      <w:pPr>
        <w:jc w:val="both"/>
      </w:pPr>
      <w:r w:rsidRPr="00C85BA7">
        <w:drawing>
          <wp:anchor distT="0" distB="0" distL="114300" distR="114300" simplePos="0" relativeHeight="251658752" behindDoc="0" locked="0" layoutInCell="1" allowOverlap="1" wp14:anchorId="10EBA8F7" wp14:editId="3434E48C">
            <wp:simplePos x="0" y="0"/>
            <wp:positionH relativeFrom="column">
              <wp:posOffset>3621405</wp:posOffset>
            </wp:positionH>
            <wp:positionV relativeFrom="paragraph">
              <wp:posOffset>45093</wp:posOffset>
            </wp:positionV>
            <wp:extent cx="1776772" cy="1795524"/>
            <wp:effectExtent l="0" t="0" r="0" b="0"/>
            <wp:wrapSquare wrapText="bothSides"/>
            <wp:docPr id="1584012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122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6772" cy="1795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Our</w:t>
      </w:r>
      <w:r w:rsidR="009C56F5">
        <w:t xml:space="preserve"> density</w:t>
      </w:r>
      <w:r>
        <w:t xml:space="preserve"> </w:t>
      </w:r>
      <w:r w:rsidR="009C56F5">
        <w:t xml:space="preserve">functional </w:t>
      </w:r>
      <w:r w:rsidR="008D0CF5">
        <w:t>theory and molecular dynamics simulations</w:t>
      </w:r>
      <w:r w:rsidR="009C56F5">
        <w:t xml:space="preserve"> indicate that </w:t>
      </w:r>
      <w:r w:rsidR="008D0CF5">
        <w:t>enlarging</w:t>
      </w:r>
      <w:r w:rsidR="009C56F5">
        <w:t xml:space="preserve"> planar aromatic ions can shift the PMC into experimentally accessible potential ranges,</w:t>
      </w:r>
      <w:r w:rsidR="00EE6131" w:rsidRPr="00EE6131">
        <w:rPr>
          <w:vertAlign w:val="superscript"/>
        </w:rPr>
        <w:t>4</w:t>
      </w:r>
      <w:r w:rsidR="00EE6131">
        <w:rPr>
          <w:vertAlign w:val="superscript"/>
        </w:rPr>
        <w:t>,</w:t>
      </w:r>
      <w:r w:rsidR="00EE6131" w:rsidRPr="00EE6131">
        <w:rPr>
          <w:vertAlign w:val="superscript"/>
        </w:rPr>
        <w:t>5</w:t>
      </w:r>
      <w:r w:rsidR="009C56F5">
        <w:t xml:space="preserve"> opening opportunities for direct verification of the concept. In particular, the ordered monolayer expected at the PMC should be accessible to real-space characterization by scanning tunnelling microscopy. </w:t>
      </w:r>
      <w:r w:rsidR="008D0CF5">
        <w:t>If verified experimentally, t</w:t>
      </w:r>
      <w:r w:rsidR="009C56F5">
        <w:t xml:space="preserve">he PMC </w:t>
      </w:r>
      <w:r w:rsidR="008D0CF5">
        <w:t>concept</w:t>
      </w:r>
      <w:r w:rsidR="009C56F5">
        <w:t xml:space="preserve"> establishes a common reference scale for comparing electrified interfaces and offers a route toward unifying simulation, theory, and experiment. Beyond ionic liquids, this approach may provide new tools for understanding charge screening phenomena in a broad range of electrochemical systems and for guiding the design of advanced electrochemical materials and architectures.</w:t>
      </w:r>
    </w:p>
    <w:p w14:paraId="339E44FF" w14:textId="400640B4" w:rsidR="00C73ECA" w:rsidRDefault="009C56F5" w:rsidP="009C56F5">
      <w:pPr>
        <w:jc w:val="both"/>
      </w:pPr>
      <w:r w:rsidRPr="00C85BA7">
        <w:rPr>
          <w:b/>
          <w:bCs/>
        </w:rPr>
        <w:t>Acknowledgements</w:t>
      </w:r>
      <w:r w:rsidR="00CE4A6A">
        <w:rPr>
          <w:b/>
          <w:bCs/>
        </w:rPr>
        <w:t xml:space="preserve">: </w:t>
      </w:r>
      <w:r w:rsidR="00EE6131" w:rsidRPr="00EE6131">
        <w:t xml:space="preserve">This work was supported by the Estonian Ministry of Education and Research (TK210), the Estonian Research Council (PRG3174), FCT/MECI (UID/50006/2025, DOI 10.54499/UID/50006/2025), the Erasmus+ </w:t>
      </w:r>
      <w:proofErr w:type="spellStart"/>
      <w:r w:rsidR="00EE6131" w:rsidRPr="00EE6131">
        <w:t>Programme</w:t>
      </w:r>
      <w:proofErr w:type="spellEnd"/>
      <w:r w:rsidR="00EE6131" w:rsidRPr="00EE6131">
        <w:t xml:space="preserve"> of the European Union (EACH EM JMD, No. 619658), and project No. 1.1.1.8/1/24/I/003.</w:t>
      </w:r>
    </w:p>
    <w:p w14:paraId="1B396610" w14:textId="23775255" w:rsidR="009C56F5" w:rsidRPr="00C85BA7" w:rsidRDefault="009C56F5" w:rsidP="009C56F5">
      <w:pPr>
        <w:jc w:val="both"/>
        <w:rPr>
          <w:b/>
          <w:bCs/>
        </w:rPr>
      </w:pPr>
      <w:r w:rsidRPr="00C85BA7">
        <w:rPr>
          <w:b/>
          <w:bCs/>
        </w:rPr>
        <w:t>References</w:t>
      </w:r>
    </w:p>
    <w:p w14:paraId="5EE1F605" w14:textId="69E52C77" w:rsidR="00E0716D" w:rsidRDefault="00E431E4" w:rsidP="00E0716D">
      <w:pPr>
        <w:jc w:val="both"/>
      </w:pPr>
      <w:r>
        <w:t>1.</w:t>
      </w:r>
      <w:r w:rsidRPr="00E431E4">
        <w:t xml:space="preserve"> M.Z. Bazant, B.D. </w:t>
      </w:r>
      <w:proofErr w:type="spellStart"/>
      <w:r w:rsidRPr="00E431E4">
        <w:t>Storey</w:t>
      </w:r>
      <w:proofErr w:type="spellEnd"/>
      <w:r w:rsidRPr="00E431E4">
        <w:t xml:space="preserve">, A.A. Kornyshev, Double Layer in Ionic Liquids: </w:t>
      </w:r>
      <w:proofErr w:type="spellStart"/>
      <w:r w:rsidRPr="00E431E4">
        <w:t>Overscreening</w:t>
      </w:r>
      <w:proofErr w:type="spellEnd"/>
      <w:r w:rsidRPr="00E431E4">
        <w:t xml:space="preserve"> versus Crowding, Phys. Rev. Lett. 106 (2011) 046102. </w:t>
      </w:r>
      <w:hyperlink r:id="rId5" w:history="1">
        <w:r w:rsidR="00C73ECA" w:rsidRPr="007A5577">
          <w:rPr>
            <w:rStyle w:val="Hyperlink"/>
          </w:rPr>
          <w:t>doi.org/10.1103/PhysRevLett.106.046102</w:t>
        </w:r>
      </w:hyperlink>
      <w:r w:rsidRPr="00E431E4">
        <w:t>.</w:t>
      </w:r>
    </w:p>
    <w:p w14:paraId="03F0B71C" w14:textId="0E29E83E" w:rsidR="00C73ECA" w:rsidRDefault="00C73ECA" w:rsidP="00C73ECA">
      <w:pPr>
        <w:jc w:val="both"/>
      </w:pPr>
      <w:r>
        <w:t>2.</w:t>
      </w:r>
      <w:r>
        <w:t xml:space="preserve"> B.L. Nguyen, E. </w:t>
      </w:r>
      <w:proofErr w:type="spellStart"/>
      <w:r>
        <w:t>Roos</w:t>
      </w:r>
      <w:proofErr w:type="spellEnd"/>
      <w:r>
        <w:t xml:space="preserve"> </w:t>
      </w:r>
      <w:proofErr w:type="spellStart"/>
      <w:r>
        <w:t>Nerut</w:t>
      </w:r>
      <w:proofErr w:type="spellEnd"/>
      <w:r>
        <w:t xml:space="preserve">, A. Beditski, N. Kongi, V. Ivanistsev, I.V. Voroshylova, Ionic Liquid–Electrode Interface at Saturation: To Crowd, or Not to </w:t>
      </w:r>
      <w:proofErr w:type="gramStart"/>
      <w:r>
        <w:t>Crowd?,</w:t>
      </w:r>
      <w:proofErr w:type="gramEnd"/>
      <w:r>
        <w:t xml:space="preserve"> J. Phys. Chem. Lett. 17 (2026) 2374–2379. </w:t>
      </w:r>
      <w:hyperlink r:id="rId6" w:history="1">
        <w:r w:rsidR="00111CF9" w:rsidRPr="007A5577">
          <w:rPr>
            <w:rStyle w:val="Hyperlink"/>
          </w:rPr>
          <w:t>doi.org/10.1021/acs.jpclett.5c03710</w:t>
        </w:r>
      </w:hyperlink>
      <w:r>
        <w:t>.</w:t>
      </w:r>
    </w:p>
    <w:p w14:paraId="76CAD025" w14:textId="497B8421" w:rsidR="00C73ECA" w:rsidRDefault="00C73ECA" w:rsidP="00C73ECA">
      <w:pPr>
        <w:jc w:val="both"/>
      </w:pPr>
      <w:r>
        <w:t>3</w:t>
      </w:r>
      <w:r>
        <w:t>. B.L. Nguyen, V. Ivanistsev, Ionic liquid–electrode interface: From one law to fit them all to one model to predict them all, Electrochem</w:t>
      </w:r>
      <w:r w:rsidR="002A4E5A">
        <w:t>.</w:t>
      </w:r>
      <w:r>
        <w:t xml:space="preserve"> Commun</w:t>
      </w:r>
      <w:r w:rsidR="002A4E5A">
        <w:t>.</w:t>
      </w:r>
      <w:r>
        <w:t xml:space="preserve"> 180 (2025) 108049. </w:t>
      </w:r>
      <w:hyperlink r:id="rId7" w:history="1">
        <w:r w:rsidR="00111CF9" w:rsidRPr="007A5577">
          <w:rPr>
            <w:rStyle w:val="Hyperlink"/>
          </w:rPr>
          <w:t>doi.org/10.1016/j.elecom.2025.108049</w:t>
        </w:r>
      </w:hyperlink>
      <w:r>
        <w:t>.</w:t>
      </w:r>
    </w:p>
    <w:p w14:paraId="4AAF2E7C" w14:textId="5B02C52A" w:rsidR="00C73ECA" w:rsidRDefault="00C73ECA" w:rsidP="00E15B5C">
      <w:pPr>
        <w:jc w:val="both"/>
      </w:pPr>
      <w:r>
        <w:t>4.</w:t>
      </w:r>
      <w:r>
        <w:t xml:space="preserve"> </w:t>
      </w:r>
      <w:r w:rsidR="00E15B5C">
        <w:t>Anna Stepanova</w:t>
      </w:r>
      <w:r w:rsidR="00E15B5C">
        <w:t>,</w:t>
      </w:r>
      <w:r w:rsidR="00E15B5C">
        <w:t xml:space="preserve"> Heigo </w:t>
      </w:r>
      <w:proofErr w:type="spellStart"/>
      <w:r w:rsidR="00E15B5C">
        <w:t>Ers</w:t>
      </w:r>
      <w:proofErr w:type="spellEnd"/>
      <w:r w:rsidR="00E15B5C">
        <w:t>, Ritums Cepitis, Michal Malček</w:t>
      </w:r>
      <w:r w:rsidR="00E15B5C">
        <w:t xml:space="preserve">, </w:t>
      </w:r>
      <w:r w:rsidR="00E15B5C">
        <w:t>Vladislav B. Ivani</w:t>
      </w:r>
      <w:r w:rsidR="00E15B5C">
        <w:t>s</w:t>
      </w:r>
      <w:r w:rsidR="00E15B5C">
        <w:t>t</w:t>
      </w:r>
      <w:r w:rsidR="00E15B5C">
        <w:t>s</w:t>
      </w:r>
      <w:r w:rsidR="00E15B5C">
        <w:t>ev</w:t>
      </w:r>
      <w:r w:rsidR="00E15B5C">
        <w:t>,</w:t>
      </w:r>
      <w:r w:rsidR="00E15B5C">
        <w:t xml:space="preserve"> and Iuliia V. </w:t>
      </w:r>
      <w:proofErr w:type="spellStart"/>
      <w:r w:rsidR="00E15B5C">
        <w:t>Voroshylova</w:t>
      </w:r>
      <w:proofErr w:type="spellEnd"/>
      <w:r w:rsidR="00E15B5C">
        <w:t>,</w:t>
      </w:r>
      <w:r>
        <w:t xml:space="preserve"> Potential of monolayer charge, (2026). </w:t>
      </w:r>
      <w:hyperlink r:id="rId8" w:history="1">
        <w:r w:rsidR="00E15B5C" w:rsidRPr="007A5577">
          <w:rPr>
            <w:rStyle w:val="Hyperlink"/>
          </w:rPr>
          <w:t>arxiv.org/abs/2301.13681v3</w:t>
        </w:r>
      </w:hyperlink>
      <w:r w:rsidR="00E15B5C">
        <w:t>.</w:t>
      </w:r>
    </w:p>
    <w:p w14:paraId="6C87AFE7" w14:textId="53A81BFB" w:rsidR="00C73ECA" w:rsidRDefault="00C73ECA" w:rsidP="00C73ECA">
      <w:pPr>
        <w:jc w:val="both"/>
      </w:pPr>
      <w:r>
        <w:t>5.</w:t>
      </w:r>
      <w:r>
        <w:t xml:space="preserve"> K. Karu, E.R. Nerut, X. Tao, S.A. Kislenko, K. </w:t>
      </w:r>
      <w:proofErr w:type="spellStart"/>
      <w:r>
        <w:t>Pohako</w:t>
      </w:r>
      <w:proofErr w:type="spellEnd"/>
      <w:r>
        <w:t xml:space="preserve">-Esko, I.V. </w:t>
      </w:r>
      <w:proofErr w:type="spellStart"/>
      <w:r>
        <w:t>Voroshylova</w:t>
      </w:r>
      <w:proofErr w:type="spellEnd"/>
      <w:r>
        <w:t xml:space="preserve">, V.B. Ivaništšev, Ionic liquid–electrode interface: Classification of ions, saturation of layers, and structure-determined potentials, </w:t>
      </w:r>
      <w:proofErr w:type="spellStart"/>
      <w:r>
        <w:t>Electrochimica</w:t>
      </w:r>
      <w:proofErr w:type="spellEnd"/>
      <w:r>
        <w:t xml:space="preserve"> Acta 503 (2024) 144829. </w:t>
      </w:r>
      <w:hyperlink r:id="rId9" w:history="1">
        <w:r w:rsidR="002A4E5A" w:rsidRPr="007A5577">
          <w:rPr>
            <w:rStyle w:val="Hyperlink"/>
          </w:rPr>
          <w:t>doi.org/10.1016/j.electacta.2024.144829</w:t>
        </w:r>
      </w:hyperlink>
      <w:r>
        <w:t>.</w:t>
      </w:r>
    </w:p>
    <w:sectPr w:rsidR="00C73ECA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76795"/>
    <w:rsid w:val="00111CF9"/>
    <w:rsid w:val="00256D12"/>
    <w:rsid w:val="002A4E5A"/>
    <w:rsid w:val="00325004"/>
    <w:rsid w:val="00387751"/>
    <w:rsid w:val="00423294"/>
    <w:rsid w:val="004A603B"/>
    <w:rsid w:val="00503E5B"/>
    <w:rsid w:val="00536366"/>
    <w:rsid w:val="005C777E"/>
    <w:rsid w:val="00685C1A"/>
    <w:rsid w:val="008061AF"/>
    <w:rsid w:val="00860297"/>
    <w:rsid w:val="008D0CF5"/>
    <w:rsid w:val="00986709"/>
    <w:rsid w:val="009C56F5"/>
    <w:rsid w:val="00AC6ABD"/>
    <w:rsid w:val="00B8115E"/>
    <w:rsid w:val="00BB75B0"/>
    <w:rsid w:val="00C73ECA"/>
    <w:rsid w:val="00C85BA7"/>
    <w:rsid w:val="00CD42EF"/>
    <w:rsid w:val="00CE4A6A"/>
    <w:rsid w:val="00D53154"/>
    <w:rsid w:val="00E0716D"/>
    <w:rsid w:val="00E15B5C"/>
    <w:rsid w:val="00E431E4"/>
    <w:rsid w:val="00EE6131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DE636"/>
  <w14:defaultImageDpi w14:val="300"/>
  <w15:docId w15:val="{C10BE117-328D-4AD5-A3BD-81AE5847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1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3E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xiv.org/abs/2301.13681v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elecom.2025.1080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21/acs.jpclett.5c037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103/PhysRevLett.106.046102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doi.org/10.1016/j.electacta.2024.1448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Vladislav Ivaništšev</cp:lastModifiedBy>
  <cp:revision>24</cp:revision>
  <cp:lastPrinted>2013-10-21T12:07:00Z</cp:lastPrinted>
  <dcterms:created xsi:type="dcterms:W3CDTF">2021-03-10T13:20:00Z</dcterms:created>
  <dcterms:modified xsi:type="dcterms:W3CDTF">2026-06-05T21:30:00Z</dcterms:modified>
</cp:coreProperties>
</file>