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5377" w14:textId="2CCB2348" w:rsidR="00CE79F1" w:rsidRPr="00CE79F1" w:rsidRDefault="00CE79F1" w:rsidP="00CE79F1">
      <w:pPr>
        <w:jc w:val="center"/>
        <w:rPr>
          <w:b/>
          <w:bCs/>
          <w:sz w:val="28"/>
        </w:rPr>
      </w:pPr>
      <w:r w:rsidRPr="00CE79F1">
        <w:rPr>
          <w:b/>
          <w:bCs/>
          <w:sz w:val="28"/>
        </w:rPr>
        <w:t>Direct evidence of confinement enabled electrosynthesis towards Urea</w:t>
      </w:r>
    </w:p>
    <w:p w14:paraId="3DFC51E8" w14:textId="77777777" w:rsidR="00325004" w:rsidRPr="00A86EB9" w:rsidRDefault="00325004" w:rsidP="00E0716D">
      <w:pPr>
        <w:jc w:val="center"/>
        <w:rPr>
          <w:b/>
          <w:sz w:val="28"/>
        </w:rPr>
      </w:pPr>
    </w:p>
    <w:p w14:paraId="15D4E5F3" w14:textId="5D2DDB2F" w:rsidR="00904665" w:rsidRPr="00CE79F1" w:rsidRDefault="00904665" w:rsidP="00CE79F1">
      <w:pPr>
        <w:spacing w:before="120"/>
        <w:jc w:val="center"/>
        <w:rPr>
          <w:rFonts w:cs="Calibri Light"/>
          <w:lang w:val="en-GB"/>
        </w:rPr>
      </w:pPr>
      <w:r w:rsidRPr="00D33B85">
        <w:rPr>
          <w:rFonts w:cs="Calibri Light"/>
          <w:u w:val="single"/>
          <w:lang w:val="en-GB"/>
        </w:rPr>
        <w:t>Yannick Weidemann</w:t>
      </w:r>
      <w:r w:rsidRPr="00D33B85">
        <w:rPr>
          <w:rFonts w:cs="Calibri Light"/>
          <w:u w:val="single"/>
          <w:vertAlign w:val="superscript"/>
          <w:lang w:val="en-GB"/>
        </w:rPr>
        <w:t>1</w:t>
      </w:r>
      <w:r w:rsidRPr="00D33B85">
        <w:rPr>
          <w:rFonts w:cs="Calibri Light"/>
          <w:lang w:val="en-GB"/>
        </w:rPr>
        <w:t>, Pouya Hosseini</w:t>
      </w:r>
      <w:r>
        <w:rPr>
          <w:rFonts w:cs="Calibri Light"/>
          <w:vertAlign w:val="superscript"/>
          <w:lang w:val="en-GB"/>
        </w:rPr>
        <w:t>2</w:t>
      </w:r>
      <w:r w:rsidRPr="00D33B85">
        <w:rPr>
          <w:rFonts w:cs="Calibri Light"/>
          <w:lang w:val="en-GB"/>
        </w:rPr>
        <w:t>, Andrés Rodríguez-Camargo</w:t>
      </w:r>
      <w:r>
        <w:rPr>
          <w:rFonts w:cs="Calibri Light"/>
          <w:vertAlign w:val="superscript"/>
          <w:lang w:val="en-GB"/>
        </w:rPr>
        <w:t>3</w:t>
      </w:r>
      <w:r w:rsidR="00CE79F1">
        <w:rPr>
          <w:rFonts w:cs="Calibri Light"/>
          <w:lang w:val="en-GB"/>
        </w:rPr>
        <w:t xml:space="preserve">, </w:t>
      </w:r>
      <w:r w:rsidRPr="00904665">
        <w:rPr>
          <w:rFonts w:cs="Calibri Light"/>
        </w:rPr>
        <w:t>Bettina V. Lotsch</w:t>
      </w:r>
      <w:r w:rsidRPr="00904665">
        <w:rPr>
          <w:rFonts w:cs="Calibri Light"/>
          <w:vertAlign w:val="superscript"/>
        </w:rPr>
        <w:t>3</w:t>
      </w:r>
      <w:r w:rsidRPr="00904665">
        <w:rPr>
          <w:rFonts w:cs="Calibri Light"/>
        </w:rPr>
        <w:t>, Kristina Tschulik</w:t>
      </w:r>
      <w:r w:rsidRPr="00904665">
        <w:rPr>
          <w:rFonts w:cs="Calibri Light"/>
          <w:vertAlign w:val="superscript"/>
        </w:rPr>
        <w:t>1</w:t>
      </w:r>
    </w:p>
    <w:p w14:paraId="57D5FE32" w14:textId="77777777" w:rsidR="00904665" w:rsidRPr="00CE79F1" w:rsidRDefault="00904665" w:rsidP="00904665">
      <w:pPr>
        <w:jc w:val="center"/>
        <w:rPr>
          <w:rFonts w:cs="Calibri Light"/>
          <w:i/>
          <w:lang w:val="en-DE"/>
        </w:rPr>
      </w:pPr>
      <w:r w:rsidRPr="00904665">
        <w:rPr>
          <w:rFonts w:cs="Calibri Light"/>
          <w:i/>
          <w:iCs/>
          <w:sz w:val="18"/>
          <w:vertAlign w:val="superscript"/>
        </w:rPr>
        <w:t xml:space="preserve">1 </w:t>
      </w:r>
      <w:r w:rsidRPr="00CE79F1">
        <w:rPr>
          <w:rFonts w:cs="Calibri Light"/>
          <w:i/>
          <w:iCs/>
        </w:rPr>
        <w:t>Chair of Analytical Chemistry, Ruhr University Bochum, 44801 Bochum, Germany</w:t>
      </w:r>
    </w:p>
    <w:p w14:paraId="4785A9B1" w14:textId="7BACEBBF" w:rsidR="00904665" w:rsidRPr="00CE79F1" w:rsidRDefault="00904665" w:rsidP="00904665">
      <w:pPr>
        <w:jc w:val="center"/>
        <w:rPr>
          <w:rFonts w:cs="Calibri Light"/>
          <w:i/>
          <w:lang w:val="en-DE"/>
        </w:rPr>
      </w:pPr>
      <w:r w:rsidRPr="00CE79F1">
        <w:rPr>
          <w:rFonts w:cs="Calibri Light"/>
          <w:i/>
          <w:iCs/>
        </w:rPr>
        <w:t xml:space="preserve"> </w:t>
      </w:r>
      <w:r w:rsidRPr="00CE79F1">
        <w:rPr>
          <w:rFonts w:cs="Calibri Light"/>
          <w:i/>
          <w:iCs/>
          <w:vertAlign w:val="superscript"/>
        </w:rPr>
        <w:t>2</w:t>
      </w:r>
      <w:r w:rsidRPr="00CE79F1">
        <w:rPr>
          <w:rFonts w:cs="Calibri Light"/>
          <w:i/>
          <w:iCs/>
        </w:rPr>
        <w:t>Chair Atomic scale Characterization, Ruhr University Bochum, 44801 Bochum, Germany</w:t>
      </w:r>
    </w:p>
    <w:p w14:paraId="6DCBC9DC" w14:textId="77777777" w:rsidR="00904665" w:rsidRPr="00CE79F1" w:rsidRDefault="00904665" w:rsidP="00904665">
      <w:pPr>
        <w:jc w:val="center"/>
        <w:rPr>
          <w:rFonts w:cs="Calibri Light"/>
          <w:i/>
          <w:lang w:val="en-DE"/>
        </w:rPr>
      </w:pPr>
      <w:r w:rsidRPr="00CE79F1">
        <w:rPr>
          <w:rFonts w:cs="Calibri Light"/>
          <w:i/>
          <w:iCs/>
          <w:vertAlign w:val="superscript"/>
          <w:lang w:val="en-GB"/>
        </w:rPr>
        <w:t>3</w:t>
      </w:r>
      <w:r w:rsidRPr="00CE79F1">
        <w:rPr>
          <w:rFonts w:cs="Calibri Light"/>
          <w:i/>
          <w:iCs/>
          <w:lang w:val="en-GB"/>
        </w:rPr>
        <w:t>Nanochemistry Department, Max Planck Institute for Solid State Research, 70569 Stuttgart, Germany</w:t>
      </w:r>
    </w:p>
    <w:p w14:paraId="35FF7DDD" w14:textId="33219335" w:rsidR="00685C1A" w:rsidRPr="00904665" w:rsidRDefault="00904665" w:rsidP="00904665">
      <w:pPr>
        <w:jc w:val="center"/>
        <w:rPr>
          <w:i/>
          <w:lang w:val="en-DE"/>
        </w:rPr>
      </w:pPr>
      <w:r w:rsidRPr="00904665">
        <w:rPr>
          <w:i/>
          <w:lang w:val="en-DE"/>
        </w:rPr>
        <w:t>Yannick.Weidemann@ruhr-uni-b</w:t>
      </w:r>
      <w:r>
        <w:rPr>
          <w:i/>
          <w:lang w:val="en-DE"/>
        </w:rPr>
        <w:t>ochum.de</w:t>
      </w:r>
    </w:p>
    <w:p w14:paraId="5F1E3D24" w14:textId="77777777" w:rsidR="005C081B" w:rsidRPr="00E202CC" w:rsidRDefault="005C081B" w:rsidP="00CE79F1">
      <w:pPr>
        <w:spacing w:after="80"/>
        <w:jc w:val="both"/>
        <w:rPr>
          <w:rFonts w:cs="Calibri Light"/>
          <w:lang w:val="en-DE"/>
        </w:rPr>
      </w:pPr>
    </w:p>
    <w:p w14:paraId="1DCB8324" w14:textId="47FA7E89" w:rsidR="00CE79F1" w:rsidRDefault="00F87136" w:rsidP="00CE79F1">
      <w:pPr>
        <w:spacing w:after="80"/>
        <w:jc w:val="both"/>
        <w:rPr>
          <w:rFonts w:cs="Calibri Light"/>
          <w:iCs/>
        </w:rPr>
      </w:pPr>
      <w:r>
        <w:rPr>
          <w:rFonts w:cs="Calibri Light"/>
        </w:rPr>
        <w:t xml:space="preserve">Electrochemical urea synthesis is a rapidly growing field in part due to its potential to replace the Bosch-Meiser process. </w:t>
      </w:r>
      <w:r w:rsidR="00A87549">
        <w:rPr>
          <w:rFonts w:cs="Calibri Light"/>
        </w:rPr>
        <w:t>Still,</w:t>
      </w:r>
      <w:r>
        <w:rPr>
          <w:rFonts w:cs="Calibri Light"/>
        </w:rPr>
        <w:t xml:space="preserve"> this is a non-trivial task. </w:t>
      </w:r>
      <w:r w:rsidR="00CE79F1">
        <w:rPr>
          <w:rFonts w:cs="Calibri Light"/>
        </w:rPr>
        <w:t xml:space="preserve">The electrocatalytic synthesis of urea via co-reductive pathways </w:t>
      </w:r>
      <w:r>
        <w:rPr>
          <w:rFonts w:cs="Calibri Light"/>
        </w:rPr>
        <w:t xml:space="preserve">however </w:t>
      </w:r>
      <w:r w:rsidR="00CE79F1">
        <w:rPr>
          <w:rFonts w:cs="Calibri Light"/>
        </w:rPr>
        <w:t>depends on a multitude of factors.</w:t>
      </w:r>
      <w:r w:rsidR="00C91988">
        <w:rPr>
          <w:rFonts w:cs="Calibri Light"/>
        </w:rPr>
        <w:fldChar w:fldCharType="begin"/>
      </w:r>
      <w:r w:rsidR="00C91988">
        <w:rPr>
          <w:rFonts w:cs="Calibri Light"/>
        </w:rPr>
        <w:instrText xml:space="preserve"> ADDIN ZOTERO_ITEM CSL_CITATION {"citationID":"evV6wOPq","properties":{"formattedCitation":"\\super 1\\nosupersub{}","plainCitation":"1","noteIndex":0},"citationItems":[{"id":1587,"uris":["http://zotero.org/users/local/ZWoTsGQI/items/4CUVFVMS"],"itemData":{"id":1587,"type":"article-journal","abstract":"The biogeochemical cycles of carbon and nitrogen are globally disturbed due to the intensive use of fossil fuels and fertilizers, which is reflected by the accumulation of carbon dioxide in the atmosphere and nitrate in water streams. The co-electroreduction of carbon dioxide and nitrate is a promising low-carbon alternative for urea synthesis that would help to reestablish both carbon and nitrogen cycles. This Perspective highlights the importance of rational catalyst and electrolyte engineering to enable electrochemical urea synthesis. Although the field has gained significant attention over the past few years, fundamental research under well-defined conditions remains underexplored. We highlight the importance of investigating structure-sensitivity and electrolyte effects on electrochemical C-N coupling through complementary in situ spectroscopy and online techniques. Model studies, including in situ surface-sensitive investigations, will be crucial to understand the molecular mechanisms and thus to rationally design more efficient systems for urea electrosynthesis, paving the way for their scalable and industrial applications.","container-title":"JACS Au","DOI":"10.1021/jacsau.5c00065","issue":"4","journalAbbreviation":"JACS Au","note":"PMID: 40313822","page":"1538-1548","title":"Electrode-Electrolyte Engineering and In Situ Spectroscopy for Urea Electrosynthesis from Carbon Dioxide and Nitrate Co-Reduction","volume":"5","author":[{"family":"Costa","given":"Gabriel F."},{"family":"Escudero-Escribano","given":"María"}],"issued":{"date-parts":[["2025",1,1]]}}}],"schema":"https://github.com/citation-style-language/schema/raw/master/csl-citation.json"} </w:instrText>
      </w:r>
      <w:r w:rsidR="00C91988">
        <w:rPr>
          <w:rFonts w:cs="Calibri Light"/>
        </w:rPr>
        <w:fldChar w:fldCharType="separate"/>
      </w:r>
      <w:r w:rsidR="00C91988" w:rsidRPr="00C91988">
        <w:rPr>
          <w:vertAlign w:val="superscript"/>
        </w:rPr>
        <w:t>1</w:t>
      </w:r>
      <w:r w:rsidR="00C91988">
        <w:rPr>
          <w:rFonts w:cs="Calibri Light"/>
        </w:rPr>
        <w:fldChar w:fldCharType="end"/>
      </w:r>
      <w:r w:rsidR="00CE79F1">
        <w:rPr>
          <w:rFonts w:cs="Calibri Light"/>
        </w:rPr>
        <w:t xml:space="preserve"> Finding suitable electrocatalyst is therefore just as complex, however optimizing existing catalyst remains largely unexplored. </w:t>
      </w:r>
      <w:r w:rsidR="00692B72">
        <w:rPr>
          <w:rFonts w:cs="Calibri Light"/>
        </w:rPr>
        <w:t>One possibility to alter and optimize catalyst selectivity is introducing confining elements.</w:t>
      </w:r>
      <w:r w:rsidR="00C91988">
        <w:rPr>
          <w:rFonts w:cs="Calibri Light"/>
        </w:rPr>
        <w:fldChar w:fldCharType="begin"/>
      </w:r>
      <w:r w:rsidR="00C91988">
        <w:rPr>
          <w:rFonts w:cs="Calibri Light"/>
        </w:rPr>
        <w:instrText xml:space="preserve"> ADDIN ZOTERO_ITEM CSL_CITATION {"citationID":"HAdxII8s","properties":{"formattedCitation":"\\super 2\\nosupersub{}","plainCitation":"2","noteIndex":0},"citationItems":[{"id":3120,"uris":["http://zotero.org/users/local/ZWoTsGQI/items/MRZVR2DK"],"itemData":{"id":3120,"type":"article-journal","abstract":"The use of nanoparticles and nanostructured electrodes are abundant in electrocatalysis. These nanometric systems contain elements of nanoconfinement in different degrees, depending on the geometry, which can have a much greater effect on the activity and selectivity than often considered. In this Review, we firstly identify the systems containing different degrees of nanoconfinement and how they can affect the activity and selectivity of electrocatalytic reactions. Then we follow with a fundamental understanding of how electrochemistry and electrocatalysis are affected by nanoconfinement, which is beginning to be uncovered, thanks to the development of new, atomically precise manufacturing and fabrication techniques as well as advances in theoretical modeling. The aim of this Review is to help us look beyond using nanostructuring as just a way to increase surface area, but also as a way to break the scaling relations imposed on electrocatalysis by thermodynamics.","container-title":"Angewandte Chemie (International ed. in English)","DOI":"10.1002/anie.202200755","issue":"28","journalAbbreviation":"Angew Chem Int Ed Engl","note":"PMID: 35403340","page":"202200755","title":"The Influence of Nanoconfinement on Electrocatalysis","volume":"61","author":[{"family":"Wordsworth","given":"Johanna"},{"family":"Benedetti","given":"Tania M."},{"family":"Somerville","given":"Samuel V."},{"family":"Schuhmann","given":"Wolfgang"},{"family":"Tilley","given":"Richard D."},{"family":"Gooding","given":"J. Justin"}],"issued":{"date-parts":[["2022",1,1]]}}}],"schema":"https://github.com/citation-style-language/schema/raw/master/csl-citation.json"} </w:instrText>
      </w:r>
      <w:r w:rsidR="00C91988">
        <w:rPr>
          <w:rFonts w:cs="Calibri Light"/>
        </w:rPr>
        <w:fldChar w:fldCharType="separate"/>
      </w:r>
      <w:r w:rsidR="00C91988" w:rsidRPr="00C91988">
        <w:rPr>
          <w:vertAlign w:val="superscript"/>
        </w:rPr>
        <w:t>2</w:t>
      </w:r>
      <w:r w:rsidR="00C91988">
        <w:rPr>
          <w:rFonts w:cs="Calibri Light"/>
        </w:rPr>
        <w:fldChar w:fldCharType="end"/>
      </w:r>
      <w:r w:rsidR="00692B72">
        <w:rPr>
          <w:rFonts w:cs="Calibri Light"/>
        </w:rPr>
        <w:t xml:space="preserve"> Herein</w:t>
      </w:r>
      <w:r w:rsidR="00CE79F1">
        <w:rPr>
          <w:rFonts w:cs="Calibri Light"/>
        </w:rPr>
        <w:t>, we present the application of a covalent organic framework</w:t>
      </w:r>
      <w:r w:rsidR="005C081B">
        <w:rPr>
          <w:rFonts w:cs="Calibri Light"/>
        </w:rPr>
        <w:t xml:space="preserve"> (COF)</w:t>
      </w:r>
      <w:r w:rsidR="00692B72">
        <w:rPr>
          <w:rFonts w:cs="Calibri Light"/>
        </w:rPr>
        <w:t>,</w:t>
      </w:r>
      <w:r w:rsidR="00CE79F1">
        <w:rPr>
          <w:rFonts w:cs="Calibri Light"/>
        </w:rPr>
        <w:t xml:space="preserve"> to enable </w:t>
      </w:r>
      <w:r w:rsidR="005C081B">
        <w:rPr>
          <w:rFonts w:cs="Calibri Light"/>
        </w:rPr>
        <w:t xml:space="preserve">reductive </w:t>
      </w:r>
      <w:r w:rsidR="00CE79F1">
        <w:rPr>
          <w:rFonts w:cs="Calibri Light"/>
        </w:rPr>
        <w:t xml:space="preserve">urea electrosynthesis on Au </w:t>
      </w:r>
      <w:r w:rsidR="005C081B">
        <w:rPr>
          <w:rFonts w:cs="Calibri Light"/>
        </w:rPr>
        <w:t>electrodes based on the co-reduction of CO</w:t>
      </w:r>
      <w:r w:rsidR="005C081B">
        <w:rPr>
          <w:rFonts w:cs="Calibri Light"/>
          <w:vertAlign w:val="subscript"/>
        </w:rPr>
        <w:t>2</w:t>
      </w:r>
      <w:r w:rsidR="005C081B">
        <w:rPr>
          <w:rFonts w:cs="Calibri Light"/>
        </w:rPr>
        <w:t xml:space="preserve"> and NO</w:t>
      </w:r>
      <w:r w:rsidR="005C081B">
        <w:rPr>
          <w:rFonts w:cs="Calibri Light"/>
          <w:vertAlign w:val="subscript"/>
        </w:rPr>
        <w:t>3</w:t>
      </w:r>
      <w:r w:rsidR="005C081B" w:rsidRPr="005C081B">
        <w:rPr>
          <w:vertAlign w:val="superscript"/>
        </w:rPr>
        <w:t>−</w:t>
      </w:r>
      <w:r w:rsidR="005C081B">
        <w:t xml:space="preserve"> via confinement</w:t>
      </w:r>
      <w:r w:rsidR="00CE79F1">
        <w:rPr>
          <w:rFonts w:cs="Calibri Light"/>
        </w:rPr>
        <w:t xml:space="preserve">. We prove this in-situ </w:t>
      </w:r>
      <w:r w:rsidR="005C081B">
        <w:rPr>
          <w:rFonts w:cs="Calibri Light"/>
        </w:rPr>
        <w:t>by employing electrochemical surface enhanced infrared absorption spectroscopy (EC-SEIRAS)</w:t>
      </w:r>
      <w:r w:rsidR="00CE79F1">
        <w:rPr>
          <w:rFonts w:cs="Calibri Light"/>
        </w:rPr>
        <w:t xml:space="preserve">. </w:t>
      </w:r>
      <w:r w:rsidR="005C081B">
        <w:rPr>
          <w:rFonts w:cs="Calibri Light"/>
        </w:rPr>
        <w:t>We</w:t>
      </w:r>
      <w:r w:rsidR="00CE79F1">
        <w:rPr>
          <w:rFonts w:cs="Calibri Light"/>
        </w:rPr>
        <w:t xml:space="preserve"> observed the emergence of a carbonyl stretch</w:t>
      </w:r>
      <w:r w:rsidR="005C081B">
        <w:rPr>
          <w:rFonts w:cs="Calibri Light"/>
        </w:rPr>
        <w:t xml:space="preserve"> (1680 cm</w:t>
      </w:r>
      <w:r w:rsidR="005C081B" w:rsidRPr="005C081B">
        <w:rPr>
          <w:rFonts w:cs="Calibri Light"/>
          <w:vertAlign w:val="superscript"/>
        </w:rPr>
        <w:t>-1</w:t>
      </w:r>
      <w:r w:rsidR="005C081B">
        <w:rPr>
          <w:rFonts w:cs="Calibri Light"/>
        </w:rPr>
        <w:t xml:space="preserve">) </w:t>
      </w:r>
      <w:r w:rsidR="00CE79F1">
        <w:rPr>
          <w:rFonts w:cs="Calibri Light"/>
        </w:rPr>
        <w:t xml:space="preserve"> </w:t>
      </w:r>
      <w:r w:rsidR="005C081B">
        <w:rPr>
          <w:rFonts w:cs="Calibri Light"/>
        </w:rPr>
        <w:t>band as well as a surface-bound C-N stretch (1450 cm</w:t>
      </w:r>
      <w:r w:rsidR="005C081B" w:rsidRPr="005C081B">
        <w:rPr>
          <w:rFonts w:cs="Calibri Light"/>
          <w:vertAlign w:val="superscript"/>
        </w:rPr>
        <w:t>-1</w:t>
      </w:r>
      <w:r w:rsidR="005C081B">
        <w:rPr>
          <w:rFonts w:cs="Calibri Light"/>
        </w:rPr>
        <w:t xml:space="preserve">) band both likely </w:t>
      </w:r>
      <w:r w:rsidR="00CE79F1">
        <w:rPr>
          <w:rFonts w:cs="Calibri Light"/>
        </w:rPr>
        <w:t xml:space="preserve">related to urea on metallic Au modified with a, a </w:t>
      </w:r>
      <w:r w:rsidR="002429B0">
        <w:rPr>
          <w:rFonts w:cs="Calibri Light"/>
        </w:rPr>
        <w:t xml:space="preserve">electrochemically inert </w:t>
      </w:r>
      <w:r w:rsidR="00CE79F1">
        <w:rPr>
          <w:rFonts w:cs="Calibri Light"/>
        </w:rPr>
        <w:t xml:space="preserve">COF containing a </w:t>
      </w:r>
      <w:r w:rsidR="002429B0">
        <w:rPr>
          <w:rFonts w:cs="Calibri Light"/>
        </w:rPr>
        <w:t xml:space="preserve"> Azo-</w:t>
      </w:r>
      <w:r w:rsidR="00CE79F1">
        <w:rPr>
          <w:rFonts w:cs="Calibri Light"/>
        </w:rPr>
        <w:t>function in its linker.</w:t>
      </w:r>
      <w:r w:rsidR="00C91988">
        <w:rPr>
          <w:rFonts w:cs="Calibri Light"/>
        </w:rPr>
        <w:fldChar w:fldCharType="begin"/>
      </w:r>
      <w:r w:rsidR="00C91988">
        <w:rPr>
          <w:rFonts w:cs="Calibri Light"/>
        </w:rPr>
        <w:instrText xml:space="preserve"> ADDIN ZOTERO_ITEM CSL_CITATION {"citationID":"PGkjJcTo","properties":{"formattedCitation":"\\super 3\\nosupersub{}","plainCitation":"3","noteIndex":0},"citationItems":[{"id":2980,"uris":["http://zotero.org/users/local/ZWoTsGQI/items/4GA9FVCL"],"itemData":{"id":2980,"type":"book","note":"DOI: 10.26434/chemrxiv.15000669/v1","title":"Controlling Confinement: Covalent Organic Frameworks induced Confinement of Water probed via EC-SEIRAS","author":[{"family":"Weidemann","given":"Yannick"},{"family":"Hosseini","given":"Pouya"},{"family":"Rodríguez-Camargo","given":"Andrés"},{"family":"Liu","given":"Lu"},{"family":"Moussa","given":"Bashar"},{"family":"Graf","given":"Daniel"},{"family":"Ochsenfeld","given":"Christian"},{"family":"Petersen","given":"Poul"},{"family":"Lotsch","given":"Bettina V."},{"family":"Tschulik","given":"Kristina"}],"issued":{"date-parts":[["2026",1,1]]}}}],"schema":"https://github.com/citation-style-language/schema/raw/master/csl-citation.json"} </w:instrText>
      </w:r>
      <w:r w:rsidR="00C91988">
        <w:rPr>
          <w:rFonts w:cs="Calibri Light"/>
        </w:rPr>
        <w:fldChar w:fldCharType="separate"/>
      </w:r>
      <w:r w:rsidR="00C91988" w:rsidRPr="00C91988">
        <w:rPr>
          <w:vertAlign w:val="superscript"/>
        </w:rPr>
        <w:t>3</w:t>
      </w:r>
      <w:r w:rsidR="00C91988">
        <w:rPr>
          <w:rFonts w:cs="Calibri Light"/>
        </w:rPr>
        <w:fldChar w:fldCharType="end"/>
      </w:r>
      <w:r w:rsidR="00CE79F1">
        <w:rPr>
          <w:rFonts w:cs="Calibri Light"/>
        </w:rPr>
        <w:t xml:space="preserve"> To further validate </w:t>
      </w:r>
      <w:r w:rsidR="005C081B">
        <w:rPr>
          <w:rFonts w:cs="Calibri Light"/>
        </w:rPr>
        <w:t>urea formation</w:t>
      </w:r>
      <w:r w:rsidR="00CE79F1">
        <w:rPr>
          <w:rFonts w:cs="Calibri Light"/>
        </w:rPr>
        <w:t xml:space="preserve">, we performed long-term electrolysis and </w:t>
      </w:r>
      <w:r w:rsidR="005C081B">
        <w:rPr>
          <w:rFonts w:cs="Calibri Light"/>
        </w:rPr>
        <w:t>determined</w:t>
      </w:r>
      <w:r w:rsidR="00CE79F1">
        <w:rPr>
          <w:rFonts w:cs="Calibri Light"/>
        </w:rPr>
        <w:t xml:space="preserve"> </w:t>
      </w:r>
      <w:r w:rsidR="00E202CC">
        <w:rPr>
          <w:rFonts w:cs="Calibri Light"/>
        </w:rPr>
        <w:t xml:space="preserve">a </w:t>
      </w:r>
      <w:r w:rsidR="00E202CC">
        <w:rPr>
          <w:rFonts w:cs="Calibri Light"/>
        </w:rPr>
        <w:t xml:space="preserve">urea formation rate of </w:t>
      </w:r>
      <m:oMath>
        <m:r>
          <m:rPr>
            <m:sty m:val="p"/>
          </m:rPr>
          <w:rPr>
            <w:rFonts w:ascii="Cambria Math" w:hAnsi="Cambria Math" w:cs="Calibri Light"/>
          </w:rPr>
          <m:t>5.74</m:t>
        </m:r>
        <m:r>
          <w:rPr>
            <w:rFonts w:ascii="Cambria Math" w:hAnsi="Cambria Math" w:cs="Calibri Light"/>
          </w:rPr>
          <m:t>±1.73 </m:t>
        </m:r>
        <m:f>
          <m:fPr>
            <m:ctrlPr>
              <w:rPr>
                <w:rFonts w:ascii="Cambria Math" w:hAnsi="Cambria Math" w:cs="Calibri Light"/>
                <w:i/>
                <w:iCs/>
              </w:rPr>
            </m:ctrlPr>
          </m:fPr>
          <m:num>
            <m:r>
              <w:rPr>
                <w:rFonts w:ascii="Cambria Math" w:hAnsi="Cambria Math" w:cs="Calibri Light"/>
              </w:rPr>
              <m:t>µMol</m:t>
            </m:r>
          </m:num>
          <m:den>
            <m:r>
              <w:rPr>
                <w:rFonts w:ascii="Cambria Math" w:hAnsi="Cambria Math" w:cs="Calibri Light"/>
              </w:rPr>
              <m:t>h</m:t>
            </m:r>
            <m:sSup>
              <m:sSupPr>
                <m:ctrlPr>
                  <w:rPr>
                    <w:rFonts w:ascii="Cambria Math" w:hAnsi="Cambria Math" w:cs="Calibri Light"/>
                    <w:i/>
                    <w:iCs/>
                  </w:rPr>
                </m:ctrlPr>
              </m:sSupPr>
              <m:e>
                <m:r>
                  <w:rPr>
                    <w:rFonts w:ascii="Cambria Math" w:hAnsi="Cambria Math" w:cs="Calibri Light"/>
                  </w:rPr>
                  <m:t> cm</m:t>
                </m:r>
              </m:e>
              <m:sup>
                <m:r>
                  <w:rPr>
                    <w:rFonts w:ascii="Cambria Math" w:hAnsi="Cambria Math" w:cs="Calibri Light"/>
                  </w:rPr>
                  <m:t>2</m:t>
                </m:r>
              </m:sup>
            </m:sSup>
          </m:den>
        </m:f>
      </m:oMath>
      <w:r w:rsidR="00E202CC">
        <w:rPr>
          <w:rFonts w:cs="Calibri Light"/>
          <w:iCs/>
        </w:rPr>
        <w:t xml:space="preserve"> </w:t>
      </w:r>
      <w:r w:rsidR="00CE79F1">
        <w:rPr>
          <w:rFonts w:cs="Calibri Light"/>
        </w:rPr>
        <w:t>via the coulometric DAMO</w:t>
      </w:r>
      <w:r w:rsidR="00B83B5D">
        <w:rPr>
          <w:rFonts w:cs="Calibri Light"/>
        </w:rPr>
        <w:t xml:space="preserve"> (</w:t>
      </w:r>
      <w:proofErr w:type="spellStart"/>
      <w:r w:rsidR="00B83B5D">
        <w:rPr>
          <w:rFonts w:cs="Calibri Light"/>
        </w:rPr>
        <w:t>diacetylmonoxime</w:t>
      </w:r>
      <w:proofErr w:type="spellEnd"/>
      <w:r w:rsidR="00B83B5D">
        <w:rPr>
          <w:rFonts w:cs="Calibri Light"/>
        </w:rPr>
        <w:t>)</w:t>
      </w:r>
      <w:r w:rsidR="00CE79F1">
        <w:rPr>
          <w:rFonts w:cs="Calibri Light"/>
        </w:rPr>
        <w:t xml:space="preserve"> approach</w:t>
      </w:r>
      <w:r w:rsidR="00E202CC">
        <w:rPr>
          <w:rFonts w:cs="Calibri Light"/>
        </w:rPr>
        <w:t>.</w:t>
      </w:r>
      <w:r w:rsidR="00CE79F1">
        <w:rPr>
          <w:rFonts w:cs="Calibri Light"/>
        </w:rPr>
        <w:t xml:space="preserve"> </w:t>
      </w:r>
      <w:r w:rsidR="00CE79F1">
        <w:rPr>
          <w:rFonts w:cs="Calibri Light"/>
          <w:iCs/>
        </w:rPr>
        <w:t>This work highlights the possibilities of</w:t>
      </w:r>
      <w:r w:rsidR="00E202CC">
        <w:rPr>
          <w:rFonts w:cs="Calibri Light"/>
          <w:iCs/>
        </w:rPr>
        <w:t xml:space="preserve"> identifying and</w:t>
      </w:r>
      <w:r w:rsidR="00CE79F1">
        <w:rPr>
          <w:rFonts w:cs="Calibri Light"/>
          <w:iCs/>
        </w:rPr>
        <w:t xml:space="preserve"> exploiting confinement to steer reaction</w:t>
      </w:r>
      <w:r w:rsidR="00E202CC">
        <w:rPr>
          <w:rFonts w:cs="Calibri Light"/>
          <w:iCs/>
        </w:rPr>
        <w:t xml:space="preserve"> pathways and</w:t>
      </w:r>
      <w:r w:rsidR="00CE79F1">
        <w:rPr>
          <w:rFonts w:cs="Calibri Light"/>
          <w:iCs/>
        </w:rPr>
        <w:t xml:space="preserve"> selectivity</w:t>
      </w:r>
      <w:r w:rsidR="005C081B">
        <w:rPr>
          <w:rFonts w:cs="Calibri Light"/>
          <w:iCs/>
        </w:rPr>
        <w:t xml:space="preserve"> </w:t>
      </w:r>
      <w:r w:rsidR="00E202CC">
        <w:rPr>
          <w:rFonts w:cs="Calibri Light"/>
          <w:iCs/>
        </w:rPr>
        <w:t>based on</w:t>
      </w:r>
      <w:r w:rsidR="00CE79F1">
        <w:rPr>
          <w:rFonts w:cs="Calibri Light"/>
          <w:iCs/>
        </w:rPr>
        <w:t xml:space="preserve"> knowledge driven electrocatalyst design.</w:t>
      </w:r>
    </w:p>
    <w:p w14:paraId="501DC33C" w14:textId="77777777" w:rsidR="009361CD" w:rsidRDefault="009361CD" w:rsidP="00CE79F1">
      <w:pPr>
        <w:spacing w:after="80"/>
        <w:jc w:val="both"/>
        <w:rPr>
          <w:rFonts w:cs="Calibri Light"/>
          <w:iCs/>
        </w:rPr>
      </w:pPr>
    </w:p>
    <w:p w14:paraId="0BD51D8D" w14:textId="77777777" w:rsidR="009361CD" w:rsidRDefault="009361CD" w:rsidP="009361CD">
      <w:pPr>
        <w:keepNext/>
        <w:spacing w:after="80"/>
        <w:jc w:val="center"/>
      </w:pPr>
      <w:r>
        <w:rPr>
          <w:rFonts w:cs="Calibri Light"/>
          <w:noProof/>
        </w:rPr>
        <w:drawing>
          <wp:inline distT="0" distB="0" distL="0" distR="0" wp14:anchorId="323570F9" wp14:editId="74C27D09">
            <wp:extent cx="1837508" cy="2038350"/>
            <wp:effectExtent l="0" t="0" r="0" b="0"/>
            <wp:docPr id="1310994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28A0092B-C50C-407E-A947-70E740481C1C}">
                          <a14:useLocalDpi xmlns:a14="http://schemas.microsoft.com/office/drawing/2010/main" val="0"/>
                        </a:ext>
                      </a:extLst>
                    </a:blip>
                    <a:srcRect l="4928" t="6017" b="8130"/>
                    <a:stretch>
                      <a:fillRect/>
                    </a:stretch>
                  </pic:blipFill>
                  <pic:spPr bwMode="auto">
                    <a:xfrm>
                      <a:off x="0" y="0"/>
                      <a:ext cx="1849786" cy="2051970"/>
                    </a:xfrm>
                    <a:prstGeom prst="rect">
                      <a:avLst/>
                    </a:prstGeom>
                    <a:noFill/>
                    <a:ln>
                      <a:noFill/>
                    </a:ln>
                    <a:extLst>
                      <a:ext uri="{53640926-AAD7-44D8-BBD7-CCE9431645EC}">
                        <a14:shadowObscured xmlns:a14="http://schemas.microsoft.com/office/drawing/2010/main"/>
                      </a:ext>
                    </a:extLst>
                  </pic:spPr>
                </pic:pic>
              </a:graphicData>
            </a:graphic>
          </wp:inline>
        </w:drawing>
      </w:r>
    </w:p>
    <w:p w14:paraId="0F309F6C" w14:textId="028CA58B" w:rsidR="009361CD" w:rsidRPr="009361CD" w:rsidRDefault="009361CD" w:rsidP="009361CD">
      <w:pPr>
        <w:pStyle w:val="Caption"/>
        <w:jc w:val="both"/>
        <w:rPr>
          <w:rFonts w:cs="Calibri Light"/>
          <w:i w:val="0"/>
          <w:iCs w:val="0"/>
          <w:color w:val="auto"/>
          <w:sz w:val="20"/>
          <w:szCs w:val="20"/>
        </w:rPr>
      </w:pPr>
      <w:r w:rsidRPr="009361CD">
        <w:rPr>
          <w:i w:val="0"/>
          <w:iCs w:val="0"/>
          <w:color w:val="auto"/>
          <w:sz w:val="20"/>
          <w:szCs w:val="20"/>
        </w:rPr>
        <w:t xml:space="preserve">Figure </w:t>
      </w:r>
      <w:r w:rsidRPr="009361CD">
        <w:rPr>
          <w:i w:val="0"/>
          <w:iCs w:val="0"/>
          <w:color w:val="auto"/>
          <w:sz w:val="20"/>
          <w:szCs w:val="20"/>
        </w:rPr>
        <w:fldChar w:fldCharType="begin"/>
      </w:r>
      <w:r w:rsidRPr="009361CD">
        <w:rPr>
          <w:i w:val="0"/>
          <w:iCs w:val="0"/>
          <w:color w:val="auto"/>
          <w:sz w:val="20"/>
          <w:szCs w:val="20"/>
        </w:rPr>
        <w:instrText xml:space="preserve"> SEQ Figure \* ARABIC </w:instrText>
      </w:r>
      <w:r w:rsidRPr="009361CD">
        <w:rPr>
          <w:i w:val="0"/>
          <w:iCs w:val="0"/>
          <w:color w:val="auto"/>
          <w:sz w:val="20"/>
          <w:szCs w:val="20"/>
        </w:rPr>
        <w:fldChar w:fldCharType="separate"/>
      </w:r>
      <w:r w:rsidRPr="009361CD">
        <w:rPr>
          <w:i w:val="0"/>
          <w:iCs w:val="0"/>
          <w:noProof/>
          <w:color w:val="auto"/>
          <w:sz w:val="20"/>
          <w:szCs w:val="20"/>
        </w:rPr>
        <w:t>1</w:t>
      </w:r>
      <w:r w:rsidRPr="009361CD">
        <w:rPr>
          <w:i w:val="0"/>
          <w:iCs w:val="0"/>
          <w:color w:val="auto"/>
          <w:sz w:val="20"/>
          <w:szCs w:val="20"/>
        </w:rPr>
        <w:fldChar w:fldCharType="end"/>
      </w:r>
      <w:r w:rsidRPr="009361CD">
        <w:rPr>
          <w:i w:val="0"/>
          <w:iCs w:val="0"/>
          <w:color w:val="auto"/>
          <w:sz w:val="20"/>
          <w:szCs w:val="20"/>
        </w:rPr>
        <w:t xml:space="preserve">: Schematic showing electrochemical urea synthesis with a Covalent organic framework modified </w:t>
      </w:r>
      <w:r>
        <w:rPr>
          <w:i w:val="0"/>
          <w:iCs w:val="0"/>
          <w:color w:val="auto"/>
          <w:sz w:val="20"/>
          <w:szCs w:val="20"/>
        </w:rPr>
        <w:t xml:space="preserve">Au </w:t>
      </w:r>
      <w:r w:rsidRPr="009361CD">
        <w:rPr>
          <w:i w:val="0"/>
          <w:iCs w:val="0"/>
          <w:color w:val="auto"/>
          <w:sz w:val="20"/>
          <w:szCs w:val="20"/>
        </w:rPr>
        <w:t>electrode</w:t>
      </w:r>
      <w:r>
        <w:rPr>
          <w:i w:val="0"/>
          <w:iCs w:val="0"/>
          <w:color w:val="auto"/>
          <w:sz w:val="20"/>
          <w:szCs w:val="20"/>
        </w:rPr>
        <w:t>.</w:t>
      </w:r>
    </w:p>
    <w:p w14:paraId="693FF20E" w14:textId="77777777" w:rsidR="00325004" w:rsidRDefault="00325004" w:rsidP="00E0716D">
      <w:pPr>
        <w:jc w:val="both"/>
      </w:pPr>
    </w:p>
    <w:p w14:paraId="5535E863" w14:textId="77777777" w:rsidR="00325004" w:rsidRDefault="00325004" w:rsidP="00E0716D">
      <w:pPr>
        <w:jc w:val="both"/>
      </w:pPr>
    </w:p>
    <w:p w14:paraId="2E2E9509" w14:textId="77777777" w:rsidR="00C91988" w:rsidRPr="00C91988" w:rsidRDefault="00C91988" w:rsidP="00C91988">
      <w:pPr>
        <w:pStyle w:val="Bibliography"/>
      </w:pPr>
      <w:r>
        <w:fldChar w:fldCharType="begin"/>
      </w:r>
      <w:r>
        <w:instrText xml:space="preserve"> ADDIN ZOTERO_BIBL {"uncited":[],"omitted":[],"custom":[]} CSL_BIBLIOGRAPHY </w:instrText>
      </w:r>
      <w:r>
        <w:fldChar w:fldCharType="separate"/>
      </w:r>
      <w:r w:rsidRPr="00C91988">
        <w:t>(1)</w:t>
      </w:r>
      <w:r w:rsidRPr="00C91988">
        <w:tab/>
        <w:t xml:space="preserve">Costa, G. F.; Escudero-Escribano, M. Electrode-Electrolyte Engineering and In Situ Spectroscopy for Urea Electrosynthesis from Carbon Dioxide and Nitrate Co-Reduction. </w:t>
      </w:r>
      <w:r w:rsidRPr="00C91988">
        <w:rPr>
          <w:i/>
          <w:iCs/>
        </w:rPr>
        <w:t>JACS Au</w:t>
      </w:r>
      <w:r w:rsidRPr="00C91988">
        <w:t xml:space="preserve"> </w:t>
      </w:r>
      <w:r w:rsidRPr="00C91988">
        <w:rPr>
          <w:b/>
          <w:bCs/>
        </w:rPr>
        <w:t>2025</w:t>
      </w:r>
      <w:r w:rsidRPr="00C91988">
        <w:t xml:space="preserve">, </w:t>
      </w:r>
      <w:r w:rsidRPr="00C91988">
        <w:rPr>
          <w:i/>
          <w:iCs/>
        </w:rPr>
        <w:t>5</w:t>
      </w:r>
      <w:r w:rsidRPr="00C91988">
        <w:t xml:space="preserve"> (4), 1538–1548. https://doi.org/10.1021/jacsau.5c00065.</w:t>
      </w:r>
    </w:p>
    <w:p w14:paraId="4C184160" w14:textId="77777777" w:rsidR="00C91988" w:rsidRPr="00C91988" w:rsidRDefault="00C91988" w:rsidP="00C91988">
      <w:pPr>
        <w:pStyle w:val="Bibliography"/>
      </w:pPr>
      <w:r w:rsidRPr="00C91988">
        <w:t>(2)</w:t>
      </w:r>
      <w:r w:rsidRPr="00C91988">
        <w:tab/>
        <w:t xml:space="preserve">Wordsworth, J.; Benedetti, T. M.; Somerville, S. V.; Schuhmann, W.; Tilley, R. D.; Gooding, J. J. The Influence of Nanoconfinement on Electrocatalysis. </w:t>
      </w:r>
      <w:r w:rsidRPr="00C91988">
        <w:rPr>
          <w:i/>
          <w:iCs/>
        </w:rPr>
        <w:t>Angew. Chem. Int. Ed Engl.</w:t>
      </w:r>
      <w:r w:rsidRPr="00C91988">
        <w:t xml:space="preserve"> </w:t>
      </w:r>
      <w:r w:rsidRPr="00C91988">
        <w:rPr>
          <w:b/>
          <w:bCs/>
        </w:rPr>
        <w:t>2022</w:t>
      </w:r>
      <w:r w:rsidRPr="00C91988">
        <w:t xml:space="preserve">, </w:t>
      </w:r>
      <w:r w:rsidRPr="00C91988">
        <w:rPr>
          <w:i/>
          <w:iCs/>
        </w:rPr>
        <w:t>61</w:t>
      </w:r>
      <w:r w:rsidRPr="00C91988">
        <w:t xml:space="preserve"> (28), 202200755. https://doi.org/10.1002/anie.202200755.</w:t>
      </w:r>
    </w:p>
    <w:p w14:paraId="5990E82D" w14:textId="77777777" w:rsidR="00C91988" w:rsidRPr="00C91988" w:rsidRDefault="00C91988" w:rsidP="00C91988">
      <w:pPr>
        <w:pStyle w:val="Bibliography"/>
      </w:pPr>
      <w:r w:rsidRPr="00C91988">
        <w:t>(3)</w:t>
      </w:r>
      <w:r w:rsidRPr="00C91988">
        <w:tab/>
        <w:t xml:space="preserve">Weidemann, Y.; Hosseini, P.; Rodríguez-Camargo, A.; Liu, L.; Moussa, B.; Graf, D.; Ochsenfeld, C.; Petersen, P.; Lotsch, B. V.; Tschulik, K. </w:t>
      </w:r>
      <w:r w:rsidRPr="00C91988">
        <w:rPr>
          <w:i/>
          <w:iCs/>
        </w:rPr>
        <w:t>Controlling Confinement: Covalent Organic Frameworks Induced Confinement of Water Probed via EC-SEIRAS</w:t>
      </w:r>
      <w:r w:rsidRPr="00C91988">
        <w:t>; 2026. https://doi.org/10.26434/chemrxiv.15000669/v1.</w:t>
      </w:r>
    </w:p>
    <w:p w14:paraId="10210DFC" w14:textId="4275EB4F" w:rsidR="00E0716D" w:rsidRDefault="00C91988" w:rsidP="00E0716D">
      <w:pPr>
        <w:jc w:val="both"/>
      </w:pPr>
      <w:r>
        <w:fldChar w:fldCharType="end"/>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0011B"/>
    <w:rsid w:val="00041EFD"/>
    <w:rsid w:val="00156FE1"/>
    <w:rsid w:val="002429B0"/>
    <w:rsid w:val="00325004"/>
    <w:rsid w:val="00536366"/>
    <w:rsid w:val="005637E6"/>
    <w:rsid w:val="005C081B"/>
    <w:rsid w:val="00685C1A"/>
    <w:rsid w:val="00692B72"/>
    <w:rsid w:val="006E4C97"/>
    <w:rsid w:val="007179BF"/>
    <w:rsid w:val="00904665"/>
    <w:rsid w:val="009361CD"/>
    <w:rsid w:val="00A87549"/>
    <w:rsid w:val="00B561C0"/>
    <w:rsid w:val="00B83B5D"/>
    <w:rsid w:val="00C91988"/>
    <w:rsid w:val="00CE79F1"/>
    <w:rsid w:val="00E0716D"/>
    <w:rsid w:val="00E202CC"/>
    <w:rsid w:val="00F87136"/>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AB8519"/>
  <w14:defaultImageDpi w14:val="300"/>
  <w15:docId w15:val="{81252B8F-C75C-41F2-A54B-37B02BB9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91988"/>
    <w:pPr>
      <w:tabs>
        <w:tab w:val="left" w:pos="384"/>
      </w:tabs>
      <w:ind w:left="384" w:hanging="384"/>
    </w:pPr>
  </w:style>
  <w:style w:type="paragraph" w:styleId="Caption">
    <w:name w:val="caption"/>
    <w:basedOn w:val="Normal"/>
    <w:next w:val="Normal"/>
    <w:uiPriority w:val="35"/>
    <w:unhideWhenUsed/>
    <w:qFormat/>
    <w:rsid w:val="009361CD"/>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Weidemann, Yannick</cp:lastModifiedBy>
  <cp:revision>12</cp:revision>
  <cp:lastPrinted>2013-10-21T12:07:00Z</cp:lastPrinted>
  <dcterms:created xsi:type="dcterms:W3CDTF">2026-05-27T08:25:00Z</dcterms:created>
  <dcterms:modified xsi:type="dcterms:W3CDTF">2026-05-29T08:50:00Z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id="BX602oLc"/&gt;&lt;style id="http://www.zotero.org/styles/american-chemical-society" hasBibliography="1" bibliographyStyleHasBeenSet="1"/&gt;&lt;prefs&gt;&lt;pref name="fieldType" value="Field"/&gt;&lt;pref name="automat</vt:lpwstr>
  </property>
  <property fmtid="{D5CDD505-2E9C-101B-9397-08002B2CF9AE}" pid="3" name="ZOTERO_PREF_2">
    <vt:lpwstr>icJournalAbbreviations" value="true"/&gt;&lt;/prefs&gt;&lt;/data&gt;</vt:lpwstr>
  </property>
</Properties>
</file>