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FCD0C" w14:textId="77777777" w:rsidR="00A5764C" w:rsidRPr="00AF3AF8" w:rsidRDefault="00A5764C" w:rsidP="00A5764C">
      <w:pPr>
        <w:pStyle w:val="Title"/>
      </w:pPr>
      <w:r w:rsidRPr="00601915">
        <w:rPr>
          <w:bCs/>
        </w:rPr>
        <w:t>From waste to energy future:</w:t>
      </w:r>
      <w:r w:rsidRPr="00AF3AF8">
        <w:t xml:space="preserve"> r</w:t>
      </w:r>
      <w:r w:rsidRPr="00601915">
        <w:t>ecycling carbon from spent batteries for application in new</w:t>
      </w:r>
      <w:r w:rsidRPr="00AF3AF8">
        <w:t xml:space="preserve"> </w:t>
      </w:r>
      <w:r w:rsidRPr="00601915">
        <w:t>electrodes for flexible supercapacitors</w:t>
      </w:r>
    </w:p>
    <w:p w14:paraId="216DC9C0" w14:textId="77777777" w:rsidR="00325004" w:rsidRPr="00F83AFE" w:rsidRDefault="00325004" w:rsidP="00E0716D">
      <w:pPr>
        <w:jc w:val="center"/>
        <w:rPr>
          <w:b/>
          <w:szCs w:val="14"/>
          <w:lang w:val="en-GB"/>
        </w:rPr>
      </w:pPr>
    </w:p>
    <w:p w14:paraId="48F8F79F" w14:textId="6F1C3D99" w:rsidR="00071CC5" w:rsidRPr="00933D87" w:rsidRDefault="009B14F7" w:rsidP="009B14F7">
      <w:pPr>
        <w:ind w:left="432" w:right="432"/>
        <w:jc w:val="center"/>
        <w:rPr>
          <w:u w:val="single"/>
          <w:lang w:val="pt-PT"/>
        </w:rPr>
      </w:pPr>
      <w:r w:rsidRPr="00933D87">
        <w:rPr>
          <w:u w:val="single"/>
          <w:lang w:val="pt-PT"/>
        </w:rPr>
        <w:t>Khan</w:t>
      </w:r>
      <w:r>
        <w:rPr>
          <w:u w:val="single"/>
          <w:lang w:val="pt-PT"/>
        </w:rPr>
        <w:t xml:space="preserve"> </w:t>
      </w:r>
      <w:r w:rsidR="00071CC5" w:rsidRPr="00933D87">
        <w:rPr>
          <w:u w:val="single"/>
          <w:lang w:val="pt-PT"/>
        </w:rPr>
        <w:t xml:space="preserve">Nishat </w:t>
      </w:r>
      <w:r>
        <w:rPr>
          <w:u w:val="single"/>
          <w:lang w:val="pt-PT"/>
        </w:rPr>
        <w:t>S.</w:t>
      </w:r>
      <w:r w:rsidR="00B50FDC" w:rsidRPr="00933D87">
        <w:rPr>
          <w:u w:val="single"/>
          <w:vertAlign w:val="superscript"/>
          <w:lang w:val="pt-PT"/>
        </w:rPr>
        <w:t>a</w:t>
      </w:r>
      <w:r w:rsidR="00071CC5" w:rsidRPr="00933D87">
        <w:rPr>
          <w:u w:val="single"/>
          <w:lang w:val="pt-PT"/>
        </w:rPr>
        <w:t xml:space="preserve">*; </w:t>
      </w:r>
      <w:r w:rsidR="00B50FDC" w:rsidRPr="00933D87">
        <w:rPr>
          <w:u w:val="single"/>
          <w:lang w:val="pt-PT"/>
        </w:rPr>
        <w:t>Taryba Maryna</w:t>
      </w:r>
      <w:r w:rsidR="00ED3B8B" w:rsidRPr="00933D87">
        <w:rPr>
          <w:u w:val="single"/>
          <w:vertAlign w:val="superscript"/>
          <w:lang w:val="pt-PT"/>
        </w:rPr>
        <w:t>a</w:t>
      </w:r>
      <w:r w:rsidR="00B50FDC" w:rsidRPr="00933D87">
        <w:rPr>
          <w:u w:val="single"/>
          <w:lang w:val="pt-PT"/>
        </w:rPr>
        <w:t xml:space="preserve">, </w:t>
      </w:r>
      <w:r w:rsidR="00071CC5" w:rsidRPr="00933D87">
        <w:rPr>
          <w:u w:val="single"/>
          <w:lang w:val="pt-PT"/>
        </w:rPr>
        <w:t>Sampaio</w:t>
      </w:r>
      <w:r w:rsidR="00B50FDC" w:rsidRPr="00933D87">
        <w:rPr>
          <w:u w:val="single"/>
          <w:lang w:val="pt-PT"/>
        </w:rPr>
        <w:t xml:space="preserve"> </w:t>
      </w:r>
      <w:r w:rsidR="00071CC5" w:rsidRPr="00933D87">
        <w:rPr>
          <w:u w:val="single"/>
          <w:lang w:val="pt-PT"/>
        </w:rPr>
        <w:t>Rui</w:t>
      </w:r>
      <w:r w:rsidR="00071CC5" w:rsidRPr="00933D87">
        <w:rPr>
          <w:u w:val="single"/>
          <w:vertAlign w:val="superscript"/>
          <w:lang w:val="pt-PT"/>
        </w:rPr>
        <w:t>a</w:t>
      </w:r>
      <w:r w:rsidR="00B50FDC" w:rsidRPr="00933D87">
        <w:rPr>
          <w:u w:val="single"/>
          <w:lang w:val="pt-PT"/>
        </w:rPr>
        <w:t>,</w:t>
      </w:r>
      <w:r w:rsidR="00071CC5" w:rsidRPr="00933D87">
        <w:rPr>
          <w:u w:val="single"/>
          <w:lang w:val="pt-PT"/>
        </w:rPr>
        <w:t xml:space="preserve"> Montemor</w:t>
      </w:r>
      <w:r w:rsidR="00B50FDC" w:rsidRPr="00933D87">
        <w:rPr>
          <w:u w:val="single"/>
          <w:lang w:val="pt-PT"/>
        </w:rPr>
        <w:t xml:space="preserve"> </w:t>
      </w:r>
      <w:r w:rsidR="00071CC5" w:rsidRPr="00933D87">
        <w:rPr>
          <w:u w:val="single"/>
          <w:lang w:val="pt-PT"/>
        </w:rPr>
        <w:t xml:space="preserve">M. </w:t>
      </w:r>
      <w:r w:rsidR="00B50FDC" w:rsidRPr="00933D87">
        <w:rPr>
          <w:u w:val="single"/>
          <w:lang w:val="pt-PT"/>
        </w:rPr>
        <w:t>Fátima</w:t>
      </w:r>
      <w:r w:rsidR="00B50FDC" w:rsidRPr="00933D87">
        <w:rPr>
          <w:u w:val="single"/>
          <w:vertAlign w:val="superscript"/>
          <w:lang w:val="pt-PT"/>
        </w:rPr>
        <w:t>a</w:t>
      </w:r>
    </w:p>
    <w:p w14:paraId="54FD68DA" w14:textId="48E11EE2" w:rsidR="00325004" w:rsidRPr="00933D87" w:rsidRDefault="00071CC5" w:rsidP="00B50FDC">
      <w:pPr>
        <w:jc w:val="center"/>
        <w:rPr>
          <w:i/>
          <w:lang w:val="pt-PT"/>
        </w:rPr>
      </w:pPr>
      <w:r w:rsidRPr="00933D87">
        <w:rPr>
          <w:i/>
          <w:vertAlign w:val="superscript"/>
          <w:lang w:val="pt-PT"/>
        </w:rPr>
        <w:t xml:space="preserve">a </w:t>
      </w:r>
      <w:r w:rsidRPr="00933D87">
        <w:rPr>
          <w:i/>
          <w:lang w:val="pt-PT"/>
        </w:rPr>
        <w:t xml:space="preserve">Centro de Química Estrutural - Institute of Molecular Sciences, Universidade de Lisboa. </w:t>
      </w:r>
    </w:p>
    <w:p w14:paraId="18AC4AF0" w14:textId="586507F4" w:rsidR="00685C1A" w:rsidRPr="00685C1A" w:rsidRDefault="00A5764C" w:rsidP="00E0716D">
      <w:pPr>
        <w:jc w:val="center"/>
        <w:rPr>
          <w:i/>
        </w:rPr>
      </w:pPr>
      <w:r>
        <w:rPr>
          <w:i/>
        </w:rPr>
        <w:t>Nishat.khan@tecncio.ulisboa.pt</w:t>
      </w:r>
    </w:p>
    <w:p w14:paraId="24C3A791" w14:textId="77777777" w:rsidR="00325004" w:rsidRDefault="00325004" w:rsidP="00E0716D">
      <w:pPr>
        <w:jc w:val="center"/>
      </w:pPr>
    </w:p>
    <w:p w14:paraId="0492CA88" w14:textId="75F9FD9D" w:rsidR="006D318C" w:rsidRDefault="00863248" w:rsidP="006D318C">
      <w:pPr>
        <w:jc w:val="both"/>
      </w:pPr>
      <w:r w:rsidRPr="00863248">
        <w:t>The increasing generation of end-of-life lithium-ion batteries poses a significant environmental challenge, requiring sustainable recycling and valorisation strategies. Although hydrometallurgical processes are widely used to recover valuable metals, the graphite fraction is often underutilised or discarded as a low-value byproduct. Considering that graphite constitutes a substantial portion of battery anodes and contributes to the overall CO₂ footprint</w:t>
      </w:r>
      <w:r w:rsidR="009C1D05">
        <w:t xml:space="preserve"> </w:t>
      </w:r>
      <w:r w:rsidR="009C1D05">
        <w:fldChar w:fldCharType="begin" w:fldLock="1"/>
      </w:r>
      <w:r w:rsidR="009C1D05">
        <w:instrText>ADDIN CSL_CITATION {"citationItems":[{"id":"ITEM-1","itemData":{"DOI":"10.1016/j.rser.2025.115971","ISSN":"18790690","abstract":"Lithium-ion batteries (LIBs) have become a cornerstone technology in the transition towards a sustainable energy future, driven by their critical roles in electric vehicles, portable electronics, renewable energy integration, and grid-scale storage. This review provides a comprehensive evaluation of the current state of LIB technology, focusing on recent advancements in electrode materials, electrolytes—including solid-state variants, and separator design. The fundamental electrochemical principles underlying LIBs are discussed alongside engineering innovations that enhance performance, safety, and energy efficiency. In spite of their widespread adoption, LIBs face several pressing challenges, such as safety concerns, raw material scarcity, environmental impacts, and end-of-life disposal issues. This review not only explores these limitations, but also presents emerging strategies to address them through next-generation materials, advanced recycling technologies, and sustainable design approaches. Unlike previous studies that narrowly focus on performance improvements, this review emphasizes how existing challenges can be transformed into opportunities for industrial innovation, institutional research, and economic development. This review offers valuable insights into the future of energy storage by evaluating both the technical and practical aspects of LIB deployment. It presents a forward-looking perspective on the role of LIBs in shaping a cleaner, more resilient, and sustainable energy landscape, serving as a roadmap for continued innovation and responsible technology integration.","author":[{"dropping-particle":"","family":"Ngoy","given":"Kitalu Ricin","non-dropping-particle":"","parse-names":false,"suffix":""},{"dropping-particle":"","family":"Lukong","given":"Valantine Takwa","non-dropping-particle":"","parse-names":false,"suffix":""},{"dropping-particle":"","family":"Yoro","given":"Kelvin O.","non-dropping-particle":"","parse-names":false,"suffix":""},{"dropping-particle":"","family":"Makambo","given":"John Beya","non-dropping-particle":"","parse-names":false,"suffix":""},{"dropping-particle":"","family":"Chukwuati","given":"Nonso Christopher","non-dropping-particle":"","parse-names":false,"suffix":""},{"dropping-particle":"","family":"Ibegbulam","given":"Chinedu","non-dropping-particle":"","parse-names":false,"suffix":""},{"dropping-particle":"","family":"Eterigho-Ikelegbe","given":"Orevaoghene","non-dropping-particle":"","parse-names":false,"suffix":""},{"dropping-particle":"","family":"Ukoba","given":"Kingsley","non-dropping-particle":"","parse-names":false,"suffix":""},{"dropping-particle":"","family":"Jen","given":"Tien Chien","non-dropping-particle":"","parse-names":false,"suffix":""}],"container-title":"Renewable and Sustainable Energy Reviews","id":"ITEM-1","issue":"July","issued":{"date-parts":[["2025"]]},"page":"115971","publisher":"Elsevier Ltd","title":"Lithium-ion batteries and the future of sustainable energy: A comprehensive review","type":"article-journal","volume":"223"},"uris":["http://www.mendeley.com/documents/?uuid=be213af7-5f53-4191-b3d4-4ae5acbc00ee"]}],"mendeley":{"formattedCitation":"[1]","plainTextFormattedCitation":"[1]","previouslyFormattedCitation":"[1]"},"properties":{"noteIndex":0},"schema":"https://github.com/citation-style-language/schema/raw/master/csl-citation.json"}</w:instrText>
      </w:r>
      <w:r w:rsidR="009C1D05">
        <w:fldChar w:fldCharType="separate"/>
      </w:r>
      <w:r w:rsidR="009C1D05" w:rsidRPr="009C1D05">
        <w:rPr>
          <w:noProof/>
        </w:rPr>
        <w:t>[1]</w:t>
      </w:r>
      <w:r w:rsidR="009C1D05">
        <w:fldChar w:fldCharType="end"/>
      </w:r>
      <w:r w:rsidR="009C1D05">
        <w:t>, its</w:t>
      </w:r>
      <w:r w:rsidRPr="00863248">
        <w:t xml:space="preserve"> effective reuse is essential for improving the sustainability of battery recycling. This work</w:t>
      </w:r>
      <w:r>
        <w:t>, therefore,</w:t>
      </w:r>
      <w:r w:rsidRPr="00863248">
        <w:t xml:space="preserve"> aims to develop a viable strategy for the direct reutilisation of graphite recovered from spent lithium-ion batteries as a functional material.</w:t>
      </w:r>
    </w:p>
    <w:p w14:paraId="09B902DB" w14:textId="6DBBD23E" w:rsidR="006D318C" w:rsidRDefault="006D318C" w:rsidP="006D318C">
      <w:pPr>
        <w:jc w:val="both"/>
      </w:pPr>
      <w:r w:rsidRPr="006D318C">
        <w:t>In this context, graphite was employed to render textile substrates electrically conductive, forming a flexible current-collecting scaffold for energy storage applications</w:t>
      </w:r>
      <w:r w:rsidR="009C1D05">
        <w:t xml:space="preserve"> </w:t>
      </w:r>
      <w:r w:rsidR="009C1D05">
        <w:fldChar w:fldCharType="begin" w:fldLock="1"/>
      </w:r>
      <w:r w:rsidR="009C1D05">
        <w:instrText>ADDIN CSL_CITATION {"citationItems":[{"id":"ITEM-1","itemData":{"author":[{"dropping-particle":"","family":"Kumar","given":"Pradeep","non-dropping-particle":"","parse-names":false,"suffix":""},{"dropping-particle":"","family":"Sephra","given":"Percy","non-dropping-particle":"","parse-names":false,"suffix":""},{"dropping-particle":"","family":"Gupta","given":"Monika","non-dropping-particle":"","parse-names":false,"suffix":""},{"dropping-particle":"","family":"Jeoti","given":"Varun","non-dropping-particle":"","parse-names":false,"suffix":""},{"dropping-particle":"","family":"Tharini","given":"C","non-dropping-particle":"","parse-names":false,"suffix":""},{"dropping-particle":"","family":"Stojanovi","given":"Goran M","non-dropping-particle":"","parse-names":false,"suffix":""}],"id":"ITEM-1","issue":"January 2025","issued":{"date-parts":[["2026"]]},"title":"Flexible and sustainable energy storage : Recent progress and prospects in wearable supercapacitors","type":"article-journal","volume":"141"},"uris":["http://www.mendeley.com/documents/?uuid=3891a3b7-4f7e-4667-afdc-a97dff210120"]}],"mendeley":{"formattedCitation":"[2]","plainTextFormattedCitation":"[2]","previouslyFormattedCitation":"[2]"},"properties":{"noteIndex":0},"schema":"https://github.com/citation-style-language/schema/raw/master/csl-citation.json"}</w:instrText>
      </w:r>
      <w:r w:rsidR="009C1D05">
        <w:fldChar w:fldCharType="separate"/>
      </w:r>
      <w:r w:rsidR="009C1D05" w:rsidRPr="009C1D05">
        <w:rPr>
          <w:noProof/>
        </w:rPr>
        <w:t>[2]</w:t>
      </w:r>
      <w:r w:rsidR="009C1D05">
        <w:fldChar w:fldCharType="end"/>
      </w:r>
      <w:r w:rsidRPr="006D318C">
        <w:t xml:space="preserve">. The resulting conductive textile was subsequently functionalised via electrochemical polymerisation of polypyrrole to introduce additional electroactive sites. The electrochemical performance of the resulting electrodes was systematically evaluated, with emphasis on specific capacitance, cycling stability, and operational potential window. The optimised system demonstrates that </w:t>
      </w:r>
      <w:r w:rsidRPr="006D318C">
        <w:rPr>
          <w:bCs/>
        </w:rPr>
        <w:t>integrating recycled graphite with polypyrrole yields flexible,</w:t>
      </w:r>
      <w:r w:rsidRPr="006D318C">
        <w:t xml:space="preserve"> electrochemically stable electrodes suitable for supercapacitor applications. These results highlight a scalable and sustainable route for converting battery waste into high-value textile-based </w:t>
      </w:r>
      <w:r>
        <w:t>energy storage</w:t>
      </w:r>
      <w:r w:rsidRPr="006D318C">
        <w:t xml:space="preserve"> materials</w:t>
      </w:r>
      <w:r>
        <w:t>.</w:t>
      </w:r>
    </w:p>
    <w:p w14:paraId="75EF0CF6" w14:textId="77777777" w:rsidR="006D318C" w:rsidRDefault="006D318C" w:rsidP="006D318C">
      <w:pPr>
        <w:jc w:val="both"/>
      </w:pPr>
    </w:p>
    <w:p w14:paraId="0657FC8C" w14:textId="3B7FFD75" w:rsidR="00F83AFE" w:rsidRDefault="006D318C" w:rsidP="006D318C">
      <w:pPr>
        <w:jc w:val="center"/>
      </w:pPr>
      <w:r w:rsidRPr="006D318C">
        <w:t>.</w:t>
      </w:r>
      <w:r w:rsidR="00863248">
        <w:rPr>
          <w:noProof/>
        </w:rPr>
        <w:drawing>
          <wp:inline distT="0" distB="0" distL="0" distR="0" wp14:anchorId="48103A05" wp14:editId="171A9CED">
            <wp:extent cx="3721210" cy="2354618"/>
            <wp:effectExtent l="0" t="0" r="0" b="0"/>
            <wp:docPr id="139041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86347" cy="2395834"/>
                    </a:xfrm>
                    <a:prstGeom prst="rect">
                      <a:avLst/>
                    </a:prstGeom>
                    <a:noFill/>
                  </pic:spPr>
                </pic:pic>
              </a:graphicData>
            </a:graphic>
          </wp:inline>
        </w:drawing>
      </w:r>
    </w:p>
    <w:p w14:paraId="351F4BDA" w14:textId="77777777" w:rsidR="00A13E37" w:rsidRDefault="00F83AFE" w:rsidP="00F83AFE">
      <w:pPr>
        <w:pStyle w:val="Heading1"/>
      </w:pPr>
      <w:r w:rsidRPr="00AF3AF8">
        <w:t>Acknowledgments</w:t>
      </w:r>
    </w:p>
    <w:p w14:paraId="6D14ADF7" w14:textId="0CADC323" w:rsidR="00A13E37" w:rsidRPr="00A13E37" w:rsidRDefault="00A13E37" w:rsidP="00F83AFE">
      <w:pPr>
        <w:pStyle w:val="Heading1"/>
      </w:pPr>
      <w:r w:rsidRPr="00A13E37">
        <w:rPr>
          <w:rFonts w:eastAsia="Times New Roman" w:cs="Times New Roman"/>
          <w:b w:val="0"/>
          <w:snapToGrid w:val="0"/>
          <w:color w:val="000000"/>
          <w:sz w:val="16"/>
          <w:szCs w:val="16"/>
          <w:lang w:val="en-US"/>
        </w:rPr>
        <w:t xml:space="preserve">The authors acknowledge </w:t>
      </w:r>
      <w:proofErr w:type="spellStart"/>
      <w:r w:rsidRPr="00A13E37">
        <w:rPr>
          <w:rFonts w:eastAsia="Times New Roman" w:cs="Times New Roman"/>
          <w:b w:val="0"/>
          <w:snapToGrid w:val="0"/>
          <w:color w:val="000000"/>
          <w:sz w:val="16"/>
          <w:szCs w:val="16"/>
          <w:lang w:val="en-US"/>
        </w:rPr>
        <w:t>Fundação</w:t>
      </w:r>
      <w:proofErr w:type="spellEnd"/>
      <w:r w:rsidRPr="00A13E37">
        <w:rPr>
          <w:rFonts w:eastAsia="Times New Roman" w:cs="Times New Roman"/>
          <w:b w:val="0"/>
          <w:snapToGrid w:val="0"/>
          <w:color w:val="000000"/>
          <w:sz w:val="16"/>
          <w:szCs w:val="16"/>
          <w:lang w:val="en-US"/>
        </w:rPr>
        <w:t xml:space="preserve"> para a </w:t>
      </w:r>
      <w:proofErr w:type="spellStart"/>
      <w:r w:rsidRPr="00A13E37">
        <w:rPr>
          <w:rFonts w:eastAsia="Times New Roman" w:cs="Times New Roman"/>
          <w:b w:val="0"/>
          <w:snapToGrid w:val="0"/>
          <w:color w:val="000000"/>
          <w:sz w:val="16"/>
          <w:szCs w:val="16"/>
          <w:lang w:val="en-US"/>
        </w:rPr>
        <w:t>Ciência</w:t>
      </w:r>
      <w:proofErr w:type="spellEnd"/>
      <w:r w:rsidRPr="00A13E37">
        <w:rPr>
          <w:rFonts w:eastAsia="Times New Roman" w:cs="Times New Roman"/>
          <w:b w:val="0"/>
          <w:snapToGrid w:val="0"/>
          <w:color w:val="000000"/>
          <w:sz w:val="16"/>
          <w:szCs w:val="16"/>
          <w:lang w:val="en-US"/>
        </w:rPr>
        <w:t xml:space="preserve"> e </w:t>
      </w:r>
      <w:proofErr w:type="spellStart"/>
      <w:r w:rsidRPr="00A13E37">
        <w:rPr>
          <w:rFonts w:eastAsia="Times New Roman" w:cs="Times New Roman"/>
          <w:b w:val="0"/>
          <w:snapToGrid w:val="0"/>
          <w:color w:val="000000"/>
          <w:sz w:val="16"/>
          <w:szCs w:val="16"/>
          <w:lang w:val="en-US"/>
        </w:rPr>
        <w:t>Tecnologia</w:t>
      </w:r>
      <w:proofErr w:type="spellEnd"/>
      <w:r w:rsidRPr="00A13E37">
        <w:rPr>
          <w:rFonts w:eastAsia="Times New Roman" w:cs="Times New Roman"/>
          <w:b w:val="0"/>
          <w:snapToGrid w:val="0"/>
          <w:color w:val="000000"/>
          <w:sz w:val="16"/>
          <w:szCs w:val="16"/>
          <w:lang w:val="en-US"/>
        </w:rPr>
        <w:t xml:space="preserve"> (FCT) for project funding under the project 2022.05187.PTD and Centro de </w:t>
      </w:r>
      <w:proofErr w:type="spellStart"/>
      <w:r w:rsidRPr="00A13E37">
        <w:rPr>
          <w:rFonts w:eastAsia="Times New Roman" w:cs="Times New Roman"/>
          <w:b w:val="0"/>
          <w:snapToGrid w:val="0"/>
          <w:color w:val="000000"/>
          <w:sz w:val="16"/>
          <w:szCs w:val="16"/>
          <w:lang w:val="en-US"/>
        </w:rPr>
        <w:t>Química</w:t>
      </w:r>
      <w:proofErr w:type="spellEnd"/>
      <w:r w:rsidRPr="00A13E37">
        <w:rPr>
          <w:rFonts w:eastAsia="Times New Roman" w:cs="Times New Roman"/>
          <w:b w:val="0"/>
          <w:snapToGrid w:val="0"/>
          <w:color w:val="000000"/>
          <w:sz w:val="16"/>
          <w:szCs w:val="16"/>
          <w:lang w:val="en-US"/>
        </w:rPr>
        <w:t xml:space="preserve"> </w:t>
      </w:r>
      <w:proofErr w:type="spellStart"/>
      <w:r w:rsidRPr="00A13E37">
        <w:rPr>
          <w:rFonts w:eastAsia="Times New Roman" w:cs="Times New Roman"/>
          <w:b w:val="0"/>
          <w:snapToGrid w:val="0"/>
          <w:color w:val="000000"/>
          <w:sz w:val="16"/>
          <w:szCs w:val="16"/>
          <w:lang w:val="en-US"/>
        </w:rPr>
        <w:t>Estrutural</w:t>
      </w:r>
      <w:proofErr w:type="spellEnd"/>
      <w:r w:rsidRPr="00A13E37">
        <w:rPr>
          <w:rFonts w:eastAsia="Times New Roman" w:cs="Times New Roman"/>
          <w:b w:val="0"/>
          <w:snapToGrid w:val="0"/>
          <w:color w:val="000000"/>
          <w:sz w:val="16"/>
          <w:szCs w:val="16"/>
          <w:lang w:val="en-US"/>
        </w:rPr>
        <w:t>, a Research Unit funded by FCT</w:t>
      </w:r>
      <w:r>
        <w:rPr>
          <w:rFonts w:eastAsia="Times New Roman" w:cs="Times New Roman"/>
          <w:b w:val="0"/>
          <w:snapToGrid w:val="0"/>
          <w:color w:val="000000"/>
          <w:sz w:val="16"/>
          <w:szCs w:val="16"/>
          <w:lang w:val="en-US"/>
        </w:rPr>
        <w:t>,</w:t>
      </w:r>
      <w:r w:rsidRPr="00A13E37">
        <w:rPr>
          <w:rFonts w:eastAsia="Times New Roman" w:cs="Times New Roman"/>
          <w:b w:val="0"/>
          <w:snapToGrid w:val="0"/>
          <w:color w:val="000000"/>
          <w:sz w:val="16"/>
          <w:szCs w:val="16"/>
          <w:lang w:val="en-US"/>
        </w:rPr>
        <w:t xml:space="preserve"> the projects UID/00100/2025 and UID/PRR/00100/2025 and IMS, a laboratory associated funded by FCT: LA/P/0056/2020. This work was developed within the scope of the project “NGS – New Generation Storage” [C644936001-00000045], financed by PRR – Plano de </w:t>
      </w:r>
      <w:proofErr w:type="spellStart"/>
      <w:r w:rsidRPr="00A13E37">
        <w:rPr>
          <w:rFonts w:eastAsia="Times New Roman" w:cs="Times New Roman"/>
          <w:b w:val="0"/>
          <w:snapToGrid w:val="0"/>
          <w:color w:val="000000"/>
          <w:sz w:val="16"/>
          <w:szCs w:val="16"/>
          <w:lang w:val="en-US"/>
        </w:rPr>
        <w:t>Recuperação</w:t>
      </w:r>
      <w:proofErr w:type="spellEnd"/>
      <w:r w:rsidRPr="00A13E37">
        <w:rPr>
          <w:rFonts w:eastAsia="Times New Roman" w:cs="Times New Roman"/>
          <w:b w:val="0"/>
          <w:snapToGrid w:val="0"/>
          <w:color w:val="000000"/>
          <w:sz w:val="16"/>
          <w:szCs w:val="16"/>
          <w:lang w:val="en-US"/>
        </w:rPr>
        <w:t xml:space="preserve"> e </w:t>
      </w:r>
      <w:proofErr w:type="spellStart"/>
      <w:r w:rsidRPr="00A13E37">
        <w:rPr>
          <w:rFonts w:eastAsia="Times New Roman" w:cs="Times New Roman"/>
          <w:b w:val="0"/>
          <w:snapToGrid w:val="0"/>
          <w:color w:val="000000"/>
          <w:sz w:val="16"/>
          <w:szCs w:val="16"/>
          <w:lang w:val="en-US"/>
        </w:rPr>
        <w:t>Resiliência</w:t>
      </w:r>
      <w:proofErr w:type="spellEnd"/>
      <w:r w:rsidRPr="00A13E37">
        <w:rPr>
          <w:rFonts w:eastAsia="Times New Roman" w:cs="Times New Roman"/>
          <w:b w:val="0"/>
          <w:snapToGrid w:val="0"/>
          <w:color w:val="000000"/>
          <w:sz w:val="16"/>
          <w:szCs w:val="16"/>
          <w:lang w:val="en-US"/>
        </w:rPr>
        <w:t xml:space="preserve"> under the Next Generation EU from the European Union</w:t>
      </w:r>
    </w:p>
    <w:p w14:paraId="279EEB86" w14:textId="0DDCDCF0" w:rsidR="00F83AFE" w:rsidRPr="00AF3AF8" w:rsidRDefault="00F83AFE" w:rsidP="00F83AFE">
      <w:pPr>
        <w:pStyle w:val="Heading1"/>
        <w:rPr>
          <w:b w:val="0"/>
        </w:rPr>
      </w:pPr>
      <w:r w:rsidRPr="00AF3AF8">
        <w:t>References</w:t>
      </w:r>
    </w:p>
    <w:p w14:paraId="0FD71B93" w14:textId="6A60BE73" w:rsidR="009C1D05" w:rsidRPr="009C1D05" w:rsidRDefault="00F83AFE" w:rsidP="009C1D05">
      <w:pPr>
        <w:autoSpaceDE w:val="0"/>
        <w:autoSpaceDN w:val="0"/>
        <w:adjustRightInd w:val="0"/>
        <w:spacing w:after="120"/>
        <w:ind w:left="640" w:hanging="640"/>
        <w:rPr>
          <w:noProof/>
          <w:sz w:val="16"/>
        </w:rPr>
      </w:pPr>
      <w:r w:rsidRPr="00A84B7A">
        <w:rPr>
          <w:sz w:val="16"/>
          <w:szCs w:val="16"/>
        </w:rPr>
        <w:t xml:space="preserve"> </w:t>
      </w:r>
      <w:r w:rsidR="009C1D05">
        <w:rPr>
          <w:sz w:val="16"/>
          <w:szCs w:val="16"/>
        </w:rPr>
        <w:fldChar w:fldCharType="begin" w:fldLock="1"/>
      </w:r>
      <w:r w:rsidR="009C1D05">
        <w:rPr>
          <w:sz w:val="16"/>
          <w:szCs w:val="16"/>
        </w:rPr>
        <w:instrText xml:space="preserve">ADDIN Mendeley Bibliography CSL_BIBLIOGRAPHY </w:instrText>
      </w:r>
      <w:r w:rsidR="009C1D05">
        <w:rPr>
          <w:sz w:val="16"/>
          <w:szCs w:val="16"/>
        </w:rPr>
        <w:fldChar w:fldCharType="separate"/>
      </w:r>
      <w:r w:rsidR="009C1D05" w:rsidRPr="009C1D05">
        <w:rPr>
          <w:noProof/>
          <w:sz w:val="16"/>
        </w:rPr>
        <w:t>[1]</w:t>
      </w:r>
      <w:r w:rsidR="009C1D05" w:rsidRPr="009C1D05">
        <w:rPr>
          <w:noProof/>
          <w:sz w:val="16"/>
        </w:rPr>
        <w:tab/>
        <w:t xml:space="preserve">K. R. Ngoy </w:t>
      </w:r>
      <w:r w:rsidR="009C1D05" w:rsidRPr="009C1D05">
        <w:rPr>
          <w:i/>
          <w:iCs/>
          <w:noProof/>
          <w:sz w:val="16"/>
        </w:rPr>
        <w:t>et al.</w:t>
      </w:r>
      <w:r w:rsidR="009C1D05" w:rsidRPr="009C1D05">
        <w:rPr>
          <w:noProof/>
          <w:sz w:val="16"/>
        </w:rPr>
        <w:t xml:space="preserve">, “Lithium-ion batteries and the future of sustainable energy: A comprehensive review,” </w:t>
      </w:r>
      <w:r w:rsidR="009C1D05" w:rsidRPr="009C1D05">
        <w:rPr>
          <w:i/>
          <w:iCs/>
          <w:noProof/>
          <w:sz w:val="16"/>
        </w:rPr>
        <w:t>Renew. Sustain. Energy Rev.</w:t>
      </w:r>
      <w:r w:rsidR="009C1D05" w:rsidRPr="009C1D05">
        <w:rPr>
          <w:noProof/>
          <w:sz w:val="16"/>
        </w:rPr>
        <w:t>, vol. 223, no. July, p. 115971, 2025, doi: 10.1016/j.rser.2025.115971.</w:t>
      </w:r>
    </w:p>
    <w:p w14:paraId="1CCAC356" w14:textId="04D854F0" w:rsidR="00F83AFE" w:rsidRPr="00E541E3" w:rsidRDefault="009C1D05" w:rsidP="003F0C10">
      <w:pPr>
        <w:autoSpaceDE w:val="0"/>
        <w:autoSpaceDN w:val="0"/>
        <w:adjustRightInd w:val="0"/>
        <w:spacing w:after="120"/>
        <w:rPr>
          <w:sz w:val="16"/>
          <w:szCs w:val="16"/>
        </w:rPr>
      </w:pPr>
      <w:r w:rsidRPr="009C1D05">
        <w:rPr>
          <w:noProof/>
          <w:sz w:val="16"/>
        </w:rPr>
        <w:t>[2]</w:t>
      </w:r>
      <w:r w:rsidRPr="009C1D05">
        <w:rPr>
          <w:noProof/>
          <w:sz w:val="16"/>
        </w:rPr>
        <w:tab/>
        <w:t>P. Kumar, P. Sephra, M. Gupta, V. Jeoti, C. Tharini, and G. M. Stojanovi, “Flexible and sustainable energy storage : Recent progress and prospects in wearable supercapacitors,” vol. 141, no. January 2025, 2026.</w:t>
      </w:r>
      <w:r>
        <w:rPr>
          <w:sz w:val="16"/>
          <w:szCs w:val="16"/>
        </w:rPr>
        <w:fldChar w:fldCharType="end"/>
      </w:r>
    </w:p>
    <w:sectPr w:rsidR="00F83AFE" w:rsidRPr="00E541E3"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Book Antiqua"/>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277FE"/>
    <w:multiLevelType w:val="hybridMultilevel"/>
    <w:tmpl w:val="0120A6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8140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71CC5"/>
    <w:rsid w:val="000D7A80"/>
    <w:rsid w:val="00325004"/>
    <w:rsid w:val="00344323"/>
    <w:rsid w:val="003F0C10"/>
    <w:rsid w:val="00441BB4"/>
    <w:rsid w:val="00536366"/>
    <w:rsid w:val="005C651E"/>
    <w:rsid w:val="00685C1A"/>
    <w:rsid w:val="006875BC"/>
    <w:rsid w:val="006B42FF"/>
    <w:rsid w:val="006D318C"/>
    <w:rsid w:val="00792EA9"/>
    <w:rsid w:val="007B2B9D"/>
    <w:rsid w:val="00863248"/>
    <w:rsid w:val="00933D87"/>
    <w:rsid w:val="009643FE"/>
    <w:rsid w:val="009B06B3"/>
    <w:rsid w:val="009B14F7"/>
    <w:rsid w:val="009C1D05"/>
    <w:rsid w:val="00A13E37"/>
    <w:rsid w:val="00A5764C"/>
    <w:rsid w:val="00B50FDC"/>
    <w:rsid w:val="00B82470"/>
    <w:rsid w:val="00C6527C"/>
    <w:rsid w:val="00CA1198"/>
    <w:rsid w:val="00D258AB"/>
    <w:rsid w:val="00E0716D"/>
    <w:rsid w:val="00E57C53"/>
    <w:rsid w:val="00ED3B8B"/>
    <w:rsid w:val="00F83AFE"/>
    <w:rsid w:val="00F97641"/>
    <w:rsid w:val="00FD41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B093F1"/>
  <w14:defaultImageDpi w14:val="300"/>
  <w15:docId w15:val="{99E48F9E-166A-4F23-BB44-0E305B512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paragraph" w:styleId="Heading1">
    <w:name w:val="heading 1"/>
    <w:basedOn w:val="Normal"/>
    <w:next w:val="Normal"/>
    <w:link w:val="Heading1Char"/>
    <w:uiPriority w:val="9"/>
    <w:qFormat/>
    <w:rsid w:val="00F83AFE"/>
    <w:pPr>
      <w:keepNext/>
      <w:keepLines/>
      <w:widowControl/>
      <w:spacing w:before="240" w:line="276" w:lineRule="auto"/>
      <w:outlineLvl w:val="0"/>
    </w:pPr>
    <w:rPr>
      <w:rFonts w:eastAsiaTheme="majorEastAsia" w:cstheme="majorBidi"/>
      <w:b/>
      <w:snapToGrid/>
      <w:color w:val="000000" w:themeColor="text1"/>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5764C"/>
    <w:pPr>
      <w:widowControl/>
      <w:spacing w:after="120"/>
      <w:contextualSpacing/>
      <w:jc w:val="center"/>
    </w:pPr>
    <w:rPr>
      <w:rFonts w:eastAsiaTheme="majorEastAsia" w:cstheme="majorBidi"/>
      <w:b/>
      <w:snapToGrid/>
      <w:spacing w:val="-10"/>
      <w:kern w:val="28"/>
      <w:sz w:val="32"/>
      <w:szCs w:val="56"/>
      <w:lang w:val="en-GB"/>
    </w:rPr>
  </w:style>
  <w:style w:type="character" w:customStyle="1" w:styleId="TitleChar">
    <w:name w:val="Title Char"/>
    <w:basedOn w:val="DefaultParagraphFont"/>
    <w:link w:val="Title"/>
    <w:uiPriority w:val="10"/>
    <w:rsid w:val="00A5764C"/>
    <w:rPr>
      <w:rFonts w:eastAsiaTheme="majorEastAsia" w:cstheme="majorBidi"/>
      <w:b/>
      <w:spacing w:val="-10"/>
      <w:kern w:val="28"/>
      <w:sz w:val="32"/>
      <w:szCs w:val="56"/>
      <w:lang w:val="en-GB"/>
    </w:rPr>
  </w:style>
  <w:style w:type="character" w:customStyle="1" w:styleId="Heading1Char">
    <w:name w:val="Heading 1 Char"/>
    <w:basedOn w:val="DefaultParagraphFont"/>
    <w:link w:val="Heading1"/>
    <w:uiPriority w:val="9"/>
    <w:rsid w:val="00F83AFE"/>
    <w:rPr>
      <w:rFonts w:eastAsiaTheme="majorEastAsia" w:cstheme="majorBidi"/>
      <w:b/>
      <w:color w:val="000000" w:themeColor="text1"/>
      <w:szCs w:val="32"/>
      <w:lang w:val="en-GB"/>
    </w:rPr>
  </w:style>
  <w:style w:type="paragraph" w:styleId="ListParagraph">
    <w:name w:val="List Paragraph"/>
    <w:basedOn w:val="Normal"/>
    <w:uiPriority w:val="34"/>
    <w:qFormat/>
    <w:rsid w:val="00F83AFE"/>
    <w:pPr>
      <w:widowControl/>
      <w:spacing w:after="120" w:line="276" w:lineRule="auto"/>
      <w:ind w:left="720"/>
      <w:contextualSpacing/>
    </w:pPr>
    <w:rPr>
      <w:rFonts w:eastAsia="Palatino" w:cs="Palatino"/>
      <w:snapToGrid/>
      <w:szCs w:val="22"/>
      <w:lang w:val="en-GB"/>
    </w:rPr>
  </w:style>
  <w:style w:type="paragraph" w:styleId="Revision">
    <w:name w:val="Revision"/>
    <w:hidden/>
    <w:uiPriority w:val="99"/>
    <w:semiHidden/>
    <w:rsid w:val="00933D87"/>
    <w:rPr>
      <w:snapToGrid w:val="0"/>
    </w:rPr>
  </w:style>
  <w:style w:type="character" w:styleId="CommentReference">
    <w:name w:val="annotation reference"/>
    <w:basedOn w:val="DefaultParagraphFont"/>
    <w:uiPriority w:val="99"/>
    <w:semiHidden/>
    <w:unhideWhenUsed/>
    <w:rsid w:val="00933D87"/>
    <w:rPr>
      <w:sz w:val="16"/>
      <w:szCs w:val="16"/>
    </w:rPr>
  </w:style>
  <w:style w:type="paragraph" w:styleId="CommentText">
    <w:name w:val="annotation text"/>
    <w:basedOn w:val="Normal"/>
    <w:link w:val="CommentTextChar"/>
    <w:uiPriority w:val="99"/>
    <w:semiHidden/>
    <w:unhideWhenUsed/>
    <w:rsid w:val="00933D87"/>
  </w:style>
  <w:style w:type="character" w:customStyle="1" w:styleId="CommentTextChar">
    <w:name w:val="Comment Text Char"/>
    <w:basedOn w:val="DefaultParagraphFont"/>
    <w:link w:val="CommentText"/>
    <w:uiPriority w:val="99"/>
    <w:semiHidden/>
    <w:rsid w:val="00933D87"/>
    <w:rPr>
      <w:snapToGrid w:val="0"/>
    </w:rPr>
  </w:style>
  <w:style w:type="paragraph" w:styleId="CommentSubject">
    <w:name w:val="annotation subject"/>
    <w:basedOn w:val="CommentText"/>
    <w:next w:val="CommentText"/>
    <w:link w:val="CommentSubjectChar"/>
    <w:uiPriority w:val="99"/>
    <w:semiHidden/>
    <w:unhideWhenUsed/>
    <w:rsid w:val="00933D87"/>
    <w:rPr>
      <w:b/>
      <w:bCs/>
    </w:rPr>
  </w:style>
  <w:style w:type="character" w:customStyle="1" w:styleId="CommentSubjectChar">
    <w:name w:val="Comment Subject Char"/>
    <w:basedOn w:val="CommentTextChar"/>
    <w:link w:val="CommentSubject"/>
    <w:uiPriority w:val="99"/>
    <w:semiHidden/>
    <w:rsid w:val="00933D87"/>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08ECF-09B5-4741-8F16-B4366877E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Nishat khan</cp:lastModifiedBy>
  <cp:revision>5</cp:revision>
  <cp:lastPrinted>2013-10-21T12:07:00Z</cp:lastPrinted>
  <dcterms:created xsi:type="dcterms:W3CDTF">2026-05-07T17:02:00Z</dcterms:created>
  <dcterms:modified xsi:type="dcterms:W3CDTF">2026-05-09T22:31:00Z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453e64c5-2de9-4af4-b5a9-463911f46846</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6th/7th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http://www.zotero.org/styles/electrochimica-acta</vt:lpwstr>
  </property>
  <property fmtid="{D5CDD505-2E9C-101B-9397-08002B2CF9AE}" pid="14" name="Mendeley Recent Style Name 5_1">
    <vt:lpwstr>Electrochimica Acta</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af4e19de-22c1-3d44-9650-513f59d688f3</vt:lpwstr>
  </property>
  <property fmtid="{D5CDD505-2E9C-101B-9397-08002B2CF9AE}" pid="25" name="Mendeley Citation Style_1">
    <vt:lpwstr>http://www.zotero.org/styles/ieee</vt:lpwstr>
  </property>
</Properties>
</file>