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5BA28" w14:textId="6770BF59" w:rsidR="0029673D" w:rsidRPr="0029673D" w:rsidRDefault="001B489F" w:rsidP="001B489F">
      <w:pPr>
        <w:jc w:val="center"/>
        <w:rPr>
          <w:b/>
          <w:bCs/>
          <w:sz w:val="28"/>
          <w:lang w:val="en-GB"/>
        </w:rPr>
      </w:pPr>
      <w:bookmarkStart w:id="0" w:name="_Hlk193977533"/>
      <w:r w:rsidRPr="001B489F">
        <w:rPr>
          <w:b/>
          <w:bCs/>
          <w:sz w:val="28"/>
          <w:lang w:val="en-GB"/>
        </w:rPr>
        <w:t>Mapping</w:t>
      </w:r>
      <w:r w:rsidR="00527C95">
        <w:rPr>
          <w:b/>
          <w:bCs/>
          <w:sz w:val="28"/>
          <w:lang w:val="en-GB"/>
        </w:rPr>
        <w:t xml:space="preserve"> of</w:t>
      </w:r>
      <w:r w:rsidRPr="001B489F">
        <w:rPr>
          <w:b/>
          <w:bCs/>
          <w:sz w:val="28"/>
          <w:lang w:val="en-GB"/>
        </w:rPr>
        <w:t xml:space="preserve"> in-Polymer pH Values by Operando Electrochemical Fluorescent Microscopy to Investigate Polymer</w:t>
      </w:r>
      <w:r w:rsidR="00B64146">
        <w:rPr>
          <w:b/>
          <w:bCs/>
          <w:sz w:val="28"/>
          <w:lang w:val="en-GB"/>
        </w:rPr>
        <w:t>-</w:t>
      </w:r>
      <w:r w:rsidRPr="001B489F">
        <w:rPr>
          <w:b/>
          <w:bCs/>
          <w:sz w:val="28"/>
          <w:lang w:val="en-GB"/>
        </w:rPr>
        <w:t>Promoted Electrocatalysis</w:t>
      </w:r>
      <w:bookmarkEnd w:id="0"/>
    </w:p>
    <w:p w14:paraId="3BCEA0BC" w14:textId="77777777" w:rsidR="00325004" w:rsidRPr="00A86EB9" w:rsidRDefault="00325004" w:rsidP="00E0716D">
      <w:pPr>
        <w:jc w:val="center"/>
        <w:rPr>
          <w:b/>
          <w:sz w:val="28"/>
        </w:rPr>
      </w:pPr>
    </w:p>
    <w:p w14:paraId="31D9E01C" w14:textId="1CF87459" w:rsidR="001B489F" w:rsidRPr="001B489F" w:rsidRDefault="001B489F" w:rsidP="001B489F">
      <w:pPr>
        <w:jc w:val="center"/>
        <w:rPr>
          <w:u w:val="single"/>
        </w:rPr>
      </w:pPr>
      <w:r w:rsidRPr="001B489F">
        <w:rPr>
          <w:u w:val="single"/>
        </w:rPr>
        <w:t>Steffen Hardt</w:t>
      </w:r>
      <w:r w:rsidRPr="008A1D58">
        <w:t>, Katherine J. Levey, Mark Aarts, Bonho Koo, Lars J.C. Jeuken, Marc T.M. Koper</w:t>
      </w:r>
    </w:p>
    <w:p w14:paraId="5A9D684D" w14:textId="77777777" w:rsidR="0027136B" w:rsidRPr="0027136B" w:rsidRDefault="0027136B" w:rsidP="0027136B">
      <w:pPr>
        <w:jc w:val="center"/>
        <w:rPr>
          <w:i/>
        </w:rPr>
      </w:pPr>
      <w:r w:rsidRPr="0027136B">
        <w:rPr>
          <w:i/>
        </w:rPr>
        <w:t>Leiden University, Faculty of Sciences, Leiden Institute of Chemistry, Energy and Sustainability – Catalysis and Surface Chemistry</w:t>
      </w:r>
    </w:p>
    <w:p w14:paraId="63B72E22" w14:textId="0DE13E8A" w:rsidR="0027136B" w:rsidRPr="0027136B" w:rsidRDefault="0027136B" w:rsidP="0027136B">
      <w:pPr>
        <w:jc w:val="center"/>
        <w:rPr>
          <w:i/>
          <w:lang w:val="de-DE"/>
        </w:rPr>
      </w:pPr>
      <w:r w:rsidRPr="0027136B">
        <w:rPr>
          <w:i/>
          <w:lang w:val="de-DE"/>
        </w:rPr>
        <w:t>Einsteinweg 55, 2333</w:t>
      </w:r>
      <w:r>
        <w:rPr>
          <w:i/>
          <w:lang w:val="de-DE"/>
        </w:rPr>
        <w:t xml:space="preserve"> </w:t>
      </w:r>
      <w:r w:rsidRPr="0027136B">
        <w:rPr>
          <w:i/>
          <w:lang w:val="de-DE"/>
        </w:rPr>
        <w:t xml:space="preserve">CC Leiden, The </w:t>
      </w:r>
      <w:proofErr w:type="spellStart"/>
      <w:r w:rsidRPr="0027136B">
        <w:rPr>
          <w:i/>
          <w:lang w:val="de-DE"/>
        </w:rPr>
        <w:t>Netherlands</w:t>
      </w:r>
      <w:proofErr w:type="spellEnd"/>
    </w:p>
    <w:p w14:paraId="0571B83B" w14:textId="77777777" w:rsidR="0027136B" w:rsidRPr="0027136B" w:rsidRDefault="0027136B" w:rsidP="0027136B">
      <w:pPr>
        <w:jc w:val="center"/>
        <w:rPr>
          <w:i/>
          <w:lang w:val="de-DE"/>
        </w:rPr>
      </w:pPr>
      <w:r w:rsidRPr="0027136B">
        <w:rPr>
          <w:i/>
          <w:lang w:val="de-DE"/>
        </w:rPr>
        <w:t>s.hardt@umail.leidenuniv.nl</w:t>
      </w:r>
    </w:p>
    <w:p w14:paraId="506DD0B7" w14:textId="13581C2D" w:rsidR="009A12BC" w:rsidRPr="00706889" w:rsidRDefault="009A12BC" w:rsidP="009A12BC">
      <w:pPr>
        <w:jc w:val="both"/>
        <w:rPr>
          <w:lang w:val="de-DE"/>
        </w:rPr>
      </w:pPr>
      <w:bookmarkStart w:id="1" w:name="_Hlk215687745"/>
    </w:p>
    <w:p w14:paraId="1FECE396" w14:textId="614B189E" w:rsidR="009A12BC" w:rsidRPr="009A12BC" w:rsidRDefault="009A12BC" w:rsidP="009A12BC">
      <w:pPr>
        <w:jc w:val="both"/>
      </w:pPr>
      <w:r w:rsidRPr="009A12BC">
        <w:t>Efficient electrocatalysts for environmentally relevant proton-coupled electron transfer (PCET) reactions must master both favorable reaction kinetics and sufficient supply of protons to the active site. Nature enables that by enzymes being equipped with elaborate coordination environments and proton channels.</w:t>
      </w:r>
      <w:r w:rsidR="001125D7" w:rsidRPr="001125D7">
        <w:rPr>
          <w:vertAlign w:val="superscript"/>
        </w:rPr>
        <w:t>1</w:t>
      </w:r>
      <w:r w:rsidRPr="009A12BC">
        <w:rPr>
          <w:vertAlign w:val="superscript"/>
        </w:rPr>
        <w:t xml:space="preserve"> </w:t>
      </w:r>
      <w:r w:rsidR="008D26B8">
        <w:t>I</w:t>
      </w:r>
      <w:r w:rsidR="008D26B8" w:rsidRPr="009A12BC">
        <w:t>n heterogeneous electrocatalysis</w:t>
      </w:r>
      <w:r w:rsidR="008D26B8">
        <w:t xml:space="preserve">, this was </w:t>
      </w:r>
      <w:r w:rsidR="00FA7C2F">
        <w:t xml:space="preserve">recently </w:t>
      </w:r>
      <w:r w:rsidR="008D26B8">
        <w:t xml:space="preserve">mimicked </w:t>
      </w:r>
      <w:r w:rsidR="00CF6A67" w:rsidRPr="009A12BC">
        <w:t>in a very simplified manner</w:t>
      </w:r>
      <w:r w:rsidR="00CF6A67">
        <w:t xml:space="preserve"> </w:t>
      </w:r>
      <w:r w:rsidR="008D26B8">
        <w:t>by</w:t>
      </w:r>
      <w:r w:rsidR="009045E8">
        <w:t xml:space="preserve"> using</w:t>
      </w:r>
      <w:r w:rsidRPr="009A12BC">
        <w:t xml:space="preserve"> </w:t>
      </w:r>
      <w:r w:rsidR="00BD2B7D">
        <w:t xml:space="preserve">protic </w:t>
      </w:r>
      <w:r w:rsidRPr="009A12BC">
        <w:t>polymer-coatings</w:t>
      </w:r>
      <w:r w:rsidR="00C82770" w:rsidRPr="00C82770">
        <w:t xml:space="preserve"> </w:t>
      </w:r>
      <w:r w:rsidR="009045E8">
        <w:t>that control</w:t>
      </w:r>
      <w:r w:rsidR="00C82770">
        <w:t xml:space="preserve"> the local availability of proto</w:t>
      </w:r>
      <w:r w:rsidR="009045E8">
        <w:t>ns.</w:t>
      </w:r>
      <w:r w:rsidR="00C82770">
        <w:rPr>
          <w:vertAlign w:val="superscript"/>
        </w:rPr>
        <w:t>2</w:t>
      </w:r>
      <w:r w:rsidR="006146C2">
        <w:t xml:space="preserve"> </w:t>
      </w:r>
      <w:r w:rsidR="000D6660">
        <w:t>Yet</w:t>
      </w:r>
      <w:r w:rsidRPr="009A12BC">
        <w:t>,</w:t>
      </w:r>
      <w:r w:rsidR="00C95D6D">
        <w:t xml:space="preserve"> the </w:t>
      </w:r>
      <w:r w:rsidR="00C0198E">
        <w:t>mechanism</w:t>
      </w:r>
      <w:r w:rsidR="000D6660">
        <w:t>s</w:t>
      </w:r>
      <w:r w:rsidR="00C0198E">
        <w:t xml:space="preserve"> underlying this promotional effect</w:t>
      </w:r>
      <w:r w:rsidR="00310F60">
        <w:t>s</w:t>
      </w:r>
      <w:r w:rsidR="00C0198E">
        <w:t xml:space="preserve"> </w:t>
      </w:r>
      <w:r w:rsidR="000D6660">
        <w:t>are</w:t>
      </w:r>
      <w:r w:rsidR="00C0198E">
        <w:t xml:space="preserve"> not fully understood</w:t>
      </w:r>
      <w:r w:rsidR="007A092D">
        <w:t xml:space="preserve"> due to</w:t>
      </w:r>
      <w:r w:rsidRPr="009A12BC">
        <w:t xml:space="preserve"> the overlap of </w:t>
      </w:r>
      <w:r w:rsidR="00B0665E">
        <w:t>several</w:t>
      </w:r>
      <w:r w:rsidRPr="009A12BC">
        <w:t xml:space="preserve"> polymer-induced effects including the modulation of </w:t>
      </w:r>
      <w:r w:rsidR="007C4CEA">
        <w:t xml:space="preserve">local </w:t>
      </w:r>
      <w:r w:rsidRPr="009A12BC">
        <w:t xml:space="preserve">hydrophobicity, ion-environment and local </w:t>
      </w:r>
      <w:proofErr w:type="spellStart"/>
      <w:r w:rsidRPr="009A12BC">
        <w:t>pH.</w:t>
      </w:r>
      <w:proofErr w:type="spellEnd"/>
    </w:p>
    <w:p w14:paraId="34D11EF0" w14:textId="09445ECC" w:rsidR="00AD1551" w:rsidRDefault="009A12BC" w:rsidP="009A12BC">
      <w:pPr>
        <w:jc w:val="both"/>
      </w:pPr>
      <w:r w:rsidRPr="009A12BC">
        <w:t xml:space="preserve">To deconvolute the </w:t>
      </w:r>
      <w:r w:rsidR="00C162B4">
        <w:t xml:space="preserve">effect of </w:t>
      </w:r>
      <w:r w:rsidRPr="009A12BC">
        <w:t>local</w:t>
      </w:r>
      <w:r w:rsidR="00C162B4">
        <w:t xml:space="preserve"> pH in protic polymer-coatings</w:t>
      </w:r>
      <w:r w:rsidRPr="009A12BC">
        <w:t xml:space="preserve"> from other contribut</w:t>
      </w:r>
      <w:r w:rsidR="001125D7">
        <w:t>ions</w:t>
      </w:r>
      <w:r w:rsidRPr="009A12BC">
        <w:t xml:space="preserve"> we, herein, developed a method for </w:t>
      </w:r>
      <w:r w:rsidRPr="009A12BC">
        <w:rPr>
          <w:i/>
          <w:iCs/>
        </w:rPr>
        <w:t>operando</w:t>
      </w:r>
      <w:r w:rsidRPr="009A12BC">
        <w:t xml:space="preserve"> determination of in-polymer pH values using electrochemical fluorescence microscopy. Polyethylene imine (PEI) was equipped with a fluorescent pH probe, coated on polycrystalline gold and electrochemical hydrogen evolution was applied as a model reaction. </w:t>
      </w:r>
      <w:r w:rsidR="00BC4F5A">
        <w:t>T</w:t>
      </w:r>
      <w:r w:rsidRPr="009A12BC">
        <w:t>emporal changes of the average pH values throughout the whole thickness of the polymer film</w:t>
      </w:r>
      <w:r w:rsidR="00BC4F5A">
        <w:t xml:space="preserve"> were quantified by w</w:t>
      </w:r>
      <w:r w:rsidR="00BC4F5A" w:rsidRPr="009A12BC">
        <w:t>idefield microscopy</w:t>
      </w:r>
      <w:r w:rsidRPr="009A12BC">
        <w:t xml:space="preserve">, while </w:t>
      </w:r>
      <w:r w:rsidR="00BC4F5A">
        <w:t xml:space="preserve">the spatial </w:t>
      </w:r>
      <w:r w:rsidR="001125D7">
        <w:t>distribution</w:t>
      </w:r>
      <w:r w:rsidRPr="009A12BC">
        <w:t xml:space="preserve"> </w:t>
      </w:r>
      <w:r w:rsidR="00BC4F5A">
        <w:t>of pH-profiles within the</w:t>
      </w:r>
      <w:r w:rsidRPr="009A12BC">
        <w:t xml:space="preserve"> film</w:t>
      </w:r>
      <w:r w:rsidR="00FC749F">
        <w:t>s</w:t>
      </w:r>
      <w:r w:rsidR="00BC4F5A">
        <w:t xml:space="preserve"> were determined by </w:t>
      </w:r>
      <w:r w:rsidR="00BC4F5A" w:rsidRPr="009A12BC">
        <w:t>confocal laser scanning microscopy (CLSM)</w:t>
      </w:r>
      <w:r w:rsidRPr="009A12BC">
        <w:t xml:space="preserve">. </w:t>
      </w:r>
      <w:r w:rsidR="00B838BF">
        <w:t>Simulating</w:t>
      </w:r>
      <w:r w:rsidRPr="009A12BC">
        <w:t xml:space="preserve"> the temporal </w:t>
      </w:r>
      <w:r w:rsidR="00AA0F3A">
        <w:t>pH-</w:t>
      </w:r>
      <w:r w:rsidRPr="009A12BC">
        <w:t>change</w:t>
      </w:r>
      <w:r w:rsidR="00AA0F3A">
        <w:t>s</w:t>
      </w:r>
      <w:r w:rsidRPr="009A12BC">
        <w:t xml:space="preserve"> by finite-element modeling validated the method</w:t>
      </w:r>
      <w:r w:rsidR="001B4382">
        <w:t xml:space="preserve"> and revealed that the temporal pH-changes in </w:t>
      </w:r>
      <w:r w:rsidR="00980F4E">
        <w:t xml:space="preserve">the polymer were more moderate than those </w:t>
      </w:r>
      <w:r w:rsidR="00864C5C">
        <w:t>at a bare gold electrode</w:t>
      </w:r>
      <w:r w:rsidR="00980F4E">
        <w:t>.</w:t>
      </w:r>
      <w:r w:rsidRPr="009A12BC">
        <w:t xml:space="preserve"> </w:t>
      </w:r>
      <w:r w:rsidR="00980F4E">
        <w:t xml:space="preserve">This </w:t>
      </w:r>
      <w:r w:rsidR="008042C0">
        <w:t xml:space="preserve">polymer-induced </w:t>
      </w:r>
      <w:r w:rsidR="00980F4E">
        <w:t>modulation</w:t>
      </w:r>
      <w:r w:rsidRPr="009A12BC">
        <w:t xml:space="preserve"> of the local pH</w:t>
      </w:r>
      <w:r w:rsidR="00980F4E">
        <w:t xml:space="preserve"> agreed with </w:t>
      </w:r>
      <w:r w:rsidR="00202E6C">
        <w:t>results from</w:t>
      </w:r>
      <w:r w:rsidR="00F83B10">
        <w:t xml:space="preserve"> linear sweep voltammetry</w:t>
      </w:r>
      <w:r w:rsidR="00205246">
        <w:t xml:space="preserve"> (LSV)</w:t>
      </w:r>
      <w:r w:rsidR="00744749">
        <w:t>, wherein the PEI-coating</w:t>
      </w:r>
      <w:r w:rsidR="00493251">
        <w:t xml:space="preserve"> markedly decreased</w:t>
      </w:r>
      <w:r w:rsidR="00DA3107">
        <w:t xml:space="preserve"> </w:t>
      </w:r>
      <w:r w:rsidR="00744749">
        <w:t xml:space="preserve">the onset potential of </w:t>
      </w:r>
      <w:r w:rsidR="00AB6F56">
        <w:t>hydrogen evolution</w:t>
      </w:r>
      <w:r w:rsidR="00DA3107">
        <w:t xml:space="preserve"> as compared to </w:t>
      </w:r>
      <w:r w:rsidR="00AB6F56">
        <w:t xml:space="preserve">the </w:t>
      </w:r>
      <w:r w:rsidR="00DA3107">
        <w:t xml:space="preserve">bare gold electrodes. </w:t>
      </w:r>
      <w:r w:rsidR="00C20DCD" w:rsidRPr="009A12BC">
        <w:t>We rationalized that by the PEI serving as a highly concentrated, immobilized local buffer</w:t>
      </w:r>
      <w:r w:rsidR="008242F3">
        <w:t>.</w:t>
      </w:r>
      <w:r w:rsidR="00C20DCD" w:rsidRPr="009A12BC">
        <w:t xml:space="preserve"> </w:t>
      </w:r>
      <w:r w:rsidR="008242F3">
        <w:t xml:space="preserve">This was supported by </w:t>
      </w:r>
      <w:r w:rsidR="00E80D02">
        <w:t>the finding that</w:t>
      </w:r>
      <w:r w:rsidR="007E2A8F" w:rsidRPr="009A12BC">
        <w:t xml:space="preserve"> </w:t>
      </w:r>
      <w:r w:rsidR="00FA7840">
        <w:t>coatings of</w:t>
      </w:r>
      <w:r w:rsidR="007E2A8F" w:rsidRPr="009A12BC">
        <w:t xml:space="preserve"> polyvinyl alcohol (PVA)</w:t>
      </w:r>
      <w:r w:rsidR="00962E83">
        <w:t>,</w:t>
      </w:r>
      <w:r w:rsidR="007E2A8F" w:rsidRPr="009A12BC">
        <w:t xml:space="preserve"> </w:t>
      </w:r>
      <w:r w:rsidR="00D80215">
        <w:t>which</w:t>
      </w:r>
      <w:r w:rsidR="007E2A8F" w:rsidRPr="009A12BC">
        <w:t xml:space="preserve"> cannot be deprotonated in </w:t>
      </w:r>
      <w:r w:rsidR="007E2A8F">
        <w:t xml:space="preserve">the </w:t>
      </w:r>
      <w:r w:rsidR="007E2A8F" w:rsidRPr="009A12BC">
        <w:t xml:space="preserve">aqueous </w:t>
      </w:r>
      <w:r w:rsidR="007E2A8F">
        <w:t xml:space="preserve">pH-window, </w:t>
      </w:r>
      <w:r w:rsidR="00FA7840">
        <w:t xml:space="preserve">did </w:t>
      </w:r>
      <w:r w:rsidR="007E2A8F">
        <w:t xml:space="preserve">not </w:t>
      </w:r>
      <w:r w:rsidR="00FA7840">
        <w:t>exhibit</w:t>
      </w:r>
      <w:r w:rsidR="007E2A8F">
        <w:t xml:space="preserve"> a promotion of electrocatalysis</w:t>
      </w:r>
      <w:r w:rsidR="007E2A8F" w:rsidRPr="009A12BC">
        <w:t>.</w:t>
      </w:r>
    </w:p>
    <w:p w14:paraId="4296EF17" w14:textId="00E62F2E" w:rsidR="009A12BC" w:rsidRPr="009A12BC" w:rsidRDefault="004A4881" w:rsidP="009A12BC">
      <w:pPr>
        <w:jc w:val="both"/>
      </w:pPr>
      <w:r>
        <w:t>As d</w:t>
      </w:r>
      <w:r w:rsidR="008D4EEE" w:rsidRPr="009A12BC">
        <w:t xml:space="preserve">isentangling </w:t>
      </w:r>
      <w:r w:rsidR="000A0F1C">
        <w:t xml:space="preserve">of </w:t>
      </w:r>
      <w:r w:rsidR="008D4EEE" w:rsidRPr="009A12BC">
        <w:t>overlapping processes</w:t>
      </w:r>
      <w:r>
        <w:t xml:space="preserve"> in</w:t>
      </w:r>
      <w:r w:rsidR="008D4EEE" w:rsidRPr="009A12BC">
        <w:t xml:space="preserve"> polymer-promoted PCET-reactions</w:t>
      </w:r>
      <w:r>
        <w:t xml:space="preserve"> will be essential</w:t>
      </w:r>
      <w:r w:rsidR="008D4EEE" w:rsidRPr="009A12BC">
        <w:t xml:space="preserve"> to understand</w:t>
      </w:r>
      <w:r w:rsidR="00B12E9B">
        <w:t xml:space="preserve"> and optimize</w:t>
      </w:r>
      <w:r w:rsidR="008D4EEE" w:rsidRPr="009A12BC">
        <w:t xml:space="preserve"> bioinspired catalytic systems</w:t>
      </w:r>
      <w:r w:rsidR="000A0F1C">
        <w:t>,</w:t>
      </w:r>
      <w:r w:rsidR="007703AA">
        <w:t xml:space="preserve"> </w:t>
      </w:r>
      <w:r w:rsidR="00296AD7">
        <w:t>our</w:t>
      </w:r>
      <w:r w:rsidR="009A12BC" w:rsidRPr="009A12BC">
        <w:t xml:space="preserve"> </w:t>
      </w:r>
      <w:r w:rsidR="004362B1">
        <w:t>method</w:t>
      </w:r>
      <w:r w:rsidR="009A12BC" w:rsidRPr="009A12BC">
        <w:t xml:space="preserve"> </w:t>
      </w:r>
      <w:r w:rsidR="004362B1">
        <w:t xml:space="preserve">for in-polymer </w:t>
      </w:r>
      <w:r w:rsidR="005A4651">
        <w:t>pH detection</w:t>
      </w:r>
      <w:r w:rsidR="009A12BC" w:rsidRPr="009A12BC">
        <w:t xml:space="preserve"> </w:t>
      </w:r>
      <w:r w:rsidR="004C1669">
        <w:t>bears great potential</w:t>
      </w:r>
      <w:r w:rsidR="00B12E9B">
        <w:t xml:space="preserve"> </w:t>
      </w:r>
      <w:r w:rsidR="00D81316">
        <w:t>of</w:t>
      </w:r>
      <w:r w:rsidR="00340B35">
        <w:t xml:space="preserve"> </w:t>
      </w:r>
      <w:r w:rsidR="00340B35" w:rsidRPr="00165CEB">
        <w:t>being extended to elaborate multielectron reactions</w:t>
      </w:r>
      <w:r w:rsidR="00340B35">
        <w:t xml:space="preserve"> </w:t>
      </w:r>
      <w:r w:rsidR="00DC306A">
        <w:t>(</w:t>
      </w:r>
      <w:r w:rsidR="00DC306A" w:rsidRPr="00DC306A">
        <w:rPr>
          <w:i/>
          <w:iCs/>
        </w:rPr>
        <w:t>e.g.</w:t>
      </w:r>
      <w:r w:rsidR="00DC306A">
        <w:t xml:space="preserve"> </w:t>
      </w:r>
      <w:r w:rsidR="00340B35" w:rsidRPr="00165CEB">
        <w:t>CO</w:t>
      </w:r>
      <w:r w:rsidR="00340B35" w:rsidRPr="00165CEB">
        <w:rPr>
          <w:vertAlign w:val="subscript"/>
        </w:rPr>
        <w:t>2</w:t>
      </w:r>
      <w:r w:rsidR="00340B35">
        <w:t>- or</w:t>
      </w:r>
      <w:r w:rsidR="00340B35" w:rsidRPr="00165CEB">
        <w:t xml:space="preserve"> N</w:t>
      </w:r>
      <w:r w:rsidR="00340B35" w:rsidRPr="00165CEB">
        <w:rPr>
          <w:vertAlign w:val="subscript"/>
        </w:rPr>
        <w:t>2</w:t>
      </w:r>
      <w:r w:rsidR="00340B35">
        <w:t xml:space="preserve"> reduction</w:t>
      </w:r>
      <w:r w:rsidR="00DC306A">
        <w:t>)</w:t>
      </w:r>
      <w:r w:rsidR="003A273C">
        <w:t xml:space="preserve"> </w:t>
      </w:r>
      <w:r w:rsidR="00EF38DA">
        <w:t>within and beyond electrocatalysis</w:t>
      </w:r>
      <w:r w:rsidR="00B65AEE">
        <w:t>.</w:t>
      </w:r>
      <w:r w:rsidR="00B12E9B">
        <w:t xml:space="preserve"> </w:t>
      </w:r>
      <w:r w:rsidR="004C1669">
        <w:t xml:space="preserve"> </w:t>
      </w:r>
    </w:p>
    <w:bookmarkEnd w:id="1"/>
    <w:p w14:paraId="355569D7" w14:textId="71FCD35A" w:rsidR="00165CEB" w:rsidRDefault="00165CEB" w:rsidP="00165CEB">
      <w:pPr>
        <w:jc w:val="both"/>
      </w:pPr>
    </w:p>
    <w:p w14:paraId="08F1CFB3" w14:textId="26EDDFB7" w:rsidR="005C6A23" w:rsidRDefault="00D701EC" w:rsidP="00706889">
      <w:pPr>
        <w:pStyle w:val="Bibliography"/>
        <w:numPr>
          <w:ilvl w:val="0"/>
          <w:numId w:val="1"/>
        </w:numPr>
        <w:ind w:left="720"/>
      </w:pPr>
      <w:r>
        <w:t xml:space="preserve">Stripp, S. T.; Duffus, B. R.; Fourmond, V.; Léger, C.; </w:t>
      </w:r>
      <w:proofErr w:type="spellStart"/>
      <w:r>
        <w:t>Leimkühler</w:t>
      </w:r>
      <w:proofErr w:type="spellEnd"/>
      <w:r>
        <w:t xml:space="preserve">, S.; Hirota, S.; Hu, Y.; </w:t>
      </w:r>
      <w:proofErr w:type="spellStart"/>
      <w:r>
        <w:t>Jasniewski</w:t>
      </w:r>
      <w:proofErr w:type="spellEnd"/>
      <w:r>
        <w:t xml:space="preserve">, A.; Ogata, H.; Ribbe, M. W. Second and Outer Coordination Sphere Effects in Nitrogenase, Hydrogenase, Formate Dehydrogenase, and CO Dehydrogenase. </w:t>
      </w:r>
      <w:r>
        <w:rPr>
          <w:i/>
          <w:iCs/>
        </w:rPr>
        <w:t>Chem. Rev.</w:t>
      </w:r>
      <w:r>
        <w:t xml:space="preserve"> </w:t>
      </w:r>
      <w:r>
        <w:rPr>
          <w:b/>
          <w:bCs/>
        </w:rPr>
        <w:t>2022</w:t>
      </w:r>
      <w:r>
        <w:t xml:space="preserve">, </w:t>
      </w:r>
      <w:r>
        <w:rPr>
          <w:i/>
          <w:iCs/>
        </w:rPr>
        <w:t>122</w:t>
      </w:r>
      <w:r>
        <w:t xml:space="preserve"> (14), 11900–11973. </w:t>
      </w:r>
      <w:r w:rsidR="005C6A23" w:rsidRPr="00706889">
        <w:t>https://doi.org/10.1021/acs.chemrev.1c00914</w:t>
      </w:r>
      <w:r>
        <w:t>.</w:t>
      </w:r>
    </w:p>
    <w:p w14:paraId="0AC36356" w14:textId="133F92DC" w:rsidR="001D3097" w:rsidRPr="00165CEB" w:rsidRDefault="001D3097" w:rsidP="00706889">
      <w:pPr>
        <w:pStyle w:val="Bibliography"/>
        <w:numPr>
          <w:ilvl w:val="0"/>
          <w:numId w:val="1"/>
        </w:numPr>
        <w:ind w:left="720"/>
      </w:pPr>
      <w:proofErr w:type="spellStart"/>
      <w:r>
        <w:t>Polesso</w:t>
      </w:r>
      <w:proofErr w:type="spellEnd"/>
      <w:r>
        <w:t xml:space="preserve">, B.; Pinilla-Sánchez, A.; Ahmed, E. H.; Guha, A.; Dimitropoulos, M.; Belsa, B.; Golovanova, V.; Xia, L.; Ram, R.; Kadam, S.; Das, A. M.; Chen, J.; Osmond, J.; Radek Martínez, A.; Micali, M.; Alarcón </w:t>
      </w:r>
      <w:proofErr w:type="spellStart"/>
      <w:r>
        <w:t>Lladó</w:t>
      </w:r>
      <w:proofErr w:type="spellEnd"/>
      <w:r>
        <w:t xml:space="preserve">, E.; García De Arquer, F. P. </w:t>
      </w:r>
      <w:proofErr w:type="spellStart"/>
      <w:r>
        <w:t>Chemostructurally</w:t>
      </w:r>
      <w:proofErr w:type="spellEnd"/>
      <w:r>
        <w:t xml:space="preserve"> Stable </w:t>
      </w:r>
      <w:proofErr w:type="spellStart"/>
      <w:r>
        <w:t>Polyionomer</w:t>
      </w:r>
      <w:proofErr w:type="spellEnd"/>
      <w:r>
        <w:t xml:space="preserve"> Coatings Regulate Proton-Intermediate Landscape in Acidic CO</w:t>
      </w:r>
      <w:r>
        <w:rPr>
          <w:vertAlign w:val="subscript"/>
        </w:rPr>
        <w:t>2</w:t>
      </w:r>
      <w:r>
        <w:t xml:space="preserve"> Electrolysis. </w:t>
      </w:r>
      <w:r>
        <w:rPr>
          <w:i/>
          <w:iCs/>
        </w:rPr>
        <w:t>J. Am. Chem. Soc.</w:t>
      </w:r>
      <w:r>
        <w:t xml:space="preserve"> </w:t>
      </w:r>
      <w:r>
        <w:rPr>
          <w:b/>
          <w:bCs/>
        </w:rPr>
        <w:t>2025</w:t>
      </w:r>
      <w:r>
        <w:t xml:space="preserve">, </w:t>
      </w:r>
      <w:r>
        <w:rPr>
          <w:i/>
          <w:iCs/>
        </w:rPr>
        <w:t>147</w:t>
      </w:r>
      <w:r>
        <w:t xml:space="preserve"> (31), 27278–27288. https://doi.org/10.1021/jacs.5c01314.</w:t>
      </w:r>
    </w:p>
    <w:p w14:paraId="0B26A29A" w14:textId="77777777" w:rsidR="00B733C4" w:rsidRPr="00165CEB" w:rsidRDefault="00B733C4" w:rsidP="00165CEB">
      <w:pPr>
        <w:jc w:val="both"/>
      </w:pPr>
    </w:p>
    <w:sectPr w:rsidR="00B733C4" w:rsidRPr="00165CEB" w:rsidSect="00F97641">
      <w:footerReference w:type="even" r:id="rId7"/>
      <w:footerReference w:type="default" r:id="rId8"/>
      <w:footerReference w:type="first" r:id="rId9"/>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F8E7" w14:textId="77777777" w:rsidR="00CA1B6A" w:rsidRDefault="00CA1B6A" w:rsidP="00165CEB">
      <w:r>
        <w:separator/>
      </w:r>
    </w:p>
  </w:endnote>
  <w:endnote w:type="continuationSeparator" w:id="0">
    <w:p w14:paraId="571CA35C" w14:textId="77777777" w:rsidR="00CA1B6A" w:rsidRDefault="00CA1B6A" w:rsidP="00165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ECDA6" w14:textId="0909EB0C" w:rsidR="00165CEB" w:rsidRDefault="00165CEB">
    <w:pPr>
      <w:pStyle w:val="Footer"/>
    </w:pPr>
    <w:r>
      <w:rPr>
        <w:noProof/>
        <w:snapToGrid/>
      </w:rPr>
      <mc:AlternateContent>
        <mc:Choice Requires="wps">
          <w:drawing>
            <wp:anchor distT="0" distB="0" distL="0" distR="0" simplePos="0" relativeHeight="251659264" behindDoc="0" locked="0" layoutInCell="1" allowOverlap="1" wp14:anchorId="5C8AED85" wp14:editId="7CC2866B">
              <wp:simplePos x="635" y="635"/>
              <wp:positionH relativeFrom="page">
                <wp:align>left</wp:align>
              </wp:positionH>
              <wp:positionV relativeFrom="page">
                <wp:align>bottom</wp:align>
              </wp:positionV>
              <wp:extent cx="1817370" cy="345440"/>
              <wp:effectExtent l="0" t="0" r="11430" b="0"/>
              <wp:wrapNone/>
              <wp:docPr id="957093008" name="Text Box 2"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5BCA2D85" w14:textId="764139BB"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8AED85" id="_x0000_t202" coordsize="21600,21600" o:spt="202" path="m,l,21600r21600,l21600,xe">
              <v:stroke joinstyle="miter"/>
              <v:path gradientshapeok="t" o:connecttype="rect"/>
            </v:shapetype>
            <v:shape id="Text Box 2" o:spid="_x0000_s1026" type="#_x0000_t202" alt="Classified as Internal | Intern" style="position:absolute;margin-left:0;margin-top:0;width:143.1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" filled="f" stroked="f">
              <v:textbox style="mso-fit-shape-to-text:t" inset="20pt,0,0,15pt">
                <w:txbxContent>
                  <w:p w14:paraId="5BCA2D85" w14:textId="764139BB"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4045A" w14:textId="505E9CDB" w:rsidR="00165CEB" w:rsidRDefault="00165CEB">
    <w:pPr>
      <w:pStyle w:val="Footer"/>
    </w:pPr>
    <w:r>
      <w:rPr>
        <w:noProof/>
        <w:snapToGrid/>
      </w:rPr>
      <mc:AlternateContent>
        <mc:Choice Requires="wps">
          <w:drawing>
            <wp:anchor distT="0" distB="0" distL="0" distR="0" simplePos="0" relativeHeight="251660288" behindDoc="0" locked="0" layoutInCell="1" allowOverlap="1" wp14:anchorId="58B4523A" wp14:editId="23E5E746">
              <wp:simplePos x="635" y="635"/>
              <wp:positionH relativeFrom="page">
                <wp:align>left</wp:align>
              </wp:positionH>
              <wp:positionV relativeFrom="page">
                <wp:align>bottom</wp:align>
              </wp:positionV>
              <wp:extent cx="1817370" cy="345440"/>
              <wp:effectExtent l="0" t="0" r="11430" b="0"/>
              <wp:wrapNone/>
              <wp:docPr id="1156506263" name="Text Box 3"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637B0299" w14:textId="011FA684"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8B4523A" id="_x0000_t202" coordsize="21600,21600" o:spt="202" path="m,l,21600r21600,l21600,xe">
              <v:stroke joinstyle="miter"/>
              <v:path gradientshapeok="t" o:connecttype="rect"/>
            </v:shapetype>
            <v:shape id="Text Box 3" o:spid="_x0000_s1027" type="#_x0000_t202" alt="Classified as Internal | Intern" style="position:absolute;margin-left:0;margin-top:0;width:143.1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" filled="f" stroked="f">
              <v:textbox style="mso-fit-shape-to-text:t" inset="20pt,0,0,15pt">
                <w:txbxContent>
                  <w:p w14:paraId="637B0299" w14:textId="011FA684"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938DF" w14:textId="2CAA7390" w:rsidR="00165CEB" w:rsidRDefault="00165CEB">
    <w:pPr>
      <w:pStyle w:val="Footer"/>
    </w:pPr>
    <w:r>
      <w:rPr>
        <w:noProof/>
        <w:snapToGrid/>
      </w:rPr>
      <mc:AlternateContent>
        <mc:Choice Requires="wps">
          <w:drawing>
            <wp:anchor distT="0" distB="0" distL="0" distR="0" simplePos="0" relativeHeight="251658240" behindDoc="0" locked="0" layoutInCell="1" allowOverlap="1" wp14:anchorId="222026EB" wp14:editId="3C828DFA">
              <wp:simplePos x="635" y="635"/>
              <wp:positionH relativeFrom="page">
                <wp:align>left</wp:align>
              </wp:positionH>
              <wp:positionV relativeFrom="page">
                <wp:align>bottom</wp:align>
              </wp:positionV>
              <wp:extent cx="1817370" cy="345440"/>
              <wp:effectExtent l="0" t="0" r="11430" b="0"/>
              <wp:wrapNone/>
              <wp:docPr id="1560447066" name="Text Box 1" descr="Classified as Internal |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7370" cy="345440"/>
                      </a:xfrm>
                      <a:prstGeom prst="rect">
                        <a:avLst/>
                      </a:prstGeom>
                      <a:noFill/>
                      <a:ln>
                        <a:noFill/>
                      </a:ln>
                    </wps:spPr>
                    <wps:txbx>
                      <w:txbxContent>
                        <w:p w14:paraId="5AD636D6" w14:textId="67028C94"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2026EB" id="_x0000_t202" coordsize="21600,21600" o:spt="202" path="m,l,21600r21600,l21600,xe">
              <v:stroke joinstyle="miter"/>
              <v:path gradientshapeok="t" o:connecttype="rect"/>
            </v:shapetype>
            <v:shape id="Text Box 1" o:spid="_x0000_s1028" type="#_x0000_t202" alt="Classified as Internal | Intern" style="position:absolute;margin-left:0;margin-top:0;width:143.1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" filled="f" stroked="f">
              <v:textbox style="mso-fit-shape-to-text:t" inset="20pt,0,0,15pt">
                <w:txbxContent>
                  <w:p w14:paraId="5AD636D6" w14:textId="67028C94" w:rsidR="00165CEB" w:rsidRPr="00165CEB" w:rsidRDefault="00165CEB" w:rsidP="00165CEB">
                    <w:pPr>
                      <w:rPr>
                        <w:rFonts w:ascii="Aptos" w:eastAsia="Aptos" w:hAnsi="Aptos" w:cs="Aptos"/>
                        <w:noProof/>
                        <w:color w:val="000000"/>
                      </w:rPr>
                    </w:pPr>
                    <w:r w:rsidRPr="00165CEB">
                      <w:rPr>
                        <w:rFonts w:ascii="Aptos" w:eastAsia="Aptos" w:hAnsi="Aptos" w:cs="Aptos"/>
                        <w:noProof/>
                        <w:color w:val="000000"/>
                      </w:rPr>
                      <w:t>Classified as Internal | Intern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6388D" w14:textId="77777777" w:rsidR="00CA1B6A" w:rsidRDefault="00CA1B6A" w:rsidP="00165CEB">
      <w:r>
        <w:separator/>
      </w:r>
    </w:p>
  </w:footnote>
  <w:footnote w:type="continuationSeparator" w:id="0">
    <w:p w14:paraId="6109B58F" w14:textId="77777777" w:rsidR="00CA1B6A" w:rsidRDefault="00CA1B6A" w:rsidP="00165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37296"/>
    <w:multiLevelType w:val="hybridMultilevel"/>
    <w:tmpl w:val="4ACE1F60"/>
    <w:lvl w:ilvl="0" w:tplc="AA0065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911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507B5"/>
    <w:rsid w:val="000A0F1C"/>
    <w:rsid w:val="000A226E"/>
    <w:rsid w:val="000B5E17"/>
    <w:rsid w:val="000D6660"/>
    <w:rsid w:val="001125D7"/>
    <w:rsid w:val="00115DD6"/>
    <w:rsid w:val="00161D79"/>
    <w:rsid w:val="00165CEB"/>
    <w:rsid w:val="0019071B"/>
    <w:rsid w:val="001B4382"/>
    <w:rsid w:val="001B489F"/>
    <w:rsid w:val="001C75F1"/>
    <w:rsid w:val="001D3097"/>
    <w:rsid w:val="001E2C5C"/>
    <w:rsid w:val="001E66CD"/>
    <w:rsid w:val="001F6784"/>
    <w:rsid w:val="001F69D9"/>
    <w:rsid w:val="001F6F58"/>
    <w:rsid w:val="00202E6C"/>
    <w:rsid w:val="00205246"/>
    <w:rsid w:val="00224097"/>
    <w:rsid w:val="002314BD"/>
    <w:rsid w:val="00237BB5"/>
    <w:rsid w:val="0027136B"/>
    <w:rsid w:val="0029673D"/>
    <w:rsid w:val="00296AD7"/>
    <w:rsid w:val="002B7FB6"/>
    <w:rsid w:val="002F7656"/>
    <w:rsid w:val="00306330"/>
    <w:rsid w:val="00310F60"/>
    <w:rsid w:val="00313C45"/>
    <w:rsid w:val="00325004"/>
    <w:rsid w:val="00340B35"/>
    <w:rsid w:val="00381B6F"/>
    <w:rsid w:val="003A273C"/>
    <w:rsid w:val="003E0F41"/>
    <w:rsid w:val="003E2AD9"/>
    <w:rsid w:val="003E65A0"/>
    <w:rsid w:val="00422C6E"/>
    <w:rsid w:val="00427231"/>
    <w:rsid w:val="00432572"/>
    <w:rsid w:val="004362B1"/>
    <w:rsid w:val="004534A0"/>
    <w:rsid w:val="00457006"/>
    <w:rsid w:val="004662ED"/>
    <w:rsid w:val="00493251"/>
    <w:rsid w:val="004A1DE1"/>
    <w:rsid w:val="004A45D8"/>
    <w:rsid w:val="004A4881"/>
    <w:rsid w:val="004C1669"/>
    <w:rsid w:val="004D0615"/>
    <w:rsid w:val="00527C95"/>
    <w:rsid w:val="00536366"/>
    <w:rsid w:val="005A4651"/>
    <w:rsid w:val="005C6A23"/>
    <w:rsid w:val="006146C2"/>
    <w:rsid w:val="00675DD7"/>
    <w:rsid w:val="00685C1A"/>
    <w:rsid w:val="006B5598"/>
    <w:rsid w:val="006C68D4"/>
    <w:rsid w:val="006F0F71"/>
    <w:rsid w:val="00706889"/>
    <w:rsid w:val="00744749"/>
    <w:rsid w:val="007703AA"/>
    <w:rsid w:val="007A092D"/>
    <w:rsid w:val="007C4CEA"/>
    <w:rsid w:val="007C7424"/>
    <w:rsid w:val="007E2A8F"/>
    <w:rsid w:val="008042C0"/>
    <w:rsid w:val="008242F3"/>
    <w:rsid w:val="00864C5C"/>
    <w:rsid w:val="008A1D58"/>
    <w:rsid w:val="008C2A82"/>
    <w:rsid w:val="008D26B8"/>
    <w:rsid w:val="008D4EEE"/>
    <w:rsid w:val="009045E8"/>
    <w:rsid w:val="00911836"/>
    <w:rsid w:val="00911B20"/>
    <w:rsid w:val="009352E8"/>
    <w:rsid w:val="00960964"/>
    <w:rsid w:val="00961FB1"/>
    <w:rsid w:val="00962CF4"/>
    <w:rsid w:val="00962E83"/>
    <w:rsid w:val="009664F0"/>
    <w:rsid w:val="00980F4E"/>
    <w:rsid w:val="00987204"/>
    <w:rsid w:val="009A12BC"/>
    <w:rsid w:val="009A446D"/>
    <w:rsid w:val="009C1DED"/>
    <w:rsid w:val="009C639A"/>
    <w:rsid w:val="00A15629"/>
    <w:rsid w:val="00A27E1A"/>
    <w:rsid w:val="00A45733"/>
    <w:rsid w:val="00A734E6"/>
    <w:rsid w:val="00AA0F3A"/>
    <w:rsid w:val="00AB2810"/>
    <w:rsid w:val="00AB6F56"/>
    <w:rsid w:val="00AD1551"/>
    <w:rsid w:val="00AD5B1F"/>
    <w:rsid w:val="00B0665E"/>
    <w:rsid w:val="00B12E9B"/>
    <w:rsid w:val="00B53969"/>
    <w:rsid w:val="00B64146"/>
    <w:rsid w:val="00B65AEE"/>
    <w:rsid w:val="00B733C4"/>
    <w:rsid w:val="00B74A63"/>
    <w:rsid w:val="00B838BF"/>
    <w:rsid w:val="00B951F7"/>
    <w:rsid w:val="00BB109D"/>
    <w:rsid w:val="00BC4F5A"/>
    <w:rsid w:val="00BD2B7D"/>
    <w:rsid w:val="00BD4023"/>
    <w:rsid w:val="00BF12D5"/>
    <w:rsid w:val="00C0198E"/>
    <w:rsid w:val="00C162B4"/>
    <w:rsid w:val="00C20DCD"/>
    <w:rsid w:val="00C26F66"/>
    <w:rsid w:val="00C345B2"/>
    <w:rsid w:val="00C82770"/>
    <w:rsid w:val="00C95D6D"/>
    <w:rsid w:val="00CA1B6A"/>
    <w:rsid w:val="00CB3B31"/>
    <w:rsid w:val="00CE2AC0"/>
    <w:rsid w:val="00CF05DC"/>
    <w:rsid w:val="00CF6A67"/>
    <w:rsid w:val="00D40231"/>
    <w:rsid w:val="00D701EC"/>
    <w:rsid w:val="00D76193"/>
    <w:rsid w:val="00D80215"/>
    <w:rsid w:val="00D81316"/>
    <w:rsid w:val="00D8546F"/>
    <w:rsid w:val="00DA3107"/>
    <w:rsid w:val="00DC306A"/>
    <w:rsid w:val="00DD4963"/>
    <w:rsid w:val="00DD5E94"/>
    <w:rsid w:val="00DF130D"/>
    <w:rsid w:val="00DF2C85"/>
    <w:rsid w:val="00E0716D"/>
    <w:rsid w:val="00E233D0"/>
    <w:rsid w:val="00E61E26"/>
    <w:rsid w:val="00E80D02"/>
    <w:rsid w:val="00E90A1D"/>
    <w:rsid w:val="00E923FE"/>
    <w:rsid w:val="00EA1910"/>
    <w:rsid w:val="00ED5852"/>
    <w:rsid w:val="00EF38DA"/>
    <w:rsid w:val="00F446B7"/>
    <w:rsid w:val="00F62EBA"/>
    <w:rsid w:val="00F83B10"/>
    <w:rsid w:val="00F97641"/>
    <w:rsid w:val="00FA7840"/>
    <w:rsid w:val="00FA7C2F"/>
    <w:rsid w:val="00FC4A1F"/>
    <w:rsid w:val="00FC749F"/>
    <w:rsid w:val="00FF29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CEA0BB"/>
  <w14:defaultImageDpi w14:val="300"/>
  <w15:docId w15:val="{AD011CAF-1151-486D-B1F5-ABD158F9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65CEB"/>
  </w:style>
  <w:style w:type="paragraph" w:styleId="Footer">
    <w:name w:val="footer"/>
    <w:basedOn w:val="Normal"/>
    <w:link w:val="FooterChar"/>
    <w:uiPriority w:val="99"/>
    <w:unhideWhenUsed/>
    <w:rsid w:val="00165CEB"/>
    <w:pPr>
      <w:tabs>
        <w:tab w:val="center" w:pos="4680"/>
        <w:tab w:val="right" w:pos="9360"/>
      </w:tabs>
    </w:pPr>
  </w:style>
  <w:style w:type="character" w:customStyle="1" w:styleId="FooterChar">
    <w:name w:val="Footer Char"/>
    <w:basedOn w:val="DefaultParagraphFont"/>
    <w:link w:val="Footer"/>
    <w:uiPriority w:val="99"/>
    <w:rsid w:val="00165CEB"/>
    <w:rPr>
      <w:snapToGrid w:val="0"/>
    </w:rPr>
  </w:style>
  <w:style w:type="character" w:styleId="CommentReference">
    <w:name w:val="annotation reference"/>
    <w:basedOn w:val="DefaultParagraphFont"/>
    <w:uiPriority w:val="99"/>
    <w:semiHidden/>
    <w:unhideWhenUsed/>
    <w:rsid w:val="009A12BC"/>
    <w:rPr>
      <w:sz w:val="16"/>
      <w:szCs w:val="16"/>
    </w:rPr>
  </w:style>
  <w:style w:type="paragraph" w:styleId="CommentText">
    <w:name w:val="annotation text"/>
    <w:basedOn w:val="Normal"/>
    <w:link w:val="CommentTextChar"/>
    <w:uiPriority w:val="99"/>
    <w:unhideWhenUsed/>
    <w:rsid w:val="009A12BC"/>
  </w:style>
  <w:style w:type="character" w:customStyle="1" w:styleId="CommentTextChar">
    <w:name w:val="Comment Text Char"/>
    <w:basedOn w:val="DefaultParagraphFont"/>
    <w:link w:val="CommentText"/>
    <w:uiPriority w:val="99"/>
    <w:rsid w:val="009A12BC"/>
    <w:rPr>
      <w:snapToGrid w:val="0"/>
    </w:rPr>
  </w:style>
  <w:style w:type="paragraph" w:styleId="CommentSubject">
    <w:name w:val="annotation subject"/>
    <w:basedOn w:val="CommentText"/>
    <w:next w:val="CommentText"/>
    <w:link w:val="CommentSubjectChar"/>
    <w:uiPriority w:val="99"/>
    <w:semiHidden/>
    <w:unhideWhenUsed/>
    <w:rsid w:val="00BC4F5A"/>
    <w:rPr>
      <w:b/>
      <w:bCs/>
    </w:rPr>
  </w:style>
  <w:style w:type="character" w:customStyle="1" w:styleId="CommentSubjectChar">
    <w:name w:val="Comment Subject Char"/>
    <w:basedOn w:val="CommentTextChar"/>
    <w:link w:val="CommentSubject"/>
    <w:uiPriority w:val="99"/>
    <w:semiHidden/>
    <w:rsid w:val="00BC4F5A"/>
    <w:rPr>
      <w:b/>
      <w:bCs/>
      <w:snapToGrid w:val="0"/>
    </w:rPr>
  </w:style>
  <w:style w:type="paragraph" w:styleId="ListParagraph">
    <w:name w:val="List Paragraph"/>
    <w:basedOn w:val="Normal"/>
    <w:uiPriority w:val="34"/>
    <w:qFormat/>
    <w:rsid w:val="001D3097"/>
    <w:pPr>
      <w:ind w:left="720"/>
      <w:contextualSpacing/>
    </w:pPr>
  </w:style>
  <w:style w:type="character" w:styleId="Hyperlink">
    <w:name w:val="Hyperlink"/>
    <w:basedOn w:val="DefaultParagraphFont"/>
    <w:uiPriority w:val="99"/>
    <w:unhideWhenUsed/>
    <w:rsid w:val="005C6A23"/>
    <w:rPr>
      <w:color w:val="0000FF" w:themeColor="hyperlink"/>
      <w:u w:val="single"/>
    </w:rPr>
  </w:style>
  <w:style w:type="character" w:styleId="UnresolvedMention">
    <w:name w:val="Unresolved Mention"/>
    <w:basedOn w:val="DefaultParagraphFont"/>
    <w:uiPriority w:val="99"/>
    <w:semiHidden/>
    <w:unhideWhenUsed/>
    <w:rsid w:val="005C6A23"/>
    <w:rPr>
      <w:color w:val="605E5C"/>
      <w:shd w:val="clear" w:color="auto" w:fill="E1DFDD"/>
    </w:rPr>
  </w:style>
  <w:style w:type="paragraph" w:styleId="Revision">
    <w:name w:val="Revision"/>
    <w:hidden/>
    <w:uiPriority w:val="99"/>
    <w:semiHidden/>
    <w:rsid w:val="00D76193"/>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d465f887-04a9-4c17-8b62-103eddccf68b}" enabled="1" method="Standard" siteId="{ca2a7f76-dbd7-4ec0-9108-6b3d524fb7c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Hardt, S. (Steffen)</cp:lastModifiedBy>
  <cp:revision>2</cp:revision>
  <cp:lastPrinted>2013-10-21T12:07:00Z</cp:lastPrinted>
  <dcterms:created xsi:type="dcterms:W3CDTF">2026-03-27T00:34:00Z</dcterms:created>
  <dcterms:modified xsi:type="dcterms:W3CDTF">2026-03-27T00:34:00Z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5d02885a,390c1490,44eee297</vt:lpwstr>
  </property>
  <property fmtid="{D5CDD505-2E9C-101B-9397-08002B2CF9AE}" pid="3" name="ClassificationContentMarkingFooterFontProps">
    <vt:lpwstr>#000000,10,Aptos</vt:lpwstr>
  </property>
  <property fmtid="{D5CDD505-2E9C-101B-9397-08002B2CF9AE}" pid="4" name="ClassificationContentMarkingFooterText">
    <vt:lpwstr>Classified as Internal | Intern</vt:lpwstr>
  </property>
</Properties>
</file>