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25004" w:rsidRPr="00A86EB9" w:rsidRDefault="00780A15" w:rsidP="00E0716D">
      <w:pPr>
        <w:jc w:val="center"/>
        <w:rPr>
          <w:b/>
          <w:sz w:val="28"/>
        </w:rPr>
      </w:pPr>
      <w:r w:rsidRPr="00780A15">
        <w:rPr>
          <w:b/>
          <w:sz w:val="28"/>
        </w:rPr>
        <w:t xml:space="preserve">Molecular Insights into Water Organization at a Polarizable </w:t>
      </w:r>
      <w:proofErr w:type="spellStart"/>
      <w:r w:rsidRPr="00780A15">
        <w:rPr>
          <w:b/>
          <w:sz w:val="28"/>
        </w:rPr>
        <w:t>Water|Trifluorotoluene</w:t>
      </w:r>
      <w:proofErr w:type="spellEnd"/>
      <w:r w:rsidRPr="00780A15">
        <w:rPr>
          <w:b/>
          <w:sz w:val="28"/>
        </w:rPr>
        <w:t xml:space="preserve"> Interface</w:t>
      </w:r>
    </w:p>
    <w:p w:rsidR="00325004" w:rsidRDefault="00780A15" w:rsidP="00E0716D">
      <w:pPr>
        <w:jc w:val="center"/>
      </w:pPr>
      <w:r>
        <w:rPr>
          <w:u w:val="single"/>
        </w:rPr>
        <w:t xml:space="preserve">Dominika </w:t>
      </w:r>
      <w:proofErr w:type="spellStart"/>
      <w:r>
        <w:rPr>
          <w:u w:val="single"/>
        </w:rPr>
        <w:t>Lesnicki</w:t>
      </w:r>
      <w:proofErr w:type="spellEnd"/>
    </w:p>
    <w:p w:rsidR="00325004" w:rsidRPr="00780A15" w:rsidRDefault="00780A15" w:rsidP="00E0716D">
      <w:pPr>
        <w:jc w:val="center"/>
        <w:rPr>
          <w:i/>
          <w:lang w:val="fr-FR"/>
        </w:rPr>
      </w:pPr>
      <w:r w:rsidRPr="00780A15">
        <w:rPr>
          <w:i/>
          <w:lang w:val="fr-FR"/>
        </w:rPr>
        <w:t>UMR 7019 CNRS - Université de Lorraine - Laboratoire de Physique et Chimie Théoriques (LPCT)</w:t>
      </w:r>
    </w:p>
    <w:p w:rsidR="00325004" w:rsidRPr="00780A15" w:rsidRDefault="00780A15" w:rsidP="00E0716D">
      <w:pPr>
        <w:jc w:val="center"/>
        <w:rPr>
          <w:i/>
          <w:iCs/>
          <w:lang w:val="fr-FR"/>
        </w:rPr>
      </w:pPr>
      <w:r w:rsidRPr="00780A15">
        <w:rPr>
          <w:i/>
          <w:iCs/>
          <w:color w:val="000000"/>
          <w:shd w:val="clear" w:color="auto" w:fill="FFFFFF"/>
          <w:lang w:val="fr-FR"/>
        </w:rPr>
        <w:t>Boulevard des Aiguillettes, BP 70239</w:t>
      </w:r>
      <w:r>
        <w:rPr>
          <w:i/>
          <w:iCs/>
          <w:color w:val="000000"/>
          <w:lang w:val="fr-FR"/>
        </w:rPr>
        <w:t xml:space="preserve">, </w:t>
      </w:r>
      <w:r w:rsidRPr="00780A15">
        <w:rPr>
          <w:i/>
          <w:iCs/>
          <w:color w:val="000000"/>
          <w:shd w:val="clear" w:color="auto" w:fill="FFFFFF"/>
          <w:lang w:val="fr-FR"/>
        </w:rPr>
        <w:t xml:space="preserve">54506 </w:t>
      </w:r>
      <w:proofErr w:type="spellStart"/>
      <w:r w:rsidRPr="00780A15">
        <w:rPr>
          <w:i/>
          <w:iCs/>
          <w:color w:val="000000"/>
          <w:shd w:val="clear" w:color="auto" w:fill="FFFFFF"/>
          <w:lang w:val="fr-FR"/>
        </w:rPr>
        <w:t>Vandoeuvre-lès-Nancy</w:t>
      </w:r>
      <w:proofErr w:type="spellEnd"/>
      <w:r w:rsidRPr="00780A15">
        <w:rPr>
          <w:i/>
          <w:iCs/>
          <w:color w:val="000000"/>
          <w:shd w:val="clear" w:color="auto" w:fill="FFFFFF"/>
          <w:lang w:val="fr-FR"/>
        </w:rPr>
        <w:t>, France</w:t>
      </w:r>
      <w:proofErr w:type="spellStart"/>
    </w:p>
    <w:p w:rsidR="00685C1A" w:rsidRPr="0091332E" w:rsidRDefault="00780A15" w:rsidP="00E0716D">
      <w:pPr>
        <w:jc w:val="center"/>
        <w:rPr>
          <w:i/>
          <w:lang w:val="fr-FR"/>
        </w:rPr>
      </w:pPr>
      <w:proofErr w:type="spellEnd"/>
      <w:r w:rsidRPr="0091332E">
        <w:rPr>
          <w:i/>
          <w:lang w:val="fr-FR"/>
        </w:rPr>
        <w:t>dominika.lesnicki@univ-lorraine.fr</w:t>
      </w:r>
    </w:p>
    <w:p w:rsidR="00325004" w:rsidRPr="0091332E" w:rsidRDefault="00325004" w:rsidP="00E0716D">
      <w:pPr>
        <w:jc w:val="center"/>
        <w:rPr>
          <w:lang w:val="fr-FR"/>
        </w:rPr>
      </w:pPr>
    </w:p>
    <w:p w:rsidR="0091332E" w:rsidRPr="0091332E" w:rsidRDefault="0091332E" w:rsidP="0091332E">
      <w:pPr>
        <w:pStyle w:val="NormalWeb"/>
        <w:rPr>
          <w:color w:val="000000"/>
          <w:sz w:val="20"/>
          <w:szCs w:val="20"/>
          <w:lang w:val="en-US"/>
        </w:rPr>
      </w:pPr>
      <w:r w:rsidRPr="0091332E">
        <w:rPr>
          <w:color w:val="000000"/>
          <w:sz w:val="20"/>
          <w:szCs w:val="20"/>
          <w:lang w:val="en-US"/>
        </w:rPr>
        <w:t>Understanding the molecular organization of water at electrochemical interfaces is essential for describing ion transfer, charge separation, and interfacial transport processes. Molecular simulations have become a powerful tool for establishing microscopic relationships between interfacial structure, hydrogen-bond dynamics, local electric fields, and spectroscopic observables, providing insights that are often inaccessible experimentally</w:t>
      </w:r>
      <w:r w:rsidRPr="0091332E">
        <w:rPr>
          <w:rStyle w:val="apple-converted-space"/>
          <w:color w:val="000000"/>
          <w:sz w:val="20"/>
          <w:szCs w:val="20"/>
          <w:lang w:val="en-US"/>
        </w:rPr>
        <w:t> </w:t>
      </w:r>
      <w:r w:rsidRPr="0091332E">
        <w:rPr>
          <w:rStyle w:val="text-token-text-primary"/>
          <w:color w:val="000000"/>
          <w:sz w:val="20"/>
          <w:szCs w:val="20"/>
          <w:lang w:val="en-US"/>
        </w:rPr>
        <w:t>[</w:t>
      </w:r>
      <w:r>
        <w:rPr>
          <w:rStyle w:val="text-token-text-primary"/>
          <w:color w:val="000000"/>
          <w:sz w:val="20"/>
          <w:szCs w:val="20"/>
          <w:lang w:val="en-US"/>
        </w:rPr>
        <w:t>1</w:t>
      </w:r>
      <w:r w:rsidRPr="0091332E">
        <w:rPr>
          <w:rStyle w:val="text-token-text-primary"/>
          <w:color w:val="000000"/>
          <w:sz w:val="20"/>
          <w:szCs w:val="20"/>
          <w:lang w:val="en-US"/>
        </w:rPr>
        <w:t>–</w:t>
      </w:r>
      <w:r>
        <w:rPr>
          <w:rStyle w:val="text-token-text-primary"/>
          <w:color w:val="000000"/>
          <w:sz w:val="20"/>
          <w:szCs w:val="20"/>
          <w:lang w:val="en-US"/>
        </w:rPr>
        <w:t>3</w:t>
      </w:r>
      <w:r w:rsidRPr="0091332E">
        <w:rPr>
          <w:rStyle w:val="text-token-text-primary"/>
          <w:color w:val="000000"/>
          <w:sz w:val="20"/>
          <w:szCs w:val="20"/>
          <w:lang w:val="en-US"/>
        </w:rPr>
        <w:t>]</w:t>
      </w:r>
      <w:r w:rsidRPr="0091332E">
        <w:rPr>
          <w:color w:val="000000"/>
          <w:sz w:val="20"/>
          <w:szCs w:val="20"/>
          <w:lang w:val="en-US"/>
        </w:rPr>
        <w:t xml:space="preserve">. Among liquid–liquid systems, the interface between water and </w:t>
      </w:r>
      <w:proofErr w:type="gramStart"/>
      <w:r w:rsidRPr="0091332E">
        <w:rPr>
          <w:color w:val="000000"/>
          <w:sz w:val="20"/>
          <w:szCs w:val="20"/>
        </w:rPr>
        <w:t>α</w:t>
      </w:r>
      <w:r w:rsidRPr="0091332E">
        <w:rPr>
          <w:color w:val="000000"/>
          <w:sz w:val="20"/>
          <w:szCs w:val="20"/>
          <w:lang w:val="en-US"/>
        </w:rPr>
        <w:t>,</w:t>
      </w:r>
      <w:r w:rsidRPr="0091332E">
        <w:rPr>
          <w:color w:val="000000"/>
          <w:sz w:val="20"/>
          <w:szCs w:val="20"/>
        </w:rPr>
        <w:t>α</w:t>
      </w:r>
      <w:proofErr w:type="gramEnd"/>
      <w:r w:rsidRPr="0091332E">
        <w:rPr>
          <w:color w:val="000000"/>
          <w:sz w:val="20"/>
          <w:szCs w:val="20"/>
          <w:lang w:val="en-US"/>
        </w:rPr>
        <w:t>,</w:t>
      </w:r>
      <w:r w:rsidRPr="0091332E">
        <w:rPr>
          <w:color w:val="000000"/>
          <w:sz w:val="20"/>
          <w:szCs w:val="20"/>
        </w:rPr>
        <w:t>α</w:t>
      </w:r>
      <w:r w:rsidRPr="0091332E">
        <w:rPr>
          <w:color w:val="000000"/>
          <w:sz w:val="20"/>
          <w:szCs w:val="20"/>
          <w:lang w:val="en-US"/>
        </w:rPr>
        <w:t>-</w:t>
      </w:r>
      <w:proofErr w:type="spellStart"/>
      <w:r w:rsidRPr="0091332E">
        <w:rPr>
          <w:color w:val="000000"/>
          <w:sz w:val="20"/>
          <w:szCs w:val="20"/>
          <w:lang w:val="en-US"/>
        </w:rPr>
        <w:t>trifluorotoluene</w:t>
      </w:r>
      <w:proofErr w:type="spellEnd"/>
      <w:r w:rsidRPr="0091332E">
        <w:rPr>
          <w:color w:val="000000"/>
          <w:sz w:val="20"/>
          <w:szCs w:val="20"/>
          <w:lang w:val="en-US"/>
        </w:rPr>
        <w:t xml:space="preserve"> (TFT) represents an attractive model platform due to its low mutual solubility, large polarization window, and relevance for studies of electrochemically controlled liquid–liquid interfaces and ion-transfer processes</w:t>
      </w:r>
      <w:r w:rsidRPr="0091332E">
        <w:rPr>
          <w:rStyle w:val="apple-converted-space"/>
          <w:color w:val="000000"/>
          <w:sz w:val="20"/>
          <w:szCs w:val="20"/>
          <w:lang w:val="en-US"/>
        </w:rPr>
        <w:t> </w:t>
      </w:r>
      <w:r w:rsidRPr="0091332E">
        <w:rPr>
          <w:rStyle w:val="text-token-text-primary"/>
          <w:color w:val="000000"/>
          <w:sz w:val="20"/>
          <w:szCs w:val="20"/>
          <w:lang w:val="en-US"/>
        </w:rPr>
        <w:t>[</w:t>
      </w:r>
      <w:r>
        <w:rPr>
          <w:rStyle w:val="text-token-text-primary"/>
          <w:color w:val="000000"/>
          <w:sz w:val="20"/>
          <w:szCs w:val="20"/>
          <w:lang w:val="en-US"/>
        </w:rPr>
        <w:t>4</w:t>
      </w:r>
      <w:r w:rsidRPr="0091332E">
        <w:rPr>
          <w:rStyle w:val="text-token-text-primary"/>
          <w:color w:val="000000"/>
          <w:sz w:val="20"/>
          <w:szCs w:val="20"/>
          <w:lang w:val="en-US"/>
        </w:rPr>
        <w:t>–</w:t>
      </w:r>
      <w:r>
        <w:rPr>
          <w:rStyle w:val="text-token-text-primary"/>
          <w:color w:val="000000"/>
          <w:sz w:val="20"/>
          <w:szCs w:val="20"/>
          <w:lang w:val="en-US"/>
        </w:rPr>
        <w:t>6</w:t>
      </w:r>
      <w:r w:rsidRPr="0091332E">
        <w:rPr>
          <w:rStyle w:val="text-token-text-primary"/>
          <w:color w:val="000000"/>
          <w:sz w:val="20"/>
          <w:szCs w:val="20"/>
          <w:lang w:val="en-US"/>
        </w:rPr>
        <w:t>]</w:t>
      </w:r>
      <w:r w:rsidRPr="0091332E">
        <w:rPr>
          <w:color w:val="000000"/>
          <w:sz w:val="20"/>
          <w:szCs w:val="20"/>
          <w:lang w:val="en-US"/>
        </w:rPr>
        <w:t xml:space="preserve">. Despite its widespread use in ion-transfer experiments, the microscopic structure of the </w:t>
      </w:r>
      <w:proofErr w:type="spellStart"/>
      <w:r w:rsidRPr="0091332E">
        <w:rPr>
          <w:color w:val="000000"/>
          <w:sz w:val="20"/>
          <w:szCs w:val="20"/>
          <w:lang w:val="en-US"/>
        </w:rPr>
        <w:t>water|TFT</w:t>
      </w:r>
      <w:proofErr w:type="spellEnd"/>
      <w:r w:rsidRPr="0091332E">
        <w:rPr>
          <w:color w:val="000000"/>
          <w:sz w:val="20"/>
          <w:szCs w:val="20"/>
          <w:lang w:val="en-US"/>
        </w:rPr>
        <w:t xml:space="preserve"> interface remains poorly understood.</w:t>
      </w:r>
      <w:r>
        <w:rPr>
          <w:color w:val="000000"/>
          <w:sz w:val="20"/>
          <w:szCs w:val="20"/>
          <w:lang w:val="en-US"/>
        </w:rPr>
        <w:br/>
      </w:r>
      <w:r w:rsidRPr="0091332E">
        <w:rPr>
          <w:rFonts w:ascii="-webkit-standard" w:hAnsi="-webkit-standard"/>
          <w:color w:val="000000"/>
          <w:sz w:val="27"/>
          <w:szCs w:val="27"/>
          <w:lang w:val="en-US"/>
        </w:rPr>
        <w:br/>
      </w:r>
      <w:r w:rsidRPr="0091332E">
        <w:rPr>
          <w:color w:val="000000"/>
          <w:sz w:val="20"/>
          <w:szCs w:val="20"/>
          <w:lang w:val="en-US"/>
        </w:rPr>
        <w:t xml:space="preserve">In this work, we employ a multiscale molecular simulation strategy combining classical molecular dynamics (MD) and ab initio molecular dynamics (AIMD) to investigate the structural and dynamical properties of water at the </w:t>
      </w:r>
      <w:proofErr w:type="spellStart"/>
      <w:r w:rsidRPr="0091332E">
        <w:rPr>
          <w:color w:val="000000"/>
          <w:sz w:val="20"/>
          <w:szCs w:val="20"/>
          <w:lang w:val="en-US"/>
        </w:rPr>
        <w:t>water|TFT</w:t>
      </w:r>
      <w:proofErr w:type="spellEnd"/>
      <w:r w:rsidRPr="0091332E">
        <w:rPr>
          <w:color w:val="000000"/>
          <w:sz w:val="20"/>
          <w:szCs w:val="20"/>
          <w:lang w:val="en-US"/>
        </w:rPr>
        <w:t xml:space="preserve"> interface. Classical MD simulations provide statistically converged descriptions of density profiles, molecular orientations, hydrogen-bond distributions, and water residence times across the interface. The simulations reveal the extent of interfacial restructuring induced by the dielectric discontinuity and allow us to quantify modifications of the hydrogen-bond network relative to bulk water.</w:t>
      </w:r>
    </w:p>
    <w:p w:rsidR="0091332E" w:rsidRPr="0091332E" w:rsidRDefault="0091332E" w:rsidP="0091332E">
      <w:pPr>
        <w:pStyle w:val="NormalWeb"/>
        <w:rPr>
          <w:color w:val="000000"/>
          <w:sz w:val="20"/>
          <w:szCs w:val="20"/>
          <w:lang w:val="en-US"/>
        </w:rPr>
      </w:pPr>
      <w:r w:rsidRPr="0091332E">
        <w:rPr>
          <w:color w:val="000000"/>
          <w:sz w:val="20"/>
          <w:szCs w:val="20"/>
          <w:lang w:val="en-US"/>
        </w:rPr>
        <w:t>Complementary AIMD simulations are performed to assess the role of electronic polarization and specific water–TFT interactions that are difficult to capture using conventional force fields. Particular attention is devoted to the local electric fields experienced by interfacial water molecules and to their influence on molecular orientation and hydrogen-bond dynamics. The combination of classical and first-principles simulations provides a detailed molecular-level description of the electrical double layer and highlights the interplay between interfacial structure and electrostatic fluctuations.</w:t>
      </w:r>
    </w:p>
    <w:p w:rsidR="00E0716D" w:rsidRPr="0014246A" w:rsidRDefault="0091332E" w:rsidP="0014246A">
      <w:pPr>
        <w:pStyle w:val="NormalWeb"/>
        <w:rPr>
          <w:color w:val="000000"/>
          <w:sz w:val="20"/>
          <w:szCs w:val="20"/>
          <w:lang w:val="en-US"/>
        </w:rPr>
      </w:pPr>
      <w:r w:rsidRPr="0091332E">
        <w:rPr>
          <w:color w:val="000000"/>
          <w:sz w:val="20"/>
          <w:szCs w:val="20"/>
          <w:lang w:val="en-US"/>
        </w:rPr>
        <w:t xml:space="preserve">These results constitute a first step toward a predictive understanding of polarizable liquid–liquid electrochemical interfaces. Beyond the specific </w:t>
      </w:r>
      <w:proofErr w:type="spellStart"/>
      <w:r w:rsidRPr="0091332E">
        <w:rPr>
          <w:color w:val="000000"/>
          <w:sz w:val="20"/>
          <w:szCs w:val="20"/>
          <w:lang w:val="en-US"/>
        </w:rPr>
        <w:t>water|TFT</w:t>
      </w:r>
      <w:proofErr w:type="spellEnd"/>
      <w:r w:rsidRPr="0091332E">
        <w:rPr>
          <w:color w:val="000000"/>
          <w:sz w:val="20"/>
          <w:szCs w:val="20"/>
          <w:lang w:val="en-US"/>
        </w:rPr>
        <w:t xml:space="preserve"> system, the methodology developed here can be extended to a broader class of electrified liquid–liquid interfaces relevant to electrochemical energy conversion, ion-transfer processes, and interfacial spectroscopy.</w:t>
      </w:r>
      <w:r>
        <w:rPr>
          <w:color w:val="000000"/>
          <w:sz w:val="20"/>
          <w:szCs w:val="20"/>
          <w:lang w:val="en-US"/>
        </w:rPr>
        <w:br/>
      </w:r>
      <w:r>
        <w:rPr>
          <w:color w:val="000000"/>
          <w:sz w:val="20"/>
          <w:szCs w:val="20"/>
          <w:lang w:val="en-US"/>
        </w:rPr>
        <w:br/>
      </w:r>
      <w:r w:rsidRPr="0091332E">
        <w:rPr>
          <w:color w:val="000000"/>
          <w:sz w:val="20"/>
          <w:szCs w:val="20"/>
          <w:lang w:val="en-US"/>
        </w:rPr>
        <w:t>[</w:t>
      </w:r>
      <w:r>
        <w:rPr>
          <w:color w:val="000000"/>
          <w:sz w:val="20"/>
          <w:szCs w:val="20"/>
          <w:lang w:val="en-US"/>
        </w:rPr>
        <w:t>1</w:t>
      </w:r>
      <w:r w:rsidRPr="0091332E">
        <w:rPr>
          <w:color w:val="000000"/>
          <w:sz w:val="20"/>
          <w:szCs w:val="20"/>
          <w:lang w:val="en-US"/>
        </w:rPr>
        <w:t xml:space="preserve">] D. </w:t>
      </w:r>
      <w:proofErr w:type="spellStart"/>
      <w:r w:rsidRPr="0091332E">
        <w:rPr>
          <w:color w:val="000000"/>
          <w:sz w:val="20"/>
          <w:szCs w:val="20"/>
          <w:lang w:val="en-US"/>
        </w:rPr>
        <w:t>Lesnicki</w:t>
      </w:r>
      <w:proofErr w:type="spellEnd"/>
      <w:r w:rsidRPr="0091332E">
        <w:rPr>
          <w:color w:val="000000"/>
          <w:sz w:val="20"/>
          <w:szCs w:val="20"/>
          <w:lang w:val="en-US"/>
        </w:rPr>
        <w:t xml:space="preserve">, Z. Zhang, M. Bonn, M. </w:t>
      </w:r>
      <w:proofErr w:type="spellStart"/>
      <w:r w:rsidRPr="0091332E">
        <w:rPr>
          <w:color w:val="000000"/>
          <w:sz w:val="20"/>
          <w:szCs w:val="20"/>
          <w:lang w:val="en-US"/>
        </w:rPr>
        <w:t>Sulpizi</w:t>
      </w:r>
      <w:proofErr w:type="spellEnd"/>
      <w:r w:rsidRPr="0091332E">
        <w:rPr>
          <w:color w:val="000000"/>
          <w:sz w:val="20"/>
          <w:szCs w:val="20"/>
          <w:lang w:val="en-US"/>
        </w:rPr>
        <w:t xml:space="preserve">, E. H. G. Backus, Surface Charges at the CaF2/Water Interface Allow Very Fast Intermolecular Vibrational-Energy Transfer, </w:t>
      </w:r>
      <w:proofErr w:type="spellStart"/>
      <w:r w:rsidRPr="0091332E">
        <w:rPr>
          <w:color w:val="000000"/>
          <w:sz w:val="20"/>
          <w:szCs w:val="20"/>
          <w:lang w:val="en-US"/>
        </w:rPr>
        <w:t>Angew</w:t>
      </w:r>
      <w:proofErr w:type="spellEnd"/>
      <w:r w:rsidRPr="0091332E">
        <w:rPr>
          <w:color w:val="000000"/>
          <w:sz w:val="20"/>
          <w:szCs w:val="20"/>
          <w:lang w:val="en-US"/>
        </w:rPr>
        <w:t>. Chem. Int. Ed. 2020, 59, 13116–13121.</w:t>
      </w:r>
      <w:r w:rsidRPr="0091332E">
        <w:rPr>
          <w:rStyle w:val="apple-converted-space"/>
          <w:color w:val="000000"/>
          <w:sz w:val="20"/>
          <w:szCs w:val="20"/>
          <w:lang w:val="en-US"/>
        </w:rPr>
        <w:t> </w:t>
      </w:r>
      <w:r>
        <w:rPr>
          <w:color w:val="000000"/>
          <w:sz w:val="20"/>
          <w:szCs w:val="20"/>
          <w:lang w:val="en-US"/>
        </w:rPr>
        <w:br/>
      </w:r>
      <w:r w:rsidRPr="0091332E">
        <w:rPr>
          <w:color w:val="000000"/>
          <w:sz w:val="20"/>
          <w:szCs w:val="20"/>
          <w:lang w:val="en-US"/>
        </w:rPr>
        <w:t>[</w:t>
      </w:r>
      <w:r>
        <w:rPr>
          <w:color w:val="000000"/>
          <w:sz w:val="20"/>
          <w:szCs w:val="20"/>
          <w:lang w:val="en-US"/>
        </w:rPr>
        <w:t>2</w:t>
      </w:r>
      <w:r w:rsidRPr="0091332E">
        <w:rPr>
          <w:color w:val="000000"/>
          <w:sz w:val="20"/>
          <w:szCs w:val="20"/>
          <w:lang w:val="en-US"/>
        </w:rPr>
        <w:t xml:space="preserve">] V. Wank, D. </w:t>
      </w:r>
      <w:proofErr w:type="spellStart"/>
      <w:r w:rsidRPr="0091332E">
        <w:rPr>
          <w:color w:val="000000"/>
          <w:sz w:val="20"/>
          <w:szCs w:val="20"/>
          <w:lang w:val="en-US"/>
        </w:rPr>
        <w:t>Lesnicki</w:t>
      </w:r>
      <w:proofErr w:type="spellEnd"/>
      <w:r w:rsidRPr="0091332E">
        <w:rPr>
          <w:color w:val="000000"/>
          <w:sz w:val="20"/>
          <w:szCs w:val="20"/>
          <w:lang w:val="en-US"/>
        </w:rPr>
        <w:t xml:space="preserve">, M. </w:t>
      </w:r>
      <w:proofErr w:type="spellStart"/>
      <w:r w:rsidRPr="0091332E">
        <w:rPr>
          <w:color w:val="000000"/>
          <w:sz w:val="20"/>
          <w:szCs w:val="20"/>
          <w:lang w:val="en-US"/>
        </w:rPr>
        <w:t>Sulpizi</w:t>
      </w:r>
      <w:proofErr w:type="spellEnd"/>
      <w:r w:rsidRPr="0091332E">
        <w:rPr>
          <w:color w:val="000000"/>
          <w:sz w:val="20"/>
          <w:szCs w:val="20"/>
          <w:lang w:val="en-US"/>
        </w:rPr>
        <w:t>, E. H. G. Backus, pH-dependent orientation of pyruvic acid and interfacial water at the air–water interface: Insights from sum-frequency generation spectroscopy and molecular dynamics, J. Chem. Phys. 2025, 163, 224705.</w:t>
      </w:r>
      <w:r w:rsidRPr="0091332E">
        <w:rPr>
          <w:rStyle w:val="apple-converted-space"/>
          <w:color w:val="000000"/>
          <w:sz w:val="20"/>
          <w:szCs w:val="20"/>
          <w:lang w:val="en-US"/>
        </w:rPr>
        <w:t> </w:t>
      </w:r>
      <w:r>
        <w:rPr>
          <w:color w:val="000000"/>
          <w:sz w:val="20"/>
          <w:szCs w:val="20"/>
          <w:lang w:val="en-US"/>
        </w:rPr>
        <w:br/>
      </w:r>
      <w:r w:rsidRPr="0091332E">
        <w:rPr>
          <w:color w:val="000000"/>
          <w:sz w:val="20"/>
          <w:szCs w:val="20"/>
          <w:lang w:val="en-US"/>
        </w:rPr>
        <w:t>[</w:t>
      </w:r>
      <w:r>
        <w:rPr>
          <w:color w:val="000000"/>
          <w:sz w:val="20"/>
          <w:szCs w:val="20"/>
          <w:lang w:val="en-US"/>
        </w:rPr>
        <w:t>3</w:t>
      </w:r>
      <w:r w:rsidRPr="0091332E">
        <w:rPr>
          <w:color w:val="000000"/>
          <w:sz w:val="20"/>
          <w:szCs w:val="20"/>
          <w:lang w:val="en-US"/>
        </w:rPr>
        <w:t xml:space="preserve">] S. Parashar, D. </w:t>
      </w:r>
      <w:proofErr w:type="spellStart"/>
      <w:r w:rsidRPr="0091332E">
        <w:rPr>
          <w:color w:val="000000"/>
          <w:sz w:val="20"/>
          <w:szCs w:val="20"/>
          <w:lang w:val="en-US"/>
        </w:rPr>
        <w:t>Lesnicki</w:t>
      </w:r>
      <w:proofErr w:type="spellEnd"/>
      <w:r w:rsidRPr="0091332E">
        <w:rPr>
          <w:color w:val="000000"/>
          <w:sz w:val="20"/>
          <w:szCs w:val="20"/>
          <w:lang w:val="en-US"/>
        </w:rPr>
        <w:t xml:space="preserve">, M. </w:t>
      </w:r>
      <w:proofErr w:type="spellStart"/>
      <w:r w:rsidRPr="0091332E">
        <w:rPr>
          <w:color w:val="000000"/>
          <w:sz w:val="20"/>
          <w:szCs w:val="20"/>
          <w:lang w:val="en-US"/>
        </w:rPr>
        <w:t>Sulpizi</w:t>
      </w:r>
      <w:proofErr w:type="spellEnd"/>
      <w:r w:rsidRPr="0091332E">
        <w:rPr>
          <w:color w:val="000000"/>
          <w:sz w:val="20"/>
          <w:szCs w:val="20"/>
          <w:lang w:val="en-US"/>
        </w:rPr>
        <w:t>, Increased Acid Dissociation at the Quartz/Water Interface, J. Phys. Chem. Lett. 2018, 9, 2186–2189.</w:t>
      </w:r>
      <w:r>
        <w:rPr>
          <w:color w:val="000000"/>
          <w:sz w:val="20"/>
          <w:szCs w:val="20"/>
          <w:lang w:val="en-US"/>
        </w:rPr>
        <w:br/>
      </w:r>
      <w:r w:rsidRPr="0091332E">
        <w:rPr>
          <w:color w:val="000000"/>
          <w:sz w:val="20"/>
          <w:szCs w:val="20"/>
          <w:lang w:val="en-US"/>
        </w:rPr>
        <w:t>[</w:t>
      </w:r>
      <w:r>
        <w:rPr>
          <w:color w:val="000000"/>
          <w:sz w:val="20"/>
          <w:szCs w:val="20"/>
          <w:lang w:val="en-US"/>
        </w:rPr>
        <w:t>4</w:t>
      </w:r>
      <w:r w:rsidRPr="0091332E">
        <w:rPr>
          <w:color w:val="000000"/>
          <w:sz w:val="20"/>
          <w:szCs w:val="20"/>
          <w:lang w:val="en-US"/>
        </w:rPr>
        <w:t xml:space="preserve">] Ł. </w:t>
      </w:r>
      <w:proofErr w:type="spellStart"/>
      <w:r w:rsidRPr="0091332E">
        <w:rPr>
          <w:color w:val="000000"/>
          <w:sz w:val="20"/>
          <w:szCs w:val="20"/>
          <w:lang w:val="en-US"/>
        </w:rPr>
        <w:t>Poltorak</w:t>
      </w:r>
      <w:proofErr w:type="spellEnd"/>
      <w:r w:rsidRPr="0091332E">
        <w:rPr>
          <w:color w:val="000000"/>
          <w:sz w:val="20"/>
          <w:szCs w:val="20"/>
          <w:lang w:val="en-US"/>
        </w:rPr>
        <w:t xml:space="preserve">, M. </w:t>
      </w:r>
      <w:proofErr w:type="spellStart"/>
      <w:r w:rsidRPr="0091332E">
        <w:rPr>
          <w:color w:val="000000"/>
          <w:sz w:val="20"/>
          <w:szCs w:val="20"/>
          <w:lang w:val="en-US"/>
        </w:rPr>
        <w:t>Dossot</w:t>
      </w:r>
      <w:proofErr w:type="spellEnd"/>
      <w:r w:rsidRPr="0091332E">
        <w:rPr>
          <w:color w:val="000000"/>
          <w:sz w:val="20"/>
          <w:szCs w:val="20"/>
          <w:lang w:val="en-US"/>
        </w:rPr>
        <w:t xml:space="preserve">, G. Herzog, A. </w:t>
      </w:r>
      <w:proofErr w:type="spellStart"/>
      <w:r w:rsidRPr="0091332E">
        <w:rPr>
          <w:color w:val="000000"/>
          <w:sz w:val="20"/>
          <w:szCs w:val="20"/>
          <w:lang w:val="en-US"/>
        </w:rPr>
        <w:t>Walcarius</w:t>
      </w:r>
      <w:proofErr w:type="spellEnd"/>
      <w:r w:rsidRPr="0091332E">
        <w:rPr>
          <w:color w:val="000000"/>
          <w:sz w:val="20"/>
          <w:szCs w:val="20"/>
          <w:lang w:val="en-US"/>
        </w:rPr>
        <w:t xml:space="preserve">, Interfacial processes studied by coupling electrochemistry at the </w:t>
      </w:r>
      <w:proofErr w:type="spellStart"/>
      <w:r w:rsidRPr="0091332E">
        <w:rPr>
          <w:color w:val="000000"/>
          <w:sz w:val="20"/>
          <w:szCs w:val="20"/>
          <w:lang w:val="en-US"/>
        </w:rPr>
        <w:t>polarised</w:t>
      </w:r>
      <w:proofErr w:type="spellEnd"/>
      <w:r w:rsidRPr="0091332E">
        <w:rPr>
          <w:color w:val="000000"/>
          <w:sz w:val="20"/>
          <w:szCs w:val="20"/>
          <w:lang w:val="en-US"/>
        </w:rPr>
        <w:t xml:space="preserve"> liquid–liquid interface with in situ confocal Raman spectroscopy, Phys. Chem. Chem. Phys. 2014, 16, 26955–26962.</w:t>
      </w:r>
      <w:r>
        <w:rPr>
          <w:color w:val="000000"/>
          <w:sz w:val="20"/>
          <w:szCs w:val="20"/>
          <w:lang w:val="en-US"/>
        </w:rPr>
        <w:br/>
      </w:r>
      <w:r w:rsidRPr="0091332E">
        <w:rPr>
          <w:color w:val="000000"/>
          <w:sz w:val="20"/>
          <w:szCs w:val="20"/>
          <w:lang w:val="en-US"/>
        </w:rPr>
        <w:t>[</w:t>
      </w:r>
      <w:r>
        <w:rPr>
          <w:color w:val="000000"/>
          <w:sz w:val="20"/>
          <w:szCs w:val="20"/>
          <w:lang w:val="en-US"/>
        </w:rPr>
        <w:t>5</w:t>
      </w:r>
      <w:r w:rsidRPr="0091332E">
        <w:rPr>
          <w:color w:val="000000"/>
          <w:sz w:val="20"/>
          <w:szCs w:val="20"/>
          <w:lang w:val="en-US"/>
        </w:rPr>
        <w:t xml:space="preserve">] M. </w:t>
      </w:r>
      <w:proofErr w:type="spellStart"/>
      <w:r w:rsidRPr="0091332E">
        <w:rPr>
          <w:color w:val="000000"/>
          <w:sz w:val="20"/>
          <w:szCs w:val="20"/>
          <w:lang w:val="en-US"/>
        </w:rPr>
        <w:t>Tarabet</w:t>
      </w:r>
      <w:proofErr w:type="spellEnd"/>
      <w:r w:rsidRPr="0091332E">
        <w:rPr>
          <w:color w:val="000000"/>
          <w:sz w:val="20"/>
          <w:szCs w:val="20"/>
          <w:lang w:val="en-US"/>
        </w:rPr>
        <w:t xml:space="preserve">, N. Rey Muñoz, M. D. Scanlon, G. Herzog, M. </w:t>
      </w:r>
      <w:proofErr w:type="spellStart"/>
      <w:r w:rsidRPr="0091332E">
        <w:rPr>
          <w:color w:val="000000"/>
          <w:sz w:val="20"/>
          <w:szCs w:val="20"/>
          <w:lang w:val="en-US"/>
        </w:rPr>
        <w:t>Dossot</w:t>
      </w:r>
      <w:proofErr w:type="spellEnd"/>
      <w:r w:rsidRPr="0091332E">
        <w:rPr>
          <w:color w:val="000000"/>
          <w:sz w:val="20"/>
          <w:szCs w:val="20"/>
          <w:lang w:val="en-US"/>
        </w:rPr>
        <w:t>, Potential-modulated surface-enhanced Raman spectroscopy of tolmetin at gold nanoparticle film functionalized polarizable liquid–liquid interfaces, J. Phys. Chem. C 2024, 128, 7936–7947.</w:t>
      </w:r>
      <w:r>
        <w:rPr>
          <w:color w:val="000000"/>
          <w:sz w:val="20"/>
          <w:szCs w:val="20"/>
          <w:lang w:val="en-US"/>
        </w:rPr>
        <w:br/>
      </w:r>
      <w:r w:rsidRPr="0091332E">
        <w:rPr>
          <w:color w:val="000000"/>
          <w:sz w:val="20"/>
          <w:szCs w:val="20"/>
          <w:lang w:val="en-US"/>
        </w:rPr>
        <w:t>[</w:t>
      </w:r>
      <w:r>
        <w:rPr>
          <w:color w:val="000000"/>
          <w:sz w:val="20"/>
          <w:szCs w:val="20"/>
          <w:lang w:val="en-US"/>
        </w:rPr>
        <w:t>6</w:t>
      </w:r>
      <w:r w:rsidRPr="0091332E">
        <w:rPr>
          <w:color w:val="000000"/>
          <w:sz w:val="20"/>
          <w:szCs w:val="20"/>
          <w:lang w:val="en-US"/>
        </w:rPr>
        <w:t xml:space="preserve">] M. </w:t>
      </w:r>
      <w:proofErr w:type="spellStart"/>
      <w:r w:rsidRPr="0091332E">
        <w:rPr>
          <w:color w:val="000000"/>
          <w:sz w:val="20"/>
          <w:szCs w:val="20"/>
          <w:lang w:val="en-US"/>
        </w:rPr>
        <w:t>Tarabet</w:t>
      </w:r>
      <w:proofErr w:type="spellEnd"/>
      <w:r w:rsidRPr="0091332E">
        <w:rPr>
          <w:color w:val="000000"/>
          <w:sz w:val="20"/>
          <w:szCs w:val="20"/>
          <w:lang w:val="en-US"/>
        </w:rPr>
        <w:t xml:space="preserve">, Y. Zou, D. S. M. Shukri, N. Yahaya, M. </w:t>
      </w:r>
      <w:proofErr w:type="spellStart"/>
      <w:r w:rsidRPr="0091332E">
        <w:rPr>
          <w:color w:val="000000"/>
          <w:sz w:val="20"/>
          <w:szCs w:val="20"/>
          <w:lang w:val="en-US"/>
        </w:rPr>
        <w:t>Dossot</w:t>
      </w:r>
      <w:proofErr w:type="spellEnd"/>
      <w:r w:rsidRPr="0091332E">
        <w:rPr>
          <w:color w:val="000000"/>
          <w:sz w:val="20"/>
          <w:szCs w:val="20"/>
          <w:lang w:val="en-US"/>
        </w:rPr>
        <w:t>, G. Herzog, 2D correlation SERS of organic ions using AuNP films at electrified soft interfaces, Phys. Chem. Chem. Phys. 2026.</w:t>
      </w:r>
      <w:r>
        <w:rPr>
          <w:color w:val="000000"/>
          <w:sz w:val="20"/>
          <w:szCs w:val="20"/>
          <w:lang w:val="en-US"/>
        </w:rPr>
        <w:br/>
      </w:r>
    </w:p>
    <w:sectPr w:rsidR="00E0716D" w:rsidRPr="0014246A"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14246A"/>
    <w:rsid w:val="00325004"/>
    <w:rsid w:val="00357B8C"/>
    <w:rsid w:val="00536366"/>
    <w:rsid w:val="00685C1A"/>
    <w:rsid w:val="00780A15"/>
    <w:rsid w:val="0091332E"/>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12CF1B"/>
  <w14:defaultImageDpi w14:val="300"/>
  <w15:docId w15:val="{388016C1-7734-6544-903A-46CD1C597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91332E"/>
    <w:pPr>
      <w:widowControl/>
      <w:spacing w:before="100" w:beforeAutospacing="1" w:after="100" w:afterAutospacing="1"/>
    </w:pPr>
    <w:rPr>
      <w:snapToGrid/>
      <w:sz w:val="24"/>
      <w:szCs w:val="24"/>
      <w:lang w:val="fr-FR" w:eastAsia="fr-FR"/>
    </w:rPr>
  </w:style>
  <w:style w:type="character" w:customStyle="1" w:styleId="apple-converted-space">
    <w:name w:val="apple-converted-space"/>
    <w:basedOn w:val="Policepardfaut"/>
    <w:rsid w:val="0091332E"/>
  </w:style>
  <w:style w:type="character" w:customStyle="1" w:styleId="text-token-text-primary">
    <w:name w:val="text-token-text-primary"/>
    <w:basedOn w:val="Policepardfaut"/>
    <w:rsid w:val="00913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389884">
      <w:bodyDiv w:val="1"/>
      <w:marLeft w:val="0"/>
      <w:marRight w:val="0"/>
      <w:marTop w:val="0"/>
      <w:marBottom w:val="0"/>
      <w:divBdr>
        <w:top w:val="none" w:sz="0" w:space="0" w:color="auto"/>
        <w:left w:val="none" w:sz="0" w:space="0" w:color="auto"/>
        <w:bottom w:val="none" w:sz="0" w:space="0" w:color="auto"/>
        <w:right w:val="none" w:sz="0" w:space="0" w:color="auto"/>
      </w:divBdr>
    </w:div>
    <w:div w:id="1304500687">
      <w:bodyDiv w:val="1"/>
      <w:marLeft w:val="0"/>
      <w:marRight w:val="0"/>
      <w:marTop w:val="0"/>
      <w:marBottom w:val="0"/>
      <w:divBdr>
        <w:top w:val="none" w:sz="0" w:space="0" w:color="auto"/>
        <w:left w:val="none" w:sz="0" w:space="0" w:color="auto"/>
        <w:bottom w:val="none" w:sz="0" w:space="0" w:color="auto"/>
        <w:right w:val="none" w:sz="0" w:space="0" w:color="auto"/>
      </w:divBdr>
    </w:div>
    <w:div w:id="16763049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632</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dominika</cp:lastModifiedBy>
  <cp:revision>2</cp:revision>
  <cp:lastPrinted>2013-10-21T12:07:00Z</cp:lastPrinted>
  <dcterms:created xsi:type="dcterms:W3CDTF">2026-05-31T12:35:00Z</dcterms:created>
  <dcterms:modified xsi:type="dcterms:W3CDTF">2026-05-31T12:35:00Z</dcterms:modified>
</cp:coreProperties>
</file>