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8920C" w14:textId="656606E2" w:rsidR="00C7377E" w:rsidRDefault="000C09FB" w:rsidP="00E0716D">
      <w:pPr>
        <w:jc w:val="center"/>
        <w:rPr>
          <w:b/>
          <w:sz w:val="28"/>
        </w:rPr>
      </w:pPr>
      <w:r w:rsidRPr="000C09FB">
        <w:rPr>
          <w:b/>
          <w:sz w:val="28"/>
        </w:rPr>
        <w:t xml:space="preserve">In-situ and operando monitoring of </w:t>
      </w:r>
      <w:r w:rsidR="006167E4">
        <w:rPr>
          <w:b/>
          <w:sz w:val="28"/>
        </w:rPr>
        <w:t xml:space="preserve">electrocatalytic heterogeneity </w:t>
      </w:r>
      <w:r w:rsidR="00267937">
        <w:rPr>
          <w:b/>
          <w:sz w:val="28"/>
        </w:rPr>
        <w:t xml:space="preserve">at </w:t>
      </w:r>
      <w:r w:rsidR="006167E4">
        <w:rPr>
          <w:b/>
          <w:sz w:val="28"/>
        </w:rPr>
        <w:t>polycrystallin</w:t>
      </w:r>
      <w:r w:rsidR="00267937">
        <w:rPr>
          <w:b/>
          <w:sz w:val="28"/>
        </w:rPr>
        <w:t>e films</w:t>
      </w:r>
      <w:r w:rsidR="006167E4">
        <w:rPr>
          <w:b/>
          <w:sz w:val="28"/>
        </w:rPr>
        <w:t xml:space="preserve"> </w:t>
      </w:r>
      <w:r w:rsidR="00267937">
        <w:rPr>
          <w:b/>
          <w:sz w:val="28"/>
        </w:rPr>
        <w:t>a</w:t>
      </w:r>
      <w:r w:rsidR="006167E4">
        <w:rPr>
          <w:b/>
          <w:sz w:val="28"/>
        </w:rPr>
        <w:t xml:space="preserve">nd </w:t>
      </w:r>
      <w:r w:rsidR="00267937">
        <w:rPr>
          <w:b/>
          <w:sz w:val="28"/>
        </w:rPr>
        <w:t xml:space="preserve">surface immobilized </w:t>
      </w:r>
      <w:r w:rsidR="006167E4">
        <w:rPr>
          <w:b/>
          <w:sz w:val="28"/>
        </w:rPr>
        <w:t>n</w:t>
      </w:r>
      <w:r w:rsidR="00267937">
        <w:rPr>
          <w:b/>
          <w:sz w:val="28"/>
        </w:rPr>
        <w:t>anoparticles</w:t>
      </w:r>
    </w:p>
    <w:p w14:paraId="793E421D" w14:textId="77777777" w:rsidR="006167E4" w:rsidRPr="00A86EB9" w:rsidRDefault="006167E4" w:rsidP="00E0716D">
      <w:pPr>
        <w:jc w:val="center"/>
        <w:rPr>
          <w:b/>
          <w:sz w:val="28"/>
        </w:rPr>
      </w:pPr>
    </w:p>
    <w:p w14:paraId="0F37FE2D" w14:textId="3814C41D" w:rsidR="00325004" w:rsidRDefault="000C09FB" w:rsidP="00E0716D">
      <w:pPr>
        <w:jc w:val="center"/>
        <w:rPr>
          <w:vertAlign w:val="superscript"/>
        </w:rPr>
      </w:pPr>
      <w:r>
        <w:rPr>
          <w:u w:val="single"/>
        </w:rPr>
        <w:t>Kristina Tschulik</w:t>
      </w:r>
      <w:r w:rsidRPr="000C09FB">
        <w:rPr>
          <w:vertAlign w:val="superscript"/>
        </w:rPr>
        <w:t>1</w:t>
      </w:r>
      <w:r w:rsidR="00A00C16" w:rsidRPr="00A00C16">
        <w:t>,</w:t>
      </w:r>
    </w:p>
    <w:p w14:paraId="58E80B07" w14:textId="5176221C" w:rsidR="000C09FB" w:rsidRPr="000C09FB" w:rsidRDefault="00A00C16" w:rsidP="000C09FB">
      <w:pPr>
        <w:jc w:val="center"/>
        <w:rPr>
          <w:i/>
        </w:rPr>
      </w:pPr>
      <w:r w:rsidRPr="00A00C16">
        <w:rPr>
          <w:i/>
          <w:vertAlign w:val="superscript"/>
        </w:rPr>
        <w:t>1</w:t>
      </w:r>
      <w:r w:rsidRPr="00A00C16">
        <w:rPr>
          <w:i/>
        </w:rPr>
        <w:t>Faculty of Chemistry and Biochemistry, Analytical Chemistry</w:t>
      </w:r>
      <w:r w:rsidR="000C09FB">
        <w:rPr>
          <w:i/>
        </w:rPr>
        <w:t xml:space="preserve">, </w:t>
      </w:r>
      <w:r w:rsidR="000C09FB" w:rsidRPr="000C09FB">
        <w:rPr>
          <w:i/>
          <w:iCs/>
        </w:rPr>
        <w:t>Ruhr-Universität Bochum,</w:t>
      </w:r>
      <w:r w:rsidR="000C09FB" w:rsidRPr="000C09FB">
        <w:t xml:space="preserve"> </w:t>
      </w:r>
      <w:proofErr w:type="spellStart"/>
      <w:r w:rsidR="000C09FB" w:rsidRPr="000C09FB">
        <w:rPr>
          <w:i/>
        </w:rPr>
        <w:t>Universitätsstra</w:t>
      </w:r>
      <w:r w:rsidR="00C7377E">
        <w:rPr>
          <w:i/>
        </w:rPr>
        <w:t>ss</w:t>
      </w:r>
      <w:r w:rsidR="000C09FB" w:rsidRPr="000C09FB">
        <w:rPr>
          <w:i/>
        </w:rPr>
        <w:t>e</w:t>
      </w:r>
      <w:proofErr w:type="spellEnd"/>
      <w:r w:rsidR="000C09FB" w:rsidRPr="000C09FB">
        <w:rPr>
          <w:i/>
        </w:rPr>
        <w:t xml:space="preserve"> 150, 44801 Bochum (Germany)</w:t>
      </w:r>
    </w:p>
    <w:p w14:paraId="58FBF26B" w14:textId="77777777" w:rsidR="000C09FB" w:rsidRPr="00C7377E" w:rsidRDefault="000C09FB" w:rsidP="000C09FB">
      <w:pPr>
        <w:jc w:val="center"/>
        <w:rPr>
          <w:i/>
          <w:lang w:val="it-IT"/>
        </w:rPr>
      </w:pPr>
      <w:r w:rsidRPr="00C7377E">
        <w:rPr>
          <w:i/>
          <w:lang w:val="it-IT"/>
        </w:rPr>
        <w:t>e-mail: kristina.tschulik@rub.de</w:t>
      </w:r>
    </w:p>
    <w:p w14:paraId="7A91B416" w14:textId="548FDBC5" w:rsidR="00A00C16" w:rsidRPr="00C7377E" w:rsidRDefault="00A00C16" w:rsidP="00A00C16">
      <w:pPr>
        <w:jc w:val="center"/>
        <w:rPr>
          <w:i/>
          <w:lang w:val="it-IT"/>
        </w:rPr>
      </w:pPr>
    </w:p>
    <w:p w14:paraId="6006C925" w14:textId="77777777" w:rsidR="000F2F80" w:rsidRPr="00DE6CC9" w:rsidRDefault="000F2F80" w:rsidP="00A00C16">
      <w:pPr>
        <w:jc w:val="both"/>
        <w:rPr>
          <w:lang w:val="en-GB"/>
        </w:rPr>
      </w:pPr>
    </w:p>
    <w:p w14:paraId="61AC21CA" w14:textId="311F3493" w:rsidR="000C09FB" w:rsidRDefault="000C09FB" w:rsidP="00E0716D">
      <w:pPr>
        <w:jc w:val="both"/>
      </w:pPr>
      <w:r w:rsidRPr="000C09FB">
        <w:t>The development of efficient, durable, and cost-effective electrocatalysts requires a detailed understanding of the relationship between catalyst structure and performance. However, two key challenges arise in electrocatalytic investigations, which apply to both macroscopic, catalytically active electrodes and catalyst nanoparticle</w:t>
      </w:r>
      <w:r w:rsidR="00A04C4D">
        <w:t xml:space="preserve"> </w:t>
      </w:r>
      <w:r w:rsidRPr="000C09FB">
        <w:t>(NP)</w:t>
      </w:r>
      <w:r w:rsidR="00A04C4D">
        <w:t>-</w:t>
      </w:r>
      <w:r w:rsidRPr="000C09FB">
        <w:t>modified electrodes. First, catalytic activity is often spatially heterogeneous, due to differences in morphology, crystallographic orientation, composition, or local reaction environment. Second, electrocatalysts rarely remain structurally unchanged during operation. Surface reconstruction, dissolution, redeposition, and changes in electrical connectivity can continuously alter the catalyst performance. Addressing these challenges requires analytical approaches capable of probing electrified interfaces under realistic operating conditions.</w:t>
      </w:r>
      <w:r w:rsidR="00CF2C9D" w:rsidRPr="00CF2C9D">
        <w:rPr>
          <w:vertAlign w:val="superscript"/>
        </w:rPr>
        <w:t>[1]</w:t>
      </w:r>
    </w:p>
    <w:p w14:paraId="4F20EC80" w14:textId="419EF55B" w:rsidR="000C09FB" w:rsidRDefault="000C09FB" w:rsidP="00E0716D">
      <w:pPr>
        <w:jc w:val="both"/>
      </w:pPr>
      <w:r w:rsidRPr="000C09FB">
        <w:t>Scanning electrochemical cell microscopy (SECCM) enables localized electrochemical measurements by confining</w:t>
      </w:r>
      <w:r w:rsidR="00A04C4D">
        <w:t xml:space="preserve"> the </w:t>
      </w:r>
      <w:r w:rsidR="005F6FE4">
        <w:t xml:space="preserve">reaction environment </w:t>
      </w:r>
      <w:r w:rsidR="00A04C4D">
        <w:t xml:space="preserve">to a micro- or nanoscale droplet </w:t>
      </w:r>
      <w:r w:rsidR="005F6FE4">
        <w:t>cell formed between a scanned pipet and the working electrode surface</w:t>
      </w:r>
      <w:r w:rsidRPr="000C09FB">
        <w:t xml:space="preserve">. This approach allows spatially resolved activity mapping and direct correlation of position and reactivity. </w:t>
      </w:r>
      <w:r w:rsidR="00C04E42">
        <w:t>Additionally, SECCM can be combined with other (co-located) analys</w:t>
      </w:r>
      <w:r w:rsidR="00470C98">
        <w:t>is tools</w:t>
      </w:r>
      <w:r w:rsidR="00EA61F4">
        <w:t>,</w:t>
      </w:r>
      <w:r w:rsidR="00470C98">
        <w:t xml:space="preserve"> </w:t>
      </w:r>
      <w:r w:rsidR="0013297F">
        <w:t xml:space="preserve">to </w:t>
      </w:r>
      <w:r w:rsidR="00470C98">
        <w:t xml:space="preserve">gain </w:t>
      </w:r>
      <w:r w:rsidR="00EA61F4">
        <w:t>structural insights into the material</w:t>
      </w:r>
      <w:r w:rsidR="00470C98">
        <w:t>. Employing SECCM together with</w:t>
      </w:r>
      <w:r w:rsidR="00C04E42">
        <w:t xml:space="preserve"> electron backscatter diffraction (EBSD)</w:t>
      </w:r>
      <w:r w:rsidR="00470C98">
        <w:t xml:space="preserve">, </w:t>
      </w:r>
      <w:r w:rsidR="0013297F">
        <w:t>one can identify how</w:t>
      </w:r>
      <w:r w:rsidR="00CF2C9D">
        <w:t xml:space="preserve"> the crystallographic surface orientation influences the catalytic activity</w:t>
      </w:r>
      <w:r w:rsidR="0013297F">
        <w:t xml:space="preserve"> </w:t>
      </w:r>
      <w:proofErr w:type="gramStart"/>
      <w:r w:rsidR="0013297F">
        <w:t xml:space="preserve">of </w:t>
      </w:r>
      <w:r w:rsidR="00CF2C9D">
        <w:t xml:space="preserve"> </w:t>
      </w:r>
      <w:r w:rsidR="001D4590">
        <w:t>polycrystalline</w:t>
      </w:r>
      <w:proofErr w:type="gramEnd"/>
      <w:r w:rsidR="001D4590">
        <w:t xml:space="preserve"> </w:t>
      </w:r>
      <w:r w:rsidR="0013297F">
        <w:t xml:space="preserve">electrocatalysts </w:t>
      </w:r>
      <w:r w:rsidR="00CF2C9D" w:rsidRPr="00CF2C9D">
        <w:rPr>
          <w:vertAlign w:val="superscript"/>
        </w:rPr>
        <w:t>[2]</w:t>
      </w:r>
      <w:r w:rsidR="001D4590">
        <w:t xml:space="preserve"> or how particle heterogeneities and catalytic activities develop during post synthetic modification of surface immobilized nanoparticles</w:t>
      </w:r>
      <w:r w:rsidRPr="000C09FB">
        <w:t>.</w:t>
      </w:r>
      <w:r w:rsidR="00CF2C9D" w:rsidRPr="00CF2C9D">
        <w:rPr>
          <w:vertAlign w:val="superscript"/>
        </w:rPr>
        <w:t>[3]</w:t>
      </w:r>
      <w:r w:rsidRPr="00CF2C9D">
        <w:rPr>
          <w:vertAlign w:val="superscript"/>
        </w:rPr>
        <w:t xml:space="preserve"> </w:t>
      </w:r>
    </w:p>
    <w:p w14:paraId="1261A961" w14:textId="113BD270" w:rsidR="004526C8" w:rsidRDefault="000C09FB" w:rsidP="004526C8">
      <w:pPr>
        <w:jc w:val="both"/>
      </w:pPr>
      <w:r w:rsidRPr="000C09FB">
        <w:t xml:space="preserve">As a complementary approach, dark-field microscopy (DFM) </w:t>
      </w:r>
      <w:r w:rsidR="00FD0811">
        <w:t>enabl</w:t>
      </w:r>
      <w:r w:rsidRPr="000C09FB">
        <w:t xml:space="preserve">es highly sensitive operando monitoring of </w:t>
      </w:r>
      <w:proofErr w:type="spellStart"/>
      <w:r w:rsidRPr="000C09FB">
        <w:t>plasmonically</w:t>
      </w:r>
      <w:proofErr w:type="spellEnd"/>
      <w:r w:rsidRPr="000C09FB">
        <w:t xml:space="preserve"> active nanoparticles. Because the optical scattering response is strongly influenced by changes in composition, morphology, and local environment, DFM enables real-time tracking of catalyst transformations at the single-particle level, such as dissolution, oxidation, restructuring, and loss of electrical contact. Using operando DFM, we </w:t>
      </w:r>
      <w:r w:rsidR="00C7377E">
        <w:t xml:space="preserve">can </w:t>
      </w:r>
      <w:r w:rsidRPr="000C09FB">
        <w:t>directly observe potential-dependent oxidation product formation on individual silver nanoparticles</w:t>
      </w:r>
      <w:r w:rsidR="00C7377E" w:rsidRPr="00CF2C9D">
        <w:rPr>
          <w:vertAlign w:val="superscript"/>
        </w:rPr>
        <w:t xml:space="preserve"> </w:t>
      </w:r>
      <w:r w:rsidR="00CF2C9D" w:rsidRPr="00CF2C9D">
        <w:rPr>
          <w:vertAlign w:val="superscript"/>
        </w:rPr>
        <w:t>[4]</w:t>
      </w:r>
      <w:r w:rsidR="00C7377E">
        <w:t xml:space="preserve"> and</w:t>
      </w:r>
      <w:r w:rsidR="004526C8">
        <w:t xml:space="preserve"> observe the catalytic activity of individual </w:t>
      </w:r>
      <w:proofErr w:type="spellStart"/>
      <w:r w:rsidR="004526C8">
        <w:t>nanocatalyst</w:t>
      </w:r>
      <w:proofErr w:type="spellEnd"/>
      <w:r w:rsidR="004526C8">
        <w:t xml:space="preserve"> particles a</w:t>
      </w:r>
      <w:r w:rsidR="00FD0811">
        <w:t>s well as</w:t>
      </w:r>
      <w:r w:rsidR="004526C8">
        <w:t xml:space="preserve"> its intra-batch heterogeneity. </w:t>
      </w:r>
    </w:p>
    <w:p w14:paraId="3A193729" w14:textId="033D0ECF" w:rsidR="00FB20BE" w:rsidRPr="000C09FB" w:rsidRDefault="000C09FB" w:rsidP="00E0716D">
      <w:pPr>
        <w:jc w:val="both"/>
      </w:pPr>
      <w:r w:rsidRPr="000C09FB">
        <w:t>Together, these examples illustrate how in-situ and operando methods provide unique insights into both local activity variations and catalyst dynamics that govern electrocatalytic performance. Such approaches are broadly applicable to macroscopic electrodes as well as nanoparticle-based catalyst systems and are expected to play an increasingly important role in the rational design of next-generation electrocatalytic materials.</w:t>
      </w:r>
    </w:p>
    <w:p w14:paraId="7FEBDF66" w14:textId="69D01308" w:rsidR="00FB20BE" w:rsidRDefault="00FB20BE" w:rsidP="00E0716D">
      <w:pPr>
        <w:jc w:val="both"/>
        <w:rPr>
          <w:lang w:val="en-GB"/>
        </w:rPr>
      </w:pPr>
    </w:p>
    <w:p w14:paraId="073115DC" w14:textId="77777777" w:rsidR="00CF2C9D" w:rsidRDefault="00CF2C9D" w:rsidP="00E0716D">
      <w:pPr>
        <w:jc w:val="both"/>
        <w:rPr>
          <w:lang w:val="en-GB"/>
        </w:rPr>
      </w:pPr>
    </w:p>
    <w:p w14:paraId="4CDB10DA" w14:textId="77777777" w:rsidR="00CF2C9D" w:rsidRDefault="00CF2C9D" w:rsidP="00E0716D">
      <w:pPr>
        <w:jc w:val="both"/>
        <w:rPr>
          <w:lang w:val="en-GB"/>
        </w:rPr>
      </w:pPr>
    </w:p>
    <w:p w14:paraId="659151D8" w14:textId="331B3636" w:rsidR="002747B7" w:rsidRDefault="00FD0811" w:rsidP="00E0716D">
      <w:pPr>
        <w:jc w:val="both"/>
        <w:rPr>
          <w:lang w:val="en-GB"/>
        </w:rPr>
      </w:pPr>
      <w:r>
        <w:rPr>
          <w:lang w:val="en-GB"/>
        </w:rPr>
        <w:t>Reference</w:t>
      </w:r>
    </w:p>
    <w:p w14:paraId="5A1205B3" w14:textId="77777777" w:rsidR="002747B7" w:rsidRDefault="002747B7" w:rsidP="00E0716D">
      <w:pPr>
        <w:jc w:val="both"/>
        <w:rPr>
          <w:lang w:val="en-GB"/>
        </w:rPr>
      </w:pPr>
    </w:p>
    <w:p w14:paraId="7719B214" w14:textId="28403D90" w:rsidR="00CF2C9D" w:rsidRDefault="00CF2C9D" w:rsidP="00E0716D">
      <w:pPr>
        <w:jc w:val="both"/>
      </w:pPr>
      <w:r>
        <w:rPr>
          <w:lang w:val="nb-NO"/>
        </w:rPr>
        <w:t xml:space="preserve">[1] </w:t>
      </w:r>
      <w:r w:rsidR="002747B7">
        <w:rPr>
          <w:lang w:val="nb-NO"/>
        </w:rPr>
        <w:t xml:space="preserve">E. </w:t>
      </w:r>
      <w:r w:rsidRPr="00CF2C9D">
        <w:rPr>
          <w:lang w:val="nb-NO"/>
        </w:rPr>
        <w:t xml:space="preserve">Pastor, </w:t>
      </w:r>
      <w:r w:rsidR="002747B7">
        <w:rPr>
          <w:lang w:val="nb-NO"/>
        </w:rPr>
        <w:t xml:space="preserve">Z. </w:t>
      </w:r>
      <w:r w:rsidRPr="00CF2C9D">
        <w:rPr>
          <w:lang w:val="nb-NO"/>
        </w:rPr>
        <w:t xml:space="preserve">Lian, </w:t>
      </w:r>
      <w:r w:rsidR="002747B7">
        <w:rPr>
          <w:lang w:val="nb-NO"/>
        </w:rPr>
        <w:t xml:space="preserve">L. </w:t>
      </w:r>
      <w:r w:rsidRPr="00CF2C9D">
        <w:rPr>
          <w:lang w:val="nb-NO"/>
        </w:rPr>
        <w:t xml:space="preserve">Xia </w:t>
      </w:r>
      <w:r w:rsidRPr="00CF2C9D">
        <w:rPr>
          <w:i/>
          <w:iCs/>
          <w:lang w:val="nb-NO"/>
        </w:rPr>
        <w:t>et al.</w:t>
      </w:r>
      <w:r w:rsidRPr="00CF2C9D">
        <w:rPr>
          <w:lang w:val="nb-NO"/>
        </w:rPr>
        <w:t xml:space="preserve"> </w:t>
      </w:r>
      <w:r w:rsidRPr="00CF2C9D">
        <w:t xml:space="preserve">Complementary probes for the electrochemical interface. </w:t>
      </w:r>
      <w:r w:rsidRPr="00CF2C9D">
        <w:rPr>
          <w:i/>
          <w:iCs/>
        </w:rPr>
        <w:t>Nat</w:t>
      </w:r>
      <w:r>
        <w:rPr>
          <w:i/>
          <w:iCs/>
        </w:rPr>
        <w:t>.</w:t>
      </w:r>
      <w:r w:rsidRPr="00CF2C9D">
        <w:rPr>
          <w:i/>
          <w:iCs/>
        </w:rPr>
        <w:t xml:space="preserve"> Rev</w:t>
      </w:r>
      <w:r>
        <w:rPr>
          <w:i/>
          <w:iCs/>
        </w:rPr>
        <w:t>.</w:t>
      </w:r>
      <w:r w:rsidRPr="00CF2C9D">
        <w:rPr>
          <w:i/>
          <w:iCs/>
        </w:rPr>
        <w:t xml:space="preserve"> Chem</w:t>
      </w:r>
      <w:r>
        <w:rPr>
          <w:i/>
          <w:iCs/>
        </w:rPr>
        <w:t xml:space="preserve">. </w:t>
      </w:r>
      <w:r w:rsidRPr="00CF2C9D">
        <w:rPr>
          <w:b/>
          <w:bCs/>
        </w:rPr>
        <w:t>2024</w:t>
      </w:r>
      <w:r>
        <w:rPr>
          <w:i/>
          <w:iCs/>
        </w:rPr>
        <w:t>,</w:t>
      </w:r>
      <w:r w:rsidRPr="00CF2C9D">
        <w:t xml:space="preserve"> </w:t>
      </w:r>
      <w:r w:rsidRPr="00CF2C9D">
        <w:rPr>
          <w:i/>
          <w:iCs/>
        </w:rPr>
        <w:t>8</w:t>
      </w:r>
      <w:r w:rsidRPr="00CF2C9D">
        <w:t xml:space="preserve">, 159–178. </w:t>
      </w:r>
    </w:p>
    <w:p w14:paraId="158BA39E" w14:textId="151FFA65" w:rsidR="00CF2C9D" w:rsidRDefault="00CF2C9D" w:rsidP="00E0716D">
      <w:pPr>
        <w:jc w:val="both"/>
      </w:pPr>
      <w:r w:rsidRPr="002747B7">
        <w:rPr>
          <w:lang w:val="nb-NO"/>
        </w:rPr>
        <w:t>[2] C. Luan, J. Angona, A. Bala Krishnan</w:t>
      </w:r>
      <w:r w:rsidR="002747B7" w:rsidRPr="002747B7">
        <w:rPr>
          <w:lang w:val="nb-NO"/>
        </w:rPr>
        <w:t xml:space="preserve"> </w:t>
      </w:r>
      <w:r w:rsidR="002747B7" w:rsidRPr="002747B7">
        <w:rPr>
          <w:i/>
          <w:iCs/>
          <w:lang w:val="nb-NO"/>
        </w:rPr>
        <w:t>et al.</w:t>
      </w:r>
      <w:r w:rsidRPr="002747B7">
        <w:rPr>
          <w:lang w:val="nb-NO"/>
        </w:rPr>
        <w:t xml:space="preserve">, </w:t>
      </w:r>
      <w:r w:rsidRPr="002747B7">
        <w:rPr>
          <w:i/>
          <w:iCs/>
          <w:lang w:val="nb-NO"/>
        </w:rPr>
        <w:t xml:space="preserve">Angew. </w:t>
      </w:r>
      <w:r w:rsidRPr="00CF2C9D">
        <w:rPr>
          <w:i/>
          <w:iCs/>
        </w:rPr>
        <w:t>Chem. Int. Ed.</w:t>
      </w:r>
      <w:r>
        <w:rPr>
          <w:i/>
          <w:iCs/>
        </w:rPr>
        <w:t xml:space="preserve"> </w:t>
      </w:r>
      <w:r w:rsidRPr="00CF2C9D">
        <w:rPr>
          <w:b/>
          <w:bCs/>
        </w:rPr>
        <w:t>2023</w:t>
      </w:r>
      <w:r w:rsidRPr="00CF2C9D">
        <w:t xml:space="preserve">, </w:t>
      </w:r>
      <w:r w:rsidRPr="00CF2C9D">
        <w:rPr>
          <w:i/>
          <w:iCs/>
        </w:rPr>
        <w:t>62</w:t>
      </w:r>
      <w:r w:rsidRPr="00CF2C9D">
        <w:t>, e202305982.</w:t>
      </w:r>
    </w:p>
    <w:p w14:paraId="4D23D721" w14:textId="012BAFAE" w:rsidR="00CF2C9D" w:rsidRPr="00CF2C9D" w:rsidRDefault="00CF2C9D" w:rsidP="00CF2C9D">
      <w:pPr>
        <w:jc w:val="both"/>
      </w:pPr>
      <w:r>
        <w:t xml:space="preserve">[3] </w:t>
      </w:r>
      <w:r w:rsidRPr="00CF2C9D">
        <w:t>J</w:t>
      </w:r>
      <w:r w:rsidR="002747B7">
        <w:t>.</w:t>
      </w:r>
      <w:r w:rsidRPr="00CF2C9D">
        <w:t xml:space="preserve"> Angona, D</w:t>
      </w:r>
      <w:r w:rsidR="002747B7">
        <w:t>.</w:t>
      </w:r>
      <w:r w:rsidRPr="00CF2C9D">
        <w:t xml:space="preserve"> Valavanis, D</w:t>
      </w:r>
      <w:r w:rsidR="002747B7">
        <w:t>.</w:t>
      </w:r>
      <w:r w:rsidRPr="00CF2C9D">
        <w:t xml:space="preserve"> Houghton</w:t>
      </w:r>
      <w:r w:rsidR="002747B7">
        <w:t xml:space="preserve"> </w:t>
      </w:r>
      <w:r w:rsidR="002747B7" w:rsidRPr="002747B7">
        <w:rPr>
          <w:i/>
          <w:iCs/>
        </w:rPr>
        <w:t>et al.</w:t>
      </w:r>
      <w:r w:rsidRPr="002747B7">
        <w:t>,</w:t>
      </w:r>
      <w:r>
        <w:t xml:space="preserve"> </w:t>
      </w:r>
      <w:r w:rsidRPr="00CF2C9D">
        <w:rPr>
          <w:i/>
          <w:iCs/>
        </w:rPr>
        <w:t>ACS Applied Materials &amp; Interfaces</w:t>
      </w:r>
      <w:r w:rsidRPr="00CF2C9D">
        <w:t xml:space="preserve"> </w:t>
      </w:r>
      <w:r w:rsidRPr="00CF2C9D">
        <w:rPr>
          <w:b/>
          <w:bCs/>
        </w:rPr>
        <w:t>2026</w:t>
      </w:r>
      <w:r w:rsidRPr="00CF2C9D">
        <w:t xml:space="preserve"> </w:t>
      </w:r>
      <w:r w:rsidRPr="00CF2C9D">
        <w:rPr>
          <w:i/>
          <w:iCs/>
        </w:rPr>
        <w:t>18</w:t>
      </w:r>
      <w:r w:rsidRPr="00CF2C9D">
        <w:t xml:space="preserve"> (15), 21964-21977.</w:t>
      </w:r>
    </w:p>
    <w:p w14:paraId="2A3DEE47" w14:textId="1DD1C85C" w:rsidR="00CF2C9D" w:rsidRPr="00CF2C9D" w:rsidRDefault="00CF2C9D" w:rsidP="00CF2C9D">
      <w:pPr>
        <w:jc w:val="both"/>
      </w:pPr>
      <w:r>
        <w:t xml:space="preserve">[4] </w:t>
      </w:r>
      <w:r w:rsidRPr="00CF2C9D">
        <w:t>K</w:t>
      </w:r>
      <w:r w:rsidR="002747B7">
        <w:t>.</w:t>
      </w:r>
      <w:r w:rsidRPr="00CF2C9D">
        <w:t xml:space="preserve"> Wonner, M</w:t>
      </w:r>
      <w:r w:rsidR="002747B7">
        <w:t>.</w:t>
      </w:r>
      <w:r w:rsidRPr="00CF2C9D">
        <w:t xml:space="preserve"> V. Evers, K</w:t>
      </w:r>
      <w:r w:rsidR="002747B7">
        <w:t>.</w:t>
      </w:r>
      <w:r w:rsidRPr="00CF2C9D">
        <w:t xml:space="preserve"> Tschulik</w:t>
      </w:r>
      <w:r>
        <w:t xml:space="preserve">, </w:t>
      </w:r>
      <w:r w:rsidRPr="00CF2C9D">
        <w:rPr>
          <w:i/>
          <w:iCs/>
        </w:rPr>
        <w:t>Journal of the American Chemical Society</w:t>
      </w:r>
      <w:r w:rsidRPr="00CF2C9D">
        <w:t xml:space="preserve"> </w:t>
      </w:r>
      <w:r w:rsidRPr="00CF2C9D">
        <w:rPr>
          <w:b/>
          <w:bCs/>
        </w:rPr>
        <w:t>2018</w:t>
      </w:r>
      <w:r w:rsidRPr="00CF2C9D">
        <w:t xml:space="preserve"> </w:t>
      </w:r>
      <w:r w:rsidRPr="00CF2C9D">
        <w:rPr>
          <w:i/>
          <w:iCs/>
        </w:rPr>
        <w:t>140</w:t>
      </w:r>
      <w:r w:rsidRPr="00CF2C9D">
        <w:t xml:space="preserve"> (40), 12658-12661</w:t>
      </w:r>
      <w:r>
        <w:t>.</w:t>
      </w:r>
    </w:p>
    <w:p w14:paraId="58915BF4" w14:textId="7300E075" w:rsidR="00CF2C9D" w:rsidRPr="003E0209" w:rsidRDefault="00CF2C9D" w:rsidP="00E0716D">
      <w:pPr>
        <w:jc w:val="both"/>
        <w:rPr>
          <w:lang w:val="en-GB"/>
        </w:rPr>
      </w:pPr>
    </w:p>
    <w:sectPr w:rsidR="00CF2C9D" w:rsidRPr="003E0209"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1Nje0MDA0MDMwtLBQ0lEKTi0uzszPAykwrAUAyJIdnCwAAAA="/>
  </w:docVars>
  <w:rsids>
    <w:rsidRoot w:val="00325004"/>
    <w:rsid w:val="00041EFD"/>
    <w:rsid w:val="00090BCF"/>
    <w:rsid w:val="000B5A5D"/>
    <w:rsid w:val="000C09FB"/>
    <w:rsid w:val="000D6427"/>
    <w:rsid w:val="000F2F80"/>
    <w:rsid w:val="0013297F"/>
    <w:rsid w:val="001D4590"/>
    <w:rsid w:val="001E7683"/>
    <w:rsid w:val="00267937"/>
    <w:rsid w:val="002747B7"/>
    <w:rsid w:val="002E4794"/>
    <w:rsid w:val="00325004"/>
    <w:rsid w:val="003D510E"/>
    <w:rsid w:val="003E0209"/>
    <w:rsid w:val="003E16A1"/>
    <w:rsid w:val="004116C9"/>
    <w:rsid w:val="00420C20"/>
    <w:rsid w:val="004526C8"/>
    <w:rsid w:val="00470C98"/>
    <w:rsid w:val="00471992"/>
    <w:rsid w:val="004E569F"/>
    <w:rsid w:val="00504229"/>
    <w:rsid w:val="0056795F"/>
    <w:rsid w:val="0057512E"/>
    <w:rsid w:val="005F6FE4"/>
    <w:rsid w:val="006046B4"/>
    <w:rsid w:val="006167E4"/>
    <w:rsid w:val="0064154E"/>
    <w:rsid w:val="00685C1A"/>
    <w:rsid w:val="006B25B1"/>
    <w:rsid w:val="00782009"/>
    <w:rsid w:val="008E171B"/>
    <w:rsid w:val="009A45E9"/>
    <w:rsid w:val="009B5F4A"/>
    <w:rsid w:val="009C3878"/>
    <w:rsid w:val="009C7DB0"/>
    <w:rsid w:val="00A00C16"/>
    <w:rsid w:val="00A04C4D"/>
    <w:rsid w:val="00AB6971"/>
    <w:rsid w:val="00B32ED3"/>
    <w:rsid w:val="00BD6A5D"/>
    <w:rsid w:val="00C04E42"/>
    <w:rsid w:val="00C5150A"/>
    <w:rsid w:val="00C7377E"/>
    <w:rsid w:val="00C73786"/>
    <w:rsid w:val="00CD4AA8"/>
    <w:rsid w:val="00CE0EA2"/>
    <w:rsid w:val="00CF2C9D"/>
    <w:rsid w:val="00D32CCA"/>
    <w:rsid w:val="00D431EE"/>
    <w:rsid w:val="00D50EAD"/>
    <w:rsid w:val="00DD0077"/>
    <w:rsid w:val="00DE6CC9"/>
    <w:rsid w:val="00E0716D"/>
    <w:rsid w:val="00E36DB8"/>
    <w:rsid w:val="00E96693"/>
    <w:rsid w:val="00EA61F4"/>
    <w:rsid w:val="00F41B62"/>
    <w:rsid w:val="00F65E14"/>
    <w:rsid w:val="00F97641"/>
    <w:rsid w:val="00FB20BE"/>
    <w:rsid w:val="00FC58FA"/>
    <w:rsid w:val="00FD081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286147"/>
  <w14:defaultImageDpi w14:val="330"/>
  <w15:chartTrackingRefBased/>
  <w15:docId w15:val="{0D38E614-A507-46A5-80CD-D6B2E880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71"/>
    <w:rsid w:val="000B5A5D"/>
    <w:rPr>
      <w:snapToGrid w:val="0"/>
      <w:lang w:val="en-US" w:eastAsia="en-US"/>
    </w:rPr>
  </w:style>
  <w:style w:type="character" w:styleId="CommentReference">
    <w:name w:val="annotation reference"/>
    <w:basedOn w:val="DefaultParagraphFont"/>
    <w:uiPriority w:val="99"/>
    <w:semiHidden/>
    <w:unhideWhenUsed/>
    <w:rsid w:val="000B5A5D"/>
    <w:rPr>
      <w:sz w:val="16"/>
      <w:szCs w:val="16"/>
    </w:rPr>
  </w:style>
  <w:style w:type="paragraph" w:styleId="CommentText">
    <w:name w:val="annotation text"/>
    <w:basedOn w:val="Normal"/>
    <w:link w:val="CommentTextChar"/>
    <w:uiPriority w:val="99"/>
    <w:unhideWhenUsed/>
    <w:rsid w:val="000B5A5D"/>
  </w:style>
  <w:style w:type="character" w:customStyle="1" w:styleId="CommentTextChar">
    <w:name w:val="Comment Text Char"/>
    <w:basedOn w:val="DefaultParagraphFont"/>
    <w:link w:val="CommentText"/>
    <w:uiPriority w:val="99"/>
    <w:rsid w:val="000B5A5D"/>
    <w:rPr>
      <w:snapToGrid w:val="0"/>
      <w:lang w:val="en-US" w:eastAsia="en-US"/>
    </w:rPr>
  </w:style>
  <w:style w:type="paragraph" w:styleId="CommentSubject">
    <w:name w:val="annotation subject"/>
    <w:basedOn w:val="CommentText"/>
    <w:next w:val="CommentText"/>
    <w:link w:val="CommentSubjectChar"/>
    <w:uiPriority w:val="99"/>
    <w:semiHidden/>
    <w:unhideWhenUsed/>
    <w:rsid w:val="000B5A5D"/>
    <w:rPr>
      <w:b/>
      <w:bCs/>
    </w:rPr>
  </w:style>
  <w:style w:type="character" w:customStyle="1" w:styleId="CommentSubjectChar">
    <w:name w:val="Comment Subject Char"/>
    <w:basedOn w:val="CommentTextChar"/>
    <w:link w:val="CommentSubject"/>
    <w:uiPriority w:val="99"/>
    <w:semiHidden/>
    <w:rsid w:val="000B5A5D"/>
    <w:rPr>
      <w:b/>
      <w:bCs/>
      <w:snapToGrid w:val="0"/>
      <w:lang w:val="en-US" w:eastAsia="en-US"/>
    </w:rPr>
  </w:style>
  <w:style w:type="character" w:styleId="Hyperlink">
    <w:name w:val="Hyperlink"/>
    <w:basedOn w:val="DefaultParagraphFont"/>
    <w:uiPriority w:val="99"/>
    <w:unhideWhenUsed/>
    <w:rsid w:val="00CF2C9D"/>
    <w:rPr>
      <w:color w:val="467886" w:themeColor="hyperlink"/>
      <w:u w:val="single"/>
    </w:rPr>
  </w:style>
  <w:style w:type="character" w:styleId="UnresolvedMention">
    <w:name w:val="Unresolved Mention"/>
    <w:basedOn w:val="DefaultParagraphFont"/>
    <w:uiPriority w:val="99"/>
    <w:semiHidden/>
    <w:unhideWhenUsed/>
    <w:rsid w:val="00CF2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536</Words>
  <Characters>3061</Characters>
  <Application>Microsoft Office Word</Application>
  <DocSecurity>0</DocSecurity>
  <Lines>25</Lines>
  <Paragraphs>7</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Title</vt:lpstr>
      <vt:lpstr>Title</vt:lpstr>
      <vt:lpstr>Title</vt:lpstr>
    </vt:vector>
  </TitlesOfParts>
  <Company>Electrochemical Society</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Tschulik, Kristina</cp:lastModifiedBy>
  <cp:revision>2</cp:revision>
  <cp:lastPrinted>2013-10-21T12:07:00Z</cp:lastPrinted>
  <dcterms:created xsi:type="dcterms:W3CDTF">2026-06-11T22:47:00Z</dcterms:created>
  <dcterms:modified xsi:type="dcterms:W3CDTF">2026-06-11T22:47:00Z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CloudProjectKey=xylnbafr1ttxdosbgux9bjrto08ofsmjugjse0aimen8vfetce; ProjectName=PhD thesis</vt:lpwstr>
  </property>
  <property fmtid="{D5CDD505-2E9C-101B-9397-08002B2CF9AE}" pid="3" name="CitaviDocumentProperty_7">
    <vt:lpwstr>PhD thesis</vt:lpwstr>
  </property>
  <property fmtid="{D5CDD505-2E9C-101B-9397-08002B2CF9AE}" pid="4" name="CitaviDocumentProperty_0">
    <vt:lpwstr>f1ed8f7d-1c65-4f06-ad48-3e96e725bea1</vt:lpwstr>
  </property>
</Properties>
</file>