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C589" w14:textId="4A029BF1" w:rsidR="00325004" w:rsidRPr="00A86EB9" w:rsidRDefault="00516792" w:rsidP="00E0716D">
      <w:pPr>
        <w:jc w:val="center"/>
        <w:rPr>
          <w:b/>
          <w:sz w:val="28"/>
        </w:rPr>
      </w:pPr>
      <w:r>
        <w:rPr>
          <w:b/>
          <w:sz w:val="28"/>
        </w:rPr>
        <w:t xml:space="preserve">Scanning Probe Lithography for </w:t>
      </w:r>
      <w:r w:rsidR="00717956">
        <w:rPr>
          <w:b/>
          <w:sz w:val="28"/>
        </w:rPr>
        <w:t>Functionalization of Advanced Electrochemical Biosensors</w:t>
      </w:r>
    </w:p>
    <w:p w14:paraId="03CCDA69" w14:textId="77777777" w:rsidR="00325004" w:rsidRPr="00A86EB9" w:rsidRDefault="00325004" w:rsidP="00E0716D">
      <w:pPr>
        <w:jc w:val="center"/>
        <w:rPr>
          <w:b/>
          <w:sz w:val="28"/>
        </w:rPr>
      </w:pPr>
    </w:p>
    <w:p w14:paraId="64E3A61D" w14:textId="2F56B9F6" w:rsidR="00325004" w:rsidRDefault="003A3541" w:rsidP="003A3541">
      <w:pPr>
        <w:jc w:val="center"/>
        <w:rPr>
          <w:u w:val="single"/>
        </w:rPr>
      </w:pPr>
      <w:r w:rsidRPr="003A3541">
        <w:t>Daisy Agrawal</w:t>
      </w:r>
      <w:r w:rsidRPr="00516792">
        <w:rPr>
          <w:vertAlign w:val="superscript"/>
        </w:rPr>
        <w:t>a,b</w:t>
      </w:r>
      <w:r w:rsidRPr="003A3541">
        <w:t xml:space="preserve">, </w:t>
      </w:r>
      <w:r w:rsidRPr="003A3541">
        <w:t>Wenjing Wang</w:t>
      </w:r>
      <w:r w:rsidRPr="00516792">
        <w:rPr>
          <w:vertAlign w:val="superscript"/>
        </w:rPr>
        <w:t>a,b</w:t>
      </w:r>
      <w:r w:rsidRPr="003A3541">
        <w:t xml:space="preserve">, </w:t>
      </w:r>
      <w:r w:rsidRPr="003A3541">
        <w:t>Srivatsan K. Vasantham</w:t>
      </w:r>
      <w:r w:rsidRPr="00516792">
        <w:rPr>
          <w:vertAlign w:val="superscript"/>
        </w:rPr>
        <w:t>a,b</w:t>
      </w:r>
      <w:r w:rsidRPr="003A3541">
        <w:t xml:space="preserve">, </w:t>
      </w:r>
      <w:r w:rsidRPr="00766AC5">
        <w:t>Masooma Ibrahim</w:t>
      </w:r>
      <w:r w:rsidR="00516792" w:rsidRPr="00516792">
        <w:rPr>
          <w:vertAlign w:val="superscript"/>
        </w:rPr>
        <w:t>a,c</w:t>
      </w:r>
      <w:r>
        <w:t>,</w:t>
      </w:r>
      <w:r w:rsidR="00C4314B">
        <w:br/>
      </w:r>
      <w:r w:rsidRPr="003A3541">
        <w:t>Jasmin Aghassi-Hagmann</w:t>
      </w:r>
      <w:r w:rsidR="00516792" w:rsidRPr="00516792">
        <w:rPr>
          <w:vertAlign w:val="superscript"/>
        </w:rPr>
        <w:t>a</w:t>
      </w:r>
      <w:r w:rsidRPr="003A3541">
        <w:t xml:space="preserve">, </w:t>
      </w:r>
      <w:r w:rsidRPr="003A3541">
        <w:t>Annie K. Powell</w:t>
      </w:r>
      <w:r w:rsidR="00516792" w:rsidRPr="00516792">
        <w:rPr>
          <w:vertAlign w:val="superscript"/>
        </w:rPr>
        <w:t>a,c,d</w:t>
      </w:r>
      <w:r w:rsidRPr="003A3541">
        <w:t xml:space="preserve">, </w:t>
      </w:r>
      <w:r w:rsidRPr="003A3541">
        <w:t>Jacek Ryl</w:t>
      </w:r>
      <w:r w:rsidR="00516792" w:rsidRPr="00516792">
        <w:rPr>
          <w:vertAlign w:val="superscript"/>
        </w:rPr>
        <w:t>e</w:t>
      </w:r>
      <w:r>
        <w:t xml:space="preserve">, </w:t>
      </w:r>
      <w:r w:rsidRPr="003A3541">
        <w:rPr>
          <w:u w:val="single"/>
        </w:rPr>
        <w:t>Michael Hirtz</w:t>
      </w:r>
      <w:r w:rsidR="00516792" w:rsidRPr="00516792">
        <w:rPr>
          <w:vertAlign w:val="superscript"/>
        </w:rPr>
        <w:t>a,b</w:t>
      </w:r>
    </w:p>
    <w:p w14:paraId="699FC518" w14:textId="77777777" w:rsidR="003A3541" w:rsidRDefault="003A3541" w:rsidP="003A3541">
      <w:pPr>
        <w:jc w:val="center"/>
      </w:pPr>
    </w:p>
    <w:p w14:paraId="38D1BF41" w14:textId="77777777" w:rsidR="005B60D0" w:rsidRDefault="003A3541" w:rsidP="003A3541">
      <w:pPr>
        <w:jc w:val="center"/>
        <w:rPr>
          <w:i/>
        </w:rPr>
      </w:pPr>
      <w:r w:rsidRPr="00516792">
        <w:rPr>
          <w:i/>
          <w:vertAlign w:val="superscript"/>
        </w:rPr>
        <w:t>a</w:t>
      </w:r>
      <w:r w:rsidRPr="00516792">
        <w:rPr>
          <w:i/>
        </w:rPr>
        <w:t xml:space="preserve"> </w:t>
      </w:r>
      <w:r w:rsidRPr="00516792">
        <w:rPr>
          <w:i/>
        </w:rPr>
        <w:t>Institute of Nanotechnology (INT),</w:t>
      </w:r>
      <w:r w:rsidR="005B60D0">
        <w:rPr>
          <w:i/>
        </w:rPr>
        <w:br/>
      </w:r>
      <w:r w:rsidR="005B60D0" w:rsidRPr="00516792">
        <w:rPr>
          <w:i/>
          <w:vertAlign w:val="superscript"/>
        </w:rPr>
        <w:t>b</w:t>
      </w:r>
      <w:r w:rsidR="005B60D0" w:rsidRPr="00516792">
        <w:rPr>
          <w:i/>
        </w:rPr>
        <w:t xml:space="preserve"> Karlsruhe Nano Micro Facility (KNMFi)</w:t>
      </w:r>
      <w:r w:rsidR="005B60D0">
        <w:rPr>
          <w:i/>
        </w:rPr>
        <w:br/>
      </w:r>
      <w:r w:rsidR="005B60D0" w:rsidRPr="00516792">
        <w:rPr>
          <w:i/>
          <w:vertAlign w:val="superscript"/>
        </w:rPr>
        <w:t>c</w:t>
      </w:r>
      <w:r w:rsidR="005B60D0" w:rsidRPr="00516792">
        <w:rPr>
          <w:i/>
        </w:rPr>
        <w:t xml:space="preserve"> Institute of Inorganic Chemistry (AOC)</w:t>
      </w:r>
    </w:p>
    <w:p w14:paraId="08B17CE4" w14:textId="293AF9A4" w:rsidR="003A3541" w:rsidRPr="00516792" w:rsidRDefault="005B60D0" w:rsidP="003A3541">
      <w:pPr>
        <w:jc w:val="center"/>
        <w:rPr>
          <w:i/>
        </w:rPr>
      </w:pPr>
      <w:r w:rsidRPr="00516792">
        <w:rPr>
          <w:i/>
          <w:vertAlign w:val="superscript"/>
        </w:rPr>
        <w:t>d</w:t>
      </w:r>
      <w:r w:rsidRPr="00516792">
        <w:rPr>
          <w:i/>
        </w:rPr>
        <w:t xml:space="preserve"> Institute for Quantum Materials and Technologies (IQMT)</w:t>
      </w:r>
      <w:r>
        <w:rPr>
          <w:i/>
        </w:rPr>
        <w:br/>
      </w:r>
      <w:r w:rsidR="003A3541" w:rsidRPr="00516792">
        <w:rPr>
          <w:i/>
        </w:rPr>
        <w:t>Karlsruhe Institute of Technology (KIT),</w:t>
      </w:r>
      <w:r>
        <w:rPr>
          <w:i/>
        </w:rPr>
        <w:t xml:space="preserve"> </w:t>
      </w:r>
      <w:r w:rsidR="003A3541" w:rsidRPr="00516792">
        <w:rPr>
          <w:i/>
        </w:rPr>
        <w:t>Kaiserstraße 12, 76131</w:t>
      </w:r>
      <w:r w:rsidR="003A3541" w:rsidRPr="00516792">
        <w:rPr>
          <w:i/>
        </w:rPr>
        <w:t xml:space="preserve"> </w:t>
      </w:r>
      <w:r w:rsidR="003A3541" w:rsidRPr="00516792">
        <w:rPr>
          <w:i/>
        </w:rPr>
        <w:t>Karlsruhe, Germany</w:t>
      </w:r>
    </w:p>
    <w:p w14:paraId="4E0765EE" w14:textId="01BF76BE" w:rsidR="005B60D0" w:rsidRPr="005B60D0" w:rsidRDefault="005B60D0" w:rsidP="005B60D0">
      <w:pPr>
        <w:jc w:val="center"/>
        <w:rPr>
          <w:i/>
        </w:rPr>
      </w:pPr>
      <w:r w:rsidRPr="00516792">
        <w:rPr>
          <w:i/>
        </w:rPr>
        <w:t>michael.hirtz@kit.edu</w:t>
      </w:r>
    </w:p>
    <w:p w14:paraId="096EE544" w14:textId="56C4914F" w:rsidR="003A3541" w:rsidRPr="00516792" w:rsidRDefault="003A3541" w:rsidP="003A3541">
      <w:pPr>
        <w:jc w:val="center"/>
        <w:rPr>
          <w:i/>
        </w:rPr>
      </w:pPr>
      <w:r w:rsidRPr="00516792">
        <w:rPr>
          <w:i/>
          <w:vertAlign w:val="superscript"/>
        </w:rPr>
        <w:t>e</w:t>
      </w:r>
      <w:r w:rsidRPr="00516792">
        <w:rPr>
          <w:i/>
        </w:rPr>
        <w:t xml:space="preserve"> Gdańsk University of Technology, Narutowicza 11/12, 80-233 Gdańsk, Poland</w:t>
      </w:r>
    </w:p>
    <w:p w14:paraId="0D44B4A6" w14:textId="77777777" w:rsidR="00325004" w:rsidRDefault="00325004" w:rsidP="00E0716D">
      <w:pPr>
        <w:jc w:val="center"/>
      </w:pPr>
    </w:p>
    <w:p w14:paraId="12B70A85" w14:textId="77777777" w:rsidR="00717956" w:rsidRDefault="00717956" w:rsidP="00717956">
      <w:pPr>
        <w:jc w:val="both"/>
      </w:pPr>
    </w:p>
    <w:p w14:paraId="61D02EA3" w14:textId="1BA88FB8" w:rsidR="00717956" w:rsidRDefault="00717956" w:rsidP="00717956">
      <w:pPr>
        <w:jc w:val="both"/>
      </w:pPr>
      <w:r>
        <w:t>Scanning probe lithography (SPL) techniques such as dip-pen nanolithography (DPN), polymer pen lithography (PPL), and spotting with microchannel cantilevers (μCS) offer unique opportunities for highly localized chemical surface functionalization with resolutions ranging from the micrometer down to the nanometer scale. These methods combine precise spatial control with broad compatibility toward delicate chemical and biological materials. Depending on the specific SPL approach, they provide distinct advantages regarding resolution, throughput, and patterning speed, while generally operating under mild processing conditions. Furthermore, SPL techniques readily enable multiplexed deposition of different compounds within a predefined pattern, making them particularly attractive for the fabrication of bioactive surfaces, bioelectronic devices, and next-generation biosensors.</w:t>
      </w:r>
      <w:r>
        <w:t xml:space="preserve"> </w:t>
      </w:r>
      <w:r>
        <w:t xml:space="preserve">Over the past years, we have demonstrated the utility of SPL methods for the fabrication of biofunctional interfaces, the controlled patterning of phospholipid membranes, and the development of sensing platforms based on localized chemical functionalization. </w:t>
      </w:r>
    </w:p>
    <w:p w14:paraId="4E2C2366" w14:textId="77777777" w:rsidR="00717956" w:rsidRDefault="00717956" w:rsidP="00717956">
      <w:pPr>
        <w:jc w:val="both"/>
      </w:pPr>
    </w:p>
    <w:p w14:paraId="717804D7" w14:textId="44BB2A8A" w:rsidR="00717956" w:rsidRDefault="00717956" w:rsidP="00717956">
      <w:pPr>
        <w:jc w:val="both"/>
      </w:pPr>
      <w:r>
        <w:t xml:space="preserve">In this talk, we present two examples for the benefits of SPL in biosensor fabrication. First, </w:t>
      </w:r>
      <w:r>
        <w:t xml:space="preserve">a low-volume impedimetric biosensor based on inkjet-printed indium oxide transducers functionalized by phospholipid membranes deposited via lipid </w:t>
      </w:r>
      <w:r>
        <w:t>DPN (L-DPN)</w:t>
      </w:r>
      <w:r>
        <w:t xml:space="preserve">. The phospholipid layer contains biotinylated lipids that act as highly specific receptor sites </w:t>
      </w:r>
      <w:r>
        <w:t xml:space="preserve">for streptavidin </w:t>
      </w:r>
      <w:r>
        <w:t>while simultaneously providing anti-fouling characteristics. Electrochemical impedance spectroscopy</w:t>
      </w:r>
      <w:r>
        <w:t xml:space="preserve"> (EIS)</w:t>
      </w:r>
      <w:r>
        <w:t xml:space="preserve"> enables sensitive detection of protein binding events and demonstrates how SPL-patterned biomimetic membranes can be integrated into miniaturized bioelectronic devices with low reagent consumption and straightforward routes toward multiplexing and microfluidic integration.</w:t>
      </w:r>
      <w:r>
        <w:t xml:space="preserve"> As a second example, we </w:t>
      </w:r>
      <w:r>
        <w:t xml:space="preserve">showcase electrochemical dopamine sensing using electrodes functionalized with a hybrid material comprising polyoxometalates (POMs), metal-organic frameworks (MOFs), and molecularly imprinted polymers (MIPs). The resulting POM@MOF/MIP architecture combines efficient charge-transfer properties with selective molecular recognition and is deposited onto printed electrode platforms through </w:t>
      </w:r>
      <w:r w:rsidR="00567949">
        <w:t>microcapillary printing (MCP)</w:t>
      </w:r>
      <w:r>
        <w:t xml:space="preserve">. This system highlights how advanced functional materials can be incorporated into sensor architectures </w:t>
      </w:r>
      <w:r>
        <w:t xml:space="preserve">by SPL </w:t>
      </w:r>
      <w:r>
        <w:t>to achieve selective electrochemical detection of biologically relevant analytes.</w:t>
      </w:r>
    </w:p>
    <w:p w14:paraId="245EAD22" w14:textId="77777777" w:rsidR="00717956" w:rsidRDefault="00717956" w:rsidP="00717956">
      <w:pPr>
        <w:jc w:val="both"/>
      </w:pPr>
    </w:p>
    <w:p w14:paraId="7BC9EF74" w14:textId="2FBD63D2" w:rsidR="00E0716D" w:rsidRDefault="00717956" w:rsidP="00717956">
      <w:pPr>
        <w:jc w:val="both"/>
      </w:pPr>
      <w:r>
        <w:t>Together, these examples illustrate how localized surface functionalization strategies</w:t>
      </w:r>
      <w:r>
        <w:t xml:space="preserve"> - </w:t>
      </w:r>
      <w:r>
        <w:t>ranging from biomimetic lipid assemblies to complex hybrid materials</w:t>
      </w:r>
      <w:r>
        <w:t xml:space="preserve"> - </w:t>
      </w:r>
      <w:r>
        <w:t>enable the design of highly tailored sensing interfaces. SPL techniques provide a powerful toolbox for bridging nanofabrication, materials science, and bioelectronics, opening new opportunities for multiplexed biosensing, point-of-care diagnostics, and future biohybrid devices.</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E2D62"/>
    <w:rsid w:val="00325004"/>
    <w:rsid w:val="003A3541"/>
    <w:rsid w:val="00516792"/>
    <w:rsid w:val="00536366"/>
    <w:rsid w:val="00567949"/>
    <w:rsid w:val="005B60D0"/>
    <w:rsid w:val="00685C1A"/>
    <w:rsid w:val="00717956"/>
    <w:rsid w:val="00C4314B"/>
    <w:rsid w:val="00D55A5D"/>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B5A8A5"/>
  <w14:defaultImageDpi w14:val="300"/>
  <w15:docId w15:val="{0A3BC617-1CC3-430A-ADD3-4C031F0F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716D"/>
    <w:pPr>
      <w:widowControl w:val="0"/>
    </w:pPr>
    <w:rPr>
      <w:snapToGrid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87984">
      <w:bodyDiv w:val="1"/>
      <w:marLeft w:val="0"/>
      <w:marRight w:val="0"/>
      <w:marTop w:val="0"/>
      <w:marBottom w:val="0"/>
      <w:divBdr>
        <w:top w:val="none" w:sz="0" w:space="0" w:color="auto"/>
        <w:left w:val="none" w:sz="0" w:space="0" w:color="auto"/>
        <w:bottom w:val="none" w:sz="0" w:space="0" w:color="auto"/>
        <w:right w:val="none" w:sz="0" w:space="0" w:color="auto"/>
      </w:divBdr>
    </w:div>
    <w:div w:id="1587573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3084</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Hirtz, Michael (INT)</cp:lastModifiedBy>
  <cp:revision>6</cp:revision>
  <cp:lastPrinted>2013-10-21T12:07:00Z</cp:lastPrinted>
  <dcterms:created xsi:type="dcterms:W3CDTF">2021-03-10T13:20:00Z</dcterms:created>
  <dcterms:modified xsi:type="dcterms:W3CDTF">2026-06-01T12:57:00Z</dcterms:modified>
</cp:coreProperties>
</file>