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E14D" w14:textId="2A905A8F" w:rsidR="00325004" w:rsidRPr="00A86EB9" w:rsidRDefault="00E222EE" w:rsidP="00E0716D">
      <w:pPr>
        <w:jc w:val="center"/>
        <w:rPr>
          <w:b/>
          <w:sz w:val="28"/>
        </w:rPr>
      </w:pPr>
      <w:r>
        <w:rPr>
          <w:b/>
          <w:sz w:val="28"/>
        </w:rPr>
        <w:t>Understanding individual contributions in bimetallic spinel nano</w:t>
      </w:r>
      <w:r w:rsidR="006E05FB">
        <w:rPr>
          <w:b/>
          <w:sz w:val="28"/>
        </w:rPr>
        <w:t>particles</w:t>
      </w:r>
      <w:r>
        <w:rPr>
          <w:b/>
          <w:sz w:val="28"/>
        </w:rPr>
        <w:t xml:space="preserve"> for the oxygen evolution reaction</w:t>
      </w:r>
      <w:r w:rsidR="003B1D93" w:rsidRPr="003B1D93">
        <w:rPr>
          <w:b/>
          <w:sz w:val="28"/>
        </w:rPr>
        <w:t xml:space="preserve"> </w:t>
      </w:r>
      <w:r w:rsidR="003B1D93">
        <w:rPr>
          <w:b/>
          <w:sz w:val="28"/>
        </w:rPr>
        <w:t>using operando Raman spectro</w:t>
      </w:r>
      <w:r w:rsidR="006E05FB">
        <w:rPr>
          <w:b/>
          <w:sz w:val="28"/>
        </w:rPr>
        <w:t>electrochemistry</w:t>
      </w:r>
    </w:p>
    <w:p w14:paraId="14270AA3" w14:textId="77777777" w:rsidR="00325004" w:rsidRPr="00A86EB9" w:rsidRDefault="00325004" w:rsidP="00E0716D">
      <w:pPr>
        <w:jc w:val="center"/>
        <w:rPr>
          <w:b/>
          <w:sz w:val="28"/>
        </w:rPr>
      </w:pPr>
    </w:p>
    <w:p w14:paraId="38CFC384" w14:textId="327F56D5" w:rsidR="00325004" w:rsidRPr="00645CF5" w:rsidRDefault="00E222EE" w:rsidP="00E0716D">
      <w:pPr>
        <w:jc w:val="center"/>
        <w:rPr>
          <w:lang w:val="de-DE"/>
        </w:rPr>
      </w:pPr>
      <w:r w:rsidRPr="00645CF5">
        <w:rPr>
          <w:u w:val="single"/>
          <w:lang w:val="de-DE"/>
        </w:rPr>
        <w:t>Sheila Hernandez</w:t>
      </w:r>
      <w:r w:rsidR="00644ACE" w:rsidRPr="00645CF5">
        <w:rPr>
          <w:vertAlign w:val="superscript"/>
          <w:lang w:val="de-DE"/>
        </w:rPr>
        <w:t>1,2</w:t>
      </w:r>
      <w:r w:rsidR="00325004" w:rsidRPr="00645CF5">
        <w:rPr>
          <w:lang w:val="de-DE"/>
        </w:rPr>
        <w:t xml:space="preserve">, </w:t>
      </w:r>
      <w:r w:rsidRPr="00645CF5">
        <w:rPr>
          <w:lang w:val="de-DE"/>
        </w:rPr>
        <w:t>Negar Erfanian</w:t>
      </w:r>
      <w:r w:rsidR="00644ACE" w:rsidRPr="00645CF5">
        <w:rPr>
          <w:vertAlign w:val="superscript"/>
          <w:lang w:val="de-DE"/>
        </w:rPr>
        <w:t>2</w:t>
      </w:r>
      <w:r w:rsidRPr="00645CF5">
        <w:rPr>
          <w:lang w:val="de-DE"/>
        </w:rPr>
        <w:t>, Rukma Nevgi</w:t>
      </w:r>
      <w:r w:rsidR="00644ACE" w:rsidRPr="00645CF5">
        <w:rPr>
          <w:vertAlign w:val="superscript"/>
          <w:lang w:val="de-DE"/>
        </w:rPr>
        <w:t>2</w:t>
      </w:r>
      <w:r w:rsidR="00645CF5">
        <w:rPr>
          <w:vertAlign w:val="superscript"/>
          <w:lang w:val="de-DE"/>
        </w:rPr>
        <w:t>,3</w:t>
      </w:r>
      <w:r w:rsidRPr="00645CF5">
        <w:rPr>
          <w:lang w:val="de-DE"/>
        </w:rPr>
        <w:t>, Andrea Kirsch</w:t>
      </w:r>
      <w:r w:rsidR="00645CF5">
        <w:rPr>
          <w:vertAlign w:val="superscript"/>
          <w:lang w:val="de-DE"/>
        </w:rPr>
        <w:t>1,2</w:t>
      </w:r>
      <w:r w:rsidRPr="00645CF5">
        <w:rPr>
          <w:lang w:val="de-DE"/>
        </w:rPr>
        <w:t>, Kristina Tschulik</w:t>
      </w:r>
      <w:r w:rsidR="00644ACE" w:rsidRPr="00645CF5">
        <w:rPr>
          <w:vertAlign w:val="superscript"/>
          <w:lang w:val="de-DE"/>
        </w:rPr>
        <w:t>1</w:t>
      </w:r>
    </w:p>
    <w:p w14:paraId="1312B8D6" w14:textId="77777777" w:rsidR="00644ACE" w:rsidRPr="00645CF5" w:rsidRDefault="00644ACE" w:rsidP="00644ACE">
      <w:pPr>
        <w:jc w:val="center"/>
        <w:rPr>
          <w:i/>
          <w:vertAlign w:val="superscript"/>
          <w:lang w:val="de-DE"/>
        </w:rPr>
      </w:pPr>
    </w:p>
    <w:p w14:paraId="07B17120" w14:textId="5A3309BC" w:rsidR="00644ACE" w:rsidRDefault="00644ACE" w:rsidP="00644ACE">
      <w:pPr>
        <w:jc w:val="center"/>
        <w:rPr>
          <w:i/>
          <w:lang w:val="en-GB"/>
        </w:rPr>
      </w:pPr>
      <w:r w:rsidRPr="00644ACE">
        <w:rPr>
          <w:i/>
          <w:vertAlign w:val="superscript"/>
          <w:lang w:val="en-GB"/>
        </w:rPr>
        <w:t>1</w:t>
      </w:r>
      <w:r w:rsidR="00645CF5">
        <w:rPr>
          <w:i/>
          <w:lang w:val="en-GB"/>
        </w:rPr>
        <w:t>F</w:t>
      </w:r>
      <w:r w:rsidRPr="00644ACE">
        <w:rPr>
          <w:i/>
          <w:lang w:val="en-GB"/>
        </w:rPr>
        <w:t>aculty of Chemistry and Biochemistry, Ruhr University Bochum, Bochum, Germany.</w:t>
      </w:r>
    </w:p>
    <w:p w14:paraId="759A1B6B" w14:textId="0A984743" w:rsidR="00E73D6A" w:rsidRDefault="00E73D6A" w:rsidP="007160E0">
      <w:pPr>
        <w:jc w:val="both"/>
        <w:rPr>
          <w:i/>
          <w:lang w:val="en-GB"/>
        </w:rPr>
      </w:pPr>
      <w:r>
        <w:rPr>
          <w:i/>
          <w:vertAlign w:val="superscript"/>
          <w:lang w:val="en-GB"/>
        </w:rPr>
        <w:t>2</w:t>
      </w:r>
      <w:r w:rsidR="00645CF5" w:rsidRPr="00645CF5">
        <w:rPr>
          <w:i/>
        </w:rPr>
        <w:t>Research Center Future Energy Materials and Systems of the Research Alliance Ruhr, Bochum, Germany</w:t>
      </w:r>
      <w:r w:rsidRPr="00644ACE">
        <w:rPr>
          <w:i/>
          <w:lang w:val="en-GB"/>
        </w:rPr>
        <w:t>.</w:t>
      </w:r>
    </w:p>
    <w:p w14:paraId="0F29AD00" w14:textId="42E50A92" w:rsidR="00645CF5" w:rsidRDefault="00645CF5" w:rsidP="00E73D6A">
      <w:pPr>
        <w:jc w:val="center"/>
        <w:rPr>
          <w:i/>
          <w:lang w:val="en-GB"/>
        </w:rPr>
      </w:pPr>
      <w:r w:rsidRPr="00645CF5">
        <w:rPr>
          <w:i/>
          <w:vertAlign w:val="superscript"/>
        </w:rPr>
        <w:t>3</w:t>
      </w:r>
      <w:r w:rsidRPr="00645CF5">
        <w:rPr>
          <w:i/>
        </w:rPr>
        <w:t>Faculty of Physics, Technical University of Dortmund, Dortmund, Germany</w:t>
      </w:r>
    </w:p>
    <w:p w14:paraId="47D7DB72" w14:textId="77777777" w:rsidR="00644ACE" w:rsidRPr="00644ACE" w:rsidRDefault="00644ACE" w:rsidP="00644ACE">
      <w:pPr>
        <w:jc w:val="center"/>
        <w:rPr>
          <w:i/>
          <w:lang w:val="en-GB"/>
        </w:rPr>
      </w:pPr>
    </w:p>
    <w:p w14:paraId="2A80C34A" w14:textId="584BA561" w:rsidR="00685C1A" w:rsidRPr="00644ACE" w:rsidRDefault="00644ACE" w:rsidP="00E0716D">
      <w:pPr>
        <w:jc w:val="center"/>
        <w:rPr>
          <w:i/>
        </w:rPr>
      </w:pPr>
      <w:r w:rsidRPr="00644ACE">
        <w:rPr>
          <w:i/>
        </w:rPr>
        <w:t>Sheila.hernandez@ruhr-uni-bochum.de</w:t>
      </w:r>
    </w:p>
    <w:p w14:paraId="28D0B943" w14:textId="77777777" w:rsidR="00325004" w:rsidRPr="00644ACE" w:rsidRDefault="00325004" w:rsidP="00E0716D">
      <w:pPr>
        <w:jc w:val="center"/>
      </w:pPr>
    </w:p>
    <w:p w14:paraId="72CEBA34" w14:textId="281B22C6" w:rsidR="005F2525" w:rsidRDefault="00DC0DF1" w:rsidP="00DC0DF1">
      <w:pPr>
        <w:jc w:val="both"/>
        <w:rPr>
          <w:lang w:val="en-GB"/>
        </w:rPr>
      </w:pPr>
      <w:r w:rsidRPr="00DC0DF1">
        <w:rPr>
          <w:lang w:val="en-GB"/>
        </w:rPr>
        <w:t>The rational design of efficient electrocatalysts for the oxygen evolution reaction (OER) requires a detailed understanding of how the local chemical environment governs catalytic activity and surface reactivity.</w:t>
      </w:r>
      <w:r w:rsidR="005F2525" w:rsidRPr="005F2525">
        <w:rPr>
          <w:lang w:val="en-GB"/>
        </w:rPr>
        <w:t xml:space="preserve"> </w:t>
      </w:r>
      <w:r w:rsidR="005F2525">
        <w:rPr>
          <w:lang w:val="en-GB"/>
        </w:rPr>
        <w:t>T</w:t>
      </w:r>
      <w:r w:rsidR="005F2525" w:rsidRPr="00143FD3">
        <w:rPr>
          <w:lang w:val="en-GB"/>
        </w:rPr>
        <w:t>ransition metal oxides have emerged as promising alternatives to noble-metal-based catalysts due to their low cost, earth abundance, and compositional versatility.</w:t>
      </w:r>
      <w:r w:rsidR="005F2525">
        <w:rPr>
          <w:lang w:val="en-GB"/>
        </w:rPr>
        <w:t xml:space="preserve"> Among them</w:t>
      </w:r>
      <w:r w:rsidRPr="00DC0DF1">
        <w:rPr>
          <w:lang w:val="en-GB"/>
        </w:rPr>
        <w:t>, spinel-type oxides provide an ideal platform to systematically investigate composition</w:t>
      </w:r>
      <w:r w:rsidR="00925067">
        <w:rPr>
          <w:lang w:val="en-GB"/>
        </w:rPr>
        <w:t>-</w:t>
      </w:r>
      <w:r w:rsidRPr="00DC0DF1">
        <w:rPr>
          <w:lang w:val="en-GB"/>
        </w:rPr>
        <w:t xml:space="preserve">property relationships because their structural framework can accommodate a wide variety of cations while </w:t>
      </w:r>
      <w:r w:rsidR="005F2525" w:rsidRPr="00143FD3">
        <w:rPr>
          <w:lang w:val="en-GB"/>
        </w:rPr>
        <w:t>maintaining a common structural framework</w:t>
      </w:r>
      <w:r w:rsidR="005F2525">
        <w:rPr>
          <w:lang w:val="en-GB"/>
        </w:rPr>
        <w:t>.</w:t>
      </w:r>
      <w:r w:rsidR="003B1D93" w:rsidRPr="003B1D93">
        <w:rPr>
          <w:vertAlign w:val="superscript"/>
          <w:lang w:val="en-GB"/>
        </w:rPr>
        <w:t>[</w:t>
      </w:r>
      <w:r w:rsidR="002C1F76" w:rsidRPr="003B1D93">
        <w:rPr>
          <w:vertAlign w:val="superscript"/>
          <w:lang w:val="en-GB"/>
        </w:rPr>
        <w:t>1</w:t>
      </w:r>
      <w:r w:rsidR="003B1D93" w:rsidRPr="003B1D93">
        <w:rPr>
          <w:vertAlign w:val="superscript"/>
          <w:lang w:val="en-GB"/>
        </w:rPr>
        <w:t>]</w:t>
      </w:r>
    </w:p>
    <w:p w14:paraId="0BF040F2" w14:textId="36A16675" w:rsidR="00604EEA" w:rsidRDefault="005F2525" w:rsidP="00DC0DF1">
      <w:pPr>
        <w:jc w:val="both"/>
        <w:rPr>
          <w:lang w:val="en-GB"/>
        </w:rPr>
      </w:pPr>
      <w:r w:rsidRPr="00143FD3">
        <w:rPr>
          <w:lang w:val="en-GB"/>
        </w:rPr>
        <w:t>Despite the extensive interest in multi</w:t>
      </w:r>
      <w:r>
        <w:rPr>
          <w:lang w:val="en-GB"/>
        </w:rPr>
        <w:t>-metallic</w:t>
      </w:r>
      <w:r w:rsidRPr="00143FD3">
        <w:rPr>
          <w:lang w:val="en-GB"/>
        </w:rPr>
        <w:t xml:space="preserve"> oxides for </w:t>
      </w:r>
      <w:r>
        <w:rPr>
          <w:lang w:val="en-GB"/>
        </w:rPr>
        <w:t xml:space="preserve">the </w:t>
      </w:r>
      <w:r w:rsidRPr="00143FD3">
        <w:rPr>
          <w:lang w:val="en-GB"/>
        </w:rPr>
        <w:t xml:space="preserve">OER, </w:t>
      </w:r>
      <w:r w:rsidR="00604EEA" w:rsidRPr="00DC0DF1">
        <w:rPr>
          <w:lang w:val="en-GB"/>
        </w:rPr>
        <w:t xml:space="preserve">disentangling the individual contribution of each metal center remains particularly challenging due to the strong interplay between composition, electronic structure, and surface reconstruction under </w:t>
      </w:r>
      <w:r w:rsidR="00604EEA">
        <w:rPr>
          <w:lang w:val="en-GB"/>
        </w:rPr>
        <w:t>operando</w:t>
      </w:r>
      <w:r w:rsidR="00604EEA" w:rsidRPr="00DC0DF1">
        <w:rPr>
          <w:lang w:val="en-GB"/>
        </w:rPr>
        <w:t xml:space="preserve"> conditions.</w:t>
      </w:r>
      <w:r w:rsidR="00604EEA" w:rsidRPr="00604EEA">
        <w:rPr>
          <w:lang w:val="en-GB"/>
        </w:rPr>
        <w:t xml:space="preserve"> </w:t>
      </w:r>
      <w:r w:rsidR="00604EEA" w:rsidRPr="00143FD3">
        <w:rPr>
          <w:lang w:val="en-GB"/>
        </w:rPr>
        <w:t>In mixed-metal systems, catalytic behaviour is often influenced by complex interactions between cations, which can alter the local electronic environment and promote synergistic effects that are absent in the corresponding monometallic oxides.</w:t>
      </w:r>
      <w:r w:rsidR="003B1D93" w:rsidRPr="003B1D93">
        <w:rPr>
          <w:vertAlign w:val="superscript"/>
        </w:rPr>
        <w:t>[</w:t>
      </w:r>
      <w:r w:rsidR="003B1D93">
        <w:rPr>
          <w:vertAlign w:val="superscript"/>
        </w:rPr>
        <w:t>2,</w:t>
      </w:r>
      <w:r w:rsidR="003B1D93" w:rsidRPr="003B1D93">
        <w:rPr>
          <w:vertAlign w:val="superscript"/>
        </w:rPr>
        <w:t>3]</w:t>
      </w:r>
      <w:r w:rsidR="00604EEA" w:rsidRPr="00143FD3">
        <w:rPr>
          <w:lang w:val="en-GB"/>
        </w:rPr>
        <w:t xml:space="preserve"> Consequently, simplified model systems are required to establish composition</w:t>
      </w:r>
      <w:r w:rsidR="00604EEA">
        <w:rPr>
          <w:lang w:val="en-GB"/>
        </w:rPr>
        <w:t>-</w:t>
      </w:r>
      <w:r w:rsidR="00604EEA" w:rsidRPr="00143FD3">
        <w:rPr>
          <w:lang w:val="en-GB"/>
        </w:rPr>
        <w:t>activity relationships and to identify the role of individual metallic species in the catalytic process.</w:t>
      </w:r>
    </w:p>
    <w:p w14:paraId="33D67D87" w14:textId="29E97C57" w:rsidR="000849F2" w:rsidRDefault="00143FD3" w:rsidP="00DC0DF1">
      <w:pPr>
        <w:jc w:val="both"/>
      </w:pPr>
      <w:r>
        <w:rPr>
          <w:lang w:val="en-GB"/>
        </w:rPr>
        <w:t>In this work</w:t>
      </w:r>
      <w:r w:rsidR="00DC0DF1" w:rsidRPr="00DC0DF1">
        <w:rPr>
          <w:lang w:val="en-GB"/>
        </w:rPr>
        <w:t>, we present a</w:t>
      </w:r>
      <w:r w:rsidR="00925067">
        <w:rPr>
          <w:lang w:val="en-GB"/>
        </w:rPr>
        <w:t xml:space="preserve"> systematic investigation</w:t>
      </w:r>
      <w:r w:rsidR="00DC0DF1" w:rsidRPr="00DC0DF1">
        <w:rPr>
          <w:lang w:val="en-GB"/>
        </w:rPr>
        <w:t xml:space="preserve"> of mono- and bimetallic spinel </w:t>
      </w:r>
      <w:r w:rsidR="005F2525">
        <w:rPr>
          <w:lang w:val="en-GB"/>
        </w:rPr>
        <w:t>nanoparticles</w:t>
      </w:r>
      <w:r w:rsidR="00DC0DF1" w:rsidRPr="00DC0DF1">
        <w:rPr>
          <w:lang w:val="en-GB"/>
        </w:rPr>
        <w:t xml:space="preserve"> </w:t>
      </w:r>
      <w:r w:rsidR="005F2525">
        <w:rPr>
          <w:lang w:val="en-GB"/>
        </w:rPr>
        <w:t xml:space="preserve">with the aim of </w:t>
      </w:r>
      <w:r w:rsidR="00DC0DF1" w:rsidRPr="00DC0DF1">
        <w:rPr>
          <w:lang w:val="en-GB"/>
        </w:rPr>
        <w:t>identifying the individual and cooperative roles of transition metal cations</w:t>
      </w:r>
      <w:r w:rsidR="005F2525">
        <w:rPr>
          <w:lang w:val="en-GB"/>
        </w:rPr>
        <w:t xml:space="preserve"> as catalysts</w:t>
      </w:r>
      <w:r w:rsidR="00DC0DF1" w:rsidRPr="00DC0DF1">
        <w:rPr>
          <w:lang w:val="en-GB"/>
        </w:rPr>
        <w:t xml:space="preserve"> </w:t>
      </w:r>
      <w:r w:rsidR="005F2525">
        <w:rPr>
          <w:lang w:val="en-GB"/>
        </w:rPr>
        <w:t>for</w:t>
      </w:r>
      <w:r w:rsidR="00DC0DF1" w:rsidRPr="00DC0DF1">
        <w:rPr>
          <w:lang w:val="en-GB"/>
        </w:rPr>
        <w:t xml:space="preserve"> </w:t>
      </w:r>
      <w:r>
        <w:rPr>
          <w:lang w:val="en-GB"/>
        </w:rPr>
        <w:t xml:space="preserve">the </w:t>
      </w:r>
      <w:r w:rsidR="00DC0DF1" w:rsidRPr="00DC0DF1">
        <w:rPr>
          <w:lang w:val="en-GB"/>
        </w:rPr>
        <w:t xml:space="preserve">OER. By progressively increasing the compositional complexity from single-metal to mixed-metal systems, </w:t>
      </w:r>
      <w:r w:rsidR="000849F2" w:rsidRPr="000849F2">
        <w:t xml:space="preserve">we evaluate the individual contribution of different transition metal cations and the emergence of cooperative effects between metallic </w:t>
      </w:r>
      <w:r w:rsidR="000849F2">
        <w:t>cations</w:t>
      </w:r>
      <w:r w:rsidR="00925067" w:rsidRPr="00925067">
        <w:t xml:space="preserve">. </w:t>
      </w:r>
      <w:r w:rsidR="000849F2" w:rsidRPr="000849F2">
        <w:t>Particular attention is devoted to the evolution of the catalyst surface under reaction conditions and to the identification of reaction intermediates involved in oxygen evolution</w:t>
      </w:r>
      <w:r w:rsidR="003B1D93">
        <w:t>.</w:t>
      </w:r>
      <w:r w:rsidR="000849F2" w:rsidRPr="000849F2">
        <w:t xml:space="preserve"> To this end, operando Raman spectro</w:t>
      </w:r>
      <w:r w:rsidR="000849F2">
        <w:t>electrochemistry</w:t>
      </w:r>
      <w:r w:rsidR="000849F2" w:rsidRPr="000849F2">
        <w:t xml:space="preserve"> is employed to monitor structural and surface changes during OER and to investigate how cation mixing influences the formation of catalytically relevant species</w:t>
      </w:r>
      <w:r w:rsidR="000849F2">
        <w:t>.</w:t>
      </w:r>
    </w:p>
    <w:p w14:paraId="65DC9F99" w14:textId="4F6FAEEA" w:rsidR="00143FD3" w:rsidRDefault="00604EEA" w:rsidP="00E0716D">
      <w:pPr>
        <w:jc w:val="both"/>
        <w:rPr>
          <w:lang w:val="en-GB"/>
        </w:rPr>
      </w:pPr>
      <w:r w:rsidRPr="00143FD3">
        <w:rPr>
          <w:lang w:val="en-GB"/>
        </w:rPr>
        <w:t xml:space="preserve">The comparison between mono- and bimetallic systems provides valuable insight into </w:t>
      </w:r>
      <w:r w:rsidR="000849F2" w:rsidRPr="000849F2">
        <w:t>how cation mixing influences the activity and surface reactivity of spinel electrocatalysts</w:t>
      </w:r>
      <w:r w:rsidRPr="00143FD3">
        <w:rPr>
          <w:lang w:val="en-GB"/>
        </w:rPr>
        <w:t>.</w:t>
      </w:r>
      <w:r>
        <w:rPr>
          <w:lang w:val="en-GB"/>
        </w:rPr>
        <w:t xml:space="preserve"> </w:t>
      </w:r>
      <w:r w:rsidR="00DC0DF1" w:rsidRPr="00DC0DF1">
        <w:rPr>
          <w:lang w:val="en-GB"/>
        </w:rPr>
        <w:t xml:space="preserve">Beyond their relevance for conventional spinel catalysts, the present study establishes a conceptual framework for understanding increasingly complex oxide systems, including high-entropy oxides, where the large configurational diversity makes the identification of active motifs particularly </w:t>
      </w:r>
      <w:r w:rsidR="000849F2">
        <w:rPr>
          <w:lang w:val="en-GB"/>
        </w:rPr>
        <w:t>challenging</w:t>
      </w:r>
      <w:r w:rsidR="00DC0DF1" w:rsidRPr="00DC0DF1">
        <w:rPr>
          <w:lang w:val="en-GB"/>
        </w:rPr>
        <w:t xml:space="preserve">. The knowledge gained from simplified model systems offers </w:t>
      </w:r>
      <w:r w:rsidR="000849F2">
        <w:rPr>
          <w:lang w:val="en-GB"/>
        </w:rPr>
        <w:t>useful</w:t>
      </w:r>
      <w:r w:rsidR="00DC0DF1" w:rsidRPr="00DC0DF1">
        <w:rPr>
          <w:lang w:val="en-GB"/>
        </w:rPr>
        <w:t xml:space="preserve"> guidelines for the rational design of next-generation multicomponent electrocatalysts for sustainable energy conversion technologies.</w:t>
      </w:r>
    </w:p>
    <w:p w14:paraId="45502B3D" w14:textId="77777777" w:rsidR="00143FD3" w:rsidRDefault="00143FD3" w:rsidP="00E0716D">
      <w:pPr>
        <w:jc w:val="both"/>
        <w:rPr>
          <w:lang w:val="en-GB"/>
        </w:rPr>
      </w:pPr>
    </w:p>
    <w:p w14:paraId="0B510458" w14:textId="77777777" w:rsidR="007160E0" w:rsidRDefault="007160E0" w:rsidP="00E0716D">
      <w:pPr>
        <w:jc w:val="both"/>
        <w:rPr>
          <w:lang w:val="en-GB"/>
        </w:rPr>
      </w:pPr>
    </w:p>
    <w:p w14:paraId="741291CA" w14:textId="703FB4F4" w:rsidR="002C1F76" w:rsidRPr="002C1F76" w:rsidRDefault="002C1F76" w:rsidP="00E0716D">
      <w:pPr>
        <w:jc w:val="both"/>
      </w:pPr>
    </w:p>
    <w:p w14:paraId="6854A4D0" w14:textId="6C6F102D" w:rsidR="00143FD3" w:rsidRPr="00645CF5" w:rsidRDefault="003B1D93" w:rsidP="003B1D93">
      <w:pPr>
        <w:jc w:val="both"/>
        <w:rPr>
          <w:lang w:val="en-GB"/>
        </w:rPr>
      </w:pPr>
      <w:r w:rsidRPr="003B1D93">
        <w:t>[</w:t>
      </w:r>
      <w:r w:rsidR="002C1F76" w:rsidRPr="003B1D93">
        <w:t>1</w:t>
      </w:r>
      <w:r w:rsidRPr="003B1D93">
        <w:t>]</w:t>
      </w:r>
      <w:r>
        <w:t xml:space="preserve"> </w:t>
      </w:r>
      <w:r w:rsidR="002C1F76" w:rsidRPr="002C1F76">
        <w:t>Nevgi, R., Dey, S., Bhattacharya, N. et al. Local structural distortions drive magnetic molecular field in compositionally complex spinel oxide. </w:t>
      </w:r>
      <w:r w:rsidR="002C1F76" w:rsidRPr="00645CF5">
        <w:rPr>
          <w:i/>
          <w:iCs/>
          <w:lang w:val="en-GB"/>
        </w:rPr>
        <w:t>Nat Commun</w:t>
      </w:r>
      <w:r w:rsidR="002C1F76" w:rsidRPr="00645CF5">
        <w:rPr>
          <w:lang w:val="en-GB"/>
        </w:rPr>
        <w:t> 16</w:t>
      </w:r>
      <w:r w:rsidRPr="00645CF5">
        <w:rPr>
          <w:lang w:val="en-GB"/>
        </w:rPr>
        <w:t xml:space="preserve"> (2025) </w:t>
      </w:r>
      <w:r w:rsidR="002C1F76" w:rsidRPr="00645CF5">
        <w:rPr>
          <w:lang w:val="en-GB"/>
        </w:rPr>
        <w:t>7038. https://doi.org/10.1038/s41467-025-62268-x</w:t>
      </w:r>
    </w:p>
    <w:p w14:paraId="17E87474" w14:textId="03480042" w:rsidR="008F2D0B" w:rsidRDefault="003B1D93" w:rsidP="003B1D93">
      <w:pPr>
        <w:jc w:val="both"/>
      </w:pPr>
      <w:r w:rsidRPr="00645CF5">
        <w:rPr>
          <w:lang w:val="en-GB"/>
        </w:rPr>
        <w:t xml:space="preserve">[2] </w:t>
      </w:r>
      <w:r w:rsidR="008F2D0B" w:rsidRPr="00645CF5">
        <w:rPr>
          <w:lang w:val="en-GB"/>
        </w:rPr>
        <w:t>He, B., Hosseini, P., Priamushko, T. et al. </w:t>
      </w:r>
      <w:r w:rsidR="008F2D0B" w:rsidRPr="008F2D0B">
        <w:t>Atomic-scale insights into surface reconstruction and transformation in Co-Cr spinel oxides during the oxygen evolution reaction. </w:t>
      </w:r>
      <w:r w:rsidR="008F2D0B" w:rsidRPr="003B1D93">
        <w:rPr>
          <w:i/>
          <w:iCs/>
        </w:rPr>
        <w:t>Nat Commun</w:t>
      </w:r>
      <w:r w:rsidR="008F2D0B" w:rsidRPr="008F2D0B">
        <w:t> </w:t>
      </w:r>
      <w:r w:rsidR="008F2D0B" w:rsidRPr="002C1F76">
        <w:t>16</w:t>
      </w:r>
      <w:r w:rsidR="008F2D0B" w:rsidRPr="008F2D0B">
        <w:t xml:space="preserve"> </w:t>
      </w:r>
      <w:r w:rsidRPr="008F2D0B">
        <w:t>(2025)</w:t>
      </w:r>
      <w:r>
        <w:t xml:space="preserve"> </w:t>
      </w:r>
      <w:r w:rsidR="008F2D0B" w:rsidRPr="008F2D0B">
        <w:t xml:space="preserve">9895. </w:t>
      </w:r>
      <w:hyperlink r:id="rId4" w:history="1">
        <w:r w:rsidR="008F2D0B" w:rsidRPr="002C1F76">
          <w:t>https://doi.org/10.1038/s41467-025-65626-x</w:t>
        </w:r>
      </w:hyperlink>
    </w:p>
    <w:p w14:paraId="2934A56A" w14:textId="2872DF38" w:rsidR="008F2D0B" w:rsidRPr="002C1F76" w:rsidRDefault="003B1D93" w:rsidP="003B1D93">
      <w:pPr>
        <w:jc w:val="both"/>
      </w:pPr>
      <w:r w:rsidRPr="003B1D93">
        <w:rPr>
          <w:lang w:val="de-DE"/>
        </w:rPr>
        <w:t xml:space="preserve">[3] </w:t>
      </w:r>
      <w:r w:rsidR="008F2D0B" w:rsidRPr="003B1D93">
        <w:rPr>
          <w:lang w:val="de-DE"/>
        </w:rPr>
        <w:t>Xiang, </w:t>
      </w:r>
      <w:r w:rsidRPr="003B1D93">
        <w:rPr>
          <w:lang w:val="de-DE"/>
        </w:rPr>
        <w:t>W.</w:t>
      </w:r>
      <w:r>
        <w:rPr>
          <w:lang w:val="de-DE"/>
        </w:rPr>
        <w:t>,</w:t>
      </w:r>
      <w:r w:rsidRPr="003B1D93">
        <w:rPr>
          <w:lang w:val="de-DE"/>
        </w:rPr>
        <w:t xml:space="preserve"> </w:t>
      </w:r>
      <w:r w:rsidR="008F2D0B" w:rsidRPr="003B1D93">
        <w:rPr>
          <w:lang w:val="de-DE"/>
        </w:rPr>
        <w:t>Hernandez,</w:t>
      </w:r>
      <w:r w:rsidRPr="003B1D93">
        <w:rPr>
          <w:lang w:val="de-DE"/>
        </w:rPr>
        <w:t xml:space="preserve"> S.</w:t>
      </w:r>
      <w:r>
        <w:rPr>
          <w:lang w:val="de-DE"/>
        </w:rPr>
        <w:t>,</w:t>
      </w:r>
      <w:r w:rsidRPr="003B1D93">
        <w:rPr>
          <w:lang w:val="de-DE"/>
        </w:rPr>
        <w:t xml:space="preserve"> </w:t>
      </w:r>
      <w:r w:rsidR="008F2D0B" w:rsidRPr="003B1D93">
        <w:rPr>
          <w:lang w:val="de-DE"/>
        </w:rPr>
        <w:t>Hosseini,</w:t>
      </w:r>
      <w:r w:rsidRPr="003B1D93">
        <w:rPr>
          <w:lang w:val="de-DE"/>
        </w:rPr>
        <w:t xml:space="preserve">  P.</w:t>
      </w:r>
      <w:r w:rsidR="008F2D0B" w:rsidRPr="003B1D93">
        <w:rPr>
          <w:lang w:val="de-DE"/>
        </w:rPr>
        <w:t> </w:t>
      </w:r>
      <w:r w:rsidRPr="003B1D93">
        <w:rPr>
          <w:lang w:val="de-DE"/>
        </w:rPr>
        <w:t>et al.</w:t>
      </w:r>
      <w:r w:rsidR="008F2D0B" w:rsidRPr="003B1D93">
        <w:rPr>
          <w:lang w:val="de-DE"/>
        </w:rPr>
        <w:t xml:space="preserve"> </w:t>
      </w:r>
      <w:r w:rsidR="008F2D0B" w:rsidRPr="008F2D0B">
        <w:t xml:space="preserve">Unveiling Surface Species Formed on Ni-Fe Spinel Oxides During the Oxygen Evolution Reaction at the Atomic Scale. </w:t>
      </w:r>
      <w:r w:rsidR="008F2D0B" w:rsidRPr="003B1D93">
        <w:rPr>
          <w:i/>
          <w:iCs/>
        </w:rPr>
        <w:t>Adv. Sci.</w:t>
      </w:r>
      <w:r>
        <w:t xml:space="preserve"> 12 (</w:t>
      </w:r>
      <w:r w:rsidR="008F2D0B" w:rsidRPr="008F2D0B">
        <w:t>2025</w:t>
      </w:r>
      <w:r>
        <w:t>)</w:t>
      </w:r>
      <w:r w:rsidR="008F2D0B" w:rsidRPr="008F2D0B">
        <w:t xml:space="preserve"> 2501967. </w:t>
      </w:r>
      <w:hyperlink r:id="rId5" w:history="1">
        <w:r w:rsidR="008F2D0B" w:rsidRPr="002C1F76">
          <w:t>https://doi.org/10.1002/advs.202501967</w:t>
        </w:r>
      </w:hyperlink>
    </w:p>
    <w:sectPr w:rsidR="008F2D0B" w:rsidRPr="002C1F76"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04"/>
    <w:rsid w:val="0000048F"/>
    <w:rsid w:val="00041EFD"/>
    <w:rsid w:val="000849F2"/>
    <w:rsid w:val="00143FD3"/>
    <w:rsid w:val="00175531"/>
    <w:rsid w:val="0020555E"/>
    <w:rsid w:val="002C1F76"/>
    <w:rsid w:val="00325004"/>
    <w:rsid w:val="003B1D93"/>
    <w:rsid w:val="00433C83"/>
    <w:rsid w:val="00536366"/>
    <w:rsid w:val="005F2525"/>
    <w:rsid w:val="00604EEA"/>
    <w:rsid w:val="00644ACE"/>
    <w:rsid w:val="00645CF5"/>
    <w:rsid w:val="00685C1A"/>
    <w:rsid w:val="006E05FB"/>
    <w:rsid w:val="006F3F82"/>
    <w:rsid w:val="007160E0"/>
    <w:rsid w:val="008F2D0B"/>
    <w:rsid w:val="00925067"/>
    <w:rsid w:val="00CA58E8"/>
    <w:rsid w:val="00DC0DF1"/>
    <w:rsid w:val="00E0716D"/>
    <w:rsid w:val="00E222EE"/>
    <w:rsid w:val="00E73D6A"/>
    <w:rsid w:val="00EB68F0"/>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BC177D"/>
  <w14:defaultImageDpi w14:val="300"/>
  <w15:docId w15:val="{11719AD9-E47A-4792-81D6-3A35E0F3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E222EE"/>
    <w:rPr>
      <w:sz w:val="16"/>
      <w:szCs w:val="16"/>
    </w:rPr>
  </w:style>
  <w:style w:type="paragraph" w:styleId="Textocomentario">
    <w:name w:val="annotation text"/>
    <w:basedOn w:val="Normal"/>
    <w:link w:val="TextocomentarioCar"/>
    <w:uiPriority w:val="99"/>
    <w:unhideWhenUsed/>
    <w:rsid w:val="00E222EE"/>
  </w:style>
  <w:style w:type="character" w:customStyle="1" w:styleId="TextocomentarioCar">
    <w:name w:val="Texto comentario Car"/>
    <w:basedOn w:val="Fuentedeprrafopredeter"/>
    <w:link w:val="Textocomentario"/>
    <w:uiPriority w:val="99"/>
    <w:rsid w:val="00E222EE"/>
    <w:rPr>
      <w:snapToGrid w:val="0"/>
    </w:rPr>
  </w:style>
  <w:style w:type="paragraph" w:styleId="Asuntodelcomentario">
    <w:name w:val="annotation subject"/>
    <w:basedOn w:val="Textocomentario"/>
    <w:next w:val="Textocomentario"/>
    <w:link w:val="AsuntodelcomentarioCar"/>
    <w:uiPriority w:val="99"/>
    <w:semiHidden/>
    <w:unhideWhenUsed/>
    <w:rsid w:val="00E222EE"/>
    <w:rPr>
      <w:b/>
      <w:bCs/>
    </w:rPr>
  </w:style>
  <w:style w:type="character" w:customStyle="1" w:styleId="AsuntodelcomentarioCar">
    <w:name w:val="Asunto del comentario Car"/>
    <w:basedOn w:val="TextocomentarioCar"/>
    <w:link w:val="Asuntodelcomentario"/>
    <w:uiPriority w:val="99"/>
    <w:semiHidden/>
    <w:rsid w:val="00E222EE"/>
    <w:rPr>
      <w:b/>
      <w:bCs/>
      <w:snapToGrid w:val="0"/>
    </w:rPr>
  </w:style>
  <w:style w:type="character" w:styleId="Hipervnculo">
    <w:name w:val="Hyperlink"/>
    <w:basedOn w:val="Fuentedeprrafopredeter"/>
    <w:uiPriority w:val="99"/>
    <w:unhideWhenUsed/>
    <w:rsid w:val="00644ACE"/>
    <w:rPr>
      <w:color w:val="0000FF" w:themeColor="hyperlink"/>
      <w:u w:val="single"/>
    </w:rPr>
  </w:style>
  <w:style w:type="character" w:customStyle="1" w:styleId="Mencinsinresolver1">
    <w:name w:val="Mención sin resolver1"/>
    <w:basedOn w:val="Fuentedeprrafopredeter"/>
    <w:uiPriority w:val="99"/>
    <w:semiHidden/>
    <w:unhideWhenUsed/>
    <w:rsid w:val="00644ACE"/>
    <w:rPr>
      <w:color w:val="605E5C"/>
      <w:shd w:val="clear" w:color="auto" w:fill="E1DFDD"/>
    </w:rPr>
  </w:style>
  <w:style w:type="paragraph" w:styleId="Textodeglobo">
    <w:name w:val="Balloon Text"/>
    <w:basedOn w:val="Normal"/>
    <w:link w:val="TextodegloboCar"/>
    <w:uiPriority w:val="99"/>
    <w:semiHidden/>
    <w:unhideWhenUsed/>
    <w:rsid w:val="0000048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048F"/>
    <w:rPr>
      <w:rFonts w:ascii="Segoe UI" w:hAnsi="Segoe UI" w:cs="Segoe UI"/>
      <w:snapToGrid w:val="0"/>
      <w:sz w:val="18"/>
      <w:szCs w:val="18"/>
    </w:rPr>
  </w:style>
  <w:style w:type="paragraph" w:styleId="Revisin">
    <w:name w:val="Revision"/>
    <w:hidden/>
    <w:uiPriority w:val="99"/>
    <w:semiHidden/>
    <w:rsid w:val="00645CF5"/>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2/advs.202501967" TargetMode="External"/><Relationship Id="rId4" Type="http://schemas.openxmlformats.org/officeDocument/2006/relationships/hyperlink" Target="https://doi.org/10.1038/s41467-025-6562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632</Words>
  <Characters>3608</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Sheila Hernández Muñoz</cp:lastModifiedBy>
  <cp:revision>2</cp:revision>
  <cp:lastPrinted>2013-10-21T12:07:00Z</cp:lastPrinted>
  <dcterms:created xsi:type="dcterms:W3CDTF">2026-06-01T09:40:00Z</dcterms:created>
  <dcterms:modified xsi:type="dcterms:W3CDTF">2026-06-01T09:40:00Z</dcterms:modified>
</cp:coreProperties>
</file>