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7DE59" w14:textId="5B2A0075" w:rsidR="00A612C8" w:rsidRPr="00A612C8" w:rsidRDefault="00A612C8" w:rsidP="00B42D5B">
      <w:pPr>
        <w:spacing w:line="240" w:lineRule="auto"/>
        <w:jc w:val="center"/>
        <w:rPr>
          <w:rFonts w:ascii="Times New Roman" w:hAnsi="Times New Roman" w:cs="Times New Roman"/>
          <w:b/>
          <w:bCs/>
          <w:sz w:val="28"/>
        </w:rPr>
      </w:pPr>
      <w:r w:rsidRPr="00A612C8">
        <w:rPr>
          <w:rFonts w:ascii="Times New Roman" w:hAnsi="Times New Roman" w:cs="Times New Roman"/>
          <w:b/>
          <w:bCs/>
          <w:sz w:val="28"/>
        </w:rPr>
        <w:t>A Thiophene-Based Multilayer Electrochemical Aptasensor for Kanamycin Monitoring</w:t>
      </w:r>
    </w:p>
    <w:p w14:paraId="7FCA551B" w14:textId="28CC2582" w:rsidR="007818A2" w:rsidRDefault="007818A2" w:rsidP="00316D77">
      <w:pPr>
        <w:spacing w:after="0" w:line="240" w:lineRule="auto"/>
        <w:jc w:val="center"/>
        <w:rPr>
          <w:rFonts w:ascii="Times New Roman" w:hAnsi="Times New Roman" w:cs="Times New Roman"/>
          <w:sz w:val="20"/>
          <w:szCs w:val="20"/>
        </w:rPr>
      </w:pPr>
      <w:r w:rsidRPr="00EB30CD">
        <w:rPr>
          <w:rFonts w:ascii="Times New Roman" w:hAnsi="Times New Roman" w:cs="Times New Roman"/>
          <w:sz w:val="20"/>
          <w:szCs w:val="20"/>
          <w:u w:val="single"/>
        </w:rPr>
        <w:t>Elizabeth Paul</w:t>
      </w:r>
      <w:r w:rsidR="002934A2" w:rsidRPr="002934A2">
        <w:rPr>
          <w:rFonts w:ascii="Times New Roman" w:hAnsi="Times New Roman" w:cs="Times New Roman"/>
          <w:sz w:val="20"/>
          <w:szCs w:val="20"/>
          <w:u w:val="single"/>
          <w:vertAlign w:val="superscript"/>
        </w:rPr>
        <w:t>1</w:t>
      </w:r>
      <w:r w:rsidRPr="00EB30CD">
        <w:rPr>
          <w:rFonts w:ascii="Times New Roman" w:hAnsi="Times New Roman" w:cs="Times New Roman"/>
          <w:sz w:val="20"/>
          <w:szCs w:val="20"/>
        </w:rPr>
        <w:t>, Shaghayegh Sae</w:t>
      </w:r>
      <w:r w:rsidR="00E67FE0">
        <w:rPr>
          <w:rFonts w:ascii="Times New Roman" w:hAnsi="Times New Roman" w:cs="Times New Roman"/>
          <w:sz w:val="20"/>
          <w:szCs w:val="20"/>
        </w:rPr>
        <w:t>e</w:t>
      </w:r>
      <w:r w:rsidRPr="00EB30CD">
        <w:rPr>
          <w:rFonts w:ascii="Times New Roman" w:hAnsi="Times New Roman" w:cs="Times New Roman"/>
          <w:sz w:val="20"/>
          <w:szCs w:val="20"/>
        </w:rPr>
        <w:t>di</w:t>
      </w:r>
      <w:r w:rsidR="002934A2" w:rsidRPr="002934A2">
        <w:rPr>
          <w:rFonts w:ascii="Times New Roman" w:hAnsi="Times New Roman" w:cs="Times New Roman"/>
          <w:sz w:val="20"/>
          <w:szCs w:val="20"/>
          <w:vertAlign w:val="superscript"/>
        </w:rPr>
        <w:t>2</w:t>
      </w:r>
      <w:r w:rsidRPr="00EB30CD">
        <w:rPr>
          <w:rFonts w:ascii="Times New Roman" w:hAnsi="Times New Roman" w:cs="Times New Roman"/>
          <w:sz w:val="20"/>
          <w:szCs w:val="20"/>
        </w:rPr>
        <w:t>,</w:t>
      </w:r>
      <w:r w:rsidR="00AC3A95" w:rsidRPr="00AC3A95">
        <w:t xml:space="preserve"> </w:t>
      </w:r>
      <w:r w:rsidR="00AC3A95" w:rsidRPr="00AC3A95">
        <w:rPr>
          <w:rFonts w:ascii="Times New Roman" w:hAnsi="Times New Roman" w:cs="Times New Roman"/>
          <w:sz w:val="20"/>
          <w:szCs w:val="20"/>
        </w:rPr>
        <w:t>Joanna Piechowska</w:t>
      </w:r>
      <w:r w:rsidR="00AC3A95" w:rsidRPr="00AC3A95">
        <w:rPr>
          <w:rFonts w:ascii="Times New Roman" w:hAnsi="Times New Roman" w:cs="Times New Roman"/>
          <w:sz w:val="20"/>
          <w:szCs w:val="20"/>
          <w:vertAlign w:val="superscript"/>
        </w:rPr>
        <w:t>3</w:t>
      </w:r>
      <w:r w:rsidR="00AC3A95">
        <w:rPr>
          <w:rFonts w:ascii="Times New Roman" w:hAnsi="Times New Roman" w:cs="Times New Roman"/>
          <w:sz w:val="20"/>
          <w:szCs w:val="20"/>
        </w:rPr>
        <w:t>,</w:t>
      </w:r>
      <w:r w:rsidR="00AC3A95" w:rsidRPr="00AC3A95">
        <w:t xml:space="preserve"> </w:t>
      </w:r>
      <w:r w:rsidR="00AC3A95" w:rsidRPr="00AC3A95">
        <w:rPr>
          <w:rFonts w:ascii="Times New Roman" w:hAnsi="Times New Roman" w:cs="Times New Roman"/>
          <w:sz w:val="20"/>
          <w:szCs w:val="20"/>
        </w:rPr>
        <w:t>Krzysztof Noworyta</w:t>
      </w:r>
      <w:r w:rsidR="00AC3A95" w:rsidRPr="00AC3A95">
        <w:rPr>
          <w:rFonts w:ascii="Times New Roman" w:hAnsi="Times New Roman" w:cs="Times New Roman"/>
          <w:sz w:val="20"/>
          <w:szCs w:val="20"/>
          <w:vertAlign w:val="superscript"/>
        </w:rPr>
        <w:t>4</w:t>
      </w:r>
      <w:r w:rsidR="00AC3A95">
        <w:rPr>
          <w:rFonts w:ascii="Times New Roman" w:hAnsi="Times New Roman" w:cs="Times New Roman"/>
          <w:sz w:val="20"/>
          <w:szCs w:val="20"/>
        </w:rPr>
        <w:t>,</w:t>
      </w:r>
      <w:r w:rsidRPr="00EB30CD">
        <w:rPr>
          <w:rFonts w:ascii="Times New Roman" w:hAnsi="Times New Roman" w:cs="Times New Roman"/>
          <w:sz w:val="20"/>
          <w:szCs w:val="20"/>
        </w:rPr>
        <w:t xml:space="preserve"> </w:t>
      </w:r>
      <w:r w:rsidR="00526CA3" w:rsidRPr="00EB30CD">
        <w:rPr>
          <w:rFonts w:ascii="Times New Roman" w:hAnsi="Times New Roman" w:cs="Times New Roman"/>
          <w:sz w:val="20"/>
          <w:szCs w:val="20"/>
        </w:rPr>
        <w:t>Piyush Sindhu Sharma</w:t>
      </w:r>
      <w:r w:rsidR="00AC3A95">
        <w:rPr>
          <w:rFonts w:ascii="Times New Roman" w:hAnsi="Times New Roman" w:cs="Times New Roman"/>
          <w:sz w:val="20"/>
          <w:szCs w:val="20"/>
          <w:vertAlign w:val="superscript"/>
        </w:rPr>
        <w:t>5</w:t>
      </w:r>
    </w:p>
    <w:p w14:paraId="1C5C3EA3" w14:textId="77777777" w:rsidR="00316D77" w:rsidRPr="00316D77" w:rsidRDefault="00316D77" w:rsidP="00316D77">
      <w:pPr>
        <w:spacing w:after="0" w:line="240" w:lineRule="auto"/>
        <w:jc w:val="center"/>
        <w:rPr>
          <w:rFonts w:ascii="Times New Roman" w:hAnsi="Times New Roman" w:cs="Times New Roman"/>
          <w:sz w:val="10"/>
          <w:szCs w:val="10"/>
        </w:rPr>
      </w:pPr>
    </w:p>
    <w:p w14:paraId="102FDF9A" w14:textId="2013FA66" w:rsidR="007818A2" w:rsidRPr="00EB30CD" w:rsidRDefault="00AC3A95" w:rsidP="00316D77">
      <w:pPr>
        <w:spacing w:after="0" w:line="240" w:lineRule="auto"/>
        <w:jc w:val="center"/>
        <w:rPr>
          <w:rFonts w:ascii="Times New Roman" w:hAnsi="Times New Roman" w:cs="Times New Roman"/>
          <w:i/>
          <w:sz w:val="20"/>
          <w:szCs w:val="20"/>
        </w:rPr>
      </w:pPr>
      <w:r w:rsidRPr="00AC3A95">
        <w:rPr>
          <w:rFonts w:ascii="Times New Roman" w:hAnsi="Times New Roman" w:cs="Times New Roman"/>
          <w:i/>
          <w:sz w:val="20"/>
          <w:szCs w:val="20"/>
          <w:vertAlign w:val="superscript"/>
        </w:rPr>
        <w:t>1-5</w:t>
      </w:r>
      <w:r w:rsidR="00526CA3" w:rsidRPr="00EB30CD">
        <w:rPr>
          <w:rFonts w:ascii="Times New Roman" w:hAnsi="Times New Roman" w:cs="Times New Roman"/>
          <w:i/>
          <w:sz w:val="20"/>
          <w:szCs w:val="20"/>
        </w:rPr>
        <w:t>Institute of Physical Chemistry, Polish Academy of Sciences , Warsaw</w:t>
      </w:r>
      <w:r w:rsidR="00316D77">
        <w:rPr>
          <w:rFonts w:ascii="Times New Roman" w:hAnsi="Times New Roman" w:cs="Times New Roman"/>
          <w:i/>
          <w:sz w:val="20"/>
          <w:szCs w:val="20"/>
        </w:rPr>
        <w:t>,</w:t>
      </w:r>
      <w:r w:rsidR="00526CA3" w:rsidRPr="00EB30CD">
        <w:rPr>
          <w:rFonts w:ascii="Times New Roman" w:hAnsi="Times New Roman" w:cs="Times New Roman"/>
          <w:i/>
          <w:sz w:val="20"/>
          <w:szCs w:val="20"/>
        </w:rPr>
        <w:t xml:space="preserve"> Poland</w:t>
      </w:r>
    </w:p>
    <w:p w14:paraId="3671D0CD" w14:textId="7FA4BE67" w:rsidR="007818A2" w:rsidRPr="00EB30CD" w:rsidRDefault="00B42D5B" w:rsidP="00316D77">
      <w:pPr>
        <w:spacing w:after="0" w:line="240" w:lineRule="auto"/>
        <w:jc w:val="center"/>
        <w:rPr>
          <w:rFonts w:ascii="Times New Roman" w:hAnsi="Times New Roman" w:cs="Times New Roman"/>
          <w:i/>
          <w:sz w:val="20"/>
          <w:szCs w:val="20"/>
        </w:rPr>
      </w:pPr>
      <w:r>
        <w:rPr>
          <w:rFonts w:ascii="Times New Roman" w:hAnsi="Times New Roman" w:cs="Times New Roman"/>
          <w:sz w:val="20"/>
          <w:szCs w:val="20"/>
        </w:rPr>
        <w:t>e</w:t>
      </w:r>
      <w:r w:rsidRPr="00B42D5B">
        <w:rPr>
          <w:rFonts w:ascii="Times New Roman" w:hAnsi="Times New Roman" w:cs="Times New Roman"/>
          <w:sz w:val="20"/>
          <w:szCs w:val="20"/>
        </w:rPr>
        <w:t>mail</w:t>
      </w:r>
      <w:r>
        <w:t xml:space="preserve">- </w:t>
      </w:r>
      <w:hyperlink r:id="rId5" w:history="1">
        <w:r w:rsidRPr="008E56F5">
          <w:rPr>
            <w:rStyle w:val="Hyperlink"/>
            <w:rFonts w:ascii="Times New Roman" w:hAnsi="Times New Roman" w:cs="Times New Roman"/>
            <w:i/>
            <w:sz w:val="20"/>
            <w:szCs w:val="20"/>
          </w:rPr>
          <w:t>elizabeth.paul@ichf.edu.pl</w:t>
        </w:r>
      </w:hyperlink>
      <w:r w:rsidR="00526CA3" w:rsidRPr="00B42D5B">
        <w:rPr>
          <w:rFonts w:ascii="Times New Roman" w:hAnsi="Times New Roman" w:cs="Times New Roman"/>
          <w:i/>
          <w:sz w:val="20"/>
          <w:szCs w:val="20"/>
        </w:rPr>
        <w:t xml:space="preserve">, </w:t>
      </w:r>
      <w:r w:rsidR="00526CA3" w:rsidRPr="00EB30CD">
        <w:rPr>
          <w:rFonts w:ascii="Times New Roman" w:hAnsi="Times New Roman" w:cs="Times New Roman"/>
          <w:i/>
          <w:sz w:val="20"/>
          <w:szCs w:val="20"/>
        </w:rPr>
        <w:t>psharma@</w:t>
      </w:r>
      <w:r w:rsidR="00CE721C" w:rsidRPr="00EB30CD">
        <w:rPr>
          <w:rFonts w:ascii="Times New Roman" w:hAnsi="Times New Roman" w:cs="Times New Roman"/>
          <w:i/>
          <w:sz w:val="20"/>
          <w:szCs w:val="20"/>
        </w:rPr>
        <w:t>ichf.edu.pl</w:t>
      </w:r>
    </w:p>
    <w:p w14:paraId="181282F3" w14:textId="77777777" w:rsidR="0069755C" w:rsidRPr="00752AC2" w:rsidRDefault="0069755C" w:rsidP="00752AC2">
      <w:pPr>
        <w:spacing w:line="240" w:lineRule="auto"/>
        <w:jc w:val="both"/>
        <w:rPr>
          <w:rFonts w:ascii="Times New Roman" w:hAnsi="Times New Roman" w:cs="Times New Roman"/>
          <w:sz w:val="20"/>
          <w:szCs w:val="20"/>
        </w:rPr>
      </w:pPr>
    </w:p>
    <w:p w14:paraId="77FCFF32" w14:textId="36060653" w:rsidR="00265DEA" w:rsidRPr="00265DEA" w:rsidRDefault="00F2361B" w:rsidP="00752AC2">
      <w:pPr>
        <w:spacing w:line="240" w:lineRule="auto"/>
        <w:jc w:val="both"/>
        <w:rPr>
          <w:rFonts w:ascii="Times New Roman" w:hAnsi="Times New Roman" w:cs="Times New Roman"/>
          <w:sz w:val="20"/>
          <w:szCs w:val="20"/>
        </w:rPr>
      </w:pPr>
      <w:r w:rsidRPr="00F2361B">
        <w:rPr>
          <w:rFonts w:ascii="Times New Roman" w:hAnsi="Times New Roman" w:cs="Times New Roman"/>
          <w:sz w:val="20"/>
          <w:szCs w:val="20"/>
        </w:rPr>
        <w:t xml:space="preserve">Sensitive detection of Kanamycin in food and environmental samples is essential to ensure food safety, minimize public health risks, and prevent the spread of antibiotic </w:t>
      </w:r>
      <w:r w:rsidR="00C1133D" w:rsidRPr="00F2361B">
        <w:rPr>
          <w:rFonts w:ascii="Times New Roman" w:hAnsi="Times New Roman" w:cs="Times New Roman"/>
          <w:sz w:val="20"/>
          <w:szCs w:val="20"/>
        </w:rPr>
        <w:t>resistance</w:t>
      </w:r>
      <w:r w:rsidR="00C1133D" w:rsidRPr="00752AC2">
        <w:rPr>
          <w:rFonts w:ascii="Times New Roman" w:hAnsi="Times New Roman" w:cs="Times New Roman"/>
          <w:sz w:val="20"/>
          <w:szCs w:val="20"/>
        </w:rPr>
        <w:t>.</w:t>
      </w:r>
      <w:r w:rsidR="00C1133D" w:rsidRPr="00265DEA">
        <w:rPr>
          <w:rFonts w:ascii="Times New Roman" w:hAnsi="Times New Roman" w:cs="Times New Roman"/>
          <w:sz w:val="20"/>
          <w:szCs w:val="20"/>
        </w:rPr>
        <w:t xml:space="preserve"> A</w:t>
      </w:r>
      <w:r w:rsidR="00265DEA" w:rsidRPr="00265DEA">
        <w:rPr>
          <w:rFonts w:ascii="Times New Roman" w:hAnsi="Times New Roman" w:cs="Times New Roman"/>
          <w:sz w:val="20"/>
          <w:szCs w:val="20"/>
        </w:rPr>
        <w:t xml:space="preserve"> biotin-functionalized </w:t>
      </w:r>
      <w:proofErr w:type="spellStart"/>
      <w:r w:rsidR="00265DEA" w:rsidRPr="00265DEA">
        <w:rPr>
          <w:rFonts w:ascii="Times New Roman" w:hAnsi="Times New Roman" w:cs="Times New Roman"/>
          <w:sz w:val="20"/>
          <w:szCs w:val="20"/>
        </w:rPr>
        <w:t>electropolymerizable</w:t>
      </w:r>
      <w:proofErr w:type="spellEnd"/>
      <w:r w:rsidR="00265DEA" w:rsidRPr="00265DEA">
        <w:rPr>
          <w:rFonts w:ascii="Times New Roman" w:hAnsi="Times New Roman" w:cs="Times New Roman"/>
          <w:sz w:val="20"/>
          <w:szCs w:val="20"/>
        </w:rPr>
        <w:t xml:space="preserve"> bithiophene monomer was synthesized and applied in the fabrication of an electrochemical </w:t>
      </w:r>
      <w:proofErr w:type="spellStart"/>
      <w:r w:rsidR="00265DEA" w:rsidRPr="00265DEA">
        <w:rPr>
          <w:rFonts w:ascii="Times New Roman" w:hAnsi="Times New Roman" w:cs="Times New Roman"/>
          <w:sz w:val="20"/>
          <w:szCs w:val="20"/>
        </w:rPr>
        <w:t>aptasensor</w:t>
      </w:r>
      <w:proofErr w:type="spellEnd"/>
      <w:r w:rsidR="00265DEA" w:rsidRPr="00265DEA">
        <w:rPr>
          <w:rFonts w:ascii="Times New Roman" w:hAnsi="Times New Roman" w:cs="Times New Roman"/>
          <w:sz w:val="20"/>
          <w:szCs w:val="20"/>
        </w:rPr>
        <w:t xml:space="preserve"> for kanamycin detection. The sensing interface was constructed on a glassy carbon electrode via </w:t>
      </w:r>
      <w:proofErr w:type="spellStart"/>
      <w:r w:rsidR="00265DEA" w:rsidRPr="00265DEA">
        <w:rPr>
          <w:rFonts w:ascii="Times New Roman" w:hAnsi="Times New Roman" w:cs="Times New Roman"/>
          <w:sz w:val="20"/>
          <w:szCs w:val="20"/>
        </w:rPr>
        <w:t>electropolymerization</w:t>
      </w:r>
      <w:proofErr w:type="spellEnd"/>
      <w:r w:rsidR="00265DEA" w:rsidRPr="00265DEA">
        <w:rPr>
          <w:rFonts w:ascii="Times New Roman" w:hAnsi="Times New Roman" w:cs="Times New Roman"/>
          <w:sz w:val="20"/>
          <w:szCs w:val="20"/>
        </w:rPr>
        <w:t xml:space="preserve"> of the functional monomer in the presence of bis(3,4-ethylenedioxythiophene) (</w:t>
      </w:r>
      <w:proofErr w:type="spellStart"/>
      <w:r w:rsidR="00265DEA" w:rsidRPr="00265DEA">
        <w:rPr>
          <w:rFonts w:ascii="Times New Roman" w:hAnsi="Times New Roman" w:cs="Times New Roman"/>
          <w:sz w:val="20"/>
          <w:szCs w:val="20"/>
        </w:rPr>
        <w:t>biEDOT</w:t>
      </w:r>
      <w:proofErr w:type="spellEnd"/>
      <w:r w:rsidR="00265DEA" w:rsidRPr="00265DEA">
        <w:rPr>
          <w:rFonts w:ascii="Times New Roman" w:hAnsi="Times New Roman" w:cs="Times New Roman"/>
          <w:sz w:val="20"/>
          <w:szCs w:val="20"/>
        </w:rPr>
        <w:t>), followed by sequential immobilization of neutravidin and a biotinylated kanamycin aptamer.</w:t>
      </w:r>
    </w:p>
    <w:p w14:paraId="3FD7129B" w14:textId="2FE04A60" w:rsidR="00265DEA" w:rsidRPr="005161E4" w:rsidRDefault="00265DEA" w:rsidP="005161E4">
      <w:pPr>
        <w:spacing w:line="240" w:lineRule="auto"/>
        <w:jc w:val="both"/>
        <w:rPr>
          <w:sz w:val="20"/>
          <w:szCs w:val="20"/>
        </w:rPr>
      </w:pPr>
      <w:r w:rsidRPr="00265DEA">
        <w:rPr>
          <w:rFonts w:ascii="Times New Roman" w:hAnsi="Times New Roman" w:cs="Times New Roman"/>
          <w:sz w:val="20"/>
          <w:szCs w:val="20"/>
        </w:rPr>
        <w:t xml:space="preserve">The influence of copolymer composition and deposition method on sensor performance was systematically investigated. Incorporation of </w:t>
      </w:r>
      <w:proofErr w:type="spellStart"/>
      <w:r w:rsidRPr="00265DEA">
        <w:rPr>
          <w:rFonts w:ascii="Times New Roman" w:hAnsi="Times New Roman" w:cs="Times New Roman"/>
          <w:sz w:val="20"/>
          <w:szCs w:val="20"/>
        </w:rPr>
        <w:t>biEDOT</w:t>
      </w:r>
      <w:proofErr w:type="spellEnd"/>
      <w:r w:rsidRPr="00265DEA">
        <w:rPr>
          <w:rFonts w:ascii="Times New Roman" w:hAnsi="Times New Roman" w:cs="Times New Roman"/>
          <w:sz w:val="20"/>
          <w:szCs w:val="20"/>
        </w:rPr>
        <w:t xml:space="preserve"> improved the conductivity and structural organization of the polymer film, while </w:t>
      </w:r>
      <w:proofErr w:type="spellStart"/>
      <w:r w:rsidRPr="00265DEA">
        <w:rPr>
          <w:rFonts w:ascii="Times New Roman" w:hAnsi="Times New Roman" w:cs="Times New Roman"/>
          <w:sz w:val="20"/>
          <w:szCs w:val="20"/>
        </w:rPr>
        <w:t>potentiostatic</w:t>
      </w:r>
      <w:proofErr w:type="spellEnd"/>
      <w:r w:rsidRPr="00265DEA">
        <w:rPr>
          <w:rFonts w:ascii="Times New Roman" w:hAnsi="Times New Roman" w:cs="Times New Roman"/>
          <w:sz w:val="20"/>
          <w:szCs w:val="20"/>
        </w:rPr>
        <w:t xml:space="preserve"> </w:t>
      </w:r>
      <w:proofErr w:type="spellStart"/>
      <w:r w:rsidRPr="00265DEA">
        <w:rPr>
          <w:rFonts w:ascii="Times New Roman" w:hAnsi="Times New Roman" w:cs="Times New Roman"/>
          <w:sz w:val="20"/>
          <w:szCs w:val="20"/>
        </w:rPr>
        <w:t>electropolymerization</w:t>
      </w:r>
      <w:proofErr w:type="spellEnd"/>
      <w:r w:rsidRPr="00265DEA">
        <w:rPr>
          <w:rFonts w:ascii="Times New Roman" w:hAnsi="Times New Roman" w:cs="Times New Roman"/>
          <w:sz w:val="20"/>
          <w:szCs w:val="20"/>
        </w:rPr>
        <w:t xml:space="preserve"> generated rougher and more porous surfaces that enhanced</w:t>
      </w:r>
      <w:r w:rsidR="00E5619C">
        <w:rPr>
          <w:rFonts w:ascii="Times New Roman" w:hAnsi="Times New Roman" w:cs="Times New Roman"/>
          <w:sz w:val="20"/>
          <w:szCs w:val="20"/>
        </w:rPr>
        <w:t xml:space="preserve"> the </w:t>
      </w:r>
      <w:r w:rsidRPr="00265DEA">
        <w:rPr>
          <w:rFonts w:ascii="Times New Roman" w:hAnsi="Times New Roman" w:cs="Times New Roman"/>
          <w:sz w:val="20"/>
          <w:szCs w:val="20"/>
        </w:rPr>
        <w:t xml:space="preserve">sensing response. </w:t>
      </w:r>
      <w:r w:rsidR="005161E4" w:rsidRPr="005161E4">
        <w:rPr>
          <w:rFonts w:ascii="Times New Roman" w:hAnsi="Times New Roman" w:cs="Times New Roman"/>
          <w:sz w:val="20"/>
          <w:szCs w:val="20"/>
        </w:rPr>
        <w:t xml:space="preserve">Electrochemical characterization using cyclic voltammetry (CV) and differential pulse voltammetry (DPV) demonstrated a concentration-dependent suppression of </w:t>
      </w:r>
      <w:proofErr w:type="spellStart"/>
      <w:r w:rsidR="005161E4" w:rsidRPr="005161E4">
        <w:rPr>
          <w:rFonts w:ascii="Times New Roman" w:hAnsi="Times New Roman" w:cs="Times New Roman"/>
          <w:sz w:val="20"/>
          <w:szCs w:val="20"/>
        </w:rPr>
        <w:t>ferri</w:t>
      </w:r>
      <w:proofErr w:type="spellEnd"/>
      <w:r w:rsidR="005161E4" w:rsidRPr="005161E4">
        <w:rPr>
          <w:rFonts w:ascii="Times New Roman" w:hAnsi="Times New Roman" w:cs="Times New Roman"/>
          <w:sz w:val="20"/>
          <w:szCs w:val="20"/>
        </w:rPr>
        <w:t>/ferrocyanide redox currents upon kanamycin binding, attributed to increased interfacial resistance and hindered charge transfer. The decrease in the reduction peak current observed in DPV was used as the analytical signal for the sensor.</w:t>
      </w:r>
    </w:p>
    <w:p w14:paraId="38F19E73" w14:textId="21C44C0B" w:rsidR="00265DEA" w:rsidRPr="00265DEA" w:rsidRDefault="00265DEA" w:rsidP="00752AC2">
      <w:pPr>
        <w:spacing w:line="240" w:lineRule="auto"/>
        <w:jc w:val="both"/>
        <w:rPr>
          <w:rFonts w:ascii="Times New Roman" w:hAnsi="Times New Roman" w:cs="Times New Roman"/>
          <w:sz w:val="20"/>
          <w:szCs w:val="20"/>
        </w:rPr>
      </w:pPr>
      <w:r w:rsidRPr="00265DEA">
        <w:rPr>
          <w:rFonts w:ascii="Times New Roman" w:hAnsi="Times New Roman" w:cs="Times New Roman"/>
          <w:sz w:val="20"/>
          <w:szCs w:val="20"/>
        </w:rPr>
        <w:t xml:space="preserve">The optimized </w:t>
      </w:r>
      <w:proofErr w:type="spellStart"/>
      <w:r w:rsidRPr="00265DEA">
        <w:rPr>
          <w:rFonts w:ascii="Times New Roman" w:hAnsi="Times New Roman" w:cs="Times New Roman"/>
          <w:sz w:val="20"/>
          <w:szCs w:val="20"/>
        </w:rPr>
        <w:t>aptasensor</w:t>
      </w:r>
      <w:proofErr w:type="spellEnd"/>
      <w:r w:rsidRPr="00265DEA">
        <w:rPr>
          <w:rFonts w:ascii="Times New Roman" w:hAnsi="Times New Roman" w:cs="Times New Roman"/>
          <w:sz w:val="20"/>
          <w:szCs w:val="20"/>
        </w:rPr>
        <w:t xml:space="preserve"> exhibited a linear analytical response over the concentration range from 790 </w:t>
      </w:r>
      <w:proofErr w:type="spellStart"/>
      <w:r w:rsidRPr="00265DEA">
        <w:rPr>
          <w:rFonts w:ascii="Times New Roman" w:hAnsi="Times New Roman" w:cs="Times New Roman"/>
          <w:sz w:val="20"/>
          <w:szCs w:val="20"/>
        </w:rPr>
        <w:t>pM</w:t>
      </w:r>
      <w:proofErr w:type="spellEnd"/>
      <w:r w:rsidRPr="00265DEA">
        <w:rPr>
          <w:rFonts w:ascii="Times New Roman" w:hAnsi="Times New Roman" w:cs="Times New Roman"/>
          <w:sz w:val="20"/>
          <w:szCs w:val="20"/>
        </w:rPr>
        <w:t xml:space="preserve"> to 1.28 </w:t>
      </w:r>
      <w:proofErr w:type="spellStart"/>
      <w:r w:rsidRPr="00265DEA">
        <w:rPr>
          <w:rFonts w:ascii="Times New Roman" w:hAnsi="Times New Roman" w:cs="Times New Roman"/>
          <w:sz w:val="20"/>
          <w:szCs w:val="20"/>
        </w:rPr>
        <w:t>μM</w:t>
      </w:r>
      <w:proofErr w:type="spellEnd"/>
      <w:r w:rsidRPr="00265DEA">
        <w:rPr>
          <w:rFonts w:ascii="Times New Roman" w:hAnsi="Times New Roman" w:cs="Times New Roman"/>
          <w:sz w:val="20"/>
          <w:szCs w:val="20"/>
        </w:rPr>
        <w:t xml:space="preserve"> with good reproducibility (n = 3) and excellent linearity (R² &gt; 0.97). The sensing platform also demonstrated improved selectivity toward kanamycin relative to </w:t>
      </w:r>
      <w:r w:rsidR="007D71B7" w:rsidRPr="00752AC2">
        <w:rPr>
          <w:rFonts w:ascii="Times New Roman" w:hAnsi="Times New Roman" w:cs="Times New Roman"/>
          <w:sz w:val="20"/>
          <w:szCs w:val="20"/>
        </w:rPr>
        <w:t>other</w:t>
      </w:r>
      <w:r w:rsidRPr="00265DEA">
        <w:rPr>
          <w:rFonts w:ascii="Times New Roman" w:hAnsi="Times New Roman" w:cs="Times New Roman"/>
          <w:sz w:val="20"/>
          <w:szCs w:val="20"/>
        </w:rPr>
        <w:t xml:space="preserve"> antibiotics.</w:t>
      </w:r>
    </w:p>
    <w:p w14:paraId="285868F6" w14:textId="48F617AE" w:rsidR="00265DEA" w:rsidRDefault="00265DEA" w:rsidP="00752AC2">
      <w:pPr>
        <w:spacing w:line="240" w:lineRule="auto"/>
        <w:jc w:val="both"/>
        <w:rPr>
          <w:rFonts w:ascii="Times New Roman" w:hAnsi="Times New Roman" w:cs="Times New Roman"/>
          <w:sz w:val="20"/>
          <w:szCs w:val="20"/>
        </w:rPr>
      </w:pPr>
      <w:r w:rsidRPr="00265DEA">
        <w:rPr>
          <w:rFonts w:ascii="Times New Roman" w:hAnsi="Times New Roman" w:cs="Times New Roman"/>
          <w:sz w:val="20"/>
          <w:szCs w:val="20"/>
        </w:rPr>
        <w:t>These results demonstrate the potential of electropolymerized thiophene-based multilayer architectures for the development of sensitive and cost-effective electrochemical sensors for antibiotic monitoring in environmental and food safety applications.</w:t>
      </w:r>
    </w:p>
    <w:p w14:paraId="23F7535E" w14:textId="76BAD938" w:rsidR="000335B6" w:rsidRPr="002934A2" w:rsidRDefault="000335B6" w:rsidP="006C0095">
      <w:pPr>
        <w:jc w:val="both"/>
        <w:rPr>
          <w:rFonts w:ascii="Times New Roman" w:hAnsi="Times New Roman" w:cs="Times New Roman"/>
          <w:bCs/>
        </w:rPr>
      </w:pPr>
      <w:r w:rsidRPr="002934A2">
        <w:rPr>
          <w:rFonts w:ascii="Times New Roman" w:hAnsi="Times New Roman" w:cs="Times New Roman"/>
          <w:bCs/>
        </w:rPr>
        <w:t>Acknowledgement: The present research was financed by the National Science Centre, Poland, within the OPUS grant UMO-2023/49/B/ST11/01771.</w:t>
      </w:r>
    </w:p>
    <w:p w14:paraId="1EC89B32" w14:textId="77777777" w:rsidR="001C35C6" w:rsidRPr="001C35C6" w:rsidRDefault="001C35C6" w:rsidP="00752AC2">
      <w:pPr>
        <w:spacing w:line="240" w:lineRule="auto"/>
        <w:jc w:val="both"/>
        <w:rPr>
          <w:rFonts w:ascii="Times New Roman" w:hAnsi="Times New Roman" w:cs="Times New Roman"/>
          <w:b/>
          <w:bCs/>
          <w:sz w:val="20"/>
          <w:szCs w:val="20"/>
        </w:rPr>
      </w:pPr>
      <w:r w:rsidRPr="001C35C6">
        <w:rPr>
          <w:rFonts w:ascii="Times New Roman" w:hAnsi="Times New Roman" w:cs="Times New Roman"/>
          <w:b/>
          <w:bCs/>
          <w:sz w:val="20"/>
          <w:szCs w:val="20"/>
        </w:rPr>
        <w:t>References</w:t>
      </w:r>
    </w:p>
    <w:p w14:paraId="6C78C6B9" w14:textId="50491572" w:rsidR="00BA2614" w:rsidRDefault="001C35C6" w:rsidP="001C35C6">
      <w:pPr>
        <w:pStyle w:val="ListParagraph"/>
        <w:numPr>
          <w:ilvl w:val="0"/>
          <w:numId w:val="1"/>
        </w:numPr>
        <w:spacing w:line="240" w:lineRule="auto"/>
        <w:jc w:val="both"/>
        <w:rPr>
          <w:rFonts w:ascii="Times New Roman" w:hAnsi="Times New Roman" w:cs="Times New Roman"/>
          <w:sz w:val="20"/>
          <w:szCs w:val="20"/>
        </w:rPr>
      </w:pPr>
      <w:r w:rsidRPr="001C35C6">
        <w:rPr>
          <w:rFonts w:ascii="Times New Roman" w:hAnsi="Times New Roman" w:cs="Times New Roman"/>
          <w:sz w:val="20"/>
          <w:szCs w:val="20"/>
        </w:rPr>
        <w:t>Sosnowska, Marta, et al. "</w:t>
      </w:r>
      <w:proofErr w:type="spellStart"/>
      <w:r w:rsidRPr="001C35C6">
        <w:rPr>
          <w:rFonts w:ascii="Times New Roman" w:hAnsi="Times New Roman" w:cs="Times New Roman"/>
          <w:sz w:val="20"/>
          <w:szCs w:val="20"/>
        </w:rPr>
        <w:t>Piezomicrogravimetric</w:t>
      </w:r>
      <w:proofErr w:type="spellEnd"/>
      <w:r w:rsidRPr="001C35C6">
        <w:rPr>
          <w:rFonts w:ascii="Times New Roman" w:hAnsi="Times New Roman" w:cs="Times New Roman"/>
          <w:sz w:val="20"/>
          <w:szCs w:val="20"/>
        </w:rPr>
        <w:t xml:space="preserve"> and impedimetric oligonucleotide biosensors using conducting polymers of biotinylated bis (2, 2′-bithien-5-yl) methane as recognition units." </w:t>
      </w:r>
      <w:r w:rsidRPr="001C35C6">
        <w:rPr>
          <w:rFonts w:ascii="Times New Roman" w:hAnsi="Times New Roman" w:cs="Times New Roman"/>
          <w:i/>
          <w:iCs/>
          <w:sz w:val="20"/>
          <w:szCs w:val="20"/>
        </w:rPr>
        <w:t>Analytical chemistry</w:t>
      </w:r>
      <w:r w:rsidRPr="001C35C6">
        <w:rPr>
          <w:rFonts w:ascii="Times New Roman" w:hAnsi="Times New Roman" w:cs="Times New Roman"/>
          <w:sz w:val="20"/>
          <w:szCs w:val="20"/>
        </w:rPr>
        <w:t> 85.15 (2013): 7454-7461.</w:t>
      </w:r>
    </w:p>
    <w:p w14:paraId="25A7BDEF" w14:textId="4960420B" w:rsidR="000C16CA" w:rsidRDefault="00C07A19" w:rsidP="001C35C6">
      <w:pPr>
        <w:pStyle w:val="ListParagraph"/>
        <w:numPr>
          <w:ilvl w:val="0"/>
          <w:numId w:val="1"/>
        </w:numPr>
        <w:spacing w:line="240" w:lineRule="auto"/>
        <w:jc w:val="both"/>
        <w:rPr>
          <w:rFonts w:ascii="Times New Roman" w:hAnsi="Times New Roman" w:cs="Times New Roman"/>
          <w:sz w:val="20"/>
          <w:szCs w:val="20"/>
        </w:rPr>
      </w:pPr>
      <w:r w:rsidRPr="00C07A19">
        <w:rPr>
          <w:rFonts w:ascii="Times New Roman" w:hAnsi="Times New Roman" w:cs="Times New Roman"/>
          <w:sz w:val="20"/>
          <w:szCs w:val="20"/>
        </w:rPr>
        <w:t>Tian, Liang, et al. "</w:t>
      </w:r>
      <w:proofErr w:type="spellStart"/>
      <w:r w:rsidRPr="00C07A19">
        <w:rPr>
          <w:rFonts w:ascii="Times New Roman" w:hAnsi="Times New Roman" w:cs="Times New Roman"/>
          <w:sz w:val="20"/>
          <w:szCs w:val="20"/>
        </w:rPr>
        <w:t>Ratiometric</w:t>
      </w:r>
      <w:proofErr w:type="spellEnd"/>
      <w:r w:rsidRPr="00C07A19">
        <w:rPr>
          <w:rFonts w:ascii="Times New Roman" w:hAnsi="Times New Roman" w:cs="Times New Roman"/>
          <w:sz w:val="20"/>
          <w:szCs w:val="20"/>
        </w:rPr>
        <w:t xml:space="preserve"> dual signal-enhancing-based electrochemical biosensor for ultrasensitive kanamycin detection." </w:t>
      </w:r>
      <w:r w:rsidRPr="00C07A19">
        <w:rPr>
          <w:rFonts w:ascii="Times New Roman" w:hAnsi="Times New Roman" w:cs="Times New Roman"/>
          <w:i/>
          <w:iCs/>
          <w:sz w:val="20"/>
          <w:szCs w:val="20"/>
        </w:rPr>
        <w:t>ACS applied materials &amp; interfaces</w:t>
      </w:r>
      <w:r w:rsidRPr="00C07A19">
        <w:rPr>
          <w:rFonts w:ascii="Times New Roman" w:hAnsi="Times New Roman" w:cs="Times New Roman"/>
          <w:sz w:val="20"/>
          <w:szCs w:val="20"/>
        </w:rPr>
        <w:t> 12.47 (2020): 52713-52720.</w:t>
      </w:r>
    </w:p>
    <w:p w14:paraId="79000548" w14:textId="77777777" w:rsidR="001C35C6" w:rsidRPr="001C35C6" w:rsidRDefault="001C35C6" w:rsidP="001C35C6">
      <w:pPr>
        <w:spacing w:line="240" w:lineRule="auto"/>
        <w:jc w:val="both"/>
        <w:rPr>
          <w:rFonts w:ascii="Times New Roman" w:hAnsi="Times New Roman" w:cs="Times New Roman"/>
          <w:sz w:val="20"/>
          <w:szCs w:val="20"/>
        </w:rPr>
      </w:pPr>
    </w:p>
    <w:sectPr w:rsidR="001C35C6" w:rsidRPr="001C35C6" w:rsidSect="00AC3A95">
      <w:pgSz w:w="11906" w:h="16838"/>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78123B"/>
    <w:multiLevelType w:val="hybridMultilevel"/>
    <w:tmpl w:val="1742C01A"/>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num w:numId="1" w16cid:durableId="881014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DEA"/>
    <w:rsid w:val="000335B6"/>
    <w:rsid w:val="00064DC0"/>
    <w:rsid w:val="000B2DC0"/>
    <w:rsid w:val="000C16CA"/>
    <w:rsid w:val="000F73F4"/>
    <w:rsid w:val="001C35C6"/>
    <w:rsid w:val="001E331F"/>
    <w:rsid w:val="00212A67"/>
    <w:rsid w:val="00260AA8"/>
    <w:rsid w:val="00265DEA"/>
    <w:rsid w:val="002934A2"/>
    <w:rsid w:val="00316D77"/>
    <w:rsid w:val="00500082"/>
    <w:rsid w:val="005161E4"/>
    <w:rsid w:val="00526CA3"/>
    <w:rsid w:val="006964CD"/>
    <w:rsid w:val="0069755C"/>
    <w:rsid w:val="006C0095"/>
    <w:rsid w:val="00752AC2"/>
    <w:rsid w:val="007818A2"/>
    <w:rsid w:val="00783E19"/>
    <w:rsid w:val="007D71B7"/>
    <w:rsid w:val="00801D86"/>
    <w:rsid w:val="008E488C"/>
    <w:rsid w:val="00A52C0E"/>
    <w:rsid w:val="00A612C8"/>
    <w:rsid w:val="00AC3A95"/>
    <w:rsid w:val="00B42D5B"/>
    <w:rsid w:val="00BA2614"/>
    <w:rsid w:val="00C07A19"/>
    <w:rsid w:val="00C1133D"/>
    <w:rsid w:val="00CE721C"/>
    <w:rsid w:val="00E53262"/>
    <w:rsid w:val="00E5619C"/>
    <w:rsid w:val="00E67FE0"/>
    <w:rsid w:val="00E82357"/>
    <w:rsid w:val="00EB30CD"/>
    <w:rsid w:val="00EB6CBC"/>
    <w:rsid w:val="00F2361B"/>
    <w:rsid w:val="00F7219A"/>
    <w:rsid w:val="00F91CC3"/>
    <w:rsid w:val="00FD24AE"/>
  </w:rsids>
  <m:mathPr>
    <m:mathFont m:val="Cambria Math"/>
    <m:brkBin m:val="before"/>
    <m:brkBinSub m:val="--"/>
    <m:smallFrac m:val="0"/>
    <m:dispDef/>
    <m:lMargin m:val="0"/>
    <m:rMargin m:val="0"/>
    <m:defJc m:val="centerGroup"/>
    <m:wrapIndent m:val="1440"/>
    <m:intLim m:val="subSup"/>
    <m:naryLim m:val="undOvr"/>
  </m:mathPr>
  <w:themeFontLang w:val="en-001"/>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242B1"/>
  <w15:chartTrackingRefBased/>
  <w15:docId w15:val="{2002794E-5655-4A84-AD93-347FD2027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001"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5D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5D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5D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5D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5D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5D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5D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5D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5D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5D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5D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5D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5D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5D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5D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5D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5D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5DEA"/>
    <w:rPr>
      <w:rFonts w:eastAsiaTheme="majorEastAsia" w:cstheme="majorBidi"/>
      <w:color w:val="272727" w:themeColor="text1" w:themeTint="D8"/>
    </w:rPr>
  </w:style>
  <w:style w:type="paragraph" w:styleId="Title">
    <w:name w:val="Title"/>
    <w:basedOn w:val="Normal"/>
    <w:next w:val="Normal"/>
    <w:link w:val="TitleChar"/>
    <w:uiPriority w:val="10"/>
    <w:qFormat/>
    <w:rsid w:val="00265D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5D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5D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5D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5DEA"/>
    <w:pPr>
      <w:spacing w:before="160"/>
      <w:jc w:val="center"/>
    </w:pPr>
    <w:rPr>
      <w:i/>
      <w:iCs/>
      <w:color w:val="404040" w:themeColor="text1" w:themeTint="BF"/>
    </w:rPr>
  </w:style>
  <w:style w:type="character" w:customStyle="1" w:styleId="QuoteChar">
    <w:name w:val="Quote Char"/>
    <w:basedOn w:val="DefaultParagraphFont"/>
    <w:link w:val="Quote"/>
    <w:uiPriority w:val="29"/>
    <w:rsid w:val="00265DEA"/>
    <w:rPr>
      <w:i/>
      <w:iCs/>
      <w:color w:val="404040" w:themeColor="text1" w:themeTint="BF"/>
    </w:rPr>
  </w:style>
  <w:style w:type="paragraph" w:styleId="ListParagraph">
    <w:name w:val="List Paragraph"/>
    <w:basedOn w:val="Normal"/>
    <w:uiPriority w:val="34"/>
    <w:qFormat/>
    <w:rsid w:val="00265DEA"/>
    <w:pPr>
      <w:ind w:left="720"/>
      <w:contextualSpacing/>
    </w:pPr>
  </w:style>
  <w:style w:type="character" w:styleId="IntenseEmphasis">
    <w:name w:val="Intense Emphasis"/>
    <w:basedOn w:val="DefaultParagraphFont"/>
    <w:uiPriority w:val="21"/>
    <w:qFormat/>
    <w:rsid w:val="00265DEA"/>
    <w:rPr>
      <w:i/>
      <w:iCs/>
      <w:color w:val="0F4761" w:themeColor="accent1" w:themeShade="BF"/>
    </w:rPr>
  </w:style>
  <w:style w:type="paragraph" w:styleId="IntenseQuote">
    <w:name w:val="Intense Quote"/>
    <w:basedOn w:val="Normal"/>
    <w:next w:val="Normal"/>
    <w:link w:val="IntenseQuoteChar"/>
    <w:uiPriority w:val="30"/>
    <w:qFormat/>
    <w:rsid w:val="00265D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5DEA"/>
    <w:rPr>
      <w:i/>
      <w:iCs/>
      <w:color w:val="0F4761" w:themeColor="accent1" w:themeShade="BF"/>
    </w:rPr>
  </w:style>
  <w:style w:type="character" w:styleId="IntenseReference">
    <w:name w:val="Intense Reference"/>
    <w:basedOn w:val="DefaultParagraphFont"/>
    <w:uiPriority w:val="32"/>
    <w:qFormat/>
    <w:rsid w:val="00265DEA"/>
    <w:rPr>
      <w:b/>
      <w:bCs/>
      <w:smallCaps/>
      <w:color w:val="0F4761" w:themeColor="accent1" w:themeShade="BF"/>
      <w:spacing w:val="5"/>
    </w:rPr>
  </w:style>
  <w:style w:type="character" w:styleId="Hyperlink">
    <w:name w:val="Hyperlink"/>
    <w:basedOn w:val="DefaultParagraphFont"/>
    <w:uiPriority w:val="99"/>
    <w:unhideWhenUsed/>
    <w:rsid w:val="00526CA3"/>
    <w:rPr>
      <w:color w:val="467886" w:themeColor="hyperlink"/>
      <w:u w:val="single"/>
    </w:rPr>
  </w:style>
  <w:style w:type="character" w:styleId="UnresolvedMention">
    <w:name w:val="Unresolved Mention"/>
    <w:basedOn w:val="DefaultParagraphFont"/>
    <w:uiPriority w:val="99"/>
    <w:semiHidden/>
    <w:unhideWhenUsed/>
    <w:rsid w:val="00526CA3"/>
    <w:rPr>
      <w:color w:val="605E5C"/>
      <w:shd w:val="clear" w:color="auto" w:fill="E1DFDD"/>
    </w:rPr>
  </w:style>
  <w:style w:type="paragraph" w:styleId="NormalWeb">
    <w:name w:val="Normal (Web)"/>
    <w:basedOn w:val="Normal"/>
    <w:uiPriority w:val="99"/>
    <w:semiHidden/>
    <w:unhideWhenUsed/>
    <w:rsid w:val="005161E4"/>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0335B6"/>
    <w:rPr>
      <w:sz w:val="16"/>
      <w:szCs w:val="16"/>
    </w:rPr>
  </w:style>
  <w:style w:type="paragraph" w:styleId="CommentText">
    <w:name w:val="annotation text"/>
    <w:basedOn w:val="Normal"/>
    <w:link w:val="CommentTextChar"/>
    <w:uiPriority w:val="99"/>
    <w:semiHidden/>
    <w:unhideWhenUsed/>
    <w:rsid w:val="000335B6"/>
    <w:pPr>
      <w:spacing w:line="240" w:lineRule="auto"/>
    </w:pPr>
    <w:rPr>
      <w:sz w:val="20"/>
      <w:szCs w:val="20"/>
    </w:rPr>
  </w:style>
  <w:style w:type="character" w:customStyle="1" w:styleId="CommentTextChar">
    <w:name w:val="Comment Text Char"/>
    <w:basedOn w:val="DefaultParagraphFont"/>
    <w:link w:val="CommentText"/>
    <w:uiPriority w:val="99"/>
    <w:semiHidden/>
    <w:rsid w:val="000335B6"/>
    <w:rPr>
      <w:sz w:val="20"/>
      <w:szCs w:val="20"/>
    </w:rPr>
  </w:style>
  <w:style w:type="paragraph" w:styleId="CommentSubject">
    <w:name w:val="annotation subject"/>
    <w:basedOn w:val="CommentText"/>
    <w:next w:val="CommentText"/>
    <w:link w:val="CommentSubjectChar"/>
    <w:uiPriority w:val="99"/>
    <w:semiHidden/>
    <w:unhideWhenUsed/>
    <w:rsid w:val="000335B6"/>
    <w:rPr>
      <w:b/>
      <w:bCs/>
    </w:rPr>
  </w:style>
  <w:style w:type="character" w:customStyle="1" w:styleId="CommentSubjectChar">
    <w:name w:val="Comment Subject Char"/>
    <w:basedOn w:val="CommentTextChar"/>
    <w:link w:val="CommentSubject"/>
    <w:uiPriority w:val="99"/>
    <w:semiHidden/>
    <w:rsid w:val="000335B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622646">
      <w:bodyDiv w:val="1"/>
      <w:marLeft w:val="0"/>
      <w:marRight w:val="0"/>
      <w:marTop w:val="0"/>
      <w:marBottom w:val="0"/>
      <w:divBdr>
        <w:top w:val="none" w:sz="0" w:space="0" w:color="auto"/>
        <w:left w:val="none" w:sz="0" w:space="0" w:color="auto"/>
        <w:bottom w:val="none" w:sz="0" w:space="0" w:color="auto"/>
        <w:right w:val="none" w:sz="0" w:space="0" w:color="auto"/>
      </w:divBdr>
    </w:div>
    <w:div w:id="877397644">
      <w:bodyDiv w:val="1"/>
      <w:marLeft w:val="0"/>
      <w:marRight w:val="0"/>
      <w:marTop w:val="0"/>
      <w:marBottom w:val="0"/>
      <w:divBdr>
        <w:top w:val="none" w:sz="0" w:space="0" w:color="auto"/>
        <w:left w:val="none" w:sz="0" w:space="0" w:color="auto"/>
        <w:bottom w:val="none" w:sz="0" w:space="0" w:color="auto"/>
        <w:right w:val="none" w:sz="0" w:space="0" w:color="auto"/>
      </w:divBdr>
    </w:div>
    <w:div w:id="1100182667">
      <w:bodyDiv w:val="1"/>
      <w:marLeft w:val="0"/>
      <w:marRight w:val="0"/>
      <w:marTop w:val="0"/>
      <w:marBottom w:val="0"/>
      <w:divBdr>
        <w:top w:val="none" w:sz="0" w:space="0" w:color="auto"/>
        <w:left w:val="none" w:sz="0" w:space="0" w:color="auto"/>
        <w:bottom w:val="none" w:sz="0" w:space="0" w:color="auto"/>
        <w:right w:val="none" w:sz="0" w:space="0" w:color="auto"/>
      </w:divBdr>
    </w:div>
    <w:div w:id="1201086631">
      <w:bodyDiv w:val="1"/>
      <w:marLeft w:val="0"/>
      <w:marRight w:val="0"/>
      <w:marTop w:val="0"/>
      <w:marBottom w:val="0"/>
      <w:divBdr>
        <w:top w:val="none" w:sz="0" w:space="0" w:color="auto"/>
        <w:left w:val="none" w:sz="0" w:space="0" w:color="auto"/>
        <w:bottom w:val="none" w:sz="0" w:space="0" w:color="auto"/>
        <w:right w:val="none" w:sz="0" w:space="0" w:color="auto"/>
      </w:divBdr>
    </w:div>
    <w:div w:id="1462574903">
      <w:bodyDiv w:val="1"/>
      <w:marLeft w:val="0"/>
      <w:marRight w:val="0"/>
      <w:marTop w:val="0"/>
      <w:marBottom w:val="0"/>
      <w:divBdr>
        <w:top w:val="none" w:sz="0" w:space="0" w:color="auto"/>
        <w:left w:val="none" w:sz="0" w:space="0" w:color="auto"/>
        <w:bottom w:val="none" w:sz="0" w:space="0" w:color="auto"/>
        <w:right w:val="none" w:sz="0" w:space="0" w:color="auto"/>
      </w:divBdr>
    </w:div>
    <w:div w:id="1597010192">
      <w:bodyDiv w:val="1"/>
      <w:marLeft w:val="0"/>
      <w:marRight w:val="0"/>
      <w:marTop w:val="0"/>
      <w:marBottom w:val="0"/>
      <w:divBdr>
        <w:top w:val="none" w:sz="0" w:space="0" w:color="auto"/>
        <w:left w:val="none" w:sz="0" w:space="0" w:color="auto"/>
        <w:bottom w:val="none" w:sz="0" w:space="0" w:color="auto"/>
        <w:right w:val="none" w:sz="0" w:space="0" w:color="auto"/>
      </w:divBdr>
    </w:div>
    <w:div w:id="1656181903">
      <w:bodyDiv w:val="1"/>
      <w:marLeft w:val="0"/>
      <w:marRight w:val="0"/>
      <w:marTop w:val="0"/>
      <w:marBottom w:val="0"/>
      <w:divBdr>
        <w:top w:val="none" w:sz="0" w:space="0" w:color="auto"/>
        <w:left w:val="none" w:sz="0" w:space="0" w:color="auto"/>
        <w:bottom w:val="none" w:sz="0" w:space="0" w:color="auto"/>
        <w:right w:val="none" w:sz="0" w:space="0" w:color="auto"/>
      </w:divBdr>
    </w:div>
    <w:div w:id="2003966450">
      <w:bodyDiv w:val="1"/>
      <w:marLeft w:val="0"/>
      <w:marRight w:val="0"/>
      <w:marTop w:val="0"/>
      <w:marBottom w:val="0"/>
      <w:divBdr>
        <w:top w:val="none" w:sz="0" w:space="0" w:color="auto"/>
        <w:left w:val="none" w:sz="0" w:space="0" w:color="auto"/>
        <w:bottom w:val="none" w:sz="0" w:space="0" w:color="auto"/>
        <w:right w:val="none" w:sz="0" w:space="0" w:color="auto"/>
      </w:divBdr>
    </w:div>
    <w:div w:id="2009669519">
      <w:bodyDiv w:val="1"/>
      <w:marLeft w:val="0"/>
      <w:marRight w:val="0"/>
      <w:marTop w:val="0"/>
      <w:marBottom w:val="0"/>
      <w:divBdr>
        <w:top w:val="none" w:sz="0" w:space="0" w:color="auto"/>
        <w:left w:val="none" w:sz="0" w:space="0" w:color="auto"/>
        <w:bottom w:val="none" w:sz="0" w:space="0" w:color="auto"/>
        <w:right w:val="none" w:sz="0" w:space="0" w:color="auto"/>
      </w:divBdr>
    </w:div>
    <w:div w:id="2045514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lizabeth.paul@ichf.edu.p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425</Words>
  <Characters>2427</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Paul</dc:creator>
  <cp:keywords/>
  <dc:description/>
  <cp:lastModifiedBy>Elizabeth Paul</cp:lastModifiedBy>
  <cp:revision>2</cp:revision>
  <dcterms:created xsi:type="dcterms:W3CDTF">2026-06-01T13:07:00Z</dcterms:created>
  <dcterms:modified xsi:type="dcterms:W3CDTF">2026-06-01T13:07:00Z</dcterms:modified>
</cp:coreProperties>
</file>