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B90F7" w14:textId="374F9C97" w:rsidR="006D7F3D" w:rsidRPr="002B68D1" w:rsidRDefault="002C6D28" w:rsidP="002B68D1">
      <w:pPr>
        <w:jc w:val="center"/>
        <w:rPr>
          <w:b/>
          <w:bCs/>
          <w:sz w:val="28"/>
          <w:szCs w:val="28"/>
        </w:rPr>
      </w:pPr>
      <w:r>
        <w:rPr>
          <w:b/>
          <w:bCs/>
          <w:sz w:val="28"/>
          <w:szCs w:val="28"/>
        </w:rPr>
        <w:t xml:space="preserve"> </w:t>
      </w:r>
      <w:r w:rsidRPr="002C6D28">
        <w:rPr>
          <w:b/>
          <w:bCs/>
          <w:sz w:val="28"/>
          <w:szCs w:val="28"/>
        </w:rPr>
        <w:t>Elucidating Anion-Dependent Interfacial Processes in Electrochemically Mediated Amine Regeneration</w:t>
      </w:r>
      <w:r>
        <w:rPr>
          <w:b/>
          <w:bCs/>
          <w:sz w:val="28"/>
          <w:szCs w:val="28"/>
        </w:rPr>
        <w:t xml:space="preserve"> for CO</w:t>
      </w:r>
      <w:r w:rsidRPr="00CB393B">
        <w:rPr>
          <w:b/>
          <w:bCs/>
          <w:sz w:val="28"/>
          <w:szCs w:val="28"/>
          <w:vertAlign w:val="subscript"/>
        </w:rPr>
        <w:t>2</w:t>
      </w:r>
      <w:r>
        <w:rPr>
          <w:b/>
          <w:bCs/>
          <w:sz w:val="28"/>
          <w:szCs w:val="28"/>
        </w:rPr>
        <w:t xml:space="preserve"> Capture</w:t>
      </w:r>
      <w:r w:rsidRPr="002C6D28">
        <w:rPr>
          <w:b/>
          <w:bCs/>
          <w:sz w:val="28"/>
          <w:szCs w:val="28"/>
        </w:rPr>
        <w:t xml:space="preserve"> via </w:t>
      </w:r>
      <w:r w:rsidR="00957961">
        <w:rPr>
          <w:b/>
          <w:bCs/>
          <w:i/>
          <w:iCs/>
          <w:sz w:val="28"/>
          <w:szCs w:val="28"/>
        </w:rPr>
        <w:t>Operando</w:t>
      </w:r>
      <w:r>
        <w:rPr>
          <w:b/>
          <w:bCs/>
          <w:sz w:val="28"/>
          <w:szCs w:val="28"/>
        </w:rPr>
        <w:t xml:space="preserve"> Soft and Hard</w:t>
      </w:r>
      <w:r w:rsidRPr="002C6D28">
        <w:rPr>
          <w:b/>
          <w:bCs/>
          <w:sz w:val="28"/>
          <w:szCs w:val="28"/>
        </w:rPr>
        <w:t xml:space="preserve"> X-ray Absorption Spectroscopy</w:t>
      </w:r>
    </w:p>
    <w:p w14:paraId="277173D6" w14:textId="77777777" w:rsidR="006B4FDF" w:rsidRDefault="006B4FDF" w:rsidP="00E0716D">
      <w:pPr>
        <w:jc w:val="center"/>
        <w:rPr>
          <w:u w:val="single"/>
        </w:rPr>
      </w:pPr>
    </w:p>
    <w:p w14:paraId="4675924A" w14:textId="087CBFE8" w:rsidR="00325004" w:rsidRDefault="004E5508" w:rsidP="006B381B">
      <w:pPr>
        <w:spacing w:after="120"/>
        <w:jc w:val="center"/>
      </w:pPr>
      <w:proofErr w:type="spellStart"/>
      <w:r>
        <w:rPr>
          <w:u w:val="single"/>
        </w:rPr>
        <w:t>Romualdus</w:t>
      </w:r>
      <w:proofErr w:type="spellEnd"/>
      <w:r>
        <w:rPr>
          <w:u w:val="single"/>
        </w:rPr>
        <w:t xml:space="preserve"> Enggar</w:t>
      </w:r>
      <w:r w:rsidR="00BE27B6">
        <w:rPr>
          <w:u w:val="single"/>
        </w:rPr>
        <w:t xml:space="preserve"> Wibowo</w:t>
      </w:r>
      <w:r w:rsidR="00BE27B6" w:rsidRPr="00BE27B6">
        <w:rPr>
          <w:u w:val="single"/>
          <w:vertAlign w:val="superscript"/>
        </w:rPr>
        <w:t>1</w:t>
      </w:r>
      <w:r w:rsidR="00325004">
        <w:t xml:space="preserve">, </w:t>
      </w:r>
      <w:r w:rsidR="00FD1966">
        <w:t>Luka Jure</w:t>
      </w:r>
      <w:r w:rsidR="00FD1966" w:rsidRPr="00BC794F">
        <w:t>č</w:t>
      </w:r>
      <w:r w:rsidR="00FD1966">
        <w:t>i</w:t>
      </w:r>
      <w:r w:rsidR="00FD1966" w:rsidRPr="00BC794F">
        <w:t>č</w:t>
      </w:r>
      <w:r w:rsidR="00FD1966" w:rsidRPr="00F70EAA">
        <w:rPr>
          <w:vertAlign w:val="superscript"/>
        </w:rPr>
        <w:t>2</w:t>
      </w:r>
      <w:r w:rsidR="00FD1966">
        <w:t xml:space="preserve">, </w:t>
      </w:r>
      <w:r>
        <w:t>Tamino Bosse</w:t>
      </w:r>
      <w:r w:rsidRPr="006B381B">
        <w:rPr>
          <w:vertAlign w:val="superscript"/>
        </w:rPr>
        <w:t>1</w:t>
      </w:r>
      <w:r w:rsidR="000E021A">
        <w:rPr>
          <w:vertAlign w:val="superscript"/>
        </w:rPr>
        <w:t>,</w:t>
      </w:r>
      <w:r w:rsidR="00CC3D20">
        <w:rPr>
          <w:vertAlign w:val="superscript"/>
        </w:rPr>
        <w:t>2</w:t>
      </w:r>
      <w:r>
        <w:t xml:space="preserve">, </w:t>
      </w:r>
      <w:r w:rsidR="00BE27B6" w:rsidRPr="00BE27B6">
        <w:t>Raul Garcia-Diez</w:t>
      </w:r>
      <w:r w:rsidR="00CC3D20">
        <w:rPr>
          <w:vertAlign w:val="superscript"/>
        </w:rPr>
        <w:t>3</w:t>
      </w:r>
      <w:r w:rsidR="007D7BA1" w:rsidRPr="00BE27B6">
        <w:t xml:space="preserve">, </w:t>
      </w:r>
      <w:r>
        <w:t>Mihaela Gorgoi</w:t>
      </w:r>
      <w:proofErr w:type="gramStart"/>
      <w:r w:rsidR="00CC3D20">
        <w:rPr>
          <w:vertAlign w:val="superscript"/>
        </w:rPr>
        <w:t>3</w:t>
      </w:r>
      <w:r w:rsidR="00BE27B6" w:rsidRPr="00BE27B6">
        <w:t xml:space="preserve">, </w:t>
      </w:r>
      <w:r w:rsidR="0059046C">
        <w:t xml:space="preserve"> </w:t>
      </w:r>
      <w:r w:rsidR="00BE27B6" w:rsidRPr="00BE27B6">
        <w:t>Ma</w:t>
      </w:r>
      <w:r w:rsidR="00BC794F">
        <w:t>ilis</w:t>
      </w:r>
      <w:proofErr w:type="gramEnd"/>
      <w:r w:rsidR="00BC794F">
        <w:t xml:space="preserve"> Lounasvu</w:t>
      </w:r>
      <w:r w:rsidR="006A117F">
        <w:t>o</w:t>
      </w:r>
      <w:r w:rsidR="00BC794F">
        <w:t>ri</w:t>
      </w:r>
      <w:r w:rsidR="00BC794F" w:rsidRPr="00CB393B">
        <w:rPr>
          <w:vertAlign w:val="superscript"/>
        </w:rPr>
        <w:t>4</w:t>
      </w:r>
      <w:r w:rsidRPr="006B381B">
        <w:t>,</w:t>
      </w:r>
      <w:r>
        <w:t xml:space="preserve"> Matthew </w:t>
      </w:r>
      <w:r w:rsidR="000E021A">
        <w:t xml:space="preserve">T. </w:t>
      </w:r>
      <w:r>
        <w:t>Mayer</w:t>
      </w:r>
      <w:r w:rsidRPr="006B381B">
        <w:rPr>
          <w:vertAlign w:val="superscript"/>
        </w:rPr>
        <w:t>1</w:t>
      </w:r>
      <w:r w:rsidR="00244CD4">
        <w:rPr>
          <w:vertAlign w:val="superscript"/>
        </w:rPr>
        <w:t>,2</w:t>
      </w:r>
      <w:r w:rsidRPr="006B381B">
        <w:t xml:space="preserve"> </w:t>
      </w:r>
    </w:p>
    <w:p w14:paraId="33D584B2" w14:textId="2DF0321B" w:rsidR="00FE0E2F" w:rsidRPr="00EF5EE7" w:rsidRDefault="000E021A" w:rsidP="00FE0E2F">
      <w:pPr>
        <w:jc w:val="center"/>
        <w:rPr>
          <w:i/>
          <w:lang w:val="de-DE"/>
        </w:rPr>
      </w:pPr>
      <w:r w:rsidRPr="00EF5EE7">
        <w:rPr>
          <w:i/>
          <w:u w:val="single"/>
          <w:vertAlign w:val="superscript"/>
          <w:lang w:val="de-DE"/>
        </w:rPr>
        <w:t>1</w:t>
      </w:r>
      <w:r w:rsidRPr="00EF5EE7">
        <w:rPr>
          <w:i/>
          <w:lang w:val="de-DE"/>
        </w:rPr>
        <w:t xml:space="preserve">Helmholtz </w:t>
      </w:r>
      <w:r w:rsidR="004E5508" w:rsidRPr="00EF5EE7">
        <w:rPr>
          <w:i/>
          <w:lang w:val="de-DE"/>
        </w:rPr>
        <w:t xml:space="preserve">Investigator Group </w:t>
      </w:r>
      <w:proofErr w:type="spellStart"/>
      <w:r w:rsidR="004E5508" w:rsidRPr="00EF5EE7">
        <w:rPr>
          <w:i/>
          <w:lang w:val="de-DE"/>
        </w:rPr>
        <w:t>Electrochemical</w:t>
      </w:r>
      <w:proofErr w:type="spellEnd"/>
      <w:r w:rsidR="004E5508" w:rsidRPr="00EF5EE7">
        <w:rPr>
          <w:i/>
          <w:lang w:val="de-DE"/>
        </w:rPr>
        <w:t xml:space="preserve"> </w:t>
      </w:r>
      <w:proofErr w:type="spellStart"/>
      <w:r w:rsidR="004E5508" w:rsidRPr="00EF5EE7">
        <w:rPr>
          <w:i/>
          <w:lang w:val="de-DE"/>
        </w:rPr>
        <w:t>Conversion</w:t>
      </w:r>
      <w:proofErr w:type="spellEnd"/>
      <w:r w:rsidR="004E5508" w:rsidRPr="00EF5EE7">
        <w:rPr>
          <w:i/>
          <w:lang w:val="de-DE"/>
        </w:rPr>
        <w:t>, Helmholtz-Zentrum</w:t>
      </w:r>
      <w:r w:rsidRPr="00EF5EE7">
        <w:rPr>
          <w:i/>
          <w:lang w:val="de-DE"/>
        </w:rPr>
        <w:t xml:space="preserve"> </w:t>
      </w:r>
      <w:r w:rsidR="004E5508" w:rsidRPr="00EF5EE7">
        <w:rPr>
          <w:i/>
          <w:lang w:val="de-DE"/>
        </w:rPr>
        <w:t xml:space="preserve">Berlin </w:t>
      </w:r>
      <w:proofErr w:type="spellStart"/>
      <w:r w:rsidR="004E5508" w:rsidRPr="00EF5EE7">
        <w:rPr>
          <w:i/>
          <w:lang w:val="de-DE"/>
        </w:rPr>
        <w:t>für</w:t>
      </w:r>
      <w:proofErr w:type="spellEnd"/>
      <w:r w:rsidR="004E5508" w:rsidRPr="00EF5EE7">
        <w:rPr>
          <w:i/>
          <w:lang w:val="de-DE"/>
        </w:rPr>
        <w:t xml:space="preserve"> Materialien und Energie GmbH (HZB), </w:t>
      </w:r>
      <w:r w:rsidR="00FE0E2F" w:rsidRPr="00EF5EE7">
        <w:rPr>
          <w:i/>
          <w:lang w:val="de-DE"/>
        </w:rPr>
        <w:t>Hahn-Meitner-Platz 1,</w:t>
      </w:r>
      <w:r w:rsidR="00540156" w:rsidRPr="00EF5EE7">
        <w:rPr>
          <w:i/>
          <w:lang w:val="de-DE"/>
        </w:rPr>
        <w:t xml:space="preserve"> </w:t>
      </w:r>
      <w:r w:rsidR="004E5508" w:rsidRPr="00EF5EE7">
        <w:rPr>
          <w:i/>
          <w:lang w:val="de-DE"/>
        </w:rPr>
        <w:t>14109</w:t>
      </w:r>
      <w:r w:rsidR="00540156" w:rsidRPr="00EF5EE7">
        <w:rPr>
          <w:i/>
          <w:lang w:val="de-DE"/>
        </w:rPr>
        <w:t xml:space="preserve"> Berlin</w:t>
      </w:r>
      <w:r w:rsidR="004E5508" w:rsidRPr="00EF5EE7">
        <w:rPr>
          <w:i/>
          <w:lang w:val="de-DE"/>
        </w:rPr>
        <w:t>, Germany.</w:t>
      </w:r>
    </w:p>
    <w:p w14:paraId="5E42F5CB" w14:textId="38D16326" w:rsidR="00CC3D20" w:rsidRDefault="00CC3D20" w:rsidP="00CC3D20">
      <w:pPr>
        <w:jc w:val="center"/>
        <w:rPr>
          <w:i/>
          <w:lang w:val="en-GB"/>
        </w:rPr>
      </w:pPr>
      <w:r>
        <w:rPr>
          <w:i/>
          <w:vertAlign w:val="superscript"/>
          <w:lang w:val="en-GB"/>
        </w:rPr>
        <w:t>2</w:t>
      </w:r>
      <w:r w:rsidRPr="004E5508">
        <w:rPr>
          <w:i/>
          <w:lang w:val="en-GB"/>
        </w:rPr>
        <w:t xml:space="preserve">Institute of Chemistry and Biochemistry, Freie Universität Berlin, </w:t>
      </w:r>
      <w:proofErr w:type="spellStart"/>
      <w:r w:rsidRPr="004E5508">
        <w:rPr>
          <w:i/>
          <w:lang w:val="en-GB"/>
        </w:rPr>
        <w:t>Arnimallee</w:t>
      </w:r>
      <w:proofErr w:type="spellEnd"/>
      <w:r w:rsidRPr="004E5508">
        <w:rPr>
          <w:i/>
          <w:lang w:val="en-GB"/>
        </w:rPr>
        <w:t xml:space="preserve"> 20. 14195</w:t>
      </w:r>
      <w:r>
        <w:rPr>
          <w:i/>
          <w:lang w:val="en-GB"/>
        </w:rPr>
        <w:t xml:space="preserve"> Berlin</w:t>
      </w:r>
      <w:r w:rsidRPr="004E5508">
        <w:rPr>
          <w:i/>
          <w:lang w:val="en-GB"/>
        </w:rPr>
        <w:t>, Germany.</w:t>
      </w:r>
    </w:p>
    <w:p w14:paraId="6FBE2607" w14:textId="53D56F29" w:rsidR="004E5508" w:rsidRPr="00CB393B" w:rsidRDefault="00CC3D20" w:rsidP="0024707B">
      <w:pPr>
        <w:jc w:val="center"/>
        <w:rPr>
          <w:i/>
          <w:lang w:val="en-GB"/>
        </w:rPr>
      </w:pPr>
      <w:r w:rsidRPr="00CB393B">
        <w:rPr>
          <w:i/>
          <w:vertAlign w:val="superscript"/>
          <w:lang w:val="en-GB"/>
        </w:rPr>
        <w:t>3</w:t>
      </w:r>
      <w:r w:rsidR="004E5508" w:rsidRPr="00CB393B">
        <w:rPr>
          <w:i/>
          <w:lang w:val="en-GB"/>
        </w:rPr>
        <w:t>Department of Interface Design, HZB, Albert-Einstein-Str. 15, 12489 Berlin, Germany.</w:t>
      </w:r>
    </w:p>
    <w:p w14:paraId="1E041ED3" w14:textId="45953CA4" w:rsidR="004E5508" w:rsidRPr="004E5508" w:rsidRDefault="00CC3D20" w:rsidP="0024707B">
      <w:pPr>
        <w:jc w:val="center"/>
        <w:rPr>
          <w:i/>
          <w:lang w:val="en-GB"/>
        </w:rPr>
      </w:pPr>
      <w:r w:rsidRPr="00CB393B">
        <w:rPr>
          <w:i/>
          <w:vertAlign w:val="superscript"/>
          <w:lang w:val="en-GB"/>
        </w:rPr>
        <w:t>4</w:t>
      </w:r>
      <w:r w:rsidR="0024707B" w:rsidRPr="00715AD0">
        <w:rPr>
          <w:i/>
        </w:rPr>
        <w:t xml:space="preserve">Young Investigator Group Nanoscale Solid-Liquid Interfaces, HZB, </w:t>
      </w:r>
      <w:proofErr w:type="spellStart"/>
      <w:r w:rsidR="0024707B" w:rsidRPr="00715AD0">
        <w:rPr>
          <w:i/>
        </w:rPr>
        <w:t>Schwarzschildstraße</w:t>
      </w:r>
      <w:proofErr w:type="spellEnd"/>
      <w:r w:rsidR="0024707B" w:rsidRPr="00715AD0">
        <w:rPr>
          <w:i/>
        </w:rPr>
        <w:t xml:space="preserve"> 12, 12489 Berlin, Germany.</w:t>
      </w:r>
    </w:p>
    <w:p w14:paraId="62F45EF4" w14:textId="77777777" w:rsidR="00AB6EE1" w:rsidRDefault="00AB6EE1" w:rsidP="0077698A">
      <w:pPr>
        <w:jc w:val="center"/>
        <w:rPr>
          <w:i/>
        </w:rPr>
      </w:pPr>
      <w:hyperlink r:id="rId8" w:history="1">
        <w:r w:rsidRPr="00A60B69">
          <w:rPr>
            <w:rStyle w:val="Hyperlink"/>
            <w:i/>
          </w:rPr>
          <w:t>enggar.wibowo@helmholtz-berlin.de</w:t>
        </w:r>
      </w:hyperlink>
    </w:p>
    <w:p w14:paraId="53EBAD2D" w14:textId="77777777" w:rsidR="006B4FDF" w:rsidRPr="006B4FDF" w:rsidRDefault="006B4FDF" w:rsidP="006B4FDF">
      <w:pPr>
        <w:jc w:val="center"/>
        <w:rPr>
          <w:i/>
        </w:rPr>
      </w:pPr>
      <w:bookmarkStart w:id="0" w:name="_Hlk188882230"/>
    </w:p>
    <w:p w14:paraId="3D4D53BC" w14:textId="464489FD" w:rsidR="0024707B" w:rsidRDefault="0024707B" w:rsidP="0024707B">
      <w:pPr>
        <w:spacing w:after="60"/>
        <w:jc w:val="both"/>
        <w:rPr>
          <w:lang w:val="en-GB"/>
        </w:rPr>
      </w:pPr>
      <w:r w:rsidRPr="00715AD0">
        <w:rPr>
          <w:lang w:val="en-GB"/>
        </w:rPr>
        <w:t>Electrochemically mediated amine regeneration (EMAR) is a</w:t>
      </w:r>
      <w:r w:rsidR="005D0481">
        <w:rPr>
          <w:lang w:val="en-GB"/>
        </w:rPr>
        <w:t xml:space="preserve"> promising </w:t>
      </w:r>
      <w:r w:rsidRPr="00715AD0">
        <w:rPr>
          <w:lang w:val="en-GB"/>
        </w:rPr>
        <w:t>alternative to the amine scrubbing for CO</w:t>
      </w:r>
      <w:r w:rsidRPr="00715AD0">
        <w:rPr>
          <w:vertAlign w:val="subscript"/>
          <w:lang w:val="en-GB"/>
        </w:rPr>
        <w:t>2</w:t>
      </w:r>
      <w:r w:rsidRPr="00715AD0">
        <w:rPr>
          <w:lang w:val="en-GB"/>
        </w:rPr>
        <w:t xml:space="preserve"> capture </w:t>
      </w:r>
      <w:r w:rsidRPr="00715AD0">
        <w:rPr>
          <w:lang w:val="en-GB"/>
        </w:rPr>
        <w:fldChar w:fldCharType="begin"/>
      </w:r>
      <w:r>
        <w:rPr>
          <w:lang w:val="en-GB"/>
        </w:rPr>
        <w:instrText xml:space="preserve"> ADDIN ZOTERO_ITEM CSL_CITATION {"citationID":"fmKGUqCu","properties":{"formattedCitation":"[1,2]","plainCitation":"[1,2]","noteIndex":0},"citationItems":[{"id":1712,"uris":["http://zotero.org/groups/2451090/items/9VMGRLZA"],"itemData":{"id":1712,"type":"article-journal","abstract":"We describe the current status of our research on, and the development of, the Electrochemically Mediated Amine Regeneration (EMAR) process for the capture of CO2 from flue gases. The absorption step in the EMAR process is the same as in the widely used amine process, but the desorption step is accomplished electrochemically as opposed to by a thermal swing used in the amine process. Our laboratory unit has operated continuously for over 200 h, spanning 130 absorption/desorption cycles. We have established an understanding of the thermodynamics of the EMAR process and provided engineering estimates of key features (energetics and sizing) of this technology. The EMAR system does not rely on steam integration, making it a truly plug-and-play unit that can be easily deployed for a range of applications. The EMAR system can also be scaled-down for distributed, modular, and small-scale operations (e.g., stainless steel mini-mills, etc.). Results to date indicate that the EMAR process has the potential to be a viable option for post-combustion CO2 capture.","container-title":"Industrial &amp; Engineering Chemistry Research","DOI":"10.1021/acs.iecr.9b05307","ISSN":"0888-5885","issue":"15","journalAbbreviation":"Ind. Eng. Chem. Res.","page":"7087-7096","source":"ACS Publications","title":"CO2 Capture Using Electrochemically Mediated Amine Regeneration","volume":"59","author":[{"family":"Wang","given":"Miao"},{"family":"Herzog","given":"Howard J."},{"family":"Hatton","given":"T. Alan"}],"issued":{"date-parts":[["2020",4,15]]}}},{"id":1819,"uris":["http://zotero.org/groups/2451090/items/74BNY6I5"],"itemData":{"id":1819,"type":"article-journal","abstract":"Electrochemically mediated sorbent-based carbon capture systems have recently gained attention as an alternative to traditional thermally driven separations. Realizations of such systems typically require a choice between thermodynamically favorable but practically challenging two-stage systems, which combine activation with capture and deactivation with release, or pragmatic but less energy-efficient stepwise four-stage processes decoupling these steps. In this work, we present a thermodynamic assessment of novel multistage systems that are shown to combine the practicality of sequential unit operations with the thermodynamic favorability of concerted operations. A generalized thermodynamic assessment shows that these systems approach the thermodynamic minimum energy of separation in the limit of many stages for an arbitrary sorbent chemistry. Staged desorption is further shown to dramatically decrease the amount of gas in the cell during deactivation, potentially reducing bubble-driven inefficiencies.","container-title":"Industrial &amp; Engineering Chemistry Research","DOI":"10.1021/acs.iecr.4c04812","ISSN":"0888-5885","issue":"11","journalAbbreviation":"Ind. Eng. Chem. Res.","page":"6209-6216","source":"ACS Publications","title":"Thermodynamics of Multistage Electrochemically Mediated Carbon Capture Systems","volume":"64","author":[{"family":"Nitzsche","given":"Michael P."},{"family":"Massen-Hane","given":"Michael"},{"family":"Hatton","given":"T. Alan"}],"issued":{"date-parts":[["2025",3,19]]}}}],"schema":"https://github.com/citation-style-language/schema/raw/master/csl-citation.json"} </w:instrText>
      </w:r>
      <w:r w:rsidRPr="00715AD0">
        <w:rPr>
          <w:lang w:val="en-GB"/>
        </w:rPr>
        <w:fldChar w:fldCharType="separate"/>
      </w:r>
      <w:r w:rsidRPr="0024707B">
        <w:t>[1,2]</w:t>
      </w:r>
      <w:r w:rsidRPr="00715AD0">
        <w:rPr>
          <w:lang w:val="en-GB"/>
        </w:rPr>
        <w:fldChar w:fldCharType="end"/>
      </w:r>
      <w:r w:rsidRPr="00715AD0">
        <w:rPr>
          <w:lang w:val="en-GB"/>
        </w:rPr>
        <w:t xml:space="preserve">. By </w:t>
      </w:r>
      <w:r w:rsidR="00AE19AC">
        <w:rPr>
          <w:lang w:val="en-GB"/>
        </w:rPr>
        <w:t>utilizing</w:t>
      </w:r>
      <w:r w:rsidRPr="00715AD0">
        <w:rPr>
          <w:lang w:val="en-GB"/>
        </w:rPr>
        <w:t xml:space="preserve"> electrochemical processes</w:t>
      </w:r>
      <w:r>
        <w:rPr>
          <w:lang w:val="en-GB"/>
        </w:rPr>
        <w:t xml:space="preserve"> instead of heat</w:t>
      </w:r>
      <w:r w:rsidRPr="00715AD0">
        <w:rPr>
          <w:lang w:val="en-GB"/>
        </w:rPr>
        <w:t xml:space="preserve"> to regenerate amine and release CO</w:t>
      </w:r>
      <w:r w:rsidRPr="00715AD0">
        <w:rPr>
          <w:vertAlign w:val="subscript"/>
          <w:lang w:val="en-GB"/>
        </w:rPr>
        <w:t>2</w:t>
      </w:r>
      <w:r w:rsidRPr="00715AD0">
        <w:rPr>
          <w:lang w:val="en-GB"/>
        </w:rPr>
        <w:t xml:space="preserve">, EMAR </w:t>
      </w:r>
      <w:r w:rsidR="00286DA7">
        <w:rPr>
          <w:lang w:val="en-GB"/>
        </w:rPr>
        <w:t>can be operated</w:t>
      </w:r>
      <w:r w:rsidRPr="00715AD0">
        <w:rPr>
          <w:lang w:val="en-GB"/>
        </w:rPr>
        <w:t xml:space="preserve"> at ambient pressure and room temperature, th</w:t>
      </w:r>
      <w:r w:rsidR="00AE19AC">
        <w:rPr>
          <w:lang w:val="en-GB"/>
        </w:rPr>
        <w:t>us</w:t>
      </w:r>
      <w:r w:rsidRPr="00715AD0">
        <w:rPr>
          <w:lang w:val="en-GB"/>
        </w:rPr>
        <w:t xml:space="preserve"> mitigating the high energy demands and solvent degradation associated with conventional amine scrubbing </w:t>
      </w:r>
      <w:r w:rsidRPr="00715AD0">
        <w:rPr>
          <w:lang w:val="en-GB"/>
        </w:rPr>
        <w:fldChar w:fldCharType="begin"/>
      </w:r>
      <w:r>
        <w:rPr>
          <w:lang w:val="en-GB"/>
        </w:rPr>
        <w:instrText xml:space="preserve"> ADDIN ZOTERO_ITEM CSL_CITATION {"citationID":"Jt9MXQzp","properties":{"formattedCitation":"[3]","plainCitation":"[3]","noteIndex":0},"citationItems":[{"id":1726,"uris":["http://zotero.org/groups/2451090/items/TQMEZZBZ"],"itemData":{"id":1726,"type":"article-journal","abstract":"Amine scrubbing will be an important technology for CO2 capture and storage. The degradation of the amine at 100–150°C limits the maximum T/P and therefore the energy performance of the solvent regeneration. This is a review of the rate, products, and mechanisms of thermal degradation. Primary and secondary ethanolamines and ethylenediamines degrade at 100–130°C as they form cyclic oxazolidinones and ureas. Tertiary amines can be more resistant to degradation if they do not include methyl and ethanol groups. Piperazine structures and long chain diamines such as hexamethylenediamine degrade by ring opening and closing and can be used at 150–160°C. Thermal degradation can produce products that are more volatile than the parent amines.","collection-title":"Nanotechnology ● Separation engineering","container-title":"Current Opinion in Chemical Engineering","DOI":"10.1016/j.coche.2012.02.004","ISSN":"2211-3398","issue":"2","journalAbbreviation":"Current Opinion in Chemical Engineering","page":"183-190","source":"ScienceDirect","title":"Thermal degradation of amines for CO2 capture","volume":"1","author":[{"family":"Rochelle","given":"Gary T"}],"issued":{"date-parts":[["2012",5,1]]}}}],"schema":"https://github.com/citation-style-language/schema/raw/master/csl-citation.json"} </w:instrText>
      </w:r>
      <w:r w:rsidRPr="00715AD0">
        <w:rPr>
          <w:lang w:val="en-GB"/>
        </w:rPr>
        <w:fldChar w:fldCharType="separate"/>
      </w:r>
      <w:r w:rsidRPr="0024707B">
        <w:t>[3]</w:t>
      </w:r>
      <w:r w:rsidRPr="00715AD0">
        <w:rPr>
          <w:lang w:val="en-GB"/>
        </w:rPr>
        <w:fldChar w:fldCharType="end"/>
      </w:r>
      <w:r w:rsidRPr="00715AD0">
        <w:rPr>
          <w:lang w:val="en-GB"/>
        </w:rPr>
        <w:t xml:space="preserve">. </w:t>
      </w:r>
      <w:r w:rsidR="00AE19AC">
        <w:rPr>
          <w:lang w:val="en-GB"/>
        </w:rPr>
        <w:t>Several studies</w:t>
      </w:r>
      <w:r w:rsidRPr="00715AD0">
        <w:rPr>
          <w:lang w:val="en-GB"/>
        </w:rPr>
        <w:t xml:space="preserve"> have been made to improve EMAR performance,</w:t>
      </w:r>
      <w:r w:rsidR="00286DA7">
        <w:rPr>
          <w:lang w:val="en-GB"/>
        </w:rPr>
        <w:t xml:space="preserve"> including advances in</w:t>
      </w:r>
      <w:r w:rsidRPr="00715AD0">
        <w:rPr>
          <w:lang w:val="en-GB"/>
        </w:rPr>
        <w:t xml:space="preserve"> reactor designs, amine blends, and use of surfactants </w:t>
      </w:r>
      <w:r w:rsidRPr="00715AD0">
        <w:rPr>
          <w:lang w:val="en-GB"/>
        </w:rPr>
        <w:fldChar w:fldCharType="begin"/>
      </w:r>
      <w:r>
        <w:rPr>
          <w:lang w:val="en-GB"/>
        </w:rPr>
        <w:instrText xml:space="preserve"> ADDIN ZOTERO_ITEM CSL_CITATION {"citationID":"A7BfeCK0","properties":{"formattedCitation":"[4\\uc0\\u8211{}6]","plainCitation":"[4–6]","noteIndex":0},"citationItems":[{"id":1711,"uris":["http://zotero.org/groups/2451090/items/MXM5IA6C"],"itemData":{"id":1711,"type":"article-journal","abstract":"For the effective reduction of global CO2 emissions, it is essential to develop and deploy efficient and cost-effective technologies for CO2 capture, especially from large point sources. We recently developed an electrochemically mediated amine regeneration (EMAR) system to replace traditional thermal desorption for the capture of CO2 from post-combustion flue gases. Despite EMAR effectiveness on a laboratory scale, concerns regarding the high gas-to-liquid ratio in the electrochemical cell and long-term instability of the electrodes need to be addressed before further scale-up of the process to a pilot plant and beyond can be entertained. Accordingly, we investigated the effect of using sodium dodecyl sulfate (SDS) as an anionic surfactant and dodecyltrimethylammonium bromide (DTAB) as a cationic surfactant on the process operation. It was found that it is advantageous to use an anionic surfactant for a system such as EMAR that contains hydrophilic electrodes and a positively charged electrochemically active species. The overall cell resistance was notably reduced when SDS anionic surfactant was used. The precipitation of copper particles observed in the anode outlet when no surfactant was used was effectively avoided when SDS was added to the electrolyte, resulting in electrode stability. In addition, smaller gas bubbles were produced in the presence of the SDS surfactant, which resulted in less blockage of the electrode by the gas with a resultant lower cell potential under constant current conditions, driving more efficient CO2 desorption. This led to an </w:instrText>
      </w:r>
      <w:r>
        <w:rPr>
          <w:rFonts w:ascii="Cambria Math" w:hAnsi="Cambria Math" w:cs="Cambria Math"/>
          <w:lang w:val="en-GB"/>
        </w:rPr>
        <w:instrText>∼</w:instrText>
      </w:r>
      <w:r>
        <w:rPr>
          <w:lang w:val="en-GB"/>
        </w:rPr>
        <w:instrText xml:space="preserve">25% reduction in the electrochemical energy requirement, the lowest ever achieved experimentally for the EMAR process. Overall, the addition of a very low concentration of SDS resulted in the successful circumvention of the important problems faced by the EMAR system regarding further scale-up.","container-title":"ACS Applied Energy Materials","DOI":"10.1021/acsaem.0c01859","issue":"11","journalAbbreviation":"ACS Appl. Energy Mater.","page":"10823-10830","source":"ACS Publications","title":"Improved CO2 Capture Performance of Electrochemically Mediated Amine Regeneration Processes with Ionic Surfactant Additives","volume":"3","author":[{"family":"Rahimi","given":"Mohammad"},{"family":"Zucchelli","given":"Federico"},{"family":"Puccini","given":"Monica"},{"family":"Alan Hatton","given":"T."}],"issued":{"date-parts":[["2020",11,23]]}}},{"id":1728,"uris":["http://zotero.org/groups/2451090/items/4B3FWRKM"],"itemData":{"id":1728,"type":"article-journal","abstract":"The electrochemically mediated amine regeneration (EMAR) carbon dioxide (CO2) capture process has significant potential in mitigating CO2 emissions. A suitable desorption reactor plays a pivotal role in realizing the efficient utilization of the EMAR technology. This study concentrates on the simulation and improvement of the desorption reactor for the EMAR process. To begin with, a comprehensive multi-physics model was developed to simulate the desorption process within a laboratory flat-plate reactor. The concentration distributions of reactive ions and the effect of CO2 bubbles in the electrolyte were analyzed. Results indicated that shortening electrode length is a practical measure to enhance desorption reactor efficiency. The study also explored the impact of critical operational variables, including electrolyte flow direction, flow rate, copper ions loading, and applied potential. Notably, controlling the applied potential proved highly effective for regulating desorption performance, with optimal adjustment maximizing overall efficiency. Based on these findings and the characteristics of the EMAR process, a novel multi-electrode partitioned EMAR desorption reactor was proposed as an enhancement to the flat-plate reactor. By applying distributed potential, improved desorption performance was obtained, resulting in a 20.05% increase in the CO2 desorption rate with only a 4.04% increase in the unit desorption energy consumption. These findings provide significant insights for optimizing the design and implementation of the EMAR desorption reactor.","container-title":"Applied Energy","DOI":"10.1016/j.apenergy.2024.124287","ISSN":"0306-2619","journalAbbreviation":"Applied Energy","page":"124287","source":"ScienceDirect","title":"Performance enhancement of desorption reactor in the electrochemically mediated amine regeneration CO2 capture process: Thru modelling, simulation, and optimization","title-short":"Performance enhancement of desorption reactor in the electrochemically mediated amine regeneration CO2 capture process","volume":"376","author":[{"family":"Fan","given":"Huifeng"},{"family":"Mao","given":"Yuanhao"},{"family":"Sultan","given":"Sayd"},{"family":"Yu","given":"Yunsong"},{"family":"Wu","given":"Xiaomei"},{"family":"Zhang","given":"Zaoxiao"}],"issued":{"date-parts":[["2024",12,15]]}}},{"id":1715,"uris":["http://zotero.org/groups/2451090/items/UNI745HD"],"itemData":{"id":1715,"type":"article-journal","abstract":"Electrochemically mediated amine regeneration (EMAR) is emerging as a promising electrochemical approach for carbon capture from point sources. In this study, for the first time, the absorbent chemistry of the EMAR process was revived by considering criteria beyond metal-amine complexation. The systematic investigation focused on using second amines, which were previously overlooked in EMAR due to limited metal-amine interaction, despite their proven effectiveness in conventional carbon capture processes. The integration of second amines— monoethanolamine (MEA), aminomethyl propanol (AMP), and methyldiethanolamine (MDEA)—with the benchmark ethylenediamine (EDA) was thoroughly studied, evaluating their impact on absorption and desorption kinetics and capacities, and electrochemical performance. Among the blends, EDA + MDEA emerged as the top performer, particularly excelling in electrochemical aspects. The charge transfer resistance (RCT) of the deposition reaction, as the rate-limiting step, for the EDA + MDEA blend was reduced by 40 % compared to pure EDA, and the heterogeneous electron transfer rate constant (k0) improved threefold. In the bench-scale assessments, the EDA + MDEA blend showed a notable decrease in desorption energetics to 37 kJ/molCO2, marking a 34 % reduction compared to the 56 kJ/molCO2 required for pure EDA. This marks the lowest reported energetics for an EMAR process targeting point source carbon capture. This research paves the way for future systematic investigations of a wider range of amine blends for EMAR and eventually the process implementation at larger scales.","container-title":"Chemical Engineering Journal","DOI":"10.1016/j.cej.2024.149566","ISSN":"1385-8947","journalAbbreviation":"Chemical Engineering Journal","page":"149566","source":"ScienceDirect","title":"Reviving the absorbent chemistry of electrochemically mediated amine regeneration for improved point source carbon capture","volume":"484","author":[{"family":"Hassan","given":"Ahmad"},{"family":"Refaie","given":"Abdelrahman"},{"family":"Aleta","given":"Prince"},{"family":"Afshari","given":"Mohsen"},{"family":"Kalantari","given":"Elmira"},{"family":"Fang","given":"Yuanyuan"},{"family":"Rahimi","given":"M. Mim"}],"issued":{"date-parts":[["2024",3,15]]}}}],"schema":"https://github.com/citation-style-language/schema/raw/master/csl-citation.json"} </w:instrText>
      </w:r>
      <w:r w:rsidRPr="00715AD0">
        <w:rPr>
          <w:lang w:val="en-GB"/>
        </w:rPr>
        <w:fldChar w:fldCharType="separate"/>
      </w:r>
      <w:r w:rsidRPr="0024707B">
        <w:t>[4–6]</w:t>
      </w:r>
      <w:r w:rsidRPr="00715AD0">
        <w:rPr>
          <w:lang w:val="en-GB"/>
        </w:rPr>
        <w:fldChar w:fldCharType="end"/>
      </w:r>
      <w:r w:rsidRPr="00715AD0">
        <w:rPr>
          <w:lang w:val="en-GB"/>
        </w:rPr>
        <w:t xml:space="preserve">. However, </w:t>
      </w:r>
      <w:r w:rsidR="00286DA7">
        <w:rPr>
          <w:lang w:val="en-GB"/>
        </w:rPr>
        <w:t xml:space="preserve">most of </w:t>
      </w:r>
      <w:r w:rsidRPr="00715AD0">
        <w:rPr>
          <w:lang w:val="en-GB"/>
        </w:rPr>
        <w:t>these works have primarily focused on device engineering aspects of EMAR</w:t>
      </w:r>
      <w:r>
        <w:rPr>
          <w:lang w:val="en-GB"/>
        </w:rPr>
        <w:t xml:space="preserve"> cells, while m</w:t>
      </w:r>
      <w:r w:rsidRPr="00B33795">
        <w:rPr>
          <w:lang w:val="en-GB"/>
        </w:rPr>
        <w:t>echanistic understanding of</w:t>
      </w:r>
      <w:r>
        <w:rPr>
          <w:lang w:val="en-GB"/>
        </w:rPr>
        <w:t xml:space="preserve"> the </w:t>
      </w:r>
      <w:r w:rsidRPr="00B33795">
        <w:rPr>
          <w:lang w:val="en-GB"/>
        </w:rPr>
        <w:t>electrode-electrolyte interfacial processes</w:t>
      </w:r>
      <w:r>
        <w:rPr>
          <w:lang w:val="en-GB"/>
        </w:rPr>
        <w:t xml:space="preserve"> </w:t>
      </w:r>
      <w:r w:rsidRPr="00B33795">
        <w:rPr>
          <w:lang w:val="en-GB"/>
        </w:rPr>
        <w:t xml:space="preserve">remains </w:t>
      </w:r>
      <w:r>
        <w:rPr>
          <w:lang w:val="en-GB"/>
        </w:rPr>
        <w:t xml:space="preserve">very </w:t>
      </w:r>
      <w:r w:rsidR="00126ED0">
        <w:rPr>
          <w:lang w:val="en-GB"/>
        </w:rPr>
        <w:t>scarce</w:t>
      </w:r>
      <w:r>
        <w:rPr>
          <w:lang w:val="en-GB"/>
        </w:rPr>
        <w:t xml:space="preserve">, despite its importance for </w:t>
      </w:r>
      <w:r w:rsidRPr="00B33795">
        <w:rPr>
          <w:lang w:val="en-GB"/>
        </w:rPr>
        <w:t xml:space="preserve">rational </w:t>
      </w:r>
      <w:r>
        <w:rPr>
          <w:lang w:val="en-GB"/>
        </w:rPr>
        <w:t>design and optimization of the EMAR system</w:t>
      </w:r>
      <w:r w:rsidRPr="00B33795">
        <w:rPr>
          <w:lang w:val="en-GB"/>
        </w:rPr>
        <w:t>.</w:t>
      </w:r>
      <w:r>
        <w:rPr>
          <w:lang w:val="en-GB"/>
        </w:rPr>
        <w:t xml:space="preserve"> </w:t>
      </w:r>
    </w:p>
    <w:p w14:paraId="5A92245E" w14:textId="258E67D7" w:rsidR="0024707B" w:rsidRDefault="0024707B" w:rsidP="0024707B">
      <w:pPr>
        <w:spacing w:after="60"/>
        <w:jc w:val="both"/>
        <w:rPr>
          <w:lang w:val="en-GB"/>
        </w:rPr>
      </w:pPr>
      <w:r w:rsidRPr="000238A6">
        <w:rPr>
          <w:lang w:val="en-GB"/>
        </w:rPr>
        <w:t xml:space="preserve">Building on </w:t>
      </w:r>
      <w:r w:rsidR="000C40B3">
        <w:rPr>
          <w:lang w:val="en-GB"/>
        </w:rPr>
        <w:t xml:space="preserve">the </w:t>
      </w:r>
      <w:r w:rsidRPr="000238A6">
        <w:rPr>
          <w:lang w:val="en-GB"/>
        </w:rPr>
        <w:t xml:space="preserve">recent </w:t>
      </w:r>
      <w:r w:rsidR="000C40B3">
        <w:rPr>
          <w:lang w:val="en-GB"/>
        </w:rPr>
        <w:t>investigation of</w:t>
      </w:r>
      <w:r w:rsidRPr="000238A6">
        <w:rPr>
          <w:lang w:val="en-GB"/>
        </w:rPr>
        <w:t xml:space="preserve"> anion effects on anodic EMAR interfacial kinetics</w:t>
      </w:r>
      <w:r>
        <w:rPr>
          <w:lang w:val="en-GB"/>
        </w:rPr>
        <w:t xml:space="preserve"> </w:t>
      </w:r>
      <w:r>
        <w:rPr>
          <w:lang w:val="en-GB"/>
        </w:rPr>
        <w:fldChar w:fldCharType="begin"/>
      </w:r>
      <w:r>
        <w:rPr>
          <w:lang w:val="en-GB"/>
        </w:rPr>
        <w:instrText xml:space="preserve"> ADDIN ZOTERO_ITEM CSL_CITATION {"citationID":"6L4aEkM8","properties":{"formattedCitation":"[7]","plainCitation":"[7]","noteIndex":0},"citationItems":[{"id":1901,"uris":["http://zotero.org/groups/2451090/items/4TP8GTVE"],"itemData":{"id":1901,"type":"article-journal","abstract":"Ambient electrochemical CO2 capture powered by renewable energy offers a promising carbon removal route, exemplified by the emerging electrochemically mediated amine regeneration (EMAR) process demonstrated in lab-scale single cells and stacks. However, molecular-level insight into EMAR interfacial kinetics is still missing, particularly at the anode, where CO2 release involves a mechanistically non-trivial re-complexation process at the electrode–electrolyte interface, coupling heterogeneous metal-ion release with bulk complexation. Here, we report the time-resolved characterization of the interfacial molecular processes of the EMAR CO2 release process. Using in situ Fourier-transform infrared (FTIR) spectroscopy and ultraviolet-visible (UV-vis) spectroscopy, cyclic voltammetry, and real-time differential electrochemical mass spectrometry (DEMS), we examine how the nature of the electrolyte anion affects the CO2 release onset potentials. The time-resolved analyses reveal that Cl⁻ ions are more effective in releasing Cu ions and hence CO2 than nitrate or perchlorate. Molecular dynamics simulations show that strong surface Cu–Cl interactions likely facilitate favorable CO2 and carbamate adsorption kinetics. We expect that this study paves the way for broader use of interfacial in-situ analytics in electrified CO2 capture and release.","container-title":"Nature Communications","DOI":"10.1038/s41467-025-67177-7","ISSN":"2041-1723","issue":"1","journalAbbreviation":"Nat Commun","language":"en","license":"2025 The Author(s)","page":"489","publisher":"Nature Publishing Group","source":"www.nature.com","title":"Anion effects govern efficiency of electrochemical amine-mediated CO2 capture/release","volume":"17","author":[{"family":"Liang","given":"Liang"},{"family":"Firschke","given":"Frederik"},{"family":"Wang","given":"Jie"},{"family":"Yang","given":"Li"},{"family":"Wang","given":"Xingli"},{"family":"Ju","given":"Wen"},{"family":"Mayer","given":"Matthew T."},{"family":"Strasser","given":"Peter"}],"issued":{"date-parts":[["2025",12,11]]}}}],"schema":"https://github.com/citation-style-language/schema/raw/master/csl-citation.json"} </w:instrText>
      </w:r>
      <w:r>
        <w:rPr>
          <w:lang w:val="en-GB"/>
        </w:rPr>
        <w:fldChar w:fldCharType="separate"/>
      </w:r>
      <w:r w:rsidRPr="0024707B">
        <w:t>[7]</w:t>
      </w:r>
      <w:r>
        <w:rPr>
          <w:lang w:val="en-GB"/>
        </w:rPr>
        <w:fldChar w:fldCharType="end"/>
      </w:r>
      <w:r>
        <w:rPr>
          <w:lang w:val="en-GB"/>
        </w:rPr>
        <w:t>,</w:t>
      </w:r>
      <w:r w:rsidRPr="000238A6">
        <w:rPr>
          <w:lang w:val="en-GB"/>
        </w:rPr>
        <w:t xml:space="preserve"> we present a comprehensive </w:t>
      </w:r>
      <w:r w:rsidR="00004403">
        <w:rPr>
          <w:lang w:val="en-GB"/>
        </w:rPr>
        <w:t>study</w:t>
      </w:r>
      <w:r w:rsidR="00004403" w:rsidRPr="000238A6">
        <w:rPr>
          <w:lang w:val="en-GB"/>
        </w:rPr>
        <w:t xml:space="preserve"> </w:t>
      </w:r>
      <w:r w:rsidRPr="000238A6">
        <w:rPr>
          <w:lang w:val="en-GB"/>
        </w:rPr>
        <w:t xml:space="preserve">of </w:t>
      </w:r>
      <w:r>
        <w:rPr>
          <w:lang w:val="en-GB"/>
        </w:rPr>
        <w:t>the</w:t>
      </w:r>
      <w:r w:rsidRPr="000238A6">
        <w:rPr>
          <w:lang w:val="en-GB"/>
        </w:rPr>
        <w:t xml:space="preserve"> </w:t>
      </w:r>
      <w:r w:rsidRPr="008F69A8">
        <w:rPr>
          <w:lang w:val="en-GB"/>
        </w:rPr>
        <w:t>influence of electrolyte anions on both cathodic and anodic EMAR processes</w:t>
      </w:r>
      <w:r>
        <w:rPr>
          <w:lang w:val="en-GB"/>
        </w:rPr>
        <w:t xml:space="preserve">, </w:t>
      </w:r>
      <w:r w:rsidRPr="000238A6">
        <w:rPr>
          <w:lang w:val="en-GB"/>
        </w:rPr>
        <w:t xml:space="preserve">under operating conditions relevant </w:t>
      </w:r>
      <w:r>
        <w:rPr>
          <w:lang w:val="en-GB"/>
        </w:rPr>
        <w:t xml:space="preserve">to </w:t>
      </w:r>
      <w:r w:rsidRPr="000238A6">
        <w:rPr>
          <w:lang w:val="en-GB"/>
        </w:rPr>
        <w:t>t</w:t>
      </w:r>
      <w:r>
        <w:rPr>
          <w:lang w:val="en-GB"/>
        </w:rPr>
        <w:t>he EMAR operation. Specifically, we investigate effects of Cl</w:t>
      </w:r>
      <w:r w:rsidRPr="00510CD7">
        <w:rPr>
          <w:vertAlign w:val="superscript"/>
          <w:lang w:val="en-GB"/>
        </w:rPr>
        <w:t>-</w:t>
      </w:r>
      <w:r>
        <w:rPr>
          <w:lang w:val="en-GB"/>
        </w:rPr>
        <w:t>, NO</w:t>
      </w:r>
      <w:r w:rsidRPr="00510CD7">
        <w:rPr>
          <w:vertAlign w:val="subscript"/>
          <w:lang w:val="en-GB"/>
        </w:rPr>
        <w:t>3</w:t>
      </w:r>
      <w:r w:rsidRPr="00510CD7">
        <w:rPr>
          <w:vertAlign w:val="superscript"/>
          <w:lang w:val="en-GB"/>
        </w:rPr>
        <w:t>-</w:t>
      </w:r>
      <w:r>
        <w:rPr>
          <w:lang w:val="en-GB"/>
        </w:rPr>
        <w:t>, and  SO</w:t>
      </w:r>
      <w:r w:rsidRPr="00510CD7">
        <w:rPr>
          <w:vertAlign w:val="subscript"/>
          <w:lang w:val="en-GB"/>
        </w:rPr>
        <w:t>4</w:t>
      </w:r>
      <w:r w:rsidRPr="00510CD7">
        <w:rPr>
          <w:vertAlign w:val="superscript"/>
          <w:lang w:val="en-GB"/>
        </w:rPr>
        <w:t>2-</w:t>
      </w:r>
      <w:r>
        <w:rPr>
          <w:lang w:val="en-GB"/>
        </w:rPr>
        <w:t xml:space="preserve"> under both </w:t>
      </w:r>
      <w:proofErr w:type="spellStart"/>
      <w:r>
        <w:rPr>
          <w:lang w:val="en-GB"/>
        </w:rPr>
        <w:t>potentiodynamic</w:t>
      </w:r>
      <w:proofErr w:type="spellEnd"/>
      <w:r>
        <w:rPr>
          <w:lang w:val="en-GB"/>
        </w:rPr>
        <w:t xml:space="preserve"> and galvanostatic conditions (at current densities ranging from 0.1 – 10 mA cm</w:t>
      </w:r>
      <w:r w:rsidRPr="00510CD7">
        <w:rPr>
          <w:vertAlign w:val="superscript"/>
          <w:lang w:val="en-GB"/>
        </w:rPr>
        <w:t>-2</w:t>
      </w:r>
      <w:r>
        <w:rPr>
          <w:lang w:val="en-GB"/>
        </w:rPr>
        <w:t xml:space="preserve">), using a combination of </w:t>
      </w:r>
      <w:r w:rsidRPr="00510CD7">
        <w:rPr>
          <w:i/>
          <w:iCs/>
          <w:lang w:val="en-GB"/>
        </w:rPr>
        <w:t>in situ</w:t>
      </w:r>
      <w:r>
        <w:rPr>
          <w:lang w:val="en-GB"/>
        </w:rPr>
        <w:t xml:space="preserve"> electrochemical and spectroscopic techniques, including: electrochemical quartz crystal microbalance (</w:t>
      </w:r>
      <w:proofErr w:type="spellStart"/>
      <w:r>
        <w:rPr>
          <w:lang w:val="en-GB"/>
        </w:rPr>
        <w:t>eQCM</w:t>
      </w:r>
      <w:proofErr w:type="spellEnd"/>
      <w:r>
        <w:rPr>
          <w:lang w:val="en-GB"/>
        </w:rPr>
        <w:t xml:space="preserve">), differential electrochemical mass spectrometry (DEMS), and </w:t>
      </w:r>
      <w:r w:rsidRPr="00C35649">
        <w:rPr>
          <w:i/>
          <w:iCs/>
          <w:lang w:val="en-GB"/>
        </w:rPr>
        <w:t xml:space="preserve">in situ </w:t>
      </w:r>
      <w:r>
        <w:rPr>
          <w:lang w:val="en-GB"/>
        </w:rPr>
        <w:t xml:space="preserve">X-ray absorption spectroscopy (XAS) with both soft and hard X-rays. </w:t>
      </w:r>
      <w:proofErr w:type="spellStart"/>
      <w:r>
        <w:rPr>
          <w:lang w:val="en-GB"/>
        </w:rPr>
        <w:t>eQCM</w:t>
      </w:r>
      <w:proofErr w:type="spellEnd"/>
      <w:r>
        <w:rPr>
          <w:lang w:val="en-GB"/>
        </w:rPr>
        <w:t xml:space="preserve"> provides quantitative insights into the cathodic Cu deposition of EMAR system, while DEMS allows monitoring anodic CO</w:t>
      </w:r>
      <w:r w:rsidRPr="003C5FB5">
        <w:rPr>
          <w:vertAlign w:val="subscript"/>
          <w:lang w:val="en-GB"/>
        </w:rPr>
        <w:t>2</w:t>
      </w:r>
      <w:r>
        <w:rPr>
          <w:lang w:val="en-GB"/>
        </w:rPr>
        <w:t xml:space="preserve"> release. </w:t>
      </w:r>
      <w:r w:rsidR="001D3AB7">
        <w:rPr>
          <w:lang w:val="en-GB"/>
        </w:rPr>
        <w:t xml:space="preserve">Both </w:t>
      </w:r>
      <w:r w:rsidR="001D3AB7">
        <w:rPr>
          <w:i/>
          <w:iCs/>
        </w:rPr>
        <w:t>i</w:t>
      </w:r>
      <w:r w:rsidRPr="003C5FB5">
        <w:rPr>
          <w:i/>
          <w:iCs/>
        </w:rPr>
        <w:t>n situ</w:t>
      </w:r>
      <w:r>
        <w:t xml:space="preserve"> </w:t>
      </w:r>
      <w:r w:rsidR="001D3AB7">
        <w:t xml:space="preserve">soft and hard </w:t>
      </w:r>
      <w:r w:rsidR="009A0D31">
        <w:t>XAS were conducted at the O</w:t>
      </w:r>
      <w:r w:rsidR="009A0D31" w:rsidRPr="009A0D31">
        <w:t>Æ</w:t>
      </w:r>
      <w:r w:rsidR="009A0D31">
        <w:t>SE end-station, EMIL beamline, HZB. S</w:t>
      </w:r>
      <w:r w:rsidR="009A0D31">
        <w:t xml:space="preserve">oft </w:t>
      </w:r>
      <w:r>
        <w:t xml:space="preserve">XAS at the Cu </w:t>
      </w:r>
      <w:r w:rsidRPr="003C5FB5">
        <w:rPr>
          <w:i/>
          <w:iCs/>
        </w:rPr>
        <w:t>L</w:t>
      </w:r>
      <w:r w:rsidRPr="003C5FB5">
        <w:rPr>
          <w:vertAlign w:val="subscript"/>
        </w:rPr>
        <w:t>3</w:t>
      </w:r>
      <w:r>
        <w:t>-edge provides insights into the nature of Cu species near the</w:t>
      </w:r>
      <w:r w:rsidRPr="00BE696B">
        <w:rPr>
          <w:lang w:val="en-DE"/>
        </w:rPr>
        <w:t xml:space="preserve"> </w:t>
      </w:r>
      <w:r>
        <w:rPr>
          <w:lang w:val="en-DE"/>
        </w:rPr>
        <w:t>electrode-</w:t>
      </w:r>
      <w:r w:rsidRPr="00BE696B">
        <w:rPr>
          <w:lang w:val="en-DE"/>
        </w:rPr>
        <w:t>electrolyte</w:t>
      </w:r>
      <w:r>
        <w:rPr>
          <w:lang w:val="en-DE"/>
        </w:rPr>
        <w:t xml:space="preserve"> interface</w:t>
      </w:r>
      <w:r w:rsidRPr="00BE696B">
        <w:rPr>
          <w:lang w:val="en-DE"/>
        </w:rPr>
        <w:t>, wh</w:t>
      </w:r>
      <w:r>
        <w:rPr>
          <w:lang w:val="en-DE"/>
        </w:rPr>
        <w:t>ereas</w:t>
      </w:r>
      <w:r w:rsidRPr="00BE696B">
        <w:rPr>
          <w:lang w:val="en-DE"/>
        </w:rPr>
        <w:t xml:space="preserve"> hard XAS at the Cu </w:t>
      </w:r>
      <w:r w:rsidRPr="00BE696B">
        <w:rPr>
          <w:i/>
          <w:iCs/>
          <w:lang w:val="en-DE"/>
        </w:rPr>
        <w:t>K</w:t>
      </w:r>
      <w:r w:rsidRPr="00BE696B">
        <w:rPr>
          <w:lang w:val="en-DE"/>
        </w:rPr>
        <w:t>-edge reveal</w:t>
      </w:r>
      <w:r>
        <w:rPr>
          <w:lang w:val="en-DE"/>
        </w:rPr>
        <w:t>s</w:t>
      </w:r>
      <w:r w:rsidRPr="00BE696B">
        <w:rPr>
          <w:lang w:val="en-DE"/>
        </w:rPr>
        <w:t xml:space="preserve"> the nature of Cu species in the bulk aq. amine solution</w:t>
      </w:r>
      <w:r>
        <w:rPr>
          <w:lang w:val="en-GB"/>
        </w:rPr>
        <w:t>.</w:t>
      </w:r>
    </w:p>
    <w:p w14:paraId="4AECF139" w14:textId="415CA34B" w:rsidR="007B12E7" w:rsidRPr="007B12E7" w:rsidRDefault="001C2C24" w:rsidP="0024707B">
      <w:pPr>
        <w:jc w:val="both"/>
        <w:rPr>
          <w:lang w:val="en-GB"/>
        </w:rPr>
      </w:pPr>
      <w:r>
        <w:rPr>
          <w:lang w:val="en-GB"/>
        </w:rPr>
        <w:t>These r</w:t>
      </w:r>
      <w:r w:rsidR="0024707B">
        <w:rPr>
          <w:lang w:val="en-GB"/>
        </w:rPr>
        <w:t>esults indicate anion-dependent shift in onset potential of both cathodic and anodic EMAR processes, with Cl-containing electrolyte displaying lower overpotentials. However, estimated galvanostatic efficiency displays trends that do not directly correlate with the observed overpotentials. These findings highlight the complex relation between interfacial kinetics and process efficiency, thus accentuating the importance of detailed understanding into processes on the electrode-electrolyte interface for rational optimization</w:t>
      </w:r>
      <w:r w:rsidR="002B2F65">
        <w:rPr>
          <w:lang w:val="en-GB"/>
        </w:rPr>
        <w:t xml:space="preserve"> of EMAR system</w:t>
      </w:r>
      <w:r w:rsidR="000C40B3">
        <w:rPr>
          <w:lang w:val="en-GB"/>
        </w:rPr>
        <w:t xml:space="preserve"> </w:t>
      </w:r>
      <w:r w:rsidR="007E17B7">
        <w:rPr>
          <w:lang w:val="en-GB"/>
        </w:rPr>
        <w:fldChar w:fldCharType="begin"/>
      </w:r>
      <w:r w:rsidR="007E17B7">
        <w:rPr>
          <w:lang w:val="en-GB"/>
        </w:rPr>
        <w:instrText xml:space="preserve"> ADDIN ZOTERO_ITEM CSL_CITATION {"citationID":"acEpmYU9","properties":{"formattedCitation":"[8]","plainCitation":"[8]","noteIndex":0},"citationItems":[{"id":1743,"uris":["http://zotero.org/groups/2451090/items/CV3GFI9G"],"itemData":{"id":1743,"type":"article-journal","title":"Unveiling the Interface Chemistry in Electrochemically Mediated CO2 Capture System Using a Combination of in situ Soft and Hard X-ray Absorption Spectroscopy","author":[{"family":"Wibowo","given":"Romualdus Enggar"},{"family":"Tamino Bosse","given":""},{"family":"Raul Garcia-Diez","given":""},{"family":"Anna Efimenko","given":""},{"family":"Marcus Bär","given":""},{"family":"Matthew Thomas Mayer","given":""}]}}],"schema":"https://github.com/citation-style-language/schema/raw/master/csl-citation.json"} </w:instrText>
      </w:r>
      <w:r w:rsidR="007E17B7">
        <w:rPr>
          <w:lang w:val="en-GB"/>
        </w:rPr>
        <w:fldChar w:fldCharType="separate"/>
      </w:r>
      <w:r w:rsidR="007E17B7" w:rsidRPr="007E17B7">
        <w:t>[8]</w:t>
      </w:r>
      <w:r w:rsidR="007E17B7">
        <w:rPr>
          <w:lang w:val="en-GB"/>
        </w:rPr>
        <w:fldChar w:fldCharType="end"/>
      </w:r>
      <w:r w:rsidR="0024707B">
        <w:rPr>
          <w:lang w:val="en-GB"/>
        </w:rPr>
        <w:t xml:space="preserve">. </w:t>
      </w:r>
    </w:p>
    <w:p w14:paraId="2A48F671" w14:textId="21DCA27D" w:rsidR="00433BCB" w:rsidRDefault="00433BCB" w:rsidP="0024707B">
      <w:pPr>
        <w:spacing w:after="60"/>
        <w:jc w:val="both"/>
        <w:rPr>
          <w:lang w:val="en-GB"/>
        </w:rPr>
      </w:pPr>
    </w:p>
    <w:bookmarkEnd w:id="0"/>
    <w:p w14:paraId="7D809231" w14:textId="13302B1D" w:rsidR="008C1C76" w:rsidRPr="003D5494" w:rsidRDefault="008C1C76" w:rsidP="0030505A">
      <w:pPr>
        <w:spacing w:after="60"/>
        <w:jc w:val="both"/>
        <w:rPr>
          <w:b/>
          <w:bCs/>
          <w:lang w:val="en-GB"/>
        </w:rPr>
      </w:pPr>
      <w:r w:rsidRPr="003D5494">
        <w:rPr>
          <w:b/>
          <w:bCs/>
          <w:lang w:val="en-GB"/>
        </w:rPr>
        <w:t>References:</w:t>
      </w:r>
    </w:p>
    <w:p w14:paraId="2E448BD5" w14:textId="7D55AF40" w:rsidR="007E17B7" w:rsidRPr="009C3BDF" w:rsidRDefault="00197C7E" w:rsidP="007E17B7">
      <w:pPr>
        <w:pStyle w:val="Bibliography"/>
        <w:rPr>
          <w:lang w:val="de-DE"/>
        </w:rPr>
      </w:pPr>
      <w:r>
        <w:rPr>
          <w:lang w:val="en-GB"/>
        </w:rPr>
        <w:fldChar w:fldCharType="begin"/>
      </w:r>
      <w:r w:rsidR="0024707B" w:rsidRPr="009C3BDF">
        <w:rPr>
          <w:lang w:val="de-DE"/>
        </w:rPr>
        <w:instrText xml:space="preserve"> ADDIN ZOTERO_BIBL {"uncited":[],"omitted":[],"custom":[]} CSL_BIBLIOGRAPHY </w:instrText>
      </w:r>
      <w:r>
        <w:rPr>
          <w:lang w:val="en-GB"/>
        </w:rPr>
        <w:fldChar w:fldCharType="separate"/>
      </w:r>
      <w:r w:rsidR="007E17B7" w:rsidRPr="009C3BDF">
        <w:rPr>
          <w:lang w:val="de-DE"/>
        </w:rPr>
        <w:t>[1]</w:t>
      </w:r>
      <w:r w:rsidR="007E17B7" w:rsidRPr="009C3BDF">
        <w:rPr>
          <w:lang w:val="de-DE"/>
        </w:rPr>
        <w:tab/>
        <w:t xml:space="preserve">M. Wang, H.J. Herzog, T.A. Hatton, </w:t>
      </w:r>
      <w:proofErr w:type="spellStart"/>
      <w:r w:rsidR="007E17B7" w:rsidRPr="009C3BDF">
        <w:rPr>
          <w:i/>
          <w:iCs/>
          <w:lang w:val="de-DE"/>
        </w:rPr>
        <w:t>Ind</w:t>
      </w:r>
      <w:proofErr w:type="spellEnd"/>
      <w:r w:rsidR="007E17B7" w:rsidRPr="009C3BDF">
        <w:rPr>
          <w:i/>
          <w:iCs/>
          <w:lang w:val="de-DE"/>
        </w:rPr>
        <w:t>. Eng. Chem. Res.</w:t>
      </w:r>
      <w:r w:rsidR="007E17B7" w:rsidRPr="009C3BDF">
        <w:rPr>
          <w:lang w:val="de-DE"/>
        </w:rPr>
        <w:t xml:space="preserve"> 59 (</w:t>
      </w:r>
      <w:r w:rsidR="007E17B7" w:rsidRPr="009C3BDF">
        <w:rPr>
          <w:b/>
          <w:bCs/>
          <w:lang w:val="de-DE"/>
        </w:rPr>
        <w:t>2020</w:t>
      </w:r>
      <w:r w:rsidR="007E17B7" w:rsidRPr="009C3BDF">
        <w:rPr>
          <w:lang w:val="de-DE"/>
        </w:rPr>
        <w:t>) 7087–7096.</w:t>
      </w:r>
    </w:p>
    <w:p w14:paraId="16B52E7E" w14:textId="30EBF625" w:rsidR="007E17B7" w:rsidRPr="007E17B7" w:rsidRDefault="007E17B7" w:rsidP="007E17B7">
      <w:pPr>
        <w:pStyle w:val="Bibliography"/>
      </w:pPr>
      <w:r w:rsidRPr="009C3BDF">
        <w:rPr>
          <w:lang w:val="de-DE"/>
        </w:rPr>
        <w:t>[2]</w:t>
      </w:r>
      <w:r w:rsidRPr="009C3BDF">
        <w:rPr>
          <w:lang w:val="de-DE"/>
        </w:rPr>
        <w:tab/>
        <w:t>M.P. Nitzsche, M. Massen-</w:t>
      </w:r>
      <w:proofErr w:type="spellStart"/>
      <w:r w:rsidRPr="009C3BDF">
        <w:rPr>
          <w:lang w:val="de-DE"/>
        </w:rPr>
        <w:t>Hane</w:t>
      </w:r>
      <w:proofErr w:type="spellEnd"/>
      <w:r w:rsidRPr="009C3BDF">
        <w:rPr>
          <w:lang w:val="de-DE"/>
        </w:rPr>
        <w:t xml:space="preserve">, T.A. Hatton, </w:t>
      </w:r>
      <w:proofErr w:type="spellStart"/>
      <w:r w:rsidRPr="009C3BDF">
        <w:rPr>
          <w:i/>
          <w:iCs/>
          <w:lang w:val="de-DE"/>
        </w:rPr>
        <w:t>Ind</w:t>
      </w:r>
      <w:proofErr w:type="spellEnd"/>
      <w:r w:rsidRPr="009C3BDF">
        <w:rPr>
          <w:i/>
          <w:iCs/>
          <w:lang w:val="de-DE"/>
        </w:rPr>
        <w:t xml:space="preserve">. Eng. </w:t>
      </w:r>
      <w:r w:rsidRPr="00CB393B">
        <w:rPr>
          <w:i/>
          <w:iCs/>
        </w:rPr>
        <w:t>Chem. Res</w:t>
      </w:r>
      <w:r w:rsidRPr="007E17B7">
        <w:t>. 64 (</w:t>
      </w:r>
      <w:r w:rsidRPr="00CB393B">
        <w:rPr>
          <w:b/>
          <w:bCs/>
        </w:rPr>
        <w:t>2025</w:t>
      </w:r>
      <w:r w:rsidRPr="007E17B7">
        <w:t>) 6209–6216.</w:t>
      </w:r>
    </w:p>
    <w:p w14:paraId="3FC54F85" w14:textId="31D05115" w:rsidR="007E17B7" w:rsidRPr="007E17B7" w:rsidRDefault="007E17B7" w:rsidP="007E17B7">
      <w:pPr>
        <w:pStyle w:val="Bibliography"/>
      </w:pPr>
      <w:r w:rsidRPr="007E17B7">
        <w:t>[3]</w:t>
      </w:r>
      <w:r w:rsidRPr="007E17B7">
        <w:tab/>
        <w:t xml:space="preserve">G.T. Rochelle, </w:t>
      </w:r>
      <w:r w:rsidRPr="00CB393B">
        <w:rPr>
          <w:i/>
          <w:iCs/>
        </w:rPr>
        <w:t>Cur</w:t>
      </w:r>
      <w:r w:rsidR="008E525F">
        <w:rPr>
          <w:i/>
          <w:iCs/>
        </w:rPr>
        <w:t>r.</w:t>
      </w:r>
      <w:r w:rsidRPr="00CB393B">
        <w:rPr>
          <w:i/>
          <w:iCs/>
        </w:rPr>
        <w:t xml:space="preserve"> Opin</w:t>
      </w:r>
      <w:r w:rsidR="008E525F">
        <w:rPr>
          <w:i/>
          <w:iCs/>
        </w:rPr>
        <w:t>.</w:t>
      </w:r>
      <w:r w:rsidRPr="00CB393B">
        <w:rPr>
          <w:i/>
          <w:iCs/>
        </w:rPr>
        <w:t xml:space="preserve"> Chem</w:t>
      </w:r>
      <w:r w:rsidR="008E525F">
        <w:rPr>
          <w:i/>
          <w:iCs/>
        </w:rPr>
        <w:t>.</w:t>
      </w:r>
      <w:r w:rsidRPr="00CB393B">
        <w:rPr>
          <w:i/>
          <w:iCs/>
        </w:rPr>
        <w:t xml:space="preserve"> Eng</w:t>
      </w:r>
      <w:r w:rsidR="008E525F">
        <w:rPr>
          <w:i/>
          <w:iCs/>
        </w:rPr>
        <w:t>.</w:t>
      </w:r>
      <w:r w:rsidRPr="007E17B7">
        <w:t xml:space="preserve"> 1 (</w:t>
      </w:r>
      <w:r w:rsidRPr="00CB393B">
        <w:rPr>
          <w:b/>
          <w:bCs/>
        </w:rPr>
        <w:t>2012</w:t>
      </w:r>
      <w:r w:rsidRPr="007E17B7">
        <w:t>) 183–190.</w:t>
      </w:r>
    </w:p>
    <w:p w14:paraId="0F88808E" w14:textId="6C9BC470" w:rsidR="007E17B7" w:rsidRPr="007E17B7" w:rsidRDefault="007E17B7" w:rsidP="007E17B7">
      <w:pPr>
        <w:pStyle w:val="Bibliography"/>
      </w:pPr>
      <w:r w:rsidRPr="007E17B7">
        <w:t>[4]</w:t>
      </w:r>
      <w:r w:rsidRPr="007E17B7">
        <w:tab/>
        <w:t xml:space="preserve">M. Rahimi, T. </w:t>
      </w:r>
      <w:r w:rsidR="000B4E23">
        <w:t>A.</w:t>
      </w:r>
      <w:r w:rsidRPr="007E17B7">
        <w:t xml:space="preserve"> Hatton, </w:t>
      </w:r>
      <w:r w:rsidRPr="00CB393B">
        <w:rPr>
          <w:i/>
          <w:iCs/>
        </w:rPr>
        <w:t>ACS Appl. Energy Mater</w:t>
      </w:r>
      <w:r w:rsidRPr="007E17B7">
        <w:t>. 3 (</w:t>
      </w:r>
      <w:r w:rsidRPr="00CB393B">
        <w:rPr>
          <w:b/>
          <w:bCs/>
        </w:rPr>
        <w:t>2020</w:t>
      </w:r>
      <w:r w:rsidRPr="007E17B7">
        <w:t>) 10823–10830.</w:t>
      </w:r>
    </w:p>
    <w:p w14:paraId="02B875E5" w14:textId="53D7E9B4" w:rsidR="007E17B7" w:rsidRPr="007E17B7" w:rsidRDefault="007E17B7" w:rsidP="007E17B7">
      <w:pPr>
        <w:pStyle w:val="Bibliography"/>
      </w:pPr>
      <w:r w:rsidRPr="007E17B7">
        <w:t>[5]</w:t>
      </w:r>
      <w:r w:rsidRPr="007E17B7">
        <w:tab/>
        <w:t xml:space="preserve">H. Fan, Z. Zhang, </w:t>
      </w:r>
      <w:r w:rsidR="000B4E23">
        <w:t>et al.</w:t>
      </w:r>
      <w:r w:rsidRPr="007E17B7">
        <w:t xml:space="preserve">, </w:t>
      </w:r>
      <w:r w:rsidRPr="00CB393B">
        <w:rPr>
          <w:i/>
          <w:iCs/>
        </w:rPr>
        <w:t>Applied Energy</w:t>
      </w:r>
      <w:r w:rsidRPr="007E17B7">
        <w:t xml:space="preserve"> 376 (</w:t>
      </w:r>
      <w:r w:rsidRPr="00CB393B">
        <w:rPr>
          <w:b/>
          <w:bCs/>
        </w:rPr>
        <w:t>2024</w:t>
      </w:r>
      <w:r w:rsidRPr="007E17B7">
        <w:t xml:space="preserve">) 124287. </w:t>
      </w:r>
    </w:p>
    <w:p w14:paraId="798F8F68" w14:textId="3747ED58" w:rsidR="007E17B7" w:rsidRPr="00A41FE6" w:rsidRDefault="007E17B7" w:rsidP="007E17B7">
      <w:pPr>
        <w:pStyle w:val="Bibliography"/>
        <w:rPr>
          <w:lang w:val="de-DE"/>
        </w:rPr>
      </w:pPr>
      <w:r w:rsidRPr="00A41FE6">
        <w:rPr>
          <w:lang w:val="de-DE"/>
        </w:rPr>
        <w:t>[6]</w:t>
      </w:r>
      <w:r w:rsidRPr="00A41FE6">
        <w:rPr>
          <w:lang w:val="de-DE"/>
        </w:rPr>
        <w:tab/>
        <w:t>A. Hassan, M.M. Rahimi,</w:t>
      </w:r>
      <w:r w:rsidR="000B4E23" w:rsidRPr="00A41FE6">
        <w:rPr>
          <w:lang w:val="de-DE"/>
        </w:rPr>
        <w:t xml:space="preserve"> et al.</w:t>
      </w:r>
      <w:r w:rsidRPr="00A41FE6">
        <w:rPr>
          <w:lang w:val="de-DE"/>
        </w:rPr>
        <w:t xml:space="preserve">, </w:t>
      </w:r>
      <w:r w:rsidRPr="00A41FE6">
        <w:rPr>
          <w:i/>
          <w:iCs/>
          <w:lang w:val="de-DE"/>
        </w:rPr>
        <w:t>Chem</w:t>
      </w:r>
      <w:r w:rsidR="008E525F" w:rsidRPr="00A41FE6">
        <w:rPr>
          <w:i/>
          <w:iCs/>
          <w:lang w:val="de-DE"/>
        </w:rPr>
        <w:t>.</w:t>
      </w:r>
      <w:r w:rsidRPr="00A41FE6">
        <w:rPr>
          <w:i/>
          <w:iCs/>
          <w:lang w:val="de-DE"/>
        </w:rPr>
        <w:t xml:space="preserve"> Eng</w:t>
      </w:r>
      <w:r w:rsidR="008E525F" w:rsidRPr="00A41FE6">
        <w:rPr>
          <w:i/>
          <w:iCs/>
          <w:lang w:val="de-DE"/>
        </w:rPr>
        <w:t>.</w:t>
      </w:r>
      <w:r w:rsidRPr="00A41FE6">
        <w:rPr>
          <w:i/>
          <w:iCs/>
          <w:lang w:val="de-DE"/>
        </w:rPr>
        <w:t xml:space="preserve"> J</w:t>
      </w:r>
      <w:r w:rsidR="008E525F" w:rsidRPr="00A41FE6">
        <w:rPr>
          <w:i/>
          <w:iCs/>
          <w:lang w:val="de-DE"/>
        </w:rPr>
        <w:t>.</w:t>
      </w:r>
      <w:r w:rsidRPr="00A41FE6">
        <w:rPr>
          <w:lang w:val="de-DE"/>
        </w:rPr>
        <w:t xml:space="preserve"> 484 (2024) 149566.</w:t>
      </w:r>
    </w:p>
    <w:p w14:paraId="137D71FC" w14:textId="3C698DAD" w:rsidR="007E17B7" w:rsidRPr="007E17B7" w:rsidRDefault="007E17B7" w:rsidP="007E17B7">
      <w:pPr>
        <w:pStyle w:val="Bibliography"/>
      </w:pPr>
      <w:r w:rsidRPr="00315292">
        <w:rPr>
          <w:lang w:val="de-DE"/>
        </w:rPr>
        <w:t>[7]</w:t>
      </w:r>
      <w:r w:rsidRPr="00315292">
        <w:rPr>
          <w:lang w:val="de-DE"/>
        </w:rPr>
        <w:tab/>
        <w:t xml:space="preserve">L. Liang, M.T. Mayer, P. Strasser, </w:t>
      </w:r>
      <w:r w:rsidR="000B4E23" w:rsidRPr="00315292">
        <w:rPr>
          <w:lang w:val="de-DE"/>
        </w:rPr>
        <w:t>et al.</w:t>
      </w:r>
      <w:r w:rsidRPr="00315292">
        <w:rPr>
          <w:lang w:val="de-DE"/>
        </w:rPr>
        <w:t xml:space="preserve">, </w:t>
      </w:r>
      <w:r w:rsidRPr="00315292">
        <w:rPr>
          <w:i/>
          <w:iCs/>
          <w:lang w:val="de-DE"/>
        </w:rPr>
        <w:t>Nat</w:t>
      </w:r>
      <w:r w:rsidR="008E525F" w:rsidRPr="00315292">
        <w:rPr>
          <w:i/>
          <w:iCs/>
          <w:lang w:val="de-DE"/>
        </w:rPr>
        <w:t>.</w:t>
      </w:r>
      <w:r w:rsidRPr="00315292">
        <w:rPr>
          <w:i/>
          <w:iCs/>
          <w:lang w:val="de-DE"/>
        </w:rPr>
        <w:t xml:space="preserve"> </w:t>
      </w:r>
      <w:r w:rsidRPr="00CB393B">
        <w:rPr>
          <w:i/>
          <w:iCs/>
        </w:rPr>
        <w:t>Commun</w:t>
      </w:r>
      <w:r w:rsidR="008E525F">
        <w:rPr>
          <w:i/>
          <w:iCs/>
        </w:rPr>
        <w:t>.</w:t>
      </w:r>
      <w:r w:rsidRPr="00CB393B">
        <w:rPr>
          <w:i/>
          <w:iCs/>
        </w:rPr>
        <w:t xml:space="preserve"> 17</w:t>
      </w:r>
      <w:r w:rsidRPr="007E17B7">
        <w:t xml:space="preserve"> (</w:t>
      </w:r>
      <w:r w:rsidRPr="00CB393B">
        <w:rPr>
          <w:b/>
          <w:bCs/>
        </w:rPr>
        <w:t>2025</w:t>
      </w:r>
      <w:r w:rsidRPr="007E17B7">
        <w:t xml:space="preserve">) 489. </w:t>
      </w:r>
    </w:p>
    <w:p w14:paraId="4E8A9C00" w14:textId="1972A359" w:rsidR="007E17B7" w:rsidRPr="007E17B7" w:rsidRDefault="007E17B7" w:rsidP="007E17B7">
      <w:pPr>
        <w:pStyle w:val="Bibliography"/>
      </w:pPr>
      <w:r w:rsidRPr="007E17B7">
        <w:t>[8]</w:t>
      </w:r>
      <w:r w:rsidRPr="007E17B7">
        <w:tab/>
        <w:t>R.E. Wibowo, M</w:t>
      </w:r>
      <w:r>
        <w:t>.</w:t>
      </w:r>
      <w:r w:rsidRPr="007E17B7">
        <w:t>T</w:t>
      </w:r>
      <w:r w:rsidR="000B4E23">
        <w:t>.</w:t>
      </w:r>
      <w:r w:rsidRPr="007E17B7">
        <w:t xml:space="preserve"> Mayer, </w:t>
      </w:r>
      <w:r w:rsidRPr="00CB393B">
        <w:rPr>
          <w:i/>
          <w:iCs/>
        </w:rPr>
        <w:t>in preparation</w:t>
      </w:r>
      <w:r>
        <w:t xml:space="preserve"> (</w:t>
      </w:r>
      <w:r w:rsidRPr="00CB393B">
        <w:rPr>
          <w:b/>
          <w:bCs/>
        </w:rPr>
        <w:t>2026</w:t>
      </w:r>
      <w:r>
        <w:t xml:space="preserve">) </w:t>
      </w:r>
    </w:p>
    <w:p w14:paraId="4F832ABA" w14:textId="3A8D0099" w:rsidR="00197C7E" w:rsidRPr="00AF32BC" w:rsidRDefault="00197C7E" w:rsidP="006B381B">
      <w:pPr>
        <w:spacing w:after="120"/>
        <w:jc w:val="both"/>
        <w:rPr>
          <w:lang w:val="en-GB"/>
        </w:rPr>
      </w:pPr>
      <w:r>
        <w:rPr>
          <w:lang w:val="en-GB"/>
        </w:rPr>
        <w:fldChar w:fldCharType="end"/>
      </w:r>
    </w:p>
    <w:sectPr w:rsidR="00197C7E" w:rsidRPr="00AF32BC" w:rsidSect="00EA28F4">
      <w:footnotePr>
        <w:numRestart w:val="eachSect"/>
      </w:footnotePr>
      <w:endnotePr>
        <w:numFmt w:val="decimal"/>
      </w:endnotePr>
      <w:pgSz w:w="11907" w:h="16840" w:code="9"/>
      <w:pgMar w:top="1701" w:right="1701" w:bottom="1701" w:left="1701" w:header="56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0CC54" w14:textId="77777777" w:rsidR="000B3950" w:rsidRDefault="000B3950" w:rsidP="00CC4173">
      <w:r>
        <w:separator/>
      </w:r>
    </w:p>
  </w:endnote>
  <w:endnote w:type="continuationSeparator" w:id="0">
    <w:p w14:paraId="253FFFFA" w14:textId="77777777" w:rsidR="000B3950" w:rsidRDefault="000B3950" w:rsidP="00CC41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3A0EF" w14:textId="77777777" w:rsidR="000B3950" w:rsidRDefault="000B3950" w:rsidP="00CC4173">
      <w:r>
        <w:separator/>
      </w:r>
    </w:p>
  </w:footnote>
  <w:footnote w:type="continuationSeparator" w:id="0">
    <w:p w14:paraId="28E2E78A" w14:textId="77777777" w:rsidR="000B3950" w:rsidRDefault="000B3950" w:rsidP="00CC41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C621474"/>
    <w:multiLevelType w:val="hybridMultilevel"/>
    <w:tmpl w:val="DA3CE5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909896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004"/>
    <w:rsid w:val="00002B5B"/>
    <w:rsid w:val="000036D0"/>
    <w:rsid w:val="00004403"/>
    <w:rsid w:val="00012A5B"/>
    <w:rsid w:val="000161B3"/>
    <w:rsid w:val="00031AF1"/>
    <w:rsid w:val="0003237B"/>
    <w:rsid w:val="000402BB"/>
    <w:rsid w:val="00041EFD"/>
    <w:rsid w:val="0004549E"/>
    <w:rsid w:val="00053F84"/>
    <w:rsid w:val="0005748D"/>
    <w:rsid w:val="00095AA1"/>
    <w:rsid w:val="000969AE"/>
    <w:rsid w:val="00097FED"/>
    <w:rsid w:val="000A1AEB"/>
    <w:rsid w:val="000B3950"/>
    <w:rsid w:val="000B4E23"/>
    <w:rsid w:val="000C2855"/>
    <w:rsid w:val="000C40B3"/>
    <w:rsid w:val="000D2065"/>
    <w:rsid w:val="000D4EB5"/>
    <w:rsid w:val="000E021A"/>
    <w:rsid w:val="000E3BF0"/>
    <w:rsid w:val="000E6972"/>
    <w:rsid w:val="000F6F3C"/>
    <w:rsid w:val="00121134"/>
    <w:rsid w:val="00126ED0"/>
    <w:rsid w:val="001457D6"/>
    <w:rsid w:val="001501D1"/>
    <w:rsid w:val="00171714"/>
    <w:rsid w:val="00197C7E"/>
    <w:rsid w:val="001A65E0"/>
    <w:rsid w:val="001B5024"/>
    <w:rsid w:val="001B5B5C"/>
    <w:rsid w:val="001C2C24"/>
    <w:rsid w:val="001D3AB7"/>
    <w:rsid w:val="001E3547"/>
    <w:rsid w:val="0022469F"/>
    <w:rsid w:val="00224919"/>
    <w:rsid w:val="00236CE3"/>
    <w:rsid w:val="00244CD4"/>
    <w:rsid w:val="0024707B"/>
    <w:rsid w:val="002632E5"/>
    <w:rsid w:val="002645C5"/>
    <w:rsid w:val="002726DE"/>
    <w:rsid w:val="0028218F"/>
    <w:rsid w:val="00282708"/>
    <w:rsid w:val="00286DA7"/>
    <w:rsid w:val="00287C0A"/>
    <w:rsid w:val="002A1C9B"/>
    <w:rsid w:val="002A3989"/>
    <w:rsid w:val="002A7CFE"/>
    <w:rsid w:val="002B2F65"/>
    <w:rsid w:val="002B68D1"/>
    <w:rsid w:val="002C29A4"/>
    <w:rsid w:val="002C6D28"/>
    <w:rsid w:val="002D7994"/>
    <w:rsid w:val="002E1069"/>
    <w:rsid w:val="002E19AD"/>
    <w:rsid w:val="002E71C2"/>
    <w:rsid w:val="002F5D39"/>
    <w:rsid w:val="002F71D6"/>
    <w:rsid w:val="0030505A"/>
    <w:rsid w:val="00306692"/>
    <w:rsid w:val="003104EF"/>
    <w:rsid w:val="00314476"/>
    <w:rsid w:val="00315292"/>
    <w:rsid w:val="00325004"/>
    <w:rsid w:val="0034223E"/>
    <w:rsid w:val="00350BF3"/>
    <w:rsid w:val="003569D0"/>
    <w:rsid w:val="00356D27"/>
    <w:rsid w:val="00361A66"/>
    <w:rsid w:val="00363A73"/>
    <w:rsid w:val="003658C4"/>
    <w:rsid w:val="00366805"/>
    <w:rsid w:val="00367F07"/>
    <w:rsid w:val="003705DB"/>
    <w:rsid w:val="00371E9B"/>
    <w:rsid w:val="0039522D"/>
    <w:rsid w:val="003A7C52"/>
    <w:rsid w:val="003B2432"/>
    <w:rsid w:val="003C2BDB"/>
    <w:rsid w:val="003C6600"/>
    <w:rsid w:val="003D5494"/>
    <w:rsid w:val="003D7151"/>
    <w:rsid w:val="003E3688"/>
    <w:rsid w:val="003F2D30"/>
    <w:rsid w:val="003F38ED"/>
    <w:rsid w:val="003F3F2D"/>
    <w:rsid w:val="003F4426"/>
    <w:rsid w:val="004069F6"/>
    <w:rsid w:val="00412F4D"/>
    <w:rsid w:val="00427B2E"/>
    <w:rsid w:val="00433BCB"/>
    <w:rsid w:val="00452D32"/>
    <w:rsid w:val="004540CE"/>
    <w:rsid w:val="0045764F"/>
    <w:rsid w:val="00461C39"/>
    <w:rsid w:val="00462EE4"/>
    <w:rsid w:val="004668FD"/>
    <w:rsid w:val="00470FCF"/>
    <w:rsid w:val="00482C15"/>
    <w:rsid w:val="004936A3"/>
    <w:rsid w:val="00495884"/>
    <w:rsid w:val="00497DD0"/>
    <w:rsid w:val="004A2BCC"/>
    <w:rsid w:val="004A648D"/>
    <w:rsid w:val="004B53BA"/>
    <w:rsid w:val="004D6D38"/>
    <w:rsid w:val="004E5508"/>
    <w:rsid w:val="004E6489"/>
    <w:rsid w:val="004F1A25"/>
    <w:rsid w:val="004F1CFC"/>
    <w:rsid w:val="005010CF"/>
    <w:rsid w:val="005029A7"/>
    <w:rsid w:val="00513075"/>
    <w:rsid w:val="005140C1"/>
    <w:rsid w:val="00521AE2"/>
    <w:rsid w:val="005349E6"/>
    <w:rsid w:val="00540156"/>
    <w:rsid w:val="0054630D"/>
    <w:rsid w:val="0059046C"/>
    <w:rsid w:val="00592453"/>
    <w:rsid w:val="00595E94"/>
    <w:rsid w:val="005B69AB"/>
    <w:rsid w:val="005C2A63"/>
    <w:rsid w:val="005D0481"/>
    <w:rsid w:val="005D1131"/>
    <w:rsid w:val="005E339F"/>
    <w:rsid w:val="005E6D3C"/>
    <w:rsid w:val="005F2B51"/>
    <w:rsid w:val="005F7D71"/>
    <w:rsid w:val="00603838"/>
    <w:rsid w:val="00611504"/>
    <w:rsid w:val="00614143"/>
    <w:rsid w:val="00616EB1"/>
    <w:rsid w:val="00617B11"/>
    <w:rsid w:val="006370D6"/>
    <w:rsid w:val="006402B7"/>
    <w:rsid w:val="00640D38"/>
    <w:rsid w:val="00643A6A"/>
    <w:rsid w:val="00643BF2"/>
    <w:rsid w:val="006555AD"/>
    <w:rsid w:val="00660881"/>
    <w:rsid w:val="006705C6"/>
    <w:rsid w:val="00671932"/>
    <w:rsid w:val="00684E12"/>
    <w:rsid w:val="00685C1A"/>
    <w:rsid w:val="00686AAD"/>
    <w:rsid w:val="00690357"/>
    <w:rsid w:val="006924A7"/>
    <w:rsid w:val="00695EBC"/>
    <w:rsid w:val="006A117F"/>
    <w:rsid w:val="006A1897"/>
    <w:rsid w:val="006A39CA"/>
    <w:rsid w:val="006A7D37"/>
    <w:rsid w:val="006B0073"/>
    <w:rsid w:val="006B381B"/>
    <w:rsid w:val="006B4FDF"/>
    <w:rsid w:val="006C5724"/>
    <w:rsid w:val="006D60FB"/>
    <w:rsid w:val="006D7C4F"/>
    <w:rsid w:val="006D7F3D"/>
    <w:rsid w:val="006E0992"/>
    <w:rsid w:val="007001BF"/>
    <w:rsid w:val="007025F8"/>
    <w:rsid w:val="007045B3"/>
    <w:rsid w:val="007057CC"/>
    <w:rsid w:val="00710AD7"/>
    <w:rsid w:val="00720F5A"/>
    <w:rsid w:val="00723C44"/>
    <w:rsid w:val="0072609C"/>
    <w:rsid w:val="00731066"/>
    <w:rsid w:val="00753969"/>
    <w:rsid w:val="00762B9B"/>
    <w:rsid w:val="0077698A"/>
    <w:rsid w:val="007773DC"/>
    <w:rsid w:val="00784080"/>
    <w:rsid w:val="0078691C"/>
    <w:rsid w:val="00790CAA"/>
    <w:rsid w:val="00793C09"/>
    <w:rsid w:val="007B12E7"/>
    <w:rsid w:val="007B20A3"/>
    <w:rsid w:val="007D25E1"/>
    <w:rsid w:val="007D433B"/>
    <w:rsid w:val="007D7BA1"/>
    <w:rsid w:val="007E17B7"/>
    <w:rsid w:val="007F6EB4"/>
    <w:rsid w:val="00812ABF"/>
    <w:rsid w:val="0081510C"/>
    <w:rsid w:val="0081691D"/>
    <w:rsid w:val="0082187A"/>
    <w:rsid w:val="00831F8F"/>
    <w:rsid w:val="00841E7B"/>
    <w:rsid w:val="00853C7A"/>
    <w:rsid w:val="00862C83"/>
    <w:rsid w:val="00870809"/>
    <w:rsid w:val="008713DD"/>
    <w:rsid w:val="0087191D"/>
    <w:rsid w:val="00894A90"/>
    <w:rsid w:val="008A60A8"/>
    <w:rsid w:val="008B040B"/>
    <w:rsid w:val="008B0AB3"/>
    <w:rsid w:val="008C1C76"/>
    <w:rsid w:val="008D0453"/>
    <w:rsid w:val="008E525F"/>
    <w:rsid w:val="008F089A"/>
    <w:rsid w:val="008F6ED1"/>
    <w:rsid w:val="00906817"/>
    <w:rsid w:val="009124BB"/>
    <w:rsid w:val="00925BD3"/>
    <w:rsid w:val="00930CDF"/>
    <w:rsid w:val="0093368E"/>
    <w:rsid w:val="00940354"/>
    <w:rsid w:val="009407D7"/>
    <w:rsid w:val="009462C9"/>
    <w:rsid w:val="00951B72"/>
    <w:rsid w:val="00952560"/>
    <w:rsid w:val="009551DB"/>
    <w:rsid w:val="00957961"/>
    <w:rsid w:val="00961D32"/>
    <w:rsid w:val="00965A66"/>
    <w:rsid w:val="00971979"/>
    <w:rsid w:val="009905DD"/>
    <w:rsid w:val="009910D1"/>
    <w:rsid w:val="009A0D31"/>
    <w:rsid w:val="009A39F1"/>
    <w:rsid w:val="009B515A"/>
    <w:rsid w:val="009B7715"/>
    <w:rsid w:val="009C27C1"/>
    <w:rsid w:val="009C2A53"/>
    <w:rsid w:val="009C3BDF"/>
    <w:rsid w:val="009C511F"/>
    <w:rsid w:val="009D011E"/>
    <w:rsid w:val="009D3611"/>
    <w:rsid w:val="009E4653"/>
    <w:rsid w:val="009E6EBE"/>
    <w:rsid w:val="009F2C6E"/>
    <w:rsid w:val="00A04587"/>
    <w:rsid w:val="00A1402A"/>
    <w:rsid w:val="00A21276"/>
    <w:rsid w:val="00A250DC"/>
    <w:rsid w:val="00A41FE6"/>
    <w:rsid w:val="00A50CA5"/>
    <w:rsid w:val="00A55344"/>
    <w:rsid w:val="00A61B1E"/>
    <w:rsid w:val="00A66B2F"/>
    <w:rsid w:val="00A75223"/>
    <w:rsid w:val="00A812E6"/>
    <w:rsid w:val="00A84ACF"/>
    <w:rsid w:val="00A851C5"/>
    <w:rsid w:val="00A86E4E"/>
    <w:rsid w:val="00AA2531"/>
    <w:rsid w:val="00AA3ED6"/>
    <w:rsid w:val="00AB6EE1"/>
    <w:rsid w:val="00AE19AC"/>
    <w:rsid w:val="00AF2110"/>
    <w:rsid w:val="00AF32BC"/>
    <w:rsid w:val="00AF62A5"/>
    <w:rsid w:val="00B11A46"/>
    <w:rsid w:val="00B4255C"/>
    <w:rsid w:val="00B66833"/>
    <w:rsid w:val="00B7279B"/>
    <w:rsid w:val="00B82CCC"/>
    <w:rsid w:val="00B94BEC"/>
    <w:rsid w:val="00B97923"/>
    <w:rsid w:val="00BB02CD"/>
    <w:rsid w:val="00BB12C9"/>
    <w:rsid w:val="00BC08AA"/>
    <w:rsid w:val="00BC794F"/>
    <w:rsid w:val="00BD11E5"/>
    <w:rsid w:val="00BE27B6"/>
    <w:rsid w:val="00C07EFC"/>
    <w:rsid w:val="00C1005F"/>
    <w:rsid w:val="00C11760"/>
    <w:rsid w:val="00C1260C"/>
    <w:rsid w:val="00C22135"/>
    <w:rsid w:val="00C41598"/>
    <w:rsid w:val="00C55C6B"/>
    <w:rsid w:val="00C56F32"/>
    <w:rsid w:val="00C62DA7"/>
    <w:rsid w:val="00C77FC5"/>
    <w:rsid w:val="00C81637"/>
    <w:rsid w:val="00C84173"/>
    <w:rsid w:val="00C85950"/>
    <w:rsid w:val="00CA1485"/>
    <w:rsid w:val="00CA1AA3"/>
    <w:rsid w:val="00CA49B4"/>
    <w:rsid w:val="00CA639D"/>
    <w:rsid w:val="00CA71A8"/>
    <w:rsid w:val="00CB393B"/>
    <w:rsid w:val="00CB48D6"/>
    <w:rsid w:val="00CC3D20"/>
    <w:rsid w:val="00CC4173"/>
    <w:rsid w:val="00CC5AC5"/>
    <w:rsid w:val="00CD1EEC"/>
    <w:rsid w:val="00CD2321"/>
    <w:rsid w:val="00CD3946"/>
    <w:rsid w:val="00CE33B7"/>
    <w:rsid w:val="00CE70CF"/>
    <w:rsid w:val="00CF28B9"/>
    <w:rsid w:val="00D014B6"/>
    <w:rsid w:val="00D27D7D"/>
    <w:rsid w:val="00D36290"/>
    <w:rsid w:val="00D55BF1"/>
    <w:rsid w:val="00D61E00"/>
    <w:rsid w:val="00D842B1"/>
    <w:rsid w:val="00DC1C5C"/>
    <w:rsid w:val="00DD0D9F"/>
    <w:rsid w:val="00DF3C4D"/>
    <w:rsid w:val="00E0716D"/>
    <w:rsid w:val="00E14CDF"/>
    <w:rsid w:val="00E27436"/>
    <w:rsid w:val="00E36630"/>
    <w:rsid w:val="00E44ED9"/>
    <w:rsid w:val="00E5200A"/>
    <w:rsid w:val="00E6765D"/>
    <w:rsid w:val="00E74CA1"/>
    <w:rsid w:val="00E82435"/>
    <w:rsid w:val="00E841DA"/>
    <w:rsid w:val="00E846EB"/>
    <w:rsid w:val="00E870F9"/>
    <w:rsid w:val="00E8733A"/>
    <w:rsid w:val="00E93995"/>
    <w:rsid w:val="00EA28F4"/>
    <w:rsid w:val="00EA7EE1"/>
    <w:rsid w:val="00EB0DC3"/>
    <w:rsid w:val="00EB2F57"/>
    <w:rsid w:val="00EB4825"/>
    <w:rsid w:val="00EC5F3F"/>
    <w:rsid w:val="00ED0FE6"/>
    <w:rsid w:val="00ED1528"/>
    <w:rsid w:val="00ED1F28"/>
    <w:rsid w:val="00ED53BC"/>
    <w:rsid w:val="00EE3622"/>
    <w:rsid w:val="00EE7CAE"/>
    <w:rsid w:val="00EF5EE7"/>
    <w:rsid w:val="00F01486"/>
    <w:rsid w:val="00F021E5"/>
    <w:rsid w:val="00F03120"/>
    <w:rsid w:val="00F06A62"/>
    <w:rsid w:val="00F15A66"/>
    <w:rsid w:val="00F2122B"/>
    <w:rsid w:val="00F26C1E"/>
    <w:rsid w:val="00F35E18"/>
    <w:rsid w:val="00F44ED9"/>
    <w:rsid w:val="00F53DAF"/>
    <w:rsid w:val="00F619D1"/>
    <w:rsid w:val="00F9194A"/>
    <w:rsid w:val="00F93EFA"/>
    <w:rsid w:val="00F96F5E"/>
    <w:rsid w:val="00F97641"/>
    <w:rsid w:val="00FB0E55"/>
    <w:rsid w:val="00FB3BF3"/>
    <w:rsid w:val="00FC6856"/>
    <w:rsid w:val="00FD0276"/>
    <w:rsid w:val="00FD14F9"/>
    <w:rsid w:val="00FD1966"/>
    <w:rsid w:val="00FD4535"/>
    <w:rsid w:val="00FE0E2F"/>
    <w:rsid w:val="00FE13C2"/>
    <w:rsid w:val="00FE55FB"/>
    <w:rsid w:val="00FF68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F1A0EE"/>
  <w14:defaultImageDpi w14:val="300"/>
  <w15:chartTrackingRefBased/>
  <w15:docId w15:val="{257E4B0F-97FE-49F6-85F8-4BD699FCF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lang w:val="en-US" w:eastAsia="en-US"/>
    </w:rPr>
  </w:style>
  <w:style w:type="paragraph" w:styleId="Heading1">
    <w:name w:val="heading 1"/>
    <w:basedOn w:val="Normal"/>
    <w:next w:val="Normal"/>
    <w:link w:val="Heading1Char"/>
    <w:uiPriority w:val="9"/>
    <w:qFormat/>
    <w:rsid w:val="0039522D"/>
    <w:pPr>
      <w:keepNext/>
      <w:keepLines/>
      <w:widowControl/>
      <w:spacing w:before="240" w:line="259" w:lineRule="auto"/>
      <w:outlineLvl w:val="0"/>
    </w:pPr>
    <w:rPr>
      <w:rFonts w:ascii="Calibri Light" w:hAnsi="Calibri Light"/>
      <w:snapToGrid/>
      <w:color w:val="2E74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9522D"/>
    <w:rPr>
      <w:rFonts w:ascii="Calibri Light" w:hAnsi="Calibri Light"/>
      <w:color w:val="2E74B5"/>
      <w:sz w:val="32"/>
      <w:szCs w:val="32"/>
      <w:lang w:val="en-US" w:eastAsia="en-US"/>
    </w:rPr>
  </w:style>
  <w:style w:type="paragraph" w:styleId="Bibliography">
    <w:name w:val="Bibliography"/>
    <w:basedOn w:val="Normal"/>
    <w:next w:val="Normal"/>
    <w:uiPriority w:val="70"/>
    <w:rsid w:val="0039522D"/>
    <w:pPr>
      <w:tabs>
        <w:tab w:val="left" w:pos="384"/>
      </w:tabs>
      <w:ind w:left="384" w:hanging="384"/>
    </w:pPr>
  </w:style>
  <w:style w:type="character" w:styleId="Hyperlink">
    <w:name w:val="Hyperlink"/>
    <w:uiPriority w:val="99"/>
    <w:unhideWhenUsed/>
    <w:rsid w:val="004B53BA"/>
    <w:rPr>
      <w:color w:val="0563C1"/>
      <w:u w:val="single"/>
    </w:rPr>
  </w:style>
  <w:style w:type="character" w:styleId="CommentReference">
    <w:name w:val="annotation reference"/>
    <w:uiPriority w:val="99"/>
    <w:semiHidden/>
    <w:unhideWhenUsed/>
    <w:rsid w:val="000A1AEB"/>
    <w:rPr>
      <w:sz w:val="16"/>
      <w:szCs w:val="16"/>
    </w:rPr>
  </w:style>
  <w:style w:type="paragraph" w:styleId="CommentText">
    <w:name w:val="annotation text"/>
    <w:basedOn w:val="Normal"/>
    <w:link w:val="CommentTextChar"/>
    <w:uiPriority w:val="99"/>
    <w:unhideWhenUsed/>
    <w:rsid w:val="000A1AEB"/>
  </w:style>
  <w:style w:type="character" w:customStyle="1" w:styleId="CommentTextChar">
    <w:name w:val="Comment Text Char"/>
    <w:link w:val="CommentText"/>
    <w:uiPriority w:val="99"/>
    <w:rsid w:val="000A1AEB"/>
    <w:rPr>
      <w:snapToGrid w:val="0"/>
    </w:rPr>
  </w:style>
  <w:style w:type="paragraph" w:styleId="CommentSubject">
    <w:name w:val="annotation subject"/>
    <w:basedOn w:val="CommentText"/>
    <w:next w:val="CommentText"/>
    <w:link w:val="CommentSubjectChar"/>
    <w:uiPriority w:val="99"/>
    <w:semiHidden/>
    <w:unhideWhenUsed/>
    <w:rsid w:val="000A1AEB"/>
    <w:rPr>
      <w:b/>
      <w:bCs/>
    </w:rPr>
  </w:style>
  <w:style w:type="character" w:customStyle="1" w:styleId="CommentSubjectChar">
    <w:name w:val="Comment Subject Char"/>
    <w:link w:val="CommentSubject"/>
    <w:uiPriority w:val="99"/>
    <w:semiHidden/>
    <w:rsid w:val="000A1AEB"/>
    <w:rPr>
      <w:b/>
      <w:bCs/>
      <w:snapToGrid w:val="0"/>
    </w:rPr>
  </w:style>
  <w:style w:type="paragraph" w:styleId="BalloonText">
    <w:name w:val="Balloon Text"/>
    <w:basedOn w:val="Normal"/>
    <w:link w:val="BalloonTextChar"/>
    <w:uiPriority w:val="99"/>
    <w:semiHidden/>
    <w:unhideWhenUsed/>
    <w:rsid w:val="000A1AEB"/>
    <w:rPr>
      <w:rFonts w:ascii="Segoe UI" w:hAnsi="Segoe UI" w:cs="Segoe UI"/>
      <w:sz w:val="18"/>
      <w:szCs w:val="18"/>
    </w:rPr>
  </w:style>
  <w:style w:type="character" w:customStyle="1" w:styleId="BalloonTextChar">
    <w:name w:val="Balloon Text Char"/>
    <w:link w:val="BalloonText"/>
    <w:uiPriority w:val="99"/>
    <w:semiHidden/>
    <w:rsid w:val="000A1AEB"/>
    <w:rPr>
      <w:rFonts w:ascii="Segoe UI" w:hAnsi="Segoe UI" w:cs="Segoe UI"/>
      <w:snapToGrid w:val="0"/>
      <w:sz w:val="18"/>
      <w:szCs w:val="18"/>
    </w:rPr>
  </w:style>
  <w:style w:type="paragraph" w:styleId="EndnoteText">
    <w:name w:val="endnote text"/>
    <w:basedOn w:val="Normal"/>
    <w:link w:val="EndnoteTextChar"/>
    <w:uiPriority w:val="99"/>
    <w:semiHidden/>
    <w:unhideWhenUsed/>
    <w:rsid w:val="00CC4173"/>
  </w:style>
  <w:style w:type="character" w:customStyle="1" w:styleId="EndnoteTextChar">
    <w:name w:val="Endnote Text Char"/>
    <w:link w:val="EndnoteText"/>
    <w:uiPriority w:val="99"/>
    <w:semiHidden/>
    <w:rsid w:val="00CC4173"/>
    <w:rPr>
      <w:snapToGrid w:val="0"/>
      <w:lang w:val="en-US" w:eastAsia="en-US"/>
    </w:rPr>
  </w:style>
  <w:style w:type="character" w:styleId="EndnoteReference">
    <w:name w:val="endnote reference"/>
    <w:uiPriority w:val="99"/>
    <w:semiHidden/>
    <w:unhideWhenUsed/>
    <w:rsid w:val="00CC4173"/>
    <w:rPr>
      <w:vertAlign w:val="superscript"/>
    </w:rPr>
  </w:style>
  <w:style w:type="paragraph" w:styleId="FootnoteText">
    <w:name w:val="footnote text"/>
    <w:basedOn w:val="Normal"/>
    <w:link w:val="FootnoteTextChar"/>
    <w:uiPriority w:val="99"/>
    <w:semiHidden/>
    <w:unhideWhenUsed/>
    <w:rsid w:val="00B94BEC"/>
  </w:style>
  <w:style w:type="character" w:customStyle="1" w:styleId="FootnoteTextChar">
    <w:name w:val="Footnote Text Char"/>
    <w:link w:val="FootnoteText"/>
    <w:uiPriority w:val="99"/>
    <w:semiHidden/>
    <w:rsid w:val="00B94BEC"/>
    <w:rPr>
      <w:snapToGrid w:val="0"/>
      <w:lang w:val="en-US" w:eastAsia="en-US"/>
    </w:rPr>
  </w:style>
  <w:style w:type="character" w:styleId="FootnoteReference">
    <w:name w:val="footnote reference"/>
    <w:uiPriority w:val="99"/>
    <w:semiHidden/>
    <w:unhideWhenUsed/>
    <w:rsid w:val="00B94BEC"/>
    <w:rPr>
      <w:vertAlign w:val="superscript"/>
    </w:rPr>
  </w:style>
  <w:style w:type="paragraph" w:styleId="Caption">
    <w:name w:val="caption"/>
    <w:basedOn w:val="Normal"/>
    <w:next w:val="Normal"/>
    <w:uiPriority w:val="35"/>
    <w:unhideWhenUsed/>
    <w:qFormat/>
    <w:rsid w:val="0022469F"/>
    <w:rPr>
      <w:b/>
      <w:bCs/>
    </w:rPr>
  </w:style>
  <w:style w:type="paragraph" w:styleId="Revision">
    <w:name w:val="Revision"/>
    <w:hidden/>
    <w:uiPriority w:val="71"/>
    <w:rsid w:val="003C2BDB"/>
    <w:rPr>
      <w:snapToGrid w:val="0"/>
      <w:lang w:val="en-US" w:eastAsia="en-US"/>
    </w:rPr>
  </w:style>
  <w:style w:type="paragraph" w:styleId="ListParagraph">
    <w:name w:val="List Paragraph"/>
    <w:basedOn w:val="Normal"/>
    <w:uiPriority w:val="72"/>
    <w:qFormat/>
    <w:rsid w:val="00F15A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43283">
      <w:bodyDiv w:val="1"/>
      <w:marLeft w:val="0"/>
      <w:marRight w:val="0"/>
      <w:marTop w:val="0"/>
      <w:marBottom w:val="0"/>
      <w:divBdr>
        <w:top w:val="none" w:sz="0" w:space="0" w:color="auto"/>
        <w:left w:val="none" w:sz="0" w:space="0" w:color="auto"/>
        <w:bottom w:val="none" w:sz="0" w:space="0" w:color="auto"/>
        <w:right w:val="none" w:sz="0" w:space="0" w:color="auto"/>
      </w:divBdr>
    </w:div>
    <w:div w:id="1303854052">
      <w:bodyDiv w:val="1"/>
      <w:marLeft w:val="0"/>
      <w:marRight w:val="0"/>
      <w:marTop w:val="0"/>
      <w:marBottom w:val="0"/>
      <w:divBdr>
        <w:top w:val="none" w:sz="0" w:space="0" w:color="auto"/>
        <w:left w:val="none" w:sz="0" w:space="0" w:color="auto"/>
        <w:bottom w:val="none" w:sz="0" w:space="0" w:color="auto"/>
        <w:right w:val="none" w:sz="0" w:space="0" w:color="auto"/>
      </w:divBdr>
    </w:div>
    <w:div w:id="1990093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nggar.wibowo@helmholtz-berlin.d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b:Source>
    <b:Tag>HeQ10</b:Tag>
    <b:SourceType>JournalArticle</b:SourceType>
    <b:Guid>{6C14CAC0-CD4E-481B-9C79-D4920A147D55}</b:Guid>
    <b:Author>
      <b:Author>
        <b:NameList>
          <b:Person>
            <b:Last>He</b:Last>
            <b:First>Qinggang</b:First>
          </b:Person>
          <b:Person>
            <b:Last>Yang</b:Last>
            <b:First>Xiaofang</b:First>
          </b:Person>
          <b:Person>
            <b:Last>Chen</b:Last>
            <b:First>b</b:First>
            <b:Middle>Wei</b:Middle>
          </b:Person>
          <b:Person>
            <b:Last>Mukerjee</b:Last>
            <b:First>Sanjeev</b:First>
          </b:Person>
          <b:Person>
            <b:Last>Koelb</b:Last>
            <b:First>Bruce</b:First>
          </b:Person>
          <b:Person>
            <b:Last>Chen</b:Last>
            <b:First>Shaowei</b:First>
          </b:Person>
        </b:NameList>
      </b:Author>
    </b:Author>
    <b:Title>Influence of phosphate anion adsorption on the kinetics of oxygen electroreduction on low index Pt(hkl) single crystals</b:Title>
    <b:Year>2010</b:Year>
    <b:Publisher>Physical Chemistry Chemical Physics</b:Publisher>
    <b:JournalName>Physical Chemistry Chemical Physics</b:JournalName>
    <b:Pages>12544–12555</b:Pages>
    <b:Volume>12</b:Volume>
    <b:RefOrder>1</b:RefOrder>
  </b:Source>
  <b:Source>
    <b:Tag>Amr13</b:Tag>
    <b:SourceType>JournalArticle</b:SourceType>
    <b:Guid>{3E603ACE-8EC7-43AC-99DA-B29CC064C75A}</b:Guid>
    <b:Author>
      <b:Author>
        <b:NameList>
          <b:Person>
            <b:Last>Chandan</b:Last>
            <b:First>Amrit</b:First>
          </b:Person>
          <b:Person>
            <b:Last>Hattenberger</b:Last>
            <b:First>Mariska</b:First>
          </b:Person>
          <b:Person>
            <b:Last>El-kharouf</b:Last>
            <b:First>Ahmad</b:First>
          </b:Person>
          <b:Person>
            <b:Last>Shangfeng Du</b:Last>
            <b:First>Aman</b:First>
            <b:Middle>Dhir</b:Middle>
          </b:Person>
          <b:Person>
            <b:Last>Self</b:Last>
            <b:First>Valerie</b:First>
          </b:Person>
        </b:NameList>
      </b:Author>
    </b:Author>
    <b:JournalName>Journal of Power Sources</b:JournalName>
    <b:Year>2013</b:Year>
    <b:Pages>264-278</b:Pages>
    <b:Volume>231</b:Volume>
    <b:Title>High temperature (HT) polymer electrolyte membrane fuel cells</b:Title>
    <b:RefOrder>2</b:RefOrder>
  </b:Source>
  <b:Source>
    <b:Tag>Dev08</b:Tag>
    <b:SourceType>JournalArticle</b:SourceType>
    <b:Guid>{D9ED4BFA-B4DC-4539-B8C3-C83F77AB2CF2}</b:Guid>
    <b:Author>
      <b:Author>
        <b:NameList>
          <b:Person>
            <b:Last>Devanathan</b:Last>
            <b:First>R.</b:First>
          </b:Person>
        </b:NameList>
      </b:Author>
    </b:Author>
    <b:Title>Recent developments in proton exchange membranes for fuel cells </b:Title>
    <b:JournalName>Energy &amp; Environmental Science</b:JournalName>
    <b:Year>2008</b:Year>
    <b:Pages>101-119</b:Pages>
    <b:Volume>1</b:Volume>
    <b:RefOrder>3</b:RefOrder>
  </b:Source>
  <b:Source>
    <b:Tag>Jag07</b:Tag>
    <b:SourceType>JournalArticle</b:SourceType>
    <b:Guid>{2794784B-339A-4CB4-B481-0FBF88971C3F}</b:Guid>
    <b:Author>
      <b:Author>
        <b:NameList>
          <b:Person>
            <b:Last>Jagur-Grodizinski</b:Last>
            <b:First>J</b:First>
          </b:Person>
        </b:NameList>
      </b:Author>
    </b:Author>
    <b:Title>Polymeric materials for fuel cells: concise review of recent studies</b:Title>
    <b:JournalName>Polymers for Advanced Technologies</b:JournalName>
    <b:Year>2007</b:Year>
    <b:Volume>18</b:Volume>
    <b:RefOrder>4</b:RefOrder>
  </b:Source>
  <b:Source>
    <b:Tag>Nob94</b:Tag>
    <b:SourceType>JournalArticle</b:SourceType>
    <b:Guid>{3462274E-B14D-40CF-A90F-14F52533475E}</b:Guid>
    <b:Author>
      <b:Author>
        <b:NameList>
          <b:Person>
            <b:Last>Sugishima</b:Last>
            <b:First>Noboru</b:First>
          </b:Person>
          <b:Person>
            <b:Last>Hinatsu</b:Last>
            <b:First>James</b:First>
            <b:Middle>T.</b:Middle>
          </b:Person>
          <b:Person>
            <b:Last>Foulkes</b:Last>
            <b:First>Frank</b:First>
            <b:Middle>R.</b:Middle>
          </b:Person>
        </b:NameList>
      </b:Author>
    </b:Author>
    <b:Title>Phosphorous Acid Impurities in Phosphoric Acid Fuel Cells Electrolyte I. Voltammetric Study of Impurity Formation</b:Title>
    <b:JournalName>J. Electrochem. Soc.</b:JournalName>
    <b:Year>1994</b:Year>
    <b:Volume>141</b:Volume>
    <b:Issue>12</b:Issue>
    <b:RefOrder>5</b:RefOrder>
  </b:Source>
  <b:Source>
    <b:Tag>Nob941</b:Tag>
    <b:SourceType>JournalArticle</b:SourceType>
    <b:Guid>{544FF537-0F9E-41E4-A8E2-D254718662AE}</b:Guid>
    <b:Author>
      <b:Author>
        <b:NameList>
          <b:Person>
            <b:Last>Sugishima</b:Last>
            <b:First>Noboru</b:First>
          </b:Person>
          <b:Person>
            <b:Last>Hinatsu</b:Last>
            <b:First>James</b:First>
            <b:Middle>T.</b:Middle>
          </b:Person>
          <b:Person>
            <b:Last>Foulkes</b:Last>
            <b:First>Frank</b:First>
            <b:Middle>R.</b:Middle>
          </b:Person>
        </b:NameList>
      </b:Author>
    </b:Author>
    <b:Title>Phosphorus Acid Impurities in Phosphoric Acid Fuel Cell Electrolytes II. Effects on the Oxygen Reduction Reaction at Platinum Electrodes</b:Title>
    <b:JournalName>J. Electrochem. Soc.</b:JournalName>
    <b:Year>1994</b:Year>
    <b:Volume>141</b:Volume>
    <b:Issue>12</b:Issue>
    <b:RefOrder>6</b:RefOrder>
  </b:Source>
  <b:Source>
    <b:Tag>She92</b:Tag>
    <b:SourceType>JournalArticle</b:SourceType>
    <b:Guid>{D50CBAC5-C9F3-48B6-BCC4-57FE543DF7ED}</b:Guid>
    <b:Author>
      <b:Author>
        <b:NameList>
          <b:Person>
            <b:Last>Ye</b:Last>
            <b:First>Shen</b:First>
          </b:Person>
          <b:Person>
            <b:Last>Kita</b:Last>
            <b:First>Hiroaki</b:First>
          </b:Person>
        </b:NameList>
      </b:Author>
    </b:Author>
    <b:Title>Hydrogen and anion adsorption at platinum single crystal electrodes in phosphate solutions over a wide range of pH</b:Title>
    <b:JournalName>J. Electroanal. Chem.</b:JournalName>
    <b:Year>1992</b:Year>
    <b:Pages>299-312</b:Pages>
    <b:Volume>333</b:Volume>
    <b:RefOrder>7</b:RefOrder>
  </b:Source>
  <b:Source>
    <b:Tag>Qin13</b:Tag>
    <b:SourceType>JournalArticle</b:SourceType>
    <b:Guid>{4FBD81CB-C6AE-41FD-99AF-139DE1064528}</b:Guid>
    <b:Author>
      <b:Author>
        <b:NameList>
          <b:Person>
            <b:Last>He</b:Last>
            <b:First>Qinggang</b:First>
          </b:Person>
          <b:Person>
            <b:Last>Shyam</b:Last>
            <b:First>Badri</b:First>
          </b:Person>
          <b:Person>
            <b:Last>Nishijima</b:Last>
            <b:First>Masahiko</b:First>
          </b:Person>
          <b:Person>
            <b:Last>Ramaker</b:Last>
            <b:First>David</b:First>
          </b:Person>
          <b:Person>
            <b:Last>Mukerjee</b:Last>
            <b:First>Sanjeev</b:First>
          </b:Person>
        </b:NameList>
      </b:Author>
    </b:Author>
    <b:Title>Mitigating Phosphate Anion Poisoning of Cathodic Pt/C Catalysts in Phosphoric Acid Fuel Cells</b:Title>
    <b:JournalName>J. Phys. Chem. C</b:JournalName>
    <b:Year>2013</b:Year>
    <b:Pages>4877-4887</b:Pages>
    <b:Volume>117</b:Volume>
    <b:RefOrder>8</b:RefOrder>
  </b:Source>
  <b:Source>
    <b:Tag>Tan99</b:Tag>
    <b:SourceType>JournalArticle</b:SourceType>
    <b:Guid>{6D861CF4-85E0-48EC-AB6A-D700782778D5}</b:Guid>
    <b:Author>
      <b:Author>
        <b:NameList>
          <b:Person>
            <b:Last>Tanaka</b:Last>
            <b:First>A</b:First>
          </b:Person>
          <b:Person>
            <b:Last>R</b:Last>
            <b:First>Adzik</b:First>
          </b:Person>
          <b:Person>
            <b:Last>Nikolic</b:Last>
            <b:First>B.</b:First>
          </b:Person>
        </b:NameList>
      </b:Author>
    </b:Author>
    <b:Title>Oxygen reduction on single crystal platinum electrodes in phosphoric acid solutions</b:Title>
    <b:JournalName>J. Serb. Chem. Soc</b:JournalName>
    <b:Year>1999</b:Year>
    <b:Pages>695-705</b:Pages>
    <b:Volume>64</b:Volume>
    <b:Issue>11</b:Issue>
    <b:RefOrder>9</b:RefOrder>
  </b:Source>
  <b:Source>
    <b:Tag>MPr19</b:Tag>
    <b:SourceType>JournalArticle</b:SourceType>
    <b:Guid>{4D22AC9D-E226-4E54-BEFF-C763ECF2BD7F}</b:Guid>
    <b:Author>
      <b:Author>
        <b:NameList>
          <b:Person>
            <b:Last>Prokop</b:Last>
            <b:First>M.</b:First>
          </b:Person>
          <b:Person>
            <b:Last>Kodym</b:Last>
            <b:First>R.</b:First>
          </b:Person>
          <b:Person>
            <b:Last>Bystron</b:Last>
            <b:First>T.</b:First>
          </b:Person>
          <b:Person>
            <b:Last>Paidar</b:Last>
            <b:First>M.</b:First>
          </b:Person>
          <b:Person>
            <b:Last>Bouzek</b:Last>
            <b:First>K.</b:First>
          </b:Person>
        </b:NameList>
      </b:Author>
    </b:Author>
    <b:Title>Degradation kinetics of Pt during high-temperature PEM fuel cell operation part I: Kinetics of Pt surface oxidation and dissolution in concentrated H3PO4 electrolyte at elevated temperatures</b:Title>
    <b:JournalName>Electrochimica Acta</b:JournalName>
    <b:Year>2019</b:Year>
    <b:Pages>352-366</b:Pages>
    <b:Volume>313</b:Volume>
    <b:RefOrder>10</b:RefOrder>
  </b:Source>
  <b:Source>
    <b:Tag>Seb13</b:Tag>
    <b:SourceType>JournalArticle</b:SourceType>
    <b:Guid>{B34B1D2F-D149-4B05-AAE9-B2520A96632B}</b:Guid>
    <b:Author>
      <b:Author>
        <b:NameList>
          <b:Person>
            <b:Last>Kaserer</b:Last>
            <b:First>Sebastian</b:First>
          </b:Person>
          <b:Person>
            <b:Last>Caldwell</b:Last>
            <b:First>Keegan</b:First>
            <b:Middle>M.</b:Middle>
          </b:Person>
          <b:Person>
            <b:Last>Ramaker</b:Last>
            <b:First>David</b:First>
            <b:Middle>E.</b:Middle>
          </b:Person>
          <b:Person>
            <b:Last>Roth</b:Last>
            <b:First>Christina</b:First>
          </b:Person>
        </b:NameList>
      </b:Author>
    </b:Author>
    <b:Title>Analyzing the Influence of H3PO4 as Catalyst Poison in High Temperature PEM Fuel Cells Using in-operando X‑ray Absorption Spectroscopy</b:Title>
    <b:JournalName>J. Phys. Chem. C</b:JournalName>
    <b:Year>2013</b:Year>
    <b:Pages>6210-6217</b:Pages>
    <b:Volume>117</b:Volume>
    <b:RefOrder>11</b:RefOrder>
  </b:Source>
  <b:Source>
    <b:Tag>Pro16</b:Tag>
    <b:SourceType>JournalArticle</b:SourceType>
    <b:Guid>{C4A587EF-1490-4A8C-AA53-9C4BBCFBB4A7}</b:Guid>
    <b:Author>
      <b:Author>
        <b:NameList>
          <b:Person>
            <b:Last>Prokop</b:Last>
            <b:First>M</b:First>
          </b:Person>
          <b:Person>
            <b:Last>Paidar</b:Last>
            <b:First>M</b:First>
          </b:Person>
          <b:Person>
            <b:Last>Bouzek</b:Last>
            <b:First>K</b:First>
          </b:Person>
        </b:NameList>
      </b:Author>
    </b:Author>
    <b:Title>H3PO3 electrochemical behaviour on a bulk Pt electrode: adsorption and oxidation kinetics</b:Title>
    <b:JournalName>Electrochimica Acta</b:JournalName>
    <b:Year>2016</b:Year>
    <b:Pages>465-472</b:Pages>
    <b:Volume>212</b:Volume>
    <b:RefOrder>12</b:RefOrder>
  </b:Source>
  <b:Source>
    <b:Tag>MPr15</b:Tag>
    <b:SourceType>JournalArticle</b:SourceType>
    <b:Guid>{913946D6-BCBF-4808-8EDF-6B50418EA403}</b:Guid>
    <b:Author>
      <b:Author>
        <b:NameList>
          <b:Person>
            <b:Last>Prokop</b:Last>
            <b:First>M.</b:First>
          </b:Person>
          <b:Person>
            <b:Last>Bystron</b:Last>
            <b:First>T.</b:First>
          </b:Person>
          <b:Person>
            <b:Last>Bouzek</b:Last>
            <b:First>K.</b:First>
          </b:Person>
        </b:NameList>
      </b:Author>
    </b:Author>
    <b:Title>Electrochemistry of Phosphorous and Hypophosphorous Acid on a Pt Electrodes</b:Title>
    <b:JournalName>Electrochimica Acta</b:JournalName>
    <b:Year>2015</b:Year>
    <b:Pages>214-218</b:Pages>
    <b:Volume>160</b:Volume>
    <b:RefOrder>13</b:RefOrder>
  </b:Source>
  <b:Source>
    <b:Tag>Won14</b:Tag>
    <b:SourceType>JournalArticle</b:SourceType>
    <b:Guid>{19228722-B038-4D82-BD30-59FEB3EAEB38}</b:Guid>
    <b:Author>
      <b:Author>
        <b:NameList>
          <b:Person>
            <b:Last>Doh</b:Last>
            <b:First>Won</b:First>
            <b:Middle>H.</b:Middle>
          </b:Person>
          <b:Person>
            <b:Last>Gregoratti</b:Last>
            <b:First>Luca</b:First>
          </b:Person>
          <b:Person>
            <b:Last>Amati</b:Last>
            <b:First>Matteo</b:First>
          </b:Person>
          <b:Person>
            <b:Last>Zafeiratos</b:Last>
            <b:First>Spyridon</b:First>
          </b:Person>
          <b:Person>
            <b:Last>Law</b:Last>
            <b:First>Yeuk</b:First>
            <b:Middle>T.</b:Middle>
          </b:Person>
          <b:Person>
            <b:Last>Neophytides</b:Last>
            <b:First>Stylianos</b:First>
            <b:Middle>G.</b:Middle>
          </b:Person>
          <b:Person>
            <b:Last>Orfanidi</b:Last>
            <b:First>Alin</b:First>
          </b:Person>
          <b:Person>
            <b:Last>Kiskinova</b:Last>
            <b:First>Maya</b:First>
          </b:Person>
          <b:Person>
            <b:Last>Savinova</b:Last>
            <b:First>Elena</b:First>
            <b:Middle>R.</b:Middle>
          </b:Person>
        </b:NameList>
      </b:Author>
    </b:Author>
    <b:Title>Scanning Photoelectron Microscopy Study of the Pt/ Phosphoric-Acid-Imbibed Membrane Interface under Polarization</b:Title>
    <b:JournalName>ChemElectroChem</b:JournalName>
    <b:Year>2014</b:Year>
    <b:Pages>1</b:Pages>
    <b:Volume>180-186</b:Volume>
    <b:RefOrder>14</b:RefOrder>
  </b:Source>
  <b:Source>
    <b:Tag>Dav17</b:Tag>
    <b:SourceType>JournalArticle</b:SourceType>
    <b:Guid>{6AC15C51-CEB8-4236-AC1D-52C54B877581}</b:Guid>
    <b:Author>
      <b:Author>
        <b:NameList>
          <b:Person>
            <b:Last>Starr</b:Last>
            <b:First>David</b:First>
            <b:Middle>E.</b:Middle>
          </b:Person>
          <b:Person>
            <b:Last>Favaro</b:Last>
            <b:First>Marco</b:First>
          </b:Person>
          <b:Person>
            <b:Last>Abdi</b:Last>
            <b:First>Fatwa</b:First>
            <b:Middle>F.</b:Middle>
          </b:Person>
          <b:Person>
            <b:Last>Bluhmb</b:Last>
            <b:First>Hendrik</b:First>
          </b:Person>
          <b:Person>
            <b:Last>Crumlinb</b:Last>
            <b:First>Ethan</b:First>
            <b:Middle>J.</b:Middle>
          </b:Person>
          <b:Person>
            <b:Last>Krol</b:Last>
            <b:First>Roel</b:First>
            <b:Middle>van de</b:Middle>
          </b:Person>
        </b:NameList>
      </b:Author>
    </b:Author>
    <b:Title>Combined soft and hard X-ray ambient pressure photoelectronspectroscopy studies of semiconductor/electrolyte interfaces</b:Title>
    <b:JournalName>Journal of Electron Spectroscopy and Related Phenomena</b:JournalName>
    <b:Year>2017</b:Year>
    <b:Pages>106-115</b:Pages>
    <b:Volume>221</b:Volume>
    <b:RefOrder>15</b:RefOrder>
  </b:Source>
  <b:Source>
    <b:Tag>Kel18</b:Tag>
    <b:SourceType>JournalArticle</b:SourceType>
    <b:Guid>{79BB2130-6D5B-4702-94B3-5C37CD95056E}</b:Guid>
    <b:Author>
      <b:Author>
        <b:NameList>
          <b:Person>
            <b:Last>Stoerzinger</b:Last>
            <b:First>Kelsey</b:First>
            <b:Middle>A.</b:Middle>
          </b:Person>
          <b:Person>
            <b:Last>Favaro</b:Last>
            <b:First>Marco</b:First>
          </b:Person>
          <b:Person>
            <b:Last>Ross</b:Last>
            <b:First>Philip</b:First>
            <b:Middle>N.</b:Middle>
          </b:Person>
          <b:Person>
            <b:Last>Hussain</b:Last>
            <b:First>Zahid</b:First>
          </b:Person>
          <b:Person>
            <b:Last>Liu</b:Last>
            <b:First>Zhi</b:First>
          </b:Person>
          <b:Person>
            <b:Last>Yano</b:Last>
            <b:First>Junko</b:First>
          </b:Person>
        </b:NameList>
      </b:Author>
    </b:Author>
    <b:Title>Stabilizing the Meniscus for Operando Characterization of Platinum During the Electrolyte-Consuming Alkaline Oxygen Evolution Reaction</b:Title>
    <b:JournalName>Topics in Catalysis</b:JournalName>
    <b:Year>2018</b:Year>
    <b:Pages>2152–2160</b:Pages>
    <b:Volume>61</b:Volume>
    <b:RefOrder>16</b:RefOrder>
  </b:Source>
</b:Sources>
</file>

<file path=customXml/itemProps1.xml><?xml version="1.0" encoding="utf-8"?>
<ds:datastoreItem xmlns:ds="http://schemas.openxmlformats.org/officeDocument/2006/customXml" ds:itemID="{05321F40-BFC6-49CF-9BF4-9C37F95EC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3007</Words>
  <Characters>17143</Characters>
  <Application>Microsoft Office Word</Application>
  <DocSecurity>0</DocSecurity>
  <Lines>142</Lines>
  <Paragraphs>40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Title</vt:lpstr>
      <vt:lpstr>Title</vt:lpstr>
    </vt:vector>
  </TitlesOfParts>
  <Company>Electrochemical Society</Company>
  <LinksUpToDate>false</LinksUpToDate>
  <CharactersWithSpaces>20110</CharactersWithSpaces>
  <SharedDoc>false</SharedDoc>
  <HLinks>
    <vt:vector size="6" baseType="variant">
      <vt:variant>
        <vt:i4>917550</vt:i4>
      </vt:variant>
      <vt:variant>
        <vt:i4>0</vt:i4>
      </vt:variant>
      <vt:variant>
        <vt:i4>0</vt:i4>
      </vt:variant>
      <vt:variant>
        <vt:i4>5</vt:i4>
      </vt:variant>
      <vt:variant>
        <vt:lpwstr>mailto:enggar.wibowo@helmholtz-berlin.de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Wibowo, Enggar</cp:lastModifiedBy>
  <cp:revision>42</cp:revision>
  <cp:lastPrinted>2026-05-27T14:48:00Z</cp:lastPrinted>
  <dcterms:created xsi:type="dcterms:W3CDTF">2026-05-26T13:35:00Z</dcterms:created>
  <dcterms:modified xsi:type="dcterms:W3CDTF">2026-05-27T15:08:00Z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zotero-version="7.0.14"&gt;&lt;session id="teSVRvzI"/&gt;&lt;style id="http://www.zotero.org/styles/electrochimica-acta" hasBibliography="1" bibliographyStyleHasBeenSet="1"/&gt;&lt;prefs&gt;&lt;pref name="fieldType" value="Field"/&gt;&lt;/prefs&gt;&lt;/data&gt;</vt:lpwstr>
  </property>
  <property fmtid="{D5CDD505-2E9C-101B-9397-08002B2CF9AE}" pid="3" name="GrammarlyDocumentId">
    <vt:lpwstr>342b28cb3c7b723f3f845ab7d6e467f379c378797b3428f8f3739032fb276767</vt:lpwstr>
  </property>
</Properties>
</file>