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8266B" w14:textId="77777777" w:rsidR="006F6A3C" w:rsidRDefault="006F6A3C" w:rsidP="00FC3D6B">
      <w:pPr>
        <w:jc w:val="center"/>
        <w:rPr>
          <w:rFonts w:eastAsia="Calibri"/>
          <w:b/>
          <w:bCs/>
          <w:snapToGrid/>
          <w:color w:val="000000"/>
          <w:sz w:val="28"/>
          <w:szCs w:val="28"/>
          <w:lang w:val="hr-HR"/>
        </w:rPr>
      </w:pPr>
      <w:proofErr w:type="spellStart"/>
      <w:r w:rsidRPr="006F6A3C">
        <w:rPr>
          <w:rFonts w:eastAsia="Calibri"/>
          <w:b/>
          <w:bCs/>
          <w:snapToGrid/>
          <w:color w:val="000000"/>
          <w:sz w:val="28"/>
          <w:szCs w:val="28"/>
          <w:lang w:val="hr-HR"/>
        </w:rPr>
        <w:t>Tailoring</w:t>
      </w:r>
      <w:proofErr w:type="spellEnd"/>
      <w:r w:rsidRPr="006F6A3C">
        <w:rPr>
          <w:rFonts w:eastAsia="Calibri"/>
          <w:b/>
          <w:bCs/>
          <w:snapToGrid/>
          <w:color w:val="000000"/>
          <w:sz w:val="28"/>
          <w:szCs w:val="28"/>
          <w:lang w:val="hr-HR"/>
        </w:rPr>
        <w:t xml:space="preserve"> </w:t>
      </w:r>
      <w:proofErr w:type="spellStart"/>
      <w:r w:rsidRPr="006F6A3C">
        <w:rPr>
          <w:rFonts w:eastAsia="Calibri"/>
          <w:b/>
          <w:bCs/>
          <w:snapToGrid/>
          <w:color w:val="000000"/>
          <w:sz w:val="28"/>
          <w:szCs w:val="28"/>
          <w:lang w:val="hr-HR"/>
        </w:rPr>
        <w:t>Sustainable</w:t>
      </w:r>
      <w:proofErr w:type="spellEnd"/>
      <w:r w:rsidRPr="006F6A3C">
        <w:rPr>
          <w:rFonts w:eastAsia="Calibri"/>
          <w:b/>
          <w:bCs/>
          <w:snapToGrid/>
          <w:color w:val="000000"/>
          <w:sz w:val="28"/>
          <w:szCs w:val="28"/>
          <w:lang w:val="hr-HR"/>
        </w:rPr>
        <w:t xml:space="preserve"> </w:t>
      </w:r>
      <w:proofErr w:type="spellStart"/>
      <w:r w:rsidRPr="006F6A3C">
        <w:rPr>
          <w:rFonts w:eastAsia="Calibri"/>
          <w:b/>
          <w:bCs/>
          <w:snapToGrid/>
          <w:color w:val="000000"/>
          <w:sz w:val="28"/>
          <w:szCs w:val="28"/>
          <w:lang w:val="hr-HR"/>
        </w:rPr>
        <w:t>Algae-Derived</w:t>
      </w:r>
      <w:proofErr w:type="spellEnd"/>
      <w:r w:rsidRPr="006F6A3C">
        <w:rPr>
          <w:rFonts w:eastAsia="Calibri"/>
          <w:b/>
          <w:bCs/>
          <w:snapToGrid/>
          <w:color w:val="000000"/>
          <w:sz w:val="28"/>
          <w:szCs w:val="28"/>
          <w:lang w:val="hr-HR"/>
        </w:rPr>
        <w:t xml:space="preserve"> Drug </w:t>
      </w:r>
      <w:proofErr w:type="spellStart"/>
      <w:r w:rsidRPr="006F6A3C">
        <w:rPr>
          <w:rFonts w:eastAsia="Calibri"/>
          <w:b/>
          <w:bCs/>
          <w:snapToGrid/>
          <w:color w:val="000000"/>
          <w:sz w:val="28"/>
          <w:szCs w:val="28"/>
          <w:lang w:val="hr-HR"/>
        </w:rPr>
        <w:t>Carriers</w:t>
      </w:r>
      <w:proofErr w:type="spellEnd"/>
      <w:r w:rsidRPr="006F6A3C">
        <w:rPr>
          <w:rFonts w:eastAsia="Calibri"/>
          <w:b/>
          <w:bCs/>
          <w:snapToGrid/>
          <w:color w:val="000000"/>
          <w:sz w:val="28"/>
          <w:szCs w:val="28"/>
          <w:lang w:val="hr-HR"/>
        </w:rPr>
        <w:t xml:space="preserve">: </w:t>
      </w:r>
    </w:p>
    <w:p w14:paraId="46439725" w14:textId="33F758D8" w:rsidR="00650B54" w:rsidRDefault="006F6A3C" w:rsidP="00FC3D6B">
      <w:pPr>
        <w:jc w:val="center"/>
        <w:rPr>
          <w:rFonts w:eastAsia="Calibri"/>
          <w:b/>
          <w:bCs/>
          <w:snapToGrid/>
          <w:color w:val="000000"/>
          <w:sz w:val="28"/>
          <w:szCs w:val="28"/>
          <w:lang w:val="hr-HR"/>
        </w:rPr>
      </w:pPr>
      <w:proofErr w:type="spellStart"/>
      <w:r w:rsidRPr="006F6A3C">
        <w:rPr>
          <w:rFonts w:eastAsia="Calibri"/>
          <w:b/>
          <w:bCs/>
          <w:snapToGrid/>
          <w:color w:val="000000"/>
          <w:sz w:val="28"/>
          <w:szCs w:val="28"/>
          <w:lang w:val="hr-HR"/>
        </w:rPr>
        <w:t>What</w:t>
      </w:r>
      <w:proofErr w:type="spellEnd"/>
      <w:r w:rsidRPr="006F6A3C">
        <w:rPr>
          <w:rFonts w:eastAsia="Calibri"/>
          <w:b/>
          <w:bCs/>
          <w:snapToGrid/>
          <w:color w:val="000000"/>
          <w:sz w:val="28"/>
          <w:szCs w:val="28"/>
          <w:lang w:val="hr-HR"/>
        </w:rPr>
        <w:t xml:space="preserve"> </w:t>
      </w:r>
      <w:proofErr w:type="spellStart"/>
      <w:r w:rsidRPr="006F6A3C">
        <w:rPr>
          <w:rFonts w:eastAsia="Calibri"/>
          <w:b/>
          <w:bCs/>
          <w:snapToGrid/>
          <w:color w:val="000000"/>
          <w:sz w:val="28"/>
          <w:szCs w:val="28"/>
          <w:lang w:val="hr-HR"/>
        </w:rPr>
        <w:t>Electrochemistry</w:t>
      </w:r>
      <w:proofErr w:type="spellEnd"/>
      <w:r w:rsidRPr="006F6A3C">
        <w:rPr>
          <w:rFonts w:eastAsia="Calibri"/>
          <w:b/>
          <w:bCs/>
          <w:snapToGrid/>
          <w:color w:val="000000"/>
          <w:sz w:val="28"/>
          <w:szCs w:val="28"/>
          <w:lang w:val="hr-HR"/>
        </w:rPr>
        <w:t xml:space="preserve"> </w:t>
      </w:r>
      <w:proofErr w:type="spellStart"/>
      <w:r w:rsidRPr="006F6A3C">
        <w:rPr>
          <w:rFonts w:eastAsia="Calibri"/>
          <w:b/>
          <w:bCs/>
          <w:snapToGrid/>
          <w:color w:val="000000"/>
          <w:sz w:val="28"/>
          <w:szCs w:val="28"/>
          <w:lang w:val="hr-HR"/>
        </w:rPr>
        <w:t>and</w:t>
      </w:r>
      <w:proofErr w:type="spellEnd"/>
      <w:r w:rsidRPr="006F6A3C">
        <w:rPr>
          <w:rFonts w:eastAsia="Calibri"/>
          <w:b/>
          <w:bCs/>
          <w:snapToGrid/>
          <w:color w:val="000000"/>
          <w:sz w:val="28"/>
          <w:szCs w:val="28"/>
          <w:lang w:val="hr-HR"/>
        </w:rPr>
        <w:t xml:space="preserve"> Bio-AFM </w:t>
      </w:r>
      <w:proofErr w:type="spellStart"/>
      <w:r w:rsidRPr="006F6A3C">
        <w:rPr>
          <w:rFonts w:eastAsia="Calibri"/>
          <w:b/>
          <w:bCs/>
          <w:snapToGrid/>
          <w:color w:val="000000"/>
          <w:sz w:val="28"/>
          <w:szCs w:val="28"/>
          <w:lang w:val="hr-HR"/>
        </w:rPr>
        <w:t>Reveal</w:t>
      </w:r>
      <w:proofErr w:type="spellEnd"/>
    </w:p>
    <w:p w14:paraId="6202B2C9" w14:textId="77777777" w:rsidR="006F6A3C" w:rsidRPr="00700165" w:rsidRDefault="006F6A3C" w:rsidP="00FC3D6B">
      <w:pPr>
        <w:jc w:val="center"/>
        <w:rPr>
          <w:b/>
          <w:bCs/>
          <w:sz w:val="28"/>
          <w:szCs w:val="28"/>
          <w:u w:val="single"/>
          <w:lang w:val="hr-HR"/>
        </w:rPr>
      </w:pPr>
    </w:p>
    <w:p w14:paraId="08762003" w14:textId="35E15711" w:rsidR="00544973" w:rsidRDefault="00FC31B7" w:rsidP="00F575B4">
      <w:pPr>
        <w:jc w:val="center"/>
      </w:pPr>
      <w:r>
        <w:rPr>
          <w:noProof/>
          <w:snapToGrid/>
          <w:u w:val="single"/>
          <w:lang w:val="hr-HR"/>
        </w:rPr>
        <mc:AlternateContent>
          <mc:Choice Requires="wpi">
            <w:drawing>
              <wp:anchor distT="0" distB="0" distL="114300" distR="114300" simplePos="0" relativeHeight="251662336" behindDoc="0" locked="0" layoutInCell="1" allowOverlap="1" wp14:anchorId="7CDEA702" wp14:editId="211702E6">
                <wp:simplePos x="0" y="0"/>
                <wp:positionH relativeFrom="column">
                  <wp:posOffset>1041083</wp:posOffset>
                </wp:positionH>
                <wp:positionV relativeFrom="paragraph">
                  <wp:posOffset>10160</wp:posOffset>
                </wp:positionV>
                <wp:extent cx="360" cy="360"/>
                <wp:effectExtent l="57150" t="57150" r="57150" b="57150"/>
                <wp:wrapNone/>
                <wp:docPr id="912554529" name="Ink 4"/>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4CEDF31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80.6pt;margin-top:-.6pt;width:2.9pt;height:2.9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">
                <v:imagedata r:id="rId6" o:title=""/>
              </v:shape>
            </w:pict>
          </mc:Fallback>
        </mc:AlternateContent>
      </w:r>
      <w:r>
        <w:rPr>
          <w:noProof/>
          <w:snapToGrid/>
          <w:u w:val="single"/>
          <w:lang w:val="hr-HR"/>
        </w:rPr>
        <mc:AlternateContent>
          <mc:Choice Requires="wpi">
            <w:drawing>
              <wp:anchor distT="0" distB="0" distL="114300" distR="114300" simplePos="0" relativeHeight="251661312" behindDoc="0" locked="0" layoutInCell="1" allowOverlap="1" wp14:anchorId="159E1B67" wp14:editId="14E4261C">
                <wp:simplePos x="0" y="0"/>
                <wp:positionH relativeFrom="column">
                  <wp:posOffset>1084891</wp:posOffset>
                </wp:positionH>
                <wp:positionV relativeFrom="paragraph">
                  <wp:posOffset>45657</wp:posOffset>
                </wp:positionV>
                <wp:extent cx="360" cy="360"/>
                <wp:effectExtent l="57150" t="57150" r="57150" b="57150"/>
                <wp:wrapNone/>
                <wp:docPr id="373806113" name="Ink 3"/>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 w14:anchorId="402A3439" id="Ink 3" o:spid="_x0000_s1026" type="#_x0000_t75" style="position:absolute;margin-left:84pt;margin-top:2.2pt;width:2.9pt;height:2.9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">
                <v:imagedata r:id="rId8" o:title=""/>
              </v:shape>
            </w:pict>
          </mc:Fallback>
        </mc:AlternateContent>
      </w:r>
      <w:r w:rsidR="007B4701" w:rsidRPr="007B4701">
        <w:rPr>
          <w:u w:val="single"/>
          <w:lang w:val="hr-HR"/>
        </w:rPr>
        <w:t>N. Ivo</w:t>
      </w:r>
      <w:r w:rsidR="00AB0BA4">
        <w:rPr>
          <w:u w:val="single"/>
          <w:lang w:val="hr-HR"/>
        </w:rPr>
        <w:t>š</w:t>
      </w:r>
      <w:r w:rsidR="007B4701" w:rsidRPr="007B4701">
        <w:rPr>
          <w:u w:val="single"/>
          <w:lang w:val="hr-HR"/>
        </w:rPr>
        <w:t>evi</w:t>
      </w:r>
      <w:r w:rsidR="00AB0BA4">
        <w:rPr>
          <w:u w:val="single"/>
          <w:lang w:val="hr-HR"/>
        </w:rPr>
        <w:t>ć</w:t>
      </w:r>
      <w:r w:rsidR="007B4701" w:rsidRPr="007B4701">
        <w:rPr>
          <w:u w:val="single"/>
          <w:lang w:val="hr-HR"/>
        </w:rPr>
        <w:t xml:space="preserve"> DeNardis</w:t>
      </w:r>
      <w:r w:rsidR="007B4701" w:rsidRPr="007B4701">
        <w:rPr>
          <w:u w:val="single"/>
          <w:vertAlign w:val="superscript"/>
          <w:lang w:val="hr-HR"/>
        </w:rPr>
        <w:t>1</w:t>
      </w:r>
      <w:r w:rsidR="007B4701" w:rsidRPr="007B4701">
        <w:rPr>
          <w:u w:val="single"/>
          <w:lang w:val="hr-HR"/>
        </w:rPr>
        <w:t>,</w:t>
      </w:r>
      <w:r w:rsidR="007B4701" w:rsidRPr="007B4701" w:rsidDel="00784A92">
        <w:rPr>
          <w:u w:val="single"/>
          <w:vertAlign w:val="superscript"/>
          <w:lang w:val="hr-HR"/>
        </w:rPr>
        <w:t xml:space="preserve"> </w:t>
      </w:r>
      <w:r w:rsidR="00F575B4" w:rsidRPr="007B4701">
        <w:t xml:space="preserve">M. Levak </w:t>
      </w:r>
      <w:r w:rsidR="00F575B4" w:rsidRPr="00F575B4">
        <w:t>Zorinc</w:t>
      </w:r>
      <w:r w:rsidR="00F575B4" w:rsidRPr="00F575B4">
        <w:rPr>
          <w:vertAlign w:val="superscript"/>
        </w:rPr>
        <w:t>1</w:t>
      </w:r>
      <w:r w:rsidR="00F575B4">
        <w:t xml:space="preserve">, </w:t>
      </w:r>
      <w:r w:rsidR="00544973">
        <w:t>J. Pečar-Ilić</w:t>
      </w:r>
      <w:r w:rsidR="00544973" w:rsidRPr="00F575B4">
        <w:rPr>
          <w:vertAlign w:val="superscript"/>
        </w:rPr>
        <w:t>1</w:t>
      </w:r>
      <w:r w:rsidR="00544973">
        <w:t xml:space="preserve">, </w:t>
      </w:r>
      <w:r w:rsidR="00F575B4" w:rsidRPr="00F575B4">
        <w:t>J</w:t>
      </w:r>
      <w:r w:rsidR="00F575B4" w:rsidRPr="007B4701">
        <w:t>. Zem</w:t>
      </w:r>
      <w:r w:rsidR="00F575B4" w:rsidRPr="007B4701">
        <w:rPr>
          <w:lang w:val="hr-HR"/>
        </w:rPr>
        <w:t>ł</w:t>
      </w:r>
      <w:r w:rsidR="00F575B4" w:rsidRPr="007B4701">
        <w:t>a</w:t>
      </w:r>
      <w:r w:rsidR="00F575B4" w:rsidRPr="007B4701">
        <w:rPr>
          <w:vertAlign w:val="superscript"/>
        </w:rPr>
        <w:t>2</w:t>
      </w:r>
      <w:r w:rsidR="00F575B4" w:rsidRPr="007B4701">
        <w:t>, M. Lekka</w:t>
      </w:r>
      <w:r w:rsidR="00F575B4" w:rsidRPr="007B4701">
        <w:rPr>
          <w:vertAlign w:val="superscript"/>
        </w:rPr>
        <w:t>2</w:t>
      </w:r>
      <w:r w:rsidR="00F575B4" w:rsidRPr="007B4701">
        <w:t xml:space="preserve">, </w:t>
      </w:r>
    </w:p>
    <w:p w14:paraId="7024BFE8" w14:textId="28EEC0E4" w:rsidR="00F575B4" w:rsidRDefault="00544973" w:rsidP="00F575B4">
      <w:pPr>
        <w:jc w:val="center"/>
      </w:pPr>
      <w:r>
        <w:t>I. Vrana</w:t>
      </w:r>
      <w:r w:rsidR="00AB0BA4" w:rsidRPr="00AB0BA4">
        <w:rPr>
          <w:vertAlign w:val="superscript"/>
        </w:rPr>
        <w:t>1</w:t>
      </w:r>
      <w:r>
        <w:t>, B. Ga</w:t>
      </w:r>
      <w:r>
        <w:rPr>
          <w:lang w:val="hr-HR"/>
        </w:rPr>
        <w:t>š</w:t>
      </w:r>
      <w:r>
        <w:t>parović</w:t>
      </w:r>
      <w:r w:rsidR="00AB0BA4" w:rsidRPr="00AB0BA4">
        <w:rPr>
          <w:vertAlign w:val="superscript"/>
        </w:rPr>
        <w:t>1</w:t>
      </w:r>
      <w:r>
        <w:t>, L. Horvat</w:t>
      </w:r>
      <w:r w:rsidR="00AB0BA4" w:rsidRPr="00AB0BA4">
        <w:rPr>
          <w:vertAlign w:val="superscript"/>
        </w:rPr>
        <w:t>1</w:t>
      </w:r>
      <w:r>
        <w:t>, R. Frkanec</w:t>
      </w:r>
      <w:r w:rsidR="00AB0BA4" w:rsidRPr="00AB0BA4">
        <w:rPr>
          <w:vertAlign w:val="superscript"/>
        </w:rPr>
        <w:t>3</w:t>
      </w:r>
    </w:p>
    <w:p w14:paraId="59AAEBD0" w14:textId="0FBA40E0" w:rsidR="00DE7E33" w:rsidRPr="007B4701" w:rsidRDefault="00FC31B7" w:rsidP="00F575B4">
      <w:pPr>
        <w:jc w:val="center"/>
      </w:pPr>
      <w:r>
        <w:rPr>
          <w:noProof/>
          <w:snapToGrid/>
        </w:rPr>
        <mc:AlternateContent>
          <mc:Choice Requires="wpi">
            <w:drawing>
              <wp:anchor distT="0" distB="0" distL="114300" distR="114300" simplePos="0" relativeHeight="251663360" behindDoc="0" locked="0" layoutInCell="1" allowOverlap="1" wp14:anchorId="77579D20" wp14:editId="7D9BC1E1">
                <wp:simplePos x="0" y="0"/>
                <wp:positionH relativeFrom="column">
                  <wp:posOffset>945931</wp:posOffset>
                </wp:positionH>
                <wp:positionV relativeFrom="paragraph">
                  <wp:posOffset>76117</wp:posOffset>
                </wp:positionV>
                <wp:extent cx="360" cy="360"/>
                <wp:effectExtent l="57150" t="57150" r="57150" b="57150"/>
                <wp:wrapNone/>
                <wp:docPr id="336400026" name="Ink 5"/>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 w14:anchorId="1BFE8085" id="Ink 5" o:spid="_x0000_s1026" type="#_x0000_t75" style="position:absolute;margin-left:73.1pt;margin-top:4.6pt;width:2.9pt;height:2.9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">
                <v:imagedata r:id="rId8" o:title=""/>
              </v:shape>
            </w:pict>
          </mc:Fallback>
        </mc:AlternateContent>
      </w:r>
    </w:p>
    <w:p w14:paraId="2D94C14F" w14:textId="74096E82" w:rsidR="00AB0BA4" w:rsidRDefault="007B4701" w:rsidP="00E0716D">
      <w:pPr>
        <w:jc w:val="center"/>
        <w:rPr>
          <w:rFonts w:eastAsia="Calibri"/>
          <w:i/>
          <w:color w:val="000000" w:themeColor="text1"/>
          <w:lang w:val="en-GB"/>
        </w:rPr>
      </w:pPr>
      <w:r w:rsidRPr="007B4701">
        <w:rPr>
          <w:i/>
          <w:iCs/>
          <w:vertAlign w:val="superscript"/>
          <w:lang w:val="en-GB"/>
        </w:rPr>
        <w:t>1</w:t>
      </w:r>
      <w:r w:rsidRPr="007B4701">
        <w:rPr>
          <w:i/>
          <w:iCs/>
          <w:lang w:val="en-GB"/>
        </w:rPr>
        <w:t>Ru</w:t>
      </w:r>
      <w:r w:rsidR="00AB0BA4">
        <w:rPr>
          <w:i/>
          <w:iCs/>
          <w:lang w:val="en-GB"/>
        </w:rPr>
        <w:t>đe</w:t>
      </w:r>
      <w:r w:rsidRPr="007B4701">
        <w:rPr>
          <w:i/>
          <w:iCs/>
          <w:lang w:val="en-GB"/>
        </w:rPr>
        <w:t>r Boškovi</w:t>
      </w:r>
      <w:r w:rsidR="006C6F8E">
        <w:rPr>
          <w:i/>
          <w:iCs/>
          <w:lang w:val="en-GB"/>
        </w:rPr>
        <w:t>ć</w:t>
      </w:r>
      <w:r w:rsidRPr="007B4701">
        <w:rPr>
          <w:i/>
          <w:iCs/>
          <w:lang w:val="en-GB"/>
        </w:rPr>
        <w:t xml:space="preserve"> Institute, Zagreb, Croatia, </w:t>
      </w:r>
      <w:r w:rsidRPr="007B4701">
        <w:rPr>
          <w:bCs/>
          <w:i/>
          <w:vertAlign w:val="superscript"/>
        </w:rPr>
        <w:t>2</w:t>
      </w:r>
      <w:r w:rsidRPr="007B4701">
        <w:rPr>
          <w:bCs/>
          <w:i/>
          <w:iCs/>
          <w:lang w:val="en-GB"/>
        </w:rPr>
        <w:t>Institute of Nuclear Physics Polish Academy of Sciences</w:t>
      </w:r>
      <w:r w:rsidRPr="007B4701">
        <w:rPr>
          <w:bCs/>
          <w:i/>
          <w:iCs/>
        </w:rPr>
        <w:t xml:space="preserve">, </w:t>
      </w:r>
      <w:r w:rsidRPr="007B4701">
        <w:rPr>
          <w:bCs/>
          <w:i/>
          <w:iCs/>
          <w:lang w:val="hr-HR"/>
        </w:rPr>
        <w:t xml:space="preserve">Kraków, </w:t>
      </w:r>
      <w:proofErr w:type="spellStart"/>
      <w:r w:rsidRPr="007B4701">
        <w:rPr>
          <w:bCs/>
          <w:i/>
          <w:iCs/>
          <w:lang w:val="hr-HR"/>
        </w:rPr>
        <w:t>Poland</w:t>
      </w:r>
      <w:proofErr w:type="spellEnd"/>
      <w:r w:rsidRPr="007B4701">
        <w:rPr>
          <w:bCs/>
          <w:i/>
          <w:iCs/>
        </w:rPr>
        <w:t xml:space="preserve">, </w:t>
      </w:r>
      <w:r w:rsidR="00AB0BA4" w:rsidRPr="008C2942">
        <w:rPr>
          <w:bCs/>
          <w:i/>
          <w:color w:val="000000" w:themeColor="text1"/>
          <w:vertAlign w:val="superscript"/>
          <w:lang w:val="en-GB"/>
        </w:rPr>
        <w:t>3</w:t>
      </w:r>
      <w:r w:rsidR="00AB0BA4" w:rsidRPr="008C2942">
        <w:rPr>
          <w:rFonts w:eastAsia="Calibri"/>
          <w:i/>
          <w:color w:val="000000" w:themeColor="text1"/>
          <w:lang w:val="en-GB"/>
        </w:rPr>
        <w:t>Centre for Research and Knowledge Transfer in Biotechnology, University of Zagreb, Zagreb, Croatia</w:t>
      </w:r>
    </w:p>
    <w:p w14:paraId="2C0A2844" w14:textId="3BE07928" w:rsidR="00685C1A" w:rsidRDefault="00FC31B7" w:rsidP="00E0716D">
      <w:pPr>
        <w:jc w:val="center"/>
      </w:pPr>
      <w:r>
        <w:rPr>
          <w:noProof/>
          <w:snapToGrid/>
        </w:rPr>
        <mc:AlternateContent>
          <mc:Choice Requires="wpi">
            <w:drawing>
              <wp:anchor distT="0" distB="0" distL="114300" distR="114300" simplePos="0" relativeHeight="251660288" behindDoc="0" locked="0" layoutInCell="1" allowOverlap="1" wp14:anchorId="61FCD72B" wp14:editId="6DF99D65">
                <wp:simplePos x="0" y="0"/>
                <wp:positionH relativeFrom="column">
                  <wp:posOffset>1877971</wp:posOffset>
                </wp:positionH>
                <wp:positionV relativeFrom="paragraph">
                  <wp:posOffset>112512</wp:posOffset>
                </wp:positionV>
                <wp:extent cx="360" cy="360"/>
                <wp:effectExtent l="57150" t="57150" r="57150" b="57150"/>
                <wp:wrapNone/>
                <wp:docPr id="931819861" name="Ink 2"/>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5C4AD6D9" id="Ink 2" o:spid="_x0000_s1026" type="#_x0000_t75" style="position:absolute;margin-left:146.45pt;margin-top:7.45pt;width:2.9pt;height:2.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">
                <v:imagedata r:id="rId8" o:title=""/>
              </v:shape>
            </w:pict>
          </mc:Fallback>
        </mc:AlternateContent>
      </w:r>
      <w:hyperlink r:id="rId11" w:history="1">
        <w:r w:rsidR="00182BBE" w:rsidRPr="005B178E">
          <w:rPr>
            <w:rStyle w:val="Hyperlink"/>
            <w:i/>
          </w:rPr>
          <w:t>ivosevic@irb.hr</w:t>
        </w:r>
      </w:hyperlink>
    </w:p>
    <w:p w14:paraId="2B6B0BF7" w14:textId="77777777" w:rsidR="00F36B87" w:rsidRPr="00F36B87" w:rsidRDefault="00F36B87" w:rsidP="00F36B87">
      <w:pPr>
        <w:jc w:val="both"/>
        <w:rPr>
          <w:noProof/>
          <w:snapToGrid/>
        </w:rPr>
      </w:pPr>
    </w:p>
    <w:p w14:paraId="44B6C80A" w14:textId="55DF4767" w:rsidR="00F36B87" w:rsidRPr="00F36B87" w:rsidRDefault="00F36B87" w:rsidP="00F36B87">
      <w:pPr>
        <w:ind w:firstLine="720"/>
        <w:jc w:val="both"/>
        <w:rPr>
          <w:noProof/>
          <w:snapToGrid/>
        </w:rPr>
      </w:pPr>
      <w:r w:rsidRPr="00F36B87">
        <w:rPr>
          <w:noProof/>
          <w:snapToGrid/>
        </w:rPr>
        <w:t xml:space="preserve">The development of drug carriers from sustainable, environmentally friendly materials represents a significant milestone in modern biotechnology. To address this need, monocultures of the marine microalga </w:t>
      </w:r>
      <w:r w:rsidRPr="00F36B87">
        <w:rPr>
          <w:i/>
          <w:iCs/>
          <w:noProof/>
          <w:snapToGrid/>
        </w:rPr>
        <w:t>Dunaliella tertiolecta</w:t>
      </w:r>
      <w:r w:rsidRPr="00F36B87">
        <w:rPr>
          <w:noProof/>
          <w:snapToGrid/>
        </w:rPr>
        <w:t xml:space="preserve"> </w:t>
      </w:r>
      <w:r w:rsidR="00DF7100">
        <w:rPr>
          <w:noProof/>
          <w:snapToGrid/>
        </w:rPr>
        <w:t>serve</w:t>
      </w:r>
      <w:r w:rsidRPr="00F36B87">
        <w:rPr>
          <w:noProof/>
          <w:snapToGrid/>
        </w:rPr>
        <w:t xml:space="preserve"> as the starting cell matrix. When exposed to hypoosmotic stress, these cells undergo osmotic disruption and release their native membrane fragments. These fragments spontaneously self-assemble into a unique, puzzle-like structure of reconstructed vesicles that can function as drug carriers</w:t>
      </w:r>
      <w:r w:rsidR="001C29CE">
        <w:rPr>
          <w:noProof/>
          <w:snapToGrid/>
        </w:rPr>
        <w:t xml:space="preserve"> [1,2]</w:t>
      </w:r>
      <w:r w:rsidRPr="00F36B87">
        <w:rPr>
          <w:noProof/>
          <w:snapToGrid/>
        </w:rPr>
        <w:t>.</w:t>
      </w:r>
    </w:p>
    <w:p w14:paraId="72A50437" w14:textId="5BBCC32C" w:rsidR="008D328B" w:rsidRDefault="00F36B87" w:rsidP="00F36B87">
      <w:pPr>
        <w:ind w:firstLine="720"/>
        <w:jc w:val="both"/>
        <w:rPr>
          <w:noProof/>
          <w:snapToGrid/>
        </w:rPr>
      </w:pPr>
      <w:r w:rsidRPr="00F36B87">
        <w:rPr>
          <w:noProof/>
          <w:snapToGrid/>
        </w:rPr>
        <w:t xml:space="preserve">Although these vesicles are composed of a complex organic mixture, their characterization remains a significant challenge. Standard analytical approaches are insufficient to resolve their intricate behavior at interfaces. To overcome these limitations, we combine sub-millisecond temporal resolution with nanometer-scale structural data by integrating real-time amperometric current transient analysis with </w:t>
      </w:r>
      <w:r w:rsidRPr="008D328B">
        <w:rPr>
          <w:noProof/>
          <w:snapToGrid/>
        </w:rPr>
        <w:t xml:space="preserve">quantitative Bio-AFM force spectroscopy. </w:t>
      </w:r>
      <w:r w:rsidR="00DF7100" w:rsidRPr="00DF7100">
        <w:rPr>
          <w:noProof/>
          <w:snapToGrid/>
        </w:rPr>
        <w:t>The monitored amperometric signal of vesicle adhesion indicates the formation of the final film state at the electrode. To decode this interaction, a three-step reaction kinetics model reconstructs and quantifies each individual state of the adhesion process</w:t>
      </w:r>
      <w:r w:rsidR="00DF7100">
        <w:rPr>
          <w:noProof/>
          <w:snapToGrid/>
        </w:rPr>
        <w:t xml:space="preserve"> </w:t>
      </w:r>
      <w:r w:rsidR="00DF7100" w:rsidRPr="008D328B">
        <w:rPr>
          <w:noProof/>
          <w:snapToGrid/>
        </w:rPr>
        <w:t>[3].</w:t>
      </w:r>
      <w:r w:rsidR="00DF7100" w:rsidRPr="00DF7100">
        <w:rPr>
          <w:noProof/>
          <w:snapToGrid/>
        </w:rPr>
        <w:t xml:space="preserve"> This mathematical approach enables the association of these states with specific features of the amperometric signal, ultimately providing a direct measure of overall membrane fluidity.</w:t>
      </w:r>
      <w:r w:rsidR="008D328B" w:rsidRPr="008D328B">
        <w:rPr>
          <w:noProof/>
          <w:snapToGrid/>
        </w:rPr>
        <w:t xml:space="preserve"> To expand on these dynamic insights, Bio-AFM force spectroscopy demonstrates that the vesicles are extremely soft (Young’s modulus less than 1 kPa) and exhibit a hydrophilic nature with a non-uniform distribution of nanopores [1,2]. Combining these complementary techniques extends our understanding, </w:t>
      </w:r>
      <w:r w:rsidR="00DF7100">
        <w:rPr>
          <w:noProof/>
          <w:snapToGrid/>
        </w:rPr>
        <w:t>showing</w:t>
      </w:r>
      <w:r w:rsidR="008D328B" w:rsidRPr="008D328B">
        <w:rPr>
          <w:noProof/>
          <w:snapToGrid/>
        </w:rPr>
        <w:t xml:space="preserve"> that while amperometry captures the dynamic footprint of membrane adhesion at electrified interfaces, Bio-AFM defines the structural features driving these phenomena near physiological conditions.</w:t>
      </w:r>
    </w:p>
    <w:p w14:paraId="3F3A3E74" w14:textId="701F0F90" w:rsidR="00F36B87" w:rsidRDefault="00F36B87" w:rsidP="00F36B87">
      <w:pPr>
        <w:ind w:firstLine="720"/>
        <w:jc w:val="both"/>
      </w:pPr>
      <w:r w:rsidRPr="00F36B87">
        <w:rPr>
          <w:noProof/>
          <w:snapToGrid/>
        </w:rPr>
        <w:t>Functionality assays confirm that both a macrocyclic glycopeptide and a short oligonucleotide can bind to the vesicle interface via non-covalent interactions, opening avenues for the development of next-generation sustainable carriers for biomedical applications</w:t>
      </w:r>
      <w:r>
        <w:t>.</w:t>
      </w:r>
    </w:p>
    <w:p w14:paraId="7F98E700" w14:textId="77777777" w:rsidR="00FC4CB8" w:rsidRDefault="00FC4CB8" w:rsidP="00F36B87">
      <w:pPr>
        <w:ind w:firstLine="720"/>
        <w:jc w:val="both"/>
      </w:pPr>
    </w:p>
    <w:p w14:paraId="4699E4BF" w14:textId="77777777" w:rsidR="00FC4CB8" w:rsidRDefault="00FC4CB8" w:rsidP="00F36B87">
      <w:pPr>
        <w:ind w:firstLine="720"/>
        <w:jc w:val="both"/>
      </w:pPr>
    </w:p>
    <w:p w14:paraId="470E3538" w14:textId="6BC99662" w:rsidR="00FC4CB8" w:rsidRPr="00C55535" w:rsidRDefault="00FC4CB8" w:rsidP="001C29CE">
      <w:pPr>
        <w:spacing w:after="120"/>
        <w:jc w:val="both"/>
        <w:rPr>
          <w:b/>
          <w:bCs/>
        </w:rPr>
      </w:pPr>
      <w:r w:rsidRPr="00C55535">
        <w:rPr>
          <w:b/>
          <w:bCs/>
        </w:rPr>
        <w:t>References</w:t>
      </w:r>
    </w:p>
    <w:p w14:paraId="3E5615BC" w14:textId="74BE1230" w:rsidR="00C55535" w:rsidRPr="00C55535" w:rsidRDefault="00C55535" w:rsidP="001C29CE">
      <w:pPr>
        <w:widowControl/>
        <w:numPr>
          <w:ilvl w:val="0"/>
          <w:numId w:val="2"/>
        </w:numPr>
        <w:tabs>
          <w:tab w:val="left" w:pos="270"/>
        </w:tabs>
        <w:ind w:left="270" w:hanging="270"/>
        <w:contextualSpacing/>
        <w:jc w:val="both"/>
        <w:rPr>
          <w:rFonts w:cstheme="minorHAnsi"/>
          <w:bCs/>
          <w:noProof/>
          <w:lang w:val="hr-HR" w:eastAsia="hr-HR"/>
        </w:rPr>
      </w:pPr>
      <w:r w:rsidRPr="00C55535">
        <w:rPr>
          <w:rFonts w:cstheme="minorHAnsi"/>
          <w:bCs/>
          <w:noProof/>
          <w:lang w:val="hr-HR" w:eastAsia="hr-HR"/>
        </w:rPr>
        <w:t>Ivošević DeNardis, Nadica; Pletikapić, Galja; Frkanec, Ruža; Horvat, Lucija; Vernier, P. Thomas From algal cells to autofluorescent ghost plasma membrane vesicles. Bioelectrochemistry 134 (2020) 105724.</w:t>
      </w:r>
      <w:r w:rsidRPr="00C55535">
        <w:rPr>
          <w:bCs/>
        </w:rPr>
        <w:t xml:space="preserve"> </w:t>
      </w:r>
      <w:r w:rsidRPr="00C55535">
        <w:rPr>
          <w:bCs/>
        </w:rPr>
        <w:fldChar w:fldCharType="begin"/>
      </w:r>
      <w:r w:rsidRPr="00C55535">
        <w:rPr>
          <w:bCs/>
        </w:rPr>
        <w:instrText>HYPERLINK "https://doi.org/10.1016/j.bioelechem.2020.107524"</w:instrText>
      </w:r>
      <w:r w:rsidRPr="00C55535">
        <w:rPr>
          <w:bCs/>
        </w:rPr>
      </w:r>
      <w:r w:rsidRPr="00C55535">
        <w:rPr>
          <w:bCs/>
        </w:rPr>
        <w:fldChar w:fldCharType="separate"/>
      </w:r>
      <w:r w:rsidRPr="00C55535">
        <w:rPr>
          <w:rStyle w:val="Hyperlink"/>
          <w:rFonts w:cstheme="minorHAnsi"/>
          <w:bCs/>
          <w:noProof/>
          <w:color w:val="auto"/>
          <w:u w:val="none"/>
          <w:lang w:val="hr-HR" w:eastAsia="hr-HR"/>
        </w:rPr>
        <w:t>https://doi.org/10.1016/j.bioelechem.2020.107524</w:t>
      </w:r>
      <w:r w:rsidRPr="00C55535">
        <w:rPr>
          <w:bCs/>
        </w:rPr>
        <w:fldChar w:fldCharType="end"/>
      </w:r>
    </w:p>
    <w:p w14:paraId="7636777A" w14:textId="77777777" w:rsidR="00C55535" w:rsidRPr="00C55535" w:rsidRDefault="00C55535" w:rsidP="001C29CE">
      <w:pPr>
        <w:widowControl/>
        <w:numPr>
          <w:ilvl w:val="0"/>
          <w:numId w:val="2"/>
        </w:numPr>
        <w:tabs>
          <w:tab w:val="left" w:pos="270"/>
        </w:tabs>
        <w:ind w:left="270" w:hanging="270"/>
        <w:contextualSpacing/>
        <w:jc w:val="both"/>
        <w:rPr>
          <w:rFonts w:cstheme="minorHAnsi"/>
          <w:bCs/>
          <w:noProof/>
          <w:lang w:val="hr-HR" w:eastAsia="hr-HR"/>
        </w:rPr>
      </w:pPr>
      <w:r w:rsidRPr="00C55535">
        <w:rPr>
          <w:rFonts w:eastAsia="Arial" w:cstheme="minorHAnsi"/>
          <w:bCs/>
          <w:noProof/>
          <w:lang w:val="hr-HR" w:eastAsia="hr-HR"/>
        </w:rPr>
        <w:t xml:space="preserve">Levak Zorinc, Maja; Demir-Yilmaz, Irem; Formosa- Dague, Cecile; Vrana, Ivna; Gašparović, Blaženka; Horvat, Lucija; Butorac, Ana; Frkanec, Ruža; Ivošević DeNardis, Nadica, </w:t>
      </w:r>
      <w:hyperlink r:id="rId12" w:history="1">
        <w:r w:rsidRPr="00C55535">
          <w:rPr>
            <w:rStyle w:val="Hyperlink"/>
            <w:rFonts w:eastAsia="Arial" w:cstheme="minorHAnsi"/>
            <w:bCs/>
            <w:noProof/>
            <w:color w:val="auto"/>
            <w:u w:val="none"/>
            <w:lang w:val="hr-HR" w:eastAsia="hr-HR"/>
          </w:rPr>
          <w:t>Reconstructed membrane vesicles from the microalga Dunaliella as a potential drug delivery system</w:t>
        </w:r>
      </w:hyperlink>
      <w:r w:rsidRPr="00C55535">
        <w:rPr>
          <w:rFonts w:eastAsia="Arial" w:cstheme="minorHAnsi"/>
          <w:bCs/>
          <w:noProof/>
          <w:lang w:val="hr-HR" w:eastAsia="hr-HR"/>
        </w:rPr>
        <w:t xml:space="preserve">, </w:t>
      </w:r>
      <w:r w:rsidRPr="00C55535">
        <w:rPr>
          <w:rFonts w:eastAsia="Arial" w:cstheme="minorHAnsi"/>
          <w:bCs/>
          <w:iCs/>
          <w:noProof/>
          <w:lang w:val="hr-HR" w:eastAsia="hr-HR"/>
        </w:rPr>
        <w:t>Bioelectrochemistry,</w:t>
      </w:r>
      <w:r w:rsidRPr="00C55535">
        <w:rPr>
          <w:rFonts w:eastAsia="Arial" w:cstheme="minorHAnsi"/>
          <w:bCs/>
          <w:noProof/>
          <w:lang w:val="hr-HR" w:eastAsia="hr-HR"/>
        </w:rPr>
        <w:t xml:space="preserve"> 150 (2023), 108360. </w:t>
      </w:r>
      <w:r w:rsidRPr="00C55535">
        <w:rPr>
          <w:bCs/>
        </w:rPr>
        <w:fldChar w:fldCharType="begin"/>
      </w:r>
      <w:r w:rsidRPr="00C55535">
        <w:rPr>
          <w:bCs/>
        </w:rPr>
        <w:instrText>HYPERLINK "https://doi.org/10.1016/j.bioelechem.2022.108360" \t "_blank" \o "Persistent link using digital object identifier"</w:instrText>
      </w:r>
      <w:r w:rsidRPr="00C55535">
        <w:rPr>
          <w:bCs/>
        </w:rPr>
      </w:r>
      <w:r w:rsidRPr="00C55535">
        <w:rPr>
          <w:bCs/>
        </w:rPr>
        <w:fldChar w:fldCharType="separate"/>
      </w:r>
      <w:r w:rsidRPr="00C55535">
        <w:rPr>
          <w:rStyle w:val="anchor-text"/>
          <w:rFonts w:cstheme="minorHAnsi"/>
          <w:bCs/>
        </w:rPr>
        <w:t>https://doi.org/10.1016/j.bioelechem.2022.108360</w:t>
      </w:r>
      <w:r w:rsidRPr="00C55535">
        <w:rPr>
          <w:bCs/>
        </w:rPr>
        <w:fldChar w:fldCharType="end"/>
      </w:r>
    </w:p>
    <w:p w14:paraId="3922DD18" w14:textId="22928C24" w:rsidR="00C55535" w:rsidRPr="00C55535" w:rsidRDefault="00C55535" w:rsidP="001C29CE">
      <w:pPr>
        <w:widowControl/>
        <w:numPr>
          <w:ilvl w:val="0"/>
          <w:numId w:val="2"/>
        </w:numPr>
        <w:tabs>
          <w:tab w:val="left" w:pos="270"/>
        </w:tabs>
        <w:ind w:left="270" w:hanging="270"/>
        <w:contextualSpacing/>
        <w:jc w:val="both"/>
        <w:rPr>
          <w:rFonts w:cstheme="minorHAnsi"/>
          <w:bCs/>
          <w:noProof/>
          <w:lang w:val="hr-HR" w:eastAsia="hr-HR"/>
        </w:rPr>
      </w:pPr>
      <w:r w:rsidRPr="00C55535">
        <w:rPr>
          <w:rFonts w:cstheme="minorHAnsi"/>
          <w:bCs/>
          <w:noProof/>
          <w:lang w:val="hr-HR" w:eastAsia="hr-HR"/>
        </w:rPr>
        <w:t>Ivošević DeNardis, Nadica; Pečar Ilić, Jadranka; Ružić, Ivica; Pletikapić, Galja, Cell adhesion and spreading at a charged interface: Insight into the mechanism using surface techniques and mathematical modelling. Electrochimica acta, 176 (2015) 743-754.</w:t>
      </w:r>
      <w:r w:rsidRPr="00C55535">
        <w:rPr>
          <w:bCs/>
        </w:rPr>
        <w:t xml:space="preserve"> </w:t>
      </w:r>
      <w:r w:rsidRPr="00C55535">
        <w:rPr>
          <w:bCs/>
        </w:rPr>
        <w:fldChar w:fldCharType="begin"/>
      </w:r>
      <w:r w:rsidRPr="00C55535">
        <w:rPr>
          <w:bCs/>
        </w:rPr>
        <w:instrText>HYPERLINK "https://doi.org/10.1016/j.electacta.2015.07.068"</w:instrText>
      </w:r>
      <w:r w:rsidRPr="00C55535">
        <w:rPr>
          <w:bCs/>
        </w:rPr>
      </w:r>
      <w:r w:rsidRPr="00C55535">
        <w:rPr>
          <w:bCs/>
        </w:rPr>
        <w:fldChar w:fldCharType="separate"/>
      </w:r>
      <w:r w:rsidRPr="00C55535">
        <w:rPr>
          <w:rStyle w:val="Hyperlink"/>
          <w:rFonts w:cstheme="minorHAnsi"/>
          <w:bCs/>
          <w:noProof/>
          <w:color w:val="auto"/>
          <w:u w:val="none"/>
          <w:lang w:val="hr-HR" w:eastAsia="hr-HR"/>
        </w:rPr>
        <w:t>https://doi.org/10.1016/j.electacta.2015.07.068</w:t>
      </w:r>
      <w:r w:rsidRPr="00C55535">
        <w:rPr>
          <w:bCs/>
        </w:rPr>
        <w:fldChar w:fldCharType="end"/>
      </w:r>
    </w:p>
    <w:p w14:paraId="37AA39C8" w14:textId="77777777" w:rsidR="00FC4CB8" w:rsidRDefault="00FC4CB8" w:rsidP="00F36B87">
      <w:pPr>
        <w:ind w:firstLine="720"/>
        <w:jc w:val="both"/>
      </w:pPr>
    </w:p>
    <w:p w14:paraId="156BD15C" w14:textId="77777777" w:rsidR="0025205C" w:rsidRDefault="0025205C" w:rsidP="00F36B87">
      <w:pPr>
        <w:ind w:firstLine="720"/>
        <w:jc w:val="both"/>
      </w:pPr>
    </w:p>
    <w:p w14:paraId="5727D5D0" w14:textId="77777777" w:rsidR="00C55535" w:rsidRPr="00C55535" w:rsidRDefault="00C55535" w:rsidP="001C29CE">
      <w:pPr>
        <w:spacing w:after="120"/>
        <w:jc w:val="both"/>
        <w:rPr>
          <w:b/>
          <w:bCs/>
        </w:rPr>
      </w:pPr>
      <w:r w:rsidRPr="00C55535">
        <w:rPr>
          <w:b/>
          <w:bCs/>
        </w:rPr>
        <w:t>Acknowledgments</w:t>
      </w:r>
    </w:p>
    <w:p w14:paraId="731EA560" w14:textId="526B90B1" w:rsidR="00C55535" w:rsidRDefault="00C55535" w:rsidP="00C55535">
      <w:pPr>
        <w:jc w:val="both"/>
      </w:pPr>
      <w:r>
        <w:t xml:space="preserve">This research was conducted with financial support from the Croatian Science Foundation (IP-2018-01-5840). Conference participation was supported by the National Recovery and Resilience Plan, </w:t>
      </w:r>
      <w:proofErr w:type="spellStart"/>
      <w:r>
        <w:t>NextGenerationEU</w:t>
      </w:r>
      <w:proofErr w:type="spellEnd"/>
      <w:r>
        <w:t>, and project KP3-26</w:t>
      </w:r>
      <w:r>
        <w:t xml:space="preserve"> </w:t>
      </w:r>
      <w:r>
        <w:t>funded by RBI</w:t>
      </w:r>
      <w:r>
        <w:t>.</w:t>
      </w:r>
    </w:p>
    <w:p w14:paraId="68CC0713" w14:textId="3B31733C" w:rsidR="002C649A" w:rsidRPr="002C649A" w:rsidRDefault="00C55535" w:rsidP="00C55535">
      <w:pPr>
        <w:jc w:val="both"/>
        <w:rPr>
          <w:iCs/>
        </w:rPr>
      </w:pPr>
      <w:r>
        <w:t>.</w:t>
      </w:r>
      <w:r w:rsidR="002C649A" w:rsidRPr="002C649A">
        <w:rPr>
          <w:iCs/>
        </w:rPr>
        <w:br w:type="page"/>
      </w:r>
    </w:p>
    <w:p w14:paraId="4E1252CB" w14:textId="77777777" w:rsidR="00182BBE" w:rsidRPr="00685C1A" w:rsidRDefault="00182BBE" w:rsidP="00E0716D">
      <w:pPr>
        <w:jc w:val="center"/>
        <w:rPr>
          <w:i/>
        </w:rPr>
      </w:pPr>
    </w:p>
    <w:p w14:paraId="34ED65D7" w14:textId="22CD09FA" w:rsidR="006C3399" w:rsidRDefault="006C3399" w:rsidP="006C3399">
      <w:pPr>
        <w:ind w:firstLine="720"/>
        <w:jc w:val="both"/>
      </w:pPr>
      <w:r w:rsidRPr="006C3399">
        <w:t xml:space="preserve">The development of drug delivery systems using renewable and environmentally friendly materials is an important part of biotechnology. To address this, </w:t>
      </w:r>
      <w:r w:rsidR="00F5113E">
        <w:t>we</w:t>
      </w:r>
      <w:r w:rsidRPr="006C3399">
        <w:t xml:space="preserve"> </w:t>
      </w:r>
      <w:r w:rsidR="00F5113E">
        <w:t>examine</w:t>
      </w:r>
      <w:r w:rsidRPr="006C3399">
        <w:t xml:space="preserve"> bioinspired vesicles reconstructed from the wall-free marine microalga </w:t>
      </w:r>
      <w:proofErr w:type="spellStart"/>
      <w:r w:rsidRPr="006C3399">
        <w:t>Dunaliella</w:t>
      </w:r>
      <w:proofErr w:type="spellEnd"/>
      <w:r w:rsidRPr="006C3399">
        <w:t xml:space="preserve"> </w:t>
      </w:r>
      <w:proofErr w:type="spellStart"/>
      <w:r w:rsidRPr="006C3399">
        <w:t>tertiolecta</w:t>
      </w:r>
      <w:proofErr w:type="spellEnd"/>
      <w:r w:rsidRPr="006C3399">
        <w:t xml:space="preserve"> via hypoosmotic stress. Optimizing these platforms requires a clear understanding of how soft vesicle membranes interact with charged biological surfaces, bridging real-time electrochemical kinetics with spatial nanomechanical structures.  Our dynamic baseline relies on the methodology validated in Ivosevic DeNardis et al. (</w:t>
      </w:r>
      <w:proofErr w:type="spellStart"/>
      <w:r w:rsidRPr="006C3399">
        <w:t>Electrochimica</w:t>
      </w:r>
      <w:proofErr w:type="spellEnd"/>
      <w:r w:rsidRPr="006C3399">
        <w:t xml:space="preserve"> Acta, 2015). Using highly sensitive amperometry at a dropping mercury electrode, we capture transient current signals generated during the millisecond-scale adhesion, deformation, and rupture of isolated </w:t>
      </w:r>
      <w:proofErr w:type="gramStart"/>
      <w:r w:rsidRPr="006C3399">
        <w:t>vesicles</w:t>
      </w:r>
      <w:proofErr w:type="gramEnd"/>
      <w:r w:rsidRPr="006C3399">
        <w:t xml:space="preserve">. Applying a multi-step reaction kinetics model allows us to decouple these rapid states and extract specific time constants ($\tau_0, \tau_1, \tau_2$) that reflect membrane fluidity and structural disruption under electrical stress.  To understand how these quick electrochemical insights translate into physical space, we connect them with quantitative Atomic Force Microscopy (Bio-AFM), expanding on findings from Levak et al. (Bioelectrochemistry, 2023). While </w:t>
      </w:r>
      <w:proofErr w:type="spellStart"/>
      <w:r w:rsidRPr="006C3399">
        <w:t>amperometric</w:t>
      </w:r>
      <w:proofErr w:type="spellEnd"/>
      <w:r w:rsidRPr="006C3399">
        <w:t xml:space="preserve"> transients show the rate and mechanism of membrane disruption, Bio-AFM force spectroscopy reveals that these vesicles are highly soft (Young’s modulus $&lt; 1$ kPa) and possess hydrophilic surface profiles with a non-uniform distribution of nano-pores up to 10 nm.  Crucially, these vesicles are non-cytotoxic, non-immunogenic, and biocompatible. Their membranes contain carotenoids with significant antioxidant activity, free chlorophyll degradation products, a balanced fatty acid profile, and a high protein-to-lipid ratio. Confocal imaging confirms that this structural organization enables successful non-covalent binding and transport of macrocyclic glycopeptides and oligonucleotides. Furthermore, hydrated, lyophilized material spontaneously and reversibly reassembles into vesicles, guaranteeing long-term matrix stability for future pharmaceutical applications.</w:t>
      </w:r>
    </w:p>
    <w:p w14:paraId="554E2F24" w14:textId="77777777" w:rsidR="006C3399" w:rsidRDefault="006C3399" w:rsidP="006C3399">
      <w:pPr>
        <w:ind w:firstLine="720"/>
        <w:jc w:val="both"/>
      </w:pPr>
    </w:p>
    <w:p w14:paraId="6B3FA8D9" w14:textId="77777777" w:rsidR="006C3399" w:rsidRDefault="006C3399" w:rsidP="006C3399">
      <w:pPr>
        <w:ind w:firstLine="720"/>
        <w:jc w:val="both"/>
      </w:pPr>
    </w:p>
    <w:p w14:paraId="488661F2" w14:textId="77777777" w:rsidR="006C3399" w:rsidRDefault="006C3399" w:rsidP="006C3399">
      <w:pPr>
        <w:ind w:firstLine="720"/>
        <w:jc w:val="both"/>
      </w:pPr>
    </w:p>
    <w:p w14:paraId="4F0671E9" w14:textId="77777777" w:rsidR="006C3399" w:rsidRDefault="006C3399" w:rsidP="006C3399">
      <w:pPr>
        <w:ind w:firstLine="720"/>
        <w:jc w:val="both"/>
      </w:pPr>
    </w:p>
    <w:p w14:paraId="300D2836" w14:textId="77777777" w:rsidR="006C3399" w:rsidRDefault="006C3399" w:rsidP="006C3399">
      <w:pPr>
        <w:ind w:firstLine="720"/>
        <w:jc w:val="both"/>
      </w:pPr>
    </w:p>
    <w:p w14:paraId="32FFB869" w14:textId="454CD827" w:rsidR="006C3399" w:rsidRPr="006C3399" w:rsidRDefault="00DE7E33" w:rsidP="006C3399">
      <w:pPr>
        <w:ind w:firstLine="720"/>
        <w:jc w:val="both"/>
      </w:pPr>
      <w:r w:rsidRPr="00DE7E33">
        <w:t xml:space="preserve">Designing sustainable, </w:t>
      </w:r>
      <w:proofErr w:type="gramStart"/>
      <w:r w:rsidRPr="00DE7E33">
        <w:t>bioinspired</w:t>
      </w:r>
      <w:proofErr w:type="gramEnd"/>
      <w:r w:rsidRPr="00DE7E33">
        <w:t xml:space="preserve"> drug </w:t>
      </w:r>
      <w:r>
        <w:t>carriers</w:t>
      </w:r>
      <w:r w:rsidRPr="00DE7E33">
        <w:t xml:space="preserve"> depends on a clear understanding of how soft vesicle membranes interact with charged biological surfaces. This study introduces the biophysical framework, which connects the real-time kinetic modeling of </w:t>
      </w:r>
      <w:r>
        <w:t>vesicles</w:t>
      </w:r>
      <w:r w:rsidRPr="00DE7E33">
        <w:t xml:space="preserve"> with their physical nanomechanical structures. By combining these approaches, we aim to optimize next-generation cargo carriers derived from the wall-free marine microalga </w:t>
      </w:r>
      <w:proofErr w:type="spellStart"/>
      <w:r w:rsidRPr="00DE7E33">
        <w:t>Dunaliella</w:t>
      </w:r>
      <w:proofErr w:type="spellEnd"/>
      <w:r w:rsidRPr="00DE7E33">
        <w:t xml:space="preserve"> </w:t>
      </w:r>
      <w:proofErr w:type="spellStart"/>
      <w:r w:rsidRPr="00DE7E33">
        <w:t>tertiolecta</w:t>
      </w:r>
      <w:proofErr w:type="spellEnd"/>
      <w:r w:rsidRPr="00DE7E33">
        <w:t>.  Our dynamic baseline relies on the electrochemical methodology validated in Ivosevic DeNardis et al. (</w:t>
      </w:r>
      <w:proofErr w:type="spellStart"/>
      <w:r w:rsidRPr="00DE7E33">
        <w:t>Electrochimica</w:t>
      </w:r>
      <w:proofErr w:type="spellEnd"/>
      <w:r w:rsidRPr="00DE7E33">
        <w:t xml:space="preserve"> Acta, 2015). Using highly sensitive amperometry at a dropping mercury electrode, we capture transient current signals generated during the millisecond-scale adhesion, deformation, and rupture of isolated </w:t>
      </w:r>
      <w:proofErr w:type="gramStart"/>
      <w:r w:rsidRPr="00DE7E33">
        <w:t>vesicles</w:t>
      </w:r>
      <w:proofErr w:type="gramEnd"/>
      <w:r w:rsidRPr="00DE7E33">
        <w:t xml:space="preserve">. Applying a multi-step reaction kinetics model allows us to decouple these rapid, overlapping states and extract specific time constants ($\tau_0, \tau_1, \tau_2$). These constants provide a direct look into the rates of membrane fluidity and structural disruption under electrical stress.  To understand how these quick electrochemical insights translate into functional drug transport, we connect them with quantitative Atomic Force Microscopy (Bio-AFM) and Confocal Laser Scanning Microscopy, expanding on the work by Levak et al. (Bioelectrochemistry, 2023). While the </w:t>
      </w:r>
      <w:proofErr w:type="spellStart"/>
      <w:r w:rsidRPr="00DE7E33">
        <w:t>amperometric</w:t>
      </w:r>
      <w:proofErr w:type="spellEnd"/>
      <w:r w:rsidRPr="00DE7E33">
        <w:t xml:space="preserve"> transients show us the rate and mechanism of membrane rupture, Bio-AFM force spectroscopy explains the physical state of the vesicle by revealing its exact spatial properties. Our measurements show that these vesicles are highly soft (Young’s modulus $&lt; 1$ kPa), possess hydrophilic surface profiles, and feature a non-uniform distribution of pore-like structures up to 10 nm.  Correlating the sub-millisecond current transient metrics with AFM elasticity data allows us to decode how changes in the parent cell's biochemical composition—controlled through growth conditions—directly dictate the final vesicle permeability and cargo retention. Functional validation confirmed that these tailored, non-cytotoxic carriers support size-selective transport. They enable the spontaneous permeation of </w:t>
      </w:r>
      <w:proofErr w:type="spellStart"/>
      <w:r w:rsidRPr="00DE7E33">
        <w:t>calcein</w:t>
      </w:r>
      <w:proofErr w:type="spellEnd"/>
      <w:r w:rsidRPr="00DE7E33">
        <w:t xml:space="preserve"> and the selective binding of glycopeptide antibiotics via specific membrane interactions.  Conclusively, integrating classical electrochemical mechanics with advanced nanomechanical profiling offers a complete, unbiased view of soft interfaces. This approach transforms fundamental membrane biophysics into a predictable bio-manufacturing platform for targeted and safe drug delivery systems</w:t>
      </w:r>
      <w:r w:rsidRPr="006C3399">
        <w:rPr>
          <w:highlight w:val="yellow"/>
        </w:rPr>
        <w:t>.</w:t>
      </w:r>
      <w:r w:rsidR="006C3399" w:rsidRPr="006C3399">
        <w:rPr>
          <w:highlight w:val="yellow"/>
        </w:rPr>
        <w:t xml:space="preserve">  Conclusively, combining electrochemical dynamics with advanced nanomechanical profiling transforms fundamental membrane biophysics into a predictable, safe, and stable bio-manufacturing platform for targeted</w:t>
      </w:r>
      <w:r w:rsidR="006C3399" w:rsidRPr="006C3399">
        <w:t xml:space="preserve"> </w:t>
      </w:r>
      <w:r w:rsidR="006C3399" w:rsidRPr="006C3399">
        <w:rPr>
          <w:color w:val="FF0000"/>
        </w:rPr>
        <w:t xml:space="preserve">drug delivery. </w:t>
      </w:r>
    </w:p>
    <w:p w14:paraId="17526897" w14:textId="77777777" w:rsidR="006C3399" w:rsidRPr="006C3399" w:rsidRDefault="006C3399" w:rsidP="006C3399">
      <w:pPr>
        <w:ind w:firstLine="720"/>
        <w:jc w:val="both"/>
      </w:pPr>
      <w:r w:rsidRPr="006C3399">
        <w:t>DOCX+ 3</w:t>
      </w:r>
    </w:p>
    <w:p w14:paraId="433AE9B1" w14:textId="4F833788" w:rsidR="00182BBE" w:rsidRDefault="00182BBE" w:rsidP="00182BBE">
      <w:pPr>
        <w:ind w:firstLine="720"/>
        <w:jc w:val="both"/>
      </w:pPr>
    </w:p>
    <w:p w14:paraId="1562464C" w14:textId="77777777" w:rsidR="00DE7E33" w:rsidRDefault="00DE7E33" w:rsidP="00182BBE">
      <w:pPr>
        <w:ind w:firstLine="720"/>
        <w:jc w:val="both"/>
      </w:pPr>
    </w:p>
    <w:p w14:paraId="57208D6C" w14:textId="77777777" w:rsidR="00732F82" w:rsidRPr="00732F82" w:rsidRDefault="00732F82" w:rsidP="0015262E">
      <w:pPr>
        <w:widowControl/>
        <w:kinsoku w:val="0"/>
        <w:overflowPunct w:val="0"/>
        <w:jc w:val="both"/>
        <w:textAlignment w:val="baseline"/>
        <w:rPr>
          <w:snapToGrid/>
          <w:lang w:val="hr-HR" w:eastAsia="hr-HR"/>
        </w:rPr>
      </w:pPr>
      <w:r w:rsidRPr="00732F82">
        <w:rPr>
          <w:b/>
          <w:snapToGrid/>
          <w:lang w:val="hr-HR" w:eastAsia="hr-HR"/>
        </w:rPr>
        <w:t>Acknowledgment</w:t>
      </w:r>
      <w:r w:rsidRPr="00732F82">
        <w:rPr>
          <w:snapToGrid/>
          <w:lang w:val="hr-HR" w:eastAsia="hr-HR"/>
        </w:rPr>
        <w:t xml:space="preserve"> </w:t>
      </w:r>
    </w:p>
    <w:p w14:paraId="4F631D52" w14:textId="37BC228D" w:rsidR="00182BBE" w:rsidRDefault="0024698F" w:rsidP="009803EC">
      <w:pPr>
        <w:widowControl/>
        <w:jc w:val="both"/>
        <w:rPr>
          <w:rFonts w:eastAsia="Calibri"/>
          <w:snapToGrid/>
          <w:color w:val="000000"/>
        </w:rPr>
      </w:pPr>
      <w:r>
        <w:rPr>
          <w:rFonts w:eastAsia="Calibri"/>
          <w:snapToGrid/>
          <w:color w:val="000000"/>
        </w:rPr>
        <w:t>Funded</w:t>
      </w:r>
      <w:r w:rsidR="00182BBE" w:rsidRPr="00182BBE">
        <w:rPr>
          <w:rFonts w:eastAsia="Calibri"/>
          <w:snapToGrid/>
          <w:color w:val="000000"/>
        </w:rPr>
        <w:t xml:space="preserve"> </w:t>
      </w:r>
      <w:r w:rsidR="00642F38">
        <w:rPr>
          <w:rFonts w:eastAsia="Calibri"/>
          <w:snapToGrid/>
          <w:color w:val="000000"/>
        </w:rPr>
        <w:t>by</w:t>
      </w:r>
      <w:r w:rsidR="00182BBE" w:rsidRPr="00182BBE">
        <w:rPr>
          <w:rFonts w:eastAsia="Calibri"/>
          <w:snapToGrid/>
          <w:color w:val="000000"/>
        </w:rPr>
        <w:t xml:space="preserve"> the European Union–</w:t>
      </w:r>
      <w:r w:rsidR="00642F38" w:rsidRPr="004A5451">
        <w:rPr>
          <w:rFonts w:cstheme="minorHAnsi"/>
          <w:noProof/>
          <w:lang w:val="hr-HR"/>
        </w:rPr>
        <w:t>National Recovery and Resilience Plan, NextGenerationEU</w:t>
      </w:r>
      <w:r w:rsidR="00642F38">
        <w:rPr>
          <w:rFonts w:cstheme="minorHAnsi"/>
          <w:noProof/>
          <w:lang w:val="hr-HR"/>
        </w:rPr>
        <w:t xml:space="preserve"> </w:t>
      </w:r>
      <w:r w:rsidR="00642F38">
        <w:rPr>
          <w:rFonts w:eastAsia="Calibri"/>
          <w:snapToGrid/>
          <w:color w:val="000000"/>
        </w:rPr>
        <w:t>(KP3-26)</w:t>
      </w:r>
      <w:r w:rsidR="00182BBE" w:rsidRPr="00182BBE">
        <w:rPr>
          <w:rFonts w:eastAsia="Calibri"/>
          <w:snapToGrid/>
          <w:color w:val="000000"/>
        </w:rPr>
        <w:t>.</w:t>
      </w:r>
    </w:p>
    <w:p w14:paraId="39538768" w14:textId="77777777" w:rsidR="00642F38" w:rsidRDefault="00642F38" w:rsidP="00642F38">
      <w:pPr>
        <w:widowControl/>
        <w:ind w:right="-225"/>
        <w:jc w:val="both"/>
        <w:rPr>
          <w:rFonts w:eastAsia="Calibri"/>
          <w:snapToGrid/>
          <w:color w:val="000000"/>
        </w:rPr>
      </w:pPr>
    </w:p>
    <w:p w14:paraId="08205559" w14:textId="77777777" w:rsidR="00732F82" w:rsidRPr="00732F82" w:rsidRDefault="00732F82" w:rsidP="0015262E">
      <w:pPr>
        <w:widowControl/>
        <w:rPr>
          <w:rFonts w:eastAsia="Calibri"/>
          <w:b/>
          <w:bCs/>
          <w:snapToGrid/>
          <w:szCs w:val="22"/>
          <w:lang w:val="hr-HR"/>
        </w:rPr>
      </w:pPr>
      <w:proofErr w:type="spellStart"/>
      <w:r w:rsidRPr="00732F82">
        <w:rPr>
          <w:rFonts w:eastAsia="Calibri"/>
          <w:b/>
          <w:bCs/>
          <w:snapToGrid/>
          <w:szCs w:val="22"/>
          <w:lang w:val="hr-HR"/>
        </w:rPr>
        <w:t>References</w:t>
      </w:r>
      <w:proofErr w:type="spellEnd"/>
    </w:p>
    <w:p w14:paraId="1E36F4EC" w14:textId="77777777" w:rsidR="00DE7E33" w:rsidRPr="00DE7E33" w:rsidRDefault="00732F82" w:rsidP="00DE7E33">
      <w:pPr>
        <w:widowControl/>
        <w:ind w:left="270" w:hanging="270"/>
        <w:contextualSpacing/>
        <w:rPr>
          <w:rFonts w:cstheme="minorHAnsi"/>
          <w:noProof/>
          <w:lang w:val="hr-HR" w:eastAsia="hr-HR"/>
        </w:rPr>
      </w:pPr>
      <w:r w:rsidRPr="00DE7E33">
        <w:rPr>
          <w:rFonts w:eastAsia="Calibri"/>
          <w:snapToGrid/>
          <w:lang w:val="hr-HR"/>
        </w:rPr>
        <w:t xml:space="preserve">[1] </w:t>
      </w:r>
      <w:r w:rsidR="00DE7E33" w:rsidRPr="00DE7E33">
        <w:rPr>
          <w:rFonts w:cstheme="minorHAnsi"/>
          <w:noProof/>
          <w:lang w:val="hr-HR" w:eastAsia="hr-HR"/>
        </w:rPr>
        <w:t>Ivošević DeNardis, Nadica*; Pečar Ilić, Jadranka; Ružić, Ivica; Pletikapić, Galja, Cell adhesion and spreading at a charged interface: Insight into the mechanism using surface techniques and mathematical modelling.  Electrochimica acta, 176 (2015) 743-754.</w:t>
      </w:r>
      <w:r w:rsidR="00DE7E33" w:rsidRPr="00DE7E33">
        <w:t xml:space="preserve"> </w:t>
      </w:r>
      <w:hyperlink r:id="rId13" w:history="1">
        <w:r w:rsidR="00DE7E33" w:rsidRPr="00DE7E33">
          <w:rPr>
            <w:rStyle w:val="Hyperlink"/>
            <w:rFonts w:cstheme="minorHAnsi"/>
            <w:noProof/>
            <w:lang w:val="hr-HR" w:eastAsia="hr-HR"/>
          </w:rPr>
          <w:t>https://doi.org/10.1016/j.electacta.2015.07.068</w:t>
        </w:r>
      </w:hyperlink>
    </w:p>
    <w:p w14:paraId="1D46B3FD" w14:textId="6659566D" w:rsidR="00642F38" w:rsidRPr="00DE7E33" w:rsidRDefault="00C150F0" w:rsidP="0024698F">
      <w:pPr>
        <w:ind w:left="270" w:hanging="270"/>
        <w:rPr>
          <w:rFonts w:eastAsia="Calibri"/>
          <w:snapToGrid/>
          <w:lang w:val="hr-HR"/>
        </w:rPr>
      </w:pPr>
      <w:r w:rsidRPr="00DE7E33">
        <w:rPr>
          <w:rFonts w:eastAsia="Calibri"/>
          <w:snapToGrid/>
          <w:lang w:val="hr-HR"/>
        </w:rPr>
        <w:t xml:space="preserve">[2] </w:t>
      </w:r>
      <w:r w:rsidR="00642F38" w:rsidRPr="00DE7E33">
        <w:rPr>
          <w:rFonts w:eastAsia="Calibri"/>
          <w:snapToGrid/>
          <w:lang w:val="hr-HR"/>
        </w:rPr>
        <w:t xml:space="preserve">Levak </w:t>
      </w:r>
      <w:proofErr w:type="spellStart"/>
      <w:r w:rsidR="00642F38" w:rsidRPr="00DE7E33">
        <w:rPr>
          <w:rFonts w:eastAsia="Calibri"/>
          <w:snapToGrid/>
          <w:lang w:val="hr-HR"/>
        </w:rPr>
        <w:t>Zorinc</w:t>
      </w:r>
      <w:proofErr w:type="spellEnd"/>
      <w:r w:rsidR="00642F38" w:rsidRPr="00DE7E33">
        <w:rPr>
          <w:rFonts w:eastAsia="Calibri"/>
          <w:snapToGrid/>
          <w:lang w:val="hr-HR"/>
        </w:rPr>
        <w:t xml:space="preserve">, Maja; </w:t>
      </w:r>
      <w:proofErr w:type="spellStart"/>
      <w:r w:rsidR="00642F38" w:rsidRPr="00DE7E33">
        <w:rPr>
          <w:rFonts w:eastAsia="Calibri"/>
          <w:snapToGrid/>
          <w:lang w:val="hr-HR"/>
        </w:rPr>
        <w:t>Demir-Yilmaz</w:t>
      </w:r>
      <w:proofErr w:type="spellEnd"/>
      <w:r w:rsidR="00642F38" w:rsidRPr="00DE7E33">
        <w:rPr>
          <w:rFonts w:eastAsia="Calibri"/>
          <w:snapToGrid/>
          <w:lang w:val="hr-HR"/>
        </w:rPr>
        <w:t xml:space="preserve">, </w:t>
      </w:r>
      <w:proofErr w:type="spellStart"/>
      <w:r w:rsidR="00642F38" w:rsidRPr="00DE7E33">
        <w:rPr>
          <w:rFonts w:eastAsia="Calibri"/>
          <w:snapToGrid/>
          <w:lang w:val="hr-HR"/>
        </w:rPr>
        <w:t>Irem</w:t>
      </w:r>
      <w:proofErr w:type="spellEnd"/>
      <w:r w:rsidR="00642F38" w:rsidRPr="00DE7E33">
        <w:rPr>
          <w:rFonts w:eastAsia="Calibri"/>
          <w:snapToGrid/>
          <w:lang w:val="hr-HR"/>
        </w:rPr>
        <w:t xml:space="preserve">; </w:t>
      </w:r>
      <w:proofErr w:type="spellStart"/>
      <w:r w:rsidR="00642F38" w:rsidRPr="00DE7E33">
        <w:rPr>
          <w:rFonts w:eastAsia="Calibri"/>
          <w:snapToGrid/>
          <w:lang w:val="hr-HR"/>
        </w:rPr>
        <w:t>Formosa</w:t>
      </w:r>
      <w:proofErr w:type="spellEnd"/>
      <w:r w:rsidR="00642F38" w:rsidRPr="00DE7E33">
        <w:rPr>
          <w:rFonts w:eastAsia="Calibri"/>
          <w:snapToGrid/>
          <w:lang w:val="hr-HR"/>
        </w:rPr>
        <w:t xml:space="preserve">- </w:t>
      </w:r>
      <w:proofErr w:type="spellStart"/>
      <w:r w:rsidR="00642F38" w:rsidRPr="00DE7E33">
        <w:rPr>
          <w:rFonts w:eastAsia="Calibri"/>
          <w:snapToGrid/>
          <w:lang w:val="hr-HR"/>
        </w:rPr>
        <w:t>Dague</w:t>
      </w:r>
      <w:proofErr w:type="spellEnd"/>
      <w:r w:rsidR="00642F38" w:rsidRPr="00DE7E33">
        <w:rPr>
          <w:rFonts w:eastAsia="Calibri"/>
          <w:snapToGrid/>
          <w:lang w:val="hr-HR"/>
        </w:rPr>
        <w:t xml:space="preserve">, </w:t>
      </w:r>
      <w:proofErr w:type="spellStart"/>
      <w:r w:rsidR="00642F38" w:rsidRPr="00DE7E33">
        <w:rPr>
          <w:rFonts w:eastAsia="Calibri"/>
          <w:snapToGrid/>
          <w:lang w:val="hr-HR"/>
        </w:rPr>
        <w:t>Cecile</w:t>
      </w:r>
      <w:proofErr w:type="spellEnd"/>
      <w:r w:rsidR="00642F38" w:rsidRPr="00DE7E33">
        <w:rPr>
          <w:rFonts w:eastAsia="Calibri"/>
          <w:snapToGrid/>
          <w:lang w:val="hr-HR"/>
        </w:rPr>
        <w:t xml:space="preserve">; Vrana, </w:t>
      </w:r>
      <w:proofErr w:type="spellStart"/>
      <w:r w:rsidR="00642F38" w:rsidRPr="00DE7E33">
        <w:rPr>
          <w:rFonts w:eastAsia="Calibri"/>
          <w:snapToGrid/>
          <w:lang w:val="hr-HR"/>
        </w:rPr>
        <w:t>Ivna</w:t>
      </w:r>
      <w:proofErr w:type="spellEnd"/>
      <w:r w:rsidR="00642F38" w:rsidRPr="00DE7E33">
        <w:rPr>
          <w:rFonts w:eastAsia="Calibri"/>
          <w:snapToGrid/>
          <w:lang w:val="hr-HR"/>
        </w:rPr>
        <w:t xml:space="preserve">; </w:t>
      </w:r>
      <w:proofErr w:type="spellStart"/>
      <w:r w:rsidR="00642F38" w:rsidRPr="00DE7E33">
        <w:rPr>
          <w:rFonts w:eastAsia="Calibri"/>
          <w:snapToGrid/>
          <w:lang w:val="hr-HR"/>
        </w:rPr>
        <w:t>Gašparović</w:t>
      </w:r>
      <w:proofErr w:type="spellEnd"/>
      <w:r w:rsidR="00642F38" w:rsidRPr="00DE7E33">
        <w:rPr>
          <w:rFonts w:eastAsia="Calibri"/>
          <w:snapToGrid/>
          <w:lang w:val="hr-HR"/>
        </w:rPr>
        <w:t xml:space="preserve">, Blaženka; Horvat, Lucija; Butorac, Ana; </w:t>
      </w:r>
      <w:proofErr w:type="spellStart"/>
      <w:r w:rsidR="00642F38" w:rsidRPr="00DE7E33">
        <w:rPr>
          <w:rFonts w:eastAsia="Calibri"/>
          <w:snapToGrid/>
          <w:lang w:val="hr-HR"/>
        </w:rPr>
        <w:t>Frkanec</w:t>
      </w:r>
      <w:proofErr w:type="spellEnd"/>
      <w:r w:rsidR="00642F38" w:rsidRPr="00DE7E33">
        <w:rPr>
          <w:rFonts w:eastAsia="Calibri"/>
          <w:snapToGrid/>
          <w:lang w:val="hr-HR"/>
        </w:rPr>
        <w:t xml:space="preserve">, Ruža; Ivošević DeNardis, Nadica, </w:t>
      </w:r>
      <w:proofErr w:type="spellStart"/>
      <w:r w:rsidR="00642F38" w:rsidRPr="00DE7E33">
        <w:rPr>
          <w:rFonts w:eastAsia="Calibri"/>
          <w:snapToGrid/>
          <w:lang w:val="hr-HR"/>
        </w:rPr>
        <w:t>Reconstructed</w:t>
      </w:r>
      <w:proofErr w:type="spellEnd"/>
      <w:r w:rsidR="00642F38" w:rsidRPr="00DE7E33">
        <w:rPr>
          <w:rFonts w:eastAsia="Calibri"/>
          <w:snapToGrid/>
          <w:lang w:val="hr-HR"/>
        </w:rPr>
        <w:t xml:space="preserve"> membrane </w:t>
      </w:r>
      <w:proofErr w:type="spellStart"/>
      <w:r w:rsidR="00642F38" w:rsidRPr="00DE7E33">
        <w:rPr>
          <w:rFonts w:eastAsia="Calibri"/>
          <w:snapToGrid/>
          <w:lang w:val="hr-HR"/>
        </w:rPr>
        <w:t>vesicles</w:t>
      </w:r>
      <w:proofErr w:type="spellEnd"/>
      <w:r w:rsidR="00642F38" w:rsidRPr="00DE7E33">
        <w:rPr>
          <w:rFonts w:eastAsia="Calibri"/>
          <w:snapToGrid/>
          <w:lang w:val="hr-HR"/>
        </w:rPr>
        <w:t xml:space="preserve"> </w:t>
      </w:r>
      <w:proofErr w:type="spellStart"/>
      <w:r w:rsidR="00642F38" w:rsidRPr="00DE7E33">
        <w:rPr>
          <w:rFonts w:eastAsia="Calibri"/>
          <w:snapToGrid/>
          <w:lang w:val="hr-HR"/>
        </w:rPr>
        <w:t>from</w:t>
      </w:r>
      <w:proofErr w:type="spellEnd"/>
      <w:r w:rsidR="00642F38" w:rsidRPr="00DE7E33">
        <w:rPr>
          <w:rFonts w:eastAsia="Calibri"/>
          <w:snapToGrid/>
          <w:lang w:val="hr-HR"/>
        </w:rPr>
        <w:t xml:space="preserve"> </w:t>
      </w:r>
      <w:proofErr w:type="spellStart"/>
      <w:r w:rsidR="00642F38" w:rsidRPr="00DE7E33">
        <w:rPr>
          <w:rFonts w:eastAsia="Calibri"/>
          <w:snapToGrid/>
          <w:lang w:val="hr-HR"/>
        </w:rPr>
        <w:t>the</w:t>
      </w:r>
      <w:proofErr w:type="spellEnd"/>
      <w:r w:rsidR="00642F38" w:rsidRPr="00DE7E33">
        <w:rPr>
          <w:rFonts w:eastAsia="Calibri"/>
          <w:snapToGrid/>
          <w:lang w:val="hr-HR"/>
        </w:rPr>
        <w:t xml:space="preserve"> </w:t>
      </w:r>
      <w:proofErr w:type="spellStart"/>
      <w:r w:rsidR="00642F38" w:rsidRPr="00DE7E33">
        <w:rPr>
          <w:rFonts w:eastAsia="Calibri"/>
          <w:snapToGrid/>
          <w:lang w:val="hr-HR"/>
        </w:rPr>
        <w:t>microalga</w:t>
      </w:r>
      <w:proofErr w:type="spellEnd"/>
      <w:r w:rsidR="00642F38" w:rsidRPr="00DE7E33">
        <w:rPr>
          <w:rFonts w:eastAsia="Calibri"/>
          <w:snapToGrid/>
          <w:lang w:val="hr-HR"/>
        </w:rPr>
        <w:t xml:space="preserve"> </w:t>
      </w:r>
      <w:proofErr w:type="spellStart"/>
      <w:r w:rsidR="00642F38" w:rsidRPr="00DE7E33">
        <w:rPr>
          <w:rFonts w:eastAsia="Calibri"/>
          <w:snapToGrid/>
          <w:lang w:val="hr-HR"/>
        </w:rPr>
        <w:t>Dunaliella</w:t>
      </w:r>
      <w:proofErr w:type="spellEnd"/>
      <w:r w:rsidR="00642F38" w:rsidRPr="00DE7E33">
        <w:rPr>
          <w:rFonts w:eastAsia="Calibri"/>
          <w:snapToGrid/>
          <w:lang w:val="hr-HR"/>
        </w:rPr>
        <w:t xml:space="preserve"> as a </w:t>
      </w:r>
      <w:proofErr w:type="spellStart"/>
      <w:r w:rsidR="00642F38" w:rsidRPr="00DE7E33">
        <w:rPr>
          <w:rFonts w:eastAsia="Calibri"/>
          <w:snapToGrid/>
          <w:lang w:val="hr-HR"/>
        </w:rPr>
        <w:t>potential</w:t>
      </w:r>
      <w:proofErr w:type="spellEnd"/>
      <w:r w:rsidR="00642F38" w:rsidRPr="00DE7E33">
        <w:rPr>
          <w:rFonts w:eastAsia="Calibri"/>
          <w:snapToGrid/>
          <w:lang w:val="hr-HR"/>
        </w:rPr>
        <w:t xml:space="preserve"> drug </w:t>
      </w:r>
      <w:proofErr w:type="spellStart"/>
      <w:r w:rsidR="00642F38" w:rsidRPr="00DE7E33">
        <w:rPr>
          <w:rFonts w:eastAsia="Calibri"/>
          <w:snapToGrid/>
          <w:lang w:val="hr-HR"/>
        </w:rPr>
        <w:t>delivery</w:t>
      </w:r>
      <w:proofErr w:type="spellEnd"/>
      <w:r w:rsidR="00642F38" w:rsidRPr="00DE7E33">
        <w:rPr>
          <w:rFonts w:eastAsia="Calibri"/>
          <w:snapToGrid/>
          <w:lang w:val="hr-HR"/>
        </w:rPr>
        <w:t xml:space="preserve"> system, </w:t>
      </w:r>
      <w:proofErr w:type="spellStart"/>
      <w:r w:rsidR="00642F38" w:rsidRPr="00DE7E33">
        <w:rPr>
          <w:rFonts w:eastAsia="Calibri"/>
          <w:snapToGrid/>
          <w:lang w:val="hr-HR"/>
        </w:rPr>
        <w:t>Bioelectrochemistry</w:t>
      </w:r>
      <w:proofErr w:type="spellEnd"/>
      <w:r w:rsidR="00642F38" w:rsidRPr="00DE7E33">
        <w:rPr>
          <w:rFonts w:eastAsia="Calibri"/>
          <w:snapToGrid/>
          <w:lang w:val="hr-HR"/>
        </w:rPr>
        <w:t xml:space="preserve">, 150 (2023), 108360. https://doi.org/10.1016/j.bioelechem.2022.108360 </w:t>
      </w:r>
    </w:p>
    <w:p w14:paraId="60204153" w14:textId="2AB74EC9" w:rsidR="00642F38" w:rsidRDefault="00C150F0" w:rsidP="00642F38">
      <w:pPr>
        <w:widowControl/>
        <w:ind w:left="270" w:hanging="270"/>
        <w:contextualSpacing/>
      </w:pPr>
      <w:r w:rsidRPr="00DE7E33">
        <w:rPr>
          <w:rFonts w:eastAsia="Calibri"/>
          <w:snapToGrid/>
          <w:lang w:val="hr-HR"/>
        </w:rPr>
        <w:t>[3]</w:t>
      </w:r>
      <w:r w:rsidR="00642F38" w:rsidRPr="00DE7E33">
        <w:rPr>
          <w:rFonts w:eastAsia="Calibri"/>
          <w:snapToGrid/>
          <w:lang w:val="hr-HR"/>
        </w:rPr>
        <w:t xml:space="preserve"> </w:t>
      </w:r>
      <w:r w:rsidR="00642F38" w:rsidRPr="00DE7E33">
        <w:rPr>
          <w:rFonts w:cstheme="minorHAnsi"/>
          <w:noProof/>
          <w:lang w:val="hr-HR" w:eastAsia="hr-HR"/>
        </w:rPr>
        <w:t>Ivošević DeNardis, Nadica;</w:t>
      </w:r>
      <w:r w:rsidR="00642F38" w:rsidRPr="00463E7D">
        <w:rPr>
          <w:rFonts w:cstheme="minorHAnsi"/>
          <w:noProof/>
          <w:lang w:val="hr-HR" w:eastAsia="hr-HR"/>
        </w:rPr>
        <w:t xml:space="preserve"> Pletikapić, Galja; Frkanec, Ruža; Horvat, Lucija; Vernier, P. Thomas From algal cells to autofluorescent ghost plasma membrane vesicles.  Bioelectrochemistry 134 (2020) 105724</w:t>
      </w:r>
      <w:r w:rsidR="00642F38">
        <w:rPr>
          <w:rFonts w:cstheme="minorHAnsi"/>
          <w:noProof/>
          <w:lang w:val="hr-HR" w:eastAsia="hr-HR"/>
        </w:rPr>
        <w:t>.</w:t>
      </w:r>
      <w:r w:rsidR="00642F38" w:rsidRPr="005733F4">
        <w:t xml:space="preserve"> </w:t>
      </w:r>
      <w:hyperlink r:id="rId14" w:history="1">
        <w:r w:rsidR="00642F38" w:rsidRPr="00D72EE4">
          <w:rPr>
            <w:rStyle w:val="Hyperlink"/>
            <w:rFonts w:cstheme="minorHAnsi"/>
            <w:noProof/>
            <w:lang w:val="hr-HR" w:eastAsia="hr-HR"/>
          </w:rPr>
          <w:t>https://doi.org/10.1016/j.bioelechem.2020.107524</w:t>
        </w:r>
      </w:hyperlink>
    </w:p>
    <w:p w14:paraId="74A07FDA" w14:textId="77777777" w:rsidR="00642F38" w:rsidRDefault="00642F38" w:rsidP="00642F38">
      <w:pPr>
        <w:widowControl/>
        <w:ind w:left="270" w:hanging="270"/>
        <w:contextualSpacing/>
      </w:pPr>
    </w:p>
    <w:p w14:paraId="2072A719" w14:textId="77777777" w:rsidR="00642F38" w:rsidRDefault="00642F38" w:rsidP="00642F38">
      <w:pPr>
        <w:widowControl/>
        <w:contextualSpacing/>
        <w:rPr>
          <w:rFonts w:cstheme="minorHAnsi"/>
          <w:noProof/>
          <w:lang w:val="hr-HR" w:eastAsia="hr-HR"/>
        </w:rPr>
      </w:pPr>
    </w:p>
    <w:p w14:paraId="435666FC" w14:textId="5077094F" w:rsidR="00C150F0" w:rsidRPr="005C18CE" w:rsidRDefault="00C150F0" w:rsidP="0024698F">
      <w:pPr>
        <w:ind w:left="270" w:hanging="270"/>
        <w:rPr>
          <w:rFonts w:eastAsia="Calibri"/>
          <w:snapToGrid/>
          <w:lang w:val="hr-HR"/>
        </w:rPr>
      </w:pPr>
    </w:p>
    <w:p w14:paraId="7B855F98" w14:textId="77777777" w:rsidR="00732F82" w:rsidRDefault="00732F82" w:rsidP="0015262E">
      <w:pPr>
        <w:widowControl/>
        <w:ind w:left="-90" w:firstLine="90"/>
        <w:rPr>
          <w:rFonts w:eastAsia="Calibri"/>
          <w:snapToGrid/>
          <w:szCs w:val="22"/>
          <w:lang w:val="hr-HR"/>
        </w:rPr>
      </w:pPr>
    </w:p>
    <w:p w14:paraId="46B13A16" w14:textId="77777777" w:rsidR="00732F82" w:rsidRDefault="00732F82" w:rsidP="0015262E">
      <w:pPr>
        <w:widowControl/>
        <w:rPr>
          <w:rFonts w:eastAsia="Calibri"/>
          <w:snapToGrid/>
          <w:szCs w:val="22"/>
          <w:lang w:val="hr-HR"/>
        </w:rPr>
      </w:pPr>
    </w:p>
    <w:p w14:paraId="180E3F2D" w14:textId="77777777" w:rsidR="00732F82" w:rsidRDefault="00732F82" w:rsidP="0015262E">
      <w:pPr>
        <w:widowControl/>
        <w:rPr>
          <w:rFonts w:eastAsia="Calibri"/>
          <w:snapToGrid/>
          <w:szCs w:val="22"/>
          <w:lang w:val="hr-HR"/>
        </w:rPr>
      </w:pPr>
    </w:p>
    <w:p w14:paraId="759A6B60" w14:textId="77777777" w:rsidR="0015262E" w:rsidRDefault="0015262E" w:rsidP="00732F82">
      <w:pPr>
        <w:widowControl/>
        <w:rPr>
          <w:rFonts w:eastAsia="Calibri"/>
          <w:snapToGrid/>
          <w:szCs w:val="22"/>
          <w:lang w:val="hr-HR"/>
        </w:rPr>
      </w:pPr>
    </w:p>
    <w:p w14:paraId="40162D66" w14:textId="77777777" w:rsidR="0015262E" w:rsidRDefault="0015262E" w:rsidP="00732F82">
      <w:pPr>
        <w:widowControl/>
        <w:rPr>
          <w:rFonts w:eastAsia="Calibri"/>
          <w:snapToGrid/>
          <w:szCs w:val="22"/>
          <w:lang w:val="hr-HR"/>
        </w:rPr>
      </w:pPr>
    </w:p>
    <w:p w14:paraId="2DD86EB5" w14:textId="77777777" w:rsidR="0015262E" w:rsidRDefault="0015262E" w:rsidP="00732F82">
      <w:pPr>
        <w:widowControl/>
        <w:rPr>
          <w:rFonts w:eastAsia="Calibri"/>
          <w:snapToGrid/>
          <w:szCs w:val="22"/>
          <w:lang w:val="hr-HR"/>
        </w:rPr>
      </w:pPr>
    </w:p>
    <w:p w14:paraId="631BE89F" w14:textId="77777777" w:rsidR="00732F82" w:rsidRDefault="00732F82" w:rsidP="00732F82">
      <w:pPr>
        <w:widowControl/>
        <w:rPr>
          <w:rFonts w:eastAsia="Calibri"/>
          <w:snapToGrid/>
          <w:szCs w:val="22"/>
          <w:lang w:val="hr-HR"/>
        </w:rPr>
      </w:pPr>
    </w:p>
    <w:sectPr w:rsidR="00732F82"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7836"/>
    <w:multiLevelType w:val="hybridMultilevel"/>
    <w:tmpl w:val="9B489AF0"/>
    <w:lvl w:ilvl="0" w:tplc="6C846C9A">
      <w:start w:val="1"/>
      <w:numFmt w:val="decimal"/>
      <w:lvlText w:val="%1."/>
      <w:lvlJc w:val="left"/>
      <w:pPr>
        <w:ind w:left="360" w:hanging="360"/>
      </w:pPr>
      <w:rPr>
        <w:i w:val="0"/>
        <w:i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C84EE3"/>
    <w:multiLevelType w:val="hybridMultilevel"/>
    <w:tmpl w:val="26B8B54C"/>
    <w:lvl w:ilvl="0" w:tplc="C06A4878">
      <w:start w:val="1"/>
      <w:numFmt w:val="bullet"/>
      <w:lvlText w:val=""/>
      <w:lvlJc w:val="left"/>
      <w:pPr>
        <w:tabs>
          <w:tab w:val="num" w:pos="720"/>
        </w:tabs>
        <w:ind w:left="720" w:hanging="360"/>
      </w:pPr>
      <w:rPr>
        <w:rFonts w:ascii="Wingdings" w:hAnsi="Wingdings" w:hint="default"/>
      </w:rPr>
    </w:lvl>
    <w:lvl w:ilvl="1" w:tplc="9A18F972" w:tentative="1">
      <w:start w:val="1"/>
      <w:numFmt w:val="bullet"/>
      <w:lvlText w:val=""/>
      <w:lvlJc w:val="left"/>
      <w:pPr>
        <w:tabs>
          <w:tab w:val="num" w:pos="1440"/>
        </w:tabs>
        <w:ind w:left="1440" w:hanging="360"/>
      </w:pPr>
      <w:rPr>
        <w:rFonts w:ascii="Wingdings" w:hAnsi="Wingdings" w:hint="default"/>
      </w:rPr>
    </w:lvl>
    <w:lvl w:ilvl="2" w:tplc="307E9796" w:tentative="1">
      <w:start w:val="1"/>
      <w:numFmt w:val="bullet"/>
      <w:lvlText w:val=""/>
      <w:lvlJc w:val="left"/>
      <w:pPr>
        <w:tabs>
          <w:tab w:val="num" w:pos="2160"/>
        </w:tabs>
        <w:ind w:left="2160" w:hanging="360"/>
      </w:pPr>
      <w:rPr>
        <w:rFonts w:ascii="Wingdings" w:hAnsi="Wingdings" w:hint="default"/>
      </w:rPr>
    </w:lvl>
    <w:lvl w:ilvl="3" w:tplc="CA68788A" w:tentative="1">
      <w:start w:val="1"/>
      <w:numFmt w:val="bullet"/>
      <w:lvlText w:val=""/>
      <w:lvlJc w:val="left"/>
      <w:pPr>
        <w:tabs>
          <w:tab w:val="num" w:pos="2880"/>
        </w:tabs>
        <w:ind w:left="2880" w:hanging="360"/>
      </w:pPr>
      <w:rPr>
        <w:rFonts w:ascii="Wingdings" w:hAnsi="Wingdings" w:hint="default"/>
      </w:rPr>
    </w:lvl>
    <w:lvl w:ilvl="4" w:tplc="E06C2510" w:tentative="1">
      <w:start w:val="1"/>
      <w:numFmt w:val="bullet"/>
      <w:lvlText w:val=""/>
      <w:lvlJc w:val="left"/>
      <w:pPr>
        <w:tabs>
          <w:tab w:val="num" w:pos="3600"/>
        </w:tabs>
        <w:ind w:left="3600" w:hanging="360"/>
      </w:pPr>
      <w:rPr>
        <w:rFonts w:ascii="Wingdings" w:hAnsi="Wingdings" w:hint="default"/>
      </w:rPr>
    </w:lvl>
    <w:lvl w:ilvl="5" w:tplc="2D2C4EBC" w:tentative="1">
      <w:start w:val="1"/>
      <w:numFmt w:val="bullet"/>
      <w:lvlText w:val=""/>
      <w:lvlJc w:val="left"/>
      <w:pPr>
        <w:tabs>
          <w:tab w:val="num" w:pos="4320"/>
        </w:tabs>
        <w:ind w:left="4320" w:hanging="360"/>
      </w:pPr>
      <w:rPr>
        <w:rFonts w:ascii="Wingdings" w:hAnsi="Wingdings" w:hint="default"/>
      </w:rPr>
    </w:lvl>
    <w:lvl w:ilvl="6" w:tplc="F88C9EC4" w:tentative="1">
      <w:start w:val="1"/>
      <w:numFmt w:val="bullet"/>
      <w:lvlText w:val=""/>
      <w:lvlJc w:val="left"/>
      <w:pPr>
        <w:tabs>
          <w:tab w:val="num" w:pos="5040"/>
        </w:tabs>
        <w:ind w:left="5040" w:hanging="360"/>
      </w:pPr>
      <w:rPr>
        <w:rFonts w:ascii="Wingdings" w:hAnsi="Wingdings" w:hint="default"/>
      </w:rPr>
    </w:lvl>
    <w:lvl w:ilvl="7" w:tplc="4AB678BA" w:tentative="1">
      <w:start w:val="1"/>
      <w:numFmt w:val="bullet"/>
      <w:lvlText w:val=""/>
      <w:lvlJc w:val="left"/>
      <w:pPr>
        <w:tabs>
          <w:tab w:val="num" w:pos="5760"/>
        </w:tabs>
        <w:ind w:left="5760" w:hanging="360"/>
      </w:pPr>
      <w:rPr>
        <w:rFonts w:ascii="Wingdings" w:hAnsi="Wingdings" w:hint="default"/>
      </w:rPr>
    </w:lvl>
    <w:lvl w:ilvl="8" w:tplc="FA64613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4154772"/>
    <w:multiLevelType w:val="hybridMultilevel"/>
    <w:tmpl w:val="64BA96A0"/>
    <w:lvl w:ilvl="0" w:tplc="DF460416">
      <w:start w:val="1"/>
      <w:numFmt w:val="decimal"/>
      <w:lvlText w:val="%1."/>
      <w:lvlJc w:val="left"/>
      <w:pPr>
        <w:ind w:left="2520" w:hanging="360"/>
      </w:pPr>
      <w:rPr>
        <w:rFonts w:asciiTheme="minorHAnsi" w:hAnsiTheme="minorHAnsi" w:cstheme="minorHAnsi" w:hint="default"/>
        <w:b w:val="0"/>
        <w:bCs/>
        <w:i w:val="0"/>
        <w:i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3504198">
    <w:abstractNumId w:val="1"/>
  </w:num>
  <w:num w:numId="2" w16cid:durableId="538787591">
    <w:abstractNumId w:val="0"/>
  </w:num>
  <w:num w:numId="3" w16cid:durableId="1224221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04"/>
    <w:rsid w:val="00041EFD"/>
    <w:rsid w:val="00063A8F"/>
    <w:rsid w:val="00090B05"/>
    <w:rsid w:val="000F25E3"/>
    <w:rsid w:val="000F75AF"/>
    <w:rsid w:val="0015262E"/>
    <w:rsid w:val="0017410D"/>
    <w:rsid w:val="00177F22"/>
    <w:rsid w:val="00182BBE"/>
    <w:rsid w:val="001C29CE"/>
    <w:rsid w:val="0021561A"/>
    <w:rsid w:val="0024698F"/>
    <w:rsid w:val="0025205C"/>
    <w:rsid w:val="002774FA"/>
    <w:rsid w:val="00277C58"/>
    <w:rsid w:val="002C649A"/>
    <w:rsid w:val="00325004"/>
    <w:rsid w:val="00331C80"/>
    <w:rsid w:val="00354D2D"/>
    <w:rsid w:val="00382C57"/>
    <w:rsid w:val="003A5A15"/>
    <w:rsid w:val="00423502"/>
    <w:rsid w:val="00465729"/>
    <w:rsid w:val="004764D6"/>
    <w:rsid w:val="004A2166"/>
    <w:rsid w:val="004B2E91"/>
    <w:rsid w:val="00536366"/>
    <w:rsid w:val="00544973"/>
    <w:rsid w:val="00594C85"/>
    <w:rsid w:val="005C18CE"/>
    <w:rsid w:val="0062727E"/>
    <w:rsid w:val="00642F38"/>
    <w:rsid w:val="00650B54"/>
    <w:rsid w:val="006517C4"/>
    <w:rsid w:val="00685C1A"/>
    <w:rsid w:val="006C3399"/>
    <w:rsid w:val="006C6F8E"/>
    <w:rsid w:val="006F6A3C"/>
    <w:rsid w:val="00700165"/>
    <w:rsid w:val="00732F82"/>
    <w:rsid w:val="00757A19"/>
    <w:rsid w:val="007B4701"/>
    <w:rsid w:val="008251CB"/>
    <w:rsid w:val="008420A0"/>
    <w:rsid w:val="008D328B"/>
    <w:rsid w:val="00913954"/>
    <w:rsid w:val="009803EC"/>
    <w:rsid w:val="009953B7"/>
    <w:rsid w:val="009F492D"/>
    <w:rsid w:val="00AB0BA4"/>
    <w:rsid w:val="00AE18C0"/>
    <w:rsid w:val="00AF41B9"/>
    <w:rsid w:val="00B504C7"/>
    <w:rsid w:val="00BB5280"/>
    <w:rsid w:val="00C05946"/>
    <w:rsid w:val="00C1118A"/>
    <w:rsid w:val="00C150F0"/>
    <w:rsid w:val="00C518E5"/>
    <w:rsid w:val="00C54390"/>
    <w:rsid w:val="00C55535"/>
    <w:rsid w:val="00C677DB"/>
    <w:rsid w:val="00CA5210"/>
    <w:rsid w:val="00CF08C4"/>
    <w:rsid w:val="00D264B1"/>
    <w:rsid w:val="00DA25ED"/>
    <w:rsid w:val="00DA2ED6"/>
    <w:rsid w:val="00DD3A96"/>
    <w:rsid w:val="00DE7E33"/>
    <w:rsid w:val="00DF7100"/>
    <w:rsid w:val="00E0716D"/>
    <w:rsid w:val="00E152A0"/>
    <w:rsid w:val="00F05F0B"/>
    <w:rsid w:val="00F22736"/>
    <w:rsid w:val="00F36B87"/>
    <w:rsid w:val="00F5113E"/>
    <w:rsid w:val="00F575B4"/>
    <w:rsid w:val="00F710A4"/>
    <w:rsid w:val="00F97641"/>
    <w:rsid w:val="00FC31B7"/>
    <w:rsid w:val="00FC3D6B"/>
    <w:rsid w:val="00FC4CB8"/>
    <w:rsid w:val="00FC5696"/>
    <w:rsid w:val="00FE6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1AD48C"/>
  <w14:defaultImageDpi w14:val="300"/>
  <w15:docId w15:val="{102B70BA-6E1D-42C0-BAB5-92CA51079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2774FA"/>
    <w:rPr>
      <w:rFonts w:ascii="Consolas" w:hAnsi="Consolas"/>
    </w:rPr>
  </w:style>
  <w:style w:type="character" w:customStyle="1" w:styleId="HTMLPreformattedChar">
    <w:name w:val="HTML Preformatted Char"/>
    <w:basedOn w:val="DefaultParagraphFont"/>
    <w:link w:val="HTMLPreformatted"/>
    <w:uiPriority w:val="99"/>
    <w:semiHidden/>
    <w:rsid w:val="002774FA"/>
    <w:rPr>
      <w:rFonts w:ascii="Consolas" w:hAnsi="Consolas"/>
      <w:snapToGrid w:val="0"/>
    </w:rPr>
  </w:style>
  <w:style w:type="paragraph" w:styleId="ListParagraph">
    <w:name w:val="List Paragraph"/>
    <w:basedOn w:val="Normal"/>
    <w:uiPriority w:val="34"/>
    <w:qFormat/>
    <w:rsid w:val="00AF41B9"/>
    <w:pPr>
      <w:ind w:left="720"/>
      <w:contextualSpacing/>
    </w:pPr>
  </w:style>
  <w:style w:type="character" w:styleId="Hyperlink">
    <w:name w:val="Hyperlink"/>
    <w:basedOn w:val="DefaultParagraphFont"/>
    <w:uiPriority w:val="99"/>
    <w:unhideWhenUsed/>
    <w:rsid w:val="00C150F0"/>
    <w:rPr>
      <w:color w:val="0000FF" w:themeColor="hyperlink"/>
      <w:u w:val="single"/>
    </w:rPr>
  </w:style>
  <w:style w:type="character" w:styleId="UnresolvedMention">
    <w:name w:val="Unresolved Mention"/>
    <w:basedOn w:val="DefaultParagraphFont"/>
    <w:uiPriority w:val="99"/>
    <w:semiHidden/>
    <w:unhideWhenUsed/>
    <w:rsid w:val="00C150F0"/>
    <w:rPr>
      <w:color w:val="605E5C"/>
      <w:shd w:val="clear" w:color="auto" w:fill="E1DFDD"/>
    </w:rPr>
  </w:style>
  <w:style w:type="paragraph" w:styleId="NormalWeb">
    <w:name w:val="Normal (Web)"/>
    <w:basedOn w:val="Normal"/>
    <w:uiPriority w:val="99"/>
    <w:semiHidden/>
    <w:unhideWhenUsed/>
    <w:rsid w:val="006C3399"/>
    <w:rPr>
      <w:sz w:val="24"/>
      <w:szCs w:val="24"/>
    </w:rPr>
  </w:style>
  <w:style w:type="character" w:customStyle="1" w:styleId="anchor-text">
    <w:name w:val="anchor-text"/>
    <w:basedOn w:val="DefaultParagraphFont"/>
    <w:rsid w:val="00252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40995">
      <w:bodyDiv w:val="1"/>
      <w:marLeft w:val="0"/>
      <w:marRight w:val="0"/>
      <w:marTop w:val="0"/>
      <w:marBottom w:val="0"/>
      <w:divBdr>
        <w:top w:val="none" w:sz="0" w:space="0" w:color="auto"/>
        <w:left w:val="none" w:sz="0" w:space="0" w:color="auto"/>
        <w:bottom w:val="none" w:sz="0" w:space="0" w:color="auto"/>
        <w:right w:val="none" w:sz="0" w:space="0" w:color="auto"/>
      </w:divBdr>
      <w:divsChild>
        <w:div w:id="2118527199">
          <w:marLeft w:val="806"/>
          <w:marRight w:val="0"/>
          <w:marTop w:val="0"/>
          <w:marBottom w:val="360"/>
          <w:divBdr>
            <w:top w:val="none" w:sz="0" w:space="0" w:color="auto"/>
            <w:left w:val="none" w:sz="0" w:space="0" w:color="auto"/>
            <w:bottom w:val="none" w:sz="0" w:space="0" w:color="auto"/>
            <w:right w:val="none" w:sz="0" w:space="0" w:color="auto"/>
          </w:divBdr>
        </w:div>
      </w:divsChild>
    </w:div>
    <w:div w:id="361899288">
      <w:bodyDiv w:val="1"/>
      <w:marLeft w:val="0"/>
      <w:marRight w:val="0"/>
      <w:marTop w:val="0"/>
      <w:marBottom w:val="0"/>
      <w:divBdr>
        <w:top w:val="none" w:sz="0" w:space="0" w:color="auto"/>
        <w:left w:val="none" w:sz="0" w:space="0" w:color="auto"/>
        <w:bottom w:val="none" w:sz="0" w:space="0" w:color="auto"/>
        <w:right w:val="none" w:sz="0" w:space="0" w:color="auto"/>
      </w:divBdr>
    </w:div>
    <w:div w:id="499009630">
      <w:bodyDiv w:val="1"/>
      <w:marLeft w:val="0"/>
      <w:marRight w:val="0"/>
      <w:marTop w:val="0"/>
      <w:marBottom w:val="0"/>
      <w:divBdr>
        <w:top w:val="none" w:sz="0" w:space="0" w:color="auto"/>
        <w:left w:val="none" w:sz="0" w:space="0" w:color="auto"/>
        <w:bottom w:val="none" w:sz="0" w:space="0" w:color="auto"/>
        <w:right w:val="none" w:sz="0" w:space="0" w:color="auto"/>
      </w:divBdr>
    </w:div>
    <w:div w:id="926572075">
      <w:bodyDiv w:val="1"/>
      <w:marLeft w:val="0"/>
      <w:marRight w:val="0"/>
      <w:marTop w:val="0"/>
      <w:marBottom w:val="0"/>
      <w:divBdr>
        <w:top w:val="none" w:sz="0" w:space="0" w:color="auto"/>
        <w:left w:val="none" w:sz="0" w:space="0" w:color="auto"/>
        <w:bottom w:val="none" w:sz="0" w:space="0" w:color="auto"/>
        <w:right w:val="none" w:sz="0" w:space="0" w:color="auto"/>
      </w:divBdr>
    </w:div>
    <w:div w:id="970093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s://doi.org/10.1016/j.electacta.2015.07.068" TargetMode="External"/><Relationship Id="rId3" Type="http://schemas.openxmlformats.org/officeDocument/2006/relationships/settings" Target="settings.xml"/><Relationship Id="rId7" Type="http://schemas.openxmlformats.org/officeDocument/2006/relationships/customXml" Target="ink/ink2.xml"/><Relationship Id="rId12" Type="http://schemas.openxmlformats.org/officeDocument/2006/relationships/hyperlink" Target="https://www.bib.irb.hr/124333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ivosevic@irb.hr" TargetMode="External"/><Relationship Id="rId5" Type="http://schemas.openxmlformats.org/officeDocument/2006/relationships/customXml" Target="ink/ink1.xml"/><Relationship Id="rId15" Type="http://schemas.openxmlformats.org/officeDocument/2006/relationships/fontTable" Target="fontTable.xml"/><Relationship Id="rId10" Type="http://schemas.openxmlformats.org/officeDocument/2006/relationships/customXml" Target="ink/ink4.xml"/><Relationship Id="rId4" Type="http://schemas.openxmlformats.org/officeDocument/2006/relationships/webSettings" Target="webSettings.xml"/><Relationship Id="rId9" Type="http://schemas.openxmlformats.org/officeDocument/2006/relationships/customXml" Target="ink/ink3.xml"/><Relationship Id="rId14" Type="http://schemas.openxmlformats.org/officeDocument/2006/relationships/hyperlink" Target="https://doi.org/10.1016/j.bioelechem.2020.10752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29T10:46:55.934"/>
    </inkml:context>
    <inkml:brush xml:id="br0">
      <inkml:brushProperty name="width" value="0.1" units="cm"/>
      <inkml:brushProperty name="height" value="0.1" units="cm"/>
      <inkml:brushProperty name="color" value="#008C3A"/>
    </inkml:brush>
  </inkml:definitions>
  <inkml:trace contextRef="#ctx0" brushRef="#br0">1 0 9830,'0'0'0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29T10:46:50.347"/>
    </inkml:context>
    <inkml:brush xml:id="br0">
      <inkml:brushProperty name="width" value="0.1" units="cm"/>
      <inkml:brushProperty name="height" value="0.1" units="cm"/>
      <inkml:brushProperty name="color" value="#008C3A"/>
    </inkml:brush>
  </inkml:definitions>
  <inkml:trace contextRef="#ctx0" brushRef="#br0">0 0 9830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29T10:46:56.925"/>
    </inkml:context>
    <inkml:brush xml:id="br0">
      <inkml:brushProperty name="width" value="0.1" units="cm"/>
      <inkml:brushProperty name="height" value="0.1" units="cm"/>
      <inkml:brushProperty name="color" value="#008C3A"/>
    </inkml:brush>
  </inkml:definitions>
  <inkml:trace contextRef="#ctx0" brushRef="#br0">0 1 9830,'0'0'0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29T10:46:40.035"/>
    </inkml:context>
    <inkml:brush xml:id="br0">
      <inkml:brushProperty name="width" value="0.1" units="cm"/>
      <inkml:brushProperty name="height" value="0.1" units="cm"/>
      <inkml:brushProperty name="color" value="#008C3A"/>
    </inkml:brush>
  </inkml:definitions>
  <inkml:trace contextRef="#ctx0" brushRef="#br0">1 0 9830,'0'0'0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987</TotalTime>
  <Pages>3</Pages>
  <Words>1546</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10339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Nadica Ivosevic DeNardis</cp:lastModifiedBy>
  <cp:revision>22</cp:revision>
  <cp:lastPrinted>2013-10-21T12:07:00Z</cp:lastPrinted>
  <dcterms:created xsi:type="dcterms:W3CDTF">2026-05-28T17:58:00Z</dcterms:created>
  <dcterms:modified xsi:type="dcterms:W3CDTF">2026-05-30T10:58:00Z</dcterms:modified>
</cp:coreProperties>
</file>