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622DD" w14:textId="77777777" w:rsidR="00C154E7" w:rsidRPr="005634EA" w:rsidRDefault="00C154E7" w:rsidP="00C154E7">
      <w:pPr>
        <w:pStyle w:val="Title"/>
        <w:rPr>
          <w:rFonts w:ascii="Times New Roman" w:hAnsi="Times New Roman" w:cs="Times New Roman"/>
          <w:b/>
          <w:bCs/>
          <w:sz w:val="28"/>
          <w:szCs w:val="28"/>
        </w:rPr>
      </w:pPr>
      <w:r w:rsidRPr="005634EA">
        <w:rPr>
          <w:rFonts w:ascii="Times New Roman" w:hAnsi="Times New Roman" w:cs="Times New Roman"/>
          <w:b/>
          <w:bCs/>
          <w:sz w:val="28"/>
          <w:szCs w:val="28"/>
        </w:rPr>
        <w:t xml:space="preserve">Cation Dependent Inter- and Inlayer Structure of Nickel Iron Oxy Hydroxide During </w:t>
      </w:r>
      <w:r w:rsidRPr="005634EA">
        <w:rPr>
          <w:rFonts w:ascii="Times New Roman" w:hAnsi="Times New Roman" w:cs="Times New Roman"/>
          <w:b/>
          <w:bCs/>
          <w:i/>
          <w:iCs/>
          <w:sz w:val="28"/>
          <w:szCs w:val="28"/>
        </w:rPr>
        <w:t>Operando</w:t>
      </w:r>
      <w:r w:rsidRPr="005634EA">
        <w:rPr>
          <w:rFonts w:ascii="Times New Roman" w:hAnsi="Times New Roman" w:cs="Times New Roman"/>
          <w:b/>
          <w:bCs/>
          <w:sz w:val="28"/>
          <w:szCs w:val="28"/>
        </w:rPr>
        <w:t xml:space="preserve"> Oxygen Evolution</w:t>
      </w:r>
    </w:p>
    <w:p w14:paraId="7B24B0F7" w14:textId="77777777" w:rsidR="004E7A34" w:rsidRPr="00110EA6" w:rsidRDefault="004E7A34" w:rsidP="004E7A34"/>
    <w:p w14:paraId="49A5F834" w14:textId="77777777" w:rsidR="004E7A34" w:rsidRPr="00BB1F2A" w:rsidRDefault="004E7A34" w:rsidP="004E7A34">
      <w:pPr>
        <w:pStyle w:val="NoSpacing"/>
        <w:rPr>
          <w:sz w:val="20"/>
          <w:szCs w:val="20"/>
        </w:rPr>
      </w:pPr>
      <w:r w:rsidRPr="00BB1F2A">
        <w:rPr>
          <w:sz w:val="20"/>
          <w:szCs w:val="20"/>
          <w:u w:val="single"/>
        </w:rPr>
        <w:t>Jordy J. J. Eggebeen</w:t>
      </w:r>
      <w:r w:rsidRPr="00BB1F2A">
        <w:rPr>
          <w:sz w:val="20"/>
          <w:szCs w:val="20"/>
          <w:u w:val="single"/>
          <w:vertAlign w:val="superscript"/>
        </w:rPr>
        <w:t>*a</w:t>
      </w:r>
      <w:r w:rsidRPr="00BB1F2A">
        <w:rPr>
          <w:sz w:val="20"/>
          <w:szCs w:val="20"/>
        </w:rPr>
        <w:t xml:space="preserve">, </w:t>
      </w:r>
      <w:r w:rsidRPr="00BB1F2A">
        <w:rPr>
          <w:sz w:val="20"/>
          <w:szCs w:val="20"/>
          <w:u w:val="single"/>
        </w:rPr>
        <w:t>Ida Kær Mønge</w:t>
      </w:r>
      <w:r w:rsidRPr="00BB1F2A">
        <w:rPr>
          <w:sz w:val="20"/>
          <w:szCs w:val="20"/>
          <w:u w:val="single"/>
          <w:vertAlign w:val="superscript"/>
        </w:rPr>
        <w:t>b</w:t>
      </w:r>
      <w:r w:rsidRPr="00BB1F2A">
        <w:rPr>
          <w:sz w:val="20"/>
          <w:szCs w:val="20"/>
        </w:rPr>
        <w:t xml:space="preserve">, </w:t>
      </w:r>
      <w:r w:rsidRPr="009C7C7B">
        <w:rPr>
          <w:sz w:val="20"/>
          <w:szCs w:val="20"/>
        </w:rPr>
        <w:t>Onno van der Heijden</w:t>
      </w:r>
      <w:r w:rsidRPr="009C7C7B">
        <w:rPr>
          <w:sz w:val="20"/>
          <w:szCs w:val="20"/>
          <w:vertAlign w:val="superscript"/>
        </w:rPr>
        <w:t>a</w:t>
      </w:r>
      <w:r w:rsidRPr="009C7C7B">
        <w:rPr>
          <w:sz w:val="20"/>
          <w:szCs w:val="20"/>
        </w:rPr>
        <w:t>,</w:t>
      </w:r>
      <w:r w:rsidRPr="00BB1F2A">
        <w:rPr>
          <w:color w:val="FF0000"/>
          <w:sz w:val="20"/>
          <w:szCs w:val="20"/>
        </w:rPr>
        <w:t xml:space="preserve"> </w:t>
      </w:r>
      <w:r w:rsidRPr="00BB1F2A">
        <w:rPr>
          <w:sz w:val="20"/>
          <w:szCs w:val="20"/>
        </w:rPr>
        <w:t>Marc T.M. Koper</w:t>
      </w:r>
      <w:r w:rsidRPr="00BB1F2A">
        <w:rPr>
          <w:sz w:val="20"/>
          <w:szCs w:val="20"/>
          <w:vertAlign w:val="superscript"/>
        </w:rPr>
        <w:t>a</w:t>
      </w:r>
      <w:r w:rsidRPr="00BB1F2A">
        <w:rPr>
          <w:sz w:val="20"/>
          <w:szCs w:val="20"/>
        </w:rPr>
        <w:t xml:space="preserve"> and Rebecca K. Pittkowski</w:t>
      </w:r>
      <w:r w:rsidRPr="00BB1F2A">
        <w:rPr>
          <w:sz w:val="20"/>
          <w:szCs w:val="20"/>
          <w:vertAlign w:val="superscript"/>
        </w:rPr>
        <w:t>b</w:t>
      </w:r>
    </w:p>
    <w:p w14:paraId="7F2FC21F" w14:textId="77777777" w:rsidR="004E7A34" w:rsidRPr="00BB1F2A" w:rsidRDefault="004E7A34" w:rsidP="004E7A34">
      <w:pPr>
        <w:pStyle w:val="NoSpacing"/>
        <w:rPr>
          <w:i/>
          <w:iCs/>
          <w:sz w:val="20"/>
          <w:szCs w:val="20"/>
        </w:rPr>
      </w:pPr>
      <w:r w:rsidRPr="00BB1F2A">
        <w:rPr>
          <w:i/>
          <w:iCs/>
          <w:sz w:val="20"/>
          <w:szCs w:val="20"/>
          <w:vertAlign w:val="superscript"/>
        </w:rPr>
        <w:t>a</w:t>
      </w:r>
      <w:r w:rsidRPr="00BB1F2A">
        <w:rPr>
          <w:i/>
          <w:iCs/>
          <w:sz w:val="20"/>
          <w:szCs w:val="20"/>
        </w:rPr>
        <w:t>Leiden Institute of Chemistry, Leiden University. Einsteinweg 55, 2333 CC Leiden, The Netherlands</w:t>
      </w:r>
    </w:p>
    <w:p w14:paraId="66371A4B" w14:textId="77777777" w:rsidR="004E7A34" w:rsidRPr="00BB1F2A" w:rsidRDefault="004E7A34" w:rsidP="004E7A34">
      <w:pPr>
        <w:pStyle w:val="NoSpacing"/>
        <w:rPr>
          <w:i/>
          <w:iCs/>
          <w:sz w:val="20"/>
          <w:szCs w:val="20"/>
        </w:rPr>
      </w:pPr>
      <w:r w:rsidRPr="00BB1F2A">
        <w:rPr>
          <w:i/>
          <w:iCs/>
          <w:sz w:val="20"/>
          <w:szCs w:val="20"/>
          <w:vertAlign w:val="superscript"/>
        </w:rPr>
        <w:t>b</w:t>
      </w:r>
      <w:r w:rsidRPr="00BB1F2A">
        <w:rPr>
          <w:i/>
          <w:iCs/>
          <w:sz w:val="20"/>
          <w:szCs w:val="20"/>
        </w:rPr>
        <w:t>Department of Chemistry, University of Copenhagen, Universitetsparken 5, 2100 Denmark</w:t>
      </w:r>
    </w:p>
    <w:p w14:paraId="6AF892F9" w14:textId="77777777" w:rsidR="004E7A34" w:rsidRPr="00233662" w:rsidRDefault="004E7A34" w:rsidP="004E7A34">
      <w:pPr>
        <w:pStyle w:val="NoSpacing"/>
        <w:rPr>
          <w:rStyle w:val="Hyperlink"/>
          <w:rFonts w:eastAsia="Times New Roman"/>
          <w:i/>
          <w:iCs/>
          <w:color w:val="000000"/>
          <w:sz w:val="20"/>
          <w:szCs w:val="20"/>
        </w:rPr>
      </w:pPr>
      <w:r w:rsidRPr="00233662">
        <w:rPr>
          <w:i/>
          <w:iCs/>
          <w:color w:val="000000"/>
          <w:sz w:val="20"/>
          <w:szCs w:val="20"/>
          <w:vertAlign w:val="superscript"/>
        </w:rPr>
        <w:t>*</w:t>
      </w:r>
      <w:hyperlink r:id="rId6" w:history="1">
        <w:r w:rsidRPr="00233662">
          <w:rPr>
            <w:rStyle w:val="Hyperlink"/>
            <w:rFonts w:eastAsia="Times New Roman"/>
            <w:i/>
            <w:iCs/>
            <w:color w:val="000000"/>
            <w:sz w:val="20"/>
            <w:szCs w:val="20"/>
          </w:rPr>
          <w:t>j.j.j.eggebeen@lic.leidenuniv.nl</w:t>
        </w:r>
      </w:hyperlink>
      <w:r w:rsidRPr="00233662">
        <w:rPr>
          <w:rStyle w:val="Hyperlink"/>
          <w:rFonts w:eastAsia="Times New Roman"/>
          <w:i/>
          <w:iCs/>
          <w:color w:val="000000"/>
          <w:sz w:val="20"/>
          <w:szCs w:val="20"/>
        </w:rPr>
        <w:t xml:space="preserve"> </w:t>
      </w:r>
    </w:p>
    <w:p w14:paraId="5D2B5197" w14:textId="77777777" w:rsidR="004E7A34" w:rsidRPr="00BB1F2A" w:rsidRDefault="004E7A34" w:rsidP="004E7A34">
      <w:pPr>
        <w:pStyle w:val="NoSpacing"/>
        <w:rPr>
          <w:sz w:val="20"/>
          <w:szCs w:val="20"/>
        </w:rPr>
      </w:pPr>
    </w:p>
    <w:p w14:paraId="61E606DD" w14:textId="07A4AB7A" w:rsidR="004E7A34" w:rsidRDefault="004E7A34" w:rsidP="004E7A34">
      <w:pPr>
        <w:ind w:firstLine="708"/>
      </w:pPr>
      <w:r w:rsidRPr="00BB1F2A">
        <w:t xml:space="preserve">NiFe-layered double hydroxides </w:t>
      </w:r>
      <w:r w:rsidR="007A4383">
        <w:t xml:space="preserve">(LDH) </w:t>
      </w:r>
      <w:r w:rsidRPr="00BB1F2A">
        <w:t>are promising electrocatalysts for alkaline water electrolysis due to their low cost and high activity</w:t>
      </w:r>
      <w:r>
        <w:t xml:space="preserve"> towards the oxygen evolution reaction (OER)</w:t>
      </w:r>
      <w:r w:rsidRPr="00BB1F2A">
        <w:t>. While common OER optimization strateg</w:t>
      </w:r>
      <w:r>
        <w:t>ies focus</w:t>
      </w:r>
      <w:r w:rsidRPr="00BB1F2A">
        <w:t xml:space="preserve"> on </w:t>
      </w:r>
      <w:r>
        <w:t>enhancing</w:t>
      </w:r>
      <w:r w:rsidRPr="00BB1F2A">
        <w:t xml:space="preserve"> the catalyst</w:t>
      </w:r>
      <w:r>
        <w:t>s’</w:t>
      </w:r>
      <w:r w:rsidRPr="00BB1F2A">
        <w:t xml:space="preserve"> inherent activity, </w:t>
      </w:r>
      <w:r>
        <w:t xml:space="preserve">the role of electrolyte composition is often overlooked. </w:t>
      </w:r>
      <w:r w:rsidRPr="00C3048F">
        <w:t>The layered structure of Ni</w:t>
      </w:r>
      <w:r w:rsidR="007A4383">
        <w:t>Fe</w:t>
      </w:r>
      <w:r w:rsidRPr="00C3048F">
        <w:t xml:space="preserve"> </w:t>
      </w:r>
      <w:r w:rsidR="007A4383">
        <w:t xml:space="preserve">LDH </w:t>
      </w:r>
      <w:r w:rsidRPr="00C3048F">
        <w:t xml:space="preserve">contains sub-nanometer pores </w:t>
      </w:r>
      <w:r w:rsidR="00593590">
        <w:t>where</w:t>
      </w:r>
      <w:r w:rsidRPr="00C3048F">
        <w:t xml:space="preserve"> electrolyte intercalate</w:t>
      </w:r>
      <w:r>
        <w:t>s</w:t>
      </w:r>
      <w:r w:rsidRPr="00C3048F">
        <w:t>, forming a confined double-layer structur</w:t>
      </w:r>
      <w:r>
        <w:t>e</w:t>
      </w:r>
      <w:r w:rsidRPr="00C3048F">
        <w:t>.</w:t>
      </w:r>
      <w:r>
        <w:t xml:space="preserve"> Previous studies have s</w:t>
      </w:r>
      <w:r w:rsidRPr="00BB1F2A">
        <w:t xml:space="preserve">hown that intercalated cations </w:t>
      </w:r>
      <w:r w:rsidR="00593590">
        <w:t>influence</w:t>
      </w:r>
      <w:r w:rsidRPr="00BB1F2A">
        <w:t xml:space="preserve"> the alkaline OER activity </w:t>
      </w:r>
      <w:r w:rsidR="00593590">
        <w:t>through elect</w:t>
      </w:r>
      <w:r w:rsidR="008476D3">
        <w:t>rostatic interactions with the</w:t>
      </w:r>
      <w:r w:rsidR="00814E2E">
        <w:t xml:space="preserve"> </w:t>
      </w:r>
      <w:r w:rsidR="008476D3">
        <w:t xml:space="preserve">negatively charged surface </w:t>
      </w:r>
      <w:r w:rsidRPr="00BB1F2A">
        <w:t>(hydr)oxyl groups</w:t>
      </w:r>
      <w:r>
        <w:t>, formed</w:t>
      </w:r>
      <w:r w:rsidRPr="00BB1F2A">
        <w:t xml:space="preserve"> during Ni</w:t>
      </w:r>
      <w:r w:rsidR="00793FBC">
        <w:rPr>
          <w:vertAlign w:val="superscript"/>
        </w:rPr>
        <w:t>2+</w:t>
      </w:r>
      <w:r w:rsidR="00793FBC">
        <w:t>→Ni</w:t>
      </w:r>
      <w:r w:rsidR="00793FBC">
        <w:rPr>
          <w:vertAlign w:val="superscript"/>
        </w:rPr>
        <w:t>3+</w:t>
      </w:r>
      <w:r>
        <w:t xml:space="preserve"> </w:t>
      </w:r>
      <w:r w:rsidRPr="00BB1F2A">
        <w:t>oxidation</w:t>
      </w:r>
      <w:r>
        <w:t>.</w:t>
      </w:r>
      <w:r>
        <w:fldChar w:fldCharType="begin"/>
      </w:r>
      <w:r w:rsidR="00541AE3">
        <w:instrText xml:space="preserve"> ADDIN ZOTERO_ITEM CSL_CITATION {"citationID":"3yJuIXeG","properties":{"formattedCitation":"\\super 1,2\\nosupersub{}","plainCitation":"1,2","noteIndex":0},"citationItems":[{"id":113,"uris":["http://zotero.org/users/15123158/items/UUMK6G39"],"itemData":{"id":113,"type":"article-journal","abstract":"Abstract Herein, the effect of the alkali cation (Li+, Na+, K+, and Cs+) in alkaline electrolytes with and without Fe impurities is investigated for enhancing the activity of nickel oxyhydroxide (NiOOH) for the oxygen evolution reaction (OER). Cyclic voltammograms show that Fe impurities have a significant catalytic effect on OER activity; however, both under purified and unpurified conditions, the trend in OER activity is Cs+ &gt; Na+ &gt; K+ &gt; Li+, suggesting an intrinsic cation effect of the OER activity on Fe-free Ni oxyhydroxide. In?situ surface enhanced Raman spectroscopy (SERS), shows this cation dependence is related to the formation of superoxo OER intermediate (NiOO?). The electrochemically active surface area, evaluated by electrochemical impedance spectroscopy (EIS), is not influenced significantly by the cation. We postulate that the cations interact with the Ni?OO? species leading to the formation of NiOO??M+ species that is stabilized better by bigger cations (Cs+). This species would then act as the precursor to O2 evolution, explaining the higher activity.","container-title":"Angewandte Chemie International Edition","DOI":"https://doi.org/10.1002/anie.201905501","ISSN":"1433-7851","issue":"37","note":"publisher: John Wiley &amp; Sons, Ltd","page":"12999-13003","title":"Enhancement of Oxygen Evolution Activity of Nickel Oxyhydroxide by Electrolyte Alkali Cations","volume":"58","author":[{"family":"Garcia","given":"Amanda C"},{"family":"Touzalin","given":"Thomas"},{"family":"Nieuwland","given":"Celine"},{"family":"Perini","given":"Nickson"},{"family":"Koper","given":"Marc T M"}],"issued":{"date-parts":[["2019",9,9]]}}},{"id":318,"uris":["http://zotero.org/users/15123158/items/7Q47GAJG"],"itemData":{"id":318,"type":"article-journal","abstract":"Abstract The efficiency of electrolysis is reduced due to the sluggish oxygen evolution reaction (OER). Besides catalyst properties, electrocatalytic activity also depends on the interaction of the electrocatalyst with the electrolyte. Here, we show that the addition of small amounts of Li+ to Fe-free NaOH or KOH electrolytes activates NiFeOOH for the OER compared to single-cation electrolytes. Moreover, the activation was maintained when the solution was returned to pure NaOH. Importantly, we show that the origin of activation by Li+ cations is primarily non-kinetic in nature, as the OER onset for the mixed electrolyte does not change and the Tafel slope at low current density is ~30?mV/dec in both electrolytes. However, the increase of the apparent Tafel slope remains lower at increasing current densities in the presence of Li+. Based on electrochemical quartz crystal microbalance and in situ X-ray absorption spectroscopy measurements, we show that this reduction of non-kinetic effects is due to enhanced intercalation of sodium, water and hydroxide. This enhanced electrolyte penetration facilitates the OER, especially at higher current densities and for increased catalyst loading. Our work shows that mixed electrolytes where distinct cations can have different roles provide a simple and promising strategy towards improved OER rates.","container-title":"Angewandte Chemie International Edition","DOI":"https://doi.org/10.1002/anie.202318692","ISSN":"1433-7851","issue":"18","note":"publisher: John Wiley &amp; Sons, Ltd","page":"e202318692","title":"Li+ Cations Activate NiFeOOH for Oxygen Evolution in Sodium and Potassium Hydroxide","volume":"63","author":[{"family":"Heijden","given":"Onno","non-dropping-particle":"van der"},{"family":"Eggebeen","given":"Jordy J J"},{"family":"Trzesniowski","given":"Hanna"},{"family":"Deka","given":"Nipon"},{"family":"Golnak","given":"Ronny"},{"family":"Xiao","given":"Jie"},{"family":"Rijn","given":"Maartje","non-dropping-particle":"van"},{"family":"Mom","given":"Rik V"},{"family":"Koper","given":"Marc T M"}],"issued":{"date-parts":[["2024",4,24]]}}}],"schema":"https://github.com/citation-style-language/schema/raw/master/csl-citation.json"} </w:instrText>
      </w:r>
      <w:r>
        <w:fldChar w:fldCharType="separate"/>
      </w:r>
      <w:r w:rsidR="00541AE3" w:rsidRPr="00541AE3">
        <w:rPr>
          <w:vertAlign w:val="superscript"/>
        </w:rPr>
        <w:t>1,2</w:t>
      </w:r>
      <w:r>
        <w:fldChar w:fldCharType="end"/>
      </w:r>
      <w:r w:rsidR="008476D3">
        <w:t xml:space="preserve"> </w:t>
      </w:r>
      <w:r w:rsidR="008476D3" w:rsidRPr="008476D3">
        <w:t xml:space="preserve">Yet whether cations also drive </w:t>
      </w:r>
      <w:r w:rsidR="008476D3" w:rsidRPr="008476D3">
        <w:rPr>
          <w:i/>
          <w:iCs/>
        </w:rPr>
        <w:t>structural</w:t>
      </w:r>
      <w:r w:rsidR="008476D3" w:rsidRPr="008476D3">
        <w:t xml:space="preserve"> transformations of </w:t>
      </w:r>
      <w:r w:rsidR="008476D3">
        <w:t>layered double hydroxides</w:t>
      </w:r>
      <w:r w:rsidR="008476D3" w:rsidRPr="008476D3">
        <w:t xml:space="preserve"> had not been resolved.</w:t>
      </w:r>
    </w:p>
    <w:p w14:paraId="50A23389" w14:textId="3DE47200" w:rsidR="004E7A34" w:rsidRDefault="004E7A34" w:rsidP="007955C1">
      <w:pPr>
        <w:ind w:firstLine="708"/>
      </w:pPr>
      <w:r>
        <w:t>In this study,</w:t>
      </w:r>
      <w:r w:rsidR="0043711D" w:rsidRPr="0043711D">
        <w:t xml:space="preserve"> we directly track interlayer contraction and expansion of NiFeOOH under operating conditions using </w:t>
      </w:r>
      <w:r w:rsidR="0043711D" w:rsidRPr="0043711D">
        <w:rPr>
          <w:i/>
          <w:iCs/>
        </w:rPr>
        <w:t>operando</w:t>
      </w:r>
      <w:r w:rsidR="0043711D" w:rsidRPr="0043711D">
        <w:t xml:space="preserve"> synchrotron </w:t>
      </w:r>
      <w:r w:rsidR="00AC5BC4" w:rsidRPr="00AC5BC4">
        <w:t>X-ray Diffraction and X-ray total scattering with Pair Distribution Function analysis</w:t>
      </w:r>
      <w:r w:rsidRPr="00BB1F2A">
        <w:t>.</w:t>
      </w:r>
      <w:r>
        <w:fldChar w:fldCharType="begin"/>
      </w:r>
      <w:r w:rsidR="00541AE3">
        <w:instrText xml:space="preserve"> ADDIN ZOTERO_ITEM CSL_CITATION {"citationID":"2vnDVsmi","properties":{"formattedCitation":"\\super 3,4\\nosupersub{}","plainCitation":"3,4","noteIndex":0},"citationItems":[{"id":197,"uris":["http://zotero.org/users/15123158/items/RZDVE49W"],"itemData":{"id":197,"type":"article-journal","abstract":"Abstract NiFe-layered double hydroxides (LDHs) are promising electrocatalysts for the oxygen evolution reaction (OER) in alkaline media. Here, operando X-ray diffraction (XRD) and X-ray total scattering are used with Pair Distribution Function (PDF) analysis to investigate the atomic structure of the catalytically active material and follow structural changes under operating conditions. XRD shows an interlayer contraction under applied oxidative potential, which relates to a transition from the α-LDH to the ?-LDH phase. The phase transition is reversible, and the α-LDH structure is recovered at 1.3 VRHE. However, PDF analysis shows an irreversible increase in the stacking disorder under operating conditions, along with a decrease in the LDH sheet size. The analysis thus shows that the operating conditions induce a breakdown of the particles leading to a decrease in crystallite size.","container-title":"Small","DOI":"10.1002/smll.202411211","ISSN":"1613-6810","issue":"n/a","journalAbbreviation":"Small","note":"publisher: John Wiley &amp; Sons, Ltd","page":"2411211","title":"Structural Changes of NiFe Layered Double Hydroxides During the Oxygen Evolution Reaction: A Diffraction and Total Scattering Operando Study","volume":"n/a","author":[{"family":"Aalling-Frederiksen","given":"Olivia"},{"family":"Schlegel","given":"Nicolas"},{"family":"Punke","given":"Stefanie"},{"family":"Anker","given":"Andy S."},{"family":"Wiberg","given":"Gustav K. H."},{"family":"Wang","given":"Baiyu"},{"family":"Edelvang-Pejrup","given":"Jens"},{"family":"Holde","given":"Freja B."},{"family":"Salinas-Quezada","given":"María Paula"},{"family":"Magnard","given":"Nicolas P. L."},{"family":"Graversen","given":"Laura G."},{"family":"Arenz","given":"Matthias"},{"family":"Pittkowski","given":"Rebecca K."},{"family":"Jensen","given":"Kirsten M. Ø."}],"issued":{"date-parts":[["2025",2,21]]}}},{"id":961,"uris":["http://zotero.org/users/15123158/items/5NES8V7L"],"itemData":{"id":961,"type":"article-journal","container-title":"In preparation","title":"Cation dependent inter- and inlayer structure of nickel iron oxy hydroxide during operando oxygen evolution","author":[{"family":"Eggebeen","given":"Jordy J J"},{"family":"Kær Mønge","given":"Ida"},{"family":"Van der Heijden","given":"Onno"},{"family":"Koper","given":"Marc T.M."},{"family":"Pittkowski","given":"Rebecca K."}],"issued":{"date-parts":[["2026"]]}}}],"schema":"https://github.com/citation-style-language/schema/raw/master/csl-citation.json"} </w:instrText>
      </w:r>
      <w:r>
        <w:fldChar w:fldCharType="separate"/>
      </w:r>
      <w:r w:rsidR="00541AE3" w:rsidRPr="00541AE3">
        <w:rPr>
          <w:vertAlign w:val="superscript"/>
        </w:rPr>
        <w:t>3,4</w:t>
      </w:r>
      <w:r>
        <w:fldChar w:fldCharType="end"/>
      </w:r>
      <w:r>
        <w:t xml:space="preserve"> </w:t>
      </w:r>
      <w:r w:rsidR="00082661" w:rsidRPr="00082661">
        <w:t xml:space="preserve">We show that the interlayer d-spacing decreases reversibly upon Ni oxidation and OER, and </w:t>
      </w:r>
      <w:r w:rsidR="00082661">
        <w:t>expands</w:t>
      </w:r>
      <w:r w:rsidR="00082661" w:rsidRPr="00082661">
        <w:t xml:space="preserve"> upon Ni reduction</w:t>
      </w:r>
      <w:r w:rsidR="00C24476">
        <w:t xml:space="preserve"> (</w:t>
      </w:r>
      <w:r w:rsidR="00C24476">
        <w:rPr>
          <w:b/>
          <w:bCs/>
        </w:rPr>
        <w:t>Fig. 1a, b)</w:t>
      </w:r>
      <w:r w:rsidRPr="00BB1F2A">
        <w:t xml:space="preserve">, </w:t>
      </w:r>
      <w:r>
        <w:t>aligning with</w:t>
      </w:r>
      <w:r w:rsidR="00082661">
        <w:t xml:space="preserve"> </w:t>
      </w:r>
      <w:r>
        <w:t>observed</w:t>
      </w:r>
      <w:r w:rsidRPr="00BB1F2A">
        <w:t xml:space="preserve"> </w:t>
      </w:r>
      <w:r>
        <w:t>mass change</w:t>
      </w:r>
      <w:r w:rsidR="00082661">
        <w:t>s</w:t>
      </w:r>
      <w:r>
        <w:t>.</w:t>
      </w:r>
      <w:r>
        <w:fldChar w:fldCharType="begin"/>
      </w:r>
      <w:r w:rsidR="00541AE3">
        <w:instrText xml:space="preserve"> ADDIN ZOTERO_ITEM CSL_CITATION {"citationID":"133Z3vae","properties":{"formattedCitation":"\\super 3\\nosupersub{}","plainCitation":"3","noteIndex":0},"citationItems":[{"id":197,"uris":["http://zotero.org/users/15123158/items/RZDVE49W"],"itemData":{"id":197,"type":"article-journal","abstract":"Abstract NiFe-layered double hydroxides (LDHs) are promising electrocatalysts for the oxygen evolution reaction (OER) in alkaline media. Here, operando X-ray diffraction (XRD) and X-ray total scattering are used with Pair Distribution Function (PDF) analysis to investigate the atomic structure of the catalytically active material and follow structural changes under operating conditions. XRD shows an interlayer contraction under applied oxidative potential, which relates to a transition from the α-LDH to the ?-LDH phase. The phase transition is reversible, and the α-LDH structure is recovered at 1.3 VRHE. However, PDF analysis shows an irreversible increase in the stacking disorder under operating conditions, along with a decrease in the LDH sheet size. The analysis thus shows that the operating conditions induce a breakdown of the particles leading to a decrease in crystallite size.","container-title":"Small","DOI":"10.1002/smll.202411211","ISSN":"1613-6810","issue":"n/a","journalAbbreviation":"Small","note":"publisher: John Wiley &amp; Sons, Ltd","page":"2411211","title":"Structural Changes of NiFe Layered Double Hydroxides During the Oxygen Evolution Reaction: A Diffraction and Total Scattering Operando Study","volume":"n/a","author":[{"family":"Aalling-Frederiksen","given":"Olivia"},{"family":"Schlegel","given":"Nicolas"},{"family":"Punke","given":"Stefanie"},{"family":"Anker","given":"Andy S."},{"family":"Wiberg","given":"Gustav K. H."},{"family":"Wang","given":"Baiyu"},{"family":"Edelvang-Pejrup","given":"Jens"},{"family":"Holde","given":"Freja B."},{"family":"Salinas-Quezada","given":"María Paula"},{"family":"Magnard","given":"Nicolas P. L."},{"family":"Graversen","given":"Laura G."},{"family":"Arenz","given":"Matthias"},{"family":"Pittkowski","given":"Rebecca K."},{"family":"Jensen","given":"Kirsten M. Ø."}],"issued":{"date-parts":[["2025",2,21]]}}}],"schema":"https://github.com/citation-style-language/schema/raw/master/csl-citation.json"} </w:instrText>
      </w:r>
      <w:r>
        <w:fldChar w:fldCharType="separate"/>
      </w:r>
      <w:r w:rsidR="00541AE3" w:rsidRPr="00541AE3">
        <w:rPr>
          <w:vertAlign w:val="superscript"/>
        </w:rPr>
        <w:t>3</w:t>
      </w:r>
      <w:r>
        <w:fldChar w:fldCharType="end"/>
      </w:r>
      <w:r>
        <w:t xml:space="preserve"> </w:t>
      </w:r>
      <w:r w:rsidR="00CD07A8">
        <w:t>Cs</w:t>
      </w:r>
      <w:r w:rsidR="00CD07A8">
        <w:rPr>
          <w:vertAlign w:val="superscript"/>
        </w:rPr>
        <w:t>+</w:t>
      </w:r>
      <w:r w:rsidR="00CD07A8">
        <w:t xml:space="preserve"> </w:t>
      </w:r>
      <w:r w:rsidR="00082661">
        <w:t xml:space="preserve">expands </w:t>
      </w:r>
      <w:r w:rsidR="00154397">
        <w:t xml:space="preserve">the layer by </w:t>
      </w:r>
      <w:r w:rsidR="0088067F" w:rsidRPr="0088067F">
        <w:t xml:space="preserve">0.23 Å </w:t>
      </w:r>
      <w:r w:rsidR="00082661">
        <w:t>relative</w:t>
      </w:r>
      <w:r w:rsidR="0088067F">
        <w:t xml:space="preserve"> to Li</w:t>
      </w:r>
      <w:r w:rsidR="0088067F">
        <w:rPr>
          <w:vertAlign w:val="superscript"/>
        </w:rPr>
        <w:t>+</w:t>
      </w:r>
      <w:r w:rsidR="0088067F">
        <w:t xml:space="preserve"> and K</w:t>
      </w:r>
      <w:r w:rsidR="0088067F">
        <w:rPr>
          <w:vertAlign w:val="superscript"/>
        </w:rPr>
        <w:t>+</w:t>
      </w:r>
      <w:r w:rsidR="00082661">
        <w:t xml:space="preserve">, demonstrating that </w:t>
      </w:r>
      <w:r w:rsidR="00053A1C">
        <w:t>cation size can influence the layer stacking.</w:t>
      </w:r>
      <w:r w:rsidR="005770A3">
        <w:t xml:space="preserve"> Li</w:t>
      </w:r>
      <w:r w:rsidR="005770A3">
        <w:rPr>
          <w:vertAlign w:val="superscript"/>
        </w:rPr>
        <w:t>+</w:t>
      </w:r>
      <w:r w:rsidR="00053A1C">
        <w:t>, by contrast,</w:t>
      </w:r>
      <w:r w:rsidR="005770A3">
        <w:t xml:space="preserve"> </w:t>
      </w:r>
      <w:r w:rsidR="006D0BB2" w:rsidRPr="006D0BB2">
        <w:t>intercalates kinetically slowly</w:t>
      </w:r>
      <w:r w:rsidR="00746559">
        <w:t xml:space="preserve"> (</w:t>
      </w:r>
      <w:r w:rsidR="00746559">
        <w:rPr>
          <w:b/>
          <w:bCs/>
        </w:rPr>
        <w:t>Fig. 1</w:t>
      </w:r>
      <w:r w:rsidR="00746559">
        <w:rPr>
          <w:b/>
          <w:bCs/>
        </w:rPr>
        <w:t>c</w:t>
      </w:r>
      <w:r w:rsidR="00746559">
        <w:t>)</w:t>
      </w:r>
      <w:r w:rsidR="006D0BB2">
        <w:t>, requiring a higher overpotential</w:t>
      </w:r>
      <w:r w:rsidR="0042257B">
        <w:t xml:space="preserve">, </w:t>
      </w:r>
      <w:r w:rsidR="006D0BB2">
        <w:t xml:space="preserve">yet binds </w:t>
      </w:r>
      <w:r w:rsidR="00271777">
        <w:t xml:space="preserve">more strongly to the </w:t>
      </w:r>
      <w:r w:rsidR="006D0BB2">
        <w:t>surface (hydr)oxyl groups</w:t>
      </w:r>
      <w:r w:rsidR="00271777">
        <w:t>, causing a M-M and M-O bond elongation</w:t>
      </w:r>
      <w:r w:rsidR="00746559">
        <w:t xml:space="preserve"> (</w:t>
      </w:r>
      <w:r w:rsidR="00746559">
        <w:rPr>
          <w:b/>
          <w:bCs/>
        </w:rPr>
        <w:t>Fig. 1</w:t>
      </w:r>
      <w:r w:rsidR="00746559">
        <w:rPr>
          <w:b/>
          <w:bCs/>
        </w:rPr>
        <w:t>d)</w:t>
      </w:r>
      <w:r w:rsidR="005770A3">
        <w:t xml:space="preserve">. </w:t>
      </w:r>
      <w:r w:rsidR="006D0BB2" w:rsidRPr="006D0BB2">
        <w:t xml:space="preserve">Over extended cycling, these electrolyte-driven structural effects </w:t>
      </w:r>
      <w:r w:rsidR="007955C1">
        <w:t>become clear</w:t>
      </w:r>
      <w:r w:rsidR="006D0BB2" w:rsidRPr="006D0BB2">
        <w:t xml:space="preserve">: cation identity </w:t>
      </w:r>
      <w:r w:rsidR="007955C1">
        <w:t>affects</w:t>
      </w:r>
      <w:r w:rsidR="006D0BB2" w:rsidRPr="006D0BB2">
        <w:t xml:space="preserve"> nanoparticle size distribution, long-term stability, and electrochemically accessible surface area. </w:t>
      </w:r>
      <w:r w:rsidR="007955C1">
        <w:t>Together</w:t>
      </w:r>
      <w:r w:rsidR="006D0BB2" w:rsidRPr="006D0BB2">
        <w:t xml:space="preserve">, our findings reveal that alkali cations </w:t>
      </w:r>
      <w:r w:rsidR="00CA6A9F" w:rsidRPr="00CA6A9F">
        <w:t>play both a structural and electrostatic role during the electrocatalyst phase transformation and electrochemical oxygen evolution</w:t>
      </w:r>
      <w:r w:rsidR="007955C1">
        <w:t>.</w:t>
      </w:r>
    </w:p>
    <w:p w14:paraId="799FF425" w14:textId="77777777" w:rsidR="004E7A34" w:rsidRDefault="004E7A34" w:rsidP="004E7A34">
      <w:pPr>
        <w:ind w:firstLine="708"/>
      </w:pPr>
    </w:p>
    <w:p w14:paraId="131EEF17" w14:textId="5E7285A9" w:rsidR="00563584" w:rsidRDefault="00BC5A22" w:rsidP="00BC5A22">
      <w:pPr>
        <w:pStyle w:val="NoSpacing"/>
      </w:pPr>
      <w:r>
        <w:rPr>
          <w:noProof/>
        </w:rPr>
        <w:drawing>
          <wp:inline distT="0" distB="0" distL="0" distR="0" wp14:anchorId="0EE59706" wp14:editId="387355FE">
            <wp:extent cx="4101152" cy="2706666"/>
            <wp:effectExtent l="0" t="0" r="0" b="0"/>
            <wp:docPr id="1018748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5418" cy="2716081"/>
                    </a:xfrm>
                    <a:prstGeom prst="rect">
                      <a:avLst/>
                    </a:prstGeom>
                    <a:noFill/>
                  </pic:spPr>
                </pic:pic>
              </a:graphicData>
            </a:graphic>
          </wp:inline>
        </w:drawing>
      </w:r>
    </w:p>
    <w:p w14:paraId="5E7AB365" w14:textId="3E01E967" w:rsidR="009A528D" w:rsidRDefault="00563584" w:rsidP="00404A11">
      <w:pPr>
        <w:pStyle w:val="Caption"/>
        <w:rPr>
          <w:i w:val="0"/>
          <w:iCs w:val="0"/>
          <w:color w:val="auto"/>
        </w:rPr>
      </w:pPr>
      <w:r w:rsidRPr="00404A11">
        <w:rPr>
          <w:b/>
          <w:bCs/>
          <w:i w:val="0"/>
          <w:iCs w:val="0"/>
          <w:color w:val="auto"/>
        </w:rPr>
        <w:t xml:space="preserve">Figure </w:t>
      </w:r>
      <w:r w:rsidRPr="00404A11">
        <w:rPr>
          <w:b/>
          <w:bCs/>
          <w:i w:val="0"/>
          <w:iCs w:val="0"/>
          <w:color w:val="auto"/>
        </w:rPr>
        <w:fldChar w:fldCharType="begin"/>
      </w:r>
      <w:r w:rsidRPr="00404A11">
        <w:rPr>
          <w:b/>
          <w:bCs/>
          <w:i w:val="0"/>
          <w:iCs w:val="0"/>
          <w:color w:val="auto"/>
        </w:rPr>
        <w:instrText xml:space="preserve"> SEQ Figure \* ARABIC </w:instrText>
      </w:r>
      <w:r w:rsidRPr="00404A11">
        <w:rPr>
          <w:b/>
          <w:bCs/>
          <w:i w:val="0"/>
          <w:iCs w:val="0"/>
          <w:color w:val="auto"/>
        </w:rPr>
        <w:fldChar w:fldCharType="separate"/>
      </w:r>
      <w:r w:rsidRPr="00404A11">
        <w:rPr>
          <w:b/>
          <w:bCs/>
          <w:i w:val="0"/>
          <w:iCs w:val="0"/>
          <w:noProof/>
          <w:color w:val="auto"/>
        </w:rPr>
        <w:t>1</w:t>
      </w:r>
      <w:r w:rsidRPr="00404A11">
        <w:rPr>
          <w:b/>
          <w:bCs/>
          <w:i w:val="0"/>
          <w:iCs w:val="0"/>
          <w:color w:val="auto"/>
        </w:rPr>
        <w:fldChar w:fldCharType="end"/>
      </w:r>
      <w:r w:rsidR="00404A11" w:rsidRPr="00404A11">
        <w:rPr>
          <w:b/>
          <w:bCs/>
          <w:i w:val="0"/>
          <w:iCs w:val="0"/>
          <w:color w:val="auto"/>
        </w:rPr>
        <w:t xml:space="preserve">: </w:t>
      </w:r>
      <w:r w:rsidR="00404A11" w:rsidRPr="00404A11">
        <w:rPr>
          <w:i w:val="0"/>
          <w:iCs w:val="0"/>
          <w:color w:val="auto"/>
        </w:rPr>
        <w:t>Interlayer spacing (</w:t>
      </w:r>
      <w:r w:rsidR="00404A11" w:rsidRPr="00404A11">
        <w:rPr>
          <w:color w:val="auto"/>
        </w:rPr>
        <w:t>d</w:t>
      </w:r>
      <w:r w:rsidR="00404A11" w:rsidRPr="000B566F">
        <w:rPr>
          <w:i w:val="0"/>
          <w:iCs w:val="0"/>
          <w:color w:val="auto"/>
          <w:vertAlign w:val="subscript"/>
        </w:rPr>
        <w:t>003</w:t>
      </w:r>
      <w:r w:rsidR="000B566F">
        <w:rPr>
          <w:i w:val="0"/>
          <w:iCs w:val="0"/>
          <w:color w:val="auto"/>
        </w:rPr>
        <w:t xml:space="preserve">), Metal-Metal (M-M), </w:t>
      </w:r>
      <w:r w:rsidR="005634EA">
        <w:rPr>
          <w:i w:val="0"/>
          <w:iCs w:val="0"/>
          <w:color w:val="auto"/>
        </w:rPr>
        <w:t xml:space="preserve">and </w:t>
      </w:r>
      <w:r w:rsidR="000B566F">
        <w:rPr>
          <w:i w:val="0"/>
          <w:iCs w:val="0"/>
          <w:color w:val="auto"/>
        </w:rPr>
        <w:t>Metal-Oxygen (M-O) bond distances as a function of electrolyte and potential</w:t>
      </w:r>
      <w:r w:rsidR="00012E79">
        <w:rPr>
          <w:i w:val="0"/>
          <w:iCs w:val="0"/>
          <w:color w:val="auto"/>
        </w:rPr>
        <w:t xml:space="preserve">, showing a </w:t>
      </w:r>
      <w:r w:rsidR="005634EA">
        <w:rPr>
          <w:i w:val="0"/>
          <w:iCs w:val="0"/>
          <w:color w:val="auto"/>
        </w:rPr>
        <w:t xml:space="preserve">cation-dependent </w:t>
      </w:r>
      <w:r w:rsidR="00012E79">
        <w:rPr>
          <w:i w:val="0"/>
          <w:iCs w:val="0"/>
          <w:color w:val="auto"/>
        </w:rPr>
        <w:t xml:space="preserve">structural change </w:t>
      </w:r>
      <w:r w:rsidR="005634EA">
        <w:rPr>
          <w:i w:val="0"/>
          <w:iCs w:val="0"/>
          <w:color w:val="auto"/>
        </w:rPr>
        <w:t xml:space="preserve">(oxidation, cation intercalation, and layer contraction) </w:t>
      </w:r>
      <w:r w:rsidR="00012E79">
        <w:rPr>
          <w:i w:val="0"/>
          <w:iCs w:val="0"/>
          <w:color w:val="auto"/>
        </w:rPr>
        <w:t xml:space="preserve">around the Ni oxidation peak indicated by the gray bar </w:t>
      </w:r>
      <w:r w:rsidR="00C24476">
        <w:rPr>
          <w:i w:val="0"/>
          <w:iCs w:val="0"/>
          <w:color w:val="auto"/>
        </w:rPr>
        <w:t>in the bottom left</w:t>
      </w:r>
      <w:r w:rsidR="000B566F">
        <w:rPr>
          <w:i w:val="0"/>
          <w:iCs w:val="0"/>
          <w:color w:val="auto"/>
        </w:rPr>
        <w:t xml:space="preserve">. </w:t>
      </w:r>
    </w:p>
    <w:p w14:paraId="02E5A4EB" w14:textId="5899DD28" w:rsidR="00AE1652" w:rsidRPr="00AE1652" w:rsidRDefault="00AE1652" w:rsidP="00AE1652">
      <w:pPr>
        <w:pStyle w:val="NoSpacing"/>
        <w:jc w:val="both"/>
        <w:rPr>
          <w:b/>
          <w:bCs/>
        </w:rPr>
      </w:pPr>
      <w:r w:rsidRPr="00AE1652">
        <w:rPr>
          <w:b/>
          <w:bCs/>
        </w:rPr>
        <w:t>References</w:t>
      </w:r>
      <w:r>
        <w:rPr>
          <w:b/>
          <w:bCs/>
        </w:rPr>
        <w:t>:</w:t>
      </w:r>
    </w:p>
    <w:p w14:paraId="065A1D38" w14:textId="6EDC2E5C" w:rsidR="00541AE3" w:rsidRPr="00541AE3" w:rsidRDefault="00541AE3" w:rsidP="007E2915">
      <w:pPr>
        <w:pStyle w:val="ListParagraph"/>
        <w:numPr>
          <w:ilvl w:val="0"/>
          <w:numId w:val="2"/>
        </w:numPr>
      </w:pPr>
      <w:r>
        <w:t xml:space="preserve">Garcia, A. C., </w:t>
      </w:r>
      <w:r w:rsidR="001F6A10" w:rsidRPr="001F6A10">
        <w:rPr>
          <w:i/>
          <w:iCs/>
        </w:rPr>
        <w:t>et al</w:t>
      </w:r>
      <w:r w:rsidRPr="001F6A10">
        <w:rPr>
          <w:i/>
          <w:iCs/>
        </w:rPr>
        <w:t>.</w:t>
      </w:r>
      <w:r>
        <w:t xml:space="preserve"> </w:t>
      </w:r>
      <w:r w:rsidRPr="001F6A10">
        <w:t xml:space="preserve">Angew. Chem. Int. Ed. </w:t>
      </w:r>
      <w:r w:rsidRPr="001F6A10">
        <w:rPr>
          <w:b/>
          <w:bCs/>
        </w:rPr>
        <w:t>58</w:t>
      </w:r>
      <w:r w:rsidRPr="001F6A10">
        <w:t>, 12999–13003 (</w:t>
      </w:r>
      <w:r w:rsidRPr="001F6A10">
        <w:rPr>
          <w:b/>
          <w:bCs/>
        </w:rPr>
        <w:t>2019</w:t>
      </w:r>
      <w:r w:rsidRPr="001F6A10">
        <w:t>).</w:t>
      </w:r>
    </w:p>
    <w:p w14:paraId="4A1FAB89" w14:textId="5F26CEE6" w:rsidR="00541AE3" w:rsidRDefault="001F6A10" w:rsidP="007E2915">
      <w:pPr>
        <w:pStyle w:val="ListParagraph"/>
        <w:numPr>
          <w:ilvl w:val="0"/>
          <w:numId w:val="2"/>
        </w:numPr>
      </w:pPr>
      <w:r>
        <w:rPr>
          <w:lang w:val="nl-NL"/>
        </w:rPr>
        <w:t>V</w:t>
      </w:r>
      <w:r w:rsidR="00541AE3" w:rsidRPr="00541AE3">
        <w:rPr>
          <w:lang w:val="nl-NL"/>
        </w:rPr>
        <w:t xml:space="preserve">an der Heijden, O. </w:t>
      </w:r>
      <w:r w:rsidRPr="001F6A10">
        <w:rPr>
          <w:i/>
          <w:iCs/>
          <w:lang w:val="nl-NL"/>
        </w:rPr>
        <w:t>et al.</w:t>
      </w:r>
      <w:r w:rsidRPr="001F6A10">
        <w:rPr>
          <w:lang w:val="nl-NL"/>
        </w:rPr>
        <w:t xml:space="preserve"> </w:t>
      </w:r>
      <w:r w:rsidR="00541AE3">
        <w:t xml:space="preserve">Angew. Chem. Int. Ed. </w:t>
      </w:r>
      <w:r w:rsidR="00541AE3" w:rsidRPr="001F6A10">
        <w:rPr>
          <w:b/>
          <w:bCs/>
        </w:rPr>
        <w:t>63</w:t>
      </w:r>
      <w:r w:rsidR="00541AE3">
        <w:t>, e202318692 (</w:t>
      </w:r>
      <w:r w:rsidR="00541AE3" w:rsidRPr="001F6A10">
        <w:rPr>
          <w:b/>
          <w:bCs/>
        </w:rPr>
        <w:t>2024</w:t>
      </w:r>
      <w:r w:rsidR="00541AE3">
        <w:t>).</w:t>
      </w:r>
    </w:p>
    <w:p w14:paraId="3C047778" w14:textId="13AC96ED" w:rsidR="00541AE3" w:rsidRPr="001F6A10" w:rsidRDefault="00541AE3" w:rsidP="007E2915">
      <w:pPr>
        <w:pStyle w:val="ListParagraph"/>
        <w:numPr>
          <w:ilvl w:val="0"/>
          <w:numId w:val="2"/>
        </w:numPr>
      </w:pPr>
      <w:r w:rsidRPr="00541AE3">
        <w:rPr>
          <w:lang w:val="nl-NL"/>
        </w:rPr>
        <w:t xml:space="preserve">Aalling-Frederiksen, O. </w:t>
      </w:r>
      <w:r w:rsidR="001F6A10" w:rsidRPr="001F6A10">
        <w:rPr>
          <w:i/>
          <w:iCs/>
          <w:lang w:val="nl-NL"/>
        </w:rPr>
        <w:t>et al.</w:t>
      </w:r>
      <w:r w:rsidR="001F6A10" w:rsidRPr="001F6A10">
        <w:rPr>
          <w:lang w:val="nl-NL"/>
        </w:rPr>
        <w:t xml:space="preserve"> </w:t>
      </w:r>
      <w:r w:rsidRPr="001F6A10">
        <w:t xml:space="preserve">Small </w:t>
      </w:r>
      <w:r w:rsidR="00D775AD">
        <w:rPr>
          <w:b/>
          <w:bCs/>
        </w:rPr>
        <w:t>21</w:t>
      </w:r>
      <w:r w:rsidRPr="001F6A10">
        <w:t>, 2411211 (</w:t>
      </w:r>
      <w:r w:rsidRPr="001F6A10">
        <w:rPr>
          <w:b/>
          <w:bCs/>
        </w:rPr>
        <w:t>2025</w:t>
      </w:r>
      <w:r w:rsidRPr="001F6A10">
        <w:t>).</w:t>
      </w:r>
    </w:p>
    <w:p w14:paraId="0866266E" w14:textId="41C563B6" w:rsidR="004E7A34" w:rsidRPr="009E226A" w:rsidRDefault="00541AE3" w:rsidP="00541AE3">
      <w:pPr>
        <w:pStyle w:val="ListParagraph"/>
        <w:numPr>
          <w:ilvl w:val="0"/>
          <w:numId w:val="2"/>
        </w:numPr>
      </w:pPr>
      <w:r w:rsidRPr="00AE1652">
        <w:rPr>
          <w:lang w:val="nl-NL"/>
        </w:rPr>
        <w:t xml:space="preserve">Eggebeen, J. J. J., Kær Mønge, I., Van der Heijden, O., … </w:t>
      </w:r>
      <w:r>
        <w:t xml:space="preserve">Koper, M. T. M. &amp; Pittkowski, R. K. </w:t>
      </w:r>
      <w:r w:rsidRPr="00AE1652">
        <w:rPr>
          <w:i/>
          <w:iCs/>
        </w:rPr>
        <w:t>In preparation</w:t>
      </w:r>
      <w:r>
        <w:t xml:space="preserve"> (</w:t>
      </w:r>
      <w:r w:rsidRPr="00AE1652">
        <w:rPr>
          <w:b/>
          <w:bCs/>
        </w:rPr>
        <w:t>2026</w:t>
      </w:r>
      <w:r>
        <w:t>).</w:t>
      </w:r>
    </w:p>
    <w:sectPr w:rsidR="004E7A34" w:rsidRPr="009E226A" w:rsidSect="004E7A34">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61B2D"/>
    <w:multiLevelType w:val="hybridMultilevel"/>
    <w:tmpl w:val="74487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C441B6"/>
    <w:multiLevelType w:val="hybridMultilevel"/>
    <w:tmpl w:val="5E5C8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6A5D88"/>
    <w:multiLevelType w:val="hybridMultilevel"/>
    <w:tmpl w:val="CCCE7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B76209"/>
    <w:multiLevelType w:val="hybridMultilevel"/>
    <w:tmpl w:val="8286C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1675484">
    <w:abstractNumId w:val="0"/>
  </w:num>
  <w:num w:numId="2" w16cid:durableId="1532722566">
    <w:abstractNumId w:val="3"/>
  </w:num>
  <w:num w:numId="3" w16cid:durableId="1841120232">
    <w:abstractNumId w:val="1"/>
  </w:num>
  <w:num w:numId="4" w16cid:durableId="19024050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61C"/>
    <w:rsid w:val="00012E79"/>
    <w:rsid w:val="000439FD"/>
    <w:rsid w:val="00053A1C"/>
    <w:rsid w:val="000669A7"/>
    <w:rsid w:val="00082661"/>
    <w:rsid w:val="000B566F"/>
    <w:rsid w:val="000F623D"/>
    <w:rsid w:val="00154397"/>
    <w:rsid w:val="001C439A"/>
    <w:rsid w:val="001F6A10"/>
    <w:rsid w:val="00225E61"/>
    <w:rsid w:val="00271777"/>
    <w:rsid w:val="002F1EAA"/>
    <w:rsid w:val="00335E68"/>
    <w:rsid w:val="00404A11"/>
    <w:rsid w:val="0042257B"/>
    <w:rsid w:val="0043711D"/>
    <w:rsid w:val="0048061C"/>
    <w:rsid w:val="004B38FE"/>
    <w:rsid w:val="004E3672"/>
    <w:rsid w:val="004E7A34"/>
    <w:rsid w:val="0052317F"/>
    <w:rsid w:val="00541AE3"/>
    <w:rsid w:val="005634EA"/>
    <w:rsid w:val="00563584"/>
    <w:rsid w:val="005770A3"/>
    <w:rsid w:val="00593590"/>
    <w:rsid w:val="005D6A6F"/>
    <w:rsid w:val="005F0133"/>
    <w:rsid w:val="00646E2E"/>
    <w:rsid w:val="006B7C0D"/>
    <w:rsid w:val="006D0BB2"/>
    <w:rsid w:val="00746559"/>
    <w:rsid w:val="00767919"/>
    <w:rsid w:val="007715D4"/>
    <w:rsid w:val="00793FBC"/>
    <w:rsid w:val="007955C1"/>
    <w:rsid w:val="007A4383"/>
    <w:rsid w:val="007E2915"/>
    <w:rsid w:val="00814E2E"/>
    <w:rsid w:val="008476D3"/>
    <w:rsid w:val="0088067F"/>
    <w:rsid w:val="00962B6D"/>
    <w:rsid w:val="009A528D"/>
    <w:rsid w:val="00A44A84"/>
    <w:rsid w:val="00AC5BC4"/>
    <w:rsid w:val="00AE1652"/>
    <w:rsid w:val="00B21FE7"/>
    <w:rsid w:val="00BB2A52"/>
    <w:rsid w:val="00BC5A22"/>
    <w:rsid w:val="00BD6030"/>
    <w:rsid w:val="00C154E7"/>
    <w:rsid w:val="00C24476"/>
    <w:rsid w:val="00C76CE6"/>
    <w:rsid w:val="00CA6A9F"/>
    <w:rsid w:val="00CC5EBC"/>
    <w:rsid w:val="00CD07A8"/>
    <w:rsid w:val="00D139F2"/>
    <w:rsid w:val="00D66966"/>
    <w:rsid w:val="00D775AD"/>
    <w:rsid w:val="00E52E91"/>
    <w:rsid w:val="00F34A0E"/>
    <w:rsid w:val="00F3795B"/>
    <w:rsid w:val="00F42F1F"/>
    <w:rsid w:val="00F7458B"/>
    <w:rsid w:val="00FD28E6"/>
    <w:rsid w:val="00FD3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E211E"/>
  <w15:chartTrackingRefBased/>
  <w15:docId w15:val="{FB1A57C5-023A-4278-AC9C-F01A406FC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A34"/>
    <w:pPr>
      <w:widowControl w:val="0"/>
      <w:spacing w:after="0" w:line="240" w:lineRule="auto"/>
      <w:jc w:val="both"/>
    </w:pPr>
    <w:rPr>
      <w:rFonts w:ascii="Times New Roman" w:eastAsia="Times New Roman" w:hAnsi="Times New Roman" w:cs="Times New Roman"/>
      <w:snapToGrid w:val="0"/>
      <w:kern w:val="0"/>
      <w:sz w:val="20"/>
      <w:szCs w:val="20"/>
      <w14:ligatures w14:val="none"/>
    </w:rPr>
  </w:style>
  <w:style w:type="paragraph" w:styleId="Heading1">
    <w:name w:val="heading 1"/>
    <w:basedOn w:val="Normal"/>
    <w:next w:val="Normal"/>
    <w:link w:val="Heading1Char"/>
    <w:uiPriority w:val="9"/>
    <w:qFormat/>
    <w:rsid w:val="004806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06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06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06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06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061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061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061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061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061C"/>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48061C"/>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48061C"/>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48061C"/>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48061C"/>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48061C"/>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48061C"/>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48061C"/>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48061C"/>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4806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61C"/>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806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061C"/>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48061C"/>
    <w:pPr>
      <w:spacing w:before="160"/>
      <w:jc w:val="center"/>
    </w:pPr>
    <w:rPr>
      <w:i/>
      <w:iCs/>
      <w:color w:val="404040" w:themeColor="text1" w:themeTint="BF"/>
    </w:rPr>
  </w:style>
  <w:style w:type="character" w:customStyle="1" w:styleId="QuoteChar">
    <w:name w:val="Quote Char"/>
    <w:basedOn w:val="DefaultParagraphFont"/>
    <w:link w:val="Quote"/>
    <w:uiPriority w:val="29"/>
    <w:rsid w:val="0048061C"/>
    <w:rPr>
      <w:i/>
      <w:iCs/>
      <w:color w:val="404040" w:themeColor="text1" w:themeTint="BF"/>
      <w:lang w:val="en-GB"/>
    </w:rPr>
  </w:style>
  <w:style w:type="paragraph" w:styleId="ListParagraph">
    <w:name w:val="List Paragraph"/>
    <w:basedOn w:val="Normal"/>
    <w:uiPriority w:val="34"/>
    <w:qFormat/>
    <w:rsid w:val="0048061C"/>
    <w:pPr>
      <w:ind w:left="720"/>
      <w:contextualSpacing/>
    </w:pPr>
  </w:style>
  <w:style w:type="character" w:styleId="IntenseEmphasis">
    <w:name w:val="Intense Emphasis"/>
    <w:basedOn w:val="DefaultParagraphFont"/>
    <w:uiPriority w:val="21"/>
    <w:qFormat/>
    <w:rsid w:val="0048061C"/>
    <w:rPr>
      <w:i/>
      <w:iCs/>
      <w:color w:val="0F4761" w:themeColor="accent1" w:themeShade="BF"/>
    </w:rPr>
  </w:style>
  <w:style w:type="paragraph" w:styleId="IntenseQuote">
    <w:name w:val="Intense Quote"/>
    <w:basedOn w:val="Normal"/>
    <w:next w:val="Normal"/>
    <w:link w:val="IntenseQuoteChar"/>
    <w:uiPriority w:val="30"/>
    <w:qFormat/>
    <w:rsid w:val="004806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061C"/>
    <w:rPr>
      <w:i/>
      <w:iCs/>
      <w:color w:val="0F4761" w:themeColor="accent1" w:themeShade="BF"/>
      <w:lang w:val="en-GB"/>
    </w:rPr>
  </w:style>
  <w:style w:type="character" w:styleId="IntenseReference">
    <w:name w:val="Intense Reference"/>
    <w:basedOn w:val="DefaultParagraphFont"/>
    <w:uiPriority w:val="32"/>
    <w:qFormat/>
    <w:rsid w:val="0048061C"/>
    <w:rPr>
      <w:b/>
      <w:bCs/>
      <w:smallCaps/>
      <w:color w:val="0F4761" w:themeColor="accent1" w:themeShade="BF"/>
      <w:spacing w:val="5"/>
    </w:rPr>
  </w:style>
  <w:style w:type="character" w:styleId="Hyperlink">
    <w:name w:val="Hyperlink"/>
    <w:uiPriority w:val="99"/>
    <w:unhideWhenUsed/>
    <w:rsid w:val="004E7A34"/>
    <w:rPr>
      <w:color w:val="0563C1"/>
      <w:u w:val="single"/>
    </w:rPr>
  </w:style>
  <w:style w:type="paragraph" w:styleId="NoSpacing">
    <w:name w:val="No Spacing"/>
    <w:uiPriority w:val="1"/>
    <w:qFormat/>
    <w:rsid w:val="004E7A34"/>
    <w:pPr>
      <w:spacing w:after="0" w:line="240" w:lineRule="auto"/>
      <w:jc w:val="center"/>
    </w:pPr>
    <w:rPr>
      <w:rFonts w:ascii="Times New Roman" w:eastAsia="Aptos" w:hAnsi="Times New Roman" w:cs="Times New Roman"/>
      <w:sz w:val="22"/>
      <w:szCs w:val="22"/>
      <w:lang w:val="en-GB"/>
      <w14:ligatures w14:val="none"/>
    </w:rPr>
  </w:style>
  <w:style w:type="paragraph" w:styleId="Bibliography">
    <w:name w:val="Bibliography"/>
    <w:basedOn w:val="Normal"/>
    <w:next w:val="Normal"/>
    <w:uiPriority w:val="70"/>
    <w:rsid w:val="004E7A34"/>
    <w:pPr>
      <w:tabs>
        <w:tab w:val="left" w:pos="264"/>
      </w:tabs>
      <w:spacing w:line="480" w:lineRule="auto"/>
      <w:ind w:left="264" w:hanging="264"/>
    </w:pPr>
  </w:style>
  <w:style w:type="paragraph" w:styleId="Caption">
    <w:name w:val="caption"/>
    <w:basedOn w:val="Normal"/>
    <w:next w:val="Normal"/>
    <w:uiPriority w:val="35"/>
    <w:unhideWhenUsed/>
    <w:qFormat/>
    <w:rsid w:val="00563584"/>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j.j.eggebeen@lic.leidenuniv.n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34CF1-519F-409B-897E-045BDC16F816}">
  <ds:schemaRefs>
    <ds:schemaRef ds:uri="http://schemas.openxmlformats.org/officeDocument/2006/bibliography"/>
  </ds:schemaRefs>
</ds:datastoreItem>
</file>

<file path=docMetadata/LabelInfo.xml><?xml version="1.0" encoding="utf-8"?>
<clbl:labelList xmlns:clbl="http://schemas.microsoft.com/office/2020/mipLabelMetadata">
  <clbl:label id="{d465f887-04a9-4c17-8b62-103eddccf68b}" enabled="1" method="Standard" siteId="{ca2a7f76-dbd7-4ec0-9108-6b3d524fb7c8}"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1855</Words>
  <Characters>10580</Characters>
  <Application>Microsoft Office Word</Application>
  <DocSecurity>0</DocSecurity>
  <Lines>88</Lines>
  <Paragraphs>24</Paragraphs>
  <ScaleCrop>false</ScaleCrop>
  <Company>Universiteit Leiden - ISSC</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Eggebeen, J.J.J. (Jordy)</dc:creator>
  <cp:keywords/>
  <dc:description/>
  <cp:lastModifiedBy>Eggebeen, J.J.J. (Jordy)</cp:lastModifiedBy>
  <cp:revision>55</cp:revision>
  <dcterms:created xsi:type="dcterms:W3CDTF">2026-05-19T10:11:00Z</dcterms:created>
  <dcterms:modified xsi:type="dcterms:W3CDTF">2026-05-21T08:59:00Z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zotero-version="7.0.5"&gt;&lt;session id="3Bg4jy1P"/&gt;&lt;style id="http://www.zotero.org/styles/nature" hasBibliography="1" bibliographyStyleHasBeenSet="1"/&gt;&lt;prefs&gt;&lt;pref name="fieldType" value="Field"/&gt;&lt;pref name="automaticJournalAbbreviatio</vt:lpwstr>
  </property>
  <property fmtid="{D5CDD505-2E9C-101B-9397-08002B2CF9AE}" pid="3" name="ZOTERO_PREF_2">
    <vt:lpwstr>ns" value="true"/&gt;&lt;/prefs&gt;&lt;/data&gt;</vt:lpwstr>
  </property>
</Properties>
</file>