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DE2A4" w14:textId="70E27EDB" w:rsidR="0058728C" w:rsidRPr="00677298" w:rsidRDefault="00677298" w:rsidP="0058728C">
      <w:pPr>
        <w:pStyle w:val="NormaleWeb"/>
        <w:spacing w:before="0" w:beforeAutospacing="0" w:after="0" w:afterAutospacing="0"/>
        <w:jc w:val="center"/>
        <w:rPr>
          <w:b/>
          <w:bCs/>
          <w:sz w:val="28"/>
          <w:szCs w:val="28"/>
          <w:lang w:val="en-GB"/>
        </w:rPr>
      </w:pPr>
      <w:r w:rsidRPr="00677298">
        <w:rPr>
          <w:b/>
          <w:bCs/>
          <w:sz w:val="28"/>
          <w:szCs w:val="28"/>
          <w:lang w:val="en-GB"/>
        </w:rPr>
        <w:t xml:space="preserve">Advances in diabetes management: a novel </w:t>
      </w:r>
      <w:r w:rsidR="00825400">
        <w:rPr>
          <w:b/>
          <w:bCs/>
          <w:sz w:val="28"/>
          <w:szCs w:val="28"/>
          <w:lang w:val="en-GB"/>
        </w:rPr>
        <w:t>magnetic nanoparticles-based immunosensor</w:t>
      </w:r>
      <w:r w:rsidRPr="00677298">
        <w:rPr>
          <w:b/>
          <w:bCs/>
          <w:sz w:val="28"/>
          <w:szCs w:val="28"/>
          <w:lang w:val="en-GB"/>
        </w:rPr>
        <w:t xml:space="preserve"> for</w:t>
      </w:r>
      <w:r w:rsidR="00825400">
        <w:rPr>
          <w:b/>
          <w:bCs/>
          <w:sz w:val="28"/>
          <w:szCs w:val="28"/>
          <w:lang w:val="en-GB"/>
        </w:rPr>
        <w:t xml:space="preserve"> </w:t>
      </w:r>
      <w:r w:rsidRPr="00677298">
        <w:rPr>
          <w:b/>
          <w:bCs/>
          <w:sz w:val="28"/>
          <w:szCs w:val="28"/>
          <w:lang w:val="en-GB"/>
        </w:rPr>
        <w:t xml:space="preserve">C-peptide </w:t>
      </w:r>
      <w:r w:rsidR="00825400">
        <w:rPr>
          <w:b/>
          <w:bCs/>
          <w:sz w:val="28"/>
          <w:szCs w:val="28"/>
          <w:lang w:val="en-GB"/>
        </w:rPr>
        <w:t>detection at the Point-of-Care</w:t>
      </w:r>
    </w:p>
    <w:p w14:paraId="2AE1E18A" w14:textId="77777777" w:rsidR="00677298" w:rsidRPr="00677298" w:rsidRDefault="00677298" w:rsidP="0058728C">
      <w:pPr>
        <w:jc w:val="center"/>
        <w:rPr>
          <w:b/>
          <w:bCs/>
          <w:sz w:val="28"/>
          <w:szCs w:val="28"/>
        </w:rPr>
      </w:pPr>
    </w:p>
    <w:p w14:paraId="3E078E1B" w14:textId="77777777" w:rsidR="00D51B5C" w:rsidRDefault="00D51B5C" w:rsidP="0058728C">
      <w:pPr>
        <w:jc w:val="center"/>
        <w:rPr>
          <w:u w:val="single"/>
        </w:rPr>
      </w:pPr>
    </w:p>
    <w:p w14:paraId="580A42C5" w14:textId="64692235" w:rsidR="0058728C" w:rsidRDefault="0058728C" w:rsidP="0058728C">
      <w:pPr>
        <w:jc w:val="center"/>
      </w:pPr>
      <w:r>
        <w:rPr>
          <w:u w:val="single"/>
        </w:rPr>
        <w:t>Riccarda Antiochia</w:t>
      </w:r>
      <w:r w:rsidRPr="00891EA1">
        <w:rPr>
          <w:u w:val="single"/>
          <w:vertAlign w:val="superscript"/>
        </w:rPr>
        <w:t>1</w:t>
      </w:r>
      <w:r>
        <w:t>, Cristina Tortolini</w:t>
      </w:r>
      <w:r w:rsidRPr="00891EA1">
        <w:rPr>
          <w:vertAlign w:val="superscript"/>
        </w:rPr>
        <w:t>1</w:t>
      </w:r>
      <w:r>
        <w:t xml:space="preserve">, </w:t>
      </w:r>
      <w:r w:rsidR="00C85D37">
        <w:t>Andrea Lenzi</w:t>
      </w:r>
      <w:r w:rsidR="00C85D37" w:rsidRPr="00C85D37">
        <w:rPr>
          <w:vertAlign w:val="superscript"/>
        </w:rPr>
        <w:t>2</w:t>
      </w:r>
      <w:r w:rsidR="00C85D37">
        <w:t xml:space="preserve">, </w:t>
      </w:r>
      <w:r>
        <w:t>Francesco Dotta</w:t>
      </w:r>
      <w:r w:rsidR="00C85D37">
        <w:rPr>
          <w:vertAlign w:val="superscript"/>
        </w:rPr>
        <w:t>2</w:t>
      </w:r>
    </w:p>
    <w:p w14:paraId="35E9AADE" w14:textId="59D5D953" w:rsidR="0058728C" w:rsidRPr="00C85D37" w:rsidRDefault="0058728C" w:rsidP="00C85D37">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i/>
          <w:snapToGrid/>
          <w:color w:val="000000"/>
          <w:lang w:val="it-IT"/>
        </w:rPr>
      </w:pPr>
      <w:r w:rsidRPr="00721B9D">
        <w:rPr>
          <w:i/>
          <w:snapToGrid/>
          <w:color w:val="000000"/>
          <w:vertAlign w:val="superscript"/>
          <w:lang w:val="it-IT"/>
        </w:rPr>
        <w:t>1</w:t>
      </w:r>
      <w:r w:rsidRPr="00216A39">
        <w:rPr>
          <w:i/>
          <w:snapToGrid/>
          <w:color w:val="000000"/>
          <w:lang w:val="it-IT"/>
        </w:rPr>
        <w:t>Sapienza University of Rome</w:t>
      </w:r>
      <w:r w:rsidR="00C85D37">
        <w:rPr>
          <w:i/>
          <w:snapToGrid/>
          <w:color w:val="000000"/>
          <w:lang w:val="it-IT"/>
        </w:rPr>
        <w:t xml:space="preserve">, </w:t>
      </w:r>
      <w:r w:rsidRPr="00216A39">
        <w:rPr>
          <w:rFonts w:hint="cs"/>
          <w:i/>
          <w:snapToGrid/>
          <w:color w:val="000000"/>
          <w:lang w:val="it-IT"/>
        </w:rPr>
        <w:t>V.le Regina Elena 324, 00166 Rome, Italy</w:t>
      </w:r>
    </w:p>
    <w:p w14:paraId="7CBAD634" w14:textId="79D83A17" w:rsidR="0058728C" w:rsidRDefault="00C85D37" w:rsidP="00C85D37">
      <w:pPr>
        <w:widowControl/>
        <w:jc w:val="center"/>
        <w:rPr>
          <w:i/>
          <w:iCs/>
          <w:snapToGrid/>
          <w:lang w:val="it-IT" w:eastAsia="it-IT"/>
        </w:rPr>
      </w:pPr>
      <w:r>
        <w:rPr>
          <w:i/>
          <w:iCs/>
          <w:snapToGrid/>
          <w:vertAlign w:val="superscript"/>
          <w:lang w:val="it-IT" w:eastAsia="it-IT"/>
        </w:rPr>
        <w:t>2</w:t>
      </w:r>
      <w:r w:rsidR="0058728C" w:rsidRPr="002C7DE1">
        <w:rPr>
          <w:i/>
          <w:iCs/>
          <w:snapToGrid/>
          <w:lang w:val="it-IT" w:eastAsia="it-IT"/>
        </w:rPr>
        <w:t xml:space="preserve"> National </w:t>
      </w:r>
      <w:proofErr w:type="spellStart"/>
      <w:r w:rsidR="0058728C" w:rsidRPr="002C7DE1">
        <w:rPr>
          <w:i/>
          <w:iCs/>
          <w:snapToGrid/>
          <w:lang w:val="it-IT" w:eastAsia="it-IT"/>
        </w:rPr>
        <w:t>Research</w:t>
      </w:r>
      <w:proofErr w:type="spellEnd"/>
      <w:r w:rsidR="0058728C" w:rsidRPr="002C7DE1">
        <w:rPr>
          <w:i/>
          <w:iCs/>
          <w:snapToGrid/>
          <w:lang w:val="it-IT" w:eastAsia="it-IT"/>
        </w:rPr>
        <w:t xml:space="preserve"> Council</w:t>
      </w:r>
      <w:r>
        <w:rPr>
          <w:i/>
          <w:iCs/>
          <w:snapToGrid/>
          <w:lang w:val="it-IT" w:eastAsia="it-IT"/>
        </w:rPr>
        <w:t xml:space="preserve">, </w:t>
      </w:r>
      <w:proofErr w:type="spellStart"/>
      <w:r w:rsidR="0058728C">
        <w:rPr>
          <w:i/>
          <w:iCs/>
          <w:snapToGrid/>
          <w:lang w:val="it-IT" w:eastAsia="it-IT"/>
        </w:rPr>
        <w:t>Piazz.le</w:t>
      </w:r>
      <w:proofErr w:type="spellEnd"/>
      <w:r w:rsidR="0058728C">
        <w:rPr>
          <w:i/>
          <w:iCs/>
          <w:snapToGrid/>
          <w:lang w:val="it-IT" w:eastAsia="it-IT"/>
        </w:rPr>
        <w:t xml:space="preserve"> Aldo Moro 7, 00185 </w:t>
      </w:r>
      <w:r w:rsidR="0058728C" w:rsidRPr="002C7DE1">
        <w:rPr>
          <w:i/>
          <w:iCs/>
          <w:snapToGrid/>
          <w:lang w:val="it-IT" w:eastAsia="it-IT"/>
        </w:rPr>
        <w:t>Rome, Italy</w:t>
      </w:r>
    </w:p>
    <w:p w14:paraId="417DB922" w14:textId="6D2FED5B" w:rsidR="00C85D37" w:rsidRDefault="0058728C" w:rsidP="00C85D37">
      <w:pPr>
        <w:jc w:val="center"/>
        <w:rPr>
          <w:i/>
        </w:rPr>
      </w:pPr>
      <w:hyperlink r:id="rId4" w:history="1">
        <w:r w:rsidRPr="00095DE4">
          <w:rPr>
            <w:rStyle w:val="Collegamentoipertestuale"/>
            <w:i/>
            <w:iCs/>
          </w:rPr>
          <w:t xml:space="preserve">riccarda.antiochia@uniroma1.it; </w:t>
        </w:r>
        <w:r w:rsidRPr="00095DE4">
          <w:rPr>
            <w:rStyle w:val="Collegamentoipertestuale"/>
            <w:i/>
          </w:rPr>
          <w:t>cristina.tortolini@uniroma1.it</w:t>
        </w:r>
      </w:hyperlink>
      <w:r>
        <w:rPr>
          <w:i/>
        </w:rPr>
        <w:t>;</w:t>
      </w:r>
      <w:r w:rsidR="00C85D37">
        <w:rPr>
          <w:i/>
        </w:rPr>
        <w:t xml:space="preserve"> andrea.lenzi@cnr.it;</w:t>
      </w:r>
    </w:p>
    <w:p w14:paraId="26B88ECA" w14:textId="4307B940" w:rsidR="0058728C" w:rsidRPr="007B3D4A" w:rsidRDefault="0058728C" w:rsidP="00C85D37">
      <w:pPr>
        <w:jc w:val="center"/>
        <w:rPr>
          <w:i/>
          <w:iCs/>
        </w:rPr>
      </w:pPr>
      <w:r>
        <w:rPr>
          <w:i/>
        </w:rPr>
        <w:t xml:space="preserve"> </w:t>
      </w:r>
      <w:hyperlink r:id="rId5" w:history="1">
        <w:r w:rsidR="00C85D37" w:rsidRPr="00E1657C">
          <w:rPr>
            <w:rStyle w:val="Collegamentoipertestuale"/>
            <w:i/>
            <w:iCs/>
            <w:snapToGrid/>
            <w:lang w:val="it-IT" w:eastAsia="it-IT"/>
          </w:rPr>
          <w:t>france</w:t>
        </w:r>
        <w:r w:rsidR="00C85D37" w:rsidRPr="00E1657C">
          <w:rPr>
            <w:rStyle w:val="Collegamentoipertestuale"/>
            <w:i/>
            <w:iCs/>
            <w:snapToGrid/>
            <w:lang w:val="it-IT" w:eastAsia="it-IT"/>
          </w:rPr>
          <w:t>s</w:t>
        </w:r>
        <w:r w:rsidR="00C85D37" w:rsidRPr="00E1657C">
          <w:rPr>
            <w:rStyle w:val="Collegamentoipertestuale"/>
            <w:i/>
            <w:iCs/>
            <w:snapToGrid/>
            <w:lang w:val="it-IT" w:eastAsia="it-IT"/>
          </w:rPr>
          <w:t>co.dotta@cnr.it</w:t>
        </w:r>
      </w:hyperlink>
    </w:p>
    <w:p w14:paraId="114AA5A4" w14:textId="77777777" w:rsidR="0058728C" w:rsidRDefault="0058728C" w:rsidP="0058728C">
      <w:pPr>
        <w:jc w:val="center"/>
      </w:pPr>
    </w:p>
    <w:p w14:paraId="0DF7EB8F" w14:textId="77777777" w:rsidR="00D51B5C" w:rsidRDefault="00D51B5C" w:rsidP="00AE1B50">
      <w:pPr>
        <w:pStyle w:val="NormaleWeb"/>
        <w:spacing w:before="0" w:beforeAutospacing="0" w:after="0" w:afterAutospacing="0"/>
        <w:jc w:val="both"/>
        <w:rPr>
          <w:sz w:val="20"/>
          <w:szCs w:val="20"/>
          <w:lang w:val="en-GB"/>
        </w:rPr>
      </w:pPr>
    </w:p>
    <w:p w14:paraId="73D535A6" w14:textId="42683FA9" w:rsidR="00AE1B50" w:rsidRDefault="00524DF6" w:rsidP="00AE1B50">
      <w:pPr>
        <w:pStyle w:val="NormaleWeb"/>
        <w:spacing w:before="0" w:beforeAutospacing="0" w:after="0" w:afterAutospacing="0"/>
        <w:jc w:val="both"/>
        <w:rPr>
          <w:sz w:val="20"/>
          <w:szCs w:val="20"/>
          <w:lang w:val="en-GB"/>
        </w:rPr>
      </w:pPr>
      <w:r w:rsidRPr="00AE1B50">
        <w:rPr>
          <w:sz w:val="20"/>
          <w:szCs w:val="20"/>
          <w:lang w:val="en-GB"/>
        </w:rPr>
        <w:t xml:space="preserve">Diabetes is a growing global health emergency that affects millions of people worldwide. Despite the significant advancements made in diabetic care over the past decades, many people with diabetes still face numerous challenges in managing their condition. The development of </w:t>
      </w:r>
      <w:r w:rsidR="00673ABA" w:rsidRPr="00AE1B50">
        <w:rPr>
          <w:sz w:val="20"/>
          <w:szCs w:val="20"/>
          <w:lang w:val="en-GB"/>
        </w:rPr>
        <w:t xml:space="preserve">cheap, </w:t>
      </w:r>
      <w:r w:rsidRPr="00AE1B50">
        <w:rPr>
          <w:sz w:val="20"/>
          <w:szCs w:val="20"/>
          <w:lang w:val="en-GB"/>
        </w:rPr>
        <w:t>non-invasive</w:t>
      </w:r>
      <w:r w:rsidR="00673ABA" w:rsidRPr="00AE1B50">
        <w:rPr>
          <w:sz w:val="20"/>
          <w:szCs w:val="20"/>
          <w:lang w:val="en-GB"/>
        </w:rPr>
        <w:t xml:space="preserve">, and </w:t>
      </w:r>
      <w:r w:rsidR="002334D4">
        <w:rPr>
          <w:sz w:val="20"/>
          <w:szCs w:val="20"/>
          <w:lang w:val="en-GB"/>
        </w:rPr>
        <w:t>Point-of-Care (</w:t>
      </w:r>
      <w:r w:rsidR="00673ABA" w:rsidRPr="00AE1B50">
        <w:rPr>
          <w:sz w:val="20"/>
          <w:szCs w:val="20"/>
          <w:lang w:val="en-GB"/>
        </w:rPr>
        <w:t>POC</w:t>
      </w:r>
      <w:r w:rsidR="002334D4">
        <w:rPr>
          <w:sz w:val="20"/>
          <w:szCs w:val="20"/>
          <w:lang w:val="en-GB"/>
        </w:rPr>
        <w:t>)</w:t>
      </w:r>
      <w:r w:rsidRPr="00AE1B50">
        <w:rPr>
          <w:sz w:val="20"/>
          <w:szCs w:val="20"/>
          <w:lang w:val="en-GB"/>
        </w:rPr>
        <w:t xml:space="preserve"> monitoring </w:t>
      </w:r>
      <w:r w:rsidR="00673ABA" w:rsidRPr="00AE1B50">
        <w:rPr>
          <w:sz w:val="20"/>
          <w:szCs w:val="20"/>
          <w:lang w:val="en-GB"/>
        </w:rPr>
        <w:t>devices</w:t>
      </w:r>
      <w:r w:rsidRPr="00AE1B50">
        <w:rPr>
          <w:sz w:val="20"/>
          <w:szCs w:val="20"/>
          <w:lang w:val="en-GB"/>
        </w:rPr>
        <w:t xml:space="preserve"> may greatly improve</w:t>
      </w:r>
      <w:r w:rsidR="00AE1B50">
        <w:rPr>
          <w:sz w:val="20"/>
          <w:szCs w:val="20"/>
          <w:lang w:val="en-GB"/>
        </w:rPr>
        <w:t xml:space="preserve"> </w:t>
      </w:r>
      <w:r w:rsidRPr="00AE1B50">
        <w:rPr>
          <w:sz w:val="20"/>
          <w:szCs w:val="20"/>
          <w:lang w:val="en-GB"/>
        </w:rPr>
        <w:t>the quality of life for people with diabetes</w:t>
      </w:r>
      <w:r w:rsidR="00673ABA" w:rsidRPr="00AE1B50">
        <w:rPr>
          <w:sz w:val="20"/>
          <w:szCs w:val="20"/>
          <w:lang w:val="en-GB"/>
        </w:rPr>
        <w:t>, allowing for remote monitoring, reducing the need for in-person visits.</w:t>
      </w:r>
      <w:r w:rsidR="00AE1B50" w:rsidRPr="00AE1B50">
        <w:rPr>
          <w:sz w:val="20"/>
          <w:szCs w:val="20"/>
          <w:lang w:val="en-GB"/>
        </w:rPr>
        <w:t xml:space="preserve"> </w:t>
      </w:r>
      <w:r w:rsidR="0058728C" w:rsidRPr="00AE1B50">
        <w:rPr>
          <w:sz w:val="20"/>
          <w:szCs w:val="20"/>
          <w:lang w:val="en-GB"/>
        </w:rPr>
        <w:t>C-peptide is a critical biomarker for evaluating pancreatic β-cell function and managing diabetes. It is secreted by pancreatic β-cells in equimolar amounts as insulin. They are simultaneously released into the capillary circulation, but C-peptide is not destroyed by the liver and has a longer half-life than insulin [1]. Therefore, C-peptide levels are considered a superior clinical biomarker for β-cell function,</w:t>
      </w:r>
      <w:r w:rsidR="0058728C" w:rsidRPr="00AE1B50">
        <w:rPr>
          <w:position w:val="8"/>
          <w:sz w:val="20"/>
          <w:szCs w:val="20"/>
          <w:lang w:val="en-GB"/>
        </w:rPr>
        <w:t xml:space="preserve"> </w:t>
      </w:r>
      <w:r w:rsidR="0058728C" w:rsidRPr="00AE1B50">
        <w:rPr>
          <w:sz w:val="20"/>
          <w:szCs w:val="20"/>
          <w:lang w:val="en-GB"/>
        </w:rPr>
        <w:t xml:space="preserve">and therefore for endogenous insulin secretion. Another practical advantage of C-peptide determination over insulin is that the former can be evaluated in patients undergoing insulin therapy. In addition, circulating C-peptide determination allows to better distinguish </w:t>
      </w:r>
      <w:proofErr w:type="gramStart"/>
      <w:r w:rsidR="0058728C" w:rsidRPr="00AE1B50">
        <w:rPr>
          <w:sz w:val="20"/>
          <w:szCs w:val="20"/>
          <w:lang w:val="en-GB"/>
        </w:rPr>
        <w:t>between  type</w:t>
      </w:r>
      <w:proofErr w:type="gramEnd"/>
      <w:r w:rsidR="0058728C" w:rsidRPr="00AE1B50">
        <w:rPr>
          <w:sz w:val="20"/>
          <w:szCs w:val="20"/>
          <w:lang w:val="en-GB"/>
        </w:rPr>
        <w:t xml:space="preserve"> 1 and type 2 diabetes [2] and may indicate also diabetes-related diseases, such as pancreatic dysfunction and problems related to the kidneys and heart. As a result, several studies have focused on determining C-peptide levels in the body [3]. However, conventional methods, such as enzyme-linked immunosorbent assay (ELISA)</w:t>
      </w:r>
      <w:r w:rsidR="00D054BB">
        <w:rPr>
          <w:sz w:val="20"/>
          <w:szCs w:val="20"/>
          <w:lang w:val="en-GB"/>
        </w:rPr>
        <w:t xml:space="preserve">, </w:t>
      </w:r>
      <w:r w:rsidR="0058728C" w:rsidRPr="00AE1B50">
        <w:rPr>
          <w:sz w:val="20"/>
          <w:szCs w:val="20"/>
          <w:lang w:val="en-GB"/>
        </w:rPr>
        <w:t>chemiluminescence immunoassay</w:t>
      </w:r>
      <w:r w:rsidR="00D054BB">
        <w:rPr>
          <w:sz w:val="20"/>
          <w:szCs w:val="20"/>
          <w:lang w:val="en-GB"/>
        </w:rPr>
        <w:t>, and HPLC</w:t>
      </w:r>
      <w:r w:rsidR="0058728C" w:rsidRPr="00AE1B50">
        <w:rPr>
          <w:sz w:val="20"/>
          <w:szCs w:val="20"/>
          <w:lang w:val="en-GB"/>
        </w:rPr>
        <w:t xml:space="preserve"> are limited by lengthy processing times and high costs. Biosensors are precise and advanced tools for rapid</w:t>
      </w:r>
      <w:r w:rsidR="002334D4">
        <w:rPr>
          <w:sz w:val="20"/>
          <w:szCs w:val="20"/>
          <w:lang w:val="en-GB"/>
        </w:rPr>
        <w:t xml:space="preserve">, </w:t>
      </w:r>
      <w:r w:rsidR="0058728C" w:rsidRPr="00AE1B50">
        <w:rPr>
          <w:sz w:val="20"/>
          <w:szCs w:val="20"/>
          <w:lang w:val="en-GB"/>
        </w:rPr>
        <w:t>low-cost</w:t>
      </w:r>
      <w:r w:rsidR="002334D4">
        <w:rPr>
          <w:sz w:val="20"/>
          <w:szCs w:val="20"/>
          <w:lang w:val="en-GB"/>
        </w:rPr>
        <w:t xml:space="preserve"> and POC</w:t>
      </w:r>
      <w:r w:rsidR="0058728C" w:rsidRPr="00AE1B50">
        <w:rPr>
          <w:sz w:val="20"/>
          <w:szCs w:val="20"/>
          <w:lang w:val="en-GB"/>
        </w:rPr>
        <w:t xml:space="preserve"> detection of multiple disease-related biomarkers</w:t>
      </w:r>
      <w:r w:rsidR="00D054BB">
        <w:rPr>
          <w:sz w:val="20"/>
          <w:szCs w:val="20"/>
          <w:lang w:val="en-GB"/>
        </w:rPr>
        <w:t xml:space="preserve"> </w:t>
      </w:r>
      <w:r w:rsidR="0058728C" w:rsidRPr="00AE1B50">
        <w:rPr>
          <w:sz w:val="20"/>
          <w:szCs w:val="20"/>
          <w:lang w:val="en-GB"/>
        </w:rPr>
        <w:t>[4].</w:t>
      </w:r>
    </w:p>
    <w:p w14:paraId="34047085" w14:textId="77777777" w:rsidR="002334D4" w:rsidRDefault="0058728C" w:rsidP="00AE1B50">
      <w:pPr>
        <w:pStyle w:val="NormaleWeb"/>
        <w:spacing w:before="0" w:beforeAutospacing="0" w:after="0" w:afterAutospacing="0"/>
        <w:jc w:val="both"/>
        <w:rPr>
          <w:color w:val="1F1F1F"/>
          <w:sz w:val="20"/>
          <w:szCs w:val="20"/>
          <w:shd w:val="clear" w:color="auto" w:fill="FFFFFF"/>
          <w:lang w:val="en-GB"/>
        </w:rPr>
      </w:pPr>
      <w:r w:rsidRPr="00AE1B50">
        <w:rPr>
          <w:sz w:val="20"/>
          <w:szCs w:val="20"/>
          <w:lang w:val="en-GB"/>
        </w:rPr>
        <w:t xml:space="preserve">Here, we describe a novel electrochemical immunosensor </w:t>
      </w:r>
      <w:r w:rsidRPr="00AE1B50">
        <w:rPr>
          <w:color w:val="000000"/>
          <w:sz w:val="20"/>
          <w:szCs w:val="20"/>
          <w:lang w:val="en-GB"/>
        </w:rPr>
        <w:t xml:space="preserve">for fast, cheap, </w:t>
      </w:r>
      <w:r w:rsidR="002334D4">
        <w:rPr>
          <w:color w:val="000000"/>
          <w:sz w:val="20"/>
          <w:szCs w:val="20"/>
          <w:lang w:val="en-GB"/>
        </w:rPr>
        <w:t xml:space="preserve">and </w:t>
      </w:r>
      <w:r w:rsidRPr="00AE1B50">
        <w:rPr>
          <w:color w:val="000000"/>
          <w:sz w:val="20"/>
          <w:szCs w:val="20"/>
          <w:lang w:val="en-GB"/>
        </w:rPr>
        <w:t xml:space="preserve">sensitive </w:t>
      </w:r>
      <w:r w:rsidRPr="00AE1B50">
        <w:rPr>
          <w:sz w:val="20"/>
          <w:szCs w:val="20"/>
          <w:lang w:val="en-GB"/>
        </w:rPr>
        <w:t>C-peptide detection</w:t>
      </w:r>
      <w:r w:rsidR="002334D4">
        <w:rPr>
          <w:sz w:val="20"/>
          <w:szCs w:val="20"/>
          <w:lang w:val="en-GB"/>
        </w:rPr>
        <w:t xml:space="preserve"> at the POC</w:t>
      </w:r>
      <w:r w:rsidRPr="00AE1B50">
        <w:rPr>
          <w:sz w:val="20"/>
          <w:szCs w:val="20"/>
          <w:lang w:val="en-GB"/>
        </w:rPr>
        <w:t>, based on iron-oxide magnetic nanoparticles (MNPs)</w:t>
      </w:r>
      <w:r w:rsidR="00AE1B50">
        <w:rPr>
          <w:sz w:val="20"/>
          <w:szCs w:val="20"/>
          <w:lang w:val="en-GB"/>
        </w:rPr>
        <w:t xml:space="preserve">. </w:t>
      </w:r>
      <w:r w:rsidRPr="00AE1B50">
        <w:rPr>
          <w:color w:val="000000"/>
          <w:sz w:val="20"/>
          <w:szCs w:val="20"/>
          <w:lang w:val="en-GB"/>
        </w:rPr>
        <w:t xml:space="preserve">The MNPs, </w:t>
      </w:r>
      <w:r w:rsidR="00AE1B50">
        <w:rPr>
          <w:color w:val="000000"/>
          <w:sz w:val="20"/>
          <w:szCs w:val="20"/>
          <w:lang w:val="en-GB"/>
        </w:rPr>
        <w:t xml:space="preserve">immobilized </w:t>
      </w:r>
      <w:r w:rsidR="00D51B5C">
        <w:rPr>
          <w:color w:val="000000"/>
          <w:sz w:val="20"/>
          <w:szCs w:val="20"/>
          <w:lang w:val="en-GB"/>
        </w:rPr>
        <w:t xml:space="preserve">by drop-casting </w:t>
      </w:r>
      <w:r w:rsidR="00AE1B50">
        <w:rPr>
          <w:color w:val="000000"/>
          <w:sz w:val="20"/>
          <w:szCs w:val="20"/>
          <w:lang w:val="en-GB"/>
        </w:rPr>
        <w:t xml:space="preserve">on the electrode surface with </w:t>
      </w:r>
      <w:r w:rsidRPr="00AE1B50">
        <w:rPr>
          <w:color w:val="000000"/>
          <w:sz w:val="20"/>
          <w:szCs w:val="20"/>
          <w:lang w:val="en-GB"/>
        </w:rPr>
        <w:t>the use of a magnetic support, allowed higher reproducibility</w:t>
      </w:r>
      <w:r w:rsidR="00D51B5C">
        <w:rPr>
          <w:color w:val="000000"/>
          <w:sz w:val="20"/>
          <w:szCs w:val="20"/>
          <w:lang w:val="en-GB"/>
        </w:rPr>
        <w:t xml:space="preserve">, </w:t>
      </w:r>
      <w:r w:rsidRPr="00AE1B50">
        <w:rPr>
          <w:color w:val="000000"/>
          <w:sz w:val="20"/>
          <w:szCs w:val="20"/>
          <w:lang w:val="en-GB"/>
        </w:rPr>
        <w:t xml:space="preserve">avoiding coffee-ring </w:t>
      </w:r>
      <w:r w:rsidRPr="00AE1B50">
        <w:rPr>
          <w:color w:val="000000" w:themeColor="text1"/>
          <w:sz w:val="20"/>
          <w:szCs w:val="20"/>
          <w:lang w:val="en-GB"/>
        </w:rPr>
        <w:t xml:space="preserve">effect [5]. This aspect </w:t>
      </w:r>
      <w:r w:rsidRPr="00AE1B50">
        <w:rPr>
          <w:color w:val="000000"/>
          <w:sz w:val="20"/>
          <w:szCs w:val="20"/>
          <w:lang w:val="en-GB"/>
        </w:rPr>
        <w:t xml:space="preserve">plays a key role in the immunosensor development, where surface stability is one of the main issues to </w:t>
      </w:r>
      <w:r w:rsidR="002334D4">
        <w:rPr>
          <w:color w:val="000000"/>
          <w:sz w:val="20"/>
          <w:szCs w:val="20"/>
          <w:lang w:val="en-GB"/>
        </w:rPr>
        <w:t xml:space="preserve">be </w:t>
      </w:r>
      <w:r w:rsidRPr="00AE1B50">
        <w:rPr>
          <w:color w:val="000000"/>
          <w:sz w:val="20"/>
          <w:szCs w:val="20"/>
          <w:lang w:val="en-GB"/>
        </w:rPr>
        <w:t>address</w:t>
      </w:r>
      <w:r w:rsidR="002334D4">
        <w:rPr>
          <w:color w:val="000000"/>
          <w:sz w:val="20"/>
          <w:szCs w:val="20"/>
          <w:lang w:val="en-GB"/>
        </w:rPr>
        <w:t>ed</w:t>
      </w:r>
      <w:r w:rsidRPr="00AE1B50">
        <w:rPr>
          <w:color w:val="000000"/>
          <w:sz w:val="20"/>
          <w:szCs w:val="20"/>
          <w:lang w:val="en-GB"/>
        </w:rPr>
        <w:t xml:space="preserve">. Moreover, </w:t>
      </w:r>
      <w:r w:rsidRPr="00AE1B50">
        <w:rPr>
          <w:color w:val="1F1F1F"/>
          <w:sz w:val="20"/>
          <w:szCs w:val="20"/>
          <w:shd w:val="clear" w:color="auto" w:fill="FFFFFF"/>
          <w:lang w:val="en-GB"/>
        </w:rPr>
        <w:t>MNPs amplified current response signals</w:t>
      </w:r>
      <w:r w:rsidR="002334D4">
        <w:rPr>
          <w:color w:val="1F1F1F"/>
          <w:sz w:val="20"/>
          <w:szCs w:val="20"/>
          <w:shd w:val="clear" w:color="auto" w:fill="FFFFFF"/>
          <w:lang w:val="en-GB"/>
        </w:rPr>
        <w:t xml:space="preserve">, thus </w:t>
      </w:r>
      <w:r w:rsidRPr="00AE1B50">
        <w:rPr>
          <w:color w:val="1F1F1F"/>
          <w:sz w:val="20"/>
          <w:szCs w:val="20"/>
          <w:shd w:val="clear" w:color="auto" w:fill="FFFFFF"/>
          <w:lang w:val="en-GB"/>
        </w:rPr>
        <w:t>enhanc</w:t>
      </w:r>
      <w:r w:rsidR="002334D4">
        <w:rPr>
          <w:color w:val="1F1F1F"/>
          <w:sz w:val="20"/>
          <w:szCs w:val="20"/>
          <w:shd w:val="clear" w:color="auto" w:fill="FFFFFF"/>
          <w:lang w:val="en-GB"/>
        </w:rPr>
        <w:t>ing</w:t>
      </w:r>
      <w:r w:rsidRPr="00AE1B50">
        <w:rPr>
          <w:color w:val="1F1F1F"/>
          <w:sz w:val="20"/>
          <w:szCs w:val="20"/>
          <w:shd w:val="clear" w:color="auto" w:fill="FFFFFF"/>
          <w:lang w:val="en-GB"/>
        </w:rPr>
        <w:t xml:space="preserve"> sensitivity</w:t>
      </w:r>
      <w:r w:rsidR="002334D4">
        <w:rPr>
          <w:color w:val="1F1F1F"/>
          <w:sz w:val="20"/>
          <w:szCs w:val="20"/>
          <w:shd w:val="clear" w:color="auto" w:fill="FFFFFF"/>
          <w:lang w:val="en-GB"/>
        </w:rPr>
        <w:t>,</w:t>
      </w:r>
      <w:r w:rsidRPr="00AE1B50">
        <w:rPr>
          <w:color w:val="1F1F1F"/>
          <w:sz w:val="20"/>
          <w:szCs w:val="20"/>
          <w:shd w:val="clear" w:color="auto" w:fill="FFFFFF"/>
          <w:lang w:val="en-GB"/>
        </w:rPr>
        <w:t xml:space="preserve"> through their conductive properties and </w:t>
      </w:r>
      <w:r w:rsidRPr="00AE1B50">
        <w:rPr>
          <w:rFonts w:hint="cs"/>
          <w:color w:val="000000"/>
          <w:sz w:val="20"/>
          <w:szCs w:val="20"/>
        </w:rPr>
        <w:t>large specific surface areas</w:t>
      </w:r>
      <w:r w:rsidRPr="00AE1B50">
        <w:rPr>
          <w:color w:val="000000"/>
          <w:sz w:val="20"/>
          <w:szCs w:val="20"/>
        </w:rPr>
        <w:t>,</w:t>
      </w:r>
      <w:r w:rsidRPr="00AE1B50">
        <w:rPr>
          <w:color w:val="1F1F1F"/>
          <w:sz w:val="20"/>
          <w:szCs w:val="20"/>
          <w:shd w:val="clear" w:color="auto" w:fill="FFFFFF"/>
          <w:lang w:val="en-GB"/>
        </w:rPr>
        <w:t xml:space="preserve"> showing also excellent biocompatibility with antibodies, and low toxicity. </w:t>
      </w:r>
    </w:p>
    <w:p w14:paraId="0630145B" w14:textId="162E5892" w:rsidR="0058728C" w:rsidRPr="00AE1B50" w:rsidRDefault="0058728C" w:rsidP="00AE1B50">
      <w:pPr>
        <w:pStyle w:val="NormaleWeb"/>
        <w:spacing w:before="0" w:beforeAutospacing="0" w:after="0" w:afterAutospacing="0"/>
        <w:jc w:val="both"/>
        <w:rPr>
          <w:sz w:val="20"/>
          <w:szCs w:val="20"/>
          <w:lang w:val="en-GB"/>
        </w:rPr>
      </w:pPr>
      <w:r w:rsidRPr="00AE1B50">
        <w:rPr>
          <w:color w:val="1F1F1F"/>
          <w:sz w:val="20"/>
          <w:szCs w:val="20"/>
          <w:shd w:val="clear" w:color="auto" w:fill="FFFFFF"/>
          <w:lang w:val="en-GB"/>
        </w:rPr>
        <w:t xml:space="preserve">The proposed immunosensor allowed the detection of C-peptide in the nanomolar range in human serum </w:t>
      </w:r>
      <w:r w:rsidR="000C21F1">
        <w:rPr>
          <w:color w:val="1F1F1F"/>
          <w:sz w:val="20"/>
          <w:szCs w:val="20"/>
          <w:shd w:val="clear" w:color="auto" w:fill="FFFFFF"/>
          <w:lang w:val="en-GB"/>
        </w:rPr>
        <w:t xml:space="preserve">and urine </w:t>
      </w:r>
      <w:r w:rsidRPr="00AE1B50">
        <w:rPr>
          <w:color w:val="1F1F1F"/>
          <w:sz w:val="20"/>
          <w:szCs w:val="20"/>
          <w:shd w:val="clear" w:color="auto" w:fill="FFFFFF"/>
          <w:lang w:val="en-GB"/>
        </w:rPr>
        <w:t xml:space="preserve">samples collected from healthy people and patients under pharmacological treatment, showing excellent agreement with </w:t>
      </w:r>
      <w:r w:rsidR="000C21F1">
        <w:rPr>
          <w:color w:val="1F1F1F"/>
          <w:sz w:val="20"/>
          <w:szCs w:val="20"/>
          <w:shd w:val="clear" w:color="auto" w:fill="FFFFFF"/>
          <w:lang w:val="en-GB"/>
        </w:rPr>
        <w:t>HPLC-UV</w:t>
      </w:r>
      <w:r w:rsidRPr="00AE1B50">
        <w:rPr>
          <w:color w:val="1F1F1F"/>
          <w:sz w:val="20"/>
          <w:szCs w:val="20"/>
          <w:shd w:val="clear" w:color="auto" w:fill="FFFFFF"/>
          <w:lang w:val="en-GB"/>
        </w:rPr>
        <w:t xml:space="preserve"> method. </w:t>
      </w:r>
      <w:r w:rsidR="00D51B5C">
        <w:rPr>
          <w:color w:val="1F1F1F"/>
          <w:sz w:val="20"/>
          <w:szCs w:val="20"/>
          <w:shd w:val="clear" w:color="auto" w:fill="FFFFFF"/>
          <w:lang w:val="en-GB"/>
        </w:rPr>
        <w:t xml:space="preserve">These results hold </w:t>
      </w:r>
      <w:r w:rsidR="002334D4">
        <w:rPr>
          <w:color w:val="1F1F1F"/>
          <w:sz w:val="20"/>
          <w:szCs w:val="20"/>
          <w:shd w:val="clear" w:color="auto" w:fill="FFFFFF"/>
          <w:lang w:val="en-GB"/>
        </w:rPr>
        <w:t xml:space="preserve">great </w:t>
      </w:r>
      <w:r w:rsidR="00D51B5C">
        <w:rPr>
          <w:color w:val="1F1F1F"/>
          <w:sz w:val="20"/>
          <w:szCs w:val="20"/>
          <w:shd w:val="clear" w:color="auto" w:fill="FFFFFF"/>
          <w:lang w:val="en-GB"/>
        </w:rPr>
        <w:t>promise for the development of a better diabetes management in the future.</w:t>
      </w:r>
    </w:p>
    <w:p w14:paraId="1FD0BE7E" w14:textId="77777777" w:rsidR="00AE1B50" w:rsidRPr="00AE1B50" w:rsidRDefault="00AE1B50" w:rsidP="0058728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1F1F1F"/>
          <w:shd w:val="clear" w:color="auto" w:fill="FFFFFF"/>
          <w:lang w:val="en-GB"/>
        </w:rPr>
      </w:pPr>
    </w:p>
    <w:p w14:paraId="7F34B3C8" w14:textId="77777777" w:rsidR="00AE1B50" w:rsidRPr="00AE1B50" w:rsidRDefault="00AE1B50" w:rsidP="0058728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1F1F1F"/>
          <w:shd w:val="clear" w:color="auto" w:fill="FFFFFF"/>
          <w:lang w:val="en-GB"/>
        </w:rPr>
      </w:pPr>
    </w:p>
    <w:p w14:paraId="246A3AE4" w14:textId="77777777" w:rsidR="0058728C" w:rsidRPr="00AE1B50" w:rsidRDefault="0058728C" w:rsidP="0058728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napToGrid/>
          <w:color w:val="000000" w:themeColor="text1"/>
          <w:lang w:val="it-IT"/>
        </w:rPr>
      </w:pPr>
      <w:r w:rsidRPr="00AE1B50">
        <w:rPr>
          <w:snapToGrid/>
          <w:color w:val="000000" w:themeColor="text1"/>
          <w:lang w:val="it-IT"/>
        </w:rPr>
        <w:t xml:space="preserve">[1] </w:t>
      </w:r>
      <w:r w:rsidRPr="00AE1B50">
        <w:rPr>
          <w:rFonts w:hint="cs"/>
          <w:snapToGrid/>
          <w:color w:val="000000" w:themeColor="text1"/>
          <w:lang w:val="it-IT"/>
        </w:rPr>
        <w:t xml:space="preserve">J. Chen, Y. Huang, C. Liu, et al., </w:t>
      </w:r>
      <w:r w:rsidRPr="00AE1B50">
        <w:rPr>
          <w:rFonts w:hint="cs"/>
          <w:i/>
          <w:iCs/>
          <w:snapToGrid/>
          <w:color w:val="000000" w:themeColor="text1"/>
          <w:lang w:val="it-IT"/>
        </w:rPr>
        <w:t xml:space="preserve">Front. </w:t>
      </w:r>
      <w:proofErr w:type="spellStart"/>
      <w:r w:rsidRPr="00AE1B50">
        <w:rPr>
          <w:rFonts w:hint="cs"/>
          <w:i/>
          <w:iCs/>
          <w:snapToGrid/>
          <w:color w:val="000000" w:themeColor="text1"/>
          <w:lang w:val="it-IT"/>
        </w:rPr>
        <w:t>Endocrinol</w:t>
      </w:r>
      <w:proofErr w:type="spellEnd"/>
      <w:r w:rsidRPr="00AE1B50">
        <w:rPr>
          <w:rFonts w:hint="cs"/>
          <w:snapToGrid/>
          <w:color w:val="000000" w:themeColor="text1"/>
          <w:lang w:val="it-IT"/>
        </w:rPr>
        <w:t>. 14 (2023)</w:t>
      </w:r>
    </w:p>
    <w:p w14:paraId="1A61F973" w14:textId="77777777" w:rsidR="0058728C" w:rsidRPr="00AE1B50" w:rsidRDefault="0058728C" w:rsidP="0058728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napToGrid/>
          <w:color w:val="000000" w:themeColor="text1"/>
          <w:lang w:val="it-IT"/>
        </w:rPr>
      </w:pPr>
      <w:r w:rsidRPr="00AE1B50">
        <w:rPr>
          <w:snapToGrid/>
          <w:color w:val="000000" w:themeColor="text1"/>
          <w:lang w:val="it-IT"/>
        </w:rPr>
        <w:t xml:space="preserve">[2] </w:t>
      </w:r>
      <w:r w:rsidRPr="00AE1B50">
        <w:rPr>
          <w:rFonts w:hint="cs"/>
          <w:snapToGrid/>
          <w:color w:val="000000" w:themeColor="text1"/>
          <w:lang w:val="it-IT"/>
        </w:rPr>
        <w:t xml:space="preserve">S. Iqbal, A.A. </w:t>
      </w:r>
      <w:proofErr w:type="spellStart"/>
      <w:r w:rsidRPr="00AE1B50">
        <w:rPr>
          <w:rFonts w:hint="cs"/>
          <w:snapToGrid/>
          <w:color w:val="000000" w:themeColor="text1"/>
          <w:lang w:val="it-IT"/>
        </w:rPr>
        <w:t>Jayyab</w:t>
      </w:r>
      <w:proofErr w:type="spellEnd"/>
      <w:r w:rsidRPr="00AE1B50">
        <w:rPr>
          <w:rFonts w:hint="cs"/>
          <w:snapToGrid/>
          <w:color w:val="000000" w:themeColor="text1"/>
          <w:lang w:val="it-IT"/>
        </w:rPr>
        <w:t xml:space="preserve">, A.M. Alrashdi, et al., </w:t>
      </w:r>
      <w:proofErr w:type="spellStart"/>
      <w:r w:rsidRPr="00AE1B50">
        <w:rPr>
          <w:rFonts w:hint="cs"/>
          <w:i/>
          <w:iCs/>
          <w:snapToGrid/>
          <w:color w:val="000000" w:themeColor="text1"/>
          <w:lang w:val="it-IT"/>
        </w:rPr>
        <w:t>Endocr</w:t>
      </w:r>
      <w:proofErr w:type="spellEnd"/>
      <w:r w:rsidRPr="00AE1B50">
        <w:rPr>
          <w:rFonts w:hint="cs"/>
          <w:i/>
          <w:iCs/>
          <w:snapToGrid/>
          <w:color w:val="000000" w:themeColor="text1"/>
          <w:lang w:val="it-IT"/>
        </w:rPr>
        <w:t xml:space="preserve">. </w:t>
      </w:r>
      <w:proofErr w:type="spellStart"/>
      <w:r w:rsidRPr="00AE1B50">
        <w:rPr>
          <w:rFonts w:hint="cs"/>
          <w:i/>
          <w:iCs/>
          <w:snapToGrid/>
          <w:color w:val="000000" w:themeColor="text1"/>
          <w:lang w:val="it-IT"/>
        </w:rPr>
        <w:t>Pract</w:t>
      </w:r>
      <w:proofErr w:type="spellEnd"/>
      <w:r w:rsidRPr="00AE1B50">
        <w:rPr>
          <w:rFonts w:hint="cs"/>
          <w:snapToGrid/>
          <w:color w:val="000000" w:themeColor="text1"/>
          <w:lang w:val="it-IT"/>
        </w:rPr>
        <w:t>. 29 (2023) 379</w:t>
      </w:r>
      <w:r w:rsidRPr="00AE1B50">
        <w:rPr>
          <w:snapToGrid/>
          <w:color w:val="000000" w:themeColor="text1"/>
          <w:lang w:val="it-IT"/>
        </w:rPr>
        <w:t>-</w:t>
      </w:r>
      <w:r w:rsidRPr="00AE1B50">
        <w:rPr>
          <w:rFonts w:hint="cs"/>
          <w:snapToGrid/>
          <w:color w:val="000000" w:themeColor="text1"/>
          <w:lang w:val="it-IT"/>
        </w:rPr>
        <w:t>387</w:t>
      </w:r>
    </w:p>
    <w:p w14:paraId="3BAB623B" w14:textId="77777777" w:rsidR="0058728C" w:rsidRPr="00AE1B50" w:rsidRDefault="0058728C" w:rsidP="0058728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napToGrid/>
          <w:color w:val="000000" w:themeColor="text1"/>
          <w:lang w:val="it-IT"/>
        </w:rPr>
      </w:pPr>
      <w:r w:rsidRPr="00AE1B50">
        <w:rPr>
          <w:rFonts w:hint="cs"/>
          <w:snapToGrid/>
          <w:color w:val="000000" w:themeColor="text1"/>
          <w:lang w:val="it-IT"/>
        </w:rPr>
        <w:t xml:space="preserve">[3] H. </w:t>
      </w:r>
      <w:proofErr w:type="spellStart"/>
      <w:r w:rsidRPr="00AE1B50">
        <w:rPr>
          <w:rFonts w:hint="cs"/>
          <w:snapToGrid/>
          <w:color w:val="000000" w:themeColor="text1"/>
          <w:lang w:val="it-IT"/>
        </w:rPr>
        <w:t>Ahmadirad</w:t>
      </w:r>
      <w:proofErr w:type="spellEnd"/>
      <w:r w:rsidRPr="00AE1B50">
        <w:rPr>
          <w:rFonts w:hint="cs"/>
          <w:snapToGrid/>
          <w:color w:val="000000" w:themeColor="text1"/>
          <w:lang w:val="it-IT"/>
        </w:rPr>
        <w:t xml:space="preserve">, F. </w:t>
      </w:r>
      <w:proofErr w:type="spellStart"/>
      <w:r w:rsidRPr="00AE1B50">
        <w:rPr>
          <w:rFonts w:hint="cs"/>
          <w:snapToGrid/>
          <w:color w:val="000000" w:themeColor="text1"/>
          <w:lang w:val="it-IT"/>
        </w:rPr>
        <w:t>Teymoori</w:t>
      </w:r>
      <w:proofErr w:type="spellEnd"/>
      <w:r w:rsidRPr="00AE1B50">
        <w:rPr>
          <w:rFonts w:hint="cs"/>
          <w:snapToGrid/>
          <w:color w:val="000000" w:themeColor="text1"/>
          <w:lang w:val="it-IT"/>
        </w:rPr>
        <w:t xml:space="preserve">, E. Mokhtari, et al., </w:t>
      </w:r>
      <w:r w:rsidRPr="00AE1B50">
        <w:rPr>
          <w:rFonts w:hint="cs"/>
          <w:i/>
          <w:iCs/>
          <w:snapToGrid/>
          <w:color w:val="000000" w:themeColor="text1"/>
          <w:lang w:val="it-IT"/>
        </w:rPr>
        <w:t>Front</w:t>
      </w:r>
      <w:r w:rsidRPr="00AE1B50">
        <w:rPr>
          <w:i/>
          <w:iCs/>
          <w:snapToGrid/>
          <w:color w:val="000000" w:themeColor="text1"/>
          <w:lang w:val="it-IT"/>
        </w:rPr>
        <w:t>.</w:t>
      </w:r>
      <w:r w:rsidRPr="00AE1B50">
        <w:rPr>
          <w:rFonts w:hint="cs"/>
          <w:i/>
          <w:iCs/>
          <w:snapToGrid/>
          <w:color w:val="000000" w:themeColor="text1"/>
          <w:lang w:val="it-IT"/>
        </w:rPr>
        <w:t xml:space="preserve"> </w:t>
      </w:r>
      <w:proofErr w:type="spellStart"/>
      <w:r w:rsidRPr="00AE1B50">
        <w:rPr>
          <w:rFonts w:hint="cs"/>
          <w:i/>
          <w:iCs/>
          <w:snapToGrid/>
          <w:color w:val="000000" w:themeColor="text1"/>
          <w:lang w:val="it-IT"/>
        </w:rPr>
        <w:t>Cardiovasc</w:t>
      </w:r>
      <w:proofErr w:type="spellEnd"/>
      <w:r w:rsidRPr="00AE1B50">
        <w:rPr>
          <w:i/>
          <w:iCs/>
          <w:snapToGrid/>
          <w:color w:val="000000" w:themeColor="text1"/>
          <w:lang w:val="it-IT"/>
        </w:rPr>
        <w:t>.</w:t>
      </w:r>
      <w:r w:rsidRPr="00AE1B50">
        <w:rPr>
          <w:rFonts w:hint="cs"/>
          <w:i/>
          <w:iCs/>
          <w:snapToGrid/>
          <w:color w:val="000000" w:themeColor="text1"/>
          <w:lang w:val="it-IT"/>
        </w:rPr>
        <w:t xml:space="preserve"> </w:t>
      </w:r>
      <w:proofErr w:type="spellStart"/>
      <w:r w:rsidRPr="00AE1B50">
        <w:rPr>
          <w:rFonts w:hint="cs"/>
          <w:i/>
          <w:iCs/>
          <w:snapToGrid/>
          <w:color w:val="000000" w:themeColor="text1"/>
          <w:lang w:val="it-IT"/>
        </w:rPr>
        <w:t>Med</w:t>
      </w:r>
      <w:proofErr w:type="spellEnd"/>
      <w:r w:rsidRPr="00AE1B50">
        <w:rPr>
          <w:i/>
          <w:iCs/>
          <w:snapToGrid/>
          <w:color w:val="000000" w:themeColor="text1"/>
          <w:lang w:val="it-IT"/>
        </w:rPr>
        <w:t>.</w:t>
      </w:r>
      <w:r w:rsidRPr="00AE1B50">
        <w:rPr>
          <w:snapToGrid/>
          <w:color w:val="000000" w:themeColor="text1"/>
          <w:lang w:val="it-IT"/>
        </w:rPr>
        <w:t xml:space="preserve">, </w:t>
      </w:r>
      <w:r w:rsidRPr="00AE1B50">
        <w:rPr>
          <w:rFonts w:hint="cs"/>
          <w:snapToGrid/>
          <w:color w:val="000000" w:themeColor="text1"/>
          <w:lang w:val="it-IT"/>
        </w:rPr>
        <w:t>2023</w:t>
      </w:r>
    </w:p>
    <w:p w14:paraId="38E446C7" w14:textId="77777777" w:rsidR="0058728C" w:rsidRPr="00AE1B50" w:rsidRDefault="0058728C" w:rsidP="0058728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napToGrid/>
          <w:color w:val="000000" w:themeColor="text1"/>
          <w:lang w:val="it-IT"/>
        </w:rPr>
      </w:pPr>
      <w:r w:rsidRPr="00AE1B50">
        <w:rPr>
          <w:rFonts w:hint="cs"/>
          <w:snapToGrid/>
          <w:color w:val="000000" w:themeColor="text1"/>
          <w:lang w:val="it-IT"/>
        </w:rPr>
        <w:t>[4] Z</w:t>
      </w:r>
      <w:r w:rsidRPr="00AE1B50">
        <w:rPr>
          <w:snapToGrid/>
          <w:color w:val="000000" w:themeColor="text1"/>
          <w:lang w:val="it-IT"/>
        </w:rPr>
        <w:t xml:space="preserve">. </w:t>
      </w:r>
      <w:r w:rsidRPr="00AE1B50">
        <w:rPr>
          <w:rFonts w:hint="cs"/>
          <w:snapToGrid/>
          <w:color w:val="000000" w:themeColor="text1"/>
          <w:lang w:val="it-IT"/>
        </w:rPr>
        <w:t>J</w:t>
      </w:r>
      <w:r w:rsidRPr="00AE1B50">
        <w:rPr>
          <w:snapToGrid/>
          <w:color w:val="000000" w:themeColor="text1"/>
          <w:lang w:val="it-IT"/>
        </w:rPr>
        <w:t>.</w:t>
      </w:r>
      <w:r w:rsidRPr="00AE1B50">
        <w:rPr>
          <w:rFonts w:hint="cs"/>
          <w:snapToGrid/>
          <w:color w:val="000000" w:themeColor="text1"/>
          <w:lang w:val="it-IT"/>
        </w:rPr>
        <w:t xml:space="preserve"> </w:t>
      </w:r>
      <w:proofErr w:type="spellStart"/>
      <w:r w:rsidRPr="00AE1B50">
        <w:rPr>
          <w:rFonts w:hint="cs"/>
          <w:snapToGrid/>
          <w:color w:val="000000" w:themeColor="text1"/>
          <w:lang w:val="it-IT"/>
        </w:rPr>
        <w:t>Bahaabadi</w:t>
      </w:r>
      <w:proofErr w:type="spellEnd"/>
      <w:r w:rsidRPr="00AE1B50">
        <w:rPr>
          <w:rFonts w:hint="cs"/>
          <w:snapToGrid/>
          <w:color w:val="000000" w:themeColor="text1"/>
          <w:lang w:val="it-IT"/>
        </w:rPr>
        <w:t>, P</w:t>
      </w:r>
      <w:r w:rsidRPr="00AE1B50">
        <w:rPr>
          <w:snapToGrid/>
          <w:color w:val="000000" w:themeColor="text1"/>
          <w:lang w:val="it-IT"/>
        </w:rPr>
        <w:t>.</w:t>
      </w:r>
      <w:r w:rsidRPr="00AE1B50">
        <w:rPr>
          <w:rFonts w:hint="cs"/>
          <w:snapToGrid/>
          <w:color w:val="000000" w:themeColor="text1"/>
          <w:lang w:val="it-IT"/>
        </w:rPr>
        <w:t xml:space="preserve"> </w:t>
      </w:r>
      <w:proofErr w:type="spellStart"/>
      <w:r w:rsidRPr="00AE1B50">
        <w:rPr>
          <w:rFonts w:hint="cs"/>
          <w:snapToGrid/>
          <w:color w:val="000000" w:themeColor="text1"/>
          <w:lang w:val="it-IT"/>
        </w:rPr>
        <w:t>Kesharwani</w:t>
      </w:r>
      <w:proofErr w:type="spellEnd"/>
      <w:r w:rsidRPr="00AE1B50">
        <w:rPr>
          <w:rFonts w:hint="cs"/>
          <w:snapToGrid/>
          <w:color w:val="000000" w:themeColor="text1"/>
          <w:lang w:val="it-IT"/>
        </w:rPr>
        <w:t>, A</w:t>
      </w:r>
      <w:r w:rsidRPr="00AE1B50">
        <w:rPr>
          <w:snapToGrid/>
          <w:color w:val="000000" w:themeColor="text1"/>
          <w:lang w:val="it-IT"/>
        </w:rPr>
        <w:t>.</w:t>
      </w:r>
      <w:r w:rsidRPr="00AE1B50">
        <w:rPr>
          <w:rFonts w:hint="cs"/>
          <w:snapToGrid/>
          <w:color w:val="000000" w:themeColor="text1"/>
          <w:lang w:val="it-IT"/>
        </w:rPr>
        <w:t xml:space="preserve"> </w:t>
      </w:r>
      <w:proofErr w:type="spellStart"/>
      <w:proofErr w:type="gramStart"/>
      <w:r w:rsidRPr="00AE1B50">
        <w:rPr>
          <w:rFonts w:hint="cs"/>
          <w:snapToGrid/>
          <w:color w:val="000000" w:themeColor="text1"/>
          <w:lang w:val="it-IT"/>
        </w:rPr>
        <w:t>Sahebkar</w:t>
      </w:r>
      <w:proofErr w:type="spellEnd"/>
      <w:r w:rsidRPr="00AE1B50">
        <w:rPr>
          <w:rFonts w:hint="cs"/>
          <w:snapToGrid/>
          <w:color w:val="000000" w:themeColor="text1"/>
          <w:lang w:val="it-IT"/>
        </w:rPr>
        <w:t xml:space="preserve">,  </w:t>
      </w:r>
      <w:proofErr w:type="spellStart"/>
      <w:r w:rsidRPr="00AE1B50">
        <w:rPr>
          <w:rFonts w:hint="cs"/>
          <w:i/>
          <w:iCs/>
          <w:snapToGrid/>
          <w:color w:val="000000" w:themeColor="text1"/>
          <w:lang w:val="it-IT"/>
        </w:rPr>
        <w:t>Microchem</w:t>
      </w:r>
      <w:proofErr w:type="spellEnd"/>
      <w:proofErr w:type="gramEnd"/>
      <w:r w:rsidRPr="00AE1B50">
        <w:rPr>
          <w:i/>
          <w:iCs/>
          <w:snapToGrid/>
          <w:color w:val="000000" w:themeColor="text1"/>
          <w:lang w:val="it-IT"/>
        </w:rPr>
        <w:t>.</w:t>
      </w:r>
      <w:r w:rsidRPr="00AE1B50">
        <w:rPr>
          <w:rFonts w:hint="cs"/>
          <w:i/>
          <w:iCs/>
          <w:snapToGrid/>
          <w:color w:val="000000" w:themeColor="text1"/>
          <w:lang w:val="it-IT"/>
        </w:rPr>
        <w:t xml:space="preserve"> J</w:t>
      </w:r>
      <w:r w:rsidRPr="00AE1B50">
        <w:rPr>
          <w:i/>
          <w:iCs/>
          <w:snapToGrid/>
          <w:color w:val="000000" w:themeColor="text1"/>
          <w:lang w:val="it-IT"/>
        </w:rPr>
        <w:t xml:space="preserve">. </w:t>
      </w:r>
      <w:r w:rsidRPr="00AE1B50">
        <w:rPr>
          <w:rFonts w:hint="cs"/>
          <w:snapToGrid/>
          <w:color w:val="000000" w:themeColor="text1"/>
          <w:lang w:val="it-IT"/>
        </w:rPr>
        <w:t xml:space="preserve"> 207 (2024) 111922</w:t>
      </w:r>
    </w:p>
    <w:p w14:paraId="287C15DD" w14:textId="77777777" w:rsidR="0058728C" w:rsidRPr="00AE1B50" w:rsidRDefault="0058728C" w:rsidP="0058728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snapToGrid/>
          <w:color w:val="000000" w:themeColor="text1"/>
          <w:lang w:val="it-IT"/>
        </w:rPr>
      </w:pPr>
      <w:r w:rsidRPr="00AE1B50">
        <w:rPr>
          <w:rFonts w:hint="cs"/>
          <w:snapToGrid/>
          <w:color w:val="000000" w:themeColor="text1"/>
          <w:lang w:val="it-IT"/>
        </w:rPr>
        <w:t xml:space="preserve">[5] A. </w:t>
      </w:r>
      <w:proofErr w:type="spellStart"/>
      <w:r w:rsidRPr="00AE1B50">
        <w:rPr>
          <w:rFonts w:hint="cs"/>
          <w:snapToGrid/>
          <w:color w:val="000000" w:themeColor="text1"/>
          <w:lang w:val="it-IT"/>
        </w:rPr>
        <w:t>Kaliyaraj</w:t>
      </w:r>
      <w:proofErr w:type="spellEnd"/>
      <w:r w:rsidRPr="00AE1B50">
        <w:rPr>
          <w:snapToGrid/>
          <w:color w:val="000000" w:themeColor="text1"/>
          <w:lang w:val="it-IT"/>
        </w:rPr>
        <w:t>,</w:t>
      </w:r>
      <w:r w:rsidRPr="00AE1B50">
        <w:rPr>
          <w:rFonts w:hint="cs"/>
          <w:snapToGrid/>
          <w:color w:val="000000" w:themeColor="text1"/>
          <w:lang w:val="it-IT"/>
        </w:rPr>
        <w:t xml:space="preserve"> S</w:t>
      </w:r>
      <w:r w:rsidRPr="00AE1B50">
        <w:rPr>
          <w:snapToGrid/>
          <w:color w:val="000000" w:themeColor="text1"/>
          <w:lang w:val="it-IT"/>
        </w:rPr>
        <w:t>.</w:t>
      </w:r>
      <w:r w:rsidRPr="00AE1B50">
        <w:rPr>
          <w:rFonts w:hint="cs"/>
          <w:snapToGrid/>
          <w:color w:val="000000" w:themeColor="text1"/>
          <w:lang w:val="it-IT"/>
        </w:rPr>
        <w:t xml:space="preserve"> Kumar, Y. Zhang, D. Li, R.G. Compton, </w:t>
      </w:r>
      <w:proofErr w:type="spellStart"/>
      <w:r w:rsidRPr="00AE1B50">
        <w:rPr>
          <w:rFonts w:hint="cs"/>
          <w:i/>
          <w:iCs/>
          <w:snapToGrid/>
          <w:color w:val="000000" w:themeColor="text1"/>
          <w:lang w:val="it-IT"/>
        </w:rPr>
        <w:t>Electrochem</w:t>
      </w:r>
      <w:proofErr w:type="spellEnd"/>
      <w:r w:rsidRPr="00AE1B50">
        <w:rPr>
          <w:rFonts w:hint="cs"/>
          <w:i/>
          <w:iCs/>
          <w:snapToGrid/>
          <w:color w:val="000000" w:themeColor="text1"/>
          <w:lang w:val="it-IT"/>
        </w:rPr>
        <w:t xml:space="preserve">. </w:t>
      </w:r>
      <w:proofErr w:type="spellStart"/>
      <w:r w:rsidRPr="00AE1B50">
        <w:rPr>
          <w:rFonts w:hint="cs"/>
          <w:i/>
          <w:iCs/>
          <w:snapToGrid/>
          <w:color w:val="000000" w:themeColor="text1"/>
          <w:lang w:val="it-IT"/>
        </w:rPr>
        <w:t>Commun</w:t>
      </w:r>
      <w:proofErr w:type="spellEnd"/>
      <w:r w:rsidRPr="00AE1B50">
        <w:rPr>
          <w:rFonts w:hint="cs"/>
          <w:snapToGrid/>
          <w:color w:val="000000" w:themeColor="text1"/>
          <w:lang w:val="it-IT"/>
        </w:rPr>
        <w:t>. 121 (2020), 106867</w:t>
      </w:r>
      <w:r w:rsidRPr="00AE1B50">
        <w:rPr>
          <w:snapToGrid/>
          <w:color w:val="000000" w:themeColor="text1"/>
          <w:lang w:val="it-IT"/>
        </w:rPr>
        <w:t xml:space="preserve"> </w:t>
      </w:r>
    </w:p>
    <w:p w14:paraId="3B5F8365" w14:textId="77777777" w:rsidR="0058728C" w:rsidRPr="00AE1B50" w:rsidRDefault="0058728C" w:rsidP="0058728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snapToGrid/>
          <w:color w:val="EE0000"/>
          <w:lang w:val="it-IT"/>
        </w:rPr>
      </w:pPr>
    </w:p>
    <w:p w14:paraId="48A6B67B" w14:textId="77777777" w:rsidR="0058728C" w:rsidRPr="00AE1B50" w:rsidRDefault="0058728C"/>
    <w:sectPr w:rsidR="0058728C" w:rsidRPr="00AE1B50" w:rsidSect="0058728C">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283"/>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28C"/>
    <w:rsid w:val="000C21F1"/>
    <w:rsid w:val="00210A9D"/>
    <w:rsid w:val="002334D4"/>
    <w:rsid w:val="002F2677"/>
    <w:rsid w:val="003D333F"/>
    <w:rsid w:val="00524DF6"/>
    <w:rsid w:val="00563DC9"/>
    <w:rsid w:val="0058728C"/>
    <w:rsid w:val="00673ABA"/>
    <w:rsid w:val="00677298"/>
    <w:rsid w:val="00825400"/>
    <w:rsid w:val="009B0774"/>
    <w:rsid w:val="00AE1B50"/>
    <w:rsid w:val="00C85D37"/>
    <w:rsid w:val="00D054BB"/>
    <w:rsid w:val="00D51B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4327EE4"/>
  <w15:chartTrackingRefBased/>
  <w15:docId w15:val="{13894372-65BC-8D45-BF29-6481323CF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8728C"/>
    <w:pPr>
      <w:widowControl w:val="0"/>
      <w:spacing w:after="0" w:line="240" w:lineRule="auto"/>
    </w:pPr>
    <w:rPr>
      <w:rFonts w:ascii="Times New Roman" w:eastAsia="Times New Roman" w:hAnsi="Times New Roman" w:cs="Times New Roman"/>
      <w:snapToGrid w:val="0"/>
      <w:kern w:val="0"/>
      <w:sz w:val="20"/>
      <w:szCs w:val="20"/>
      <w:lang w:val="en-US"/>
      <w14:ligatures w14:val="none"/>
    </w:rPr>
  </w:style>
  <w:style w:type="paragraph" w:styleId="Titolo1">
    <w:name w:val="heading 1"/>
    <w:basedOn w:val="Normale"/>
    <w:next w:val="Normale"/>
    <w:link w:val="Titolo1Carattere"/>
    <w:uiPriority w:val="9"/>
    <w:qFormat/>
    <w:rsid w:val="0058728C"/>
    <w:pPr>
      <w:keepNext/>
      <w:keepLines/>
      <w:widowControl/>
      <w:spacing w:before="360" w:after="80" w:line="278" w:lineRule="auto"/>
      <w:outlineLvl w:val="0"/>
    </w:pPr>
    <w:rPr>
      <w:rFonts w:asciiTheme="majorHAnsi" w:eastAsiaTheme="majorEastAsia" w:hAnsiTheme="majorHAnsi" w:cstheme="majorBidi"/>
      <w:snapToGrid/>
      <w:color w:val="2F5496" w:themeColor="accent1" w:themeShade="BF"/>
      <w:kern w:val="2"/>
      <w:sz w:val="40"/>
      <w:szCs w:val="40"/>
      <w:lang w:val="it-IT"/>
      <w14:ligatures w14:val="standardContextual"/>
    </w:rPr>
  </w:style>
  <w:style w:type="paragraph" w:styleId="Titolo2">
    <w:name w:val="heading 2"/>
    <w:basedOn w:val="Normale"/>
    <w:next w:val="Normale"/>
    <w:link w:val="Titolo2Carattere"/>
    <w:uiPriority w:val="9"/>
    <w:semiHidden/>
    <w:unhideWhenUsed/>
    <w:qFormat/>
    <w:rsid w:val="0058728C"/>
    <w:pPr>
      <w:keepNext/>
      <w:keepLines/>
      <w:widowControl/>
      <w:spacing w:before="160" w:after="80" w:line="278" w:lineRule="auto"/>
      <w:outlineLvl w:val="1"/>
    </w:pPr>
    <w:rPr>
      <w:rFonts w:asciiTheme="majorHAnsi" w:eastAsiaTheme="majorEastAsia" w:hAnsiTheme="majorHAnsi" w:cstheme="majorBidi"/>
      <w:snapToGrid/>
      <w:color w:val="2F5496" w:themeColor="accent1" w:themeShade="BF"/>
      <w:kern w:val="2"/>
      <w:sz w:val="32"/>
      <w:szCs w:val="32"/>
      <w:lang w:val="it-IT"/>
      <w14:ligatures w14:val="standardContextual"/>
    </w:rPr>
  </w:style>
  <w:style w:type="paragraph" w:styleId="Titolo3">
    <w:name w:val="heading 3"/>
    <w:basedOn w:val="Normale"/>
    <w:next w:val="Normale"/>
    <w:link w:val="Titolo3Carattere"/>
    <w:uiPriority w:val="9"/>
    <w:semiHidden/>
    <w:unhideWhenUsed/>
    <w:qFormat/>
    <w:rsid w:val="0058728C"/>
    <w:pPr>
      <w:keepNext/>
      <w:keepLines/>
      <w:widowControl/>
      <w:spacing w:before="160" w:after="80" w:line="278" w:lineRule="auto"/>
      <w:outlineLvl w:val="2"/>
    </w:pPr>
    <w:rPr>
      <w:rFonts w:asciiTheme="minorHAnsi" w:eastAsiaTheme="majorEastAsia" w:hAnsiTheme="minorHAnsi" w:cstheme="majorBidi"/>
      <w:snapToGrid/>
      <w:color w:val="2F5496" w:themeColor="accent1" w:themeShade="BF"/>
      <w:kern w:val="2"/>
      <w:sz w:val="28"/>
      <w:szCs w:val="28"/>
      <w:lang w:val="it-IT"/>
      <w14:ligatures w14:val="standardContextual"/>
    </w:rPr>
  </w:style>
  <w:style w:type="paragraph" w:styleId="Titolo4">
    <w:name w:val="heading 4"/>
    <w:basedOn w:val="Normale"/>
    <w:next w:val="Normale"/>
    <w:link w:val="Titolo4Carattere"/>
    <w:uiPriority w:val="9"/>
    <w:semiHidden/>
    <w:unhideWhenUsed/>
    <w:qFormat/>
    <w:rsid w:val="0058728C"/>
    <w:pPr>
      <w:keepNext/>
      <w:keepLines/>
      <w:widowControl/>
      <w:spacing w:before="80" w:after="40" w:line="278" w:lineRule="auto"/>
      <w:outlineLvl w:val="3"/>
    </w:pPr>
    <w:rPr>
      <w:rFonts w:asciiTheme="minorHAnsi" w:eastAsiaTheme="majorEastAsia" w:hAnsiTheme="minorHAnsi" w:cstheme="majorBidi"/>
      <w:i/>
      <w:iCs/>
      <w:snapToGrid/>
      <w:color w:val="2F5496" w:themeColor="accent1" w:themeShade="BF"/>
      <w:kern w:val="2"/>
      <w:sz w:val="24"/>
      <w:szCs w:val="24"/>
      <w:lang w:val="it-IT"/>
      <w14:ligatures w14:val="standardContextual"/>
    </w:rPr>
  </w:style>
  <w:style w:type="paragraph" w:styleId="Titolo5">
    <w:name w:val="heading 5"/>
    <w:basedOn w:val="Normale"/>
    <w:next w:val="Normale"/>
    <w:link w:val="Titolo5Carattere"/>
    <w:uiPriority w:val="9"/>
    <w:semiHidden/>
    <w:unhideWhenUsed/>
    <w:qFormat/>
    <w:rsid w:val="0058728C"/>
    <w:pPr>
      <w:keepNext/>
      <w:keepLines/>
      <w:widowControl/>
      <w:spacing w:before="80" w:after="40" w:line="278" w:lineRule="auto"/>
      <w:outlineLvl w:val="4"/>
    </w:pPr>
    <w:rPr>
      <w:rFonts w:asciiTheme="minorHAnsi" w:eastAsiaTheme="majorEastAsia" w:hAnsiTheme="minorHAnsi" w:cstheme="majorBidi"/>
      <w:snapToGrid/>
      <w:color w:val="2F5496" w:themeColor="accent1" w:themeShade="BF"/>
      <w:kern w:val="2"/>
      <w:sz w:val="24"/>
      <w:szCs w:val="24"/>
      <w:lang w:val="it-IT"/>
      <w14:ligatures w14:val="standardContextual"/>
    </w:rPr>
  </w:style>
  <w:style w:type="paragraph" w:styleId="Titolo6">
    <w:name w:val="heading 6"/>
    <w:basedOn w:val="Normale"/>
    <w:next w:val="Normale"/>
    <w:link w:val="Titolo6Carattere"/>
    <w:uiPriority w:val="9"/>
    <w:semiHidden/>
    <w:unhideWhenUsed/>
    <w:qFormat/>
    <w:rsid w:val="0058728C"/>
    <w:pPr>
      <w:keepNext/>
      <w:keepLines/>
      <w:widowControl/>
      <w:spacing w:before="40" w:line="278" w:lineRule="auto"/>
      <w:outlineLvl w:val="5"/>
    </w:pPr>
    <w:rPr>
      <w:rFonts w:asciiTheme="minorHAnsi" w:eastAsiaTheme="majorEastAsia" w:hAnsiTheme="minorHAnsi" w:cstheme="majorBidi"/>
      <w:i/>
      <w:iCs/>
      <w:snapToGrid/>
      <w:color w:val="595959" w:themeColor="text1" w:themeTint="A6"/>
      <w:kern w:val="2"/>
      <w:sz w:val="24"/>
      <w:szCs w:val="24"/>
      <w:lang w:val="it-IT"/>
      <w14:ligatures w14:val="standardContextual"/>
    </w:rPr>
  </w:style>
  <w:style w:type="paragraph" w:styleId="Titolo7">
    <w:name w:val="heading 7"/>
    <w:basedOn w:val="Normale"/>
    <w:next w:val="Normale"/>
    <w:link w:val="Titolo7Carattere"/>
    <w:uiPriority w:val="9"/>
    <w:semiHidden/>
    <w:unhideWhenUsed/>
    <w:qFormat/>
    <w:rsid w:val="0058728C"/>
    <w:pPr>
      <w:keepNext/>
      <w:keepLines/>
      <w:widowControl/>
      <w:spacing w:before="40" w:line="278" w:lineRule="auto"/>
      <w:outlineLvl w:val="6"/>
    </w:pPr>
    <w:rPr>
      <w:rFonts w:asciiTheme="minorHAnsi" w:eastAsiaTheme="majorEastAsia" w:hAnsiTheme="minorHAnsi" w:cstheme="majorBidi"/>
      <w:snapToGrid/>
      <w:color w:val="595959" w:themeColor="text1" w:themeTint="A6"/>
      <w:kern w:val="2"/>
      <w:sz w:val="24"/>
      <w:szCs w:val="24"/>
      <w:lang w:val="it-IT"/>
      <w14:ligatures w14:val="standardContextual"/>
    </w:rPr>
  </w:style>
  <w:style w:type="paragraph" w:styleId="Titolo8">
    <w:name w:val="heading 8"/>
    <w:basedOn w:val="Normale"/>
    <w:next w:val="Normale"/>
    <w:link w:val="Titolo8Carattere"/>
    <w:uiPriority w:val="9"/>
    <w:semiHidden/>
    <w:unhideWhenUsed/>
    <w:qFormat/>
    <w:rsid w:val="0058728C"/>
    <w:pPr>
      <w:keepNext/>
      <w:keepLines/>
      <w:widowControl/>
      <w:spacing w:line="278" w:lineRule="auto"/>
      <w:outlineLvl w:val="7"/>
    </w:pPr>
    <w:rPr>
      <w:rFonts w:asciiTheme="minorHAnsi" w:eastAsiaTheme="majorEastAsia" w:hAnsiTheme="minorHAnsi" w:cstheme="majorBidi"/>
      <w:i/>
      <w:iCs/>
      <w:snapToGrid/>
      <w:color w:val="272727" w:themeColor="text1" w:themeTint="D8"/>
      <w:kern w:val="2"/>
      <w:sz w:val="24"/>
      <w:szCs w:val="24"/>
      <w:lang w:val="it-IT"/>
      <w14:ligatures w14:val="standardContextual"/>
    </w:rPr>
  </w:style>
  <w:style w:type="paragraph" w:styleId="Titolo9">
    <w:name w:val="heading 9"/>
    <w:basedOn w:val="Normale"/>
    <w:next w:val="Normale"/>
    <w:link w:val="Titolo9Carattere"/>
    <w:uiPriority w:val="9"/>
    <w:semiHidden/>
    <w:unhideWhenUsed/>
    <w:qFormat/>
    <w:rsid w:val="0058728C"/>
    <w:pPr>
      <w:keepNext/>
      <w:keepLines/>
      <w:widowControl/>
      <w:spacing w:line="278" w:lineRule="auto"/>
      <w:outlineLvl w:val="8"/>
    </w:pPr>
    <w:rPr>
      <w:rFonts w:asciiTheme="minorHAnsi" w:eastAsiaTheme="majorEastAsia" w:hAnsiTheme="minorHAnsi" w:cstheme="majorBidi"/>
      <w:snapToGrid/>
      <w:color w:val="272727" w:themeColor="text1" w:themeTint="D8"/>
      <w:kern w:val="2"/>
      <w:sz w:val="24"/>
      <w:szCs w:val="24"/>
      <w:lang w:val="it-IT"/>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8728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58728C"/>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58728C"/>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58728C"/>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58728C"/>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58728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8728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8728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8728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8728C"/>
    <w:pPr>
      <w:widowControl/>
      <w:spacing w:after="80"/>
      <w:contextualSpacing/>
    </w:pPr>
    <w:rPr>
      <w:rFonts w:asciiTheme="majorHAnsi" w:eastAsiaTheme="majorEastAsia" w:hAnsiTheme="majorHAnsi" w:cstheme="majorBidi"/>
      <w:snapToGrid/>
      <w:spacing w:val="-10"/>
      <w:kern w:val="28"/>
      <w:sz w:val="56"/>
      <w:szCs w:val="56"/>
      <w:lang w:val="it-IT"/>
      <w14:ligatures w14:val="standardContextual"/>
    </w:rPr>
  </w:style>
  <w:style w:type="character" w:customStyle="1" w:styleId="TitoloCarattere">
    <w:name w:val="Titolo Carattere"/>
    <w:basedOn w:val="Carpredefinitoparagrafo"/>
    <w:link w:val="Titolo"/>
    <w:uiPriority w:val="10"/>
    <w:rsid w:val="0058728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8728C"/>
    <w:pPr>
      <w:widowControl/>
      <w:numPr>
        <w:ilvl w:val="1"/>
      </w:numPr>
      <w:spacing w:after="160" w:line="278" w:lineRule="auto"/>
    </w:pPr>
    <w:rPr>
      <w:rFonts w:asciiTheme="minorHAnsi" w:eastAsiaTheme="majorEastAsia" w:hAnsiTheme="minorHAnsi" w:cstheme="majorBidi"/>
      <w:snapToGrid/>
      <w:color w:val="595959" w:themeColor="text1" w:themeTint="A6"/>
      <w:spacing w:val="15"/>
      <w:kern w:val="2"/>
      <w:sz w:val="28"/>
      <w:szCs w:val="28"/>
      <w:lang w:val="it-IT"/>
      <w14:ligatures w14:val="standardContextual"/>
    </w:rPr>
  </w:style>
  <w:style w:type="character" w:customStyle="1" w:styleId="SottotitoloCarattere">
    <w:name w:val="Sottotitolo Carattere"/>
    <w:basedOn w:val="Carpredefinitoparagrafo"/>
    <w:link w:val="Sottotitolo"/>
    <w:uiPriority w:val="11"/>
    <w:rsid w:val="0058728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8728C"/>
    <w:pPr>
      <w:widowControl/>
      <w:spacing w:before="160" w:after="160" w:line="278" w:lineRule="auto"/>
      <w:jc w:val="center"/>
    </w:pPr>
    <w:rPr>
      <w:rFonts w:asciiTheme="minorHAnsi" w:eastAsiaTheme="minorHAnsi" w:hAnsiTheme="minorHAnsi" w:cstheme="minorBidi"/>
      <w:i/>
      <w:iCs/>
      <w:snapToGrid/>
      <w:color w:val="404040" w:themeColor="text1" w:themeTint="BF"/>
      <w:kern w:val="2"/>
      <w:sz w:val="24"/>
      <w:szCs w:val="24"/>
      <w:lang w:val="it-IT"/>
      <w14:ligatures w14:val="standardContextual"/>
    </w:rPr>
  </w:style>
  <w:style w:type="character" w:customStyle="1" w:styleId="CitazioneCarattere">
    <w:name w:val="Citazione Carattere"/>
    <w:basedOn w:val="Carpredefinitoparagrafo"/>
    <w:link w:val="Citazione"/>
    <w:uiPriority w:val="29"/>
    <w:rsid w:val="0058728C"/>
    <w:rPr>
      <w:i/>
      <w:iCs/>
      <w:color w:val="404040" w:themeColor="text1" w:themeTint="BF"/>
    </w:rPr>
  </w:style>
  <w:style w:type="paragraph" w:styleId="Paragrafoelenco">
    <w:name w:val="List Paragraph"/>
    <w:basedOn w:val="Normale"/>
    <w:uiPriority w:val="34"/>
    <w:qFormat/>
    <w:rsid w:val="0058728C"/>
    <w:pPr>
      <w:widowControl/>
      <w:spacing w:after="160" w:line="278" w:lineRule="auto"/>
      <w:ind w:left="720"/>
      <w:contextualSpacing/>
    </w:pPr>
    <w:rPr>
      <w:rFonts w:asciiTheme="minorHAnsi" w:eastAsiaTheme="minorHAnsi" w:hAnsiTheme="minorHAnsi" w:cstheme="minorBidi"/>
      <w:snapToGrid/>
      <w:kern w:val="2"/>
      <w:sz w:val="24"/>
      <w:szCs w:val="24"/>
      <w:lang w:val="it-IT"/>
      <w14:ligatures w14:val="standardContextual"/>
    </w:rPr>
  </w:style>
  <w:style w:type="character" w:styleId="Enfasiintensa">
    <w:name w:val="Intense Emphasis"/>
    <w:basedOn w:val="Carpredefinitoparagrafo"/>
    <w:uiPriority w:val="21"/>
    <w:qFormat/>
    <w:rsid w:val="0058728C"/>
    <w:rPr>
      <w:i/>
      <w:iCs/>
      <w:color w:val="2F5496" w:themeColor="accent1" w:themeShade="BF"/>
    </w:rPr>
  </w:style>
  <w:style w:type="paragraph" w:styleId="Citazioneintensa">
    <w:name w:val="Intense Quote"/>
    <w:basedOn w:val="Normale"/>
    <w:next w:val="Normale"/>
    <w:link w:val="CitazioneintensaCarattere"/>
    <w:uiPriority w:val="30"/>
    <w:qFormat/>
    <w:rsid w:val="0058728C"/>
    <w:pPr>
      <w:widowControl/>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snapToGrid/>
      <w:color w:val="2F5496" w:themeColor="accent1" w:themeShade="BF"/>
      <w:kern w:val="2"/>
      <w:sz w:val="24"/>
      <w:szCs w:val="24"/>
      <w:lang w:val="it-IT"/>
      <w14:ligatures w14:val="standardContextual"/>
    </w:rPr>
  </w:style>
  <w:style w:type="character" w:customStyle="1" w:styleId="CitazioneintensaCarattere">
    <w:name w:val="Citazione intensa Carattere"/>
    <w:basedOn w:val="Carpredefinitoparagrafo"/>
    <w:link w:val="Citazioneintensa"/>
    <w:uiPriority w:val="30"/>
    <w:rsid w:val="0058728C"/>
    <w:rPr>
      <w:i/>
      <w:iCs/>
      <w:color w:val="2F5496" w:themeColor="accent1" w:themeShade="BF"/>
    </w:rPr>
  </w:style>
  <w:style w:type="character" w:styleId="Riferimentointenso">
    <w:name w:val="Intense Reference"/>
    <w:basedOn w:val="Carpredefinitoparagrafo"/>
    <w:uiPriority w:val="32"/>
    <w:qFormat/>
    <w:rsid w:val="0058728C"/>
    <w:rPr>
      <w:b/>
      <w:bCs/>
      <w:smallCaps/>
      <w:color w:val="2F5496" w:themeColor="accent1" w:themeShade="BF"/>
      <w:spacing w:val="5"/>
    </w:rPr>
  </w:style>
  <w:style w:type="paragraph" w:styleId="NormaleWeb">
    <w:name w:val="Normal (Web)"/>
    <w:basedOn w:val="Normale"/>
    <w:uiPriority w:val="99"/>
    <w:unhideWhenUsed/>
    <w:rsid w:val="0058728C"/>
    <w:pPr>
      <w:widowControl/>
      <w:spacing w:before="100" w:beforeAutospacing="1" w:after="100" w:afterAutospacing="1"/>
    </w:pPr>
    <w:rPr>
      <w:snapToGrid/>
      <w:sz w:val="24"/>
      <w:szCs w:val="24"/>
      <w:lang w:val="it-IT" w:eastAsia="it-IT"/>
    </w:rPr>
  </w:style>
  <w:style w:type="character" w:styleId="Collegamentoipertestuale">
    <w:name w:val="Hyperlink"/>
    <w:basedOn w:val="Carpredefinitoparagrafo"/>
    <w:uiPriority w:val="99"/>
    <w:unhideWhenUsed/>
    <w:rsid w:val="0058728C"/>
    <w:rPr>
      <w:color w:val="0563C1" w:themeColor="hyperlink"/>
      <w:u w:val="single"/>
    </w:rPr>
  </w:style>
  <w:style w:type="character" w:styleId="Collegamentovisitato">
    <w:name w:val="FollowedHyperlink"/>
    <w:basedOn w:val="Carpredefinitoparagrafo"/>
    <w:uiPriority w:val="99"/>
    <w:semiHidden/>
    <w:unhideWhenUsed/>
    <w:rsid w:val="00673ABA"/>
    <w:rPr>
      <w:color w:val="954F72" w:themeColor="followedHyperlink"/>
      <w:u w:val="single"/>
    </w:rPr>
  </w:style>
  <w:style w:type="character" w:styleId="Menzionenonrisolta">
    <w:name w:val="Unresolved Mention"/>
    <w:basedOn w:val="Carpredefinitoparagrafo"/>
    <w:uiPriority w:val="99"/>
    <w:semiHidden/>
    <w:unhideWhenUsed/>
    <w:rsid w:val="00C85D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rancesco.dotta@cnr.it" TargetMode="External"/><Relationship Id="rId4" Type="http://schemas.openxmlformats.org/officeDocument/2006/relationships/hyperlink" Target="mailto:riccarda.antiochia@uniroma1.it;%20cristina.tortolini@uniroma1.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561</Words>
  <Characters>3199</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10</cp:revision>
  <cp:lastPrinted>2026-06-05T08:42:00Z</cp:lastPrinted>
  <dcterms:created xsi:type="dcterms:W3CDTF">2026-06-05T07:19:00Z</dcterms:created>
  <dcterms:modified xsi:type="dcterms:W3CDTF">2026-06-05T09:15:00Z</dcterms:modified>
</cp:coreProperties>
</file>