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7A2E4" w14:textId="7DE96FD5" w:rsidR="00325004" w:rsidRPr="00A86EB9" w:rsidRDefault="00325004" w:rsidP="00E0716D">
      <w:pPr>
        <w:jc w:val="center"/>
        <w:rPr>
          <w:b/>
          <w:sz w:val="28"/>
        </w:rPr>
      </w:pPr>
      <w:r>
        <w:rPr>
          <w:b/>
          <w:sz w:val="28"/>
        </w:rPr>
        <w:t>Decoding Dehydrogenation Dynamics: An In-Situ Rotating Ring-Disk Probe of Oscillatory Ethanol Electro-Oxidation</w:t>
      </w:r>
      <w:r w:rsidR="002200BC">
        <w:rPr>
          <w:b/>
          <w:sz w:val="28"/>
        </w:rPr>
        <w:t xml:space="preserve"> Reaction</w:t>
      </w:r>
      <w:r>
        <w:rPr>
          <w:b/>
          <w:sz w:val="28"/>
        </w:rPr>
        <w:t xml:space="preserve"> in Alkaline Media</w:t>
      </w:r>
    </w:p>
    <w:p w14:paraId="2AE0DCCC" w14:textId="77777777" w:rsidR="00325004" w:rsidRPr="00A86EB9" w:rsidRDefault="00325004" w:rsidP="00E0716D">
      <w:pPr>
        <w:jc w:val="center"/>
        <w:rPr>
          <w:b/>
          <w:sz w:val="28"/>
        </w:rPr>
      </w:pPr>
    </w:p>
    <w:p w14:paraId="654D8542" w14:textId="77777777" w:rsidR="001E0B32" w:rsidRDefault="001E0B32" w:rsidP="001E0B32">
      <w:pPr>
        <w:jc w:val="center"/>
      </w:pPr>
      <w:r>
        <w:rPr>
          <w:u w:val="single"/>
        </w:rPr>
        <w:t>Pedro L. Hermes-Lima</w:t>
      </w:r>
      <w:r>
        <w:rPr>
          <w:vertAlign w:val="superscript"/>
        </w:rPr>
        <w:t>1</w:t>
      </w:r>
      <w:r>
        <w:t>, Leandro Hostert</w:t>
      </w:r>
      <w:r>
        <w:rPr>
          <w:vertAlign w:val="superscript"/>
        </w:rPr>
        <w:t>1</w:t>
      </w:r>
      <w:r>
        <w:t>, Elton Sitta</w:t>
      </w:r>
      <w:r>
        <w:rPr>
          <w:vertAlign w:val="superscript"/>
        </w:rPr>
        <w:t>2</w:t>
      </w:r>
      <w:r>
        <w:t>, Hamilton Varela</w:t>
      </w:r>
      <w:r>
        <w:rPr>
          <w:vertAlign w:val="superscript"/>
        </w:rPr>
        <w:t>1</w:t>
      </w:r>
    </w:p>
    <w:p w14:paraId="644D24A6" w14:textId="268CD68D" w:rsidR="00325004" w:rsidRPr="001E0B32" w:rsidRDefault="00D458D3" w:rsidP="00E0716D">
      <w:pPr>
        <w:jc w:val="center"/>
        <w:rPr>
          <w:i/>
        </w:rPr>
      </w:pPr>
      <w:r w:rsidRPr="001E0B32">
        <w:rPr>
          <w:i/>
        </w:rPr>
        <w:t>¹</w:t>
      </w:r>
      <w:r w:rsidRPr="001E0B32">
        <w:rPr>
          <w:i/>
          <w:iCs/>
        </w:rPr>
        <w:t>São Carlos Institute of Chemistry (IQSC), University of São Paulo (USP</w:t>
      </w:r>
      <w:proofErr w:type="gramStart"/>
      <w:r w:rsidRPr="001E0B32">
        <w:rPr>
          <w:i/>
          <w:iCs/>
        </w:rPr>
        <w:t>),São</w:t>
      </w:r>
      <w:proofErr w:type="gramEnd"/>
      <w:r w:rsidRPr="001E0B32">
        <w:rPr>
          <w:i/>
          <w:iCs/>
        </w:rPr>
        <w:t xml:space="preserve"> Carlos, SP, Brazil</w:t>
      </w:r>
      <w:r w:rsidRPr="001E0B32">
        <w:rPr>
          <w:i/>
        </w:rPr>
        <w:t xml:space="preserve"> ²</w:t>
      </w:r>
      <w:r w:rsidRPr="001E0B32">
        <w:rPr>
          <w:i/>
          <w:iCs/>
        </w:rPr>
        <w:t>Department of Chemistry, Federal University of São Carlos (</w:t>
      </w:r>
      <w:proofErr w:type="spellStart"/>
      <w:r w:rsidRPr="001E0B32">
        <w:rPr>
          <w:i/>
          <w:iCs/>
        </w:rPr>
        <w:t>UFSCar</w:t>
      </w:r>
      <w:proofErr w:type="spellEnd"/>
      <w:r w:rsidRPr="001E0B32">
        <w:rPr>
          <w:i/>
          <w:iCs/>
        </w:rPr>
        <w:t>), São Carlos, SP, Brazil</w:t>
      </w:r>
      <w:r w:rsidRPr="001E0B32">
        <w:rPr>
          <w:i/>
        </w:rPr>
        <w:t xml:space="preserve"> </w:t>
      </w:r>
      <w:hyperlink r:id="rId4" w:history="1">
        <w:r w:rsidRPr="001E0B32">
          <w:rPr>
            <w:rStyle w:val="Hyperlink"/>
            <w:i/>
            <w:iCs/>
          </w:rPr>
          <w:t>pedrolhlima@usp.br</w:t>
        </w:r>
      </w:hyperlink>
    </w:p>
    <w:p w14:paraId="5264D28D" w14:textId="77777777" w:rsidR="00D458D3" w:rsidRPr="001E0B32" w:rsidRDefault="00D458D3" w:rsidP="00E0716D">
      <w:pPr>
        <w:jc w:val="center"/>
      </w:pPr>
    </w:p>
    <w:p w14:paraId="7E83F314" w14:textId="77777777" w:rsidR="00325004" w:rsidRDefault="00325004" w:rsidP="00E0716D">
      <w:pPr>
        <w:jc w:val="both"/>
      </w:pPr>
      <w:r>
        <w:t>Operando access to the dehydrogenation step of the ethanol electro-oxidation reaction (EEOR) on platinum is obscured in alkaline media: the protons released at each electron transfer are almost entirely scavenged by hydroxyl ions before they can be detected, masking the kinetic signatures of parallel pathways and dynamic surface poisoning. Here we deploy a Rotating Ring-Disk Electrode (RRDE) as an in-situ probe of interfacial proton dynamics during the EEOR on polycrystalline Pt (0.1 mol L⁻¹ NaOH + 1 mol L⁻¹ EtOH). With the ring polarized at 0.0 V vs. RHE, the surviving proton flux is converted into a directly measurable, time-resolved Faradaic signal, turning a transient interfacial event into an observable kinetic readout.</w:t>
      </w:r>
    </w:p>
    <w:p w14:paraId="657BECAD" w14:textId="6A7B57E5" w:rsidR="00C45B16" w:rsidRPr="005C512C" w:rsidRDefault="00C45B16" w:rsidP="0013433D">
      <w:pPr>
        <w:jc w:val="both"/>
      </w:pPr>
      <w:r w:rsidRPr="005C512C">
        <w:rPr>
          <w:noProof/>
        </w:rPr>
        <w:drawing>
          <wp:anchor distT="0" distB="0" distL="114300" distR="114300" simplePos="0" relativeHeight="251657216" behindDoc="0" locked="0" layoutInCell="1" allowOverlap="1" wp14:anchorId="6F340F9F" wp14:editId="1B0FE4C8">
            <wp:simplePos x="0" y="0"/>
            <wp:positionH relativeFrom="margin">
              <wp:posOffset>131445</wp:posOffset>
            </wp:positionH>
            <wp:positionV relativeFrom="paragraph">
              <wp:posOffset>2070735</wp:posOffset>
            </wp:positionV>
            <wp:extent cx="5128260" cy="2472690"/>
            <wp:effectExtent l="0" t="0" r="0" b="3810"/>
            <wp:wrapTopAndBottom/>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rotWithShape="1">
                    <a:blip r:embed="rId5">
                      <a:extLst>
                        <a:ext uri="{28A0092B-C50C-407E-A947-70E740481C1C}">
                          <a14:useLocalDpi xmlns:a14="http://schemas.microsoft.com/office/drawing/2010/main" val="0"/>
                        </a:ext>
                      </a:extLst>
                    </a:blip>
                    <a:srcRect l="5001" t="15596" r="8852" b="26022"/>
                    <a:stretch/>
                  </pic:blipFill>
                  <pic:spPr bwMode="auto">
                    <a:xfrm>
                      <a:off x="0" y="0"/>
                      <a:ext cx="5128260" cy="24726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25004" w:rsidRPr="005C512C">
        <w:t>Three results define the approach. First, under voltammetric control the apparent proton collection efficiency (N</w:t>
      </w:r>
      <w:r w:rsidR="00325004" w:rsidRPr="005C512C">
        <w:rPr>
          <w:vertAlign w:val="subscript"/>
        </w:rPr>
        <w:t>H⁺</w:t>
      </w:r>
      <w:r w:rsidR="00325004" w:rsidRPr="005C512C">
        <w:t xml:space="preserve">) stays below 2% across all rotation rates (0–900 rpm); a </w:t>
      </w:r>
      <w:proofErr w:type="spellStart"/>
      <w:r w:rsidR="00325004" w:rsidRPr="005C512C">
        <w:t>Damköhler</w:t>
      </w:r>
      <w:proofErr w:type="spellEnd"/>
      <w:r w:rsidR="00325004" w:rsidRPr="005C512C">
        <w:t xml:space="preserve">-type analysis shows that homogeneous alkaline neutralization dominates over convective transport, so the near-invariance is an intrinsic interfacial feature rather than a geometric limitation [1]. </w:t>
      </w:r>
      <w:r w:rsidR="002200BC" w:rsidRPr="005C512C">
        <w:t>Second, driving the system far from equilibrium into the oscillatory regime unmasks dehydrogenation events inaccessible under steady state: phase-synchronized proton bursts at the ring coincide instantaneously with the potential drops at the disk (Fig. 1, a1–a2), each burst marking an explosive reactivation of the poisoned surface. The static (0 rpm) and convective regimes display qualitatively distinct oscillatory signatures, offering a handle on the surface processes that govern poisoning and reactivation. Third, a microkinetic simulation [2] reproduces these dynamics: the topological correspondence between experimental and simulated limit cycles (Fig. 1, a3–b3) confirms that the alkaline gap attenuates signal amplitude without distorting the underlying nonlinear kinetics [3], and begins to disentangle the elementary steps behind each reactivation event. The RRDE thus operates as a kinetically resolved, in-situ strategy for decoding interfacial dehydrogenation dynamics of the EEOR far from equilibrium.</w:t>
      </w:r>
    </w:p>
    <w:p w14:paraId="05393DA4" w14:textId="706AAC6A" w:rsidR="0013433D" w:rsidRDefault="00000000">
      <w:pPr>
        <w:spacing w:after="60"/>
        <w:jc w:val="both"/>
        <w:rPr>
          <w:szCs w:val="22"/>
        </w:rPr>
      </w:pPr>
      <w:r w:rsidRPr="005C512C">
        <w:rPr>
          <w:bCs/>
          <w:szCs w:val="22"/>
        </w:rPr>
        <w:t>Fig. 1.</w:t>
      </w:r>
      <w:r w:rsidRPr="0013433D">
        <w:rPr>
          <w:b/>
          <w:szCs w:val="22"/>
        </w:rPr>
        <w:t xml:space="preserve"> </w:t>
      </w:r>
      <w:r w:rsidRPr="0013433D">
        <w:rPr>
          <w:szCs w:val="22"/>
        </w:rPr>
        <w:t>Oscillatory dynamics of the EEOR. (a) Experimental ring-disk response at 900 rpm (0.1 mol L⁻¹ NaOH + 1 mol L⁻¹ EtOH); (b) microkinetic simulation [2] (note distinct current scales). (a</w:t>
      </w:r>
      <w:proofErr w:type="gramStart"/>
      <w:r w:rsidRPr="0013433D">
        <w:rPr>
          <w:szCs w:val="22"/>
        </w:rPr>
        <w:t>1,b</w:t>
      </w:r>
      <w:proofErr w:type="gramEnd"/>
      <w:r w:rsidRPr="0013433D">
        <w:rPr>
          <w:szCs w:val="22"/>
        </w:rPr>
        <w:t>1) Extended time series; (a2,b2) zoom on reactivation events; (a3,b3) phase portrait.</w:t>
      </w:r>
    </w:p>
    <w:p w14:paraId="65A92CDE" w14:textId="77777777" w:rsidR="00693C20" w:rsidRPr="00693C20" w:rsidRDefault="00693C20">
      <w:pPr>
        <w:spacing w:after="60"/>
        <w:jc w:val="both"/>
        <w:rPr>
          <w:szCs w:val="22"/>
        </w:rPr>
      </w:pPr>
    </w:p>
    <w:p w14:paraId="7305A8B5" w14:textId="325DE48A" w:rsidR="00B507EA" w:rsidRPr="0013433D" w:rsidRDefault="00000000">
      <w:pPr>
        <w:jc w:val="both"/>
        <w:rPr>
          <w:szCs w:val="22"/>
        </w:rPr>
      </w:pPr>
      <w:proofErr w:type="spellStart"/>
      <w:r w:rsidRPr="005C512C">
        <w:rPr>
          <w:bCs/>
          <w:szCs w:val="22"/>
          <w:lang w:val="pt-BR"/>
        </w:rPr>
        <w:t>References</w:t>
      </w:r>
      <w:proofErr w:type="spellEnd"/>
      <w:r w:rsidRPr="0013433D">
        <w:rPr>
          <w:b/>
          <w:szCs w:val="22"/>
          <w:lang w:val="pt-BR"/>
        </w:rPr>
        <w:t xml:space="preserve">: </w:t>
      </w:r>
      <w:r w:rsidRPr="0013433D">
        <w:rPr>
          <w:szCs w:val="22"/>
          <w:lang w:val="pt-BR"/>
        </w:rPr>
        <w:t xml:space="preserve">[1] M. C. Figueiredo, R. M. </w:t>
      </w:r>
      <w:proofErr w:type="spellStart"/>
      <w:r w:rsidRPr="0013433D">
        <w:rPr>
          <w:szCs w:val="22"/>
          <w:lang w:val="pt-BR"/>
        </w:rPr>
        <w:t>Arán-Ais</w:t>
      </w:r>
      <w:proofErr w:type="spellEnd"/>
      <w:r w:rsidRPr="0013433D">
        <w:rPr>
          <w:szCs w:val="22"/>
          <w:lang w:val="pt-BR"/>
        </w:rPr>
        <w:t xml:space="preserve">, V. </w:t>
      </w:r>
      <w:proofErr w:type="spellStart"/>
      <w:r w:rsidRPr="0013433D">
        <w:rPr>
          <w:szCs w:val="22"/>
          <w:lang w:val="pt-BR"/>
        </w:rPr>
        <w:t>Climent</w:t>
      </w:r>
      <w:proofErr w:type="spellEnd"/>
      <w:r w:rsidRPr="0013433D">
        <w:rPr>
          <w:szCs w:val="22"/>
          <w:lang w:val="pt-BR"/>
        </w:rPr>
        <w:t xml:space="preserve">, T. </w:t>
      </w:r>
      <w:proofErr w:type="spellStart"/>
      <w:r w:rsidRPr="0013433D">
        <w:rPr>
          <w:szCs w:val="22"/>
          <w:lang w:val="pt-BR"/>
        </w:rPr>
        <w:t>Kallio</w:t>
      </w:r>
      <w:proofErr w:type="spellEnd"/>
      <w:r w:rsidRPr="0013433D">
        <w:rPr>
          <w:szCs w:val="22"/>
          <w:lang w:val="pt-BR"/>
        </w:rPr>
        <w:t xml:space="preserve">, J. M. </w:t>
      </w:r>
      <w:proofErr w:type="spellStart"/>
      <w:r w:rsidRPr="0013433D">
        <w:rPr>
          <w:szCs w:val="22"/>
          <w:lang w:val="pt-BR"/>
        </w:rPr>
        <w:t>Feliu</w:t>
      </w:r>
      <w:proofErr w:type="spellEnd"/>
      <w:r w:rsidRPr="0013433D">
        <w:rPr>
          <w:szCs w:val="22"/>
          <w:lang w:val="pt-BR"/>
        </w:rPr>
        <w:t xml:space="preserve">, </w:t>
      </w:r>
      <w:proofErr w:type="spellStart"/>
      <w:r w:rsidRPr="0013433D">
        <w:rPr>
          <w:i/>
          <w:szCs w:val="22"/>
          <w:lang w:val="pt-BR"/>
        </w:rPr>
        <w:t>ChemElectroChem</w:t>
      </w:r>
      <w:proofErr w:type="spellEnd"/>
      <w:r w:rsidRPr="0013433D">
        <w:rPr>
          <w:szCs w:val="22"/>
          <w:lang w:val="pt-BR"/>
        </w:rPr>
        <w:t xml:space="preserve"> </w:t>
      </w:r>
      <w:r w:rsidRPr="0013433D">
        <w:rPr>
          <w:b/>
          <w:szCs w:val="22"/>
          <w:lang w:val="pt-BR"/>
        </w:rPr>
        <w:t>2015</w:t>
      </w:r>
      <w:r w:rsidRPr="0013433D">
        <w:rPr>
          <w:szCs w:val="22"/>
          <w:lang w:val="pt-BR"/>
        </w:rPr>
        <w:t xml:space="preserve">, </w:t>
      </w:r>
      <w:r w:rsidRPr="0013433D">
        <w:rPr>
          <w:i/>
          <w:szCs w:val="22"/>
          <w:lang w:val="pt-BR"/>
        </w:rPr>
        <w:t>2</w:t>
      </w:r>
      <w:r w:rsidRPr="0013433D">
        <w:rPr>
          <w:szCs w:val="22"/>
          <w:lang w:val="pt-BR"/>
        </w:rPr>
        <w:t xml:space="preserve">, 1254. [2] L. </w:t>
      </w:r>
      <w:proofErr w:type="spellStart"/>
      <w:r w:rsidRPr="0013433D">
        <w:rPr>
          <w:szCs w:val="22"/>
          <w:lang w:val="pt-BR"/>
        </w:rPr>
        <w:t>Hostert</w:t>
      </w:r>
      <w:proofErr w:type="spellEnd"/>
      <w:r w:rsidRPr="0013433D">
        <w:rPr>
          <w:szCs w:val="22"/>
          <w:lang w:val="pt-BR"/>
        </w:rPr>
        <w:t xml:space="preserve">, E. Paredes-Salazar, A. Calderón-Cárdenas, H. Varela, </w:t>
      </w:r>
      <w:proofErr w:type="spellStart"/>
      <w:r w:rsidRPr="0013433D">
        <w:rPr>
          <w:i/>
          <w:szCs w:val="22"/>
          <w:lang w:val="pt-BR"/>
        </w:rPr>
        <w:t>ChemRxiv</w:t>
      </w:r>
      <w:proofErr w:type="spellEnd"/>
      <w:r w:rsidRPr="0013433D">
        <w:rPr>
          <w:szCs w:val="22"/>
          <w:lang w:val="pt-BR"/>
        </w:rPr>
        <w:t xml:space="preserve"> </w:t>
      </w:r>
      <w:r w:rsidRPr="0013433D">
        <w:rPr>
          <w:b/>
          <w:szCs w:val="22"/>
          <w:lang w:val="pt-BR"/>
        </w:rPr>
        <w:t>2025</w:t>
      </w:r>
      <w:r w:rsidRPr="0013433D">
        <w:rPr>
          <w:szCs w:val="22"/>
          <w:lang w:val="pt-BR"/>
        </w:rPr>
        <w:t xml:space="preserve">, DOI: 10.26434/chemrxiv-2025-b6k6f-v2. </w:t>
      </w:r>
      <w:r w:rsidRPr="0013433D">
        <w:rPr>
          <w:szCs w:val="22"/>
        </w:rPr>
        <w:t xml:space="preserve">[3] K. </w:t>
      </w:r>
      <w:proofErr w:type="spellStart"/>
      <w:r w:rsidRPr="0013433D">
        <w:rPr>
          <w:szCs w:val="22"/>
        </w:rPr>
        <w:t>Krischer</w:t>
      </w:r>
      <w:proofErr w:type="spellEnd"/>
      <w:r w:rsidRPr="0013433D">
        <w:rPr>
          <w:szCs w:val="22"/>
        </w:rPr>
        <w:t xml:space="preserve">, H. Varela, in </w:t>
      </w:r>
      <w:r w:rsidRPr="0013433D">
        <w:rPr>
          <w:i/>
          <w:szCs w:val="22"/>
        </w:rPr>
        <w:t>Handbook of Fuel Cells</w:t>
      </w:r>
      <w:r w:rsidRPr="0013433D">
        <w:rPr>
          <w:szCs w:val="22"/>
        </w:rPr>
        <w:t xml:space="preserve"> (Eds.: W. </w:t>
      </w:r>
      <w:proofErr w:type="spellStart"/>
      <w:r w:rsidRPr="0013433D">
        <w:rPr>
          <w:szCs w:val="22"/>
        </w:rPr>
        <w:t>Vielstich</w:t>
      </w:r>
      <w:proofErr w:type="spellEnd"/>
      <w:r w:rsidRPr="0013433D">
        <w:rPr>
          <w:szCs w:val="22"/>
        </w:rPr>
        <w:t xml:space="preserve">, H. A. </w:t>
      </w:r>
      <w:proofErr w:type="spellStart"/>
      <w:r w:rsidRPr="0013433D">
        <w:rPr>
          <w:szCs w:val="22"/>
        </w:rPr>
        <w:t>Gasteiger</w:t>
      </w:r>
      <w:proofErr w:type="spellEnd"/>
      <w:r w:rsidRPr="0013433D">
        <w:rPr>
          <w:szCs w:val="22"/>
        </w:rPr>
        <w:t xml:space="preserve">, A. </w:t>
      </w:r>
      <w:proofErr w:type="spellStart"/>
      <w:r w:rsidRPr="0013433D">
        <w:rPr>
          <w:szCs w:val="22"/>
        </w:rPr>
        <w:t>Lamm</w:t>
      </w:r>
      <w:proofErr w:type="spellEnd"/>
      <w:r w:rsidRPr="0013433D">
        <w:rPr>
          <w:szCs w:val="22"/>
        </w:rPr>
        <w:t xml:space="preserve">, H. Yokokawa), Wiley, </w:t>
      </w:r>
      <w:r w:rsidRPr="0013433D">
        <w:rPr>
          <w:b/>
          <w:szCs w:val="22"/>
        </w:rPr>
        <w:t>2010</w:t>
      </w:r>
      <w:r w:rsidRPr="0013433D">
        <w:rPr>
          <w:szCs w:val="22"/>
        </w:rPr>
        <w:t>.</w:t>
      </w:r>
    </w:p>
    <w:sectPr w:rsidR="00B507EA" w:rsidRPr="0013433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5004"/>
    <w:rsid w:val="00041EFD"/>
    <w:rsid w:val="0013433D"/>
    <w:rsid w:val="001E0B32"/>
    <w:rsid w:val="002200BC"/>
    <w:rsid w:val="00325004"/>
    <w:rsid w:val="00342976"/>
    <w:rsid w:val="00533423"/>
    <w:rsid w:val="00536366"/>
    <w:rsid w:val="005C512C"/>
    <w:rsid w:val="00685C1A"/>
    <w:rsid w:val="00693C20"/>
    <w:rsid w:val="00702334"/>
    <w:rsid w:val="00876B0D"/>
    <w:rsid w:val="00B507EA"/>
    <w:rsid w:val="00C37748"/>
    <w:rsid w:val="00C45B16"/>
    <w:rsid w:val="00D458D3"/>
    <w:rsid w:val="00E0716D"/>
    <w:rsid w:val="00F3451F"/>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48F680B"/>
  <w14:defaultImageDpi w14:val="300"/>
  <w15:docId w15:val="{E6F4AE53-F29B-47BA-95CA-81C353FC9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D458D3"/>
    <w:rPr>
      <w:color w:val="0000FF" w:themeColor="hyperlink"/>
      <w:u w:val="single"/>
    </w:rPr>
  </w:style>
  <w:style w:type="character" w:styleId="MenoPendente">
    <w:name w:val="Unresolved Mention"/>
    <w:basedOn w:val="Fontepargpadro"/>
    <w:uiPriority w:val="99"/>
    <w:semiHidden/>
    <w:unhideWhenUsed/>
    <w:rsid w:val="00D458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tiff"/><Relationship Id="rId4" Type="http://schemas.openxmlformats.org/officeDocument/2006/relationships/hyperlink" Target="mailto:pedrolhlima@usp.b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Pages>
  <Words>507</Words>
  <Characters>2739</Characters>
  <Application>Microsoft Office Word</Application>
  <DocSecurity>0</DocSecurity>
  <Lines>22</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dc:description/>
  <cp:lastModifiedBy>Pedro Lobo Hermes Lima</cp:lastModifiedBy>
  <cp:revision>6</cp:revision>
  <cp:lastPrinted>2013-10-21T12:07:00Z</cp:lastPrinted>
  <dcterms:created xsi:type="dcterms:W3CDTF">2021-03-10T13:20:00Z</dcterms:created>
  <dcterms:modified xsi:type="dcterms:W3CDTF">2026-05-30T20:58:00Z</dcterms:modified>
</cp:coreProperties>
</file>